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B1B0" w14:textId="77777777" w:rsidR="00395B24" w:rsidRDefault="009F043A" w:rsidP="00A22932">
      <w:pPr>
        <w:pStyle w:val="CourtTitle"/>
      </w:pPr>
      <w:r>
        <w:fldChar w:fldCharType="begin"/>
      </w:r>
      <w:r>
        <w:instrText xml:space="preserve"> DOCPROPERTY  Court  \* MERGEFORMAT </w:instrText>
      </w:r>
      <w:r>
        <w:fldChar w:fldCharType="separate"/>
      </w:r>
      <w:r w:rsidR="00486162">
        <w:t>Federal Court of Australia</w:t>
      </w:r>
      <w:r>
        <w:fldChar w:fldCharType="end"/>
      </w:r>
    </w:p>
    <w:p w14:paraId="5E63716C" w14:textId="77777777" w:rsidR="00395B24" w:rsidRDefault="00395B24">
      <w:pPr>
        <w:pStyle w:val="NormalHeadings"/>
        <w:jc w:val="center"/>
        <w:rPr>
          <w:sz w:val="32"/>
        </w:rPr>
      </w:pPr>
    </w:p>
    <w:bookmarkStart w:id="0" w:name="MNC"/>
    <w:p w14:paraId="280316D3" w14:textId="7A57A201" w:rsidR="00374CC4" w:rsidRDefault="00746FA6" w:rsidP="001A2B40">
      <w:pPr>
        <w:pStyle w:val="MNC"/>
      </w:pPr>
      <w:sdt>
        <w:sdtPr>
          <w:alias w:val="MNC"/>
          <w:tag w:val="MNC"/>
          <w:id w:val="343289786"/>
          <w:lock w:val="sdtLocked"/>
          <w:placeholder>
            <w:docPart w:val="E3ED7EBC9C224D0EBFF516C6DB964285"/>
          </w:placeholder>
          <w:dataBinding w:prefixMappings="xmlns:ns0='http://schemas.globalmacros.com/FCA'" w:xpath="/ns0:root[1]/ns0:Name[1]" w:storeItemID="{687E7CCB-4AA5-44E7-B148-17BA2B6F57C0}"/>
          <w:text w:multiLine="1"/>
        </w:sdtPr>
        <w:sdtEndPr/>
        <w:sdtContent>
          <w:proofErr w:type="spellStart"/>
          <w:r w:rsidR="009A1CBD" w:rsidRPr="009A1CBD">
            <w:t>Caffitaly</w:t>
          </w:r>
          <w:proofErr w:type="spellEnd"/>
          <w:r w:rsidR="009A1CBD" w:rsidRPr="009A1CBD">
            <w:t xml:space="preserve"> System S.P.A. v One Collective Group Pty Ltd (No 2) [2021] FCAFC 164</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E1FA400" w14:textId="77777777" w:rsidTr="00EC3099">
        <w:tc>
          <w:tcPr>
            <w:tcW w:w="3084" w:type="dxa"/>
            <w:shd w:val="clear" w:color="auto" w:fill="auto"/>
          </w:tcPr>
          <w:p w14:paraId="198F6749" w14:textId="77777777" w:rsidR="00395B24" w:rsidRDefault="00D4601A" w:rsidP="00663878">
            <w:pPr>
              <w:pStyle w:val="Normal1linespace"/>
              <w:widowControl w:val="0"/>
              <w:jc w:val="left"/>
            </w:pPr>
            <w:r>
              <w:t>File number</w:t>
            </w:r>
            <w:r w:rsidR="002C7385">
              <w:t>:</w:t>
            </w:r>
          </w:p>
        </w:tc>
        <w:tc>
          <w:tcPr>
            <w:tcW w:w="5989" w:type="dxa"/>
            <w:shd w:val="clear" w:color="auto" w:fill="auto"/>
          </w:tcPr>
          <w:p w14:paraId="2D7A0BB3" w14:textId="77777777" w:rsidR="00395B24" w:rsidRPr="00486162" w:rsidRDefault="009B3C18" w:rsidP="00486162">
            <w:pPr>
              <w:pStyle w:val="Normal1linespace"/>
              <w:jc w:val="left"/>
            </w:pPr>
            <w:fldSimple w:instr=" REF  FileNo  \* MERGEFORMAT " w:fldLock="1">
              <w:r w:rsidR="00486162" w:rsidRPr="00486162">
                <w:t>NSD 755 of 2020</w:t>
              </w:r>
            </w:fldSimple>
          </w:p>
        </w:tc>
      </w:tr>
      <w:tr w:rsidR="00395B24" w14:paraId="00BE21A6" w14:textId="77777777" w:rsidTr="00EC3099">
        <w:tc>
          <w:tcPr>
            <w:tcW w:w="3084" w:type="dxa"/>
            <w:shd w:val="clear" w:color="auto" w:fill="auto"/>
          </w:tcPr>
          <w:p w14:paraId="5EE362E6" w14:textId="77777777" w:rsidR="00395B24" w:rsidRDefault="00395B24" w:rsidP="00663878">
            <w:pPr>
              <w:pStyle w:val="Normal1linespace"/>
              <w:widowControl w:val="0"/>
              <w:jc w:val="left"/>
            </w:pPr>
          </w:p>
        </w:tc>
        <w:tc>
          <w:tcPr>
            <w:tcW w:w="5989" w:type="dxa"/>
            <w:shd w:val="clear" w:color="auto" w:fill="auto"/>
          </w:tcPr>
          <w:p w14:paraId="5455F5A8" w14:textId="77777777" w:rsidR="00395B24" w:rsidRDefault="00395B24" w:rsidP="00663878">
            <w:pPr>
              <w:pStyle w:val="Normal1linespace"/>
              <w:widowControl w:val="0"/>
              <w:jc w:val="left"/>
            </w:pPr>
          </w:p>
        </w:tc>
      </w:tr>
      <w:tr w:rsidR="00395B24" w14:paraId="2F626C36" w14:textId="77777777" w:rsidTr="00EC3099">
        <w:tc>
          <w:tcPr>
            <w:tcW w:w="3084" w:type="dxa"/>
            <w:shd w:val="clear" w:color="auto" w:fill="auto"/>
          </w:tcPr>
          <w:p w14:paraId="191D9B3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FD7A85B" w14:textId="77777777" w:rsidR="00395B24" w:rsidRDefault="002C7385" w:rsidP="00663878">
            <w:pPr>
              <w:pStyle w:val="Normal1linespace"/>
              <w:widowControl w:val="0"/>
              <w:jc w:val="left"/>
              <w:rPr>
                <w:b/>
              </w:rPr>
            </w:pPr>
            <w:r w:rsidRPr="00486162">
              <w:rPr>
                <w:b/>
              </w:rPr>
              <w:fldChar w:fldCharType="begin" w:fldLock="1"/>
            </w:r>
            <w:r w:rsidRPr="00486162">
              <w:rPr>
                <w:b/>
              </w:rPr>
              <w:instrText xml:space="preserve"> REF  Judge  \* MERGEFORMAT </w:instrText>
            </w:r>
            <w:r w:rsidRPr="00486162">
              <w:rPr>
                <w:b/>
              </w:rPr>
              <w:fldChar w:fldCharType="separate"/>
            </w:r>
            <w:r w:rsidR="00486162" w:rsidRPr="00486162">
              <w:rPr>
                <w:b/>
                <w:caps/>
                <w:szCs w:val="24"/>
              </w:rPr>
              <w:t>YATES, MOSHINSKY AND BURLEY JJ</w:t>
            </w:r>
            <w:r w:rsidRPr="00486162">
              <w:rPr>
                <w:b/>
              </w:rPr>
              <w:fldChar w:fldCharType="end"/>
            </w:r>
          </w:p>
        </w:tc>
      </w:tr>
      <w:tr w:rsidR="00395B24" w14:paraId="0DC64952" w14:textId="77777777" w:rsidTr="00EC3099">
        <w:tc>
          <w:tcPr>
            <w:tcW w:w="3084" w:type="dxa"/>
            <w:shd w:val="clear" w:color="auto" w:fill="auto"/>
          </w:tcPr>
          <w:p w14:paraId="6DDE17D6" w14:textId="77777777" w:rsidR="00395B24" w:rsidRDefault="00395B24" w:rsidP="00663878">
            <w:pPr>
              <w:pStyle w:val="Normal1linespace"/>
              <w:widowControl w:val="0"/>
              <w:jc w:val="left"/>
            </w:pPr>
          </w:p>
        </w:tc>
        <w:tc>
          <w:tcPr>
            <w:tcW w:w="5989" w:type="dxa"/>
            <w:shd w:val="clear" w:color="auto" w:fill="auto"/>
          </w:tcPr>
          <w:p w14:paraId="7C45687C" w14:textId="77777777" w:rsidR="00395B24" w:rsidRDefault="00395B24" w:rsidP="00663878">
            <w:pPr>
              <w:pStyle w:val="Normal1linespace"/>
              <w:widowControl w:val="0"/>
              <w:jc w:val="left"/>
            </w:pPr>
          </w:p>
        </w:tc>
      </w:tr>
      <w:tr w:rsidR="00395B24" w14:paraId="70A221CD" w14:textId="77777777" w:rsidTr="00EC3099">
        <w:tc>
          <w:tcPr>
            <w:tcW w:w="3084" w:type="dxa"/>
            <w:shd w:val="clear" w:color="auto" w:fill="auto"/>
          </w:tcPr>
          <w:p w14:paraId="0AF79467" w14:textId="77777777" w:rsidR="00395B24" w:rsidRDefault="002C7385" w:rsidP="00663878">
            <w:pPr>
              <w:pStyle w:val="Normal1linespace"/>
              <w:widowControl w:val="0"/>
              <w:jc w:val="left"/>
            </w:pPr>
            <w:r>
              <w:t>Date of judgment:</w:t>
            </w:r>
          </w:p>
        </w:tc>
        <w:tc>
          <w:tcPr>
            <w:tcW w:w="5989" w:type="dxa"/>
            <w:shd w:val="clear" w:color="auto" w:fill="auto"/>
          </w:tcPr>
          <w:p w14:paraId="5704DD14" w14:textId="1072D410" w:rsidR="00395B24" w:rsidRDefault="009F043A" w:rsidP="00663878">
            <w:pPr>
              <w:pStyle w:val="Normal1linespace"/>
              <w:widowControl w:val="0"/>
              <w:jc w:val="left"/>
            </w:pPr>
            <w:bookmarkStart w:id="1" w:name="JudgmentDate"/>
            <w:r>
              <w:t>15</w:t>
            </w:r>
            <w:r w:rsidR="00486162">
              <w:t xml:space="preserve"> September 2021</w:t>
            </w:r>
            <w:bookmarkEnd w:id="1"/>
          </w:p>
        </w:tc>
      </w:tr>
      <w:tr w:rsidR="00395B24" w14:paraId="07127D10" w14:textId="77777777" w:rsidTr="00EC3099">
        <w:tc>
          <w:tcPr>
            <w:tcW w:w="3084" w:type="dxa"/>
            <w:shd w:val="clear" w:color="auto" w:fill="auto"/>
          </w:tcPr>
          <w:p w14:paraId="16F7B800" w14:textId="77777777" w:rsidR="00395B24" w:rsidRDefault="00395B24" w:rsidP="00663878">
            <w:pPr>
              <w:pStyle w:val="Normal1linespace"/>
              <w:widowControl w:val="0"/>
              <w:jc w:val="left"/>
            </w:pPr>
          </w:p>
        </w:tc>
        <w:tc>
          <w:tcPr>
            <w:tcW w:w="5989" w:type="dxa"/>
            <w:shd w:val="clear" w:color="auto" w:fill="auto"/>
          </w:tcPr>
          <w:p w14:paraId="385A9BA9" w14:textId="77777777" w:rsidR="00395B24" w:rsidRDefault="00395B24" w:rsidP="00663878">
            <w:pPr>
              <w:pStyle w:val="Normal1linespace"/>
              <w:widowControl w:val="0"/>
              <w:jc w:val="left"/>
            </w:pPr>
          </w:p>
        </w:tc>
      </w:tr>
      <w:tr w:rsidR="00395B24" w14:paraId="4453FB01" w14:textId="77777777" w:rsidTr="00EC3099">
        <w:tc>
          <w:tcPr>
            <w:tcW w:w="3084" w:type="dxa"/>
            <w:shd w:val="clear" w:color="auto" w:fill="auto"/>
          </w:tcPr>
          <w:p w14:paraId="6B547A0B" w14:textId="77777777" w:rsidR="00395B24" w:rsidRDefault="002C7385" w:rsidP="00663878">
            <w:pPr>
              <w:pStyle w:val="Normal1linespace"/>
              <w:widowControl w:val="0"/>
              <w:jc w:val="left"/>
            </w:pPr>
            <w:r>
              <w:t>Catchwords:</w:t>
            </w:r>
          </w:p>
        </w:tc>
        <w:tc>
          <w:tcPr>
            <w:tcW w:w="5989" w:type="dxa"/>
            <w:shd w:val="clear" w:color="auto" w:fill="auto"/>
          </w:tcPr>
          <w:p w14:paraId="22DAF0C8" w14:textId="77777777" w:rsidR="00395B24" w:rsidRDefault="00A54A00" w:rsidP="00767F41">
            <w:pPr>
              <w:pStyle w:val="Normal1linespace"/>
              <w:widowControl w:val="0"/>
              <w:jc w:val="left"/>
            </w:pPr>
            <w:bookmarkStart w:id="2" w:name="Catchwords"/>
            <w:r w:rsidRPr="00A54A00">
              <w:rPr>
                <w:b/>
              </w:rPr>
              <w:t>PRACTICE AND PROCEDURE</w:t>
            </w:r>
            <w:r>
              <w:t xml:space="preserve"> – costs – </w:t>
            </w:r>
            <w:r w:rsidR="00C9435B">
              <w:t>appeal</w:t>
            </w:r>
            <w:r>
              <w:t xml:space="preserve"> – where </w:t>
            </w:r>
            <w:r w:rsidR="00C9435B">
              <w:t xml:space="preserve">appellant unsuccessful in its infringement case and in its validity case regarding two out of three patents – where </w:t>
            </w:r>
            <w:r w:rsidR="00767F41">
              <w:t xml:space="preserve">appellant successful in relation to the </w:t>
            </w:r>
            <w:r w:rsidR="00C9435B">
              <w:t>validity of one patent</w:t>
            </w:r>
            <w:r w:rsidR="002C7385">
              <w:t xml:space="preserve"> </w:t>
            </w:r>
            <w:bookmarkEnd w:id="2"/>
          </w:p>
        </w:tc>
      </w:tr>
      <w:tr w:rsidR="00395B24" w14:paraId="06A22BCF" w14:textId="77777777" w:rsidTr="00EC3099">
        <w:tc>
          <w:tcPr>
            <w:tcW w:w="3084" w:type="dxa"/>
            <w:shd w:val="clear" w:color="auto" w:fill="auto"/>
          </w:tcPr>
          <w:p w14:paraId="64D120BD" w14:textId="77777777" w:rsidR="00395B24" w:rsidRDefault="00395B24" w:rsidP="00663878">
            <w:pPr>
              <w:pStyle w:val="Normal1linespace"/>
              <w:widowControl w:val="0"/>
              <w:jc w:val="left"/>
            </w:pPr>
          </w:p>
        </w:tc>
        <w:tc>
          <w:tcPr>
            <w:tcW w:w="5989" w:type="dxa"/>
            <w:shd w:val="clear" w:color="auto" w:fill="auto"/>
          </w:tcPr>
          <w:p w14:paraId="45E1E886" w14:textId="77777777" w:rsidR="00395B24" w:rsidRDefault="00395B24" w:rsidP="00663878">
            <w:pPr>
              <w:pStyle w:val="Normal1linespace"/>
              <w:widowControl w:val="0"/>
              <w:jc w:val="left"/>
            </w:pPr>
          </w:p>
        </w:tc>
      </w:tr>
      <w:tr w:rsidR="00395B24" w14:paraId="191C6985" w14:textId="77777777" w:rsidTr="00EC3099">
        <w:tc>
          <w:tcPr>
            <w:tcW w:w="3084" w:type="dxa"/>
            <w:shd w:val="clear" w:color="auto" w:fill="auto"/>
          </w:tcPr>
          <w:p w14:paraId="1677507C" w14:textId="77777777" w:rsidR="00395B24" w:rsidRDefault="002C7385" w:rsidP="00663878">
            <w:pPr>
              <w:pStyle w:val="Normal1linespace"/>
              <w:widowControl w:val="0"/>
              <w:jc w:val="left"/>
            </w:pPr>
            <w:r>
              <w:t>Cases cited:</w:t>
            </w:r>
          </w:p>
        </w:tc>
        <w:tc>
          <w:tcPr>
            <w:tcW w:w="5989" w:type="dxa"/>
            <w:shd w:val="clear" w:color="auto" w:fill="auto"/>
          </w:tcPr>
          <w:p w14:paraId="7A5765EE" w14:textId="77777777" w:rsidR="009434F9" w:rsidRDefault="009434F9" w:rsidP="00D82620">
            <w:pPr>
              <w:pStyle w:val="CasesLegislationAppealFrom"/>
              <w:spacing w:after="60"/>
            </w:pPr>
            <w:bookmarkStart w:id="3" w:name="Cases_Cited"/>
            <w:r>
              <w:rPr>
                <w:i/>
              </w:rPr>
              <w:t xml:space="preserve">BlueScope Steel Limited v </w:t>
            </w:r>
            <w:proofErr w:type="spellStart"/>
            <w:r>
              <w:rPr>
                <w:i/>
              </w:rPr>
              <w:t>Dongkuk</w:t>
            </w:r>
            <w:proofErr w:type="spellEnd"/>
            <w:r>
              <w:rPr>
                <w:i/>
              </w:rPr>
              <w:t xml:space="preserve"> Steel Mill Co Ltd (No 3)</w:t>
            </w:r>
            <w:r>
              <w:t xml:space="preserve"> [2020] FCA 113</w:t>
            </w:r>
          </w:p>
          <w:p w14:paraId="05EE6735" w14:textId="77777777" w:rsidR="009434F9" w:rsidRDefault="009434F9" w:rsidP="00D82620">
            <w:pPr>
              <w:pStyle w:val="CasesLegislationAppealFrom"/>
              <w:spacing w:after="60"/>
            </w:pPr>
            <w:r>
              <w:rPr>
                <w:i/>
              </w:rPr>
              <w:t xml:space="preserve">Federal Treasury Enterprise (FKP) </w:t>
            </w:r>
            <w:proofErr w:type="spellStart"/>
            <w:r>
              <w:rPr>
                <w:i/>
              </w:rPr>
              <w:t>Sojuzplodoimport</w:t>
            </w:r>
            <w:proofErr w:type="spellEnd"/>
            <w:r>
              <w:rPr>
                <w:i/>
              </w:rPr>
              <w:t xml:space="preserve"> v Spirits International B.V. (No 2)</w:t>
            </w:r>
            <w:r>
              <w:t xml:space="preserve"> [2021] FCAFC 120</w:t>
            </w:r>
          </w:p>
          <w:p w14:paraId="25FA0697" w14:textId="77777777" w:rsidR="009434F9" w:rsidRDefault="009434F9" w:rsidP="00D82620">
            <w:pPr>
              <w:pStyle w:val="CasesLegislationAppealFrom"/>
              <w:spacing w:after="60"/>
            </w:pPr>
            <w:r>
              <w:rPr>
                <w:i/>
              </w:rPr>
              <w:t>Fuchs Lubricants (Australasia) Pty Ltd v Quaker Chemical (Australasia) Pty Ltd (No 2)</w:t>
            </w:r>
            <w:r>
              <w:t xml:space="preserve"> [2021] FCAFC 114</w:t>
            </w:r>
          </w:p>
          <w:p w14:paraId="03DB9A63" w14:textId="77777777" w:rsidR="009434F9" w:rsidRDefault="009434F9" w:rsidP="00D82620">
            <w:pPr>
              <w:pStyle w:val="CasesLegislationAppealFrom"/>
              <w:spacing w:after="60"/>
            </w:pPr>
            <w:r>
              <w:rPr>
                <w:i/>
              </w:rPr>
              <w:t xml:space="preserve">Les </w:t>
            </w:r>
            <w:proofErr w:type="spellStart"/>
            <w:r>
              <w:rPr>
                <w:i/>
              </w:rPr>
              <w:t>Laboratoires</w:t>
            </w:r>
            <w:proofErr w:type="spellEnd"/>
            <w:r>
              <w:rPr>
                <w:i/>
              </w:rPr>
              <w:t xml:space="preserve"> </w:t>
            </w:r>
            <w:proofErr w:type="spellStart"/>
            <w:r>
              <w:rPr>
                <w:i/>
              </w:rPr>
              <w:t>Servier</w:t>
            </w:r>
            <w:proofErr w:type="spellEnd"/>
            <w:r>
              <w:rPr>
                <w:i/>
              </w:rPr>
              <w:t xml:space="preserve"> v </w:t>
            </w:r>
            <w:proofErr w:type="spellStart"/>
            <w:r>
              <w:rPr>
                <w:i/>
              </w:rPr>
              <w:t>Apotex</w:t>
            </w:r>
            <w:proofErr w:type="spellEnd"/>
            <w:r>
              <w:rPr>
                <w:i/>
              </w:rPr>
              <w:t xml:space="preserve"> Pty Ltd</w:t>
            </w:r>
            <w:r>
              <w:t xml:space="preserve"> (2016) 247 FCR 61</w:t>
            </w:r>
          </w:p>
          <w:p w14:paraId="1ABE7F0A" w14:textId="77777777" w:rsidR="00395B24" w:rsidRDefault="009434F9" w:rsidP="009434F9">
            <w:pPr>
              <w:pStyle w:val="CasesLegislationAppealFrom"/>
              <w:spacing w:after="60"/>
            </w:pPr>
            <w:proofErr w:type="spellStart"/>
            <w:r>
              <w:rPr>
                <w:i/>
              </w:rPr>
              <w:t>Sandvik</w:t>
            </w:r>
            <w:proofErr w:type="spellEnd"/>
            <w:r>
              <w:rPr>
                <w:i/>
              </w:rPr>
              <w:t xml:space="preserve"> Intellectual Property AB v Quarry Mining &amp; Construction Equipment Pty Ltd (No 2)</w:t>
            </w:r>
            <w:r>
              <w:t xml:space="preserve"> [2017] FCAFC 158</w:t>
            </w:r>
            <w:r w:rsidR="002C7385">
              <w:t xml:space="preserve"> </w:t>
            </w:r>
            <w:bookmarkEnd w:id="3"/>
          </w:p>
        </w:tc>
      </w:tr>
      <w:tr w:rsidR="00D4601A" w14:paraId="1649EEAB" w14:textId="77777777" w:rsidTr="00EC3099">
        <w:tc>
          <w:tcPr>
            <w:tcW w:w="3084" w:type="dxa"/>
            <w:shd w:val="clear" w:color="auto" w:fill="auto"/>
          </w:tcPr>
          <w:p w14:paraId="7208C058" w14:textId="77777777" w:rsidR="00D4601A" w:rsidRDefault="00D4601A" w:rsidP="002F7154">
            <w:pPr>
              <w:pStyle w:val="Normal1linespace"/>
              <w:widowControl w:val="0"/>
            </w:pPr>
          </w:p>
        </w:tc>
        <w:tc>
          <w:tcPr>
            <w:tcW w:w="5989" w:type="dxa"/>
            <w:shd w:val="clear" w:color="auto" w:fill="auto"/>
          </w:tcPr>
          <w:p w14:paraId="54C7F68A" w14:textId="77777777" w:rsidR="00D4601A" w:rsidRDefault="00D4601A" w:rsidP="002F7154">
            <w:pPr>
              <w:pStyle w:val="Normal1linespace"/>
              <w:widowControl w:val="0"/>
              <w:jc w:val="left"/>
            </w:pPr>
          </w:p>
        </w:tc>
      </w:tr>
      <w:tr w:rsidR="00D4601A" w14:paraId="381898FC" w14:textId="77777777" w:rsidTr="00EC3099">
        <w:tc>
          <w:tcPr>
            <w:tcW w:w="3084" w:type="dxa"/>
            <w:shd w:val="clear" w:color="auto" w:fill="auto"/>
          </w:tcPr>
          <w:p w14:paraId="2D55C421" w14:textId="77777777" w:rsidR="00D4601A" w:rsidRDefault="00D4601A" w:rsidP="00501A12">
            <w:pPr>
              <w:pStyle w:val="Normal1linespace"/>
              <w:widowControl w:val="0"/>
            </w:pPr>
            <w:r>
              <w:t>Division:</w:t>
            </w:r>
          </w:p>
        </w:tc>
        <w:tc>
          <w:tcPr>
            <w:tcW w:w="5989" w:type="dxa"/>
            <w:shd w:val="clear" w:color="auto" w:fill="auto"/>
          </w:tcPr>
          <w:p w14:paraId="4E51EDB2" w14:textId="77777777" w:rsidR="00D4601A" w:rsidRPr="00F17599" w:rsidRDefault="009B3C18" w:rsidP="00501A12">
            <w:pPr>
              <w:pStyle w:val="Normal1linespace"/>
              <w:widowControl w:val="0"/>
              <w:jc w:val="left"/>
            </w:pPr>
            <w:fldSimple w:instr=" DOCPROPERTY  Division ">
              <w:r w:rsidR="00486162">
                <w:t>General Division</w:t>
              </w:r>
            </w:fldSimple>
          </w:p>
        </w:tc>
      </w:tr>
      <w:tr w:rsidR="00D4601A" w14:paraId="0FA8DF7B" w14:textId="77777777" w:rsidTr="00EC3099">
        <w:tc>
          <w:tcPr>
            <w:tcW w:w="3084" w:type="dxa"/>
            <w:shd w:val="clear" w:color="auto" w:fill="auto"/>
          </w:tcPr>
          <w:p w14:paraId="22B1D4CA" w14:textId="77777777" w:rsidR="00D4601A" w:rsidRDefault="00D4601A" w:rsidP="00501A12">
            <w:pPr>
              <w:pStyle w:val="Normal1linespace"/>
              <w:widowControl w:val="0"/>
            </w:pPr>
            <w:bookmarkStart w:id="4" w:name="Registry_rows" w:colFirst="0" w:colLast="1"/>
          </w:p>
        </w:tc>
        <w:tc>
          <w:tcPr>
            <w:tcW w:w="5989" w:type="dxa"/>
            <w:shd w:val="clear" w:color="auto" w:fill="auto"/>
          </w:tcPr>
          <w:p w14:paraId="1B3D09AD" w14:textId="77777777" w:rsidR="00D4601A" w:rsidRDefault="00D4601A" w:rsidP="00501A12">
            <w:pPr>
              <w:pStyle w:val="Normal1linespace"/>
              <w:widowControl w:val="0"/>
              <w:jc w:val="left"/>
            </w:pPr>
          </w:p>
        </w:tc>
      </w:tr>
      <w:tr w:rsidR="00D4601A" w14:paraId="7DCB1E67" w14:textId="77777777" w:rsidTr="00EC3099">
        <w:tc>
          <w:tcPr>
            <w:tcW w:w="3084" w:type="dxa"/>
            <w:shd w:val="clear" w:color="auto" w:fill="auto"/>
          </w:tcPr>
          <w:p w14:paraId="5C923CE9" w14:textId="77777777" w:rsidR="00D4601A" w:rsidRDefault="00D4601A" w:rsidP="00501A12">
            <w:pPr>
              <w:pStyle w:val="Normal1linespace"/>
              <w:widowControl w:val="0"/>
            </w:pPr>
            <w:r>
              <w:t>Registry:</w:t>
            </w:r>
          </w:p>
        </w:tc>
        <w:tc>
          <w:tcPr>
            <w:tcW w:w="5989" w:type="dxa"/>
            <w:shd w:val="clear" w:color="auto" w:fill="auto"/>
          </w:tcPr>
          <w:p w14:paraId="71379E91" w14:textId="77777777" w:rsidR="00D4601A" w:rsidRPr="00F17599" w:rsidRDefault="009B3C18" w:rsidP="00501A12">
            <w:pPr>
              <w:pStyle w:val="Normal1linespace"/>
              <w:widowControl w:val="0"/>
              <w:jc w:val="left"/>
            </w:pPr>
            <w:fldSimple w:instr=" DOCPROPERTY  Registry ">
              <w:r w:rsidR="00486162">
                <w:t>New South Wales</w:t>
              </w:r>
            </w:fldSimple>
          </w:p>
        </w:tc>
      </w:tr>
      <w:tr w:rsidR="00D4601A" w14:paraId="12010509" w14:textId="77777777" w:rsidTr="00EC3099">
        <w:tc>
          <w:tcPr>
            <w:tcW w:w="3084" w:type="dxa"/>
            <w:shd w:val="clear" w:color="auto" w:fill="auto"/>
          </w:tcPr>
          <w:p w14:paraId="745A4DD3" w14:textId="77777777" w:rsidR="00D4601A" w:rsidRDefault="00D4601A" w:rsidP="00501A12">
            <w:pPr>
              <w:pStyle w:val="Normal1linespace"/>
              <w:widowControl w:val="0"/>
            </w:pPr>
            <w:bookmarkStart w:id="5" w:name="NPARow" w:colFirst="0" w:colLast="1"/>
            <w:bookmarkEnd w:id="4"/>
          </w:p>
        </w:tc>
        <w:tc>
          <w:tcPr>
            <w:tcW w:w="5989" w:type="dxa"/>
            <w:shd w:val="clear" w:color="auto" w:fill="auto"/>
          </w:tcPr>
          <w:p w14:paraId="476893F5" w14:textId="77777777" w:rsidR="00D4601A" w:rsidRPr="00F17599" w:rsidRDefault="00D4601A" w:rsidP="00501A12">
            <w:pPr>
              <w:pStyle w:val="Normal1linespace"/>
              <w:widowControl w:val="0"/>
              <w:jc w:val="left"/>
              <w:rPr>
                <w:b/>
              </w:rPr>
            </w:pPr>
          </w:p>
        </w:tc>
      </w:tr>
      <w:tr w:rsidR="00D4601A" w14:paraId="1D51F682" w14:textId="77777777" w:rsidTr="00EC3099">
        <w:tc>
          <w:tcPr>
            <w:tcW w:w="3084" w:type="dxa"/>
            <w:shd w:val="clear" w:color="auto" w:fill="auto"/>
          </w:tcPr>
          <w:p w14:paraId="4C2AD461" w14:textId="77777777" w:rsidR="00D4601A" w:rsidRDefault="00D4601A" w:rsidP="00501A12">
            <w:pPr>
              <w:pStyle w:val="Normal1linespace"/>
              <w:widowControl w:val="0"/>
            </w:pPr>
            <w:r>
              <w:t>National Practice Area:</w:t>
            </w:r>
          </w:p>
        </w:tc>
        <w:tc>
          <w:tcPr>
            <w:tcW w:w="5989" w:type="dxa"/>
            <w:shd w:val="clear" w:color="auto" w:fill="auto"/>
          </w:tcPr>
          <w:p w14:paraId="22226A3A" w14:textId="77777777" w:rsidR="00D4601A" w:rsidRPr="00F17599" w:rsidRDefault="009B3C18" w:rsidP="00171DBB">
            <w:pPr>
              <w:pStyle w:val="Normal1linespace"/>
              <w:widowControl w:val="0"/>
              <w:jc w:val="left"/>
              <w:rPr>
                <w:b/>
              </w:rPr>
            </w:pPr>
            <w:fldSimple w:instr=" DOCPROPERTY  &quot;Practice Area&quot;  \* MERGEFORMAT ">
              <w:r w:rsidR="00486162">
                <w:t>Intellectual Property</w:t>
              </w:r>
            </w:fldSimple>
          </w:p>
        </w:tc>
      </w:tr>
      <w:tr w:rsidR="00D4601A" w14:paraId="38C6D7AD" w14:textId="77777777" w:rsidTr="00EC3099">
        <w:tc>
          <w:tcPr>
            <w:tcW w:w="3084" w:type="dxa"/>
            <w:shd w:val="clear" w:color="auto" w:fill="auto"/>
          </w:tcPr>
          <w:p w14:paraId="6C6A9EFB" w14:textId="77777777" w:rsidR="00D4601A" w:rsidRDefault="00D4601A" w:rsidP="00501A12">
            <w:pPr>
              <w:pStyle w:val="Normal1linespace"/>
              <w:widowControl w:val="0"/>
            </w:pPr>
            <w:bookmarkStart w:id="6" w:name="SubAreaRow" w:colFirst="0" w:colLast="1"/>
            <w:bookmarkEnd w:id="5"/>
          </w:p>
        </w:tc>
        <w:tc>
          <w:tcPr>
            <w:tcW w:w="5989" w:type="dxa"/>
            <w:shd w:val="clear" w:color="auto" w:fill="auto"/>
          </w:tcPr>
          <w:p w14:paraId="51620782" w14:textId="77777777" w:rsidR="00D4601A" w:rsidRDefault="00D4601A" w:rsidP="00171DBB">
            <w:pPr>
              <w:pStyle w:val="Normal1linespace"/>
              <w:widowControl w:val="0"/>
              <w:jc w:val="left"/>
            </w:pPr>
          </w:p>
        </w:tc>
      </w:tr>
      <w:tr w:rsidR="00D4601A" w14:paraId="59BCCD39" w14:textId="77777777" w:rsidTr="00EC3099">
        <w:tc>
          <w:tcPr>
            <w:tcW w:w="3084" w:type="dxa"/>
            <w:shd w:val="clear" w:color="auto" w:fill="auto"/>
          </w:tcPr>
          <w:p w14:paraId="3F4CCC55" w14:textId="77777777" w:rsidR="00D4601A" w:rsidRDefault="00D4601A" w:rsidP="00501A12">
            <w:pPr>
              <w:pStyle w:val="Normal1linespace"/>
              <w:widowControl w:val="0"/>
            </w:pPr>
            <w:r>
              <w:t>Sub-area:</w:t>
            </w:r>
          </w:p>
        </w:tc>
        <w:tc>
          <w:tcPr>
            <w:tcW w:w="5989" w:type="dxa"/>
            <w:shd w:val="clear" w:color="auto" w:fill="auto"/>
          </w:tcPr>
          <w:p w14:paraId="0047B379" w14:textId="77777777" w:rsidR="00D4601A" w:rsidRPr="00837288" w:rsidRDefault="009B3C18" w:rsidP="00435936">
            <w:pPr>
              <w:pStyle w:val="Normal1linespace"/>
              <w:widowControl w:val="0"/>
              <w:jc w:val="left"/>
            </w:pPr>
            <w:fldSimple w:instr=" DOCPROPERTY  &quot;Sub Area&quot;  \* MERGEFORMAT ">
              <w:r w:rsidR="00486162" w:rsidRPr="00486162">
                <w:rPr>
                  <w:lang w:val="en-US"/>
                </w:rPr>
                <w:t>Patents and associated</w:t>
              </w:r>
              <w:r w:rsidR="00486162">
                <w:t xml:space="preserve"> Statutes</w:t>
              </w:r>
            </w:fldSimple>
          </w:p>
        </w:tc>
      </w:tr>
      <w:bookmarkEnd w:id="6"/>
      <w:tr w:rsidR="00D4601A" w14:paraId="6B358FC6" w14:textId="77777777" w:rsidTr="00EC3099">
        <w:tc>
          <w:tcPr>
            <w:tcW w:w="3084" w:type="dxa"/>
            <w:shd w:val="clear" w:color="auto" w:fill="auto"/>
          </w:tcPr>
          <w:p w14:paraId="3B19DA40" w14:textId="77777777" w:rsidR="00D4601A" w:rsidRDefault="00D4601A" w:rsidP="00501A12">
            <w:pPr>
              <w:pStyle w:val="Normal1linespace"/>
              <w:widowControl w:val="0"/>
            </w:pPr>
          </w:p>
        </w:tc>
        <w:tc>
          <w:tcPr>
            <w:tcW w:w="5989" w:type="dxa"/>
            <w:shd w:val="clear" w:color="auto" w:fill="auto"/>
          </w:tcPr>
          <w:p w14:paraId="69D6A99B" w14:textId="77777777" w:rsidR="00D4601A" w:rsidRDefault="00D4601A" w:rsidP="00501A12">
            <w:pPr>
              <w:pStyle w:val="Normal1linespace"/>
              <w:widowControl w:val="0"/>
              <w:jc w:val="left"/>
            </w:pPr>
          </w:p>
        </w:tc>
      </w:tr>
      <w:tr w:rsidR="00D4601A" w14:paraId="3B36E694" w14:textId="77777777" w:rsidTr="00EC3099">
        <w:tc>
          <w:tcPr>
            <w:tcW w:w="3084" w:type="dxa"/>
            <w:shd w:val="clear" w:color="auto" w:fill="auto"/>
          </w:tcPr>
          <w:p w14:paraId="00D9916D" w14:textId="77777777" w:rsidR="00D4601A" w:rsidRDefault="00D4601A" w:rsidP="00501A12">
            <w:pPr>
              <w:pStyle w:val="Normal1linespace"/>
              <w:widowControl w:val="0"/>
            </w:pPr>
            <w:r>
              <w:t>Number of paragraphs:</w:t>
            </w:r>
          </w:p>
        </w:tc>
        <w:tc>
          <w:tcPr>
            <w:tcW w:w="5989" w:type="dxa"/>
            <w:shd w:val="clear" w:color="auto" w:fill="auto"/>
          </w:tcPr>
          <w:p w14:paraId="35ACA4B1" w14:textId="37511168" w:rsidR="00D4601A" w:rsidRDefault="00155741" w:rsidP="00501A12">
            <w:pPr>
              <w:pStyle w:val="Normal1linespace"/>
              <w:widowControl w:val="0"/>
              <w:jc w:val="left"/>
            </w:pPr>
            <w:bookmarkStart w:id="7" w:name="PlaceCategoryParagraphs"/>
            <w:r>
              <w:t>12</w:t>
            </w:r>
            <w:bookmarkEnd w:id="7"/>
          </w:p>
        </w:tc>
      </w:tr>
      <w:tr w:rsidR="00D4601A" w14:paraId="69C8B4DF" w14:textId="77777777" w:rsidTr="00EC3099">
        <w:tc>
          <w:tcPr>
            <w:tcW w:w="3084" w:type="dxa"/>
            <w:shd w:val="clear" w:color="auto" w:fill="auto"/>
          </w:tcPr>
          <w:p w14:paraId="44389D9F" w14:textId="77777777" w:rsidR="00D4601A" w:rsidRDefault="00D4601A" w:rsidP="00D4601A">
            <w:pPr>
              <w:pStyle w:val="Normal1linespace"/>
              <w:widowControl w:val="0"/>
              <w:jc w:val="left"/>
            </w:pPr>
          </w:p>
        </w:tc>
        <w:tc>
          <w:tcPr>
            <w:tcW w:w="5989" w:type="dxa"/>
            <w:shd w:val="clear" w:color="auto" w:fill="auto"/>
          </w:tcPr>
          <w:p w14:paraId="4B03BF24" w14:textId="77777777" w:rsidR="00D4601A" w:rsidRDefault="00D4601A" w:rsidP="00D4601A">
            <w:pPr>
              <w:pStyle w:val="Normal1linespace"/>
              <w:widowControl w:val="0"/>
              <w:jc w:val="left"/>
            </w:pPr>
          </w:p>
        </w:tc>
      </w:tr>
      <w:tr w:rsidR="00D4601A" w14:paraId="60B4407D" w14:textId="77777777" w:rsidTr="00EC3099">
        <w:tc>
          <w:tcPr>
            <w:tcW w:w="3084" w:type="dxa"/>
            <w:shd w:val="clear" w:color="auto" w:fill="auto"/>
          </w:tcPr>
          <w:p w14:paraId="53CFC553" w14:textId="77777777" w:rsidR="00D4601A" w:rsidRDefault="00D4601A" w:rsidP="00D4601A">
            <w:pPr>
              <w:pStyle w:val="Normal1linespace"/>
              <w:widowControl w:val="0"/>
              <w:jc w:val="left"/>
            </w:pPr>
            <w:r>
              <w:t>Date of last submissions:</w:t>
            </w:r>
          </w:p>
        </w:tc>
        <w:tc>
          <w:tcPr>
            <w:tcW w:w="5989" w:type="dxa"/>
            <w:shd w:val="clear" w:color="auto" w:fill="auto"/>
          </w:tcPr>
          <w:p w14:paraId="64D1D3B9" w14:textId="77777777" w:rsidR="00D4601A" w:rsidRDefault="00D4601A" w:rsidP="00D4601A">
            <w:pPr>
              <w:pStyle w:val="Normal1linespace"/>
              <w:widowControl w:val="0"/>
              <w:jc w:val="left"/>
            </w:pPr>
            <w:r>
              <w:t>14 July 2021</w:t>
            </w:r>
          </w:p>
        </w:tc>
      </w:tr>
      <w:tr w:rsidR="00D4601A" w14:paraId="0A92AF5A" w14:textId="77777777" w:rsidTr="00EC3099">
        <w:tc>
          <w:tcPr>
            <w:tcW w:w="3084" w:type="dxa"/>
            <w:shd w:val="clear" w:color="auto" w:fill="auto"/>
          </w:tcPr>
          <w:p w14:paraId="7E1AE4E8" w14:textId="77777777" w:rsidR="00D4601A" w:rsidRDefault="00D4601A" w:rsidP="00D4601A">
            <w:pPr>
              <w:pStyle w:val="Normal1linespace"/>
              <w:widowControl w:val="0"/>
              <w:jc w:val="left"/>
            </w:pPr>
          </w:p>
        </w:tc>
        <w:tc>
          <w:tcPr>
            <w:tcW w:w="5989" w:type="dxa"/>
            <w:shd w:val="clear" w:color="auto" w:fill="auto"/>
          </w:tcPr>
          <w:p w14:paraId="68CC8EE4" w14:textId="77777777" w:rsidR="00D4601A" w:rsidRDefault="00D4601A" w:rsidP="00D4601A">
            <w:pPr>
              <w:pStyle w:val="Normal1linespace"/>
              <w:widowControl w:val="0"/>
              <w:jc w:val="left"/>
            </w:pPr>
          </w:p>
        </w:tc>
      </w:tr>
      <w:tr w:rsidR="00D4601A" w14:paraId="211750E8" w14:textId="77777777" w:rsidTr="00EC3099">
        <w:tc>
          <w:tcPr>
            <w:tcW w:w="3084" w:type="dxa"/>
            <w:shd w:val="clear" w:color="auto" w:fill="auto"/>
          </w:tcPr>
          <w:p w14:paraId="385DC01A" w14:textId="77777777" w:rsidR="00D4601A" w:rsidRDefault="00D4601A" w:rsidP="00D4601A">
            <w:pPr>
              <w:pStyle w:val="Normal1linespace"/>
              <w:widowControl w:val="0"/>
              <w:jc w:val="left"/>
            </w:pPr>
            <w:bookmarkStart w:id="8" w:name="CounselDate" w:colFirst="0" w:colLast="2"/>
            <w:r w:rsidRPr="006A24E3">
              <w:t>Date of hearing:</w:t>
            </w:r>
          </w:p>
        </w:tc>
        <w:tc>
          <w:tcPr>
            <w:tcW w:w="5989" w:type="dxa"/>
            <w:shd w:val="clear" w:color="auto" w:fill="auto"/>
          </w:tcPr>
          <w:p w14:paraId="7F9F65F4" w14:textId="77777777" w:rsidR="00D4601A" w:rsidRDefault="00D4601A" w:rsidP="00D4601A">
            <w:pPr>
              <w:pStyle w:val="Normal1linespace"/>
              <w:widowControl w:val="0"/>
              <w:jc w:val="left"/>
            </w:pPr>
            <w:bookmarkStart w:id="9" w:name="HearingDate"/>
            <w:r>
              <w:t xml:space="preserve">Determined on the papers </w:t>
            </w:r>
            <w:bookmarkEnd w:id="9"/>
          </w:p>
        </w:tc>
      </w:tr>
      <w:tr w:rsidR="00D4601A" w14:paraId="23053D94" w14:textId="77777777" w:rsidTr="00EC3099">
        <w:tc>
          <w:tcPr>
            <w:tcW w:w="3084" w:type="dxa"/>
            <w:shd w:val="clear" w:color="auto" w:fill="auto"/>
          </w:tcPr>
          <w:p w14:paraId="16879326" w14:textId="77777777" w:rsidR="00D4601A" w:rsidRDefault="00D4601A" w:rsidP="00D4601A">
            <w:pPr>
              <w:pStyle w:val="Normal1linespace"/>
              <w:widowControl w:val="0"/>
              <w:jc w:val="left"/>
            </w:pPr>
          </w:p>
        </w:tc>
        <w:tc>
          <w:tcPr>
            <w:tcW w:w="5989" w:type="dxa"/>
            <w:shd w:val="clear" w:color="auto" w:fill="auto"/>
          </w:tcPr>
          <w:p w14:paraId="6A24DB7D" w14:textId="77777777" w:rsidR="00D4601A" w:rsidRDefault="00D4601A" w:rsidP="00D4601A">
            <w:pPr>
              <w:pStyle w:val="Normal1linespace"/>
              <w:widowControl w:val="0"/>
              <w:jc w:val="left"/>
            </w:pPr>
          </w:p>
        </w:tc>
      </w:tr>
      <w:tr w:rsidR="00EC3099" w14:paraId="451AD563" w14:textId="77777777" w:rsidTr="00C23C02">
        <w:tc>
          <w:tcPr>
            <w:tcW w:w="3084" w:type="dxa"/>
            <w:shd w:val="clear" w:color="auto" w:fill="auto"/>
          </w:tcPr>
          <w:p w14:paraId="1B181136" w14:textId="77777777" w:rsidR="00EC3099" w:rsidRDefault="00821AE9" w:rsidP="00EC3099">
            <w:pPr>
              <w:pStyle w:val="Normal1linespace"/>
              <w:widowControl w:val="0"/>
              <w:jc w:val="left"/>
            </w:pPr>
            <w:bookmarkStart w:id="10" w:name="Counsel" w:colFirst="0" w:colLast="2"/>
            <w:bookmarkEnd w:id="8"/>
            <w:r>
              <w:t>Counsel for the Appellant:</w:t>
            </w:r>
          </w:p>
        </w:tc>
        <w:tc>
          <w:tcPr>
            <w:tcW w:w="5989" w:type="dxa"/>
            <w:shd w:val="clear" w:color="auto" w:fill="auto"/>
          </w:tcPr>
          <w:p w14:paraId="0559122C" w14:textId="77777777" w:rsidR="00EC3099" w:rsidRDefault="00821AE9" w:rsidP="00EC3099">
            <w:pPr>
              <w:pStyle w:val="Normal1linespace"/>
              <w:widowControl w:val="0"/>
              <w:jc w:val="left"/>
            </w:pPr>
            <w:bookmarkStart w:id="11" w:name="AppCounsel"/>
            <w:bookmarkEnd w:id="11"/>
            <w:r>
              <w:t>AR Lang S.C.</w:t>
            </w:r>
          </w:p>
        </w:tc>
      </w:tr>
      <w:tr w:rsidR="00EC3099" w14:paraId="1B6D46B4" w14:textId="77777777" w:rsidTr="00C23C02">
        <w:tc>
          <w:tcPr>
            <w:tcW w:w="3084" w:type="dxa"/>
            <w:shd w:val="clear" w:color="auto" w:fill="auto"/>
          </w:tcPr>
          <w:p w14:paraId="317901AB" w14:textId="77777777" w:rsidR="00EC3099" w:rsidRDefault="00EC3099" w:rsidP="00EC3099">
            <w:pPr>
              <w:pStyle w:val="Normal1linespace"/>
              <w:widowControl w:val="0"/>
              <w:jc w:val="left"/>
            </w:pPr>
          </w:p>
        </w:tc>
        <w:tc>
          <w:tcPr>
            <w:tcW w:w="5989" w:type="dxa"/>
            <w:shd w:val="clear" w:color="auto" w:fill="auto"/>
          </w:tcPr>
          <w:p w14:paraId="0A41DAA3" w14:textId="77777777" w:rsidR="00EC3099" w:rsidRDefault="00EC3099" w:rsidP="00EC3099">
            <w:pPr>
              <w:pStyle w:val="Normal1linespace"/>
              <w:widowControl w:val="0"/>
              <w:jc w:val="left"/>
            </w:pPr>
          </w:p>
        </w:tc>
      </w:tr>
      <w:tr w:rsidR="00EC3099" w14:paraId="2C1B009E" w14:textId="77777777" w:rsidTr="00C23C02">
        <w:tc>
          <w:tcPr>
            <w:tcW w:w="3084" w:type="dxa"/>
            <w:shd w:val="clear" w:color="auto" w:fill="auto"/>
          </w:tcPr>
          <w:p w14:paraId="4A3E36AA" w14:textId="77777777" w:rsidR="00EC3099" w:rsidRDefault="00821AE9" w:rsidP="00EC3099">
            <w:pPr>
              <w:pStyle w:val="Normal1linespace"/>
              <w:widowControl w:val="0"/>
              <w:jc w:val="left"/>
            </w:pPr>
            <w:r>
              <w:t>Solicitor for the Appellant:</w:t>
            </w:r>
          </w:p>
        </w:tc>
        <w:tc>
          <w:tcPr>
            <w:tcW w:w="5989" w:type="dxa"/>
            <w:shd w:val="clear" w:color="auto" w:fill="auto"/>
          </w:tcPr>
          <w:p w14:paraId="4FC3F857" w14:textId="77777777" w:rsidR="00EC3099" w:rsidRDefault="00821AE9" w:rsidP="00EC3099">
            <w:pPr>
              <w:pStyle w:val="Normal1linespace"/>
              <w:widowControl w:val="0"/>
              <w:jc w:val="left"/>
            </w:pPr>
            <w:r>
              <w:t>Bird &amp; Bird</w:t>
            </w:r>
          </w:p>
        </w:tc>
      </w:tr>
      <w:tr w:rsidR="00EC3099" w14:paraId="41ACD2D1" w14:textId="77777777" w:rsidTr="00C23C02">
        <w:tc>
          <w:tcPr>
            <w:tcW w:w="3084" w:type="dxa"/>
            <w:shd w:val="clear" w:color="auto" w:fill="auto"/>
          </w:tcPr>
          <w:p w14:paraId="22F36D2A" w14:textId="77777777" w:rsidR="00EC3099" w:rsidRDefault="00EC3099" w:rsidP="00EC3099">
            <w:pPr>
              <w:pStyle w:val="Normal1linespace"/>
              <w:widowControl w:val="0"/>
              <w:jc w:val="left"/>
            </w:pPr>
          </w:p>
        </w:tc>
        <w:tc>
          <w:tcPr>
            <w:tcW w:w="5989" w:type="dxa"/>
            <w:shd w:val="clear" w:color="auto" w:fill="auto"/>
          </w:tcPr>
          <w:p w14:paraId="6FAFADD6" w14:textId="77777777" w:rsidR="00EC3099" w:rsidRDefault="00EC3099" w:rsidP="00EC3099">
            <w:pPr>
              <w:pStyle w:val="Normal1linespace"/>
              <w:widowControl w:val="0"/>
              <w:jc w:val="left"/>
            </w:pPr>
          </w:p>
        </w:tc>
      </w:tr>
      <w:tr w:rsidR="00EC3099" w14:paraId="7BDA6AEC" w14:textId="77777777" w:rsidTr="00C23C02">
        <w:tc>
          <w:tcPr>
            <w:tcW w:w="3084" w:type="dxa"/>
            <w:shd w:val="clear" w:color="auto" w:fill="auto"/>
          </w:tcPr>
          <w:p w14:paraId="1E20814E" w14:textId="77777777" w:rsidR="00EC3099" w:rsidRDefault="00821AE9" w:rsidP="00EC3099">
            <w:pPr>
              <w:pStyle w:val="Normal1linespace"/>
              <w:widowControl w:val="0"/>
              <w:jc w:val="left"/>
            </w:pPr>
            <w:r>
              <w:t>Counsel for the Respondents:</w:t>
            </w:r>
          </w:p>
        </w:tc>
        <w:tc>
          <w:tcPr>
            <w:tcW w:w="5989" w:type="dxa"/>
            <w:shd w:val="clear" w:color="auto" w:fill="auto"/>
          </w:tcPr>
          <w:p w14:paraId="600D5DF5" w14:textId="77777777" w:rsidR="00EC3099" w:rsidRDefault="00821AE9" w:rsidP="00EC3099">
            <w:pPr>
              <w:pStyle w:val="Normal1linespace"/>
              <w:widowControl w:val="0"/>
              <w:jc w:val="left"/>
            </w:pPr>
            <w:r>
              <w:t xml:space="preserve">C </w:t>
            </w:r>
            <w:proofErr w:type="spellStart"/>
            <w:r>
              <w:t>Dimitriadis</w:t>
            </w:r>
            <w:proofErr w:type="spellEnd"/>
            <w:r>
              <w:t xml:space="preserve"> S.C. with JS Cooke and AE McDonald</w:t>
            </w:r>
          </w:p>
        </w:tc>
      </w:tr>
      <w:tr w:rsidR="00EC3099" w14:paraId="74A6EACA" w14:textId="77777777" w:rsidTr="00C23C02">
        <w:tc>
          <w:tcPr>
            <w:tcW w:w="3084" w:type="dxa"/>
            <w:shd w:val="clear" w:color="auto" w:fill="auto"/>
          </w:tcPr>
          <w:p w14:paraId="0544E7A9" w14:textId="77777777" w:rsidR="00EC3099" w:rsidRDefault="00EC3099" w:rsidP="00EC3099">
            <w:pPr>
              <w:pStyle w:val="Normal1linespace"/>
              <w:widowControl w:val="0"/>
              <w:jc w:val="left"/>
            </w:pPr>
          </w:p>
        </w:tc>
        <w:tc>
          <w:tcPr>
            <w:tcW w:w="5989" w:type="dxa"/>
            <w:shd w:val="clear" w:color="auto" w:fill="auto"/>
          </w:tcPr>
          <w:p w14:paraId="3F77DEB0" w14:textId="77777777" w:rsidR="00EC3099" w:rsidRDefault="00EC3099" w:rsidP="00EC3099">
            <w:pPr>
              <w:pStyle w:val="Normal1linespace"/>
              <w:widowControl w:val="0"/>
              <w:jc w:val="left"/>
            </w:pPr>
          </w:p>
        </w:tc>
      </w:tr>
      <w:tr w:rsidR="00EC3099" w14:paraId="261D002B" w14:textId="77777777" w:rsidTr="00C23C02">
        <w:tc>
          <w:tcPr>
            <w:tcW w:w="3084" w:type="dxa"/>
            <w:shd w:val="clear" w:color="auto" w:fill="auto"/>
          </w:tcPr>
          <w:p w14:paraId="428A33F4" w14:textId="77777777" w:rsidR="00EC3099" w:rsidRDefault="00821AE9" w:rsidP="00EC3099">
            <w:pPr>
              <w:pStyle w:val="Normal1linespace"/>
              <w:widowControl w:val="0"/>
              <w:jc w:val="left"/>
            </w:pPr>
            <w:r>
              <w:lastRenderedPageBreak/>
              <w:t>Solicitor for the Respondents:</w:t>
            </w:r>
          </w:p>
        </w:tc>
        <w:tc>
          <w:tcPr>
            <w:tcW w:w="5989" w:type="dxa"/>
            <w:shd w:val="clear" w:color="auto" w:fill="auto"/>
          </w:tcPr>
          <w:p w14:paraId="4AF7F91F" w14:textId="77777777" w:rsidR="00EC3099" w:rsidRDefault="00821AE9" w:rsidP="00EC3099">
            <w:pPr>
              <w:pStyle w:val="Normal1linespace"/>
              <w:widowControl w:val="0"/>
              <w:jc w:val="left"/>
            </w:pPr>
            <w:r>
              <w:t>Barry Nilsson Lawyers</w:t>
            </w:r>
          </w:p>
        </w:tc>
      </w:tr>
      <w:bookmarkEnd w:id="10"/>
    </w:tbl>
    <w:p w14:paraId="419C264C" w14:textId="77777777" w:rsidR="007470BD" w:rsidRDefault="007470BD">
      <w:pPr>
        <w:pStyle w:val="Normal1linespace"/>
      </w:pPr>
    </w:p>
    <w:p w14:paraId="1E75FFB0" w14:textId="77777777" w:rsidR="00E94CBF" w:rsidRDefault="00E94CBF">
      <w:pPr>
        <w:pStyle w:val="Normal1linespace"/>
      </w:pPr>
    </w:p>
    <w:p w14:paraId="2FDEC0C1"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0F95805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57FFA4F" w14:textId="77777777" w:rsidTr="00E81DA6">
        <w:tc>
          <w:tcPr>
            <w:tcW w:w="6912" w:type="dxa"/>
            <w:gridSpan w:val="2"/>
          </w:tcPr>
          <w:p w14:paraId="75691D02" w14:textId="77777777" w:rsidR="00A46CCC" w:rsidRPr="001765E0" w:rsidRDefault="00A46CCC" w:rsidP="00525A49">
            <w:pPr>
              <w:pStyle w:val="NormalHeadings"/>
            </w:pPr>
          </w:p>
        </w:tc>
        <w:tc>
          <w:tcPr>
            <w:tcW w:w="2330" w:type="dxa"/>
          </w:tcPr>
          <w:p w14:paraId="5C8AD7A7" w14:textId="77777777" w:rsidR="00A46CCC" w:rsidRDefault="00486162" w:rsidP="00F92355">
            <w:pPr>
              <w:pStyle w:val="NormalHeadings"/>
              <w:jc w:val="right"/>
            </w:pPr>
            <w:bookmarkStart w:id="12" w:name="FileNo"/>
            <w:r>
              <w:t>NSD 755 of 2020</w:t>
            </w:r>
            <w:bookmarkEnd w:id="12"/>
          </w:p>
        </w:tc>
      </w:tr>
      <w:tr w:rsidR="00A76C13" w14:paraId="3F9761B2" w14:textId="77777777" w:rsidTr="00F461A4">
        <w:tc>
          <w:tcPr>
            <w:tcW w:w="9242" w:type="dxa"/>
            <w:gridSpan w:val="3"/>
          </w:tcPr>
          <w:p w14:paraId="29B27DF8" w14:textId="77777777" w:rsidR="00A76C13" w:rsidRPr="00A76C13" w:rsidRDefault="00486162" w:rsidP="00486162">
            <w:pPr>
              <w:pStyle w:val="NormalHeadings"/>
              <w:jc w:val="left"/>
            </w:pPr>
            <w:bookmarkStart w:id="13" w:name="InTheMatterOf"/>
            <w:r>
              <w:t xml:space="preserve"> </w:t>
            </w:r>
            <w:bookmarkEnd w:id="13"/>
          </w:p>
        </w:tc>
      </w:tr>
      <w:tr w:rsidR="00A46CCC" w14:paraId="3E121E60" w14:textId="77777777" w:rsidTr="005041F0">
        <w:trPr>
          <w:trHeight w:val="386"/>
        </w:trPr>
        <w:tc>
          <w:tcPr>
            <w:tcW w:w="2376" w:type="dxa"/>
          </w:tcPr>
          <w:p w14:paraId="2D8BB1E5"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63347BED" w14:textId="77777777" w:rsidR="00486162" w:rsidRDefault="00486162" w:rsidP="00486162">
            <w:pPr>
              <w:pStyle w:val="NormalHeadings"/>
              <w:jc w:val="left"/>
            </w:pPr>
            <w:bookmarkStart w:id="15" w:name="Applicant"/>
            <w:r>
              <w:t>CAFFITALY SYSTEM S.P.A.</w:t>
            </w:r>
          </w:p>
          <w:p w14:paraId="6F8315DA" w14:textId="77777777" w:rsidR="00486162" w:rsidRDefault="00486162" w:rsidP="00486162">
            <w:pPr>
              <w:pStyle w:val="PartyType"/>
            </w:pPr>
            <w:r>
              <w:t>Appellant</w:t>
            </w:r>
          </w:p>
          <w:bookmarkEnd w:id="15"/>
          <w:p w14:paraId="12EA3579" w14:textId="77777777" w:rsidR="00A46CCC" w:rsidRPr="006555B4" w:rsidRDefault="00A46CCC" w:rsidP="005041F0">
            <w:pPr>
              <w:pStyle w:val="NormalHeadings"/>
              <w:jc w:val="left"/>
            </w:pPr>
          </w:p>
        </w:tc>
      </w:tr>
      <w:tr w:rsidR="00A46CCC" w14:paraId="0B66E3E0" w14:textId="77777777" w:rsidTr="005041F0">
        <w:trPr>
          <w:trHeight w:val="386"/>
        </w:trPr>
        <w:tc>
          <w:tcPr>
            <w:tcW w:w="2376" w:type="dxa"/>
          </w:tcPr>
          <w:p w14:paraId="58242449" w14:textId="77777777" w:rsidR="00A46CCC" w:rsidRDefault="00A46CCC" w:rsidP="005041F0">
            <w:pPr>
              <w:pStyle w:val="NormalHeadings"/>
              <w:jc w:val="left"/>
              <w:rPr>
                <w:caps/>
                <w:szCs w:val="24"/>
              </w:rPr>
            </w:pPr>
            <w:r>
              <w:rPr>
                <w:caps/>
                <w:szCs w:val="24"/>
              </w:rPr>
              <w:t>AND:</w:t>
            </w:r>
          </w:p>
        </w:tc>
        <w:tc>
          <w:tcPr>
            <w:tcW w:w="6866" w:type="dxa"/>
            <w:gridSpan w:val="2"/>
          </w:tcPr>
          <w:p w14:paraId="7D90F56F" w14:textId="77777777" w:rsidR="00486162" w:rsidRDefault="00486162" w:rsidP="00486162">
            <w:pPr>
              <w:pStyle w:val="NormalHeadings"/>
              <w:jc w:val="left"/>
            </w:pPr>
            <w:bookmarkStart w:id="16" w:name="Respondent"/>
            <w:r>
              <w:t>ONE COLLECTIVE GROUP PTY LTD (ACN 604 582 854)</w:t>
            </w:r>
          </w:p>
          <w:p w14:paraId="3D249943" w14:textId="77777777" w:rsidR="00486162" w:rsidRDefault="00486162" w:rsidP="00486162">
            <w:pPr>
              <w:pStyle w:val="PartyType"/>
            </w:pPr>
            <w:r>
              <w:t>First Respondent</w:t>
            </w:r>
          </w:p>
          <w:p w14:paraId="40187595" w14:textId="77777777" w:rsidR="00486162" w:rsidRDefault="00486162" w:rsidP="005041F0">
            <w:pPr>
              <w:pStyle w:val="NormalHeadings"/>
              <w:jc w:val="left"/>
            </w:pPr>
          </w:p>
          <w:p w14:paraId="0563B198" w14:textId="77777777" w:rsidR="00486162" w:rsidRDefault="00486162" w:rsidP="00486162">
            <w:pPr>
              <w:pStyle w:val="NormalHeadings"/>
              <w:jc w:val="left"/>
            </w:pPr>
            <w:r>
              <w:t>TRENT KNOX</w:t>
            </w:r>
          </w:p>
          <w:p w14:paraId="5CA0CD3D" w14:textId="77777777" w:rsidR="00486162" w:rsidRDefault="00486162" w:rsidP="00486162">
            <w:pPr>
              <w:pStyle w:val="PartyType"/>
            </w:pPr>
            <w:r>
              <w:t>Second Respondent</w:t>
            </w:r>
          </w:p>
          <w:p w14:paraId="1FEE7FC5" w14:textId="77777777" w:rsidR="00486162" w:rsidRDefault="00486162" w:rsidP="005041F0">
            <w:pPr>
              <w:pStyle w:val="NormalHeadings"/>
              <w:jc w:val="left"/>
            </w:pPr>
          </w:p>
          <w:p w14:paraId="1BA85D8B" w14:textId="77777777" w:rsidR="00486162" w:rsidRDefault="00486162" w:rsidP="00486162">
            <w:pPr>
              <w:pStyle w:val="NormalHeadings"/>
              <w:jc w:val="left"/>
            </w:pPr>
            <w:r>
              <w:t>JULIA TINK</w:t>
            </w:r>
          </w:p>
          <w:p w14:paraId="25196115" w14:textId="77777777" w:rsidR="00486162" w:rsidRDefault="00486162" w:rsidP="00486162">
            <w:pPr>
              <w:pStyle w:val="PartyType"/>
            </w:pPr>
            <w:r>
              <w:t>Third Respondent</w:t>
            </w:r>
          </w:p>
          <w:bookmarkEnd w:id="16"/>
          <w:p w14:paraId="59AE3653" w14:textId="77777777" w:rsidR="00A46CCC" w:rsidRPr="006555B4" w:rsidRDefault="00A46CCC" w:rsidP="005041F0">
            <w:pPr>
              <w:pStyle w:val="NormalHeadings"/>
              <w:jc w:val="left"/>
            </w:pPr>
          </w:p>
        </w:tc>
      </w:tr>
    </w:tbl>
    <w:p w14:paraId="0540B410"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38E0A1C5" w14:textId="77777777">
        <w:tc>
          <w:tcPr>
            <w:tcW w:w="2376" w:type="dxa"/>
          </w:tcPr>
          <w:p w14:paraId="1E487952"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5D62F868" w14:textId="77777777" w:rsidR="00395B24" w:rsidRDefault="00486162">
            <w:pPr>
              <w:pStyle w:val="NormalHeadings"/>
              <w:jc w:val="left"/>
              <w:rPr>
                <w:caps/>
                <w:szCs w:val="24"/>
              </w:rPr>
            </w:pPr>
            <w:bookmarkStart w:id="19" w:name="Judge"/>
            <w:r>
              <w:rPr>
                <w:caps/>
                <w:szCs w:val="24"/>
              </w:rPr>
              <w:t>YATES, MOSHINSKY AND BURLEY JJ</w:t>
            </w:r>
            <w:bookmarkEnd w:id="19"/>
          </w:p>
        </w:tc>
      </w:tr>
      <w:tr w:rsidR="00395B24" w14:paraId="179A7079" w14:textId="77777777">
        <w:tc>
          <w:tcPr>
            <w:tcW w:w="2376" w:type="dxa"/>
          </w:tcPr>
          <w:p w14:paraId="1CAAE34D" w14:textId="77777777" w:rsidR="00395B24" w:rsidRDefault="002C7385">
            <w:pPr>
              <w:pStyle w:val="NormalHeadings"/>
              <w:spacing w:after="120"/>
              <w:jc w:val="left"/>
              <w:rPr>
                <w:caps/>
                <w:szCs w:val="24"/>
              </w:rPr>
            </w:pPr>
            <w:r>
              <w:rPr>
                <w:caps/>
                <w:szCs w:val="24"/>
              </w:rPr>
              <w:t>DATE OF ORDER:</w:t>
            </w:r>
          </w:p>
        </w:tc>
        <w:tc>
          <w:tcPr>
            <w:tcW w:w="6866" w:type="dxa"/>
          </w:tcPr>
          <w:p w14:paraId="62DEC78E" w14:textId="42B532B4" w:rsidR="00395B24" w:rsidRDefault="009F043A">
            <w:pPr>
              <w:pStyle w:val="NormalHeadings"/>
              <w:jc w:val="left"/>
              <w:rPr>
                <w:caps/>
                <w:szCs w:val="24"/>
              </w:rPr>
            </w:pPr>
            <w:bookmarkStart w:id="20" w:name="Judgment_Dated"/>
            <w:r>
              <w:rPr>
                <w:caps/>
                <w:szCs w:val="24"/>
              </w:rPr>
              <w:t>15</w:t>
            </w:r>
            <w:r w:rsidR="00486162">
              <w:rPr>
                <w:caps/>
                <w:szCs w:val="24"/>
              </w:rPr>
              <w:t xml:space="preserve"> SEPTEMBER 2021</w:t>
            </w:r>
            <w:bookmarkEnd w:id="20"/>
          </w:p>
        </w:tc>
      </w:tr>
    </w:tbl>
    <w:p w14:paraId="1AD99C4A" w14:textId="77777777" w:rsidR="00395B24" w:rsidRDefault="00395B24">
      <w:pPr>
        <w:pStyle w:val="NormalHeadings"/>
        <w:rPr>
          <w:b w:val="0"/>
        </w:rPr>
      </w:pPr>
    </w:p>
    <w:p w14:paraId="294D7D8E" w14:textId="77777777" w:rsidR="008D1617" w:rsidRDefault="008D1617">
      <w:pPr>
        <w:pStyle w:val="NormalHeadings"/>
        <w:rPr>
          <w:b w:val="0"/>
        </w:rPr>
      </w:pPr>
    </w:p>
    <w:p w14:paraId="1CD66CAE" w14:textId="77777777" w:rsidR="00395B24" w:rsidRDefault="002C7385">
      <w:pPr>
        <w:pStyle w:val="NormalHeadings"/>
      </w:pPr>
      <w:r>
        <w:t>THE COURT ORDERS THAT:</w:t>
      </w:r>
    </w:p>
    <w:p w14:paraId="69141C9C" w14:textId="77777777" w:rsidR="007F60DF" w:rsidRDefault="007F60DF" w:rsidP="00243E5E">
      <w:pPr>
        <w:pStyle w:val="NormalHeadings"/>
      </w:pPr>
    </w:p>
    <w:p w14:paraId="439A7EDD" w14:textId="77777777" w:rsidR="001A6C52" w:rsidRDefault="00A54A00" w:rsidP="001A6C52">
      <w:pPr>
        <w:pStyle w:val="Order1"/>
      </w:pPr>
      <w:r>
        <w:t>The appellant</w:t>
      </w:r>
      <w:r w:rsidR="001D7CCA">
        <w:t xml:space="preserve"> pay the </w:t>
      </w:r>
      <w:r w:rsidR="00767F41">
        <w:t xml:space="preserve">respondents’ </w:t>
      </w:r>
      <w:r w:rsidR="001D7CCA">
        <w:t>costs of the appeal, as agreed or assessed.</w:t>
      </w:r>
    </w:p>
    <w:p w14:paraId="1901B73C" w14:textId="5217595A" w:rsidR="00E61F4E" w:rsidRDefault="00E61F4E" w:rsidP="001A6C52">
      <w:pPr>
        <w:pStyle w:val="Order1"/>
      </w:pPr>
      <w:r>
        <w:t xml:space="preserve">There be no variation to the costs orders made by the primary judge with respect </w:t>
      </w:r>
      <w:r w:rsidR="005C04A8">
        <w:t>to</w:t>
      </w:r>
      <w:r>
        <w:t xml:space="preserve"> the proceeding at first instance.</w:t>
      </w:r>
    </w:p>
    <w:p w14:paraId="71DF2F31" w14:textId="77777777" w:rsidR="001A6C52" w:rsidRDefault="001A6C52" w:rsidP="001A6C52">
      <w:pPr>
        <w:pStyle w:val="BodyText"/>
      </w:pPr>
    </w:p>
    <w:p w14:paraId="1A22660F" w14:textId="77777777" w:rsidR="00A431E6" w:rsidRDefault="00A431E6" w:rsidP="001A6C52">
      <w:pPr>
        <w:pStyle w:val="BodyText"/>
      </w:pPr>
    </w:p>
    <w:p w14:paraId="34B21FA6" w14:textId="77777777" w:rsidR="00486162" w:rsidRDefault="00486162" w:rsidP="001A6C52">
      <w:pPr>
        <w:pStyle w:val="BodyText"/>
      </w:pPr>
    </w:p>
    <w:p w14:paraId="3074E0BF" w14:textId="77777777" w:rsidR="0050309C" w:rsidRDefault="00486162"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0EDED722" w14:textId="77777777" w:rsidR="009D328D" w:rsidRDefault="009D328D" w:rsidP="002B0E91">
      <w:pPr>
        <w:pStyle w:val="BodyText"/>
      </w:pPr>
    </w:p>
    <w:p w14:paraId="15EFDB5E"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2DBF587A"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20B2040F" w14:textId="77777777" w:rsidR="00694BEB" w:rsidRDefault="00D4601A" w:rsidP="005E0510">
      <w:pPr>
        <w:pStyle w:val="NormalHeadings"/>
        <w:spacing w:line="360" w:lineRule="auto"/>
        <w:jc w:val="left"/>
        <w:rPr>
          <w:sz w:val="26"/>
          <w:szCs w:val="26"/>
        </w:rPr>
      </w:pPr>
      <w:r>
        <w:rPr>
          <w:sz w:val="26"/>
          <w:szCs w:val="26"/>
        </w:rPr>
        <w:t>THE COURT:</w:t>
      </w:r>
    </w:p>
    <w:p w14:paraId="68526EB7" w14:textId="77777777" w:rsidR="001D7CCA" w:rsidRDefault="001D7CCA" w:rsidP="0051434F">
      <w:pPr>
        <w:pStyle w:val="ParaNumbering"/>
      </w:pPr>
      <w:r>
        <w:t xml:space="preserve">These reasons deal with the issue of costs following the judgment of the Full Court in this matter: </w:t>
      </w:r>
      <w:proofErr w:type="spellStart"/>
      <w:r>
        <w:rPr>
          <w:i/>
        </w:rPr>
        <w:t>Caffitaly</w:t>
      </w:r>
      <w:proofErr w:type="spellEnd"/>
      <w:r>
        <w:rPr>
          <w:i/>
        </w:rPr>
        <w:t xml:space="preserve"> System S.P.A. v One Collective Group Pty Ltd </w:t>
      </w:r>
      <w:r>
        <w:t>[2021] FCAFC 118 (</w:t>
      </w:r>
      <w:proofErr w:type="spellStart"/>
      <w:r w:rsidR="009434F9">
        <w:rPr>
          <w:b/>
          <w:i/>
        </w:rPr>
        <w:t>Caffitaly</w:t>
      </w:r>
      <w:proofErr w:type="spellEnd"/>
      <w:r w:rsidR="009434F9">
        <w:rPr>
          <w:b/>
          <w:i/>
        </w:rPr>
        <w:t xml:space="preserve"> (No </w:t>
      </w:r>
      <w:r w:rsidRPr="001D7CCA">
        <w:rPr>
          <w:b/>
          <w:i/>
        </w:rPr>
        <w:t>1)</w:t>
      </w:r>
      <w:r>
        <w:t xml:space="preserve">).  These reasons should be read together with </w:t>
      </w:r>
      <w:proofErr w:type="spellStart"/>
      <w:r w:rsidRPr="001D7CCA">
        <w:rPr>
          <w:i/>
        </w:rPr>
        <w:t>Caffitaly</w:t>
      </w:r>
      <w:proofErr w:type="spellEnd"/>
      <w:r w:rsidRPr="001D7CCA">
        <w:rPr>
          <w:i/>
        </w:rPr>
        <w:t xml:space="preserve"> (No</w:t>
      </w:r>
      <w:r w:rsidR="00486162">
        <w:rPr>
          <w:i/>
        </w:rPr>
        <w:t> </w:t>
      </w:r>
      <w:r w:rsidRPr="001D7CCA">
        <w:rPr>
          <w:i/>
        </w:rPr>
        <w:t>1)</w:t>
      </w:r>
      <w:r>
        <w:t xml:space="preserve">.  We will adopt the same abbreviations as used in </w:t>
      </w:r>
      <w:proofErr w:type="spellStart"/>
      <w:r w:rsidR="00486162">
        <w:rPr>
          <w:i/>
        </w:rPr>
        <w:t>Caffitaly</w:t>
      </w:r>
      <w:proofErr w:type="spellEnd"/>
      <w:r w:rsidR="00486162">
        <w:rPr>
          <w:i/>
        </w:rPr>
        <w:t xml:space="preserve"> (No </w:t>
      </w:r>
      <w:r w:rsidRPr="001D7CCA">
        <w:rPr>
          <w:i/>
        </w:rPr>
        <w:t>1)</w:t>
      </w:r>
      <w:r>
        <w:t>.</w:t>
      </w:r>
    </w:p>
    <w:p w14:paraId="3D6E5652" w14:textId="77777777" w:rsidR="00C358BF" w:rsidRDefault="00E61F4E" w:rsidP="00C358BF">
      <w:pPr>
        <w:pStyle w:val="ParaNumbering"/>
      </w:pPr>
      <w:r>
        <w:t xml:space="preserve">By way of background, in the proceeding at first instance, </w:t>
      </w:r>
      <w:proofErr w:type="spellStart"/>
      <w:r>
        <w:t>Caffitaly</w:t>
      </w:r>
      <w:proofErr w:type="spellEnd"/>
      <w:r>
        <w:t xml:space="preserve"> </w:t>
      </w:r>
      <w:r w:rsidR="00C358BF">
        <w:t xml:space="preserve">claimed injunctive and pecuniary relief against the three respondents for patent infringement.  </w:t>
      </w:r>
      <w:proofErr w:type="spellStart"/>
      <w:r w:rsidR="00C358BF">
        <w:t>Caffitaly</w:t>
      </w:r>
      <w:proofErr w:type="spellEnd"/>
      <w:r w:rsidR="00C358BF">
        <w:t xml:space="preserve"> is the patentee of the three patents in suit</w:t>
      </w:r>
      <w:r w:rsidR="00253162" w:rsidRPr="00253162">
        <w:t xml:space="preserve"> </w:t>
      </w:r>
      <w:r w:rsidR="00253162">
        <w:t>(the 627 patent, the 121 patent and the 388 patent)</w:t>
      </w:r>
      <w:r w:rsidR="00C358BF">
        <w:t xml:space="preserve">, each of which relates to coffee capsule technology.  Each of the respondents denied infringement. </w:t>
      </w:r>
      <w:r w:rsidR="00486162">
        <w:t xml:space="preserve"> </w:t>
      </w:r>
      <w:r w:rsidR="00C358BF">
        <w:t>The first respondent also contended that each of the relevant claims was invalid and brought a cross-claim seeking orders for their revocation.  The primary judge dismissed all of the infringement claims.  H</w:t>
      </w:r>
      <w:r w:rsidR="008A78BF">
        <w:t>is Honour</w:t>
      </w:r>
      <w:r w:rsidR="00C358BF">
        <w:t xml:space="preserve"> also concluded that the relevant claims were invalid and should be revoked: </w:t>
      </w:r>
      <w:proofErr w:type="spellStart"/>
      <w:r w:rsidR="00C358BF" w:rsidRPr="00C358BF">
        <w:rPr>
          <w:i/>
        </w:rPr>
        <w:t>Caffitaly</w:t>
      </w:r>
      <w:proofErr w:type="spellEnd"/>
      <w:r w:rsidR="00C358BF" w:rsidRPr="00C358BF">
        <w:rPr>
          <w:i/>
        </w:rPr>
        <w:t xml:space="preserve"> System S.p.A v One Collective Group Pty Ltd</w:t>
      </w:r>
      <w:r w:rsidR="00C358BF" w:rsidRPr="00C358BF">
        <w:t xml:space="preserve"> [2020] FCA 803</w:t>
      </w:r>
      <w:r w:rsidR="00C358BF">
        <w:t xml:space="preserve">.  In relation to costs, the primary judge ordered that </w:t>
      </w:r>
      <w:proofErr w:type="spellStart"/>
      <w:r w:rsidR="00C358BF">
        <w:t>Caffitaly</w:t>
      </w:r>
      <w:proofErr w:type="spellEnd"/>
      <w:r w:rsidR="00C358BF">
        <w:t xml:space="preserve"> pay the respondents’ costs of the proceeding.</w:t>
      </w:r>
    </w:p>
    <w:p w14:paraId="4CF25A96" w14:textId="77777777" w:rsidR="00E61F4E" w:rsidRDefault="00253162" w:rsidP="00253162">
      <w:pPr>
        <w:pStyle w:val="ParaNumbering"/>
      </w:pPr>
      <w:proofErr w:type="spellStart"/>
      <w:r w:rsidRPr="00253162">
        <w:t>Caffitaly</w:t>
      </w:r>
      <w:proofErr w:type="spellEnd"/>
      <w:r w:rsidRPr="00253162">
        <w:t xml:space="preserve"> appeal</w:t>
      </w:r>
      <w:r>
        <w:t>ed</w:t>
      </w:r>
      <w:r w:rsidRPr="00253162">
        <w:t xml:space="preserve"> against the primary judge’s findings on </w:t>
      </w:r>
      <w:r>
        <w:t xml:space="preserve">infringement and claim validity.  In </w:t>
      </w:r>
      <w:proofErr w:type="spellStart"/>
      <w:r w:rsidR="00486162">
        <w:rPr>
          <w:i/>
        </w:rPr>
        <w:t>Caffitaly</w:t>
      </w:r>
      <w:proofErr w:type="spellEnd"/>
      <w:r w:rsidR="00486162">
        <w:rPr>
          <w:i/>
        </w:rPr>
        <w:t xml:space="preserve"> (No </w:t>
      </w:r>
      <w:r w:rsidRPr="00253162">
        <w:rPr>
          <w:i/>
        </w:rPr>
        <w:t>1)</w:t>
      </w:r>
      <w:r>
        <w:t xml:space="preserve">, </w:t>
      </w:r>
      <w:r w:rsidR="00044C9B">
        <w:t>we</w:t>
      </w:r>
      <w:r>
        <w:t xml:space="preserve"> held that the appeal succeeded</w:t>
      </w:r>
      <w:r w:rsidRPr="00253162">
        <w:t xml:space="preserve"> in relation to Ground 3, and in relation to Ground 4 in part, concerning the primary judge’s finding that the invention claimed in claims 1, 2, 9, 16</w:t>
      </w:r>
      <w:r>
        <w:t>, and 17 of the 627 patent lacked</w:t>
      </w:r>
      <w:r w:rsidRPr="00253162">
        <w:t xml:space="preserve"> an inventive s</w:t>
      </w:r>
      <w:r>
        <w:t xml:space="preserve">tep. </w:t>
      </w:r>
      <w:r w:rsidR="00486162">
        <w:t xml:space="preserve"> </w:t>
      </w:r>
      <w:r>
        <w:t>The appeal otherwise failed.  In relation to costs, we made the following orders</w:t>
      </w:r>
      <w:r w:rsidR="00764B1F">
        <w:t xml:space="preserve"> reflecting our provisional view as expressed in </w:t>
      </w:r>
      <w:proofErr w:type="spellStart"/>
      <w:r w:rsidR="00486162">
        <w:rPr>
          <w:i/>
        </w:rPr>
        <w:t>Caffitaly</w:t>
      </w:r>
      <w:proofErr w:type="spellEnd"/>
      <w:r w:rsidR="00486162">
        <w:rPr>
          <w:i/>
        </w:rPr>
        <w:t xml:space="preserve"> (No </w:t>
      </w:r>
      <w:r w:rsidR="00764B1F" w:rsidRPr="00C92E87">
        <w:rPr>
          <w:i/>
        </w:rPr>
        <w:t>1)</w:t>
      </w:r>
      <w:r w:rsidR="00764B1F">
        <w:t xml:space="preserve"> at </w:t>
      </w:r>
      <w:r w:rsidR="00C92E87">
        <w:t>[210]</w:t>
      </w:r>
      <w:r>
        <w:t>:</w:t>
      </w:r>
    </w:p>
    <w:p w14:paraId="0889FB52" w14:textId="77777777" w:rsidR="00253162" w:rsidRDefault="00253162" w:rsidP="00253162">
      <w:pPr>
        <w:pStyle w:val="Quote1"/>
        <w:ind w:left="1440" w:hanging="703"/>
      </w:pPr>
      <w:r>
        <w:t>3.</w:t>
      </w:r>
      <w:r>
        <w:tab/>
        <w:t>Subject to Order 4, the appellant pay the costs of the appeal, as agreed or assessed.</w:t>
      </w:r>
    </w:p>
    <w:p w14:paraId="307B2F90" w14:textId="34D4FB98" w:rsidR="00253162" w:rsidRDefault="00155741" w:rsidP="00253162">
      <w:pPr>
        <w:pStyle w:val="Quote1"/>
        <w:ind w:left="1440" w:hanging="703"/>
      </w:pPr>
      <w:r>
        <w:t>4.</w:t>
      </w:r>
      <w:r w:rsidR="00253162">
        <w:tab/>
        <w:t>If the appellant seeks a different costs order, it may, within seven days, file and serve a written submission of not more than two pages supporting the costs order it seeks, in which event the respondents may, within a further seven days, file and serve a responding written submission of not more than two pages, and the issue of costs will be determined on the papers.</w:t>
      </w:r>
    </w:p>
    <w:p w14:paraId="00DC78B0" w14:textId="77777777" w:rsidR="001D7CCA" w:rsidRDefault="001D6947" w:rsidP="00976778">
      <w:pPr>
        <w:pStyle w:val="ParaNumbering"/>
      </w:pPr>
      <w:proofErr w:type="spellStart"/>
      <w:r>
        <w:t>Caffitaly</w:t>
      </w:r>
      <w:proofErr w:type="spellEnd"/>
      <w:r>
        <w:t xml:space="preserve"> has filed a written submission pursuant to paragraph 4 of that order, and the respondents have filed a written submission in response. </w:t>
      </w:r>
      <w:r w:rsidR="00486162">
        <w:t xml:space="preserve"> </w:t>
      </w:r>
      <w:r w:rsidR="001D7CCA">
        <w:t>The positions of the parties may be summarised as follows:</w:t>
      </w:r>
    </w:p>
    <w:p w14:paraId="250EB575" w14:textId="77777777" w:rsidR="001D7CCA" w:rsidRDefault="001D7CCA" w:rsidP="001D7CCA">
      <w:pPr>
        <w:pStyle w:val="ListNo1alt"/>
      </w:pPr>
      <w:proofErr w:type="spellStart"/>
      <w:r>
        <w:t>Caffitaly</w:t>
      </w:r>
      <w:proofErr w:type="spellEnd"/>
      <w:r>
        <w:t xml:space="preserve"> </w:t>
      </w:r>
      <w:r w:rsidR="00044C9B">
        <w:t>contends</w:t>
      </w:r>
      <w:r>
        <w:t xml:space="preserve"> that the appropriate order is that </w:t>
      </w:r>
      <w:proofErr w:type="spellStart"/>
      <w:r>
        <w:t>Caffitaly</w:t>
      </w:r>
      <w:proofErr w:type="spellEnd"/>
      <w:r>
        <w:t xml:space="preserve"> pay in the order of 80% of the respondents’ </w:t>
      </w:r>
      <w:r w:rsidR="00E61F4E">
        <w:t xml:space="preserve">costs of the </w:t>
      </w:r>
      <w:r w:rsidR="001D6947">
        <w:t xml:space="preserve">trial and the </w:t>
      </w:r>
      <w:r w:rsidR="00486162">
        <w:t>appeal.</w:t>
      </w:r>
    </w:p>
    <w:p w14:paraId="405401DA" w14:textId="2C049E97" w:rsidR="00E61F4E" w:rsidRDefault="00E61F4E" w:rsidP="001D7CCA">
      <w:pPr>
        <w:pStyle w:val="ListNo1alt"/>
      </w:pPr>
      <w:r>
        <w:lastRenderedPageBreak/>
        <w:t xml:space="preserve">The respondents </w:t>
      </w:r>
      <w:r w:rsidR="00044C9B">
        <w:t>contend</w:t>
      </w:r>
      <w:r>
        <w:t xml:space="preserve"> that </w:t>
      </w:r>
      <w:proofErr w:type="spellStart"/>
      <w:r>
        <w:t>Caffitaly</w:t>
      </w:r>
      <w:proofErr w:type="spellEnd"/>
      <w:r>
        <w:t xml:space="preserve"> should pay all of the respondents’ costs of the </w:t>
      </w:r>
      <w:r w:rsidR="00044C9B">
        <w:t>appea</w:t>
      </w:r>
      <w:r w:rsidR="005703BF">
        <w:t>l, and the costs orders of the primary judge should not be disturbed.</w:t>
      </w:r>
    </w:p>
    <w:p w14:paraId="71D7DDF3" w14:textId="77777777" w:rsidR="006B04FA" w:rsidRDefault="006B04FA" w:rsidP="006B04FA">
      <w:pPr>
        <w:pStyle w:val="ParaNumbering"/>
      </w:pPr>
      <w:r>
        <w:t>The principles regarding costs are well established</w:t>
      </w:r>
      <w:r w:rsidR="007A083B">
        <w:t xml:space="preserve"> and were conveniently summarised in </w:t>
      </w:r>
      <w:r>
        <w:t xml:space="preserve">the judgment of the Full Court of this Court in </w:t>
      </w:r>
      <w:proofErr w:type="spellStart"/>
      <w:r w:rsidRPr="00142979">
        <w:rPr>
          <w:i/>
        </w:rPr>
        <w:t>Sandvik</w:t>
      </w:r>
      <w:proofErr w:type="spellEnd"/>
      <w:r w:rsidRPr="00142979">
        <w:rPr>
          <w:i/>
        </w:rPr>
        <w:t xml:space="preserve"> Intellectual Property AB v Quarry Mining &amp; Con</w:t>
      </w:r>
      <w:r>
        <w:rPr>
          <w:i/>
        </w:rPr>
        <w:t>struction Equipment Pty Ltd (No </w:t>
      </w:r>
      <w:r w:rsidRPr="00142979">
        <w:rPr>
          <w:i/>
        </w:rPr>
        <w:t>2)</w:t>
      </w:r>
      <w:r w:rsidRPr="00142979">
        <w:t xml:space="preserve"> [2017] FCAFC 158</w:t>
      </w:r>
      <w:r>
        <w:t xml:space="preserve"> at [9]-[11]:</w:t>
      </w:r>
    </w:p>
    <w:p w14:paraId="016A9C08" w14:textId="77777777" w:rsidR="006B04FA" w:rsidRDefault="006B04FA" w:rsidP="006B04FA">
      <w:pPr>
        <w:pStyle w:val="Quote1"/>
        <w:ind w:left="1440" w:hanging="703"/>
      </w:pPr>
      <w:r>
        <w:t>9</w:t>
      </w:r>
      <w:r>
        <w:tab/>
        <w:t xml:space="preserve">Section 43(3)(e) of the </w:t>
      </w:r>
      <w:r w:rsidRPr="00142979">
        <w:rPr>
          <w:i/>
        </w:rPr>
        <w:t>Federal Court of Australia Act 1976</w:t>
      </w:r>
      <w:r>
        <w:t xml:space="preserve"> (</w:t>
      </w:r>
      <w:proofErr w:type="spellStart"/>
      <w:r>
        <w:t>Cth</w:t>
      </w:r>
      <w:proofErr w:type="spellEnd"/>
      <w:r>
        <w:t>) provides that an award of costs may be made in favour of, or against, a party whether or not that party is</w:t>
      </w:r>
      <w:r w:rsidR="00486162">
        <w:t xml:space="preserve"> successful in the proceeding. </w:t>
      </w:r>
      <w:r>
        <w:t xml:space="preserve">The approach usually taken is that costs follow the outcome of an appeal: see </w:t>
      </w:r>
      <w:r w:rsidRPr="00142979">
        <w:rPr>
          <w:i/>
        </w:rPr>
        <w:t>Firebird Global Master Fund II Ltd v Republic of Nauru (No</w:t>
      </w:r>
      <w:r>
        <w:rPr>
          <w:i/>
        </w:rPr>
        <w:t> </w:t>
      </w:r>
      <w:r w:rsidRPr="00142979">
        <w:rPr>
          <w:i/>
        </w:rPr>
        <w:t xml:space="preserve">2) </w:t>
      </w:r>
      <w:r>
        <w:t xml:space="preserve">(2015) 327 ALR 192 at [6] per French CJ, </w:t>
      </w:r>
      <w:proofErr w:type="spellStart"/>
      <w:r>
        <w:t>Kiefel</w:t>
      </w:r>
      <w:proofErr w:type="spellEnd"/>
      <w:r>
        <w:t xml:space="preserve">, Nettle and Gordon JJ; see also </w:t>
      </w:r>
      <w:r w:rsidRPr="00142979">
        <w:rPr>
          <w:i/>
        </w:rPr>
        <w:t xml:space="preserve">Les </w:t>
      </w:r>
      <w:proofErr w:type="spellStart"/>
      <w:r w:rsidRPr="00142979">
        <w:rPr>
          <w:i/>
        </w:rPr>
        <w:t>Laboratoires</w:t>
      </w:r>
      <w:proofErr w:type="spellEnd"/>
      <w:r w:rsidRPr="00142979">
        <w:rPr>
          <w:i/>
        </w:rPr>
        <w:t xml:space="preserve"> </w:t>
      </w:r>
      <w:proofErr w:type="spellStart"/>
      <w:r w:rsidRPr="00142979">
        <w:rPr>
          <w:i/>
        </w:rPr>
        <w:t>Servier</w:t>
      </w:r>
      <w:proofErr w:type="spellEnd"/>
      <w:r w:rsidRPr="00142979">
        <w:rPr>
          <w:i/>
        </w:rPr>
        <w:t xml:space="preserve"> v </w:t>
      </w:r>
      <w:proofErr w:type="spellStart"/>
      <w:r w:rsidRPr="00142979">
        <w:rPr>
          <w:i/>
        </w:rPr>
        <w:t>Apotex</w:t>
      </w:r>
      <w:proofErr w:type="spellEnd"/>
      <w:r w:rsidRPr="00142979">
        <w:rPr>
          <w:i/>
        </w:rPr>
        <w:t xml:space="preserve"> Pty Ltd</w:t>
      </w:r>
      <w:r>
        <w:t xml:space="preserve"> (2016) 247 FCR 61 at [303]; </w:t>
      </w:r>
      <w:proofErr w:type="spellStart"/>
      <w:r w:rsidRPr="00142979">
        <w:rPr>
          <w:i/>
        </w:rPr>
        <w:t>Oshlack</w:t>
      </w:r>
      <w:proofErr w:type="spellEnd"/>
      <w:r w:rsidRPr="00142979">
        <w:rPr>
          <w:i/>
        </w:rPr>
        <w:t xml:space="preserve"> v Richmond River Council</w:t>
      </w:r>
      <w:r>
        <w:t xml:space="preserve"> (1998) 193 CLR 72 at [66]-[68].</w:t>
      </w:r>
    </w:p>
    <w:p w14:paraId="71F08FFB" w14:textId="77777777" w:rsidR="006B04FA" w:rsidRDefault="006B04FA" w:rsidP="006B04FA">
      <w:pPr>
        <w:pStyle w:val="Quote1"/>
        <w:ind w:left="1440" w:hanging="703"/>
      </w:pPr>
      <w:r>
        <w:t>10</w:t>
      </w:r>
      <w:r>
        <w:tab/>
        <w:t xml:space="preserve">In </w:t>
      </w:r>
      <w:r w:rsidRPr="00142979">
        <w:rPr>
          <w:i/>
        </w:rPr>
        <w:t>Queensland North Australia Pty Lt</w:t>
      </w:r>
      <w:r>
        <w:rPr>
          <w:i/>
        </w:rPr>
        <w:t>d v Takeovers Panel (No </w:t>
      </w:r>
      <w:r w:rsidRPr="00142979">
        <w:rPr>
          <w:i/>
        </w:rPr>
        <w:t>2)</w:t>
      </w:r>
      <w:r>
        <w:t xml:space="preserve"> (2015) 236 FCR 370, </w:t>
      </w:r>
      <w:proofErr w:type="spellStart"/>
      <w:r>
        <w:t>Dowsett</w:t>
      </w:r>
      <w:proofErr w:type="spellEnd"/>
      <w:r>
        <w:t xml:space="preserve">, Middleton and Gilmour JJ, after referring to </w:t>
      </w:r>
      <w:r>
        <w:rPr>
          <w:i/>
        </w:rPr>
        <w:t xml:space="preserve">Ruddock v </w:t>
      </w:r>
      <w:proofErr w:type="spellStart"/>
      <w:r>
        <w:rPr>
          <w:i/>
        </w:rPr>
        <w:t>Vadarlis</w:t>
      </w:r>
      <w:proofErr w:type="spellEnd"/>
      <w:r>
        <w:rPr>
          <w:i/>
        </w:rPr>
        <w:t xml:space="preserve"> (No </w:t>
      </w:r>
      <w:r w:rsidRPr="00142979">
        <w:rPr>
          <w:i/>
        </w:rPr>
        <w:t>2)</w:t>
      </w:r>
      <w:r>
        <w:t xml:space="preserve"> (2001) 115 FCR 229 and </w:t>
      </w:r>
      <w:r w:rsidRPr="00142979">
        <w:rPr>
          <w:i/>
        </w:rPr>
        <w:t>State of V</w:t>
      </w:r>
      <w:r>
        <w:rPr>
          <w:i/>
        </w:rPr>
        <w:t xml:space="preserve">ictoria v </w:t>
      </w:r>
      <w:proofErr w:type="spellStart"/>
      <w:r>
        <w:rPr>
          <w:i/>
        </w:rPr>
        <w:t>Sportsbet</w:t>
      </w:r>
      <w:proofErr w:type="spellEnd"/>
      <w:r>
        <w:rPr>
          <w:i/>
        </w:rPr>
        <w:t xml:space="preserve"> Pty Ltd (No </w:t>
      </w:r>
      <w:r w:rsidRPr="00142979">
        <w:rPr>
          <w:i/>
        </w:rPr>
        <w:t xml:space="preserve">2) </w:t>
      </w:r>
      <w:r>
        <w:t>[2012] FCAFC 174, said at [11] that these decisions treat the success or failure of the relevant party as being the starting point in consideration of the question of costs, but contemplate at least three distinct categories of situation in which a successful party might be deprived of costs, or even ordered to pa</w:t>
      </w:r>
      <w:r w:rsidR="00486162">
        <w:t xml:space="preserve">y the costs of the other side. </w:t>
      </w:r>
      <w:r>
        <w:t>These were identified as follows:</w:t>
      </w:r>
    </w:p>
    <w:p w14:paraId="34D08F6A" w14:textId="77777777" w:rsidR="006B04FA" w:rsidRDefault="006B04FA" w:rsidP="006B04FA">
      <w:pPr>
        <w:pStyle w:val="Quote3"/>
      </w:pPr>
      <w:r>
        <w:t>One such category is where the applicant has been only partially successful in that it has not obtain</w:t>
      </w:r>
      <w:r w:rsidR="00486162">
        <w:t xml:space="preserve">ed all of the relief sought. </w:t>
      </w:r>
      <w:r>
        <w:t>The second category is where a party has succeeded in obtaining the relief sought, but has not succeeded on all bases (factual or legal) upo</w:t>
      </w:r>
      <w:r w:rsidR="00486162">
        <w:t xml:space="preserve">n which it sought such relief. </w:t>
      </w:r>
      <w:r>
        <w:t>Of course, it is possible that a particular outcome wi</w:t>
      </w:r>
      <w:r w:rsidR="00486162">
        <w:t xml:space="preserve">ll fall into both categories. </w:t>
      </w:r>
      <w:r>
        <w:t>A third category involves consideration of the successful party’s conduct of the case.</w:t>
      </w:r>
    </w:p>
    <w:p w14:paraId="401AA4DB" w14:textId="77777777" w:rsidR="006B04FA" w:rsidRDefault="006B04FA" w:rsidP="006B04FA">
      <w:pPr>
        <w:pStyle w:val="Quote1"/>
        <w:ind w:left="1440" w:hanging="703"/>
      </w:pPr>
      <w:r>
        <w:t>11</w:t>
      </w:r>
      <w:r>
        <w:tab/>
        <w:t>After referring to the dec</w:t>
      </w:r>
      <w:r w:rsidR="00486162">
        <w:t>ision of Finkelstein and Gordon </w:t>
      </w:r>
      <w:r>
        <w:t xml:space="preserve">JJ in </w:t>
      </w:r>
      <w:r w:rsidRPr="00142979">
        <w:rPr>
          <w:i/>
        </w:rPr>
        <w:t>Bowen Investments Pty</w:t>
      </w:r>
      <w:r>
        <w:rPr>
          <w:i/>
        </w:rPr>
        <w:t xml:space="preserve"> Ltd v </w:t>
      </w:r>
      <w:proofErr w:type="spellStart"/>
      <w:r>
        <w:rPr>
          <w:i/>
        </w:rPr>
        <w:t>Tabcorp</w:t>
      </w:r>
      <w:proofErr w:type="spellEnd"/>
      <w:r>
        <w:rPr>
          <w:i/>
        </w:rPr>
        <w:t xml:space="preserve"> Holdings Ltd (No </w:t>
      </w:r>
      <w:r w:rsidRPr="00142979">
        <w:rPr>
          <w:i/>
        </w:rPr>
        <w:t>2)</w:t>
      </w:r>
      <w:r>
        <w:t xml:space="preserve"> [2008] FCAFC 107,</w:t>
      </w:r>
      <w:r w:rsidR="00486162">
        <w:t xml:space="preserve"> </w:t>
      </w:r>
      <w:proofErr w:type="spellStart"/>
      <w:r w:rsidR="00486162">
        <w:t>Dowsett</w:t>
      </w:r>
      <w:proofErr w:type="spellEnd"/>
      <w:r w:rsidR="00486162">
        <w:t>, Middleton and Gilmour </w:t>
      </w:r>
      <w:r>
        <w:t xml:space="preserve">JJ in </w:t>
      </w:r>
      <w:r w:rsidRPr="00142979">
        <w:rPr>
          <w:i/>
        </w:rPr>
        <w:t>Queensland North Australia</w:t>
      </w:r>
      <w:r>
        <w:t xml:space="preserve"> then said at [18]:</w:t>
      </w:r>
    </w:p>
    <w:p w14:paraId="59334D1C" w14:textId="77777777" w:rsidR="006B04FA" w:rsidRDefault="006B04FA" w:rsidP="006B04FA">
      <w:pPr>
        <w:pStyle w:val="Quote3"/>
      </w:pPr>
      <w:r>
        <w:t xml:space="preserve">[Section 43 of the </w:t>
      </w:r>
      <w:r w:rsidRPr="00142979">
        <w:rPr>
          <w:i/>
        </w:rPr>
        <w:t>Federal Court of Australia Act</w:t>
      </w:r>
      <w:r>
        <w:t>] does not men</w:t>
      </w:r>
      <w:r w:rsidR="00486162">
        <w:t>tion costs following the event.</w:t>
      </w:r>
      <w:r>
        <w:t xml:space="preserve"> In </w:t>
      </w:r>
      <w:r w:rsidRPr="00142979">
        <w:rPr>
          <w:i/>
        </w:rPr>
        <w:t>Ruddock</w:t>
      </w:r>
      <w:r>
        <w:t xml:space="preserve">, </w:t>
      </w:r>
      <w:r w:rsidRPr="00142979">
        <w:rPr>
          <w:i/>
        </w:rPr>
        <w:t>Bowen Investments</w:t>
      </w:r>
      <w:r>
        <w:t xml:space="preserve"> and </w:t>
      </w:r>
      <w:proofErr w:type="spellStart"/>
      <w:r w:rsidRPr="00142979">
        <w:rPr>
          <w:i/>
        </w:rPr>
        <w:t>Sportsbet</w:t>
      </w:r>
      <w:proofErr w:type="spellEnd"/>
      <w:r>
        <w:t>, the Court proceeded on the basis that ordinarily, the successful party may reasonably expect to receive its costs, whether that outcome be described as costs follo</w:t>
      </w:r>
      <w:r w:rsidR="00486162">
        <w:t xml:space="preserve">wing the “event” or otherwise. </w:t>
      </w:r>
      <w:r>
        <w:t xml:space="preserve">The question of costs is </w:t>
      </w:r>
      <w:r w:rsidR="00486162">
        <w:t xml:space="preserve">within the Court’s discretion. </w:t>
      </w:r>
      <w:r>
        <w:t>As we have said, relevant factors include the extent of a party’s success, the extent of its success or failure on individual issues and its conduct of the proceedings.</w:t>
      </w:r>
    </w:p>
    <w:p w14:paraId="20220610" w14:textId="77777777" w:rsidR="001D7CCA" w:rsidRDefault="006B04FA" w:rsidP="006B04FA">
      <w:pPr>
        <w:pStyle w:val="ParaNumbering"/>
      </w:pPr>
      <w:r>
        <w:t>The</w:t>
      </w:r>
      <w:r w:rsidR="007A083B">
        <w:t xml:space="preserve"> above passage was approved </w:t>
      </w:r>
      <w:r>
        <w:t xml:space="preserve">by the Full Court of this Court in </w:t>
      </w:r>
      <w:r w:rsidRPr="006B04FA">
        <w:rPr>
          <w:i/>
        </w:rPr>
        <w:t>Fuchs Lubricants (Australasia) Pty Ltd v Quaker Chem</w:t>
      </w:r>
      <w:r w:rsidR="00486162">
        <w:rPr>
          <w:i/>
        </w:rPr>
        <w:t>ical (Australasia) Pty Ltd (No </w:t>
      </w:r>
      <w:r w:rsidRPr="006B04FA">
        <w:rPr>
          <w:i/>
        </w:rPr>
        <w:t>2)</w:t>
      </w:r>
      <w:r w:rsidRPr="006B04FA">
        <w:t xml:space="preserve"> [2021] FCAFC 114</w:t>
      </w:r>
      <w:r>
        <w:t xml:space="preserve"> at [15].</w:t>
      </w:r>
    </w:p>
    <w:p w14:paraId="544F53F3" w14:textId="77777777" w:rsidR="009E6D5F" w:rsidRDefault="007F152C" w:rsidP="00437C72">
      <w:pPr>
        <w:pStyle w:val="ParaNumbering"/>
      </w:pPr>
      <w:r>
        <w:lastRenderedPageBreak/>
        <w:t xml:space="preserve">In support of the orders it seeks, </w:t>
      </w:r>
      <w:proofErr w:type="spellStart"/>
      <w:r>
        <w:t>Caffitaly</w:t>
      </w:r>
      <w:proofErr w:type="spellEnd"/>
      <w:r>
        <w:t xml:space="preserve"> submits that the relevant context is that </w:t>
      </w:r>
      <w:proofErr w:type="spellStart"/>
      <w:r>
        <w:t>Caffitaly’s</w:t>
      </w:r>
      <w:proofErr w:type="spellEnd"/>
      <w:r>
        <w:t xml:space="preserve"> appeal succeeded in reversing the primary judge’s revocation of the 627 patent on the basis of la</w:t>
      </w:r>
      <w:r w:rsidR="00486162">
        <w:t>ck of inventive step.</w:t>
      </w:r>
    </w:p>
    <w:p w14:paraId="02547DB4" w14:textId="77777777" w:rsidR="001D7CCA" w:rsidRDefault="007F152C" w:rsidP="00437C72">
      <w:pPr>
        <w:pStyle w:val="ParaNumbering"/>
      </w:pPr>
      <w:proofErr w:type="spellStart"/>
      <w:r>
        <w:t>Caffitaly</w:t>
      </w:r>
      <w:proofErr w:type="spellEnd"/>
      <w:r w:rsidR="00767F41">
        <w:t xml:space="preserve"> submits, in summary:</w:t>
      </w:r>
    </w:p>
    <w:p w14:paraId="7E670F7E" w14:textId="77777777" w:rsidR="0051434F" w:rsidRDefault="007F152C" w:rsidP="002C062A">
      <w:pPr>
        <w:pStyle w:val="ListNo1alt"/>
        <w:numPr>
          <w:ilvl w:val="0"/>
          <w:numId w:val="26"/>
        </w:numPr>
      </w:pPr>
      <w:r>
        <w:t xml:space="preserve">The ordinary rule is that costs follow the event: </w:t>
      </w:r>
      <w:r w:rsidRPr="007F152C">
        <w:rPr>
          <w:i/>
        </w:rPr>
        <w:t xml:space="preserve">Federal Treasury Enterprise (FKP) </w:t>
      </w:r>
      <w:proofErr w:type="spellStart"/>
      <w:r w:rsidRPr="007F152C">
        <w:rPr>
          <w:i/>
        </w:rPr>
        <w:t>Sojuzplodoimport</w:t>
      </w:r>
      <w:proofErr w:type="spellEnd"/>
      <w:r w:rsidRPr="007F152C">
        <w:rPr>
          <w:i/>
        </w:rPr>
        <w:t xml:space="preserve"> v Spirits International B.V. (No</w:t>
      </w:r>
      <w:r w:rsidR="00486162">
        <w:rPr>
          <w:i/>
        </w:rPr>
        <w:t> </w:t>
      </w:r>
      <w:r w:rsidRPr="007F152C">
        <w:rPr>
          <w:i/>
        </w:rPr>
        <w:t>2)</w:t>
      </w:r>
      <w:r>
        <w:t xml:space="preserve"> [2021] FCAFC 120. </w:t>
      </w:r>
      <w:r w:rsidR="00486162">
        <w:t xml:space="preserve"> </w:t>
      </w:r>
      <w:r>
        <w:t xml:space="preserve">The relevant event in this case was the respondents’ cross-claim for revocation of the 627 patent. </w:t>
      </w:r>
      <w:r w:rsidR="00486162">
        <w:t xml:space="preserve"> </w:t>
      </w:r>
      <w:r>
        <w:t xml:space="preserve">The respondents advanced four grounds of invalidity for the 627 patent (lack of novelty, lack of inventive step, fair basis and lack of utility). </w:t>
      </w:r>
      <w:r w:rsidR="00486162">
        <w:t xml:space="preserve"> </w:t>
      </w:r>
      <w:r>
        <w:t xml:space="preserve">Each ground failed. </w:t>
      </w:r>
      <w:r w:rsidR="00486162">
        <w:t xml:space="preserve"> </w:t>
      </w:r>
      <w:r>
        <w:t xml:space="preserve">To hold that the respondents should not only be relieved of paying </w:t>
      </w:r>
      <w:proofErr w:type="spellStart"/>
      <w:r>
        <w:t>Caffitaly’s</w:t>
      </w:r>
      <w:proofErr w:type="spellEnd"/>
      <w:r>
        <w:t xml:space="preserve"> costs of the respondents’ claims that failed, but also have their costs of such claims, would be to depart significantly from the ordinary rule.</w:t>
      </w:r>
    </w:p>
    <w:p w14:paraId="52CA6251" w14:textId="77777777" w:rsidR="007F152C" w:rsidRDefault="009E6D5F" w:rsidP="002C062A">
      <w:pPr>
        <w:pStyle w:val="ListNo1alt"/>
        <w:numPr>
          <w:ilvl w:val="0"/>
          <w:numId w:val="26"/>
        </w:numPr>
      </w:pPr>
      <w:r>
        <w:t xml:space="preserve">This Court has taken the approach in patent litigation that costs apportionment reflecting each party’s relative success and failure on the issues litigated should be the norm rather than the exception: see </w:t>
      </w:r>
      <w:r w:rsidRPr="009E6D5F">
        <w:rPr>
          <w:i/>
        </w:rPr>
        <w:t xml:space="preserve">Les </w:t>
      </w:r>
      <w:proofErr w:type="spellStart"/>
      <w:r w:rsidRPr="009E6D5F">
        <w:rPr>
          <w:i/>
        </w:rPr>
        <w:t>Laboratoires</w:t>
      </w:r>
      <w:proofErr w:type="spellEnd"/>
      <w:r w:rsidRPr="009E6D5F">
        <w:rPr>
          <w:i/>
        </w:rPr>
        <w:t xml:space="preserve"> </w:t>
      </w:r>
      <w:proofErr w:type="spellStart"/>
      <w:r w:rsidRPr="009E6D5F">
        <w:rPr>
          <w:i/>
        </w:rPr>
        <w:t>Servier</w:t>
      </w:r>
      <w:proofErr w:type="spellEnd"/>
      <w:r w:rsidRPr="009E6D5F">
        <w:rPr>
          <w:i/>
        </w:rPr>
        <w:t xml:space="preserve"> v </w:t>
      </w:r>
      <w:proofErr w:type="spellStart"/>
      <w:r w:rsidRPr="009E6D5F">
        <w:rPr>
          <w:i/>
        </w:rPr>
        <w:t>Apotex</w:t>
      </w:r>
      <w:proofErr w:type="spellEnd"/>
      <w:r w:rsidRPr="009E6D5F">
        <w:rPr>
          <w:i/>
        </w:rPr>
        <w:t xml:space="preserve"> Pty Ltd</w:t>
      </w:r>
      <w:r>
        <w:t xml:space="preserve"> (2016) 247 FCR 61 at [300]; </w:t>
      </w:r>
      <w:r w:rsidRPr="009E6D5F">
        <w:rPr>
          <w:i/>
        </w:rPr>
        <w:t xml:space="preserve">BlueScope Steel Limited v </w:t>
      </w:r>
      <w:proofErr w:type="spellStart"/>
      <w:r w:rsidRPr="009E6D5F">
        <w:rPr>
          <w:i/>
        </w:rPr>
        <w:t>Dongkuk</w:t>
      </w:r>
      <w:proofErr w:type="spellEnd"/>
      <w:r w:rsidRPr="009E6D5F">
        <w:rPr>
          <w:i/>
        </w:rPr>
        <w:t xml:space="preserve"> Steel Mill Co Ltd (No</w:t>
      </w:r>
      <w:r w:rsidR="00486162">
        <w:rPr>
          <w:i/>
        </w:rPr>
        <w:t> </w:t>
      </w:r>
      <w:r w:rsidRPr="009E6D5F">
        <w:rPr>
          <w:i/>
        </w:rPr>
        <w:t>3)</w:t>
      </w:r>
      <w:r>
        <w:t xml:space="preserve"> [2020] FCA 113 at [18].</w:t>
      </w:r>
    </w:p>
    <w:p w14:paraId="392A8C7A" w14:textId="77777777" w:rsidR="009E6D5F" w:rsidRDefault="009E6D5F" w:rsidP="002C062A">
      <w:pPr>
        <w:pStyle w:val="ListNo1alt"/>
        <w:numPr>
          <w:ilvl w:val="0"/>
          <w:numId w:val="26"/>
        </w:numPr>
      </w:pPr>
      <w:r>
        <w:t xml:space="preserve">Having regard to the circumstances of this case, although application of the usual rule would justify it, </w:t>
      </w:r>
      <w:proofErr w:type="spellStart"/>
      <w:r>
        <w:t>Caffitaly</w:t>
      </w:r>
      <w:proofErr w:type="spellEnd"/>
      <w:r>
        <w:t xml:space="preserve"> does not submit that there should be a costs order in its favour on the 627 patent cross-claim as a whole.</w:t>
      </w:r>
      <w:r w:rsidR="00486162">
        <w:t xml:space="preserve"> </w:t>
      </w:r>
      <w:r>
        <w:t xml:space="preserve"> Rather, it proposes that its success on this issue be reflected in a proportionate reduction of the respondents’ overall costs as taxed or agreed, both in respect of the trial and the appeal, having regard in particular to the resource-heavy lack of inventive step case pursued by the respondents on the 627 patent cross-claim.</w:t>
      </w:r>
    </w:p>
    <w:p w14:paraId="305BF000" w14:textId="77777777" w:rsidR="009E6D5F" w:rsidRDefault="009E6D5F" w:rsidP="002C062A">
      <w:pPr>
        <w:pStyle w:val="ListNo1alt"/>
        <w:numPr>
          <w:ilvl w:val="0"/>
          <w:numId w:val="26"/>
        </w:numPr>
      </w:pPr>
      <w:proofErr w:type="spellStart"/>
      <w:r>
        <w:t>Caffitaly’s</w:t>
      </w:r>
      <w:proofErr w:type="spellEnd"/>
      <w:r>
        <w:t xml:space="preserve"> success on this point is not without practical utility, including between these parties: the 627 patent being valid, competitors including the respondents are not free to use it, and are forced to create different products by designing around it, as the respondents have done here.</w:t>
      </w:r>
    </w:p>
    <w:p w14:paraId="5212F502" w14:textId="77777777" w:rsidR="00874782" w:rsidRDefault="00874782" w:rsidP="00960BCC">
      <w:pPr>
        <w:pStyle w:val="ParaNumbering"/>
      </w:pPr>
      <w:r>
        <w:t xml:space="preserve">While it is true that </w:t>
      </w:r>
      <w:proofErr w:type="spellStart"/>
      <w:r>
        <w:t>Caffitaly</w:t>
      </w:r>
      <w:proofErr w:type="spellEnd"/>
      <w:r>
        <w:t xml:space="preserve"> succeeded in relation to one issue raised by the appeal, </w:t>
      </w:r>
      <w:r w:rsidR="004362F3">
        <w:t xml:space="preserve">namely the inventive step issue in relation to the 627 patent, </w:t>
      </w:r>
      <w:r>
        <w:t xml:space="preserve">that issue was of no or only limited significance </w:t>
      </w:r>
      <w:r w:rsidR="00B43F7D">
        <w:t xml:space="preserve">to </w:t>
      </w:r>
      <w:r>
        <w:t xml:space="preserve">the respondents </w:t>
      </w:r>
      <w:r w:rsidR="00B43F7D">
        <w:t xml:space="preserve">in circumstances where the </w:t>
      </w:r>
      <w:r w:rsidR="004362F3">
        <w:t xml:space="preserve">finding </w:t>
      </w:r>
      <w:r w:rsidR="00B43F7D">
        <w:t xml:space="preserve">that the respondents had not </w:t>
      </w:r>
      <w:r w:rsidR="00B43F7D">
        <w:lastRenderedPageBreak/>
        <w:t xml:space="preserve">infringed the patent </w:t>
      </w:r>
      <w:r w:rsidR="004362F3">
        <w:t>was upheld</w:t>
      </w:r>
      <w:r w:rsidR="00B43F7D">
        <w:t xml:space="preserve">; further, the </w:t>
      </w:r>
      <w:r>
        <w:t xml:space="preserve">respondents </w:t>
      </w:r>
      <w:r w:rsidR="00B43F7D">
        <w:t>succeeded on all other issues raised by the appeal</w:t>
      </w:r>
      <w:r>
        <w:t xml:space="preserve">.  The </w:t>
      </w:r>
      <w:r w:rsidR="00B43F7D">
        <w:t xml:space="preserve">issues in respect of which the </w:t>
      </w:r>
      <w:r>
        <w:t xml:space="preserve">respondents succeeded </w:t>
      </w:r>
      <w:r w:rsidR="00B43F7D">
        <w:t>were as follows:</w:t>
      </w:r>
    </w:p>
    <w:p w14:paraId="3C4E32BB" w14:textId="77777777" w:rsidR="00F54F4E" w:rsidRDefault="00F54F4E" w:rsidP="002C062A">
      <w:pPr>
        <w:pStyle w:val="ListNo1alt"/>
        <w:numPr>
          <w:ilvl w:val="0"/>
          <w:numId w:val="27"/>
        </w:numPr>
      </w:pPr>
      <w:r>
        <w:t>In relation to the 627 patent:</w:t>
      </w:r>
      <w:r w:rsidR="00874782" w:rsidRPr="00874782">
        <w:t xml:space="preserve"> </w:t>
      </w:r>
      <w:r w:rsidR="00874782">
        <w:t xml:space="preserve">Grounds 1 and 2, which </w:t>
      </w:r>
      <w:r w:rsidR="00874782" w:rsidRPr="00F54F4E">
        <w:t>challenge</w:t>
      </w:r>
      <w:r w:rsidR="00874782">
        <w:t>d</w:t>
      </w:r>
      <w:r w:rsidR="00874782" w:rsidRPr="00F54F4E">
        <w:t xml:space="preserve"> the correctness of the primary judge’s findings as to the meaning of “</w:t>
      </w:r>
      <w:proofErr w:type="spellStart"/>
      <w:r w:rsidR="00874782" w:rsidRPr="00F54F4E">
        <w:t>embossings</w:t>
      </w:r>
      <w:proofErr w:type="spellEnd"/>
      <w:r w:rsidR="00874782" w:rsidRPr="00F54F4E">
        <w:t>” as used in claims 1 and 2, and the correctness of the finding that the version 5 capsule did not infringe the 627 patent</w:t>
      </w:r>
      <w:r w:rsidR="00874782">
        <w:t xml:space="preserve"> (dealt with at [48]-[76] of </w:t>
      </w:r>
      <w:proofErr w:type="spellStart"/>
      <w:r w:rsidR="00486162">
        <w:rPr>
          <w:i/>
        </w:rPr>
        <w:t>Caffitaly</w:t>
      </w:r>
      <w:proofErr w:type="spellEnd"/>
      <w:r w:rsidR="00486162">
        <w:rPr>
          <w:i/>
        </w:rPr>
        <w:t xml:space="preserve"> (No </w:t>
      </w:r>
      <w:r w:rsidR="00874782" w:rsidRPr="00F54F4E">
        <w:rPr>
          <w:i/>
        </w:rPr>
        <w:t>1)</w:t>
      </w:r>
      <w:r w:rsidR="00874782">
        <w:t>).</w:t>
      </w:r>
    </w:p>
    <w:p w14:paraId="1EFD0415" w14:textId="77777777" w:rsidR="00F54F4E" w:rsidRDefault="00F54F4E" w:rsidP="002C062A">
      <w:pPr>
        <w:pStyle w:val="ListNo1alt"/>
        <w:numPr>
          <w:ilvl w:val="0"/>
          <w:numId w:val="27"/>
        </w:numPr>
      </w:pPr>
      <w:r>
        <w:t>In relation to the 121 patent:</w:t>
      </w:r>
    </w:p>
    <w:p w14:paraId="6B924C6E" w14:textId="77777777" w:rsidR="00F54F4E" w:rsidRDefault="00874782" w:rsidP="00F54F4E">
      <w:pPr>
        <w:pStyle w:val="ListNo2alt"/>
      </w:pPr>
      <w:r>
        <w:t xml:space="preserve">Grounds 5(a) and (b), which challenged the primary judge’s construction of the patent (dealt with at [138]-[143] of </w:t>
      </w:r>
      <w:proofErr w:type="spellStart"/>
      <w:r w:rsidRPr="00874782">
        <w:rPr>
          <w:i/>
        </w:rPr>
        <w:t>Caffitaly</w:t>
      </w:r>
      <w:proofErr w:type="spellEnd"/>
      <w:r w:rsidRPr="00874782">
        <w:rPr>
          <w:i/>
        </w:rPr>
        <w:t xml:space="preserve"> (No</w:t>
      </w:r>
      <w:r w:rsidR="00486162">
        <w:rPr>
          <w:i/>
        </w:rPr>
        <w:t> </w:t>
      </w:r>
      <w:r w:rsidRPr="00874782">
        <w:rPr>
          <w:i/>
        </w:rPr>
        <w:t>1)</w:t>
      </w:r>
      <w:r>
        <w:t>).</w:t>
      </w:r>
    </w:p>
    <w:p w14:paraId="668AF7A4" w14:textId="77777777" w:rsidR="00874782" w:rsidRDefault="00874782" w:rsidP="00F54F4E">
      <w:pPr>
        <w:pStyle w:val="ListNo2alt"/>
      </w:pPr>
      <w:r>
        <w:t>Grounds 5(c) and (d) and 6, which related to infringement (dealt with at [144]</w:t>
      </w:r>
      <w:r w:rsidRPr="00874782">
        <w:t xml:space="preserve"> </w:t>
      </w:r>
      <w:r>
        <w:t xml:space="preserve">of </w:t>
      </w:r>
      <w:proofErr w:type="spellStart"/>
      <w:r w:rsidR="00486162">
        <w:rPr>
          <w:i/>
        </w:rPr>
        <w:t>Caffitaly</w:t>
      </w:r>
      <w:proofErr w:type="spellEnd"/>
      <w:r w:rsidR="00486162">
        <w:rPr>
          <w:i/>
        </w:rPr>
        <w:t xml:space="preserve"> (No </w:t>
      </w:r>
      <w:r w:rsidRPr="00874782">
        <w:rPr>
          <w:i/>
        </w:rPr>
        <w:t>1)</w:t>
      </w:r>
      <w:r>
        <w:t>).</w:t>
      </w:r>
    </w:p>
    <w:p w14:paraId="7C4B4D21" w14:textId="77777777" w:rsidR="00874782" w:rsidRDefault="00874782" w:rsidP="00F54F4E">
      <w:pPr>
        <w:pStyle w:val="ListNo2alt"/>
      </w:pPr>
      <w:r>
        <w:t>Grounds 7 to 9, which challenged the primary judge’s conclusion that the relevant claims lacked an inventive step (dealt with at [145]-[159]</w:t>
      </w:r>
      <w:r w:rsidRPr="00874782">
        <w:t xml:space="preserve"> </w:t>
      </w:r>
      <w:r>
        <w:t xml:space="preserve">of </w:t>
      </w:r>
      <w:proofErr w:type="spellStart"/>
      <w:r w:rsidRPr="00874782">
        <w:rPr>
          <w:i/>
        </w:rPr>
        <w:t>Caffitaly</w:t>
      </w:r>
      <w:proofErr w:type="spellEnd"/>
      <w:r w:rsidRPr="00874782">
        <w:rPr>
          <w:i/>
        </w:rPr>
        <w:t xml:space="preserve"> (No</w:t>
      </w:r>
      <w:r w:rsidR="009434F9">
        <w:rPr>
          <w:i/>
        </w:rPr>
        <w:t> </w:t>
      </w:r>
      <w:r w:rsidRPr="00874782">
        <w:rPr>
          <w:i/>
        </w:rPr>
        <w:t>1)</w:t>
      </w:r>
      <w:r>
        <w:t>).</w:t>
      </w:r>
    </w:p>
    <w:p w14:paraId="6FDAE32C" w14:textId="77777777" w:rsidR="00F54F4E" w:rsidRDefault="00F54F4E" w:rsidP="002C062A">
      <w:pPr>
        <w:pStyle w:val="ListNo1alt"/>
        <w:numPr>
          <w:ilvl w:val="0"/>
          <w:numId w:val="27"/>
        </w:numPr>
      </w:pPr>
      <w:r>
        <w:t>In relation to the 388 patent:</w:t>
      </w:r>
      <w:r w:rsidR="00164100" w:rsidRPr="00164100">
        <w:t xml:space="preserve"> </w:t>
      </w:r>
      <w:r w:rsidR="00164100">
        <w:t>Grounds 10 and 11, which challenged the primary judge’s conclusion that certain claims were invalid on the ground of insufficiency (dealt with at [188]-[208]</w:t>
      </w:r>
      <w:r w:rsidR="00164100" w:rsidRPr="00874782">
        <w:t xml:space="preserve"> </w:t>
      </w:r>
      <w:r w:rsidR="00164100">
        <w:t xml:space="preserve">of </w:t>
      </w:r>
      <w:proofErr w:type="spellStart"/>
      <w:r w:rsidR="00164100" w:rsidRPr="00874782">
        <w:rPr>
          <w:i/>
        </w:rPr>
        <w:t>Caffitaly</w:t>
      </w:r>
      <w:proofErr w:type="spellEnd"/>
      <w:r w:rsidR="00164100" w:rsidRPr="00874782">
        <w:rPr>
          <w:i/>
        </w:rPr>
        <w:t xml:space="preserve"> (No</w:t>
      </w:r>
      <w:r w:rsidR="009434F9">
        <w:rPr>
          <w:i/>
        </w:rPr>
        <w:t> </w:t>
      </w:r>
      <w:r w:rsidR="00164100" w:rsidRPr="00874782">
        <w:rPr>
          <w:i/>
        </w:rPr>
        <w:t>1)</w:t>
      </w:r>
      <w:r w:rsidR="00164100">
        <w:t>).</w:t>
      </w:r>
    </w:p>
    <w:p w14:paraId="3B49F650" w14:textId="77777777" w:rsidR="004362F3" w:rsidRDefault="004362F3" w:rsidP="00960BCC">
      <w:pPr>
        <w:pStyle w:val="ParaNumbering"/>
      </w:pPr>
      <w:r>
        <w:t xml:space="preserve">In the circumstances of this case, as outlined above, we consider it appropriate that </w:t>
      </w:r>
      <w:proofErr w:type="spellStart"/>
      <w:r>
        <w:t>Caffitaly</w:t>
      </w:r>
      <w:proofErr w:type="spellEnd"/>
      <w:r>
        <w:t xml:space="preserve"> pay all of the costs of the appeal notwithstanding its suc</w:t>
      </w:r>
      <w:r w:rsidR="00B43F7D">
        <w:t>cess in relation to one issue.</w:t>
      </w:r>
    </w:p>
    <w:p w14:paraId="1F7B211F" w14:textId="77777777" w:rsidR="004362F3" w:rsidRDefault="004362F3" w:rsidP="00104117">
      <w:pPr>
        <w:pStyle w:val="ParaNumbering"/>
      </w:pPr>
      <w:r>
        <w:t>As for the costs of the proceeding at first instance, for similar reasons, we do not consider it appropriate to vary the costs order</w:t>
      </w:r>
      <w:r w:rsidR="00B43F7D">
        <w:t>s</w:t>
      </w:r>
      <w:r>
        <w:t xml:space="preserve"> made by the primary judge. </w:t>
      </w:r>
      <w:r w:rsidR="009434F9">
        <w:t xml:space="preserve"> </w:t>
      </w:r>
      <w:r>
        <w:t xml:space="preserve">Although </w:t>
      </w:r>
      <w:proofErr w:type="spellStart"/>
      <w:r>
        <w:t>Caffitaly</w:t>
      </w:r>
      <w:proofErr w:type="spellEnd"/>
      <w:r>
        <w:t xml:space="preserve"> has succeeded in relation to the validity of the </w:t>
      </w:r>
      <w:r w:rsidR="003C3C9C">
        <w:t xml:space="preserve">relevant claims of the </w:t>
      </w:r>
      <w:r>
        <w:t xml:space="preserve">627 patent, this issue </w:t>
      </w:r>
      <w:r w:rsidR="003C3C9C">
        <w:t xml:space="preserve">was raised defensively by the respondents.  Further, as noted above, </w:t>
      </w:r>
      <w:proofErr w:type="spellStart"/>
      <w:r w:rsidR="003C3C9C">
        <w:t>Caffitaly’s</w:t>
      </w:r>
      <w:proofErr w:type="spellEnd"/>
      <w:r w:rsidR="003C3C9C">
        <w:t xml:space="preserve"> success on this issue is of </w:t>
      </w:r>
      <w:r>
        <w:t>no or only limited significance for the respondents given their succes</w:t>
      </w:r>
      <w:r w:rsidR="003C3C9C">
        <w:t>s in relation to infringement.</w:t>
      </w:r>
      <w:r w:rsidR="009434F9">
        <w:t xml:space="preserve"> </w:t>
      </w:r>
      <w:r w:rsidR="00B43F7D">
        <w:t xml:space="preserve"> </w:t>
      </w:r>
      <w:r>
        <w:t>In relation to the other patents, the conclusions of the primary judge have not been disturbed on</w:t>
      </w:r>
      <w:r w:rsidR="00B43F7D">
        <w:t xml:space="preserve"> appeal.</w:t>
      </w:r>
      <w:r w:rsidR="00FD6B83">
        <w:t xml:space="preserve">  In light of these conclusions, it is unnecessary for us to consider the submissions made by the respondents regarding </w:t>
      </w:r>
      <w:proofErr w:type="spellStart"/>
      <w:r w:rsidR="00FD6B83">
        <w:t>Caffitaly’s</w:t>
      </w:r>
      <w:proofErr w:type="spellEnd"/>
      <w:r w:rsidR="00FD6B83">
        <w:t xml:space="preserve"> conduct of the case </w:t>
      </w:r>
      <w:r w:rsidR="004A2857">
        <w:t xml:space="preserve">at first instance insofar as it </w:t>
      </w:r>
      <w:r w:rsidR="003E4BD2">
        <w:t xml:space="preserve">related to </w:t>
      </w:r>
      <w:r w:rsidR="00FD6B83">
        <w:t>the 627 patent.</w:t>
      </w:r>
    </w:p>
    <w:p w14:paraId="51B275BB" w14:textId="4E52812D" w:rsidR="004362F3" w:rsidRDefault="004362F3" w:rsidP="00960BCC">
      <w:pPr>
        <w:pStyle w:val="ParaNumbering"/>
      </w:pPr>
      <w:r>
        <w:t>We will therefore make orders that:</w:t>
      </w:r>
    </w:p>
    <w:p w14:paraId="19138499" w14:textId="73A8D2CA" w:rsidR="00155741" w:rsidRDefault="00155741" w:rsidP="00155741">
      <w:pPr>
        <w:pStyle w:val="ListNo1alt"/>
        <w:numPr>
          <w:ilvl w:val="0"/>
          <w:numId w:val="30"/>
        </w:numPr>
      </w:pPr>
      <w:proofErr w:type="spellStart"/>
      <w:r>
        <w:t>Caffitaly</w:t>
      </w:r>
      <w:proofErr w:type="spellEnd"/>
      <w:r>
        <w:t xml:space="preserve"> pay the respondents’ costs of the appeal, as agreed or assessed.</w:t>
      </w:r>
    </w:p>
    <w:p w14:paraId="4E3284D9" w14:textId="75451453" w:rsidR="00155741" w:rsidRDefault="00155741" w:rsidP="00155741">
      <w:pPr>
        <w:pStyle w:val="ListNo1alt"/>
        <w:numPr>
          <w:ilvl w:val="0"/>
          <w:numId w:val="30"/>
        </w:numPr>
      </w:pPr>
      <w:r>
        <w:lastRenderedPageBreak/>
        <w:t>There be no variation to the costs orders made by the primary judge with respect to the proceeding at first instance.</w:t>
      </w:r>
    </w:p>
    <w:p w14:paraId="36890211" w14:textId="77777777" w:rsidR="00155741" w:rsidRDefault="00155741" w:rsidP="00815065">
      <w:pPr>
        <w:pStyle w:val="BodyText"/>
      </w:pPr>
      <w:bookmarkStart w:id="23" w:name="Certification"/>
    </w:p>
    <w:tbl>
      <w:tblPr>
        <w:tblW w:w="0" w:type="auto"/>
        <w:tblLook w:val="04A0" w:firstRow="1" w:lastRow="0" w:firstColumn="1" w:lastColumn="0" w:noHBand="0" w:noVBand="1"/>
      </w:tblPr>
      <w:tblGrid>
        <w:gridCol w:w="3794"/>
      </w:tblGrid>
      <w:tr w:rsidR="00155741" w:rsidRPr="00155741" w14:paraId="2DCD9706" w14:textId="77777777">
        <w:tc>
          <w:tcPr>
            <w:tcW w:w="3794" w:type="dxa"/>
            <w:shd w:val="clear" w:color="auto" w:fill="auto"/>
          </w:tcPr>
          <w:p w14:paraId="4121191F" w14:textId="12E704D6" w:rsidR="00155741" w:rsidRPr="00155741" w:rsidRDefault="00155741" w:rsidP="00155741">
            <w:pPr>
              <w:pStyle w:val="Normal1linespace"/>
            </w:pPr>
            <w:r w:rsidRPr="00155741">
              <w:t xml:space="preserve">I certify that the preceding </w:t>
            </w:r>
            <w:bookmarkStart w:id="24" w:name="NumberWord"/>
            <w:r>
              <w:t>twelve</w:t>
            </w:r>
            <w:bookmarkEnd w:id="24"/>
            <w:r w:rsidRPr="00155741">
              <w:t xml:space="preserve"> (</w:t>
            </w:r>
            <w:bookmarkStart w:id="25" w:name="NumberNumeral"/>
            <w:r>
              <w:t>12</w:t>
            </w:r>
            <w:bookmarkEnd w:id="25"/>
            <w:r w:rsidRPr="00155741">
              <w:t xml:space="preserve">) numbered </w:t>
            </w:r>
            <w:bookmarkStart w:id="26" w:name="CertPara"/>
            <w:r>
              <w:t>paragraphs are</w:t>
            </w:r>
            <w:bookmarkEnd w:id="26"/>
            <w:r w:rsidRPr="00155741">
              <w:t xml:space="preserve"> a true copy of the Reasons for Judgment of </w:t>
            </w:r>
            <w:bookmarkStart w:id="27" w:name="bkHonourable"/>
            <w:r w:rsidRPr="00155741">
              <w:t xml:space="preserve">the Honourable </w:t>
            </w:r>
            <w:bookmarkStart w:id="28" w:name="Justice"/>
            <w:bookmarkEnd w:id="27"/>
            <w:r>
              <w:t>Justices Yates, Moshinsky and Burley</w:t>
            </w:r>
            <w:bookmarkEnd w:id="28"/>
            <w:r w:rsidRPr="00155741">
              <w:t>.</w:t>
            </w:r>
          </w:p>
        </w:tc>
      </w:tr>
    </w:tbl>
    <w:p w14:paraId="43279613" w14:textId="77777777" w:rsidR="00155741" w:rsidRDefault="00155741" w:rsidP="00815065">
      <w:pPr>
        <w:pStyle w:val="BodyText"/>
      </w:pPr>
    </w:p>
    <w:p w14:paraId="20F3A805" w14:textId="4881F36C" w:rsidR="00155741" w:rsidRDefault="00155741" w:rsidP="009F043A">
      <w:pPr>
        <w:pStyle w:val="BodyText"/>
        <w:tabs>
          <w:tab w:val="left" w:pos="2216"/>
        </w:tabs>
      </w:pPr>
      <w:bookmarkStart w:id="29" w:name="_GoBack"/>
      <w:bookmarkEnd w:id="29"/>
    </w:p>
    <w:p w14:paraId="3E817D51" w14:textId="77777777" w:rsidR="00155741" w:rsidRDefault="00155741" w:rsidP="00815065">
      <w:pPr>
        <w:pStyle w:val="BodyText"/>
      </w:pPr>
      <w:r>
        <w:t>Associate:</w:t>
      </w:r>
    </w:p>
    <w:p w14:paraId="08B15A6E" w14:textId="382FF5A7" w:rsidR="00155741" w:rsidRDefault="00155741" w:rsidP="00815065">
      <w:pPr>
        <w:pStyle w:val="BodyText"/>
      </w:pPr>
    </w:p>
    <w:p w14:paraId="16E6E4D0" w14:textId="165C8B73" w:rsidR="00155741" w:rsidRDefault="00155741" w:rsidP="00815065">
      <w:pPr>
        <w:pStyle w:val="BodyText"/>
        <w:tabs>
          <w:tab w:val="left" w:pos="1134"/>
        </w:tabs>
      </w:pPr>
      <w:r>
        <w:t>Dated:</w:t>
      </w:r>
      <w:r>
        <w:tab/>
      </w:r>
      <w:bookmarkStart w:id="30" w:name="CertifyDated"/>
      <w:r w:rsidR="009F043A">
        <w:t>15</w:t>
      </w:r>
      <w:r>
        <w:t xml:space="preserve"> September 2021</w:t>
      </w:r>
      <w:bookmarkEnd w:id="30"/>
    </w:p>
    <w:p w14:paraId="32E4B18A" w14:textId="77777777" w:rsidR="00155741" w:rsidRDefault="00155741" w:rsidP="00815065">
      <w:pPr>
        <w:pStyle w:val="BodyText"/>
      </w:pPr>
    </w:p>
    <w:bookmarkEnd w:id="23"/>
    <w:sectPr w:rsidR="00155741"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C538" w14:textId="77777777" w:rsidR="00983708" w:rsidRDefault="00983708">
      <w:pPr>
        <w:spacing w:line="20" w:lineRule="exact"/>
      </w:pPr>
    </w:p>
    <w:p w14:paraId="7BB1BEEC" w14:textId="77777777" w:rsidR="00983708" w:rsidRDefault="00983708"/>
    <w:p w14:paraId="6CF64BCF" w14:textId="77777777" w:rsidR="00983708" w:rsidRDefault="00983708"/>
  </w:endnote>
  <w:endnote w:type="continuationSeparator" w:id="0">
    <w:p w14:paraId="5692E376" w14:textId="77777777" w:rsidR="00983708" w:rsidRDefault="00983708">
      <w:r>
        <w:t xml:space="preserve"> </w:t>
      </w:r>
    </w:p>
    <w:p w14:paraId="5C2D17C2" w14:textId="77777777" w:rsidR="00983708" w:rsidRDefault="00983708"/>
    <w:p w14:paraId="48F54AE9" w14:textId="77777777" w:rsidR="00983708" w:rsidRDefault="00983708"/>
  </w:endnote>
  <w:endnote w:type="continuationNotice" w:id="1">
    <w:p w14:paraId="2BB3333A" w14:textId="77777777" w:rsidR="00983708" w:rsidRDefault="00983708">
      <w:r>
        <w:t xml:space="preserve"> </w:t>
      </w:r>
    </w:p>
    <w:p w14:paraId="14C0F1EB" w14:textId="77777777" w:rsidR="00983708" w:rsidRDefault="00983708"/>
    <w:p w14:paraId="490D808A" w14:textId="77777777" w:rsidR="00983708" w:rsidRDefault="0098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7A18" w14:textId="77777777" w:rsidR="00155741" w:rsidRDefault="0015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652" w14:textId="18674893"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24B42C0" wp14:editId="5C4C8F0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8D3F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9A1CBD">
          <w:rPr>
            <w:bCs/>
            <w:sz w:val="18"/>
            <w:szCs w:val="18"/>
          </w:rPr>
          <w:t>Caffitaly</w:t>
        </w:r>
        <w:proofErr w:type="spellEnd"/>
        <w:r w:rsidR="009A1CBD">
          <w:rPr>
            <w:bCs/>
            <w:sz w:val="18"/>
            <w:szCs w:val="18"/>
          </w:rPr>
          <w:t xml:space="preserve"> System S.P.A. v One Collective Group Pty Ltd (No 2) [2021] FCAFC 164</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2089" w14:textId="264F779C" w:rsidR="00395B24" w:rsidRPr="00155741" w:rsidRDefault="00395B24" w:rsidP="00155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0B59" w14:textId="6F2F76B0"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017B9C4" wp14:editId="293E4CD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383F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D0A61DFDCAC42D5AA21A5060D9F745A"/>
        </w:placeholder>
        <w:dataBinding w:prefixMappings="xmlns:ns0='http://schemas.globalmacros.com/FCA'" w:xpath="/ns0:root[1]/ns0:Name[1]" w:storeItemID="{687E7CCB-4AA5-44E7-B148-17BA2B6F57C0}"/>
        <w:text w:multiLine="1"/>
      </w:sdtPr>
      <w:sdtEndPr/>
      <w:sdtContent>
        <w:proofErr w:type="spellStart"/>
        <w:r w:rsidR="009A1CBD">
          <w:rPr>
            <w:bCs/>
            <w:sz w:val="18"/>
            <w:szCs w:val="18"/>
          </w:rPr>
          <w:t>Caffitaly</w:t>
        </w:r>
        <w:proofErr w:type="spellEnd"/>
        <w:r w:rsidR="009A1CBD">
          <w:rPr>
            <w:bCs/>
            <w:sz w:val="18"/>
            <w:szCs w:val="18"/>
          </w:rPr>
          <w:t xml:space="preserve"> System S.P.A. v One Collective Group Pty Ltd (No 2) [2021] FCAFC 164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4289" w14:textId="4BF15DBB"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61706F6" wp14:editId="4C72E29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3FE5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E28A8D027F445B986AF00777F75ED5C"/>
        </w:placeholder>
        <w:dataBinding w:prefixMappings="xmlns:ns0='http://schemas.globalmacros.com/FCA'" w:xpath="/ns0:root[1]/ns0:Name[1]" w:storeItemID="{687E7CCB-4AA5-44E7-B148-17BA2B6F57C0}"/>
        <w:text w:multiLine="1"/>
      </w:sdtPr>
      <w:sdtEndPr/>
      <w:sdtContent>
        <w:proofErr w:type="spellStart"/>
        <w:r w:rsidR="009A1CBD">
          <w:rPr>
            <w:bCs/>
            <w:sz w:val="18"/>
            <w:szCs w:val="18"/>
          </w:rPr>
          <w:t>Caffitaly</w:t>
        </w:r>
        <w:proofErr w:type="spellEnd"/>
        <w:r w:rsidR="009A1CBD">
          <w:rPr>
            <w:bCs/>
            <w:sz w:val="18"/>
            <w:szCs w:val="18"/>
          </w:rPr>
          <w:t xml:space="preserve"> System S.P.A. v One Collective Group Pty Ltd (No 2) [2021] FCAFC 164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46FA6">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3DE" w14:textId="6CCE7830"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E6B5873" wp14:editId="272D2A5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C904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3407D9F88CD45138F5B2C6744436FEE"/>
        </w:placeholder>
        <w:dataBinding w:prefixMappings="xmlns:ns0='http://schemas.globalmacros.com/FCA'" w:xpath="/ns0:root[1]/ns0:Name[1]" w:storeItemID="{687E7CCB-4AA5-44E7-B148-17BA2B6F57C0}"/>
        <w:text w:multiLine="1"/>
      </w:sdtPr>
      <w:sdtEndPr/>
      <w:sdtContent>
        <w:proofErr w:type="spellStart"/>
        <w:r w:rsidR="009A1CBD">
          <w:rPr>
            <w:bCs/>
            <w:sz w:val="18"/>
            <w:szCs w:val="18"/>
          </w:rPr>
          <w:t>Caffitaly</w:t>
        </w:r>
        <w:proofErr w:type="spellEnd"/>
        <w:r w:rsidR="009A1CBD">
          <w:rPr>
            <w:bCs/>
            <w:sz w:val="18"/>
            <w:szCs w:val="18"/>
          </w:rPr>
          <w:t xml:space="preserve"> System S.P.A. v One Collective Group Pty Ltd (No 2) [2021] FCAFC 164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46FA6">
      <w:rPr>
        <w:bCs/>
        <w:noProof/>
        <w:sz w:val="20"/>
      </w:rPr>
      <w:t>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FB95" w14:textId="66EBCAB7"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ABD26B1" wp14:editId="15820FC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E28B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EB69E4AC4A244D08CBDCC94925BFBC7"/>
        </w:placeholder>
        <w:dataBinding w:prefixMappings="xmlns:ns0='http://schemas.globalmacros.com/FCA'" w:xpath="/ns0:root[1]/ns0:Name[1]" w:storeItemID="{687E7CCB-4AA5-44E7-B148-17BA2B6F57C0}"/>
        <w:text w:multiLine="1"/>
      </w:sdtPr>
      <w:sdtEndPr/>
      <w:sdtContent>
        <w:proofErr w:type="spellStart"/>
        <w:r w:rsidR="009A1CBD">
          <w:rPr>
            <w:bCs/>
            <w:sz w:val="18"/>
            <w:szCs w:val="18"/>
          </w:rPr>
          <w:t>Caffitaly</w:t>
        </w:r>
        <w:proofErr w:type="spellEnd"/>
        <w:r w:rsidR="009A1CBD">
          <w:rPr>
            <w:bCs/>
            <w:sz w:val="18"/>
            <w:szCs w:val="18"/>
          </w:rPr>
          <w:t xml:space="preserve"> System S.P.A. v One Collective Group Pty Ltd (No 2) [2021] FCAFC 164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46FA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7B3D" w14:textId="77777777" w:rsidR="00983708" w:rsidRDefault="00983708"/>
    <w:p w14:paraId="1EE4C341" w14:textId="77777777" w:rsidR="00983708" w:rsidRDefault="00983708"/>
    <w:p w14:paraId="49236443" w14:textId="77777777" w:rsidR="00983708" w:rsidRDefault="00983708"/>
  </w:footnote>
  <w:footnote w:type="continuationSeparator" w:id="0">
    <w:p w14:paraId="0255A8D3" w14:textId="77777777" w:rsidR="00983708" w:rsidRDefault="00983708">
      <w:r>
        <w:continuationSeparator/>
      </w:r>
    </w:p>
    <w:p w14:paraId="2B3A685E" w14:textId="77777777" w:rsidR="00983708" w:rsidRDefault="00983708"/>
    <w:p w14:paraId="7AC29D16" w14:textId="77777777" w:rsidR="00983708" w:rsidRDefault="009837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52C2" w14:textId="77777777" w:rsidR="00155741" w:rsidRDefault="00155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E47D" w14:textId="77777777" w:rsidR="00155741" w:rsidRDefault="00155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C26D" w14:textId="77777777" w:rsidR="00155741" w:rsidRDefault="001557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CA6D"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2A01"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DB1"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8ACF"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0100"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affitaly System S.p.A."/>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755 of 2020"/>
    <w:docVar w:name="grpRadioJudges" w:val="Justice"/>
    <w:docVar w:name="Initiators" w:val="(and another named in the Schedule)"/>
    <w:docVar w:name="Judgdate" w:val="## September 2021"/>
    <w:docVar w:name="Judge" w:val="Yates, Moshinsky and Burley"/>
    <w:docVar w:name="JudgeType" w:val="Justice"/>
    <w:docVar w:name="lstEntryList" w:val="-1"/>
    <w:docVar w:name="myEntryList" w:val="Counsel for the Appellant=AR Lang S.C.|Solicitor for the Appellant=Bird &amp; Bird|Counsel for the Respondents=C Dimitriadis S.C. with JS Cooke and AE McDonald|Solicitor for the Respondents=Barry Nilsson Lawyers"/>
    <w:docVar w:name="NSD" w:val="NSD "/>
    <w:docVar w:name="NumApps" w:val="1"/>
    <w:docVar w:name="NumApps_" w:val="1"/>
    <w:docVar w:name="NumCrossResps" w:val="0"/>
    <w:docVar w:name="NumDefs" w:val="3"/>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Intellectual Property"/>
    <w:docVar w:name="RadioJudge" w:val="False"/>
    <w:docVar w:name="RadioJustice" w:val="True"/>
    <w:docVar w:name="RadioJustices" w:val="False"/>
    <w:docVar w:name="RESAndAnother" w:val="True"/>
    <w:docVar w:name="RESAndOthers" w:val="False"/>
    <w:docVar w:name="Respondent" w:val="One Collective Group Pty Ltd (ACN 604 582 854)|Trent Knox|Julia Tink"/>
    <w:docVar w:name="ResState" w:val="New South Wales"/>
    <w:docVar w:name="SubArea" w:val="Patents and associated Statutes (IP)"/>
  </w:docVars>
  <w:rsids>
    <w:rsidRoot w:val="00D4601A"/>
    <w:rsid w:val="00000747"/>
    <w:rsid w:val="000115C5"/>
    <w:rsid w:val="0001469E"/>
    <w:rsid w:val="00015993"/>
    <w:rsid w:val="00021CCB"/>
    <w:rsid w:val="00022289"/>
    <w:rsid w:val="00027398"/>
    <w:rsid w:val="0003201A"/>
    <w:rsid w:val="0003207A"/>
    <w:rsid w:val="00032F9F"/>
    <w:rsid w:val="00041C07"/>
    <w:rsid w:val="00044C9B"/>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741"/>
    <w:rsid w:val="00155CD2"/>
    <w:rsid w:val="00164100"/>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D6947"/>
    <w:rsid w:val="001D7CCA"/>
    <w:rsid w:val="001E3B49"/>
    <w:rsid w:val="001E4A05"/>
    <w:rsid w:val="001E7388"/>
    <w:rsid w:val="001F13DD"/>
    <w:rsid w:val="001F2473"/>
    <w:rsid w:val="001F2DBC"/>
    <w:rsid w:val="001F73E8"/>
    <w:rsid w:val="0020262C"/>
    <w:rsid w:val="00202723"/>
    <w:rsid w:val="002036A2"/>
    <w:rsid w:val="00211A3E"/>
    <w:rsid w:val="00215BCA"/>
    <w:rsid w:val="00217AC4"/>
    <w:rsid w:val="00221461"/>
    <w:rsid w:val="00224537"/>
    <w:rsid w:val="00235956"/>
    <w:rsid w:val="00243E5E"/>
    <w:rsid w:val="00247C9A"/>
    <w:rsid w:val="0025160C"/>
    <w:rsid w:val="00253162"/>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71C0"/>
    <w:rsid w:val="002B7A34"/>
    <w:rsid w:val="002C062A"/>
    <w:rsid w:val="002C31AD"/>
    <w:rsid w:val="002C7385"/>
    <w:rsid w:val="002D2DBB"/>
    <w:rsid w:val="002D37D8"/>
    <w:rsid w:val="002D54A6"/>
    <w:rsid w:val="002E5BF9"/>
    <w:rsid w:val="002E6A7A"/>
    <w:rsid w:val="002E7865"/>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3C9C"/>
    <w:rsid w:val="003C550A"/>
    <w:rsid w:val="003C6055"/>
    <w:rsid w:val="003D2650"/>
    <w:rsid w:val="003D560C"/>
    <w:rsid w:val="003D5C00"/>
    <w:rsid w:val="003E3154"/>
    <w:rsid w:val="003E4BD2"/>
    <w:rsid w:val="003E5874"/>
    <w:rsid w:val="003E72D3"/>
    <w:rsid w:val="003F193E"/>
    <w:rsid w:val="003F242C"/>
    <w:rsid w:val="003F34F1"/>
    <w:rsid w:val="004104B6"/>
    <w:rsid w:val="00411AE8"/>
    <w:rsid w:val="00413B74"/>
    <w:rsid w:val="004342F3"/>
    <w:rsid w:val="00435C5F"/>
    <w:rsid w:val="00436155"/>
    <w:rsid w:val="004362F3"/>
    <w:rsid w:val="00441E98"/>
    <w:rsid w:val="00450F3A"/>
    <w:rsid w:val="004532F7"/>
    <w:rsid w:val="004602A3"/>
    <w:rsid w:val="00464D51"/>
    <w:rsid w:val="00472027"/>
    <w:rsid w:val="004804CF"/>
    <w:rsid w:val="00484962"/>
    <w:rsid w:val="00484F6D"/>
    <w:rsid w:val="00484FB7"/>
    <w:rsid w:val="0048554D"/>
    <w:rsid w:val="00486162"/>
    <w:rsid w:val="0049338A"/>
    <w:rsid w:val="0049417F"/>
    <w:rsid w:val="00496D41"/>
    <w:rsid w:val="004A2857"/>
    <w:rsid w:val="004A6602"/>
    <w:rsid w:val="004B3EFA"/>
    <w:rsid w:val="004C2A87"/>
    <w:rsid w:val="004C4D7B"/>
    <w:rsid w:val="004C4ED3"/>
    <w:rsid w:val="004C667B"/>
    <w:rsid w:val="004C7ECD"/>
    <w:rsid w:val="004D2EA5"/>
    <w:rsid w:val="004D32A6"/>
    <w:rsid w:val="004D53E5"/>
    <w:rsid w:val="004E6DC4"/>
    <w:rsid w:val="004F21C1"/>
    <w:rsid w:val="004F2F02"/>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03BF"/>
    <w:rsid w:val="005724F6"/>
    <w:rsid w:val="00573AC4"/>
    <w:rsid w:val="005801FC"/>
    <w:rsid w:val="00585BA9"/>
    <w:rsid w:val="00587359"/>
    <w:rsid w:val="00595016"/>
    <w:rsid w:val="00597AAE"/>
    <w:rsid w:val="005A222C"/>
    <w:rsid w:val="005A4DF8"/>
    <w:rsid w:val="005A78C8"/>
    <w:rsid w:val="005B1426"/>
    <w:rsid w:val="005B6142"/>
    <w:rsid w:val="005C04A8"/>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04FA"/>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4667B"/>
    <w:rsid w:val="00746FA6"/>
    <w:rsid w:val="007470BD"/>
    <w:rsid w:val="00760EC0"/>
    <w:rsid w:val="00764B1F"/>
    <w:rsid w:val="00767F41"/>
    <w:rsid w:val="007711BD"/>
    <w:rsid w:val="0078003A"/>
    <w:rsid w:val="00780771"/>
    <w:rsid w:val="007929CF"/>
    <w:rsid w:val="007A083B"/>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152C"/>
    <w:rsid w:val="007F4501"/>
    <w:rsid w:val="007F60DF"/>
    <w:rsid w:val="00801800"/>
    <w:rsid w:val="00801861"/>
    <w:rsid w:val="00801B5B"/>
    <w:rsid w:val="008216E7"/>
    <w:rsid w:val="00821AE9"/>
    <w:rsid w:val="00825BE6"/>
    <w:rsid w:val="008276B4"/>
    <w:rsid w:val="00831927"/>
    <w:rsid w:val="00837288"/>
    <w:rsid w:val="00841BD3"/>
    <w:rsid w:val="0084273D"/>
    <w:rsid w:val="00844E3F"/>
    <w:rsid w:val="00845A83"/>
    <w:rsid w:val="00846BB9"/>
    <w:rsid w:val="008649D5"/>
    <w:rsid w:val="008712BB"/>
    <w:rsid w:val="00874782"/>
    <w:rsid w:val="008830E7"/>
    <w:rsid w:val="00890EDE"/>
    <w:rsid w:val="00892B38"/>
    <w:rsid w:val="008A1741"/>
    <w:rsid w:val="008A2484"/>
    <w:rsid w:val="008A52F3"/>
    <w:rsid w:val="008A78BF"/>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34F9"/>
    <w:rsid w:val="00944C86"/>
    <w:rsid w:val="00947C02"/>
    <w:rsid w:val="00950BE6"/>
    <w:rsid w:val="00956815"/>
    <w:rsid w:val="00957DE8"/>
    <w:rsid w:val="00960ECB"/>
    <w:rsid w:val="009615D6"/>
    <w:rsid w:val="00967855"/>
    <w:rsid w:val="00974709"/>
    <w:rsid w:val="00980736"/>
    <w:rsid w:val="00981A39"/>
    <w:rsid w:val="00982D56"/>
    <w:rsid w:val="00983708"/>
    <w:rsid w:val="00983DBF"/>
    <w:rsid w:val="00987097"/>
    <w:rsid w:val="00991123"/>
    <w:rsid w:val="00991CAB"/>
    <w:rsid w:val="009A1CBD"/>
    <w:rsid w:val="009A3A9C"/>
    <w:rsid w:val="009B046C"/>
    <w:rsid w:val="009B13FA"/>
    <w:rsid w:val="009B1E2D"/>
    <w:rsid w:val="009B3C18"/>
    <w:rsid w:val="009C59FB"/>
    <w:rsid w:val="009C6F3B"/>
    <w:rsid w:val="009D1467"/>
    <w:rsid w:val="009D328D"/>
    <w:rsid w:val="009E4FA6"/>
    <w:rsid w:val="009E6D5F"/>
    <w:rsid w:val="009E7D93"/>
    <w:rsid w:val="009F043A"/>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4A00"/>
    <w:rsid w:val="00A61605"/>
    <w:rsid w:val="00A65F97"/>
    <w:rsid w:val="00A76C13"/>
    <w:rsid w:val="00A84FD0"/>
    <w:rsid w:val="00A92E79"/>
    <w:rsid w:val="00A950B6"/>
    <w:rsid w:val="00A95D45"/>
    <w:rsid w:val="00AB41C1"/>
    <w:rsid w:val="00AB4CF2"/>
    <w:rsid w:val="00AB6CCA"/>
    <w:rsid w:val="00AC223F"/>
    <w:rsid w:val="00AC33B1"/>
    <w:rsid w:val="00AD12A8"/>
    <w:rsid w:val="00AE023F"/>
    <w:rsid w:val="00AF3577"/>
    <w:rsid w:val="00AF35F9"/>
    <w:rsid w:val="00B00EB5"/>
    <w:rsid w:val="00B0424C"/>
    <w:rsid w:val="00B05C7D"/>
    <w:rsid w:val="00B15D57"/>
    <w:rsid w:val="00B16347"/>
    <w:rsid w:val="00B17D6E"/>
    <w:rsid w:val="00B2435E"/>
    <w:rsid w:val="00B346C3"/>
    <w:rsid w:val="00B4005C"/>
    <w:rsid w:val="00B4227E"/>
    <w:rsid w:val="00B43F7D"/>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3C02"/>
    <w:rsid w:val="00C27C6B"/>
    <w:rsid w:val="00C358BF"/>
    <w:rsid w:val="00C3594D"/>
    <w:rsid w:val="00C36442"/>
    <w:rsid w:val="00C400CE"/>
    <w:rsid w:val="00C410FD"/>
    <w:rsid w:val="00C457DE"/>
    <w:rsid w:val="00C47DD3"/>
    <w:rsid w:val="00C53562"/>
    <w:rsid w:val="00C539FB"/>
    <w:rsid w:val="00C66E57"/>
    <w:rsid w:val="00C74150"/>
    <w:rsid w:val="00C75594"/>
    <w:rsid w:val="00C85982"/>
    <w:rsid w:val="00C92E87"/>
    <w:rsid w:val="00C9435B"/>
    <w:rsid w:val="00CA0466"/>
    <w:rsid w:val="00CA246D"/>
    <w:rsid w:val="00CA50D9"/>
    <w:rsid w:val="00CB3054"/>
    <w:rsid w:val="00CB5636"/>
    <w:rsid w:val="00CB7C34"/>
    <w:rsid w:val="00CC3EE5"/>
    <w:rsid w:val="00CE425C"/>
    <w:rsid w:val="00CE58AC"/>
    <w:rsid w:val="00CF4DBD"/>
    <w:rsid w:val="00CF5A80"/>
    <w:rsid w:val="00D045EE"/>
    <w:rsid w:val="00D05091"/>
    <w:rsid w:val="00D075B2"/>
    <w:rsid w:val="00D10CA6"/>
    <w:rsid w:val="00D10F21"/>
    <w:rsid w:val="00D134CF"/>
    <w:rsid w:val="00D1573B"/>
    <w:rsid w:val="00D24806"/>
    <w:rsid w:val="00D34040"/>
    <w:rsid w:val="00D34E69"/>
    <w:rsid w:val="00D36C78"/>
    <w:rsid w:val="00D375EE"/>
    <w:rsid w:val="00D4601A"/>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1F4E"/>
    <w:rsid w:val="00E66B9F"/>
    <w:rsid w:val="00E70A6A"/>
    <w:rsid w:val="00E710D6"/>
    <w:rsid w:val="00E725CE"/>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3099"/>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54F4E"/>
    <w:rsid w:val="00F775AC"/>
    <w:rsid w:val="00F92355"/>
    <w:rsid w:val="00F93963"/>
    <w:rsid w:val="00F94291"/>
    <w:rsid w:val="00FA298A"/>
    <w:rsid w:val="00FA5B66"/>
    <w:rsid w:val="00FB30EB"/>
    <w:rsid w:val="00FB729B"/>
    <w:rsid w:val="00FB7982"/>
    <w:rsid w:val="00FC0734"/>
    <w:rsid w:val="00FC0FC5"/>
    <w:rsid w:val="00FC588F"/>
    <w:rsid w:val="00FC6879"/>
    <w:rsid w:val="00FD075A"/>
    <w:rsid w:val="00FD6B83"/>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91D56D"/>
  <w15:docId w15:val="{B8DC3E1C-2ED5-4B68-8158-AE822346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D7EBC9C224D0EBFF516C6DB964285"/>
        <w:category>
          <w:name w:val="General"/>
          <w:gallery w:val="placeholder"/>
        </w:category>
        <w:types>
          <w:type w:val="bbPlcHdr"/>
        </w:types>
        <w:behaviors>
          <w:behavior w:val="content"/>
        </w:behaviors>
        <w:guid w:val="{887D3F79-30AE-40AD-89E2-BD8333DF141E}"/>
      </w:docPartPr>
      <w:docPartBody>
        <w:p w:rsidR="00957574" w:rsidRDefault="00FA6782">
          <w:pPr>
            <w:pStyle w:val="E3ED7EBC9C224D0EBFF516C6DB964285"/>
          </w:pPr>
          <w:r>
            <w:rPr>
              <w:rStyle w:val="PlaceholderText"/>
            </w:rPr>
            <w:t>MNC Text</w:t>
          </w:r>
        </w:p>
      </w:docPartBody>
    </w:docPart>
    <w:docPart>
      <w:docPartPr>
        <w:name w:val="1D0A61DFDCAC42D5AA21A5060D9F745A"/>
        <w:category>
          <w:name w:val="General"/>
          <w:gallery w:val="placeholder"/>
        </w:category>
        <w:types>
          <w:type w:val="bbPlcHdr"/>
        </w:types>
        <w:behaviors>
          <w:behavior w:val="content"/>
        </w:behaviors>
        <w:guid w:val="{C6FCA1AD-FECF-47E4-80A3-61D6068A41FA}"/>
      </w:docPartPr>
      <w:docPartBody>
        <w:p w:rsidR="00957574" w:rsidRDefault="00FA6782">
          <w:pPr>
            <w:pStyle w:val="1D0A61DFDCAC42D5AA21A5060D9F745A"/>
          </w:pPr>
          <w:r w:rsidRPr="005C44BE">
            <w:rPr>
              <w:rStyle w:val="PlaceholderText"/>
            </w:rPr>
            <w:t>Click or tap here to enter text.</w:t>
          </w:r>
        </w:p>
      </w:docPartBody>
    </w:docPart>
    <w:docPart>
      <w:docPartPr>
        <w:name w:val="3E28A8D027F445B986AF00777F75ED5C"/>
        <w:category>
          <w:name w:val="General"/>
          <w:gallery w:val="placeholder"/>
        </w:category>
        <w:types>
          <w:type w:val="bbPlcHdr"/>
        </w:types>
        <w:behaviors>
          <w:behavior w:val="content"/>
        </w:behaviors>
        <w:guid w:val="{2F756065-0848-4921-AD3F-5AD563F6F9D9}"/>
      </w:docPartPr>
      <w:docPartBody>
        <w:p w:rsidR="00957574" w:rsidRDefault="00FA6782">
          <w:pPr>
            <w:pStyle w:val="3E28A8D027F445B986AF00777F75ED5C"/>
          </w:pPr>
          <w:r w:rsidRPr="005C44BE">
            <w:rPr>
              <w:rStyle w:val="PlaceholderText"/>
            </w:rPr>
            <w:t>Click or tap here to enter text.</w:t>
          </w:r>
        </w:p>
      </w:docPartBody>
    </w:docPart>
    <w:docPart>
      <w:docPartPr>
        <w:name w:val="53407D9F88CD45138F5B2C6744436FEE"/>
        <w:category>
          <w:name w:val="General"/>
          <w:gallery w:val="placeholder"/>
        </w:category>
        <w:types>
          <w:type w:val="bbPlcHdr"/>
        </w:types>
        <w:behaviors>
          <w:behavior w:val="content"/>
        </w:behaviors>
        <w:guid w:val="{0773D518-F52B-45CF-9AEA-39928BF31DF6}"/>
      </w:docPartPr>
      <w:docPartBody>
        <w:p w:rsidR="00957574" w:rsidRDefault="00FA6782">
          <w:pPr>
            <w:pStyle w:val="53407D9F88CD45138F5B2C6744436FEE"/>
          </w:pPr>
          <w:r w:rsidRPr="005C44BE">
            <w:rPr>
              <w:rStyle w:val="PlaceholderText"/>
            </w:rPr>
            <w:t>Click or tap here to enter text.</w:t>
          </w:r>
        </w:p>
      </w:docPartBody>
    </w:docPart>
    <w:docPart>
      <w:docPartPr>
        <w:name w:val="8EB69E4AC4A244D08CBDCC94925BFBC7"/>
        <w:category>
          <w:name w:val="General"/>
          <w:gallery w:val="placeholder"/>
        </w:category>
        <w:types>
          <w:type w:val="bbPlcHdr"/>
        </w:types>
        <w:behaviors>
          <w:behavior w:val="content"/>
        </w:behaviors>
        <w:guid w:val="{3DFC2E7A-FEBA-4D24-AED7-6F47D3B496AB}"/>
      </w:docPartPr>
      <w:docPartBody>
        <w:p w:rsidR="00957574" w:rsidRDefault="00FA6782">
          <w:pPr>
            <w:pStyle w:val="8EB69E4AC4A244D08CBDCC94925BFBC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74"/>
    <w:rsid w:val="000842B1"/>
    <w:rsid w:val="0027015F"/>
    <w:rsid w:val="00957574"/>
    <w:rsid w:val="00EB390D"/>
    <w:rsid w:val="00FA6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ED7EBC9C224D0EBFF516C6DB964285">
    <w:name w:val="E3ED7EBC9C224D0EBFF516C6DB964285"/>
  </w:style>
  <w:style w:type="paragraph" w:customStyle="1" w:styleId="1D0A61DFDCAC42D5AA21A5060D9F745A">
    <w:name w:val="1D0A61DFDCAC42D5AA21A5060D9F745A"/>
  </w:style>
  <w:style w:type="paragraph" w:customStyle="1" w:styleId="3E28A8D027F445B986AF00777F75ED5C">
    <w:name w:val="3E28A8D027F445B986AF00777F75ED5C"/>
  </w:style>
  <w:style w:type="paragraph" w:customStyle="1" w:styleId="53407D9F88CD45138F5B2C6744436FEE">
    <w:name w:val="53407D9F88CD45138F5B2C6744436FEE"/>
  </w:style>
  <w:style w:type="paragraph" w:customStyle="1" w:styleId="8EB69E4AC4A244D08CBDCC94925BFBC7">
    <w:name w:val="8EB69E4AC4A244D08CBDCC94925BF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Caffitaly System S.P.A. v One Collective Group Pty Ltd (No 2) [2021] FCAFC 164</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189D3217-E40F-4E3D-AC54-EF889407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Pages>
  <Words>2095</Words>
  <Characters>10681</Characters>
  <Application>Microsoft Office Word</Application>
  <DocSecurity>0</DocSecurity>
  <Lines>281</Lines>
  <Paragraphs>117</Paragraphs>
  <ScaleCrop>false</ScaleCrop>
  <HeadingPairs>
    <vt:vector size="2" baseType="variant">
      <vt:variant>
        <vt:lpstr>Title</vt:lpstr>
      </vt:variant>
      <vt:variant>
        <vt:i4>1</vt:i4>
      </vt:variant>
    </vt:vector>
  </HeadingPairs>
  <TitlesOfParts>
    <vt:vector size="1" baseType="lpstr">
      <vt:lpstr>Caffitaly System S.P.A. v One Collective Group Pty Ltd (No 2) [2021] FCAFC 164</vt:lpstr>
    </vt:vector>
  </TitlesOfParts>
  <Company>Federal Court of Australia</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Caffitaly System S.P.A. v One Collective Group Pty Ltd (No 2) [2021] FCAFC 164</dc:title>
  <dc:creator>Federal Court of Australia</dc:creator>
  <cp:lastModifiedBy>Federal Court of Australia</cp:lastModifiedBy>
  <cp:revision>3</cp:revision>
  <cp:lastPrinted>2006-02-06T01:31:00Z</cp:lastPrinted>
  <dcterms:created xsi:type="dcterms:W3CDTF">2021-09-15T01:12:00Z</dcterms:created>
  <dcterms:modified xsi:type="dcterms:W3CDTF">2021-09-15T01:12:00Z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Patents and associated Statutes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