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7191" w14:textId="77777777" w:rsidR="00395B24" w:rsidRDefault="002C7385">
      <w:pPr>
        <w:pStyle w:val="NormalHeadings"/>
        <w:jc w:val="center"/>
        <w:rPr>
          <w:sz w:val="32"/>
        </w:rPr>
      </w:pPr>
      <w:r>
        <w:rPr>
          <w:sz w:val="32"/>
        </w:rPr>
        <w:t>FEDERAL COURT OF AUSTRALIA</w:t>
      </w:r>
    </w:p>
    <w:p w14:paraId="51C9C8DA" w14:textId="77777777" w:rsidR="00395B24" w:rsidRDefault="00395B24">
      <w:pPr>
        <w:pStyle w:val="NormalHeadings"/>
        <w:jc w:val="center"/>
        <w:rPr>
          <w:sz w:val="32"/>
        </w:rPr>
      </w:pPr>
    </w:p>
    <w:p w14:paraId="452B32BB" w14:textId="038B34D3" w:rsidR="00395B24" w:rsidRDefault="00CE40EA">
      <w:pPr>
        <w:pStyle w:val="MediaNeutralStyle"/>
      </w:pPr>
      <w:bookmarkStart w:id="0" w:name="MNC"/>
      <w:bookmarkStart w:id="1" w:name="_GoBack"/>
      <w:r w:rsidRPr="004571A2">
        <w:t>Duck v Airservices Australia</w:t>
      </w:r>
      <w:r w:rsidR="004571A2">
        <w:t xml:space="preserve"> </w:t>
      </w:r>
      <w:r w:rsidR="007055C9" w:rsidRPr="007055C9">
        <w:t>[2018] FCA 1541</w:t>
      </w:r>
      <w:bookmarkEnd w:id="1"/>
      <w:r w:rsidR="002C7385">
        <w:t xml:space="preserve"> </w:t>
      </w:r>
      <w:bookmarkEnd w:id="0"/>
    </w:p>
    <w:p w14:paraId="2545FA1D" w14:textId="77777777"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54"/>
        <w:gridCol w:w="35"/>
      </w:tblGrid>
      <w:tr w:rsidR="00395B24" w14:paraId="59022579" w14:textId="77777777" w:rsidTr="00432D8C">
        <w:trPr>
          <w:gridAfter w:val="1"/>
          <w:wAfter w:w="35" w:type="dxa"/>
        </w:trPr>
        <w:tc>
          <w:tcPr>
            <w:tcW w:w="3084" w:type="dxa"/>
            <w:shd w:val="clear" w:color="auto" w:fill="auto"/>
          </w:tcPr>
          <w:p w14:paraId="487C81AF" w14:textId="706B73C6" w:rsidR="00395B24" w:rsidRDefault="002C7385" w:rsidP="0049435A">
            <w:pPr>
              <w:pStyle w:val="Normal1linespace"/>
              <w:widowControl w:val="0"/>
              <w:jc w:val="left"/>
            </w:pPr>
            <w:r>
              <w:t>File number:</w:t>
            </w:r>
          </w:p>
        </w:tc>
        <w:tc>
          <w:tcPr>
            <w:tcW w:w="5954" w:type="dxa"/>
            <w:shd w:val="clear" w:color="auto" w:fill="auto"/>
          </w:tcPr>
          <w:p w14:paraId="6B87EFA9" w14:textId="77777777" w:rsidR="00395B24" w:rsidRPr="00C07392" w:rsidRDefault="003D301D" w:rsidP="00C07392">
            <w:pPr>
              <w:pStyle w:val="Normal1linespace"/>
              <w:jc w:val="left"/>
            </w:pPr>
            <w:r>
              <w:fldChar w:fldCharType="begin" w:fldLock="1"/>
            </w:r>
            <w:r>
              <w:instrText xml:space="preserve"> REF  FileNo  \* MERGEFORMAT </w:instrText>
            </w:r>
            <w:r>
              <w:fldChar w:fldCharType="separate"/>
            </w:r>
            <w:r w:rsidR="00C07392" w:rsidRPr="00C07392">
              <w:t>ACD 97 of 2017</w:t>
            </w:r>
            <w:r>
              <w:fldChar w:fldCharType="end"/>
            </w:r>
          </w:p>
        </w:tc>
      </w:tr>
      <w:tr w:rsidR="00395B24" w14:paraId="0C01D18D" w14:textId="77777777" w:rsidTr="00432D8C">
        <w:trPr>
          <w:gridAfter w:val="1"/>
          <w:wAfter w:w="35" w:type="dxa"/>
        </w:trPr>
        <w:tc>
          <w:tcPr>
            <w:tcW w:w="3084" w:type="dxa"/>
            <w:shd w:val="clear" w:color="auto" w:fill="auto"/>
          </w:tcPr>
          <w:p w14:paraId="42646F32" w14:textId="77777777" w:rsidR="00395B24" w:rsidRDefault="00395B24" w:rsidP="00663878">
            <w:pPr>
              <w:pStyle w:val="Normal1linespace"/>
              <w:widowControl w:val="0"/>
              <w:jc w:val="left"/>
            </w:pPr>
          </w:p>
        </w:tc>
        <w:tc>
          <w:tcPr>
            <w:tcW w:w="5954" w:type="dxa"/>
            <w:shd w:val="clear" w:color="auto" w:fill="auto"/>
          </w:tcPr>
          <w:p w14:paraId="220A9BA5" w14:textId="77777777" w:rsidR="00395B24" w:rsidRDefault="00395B24" w:rsidP="00663878">
            <w:pPr>
              <w:pStyle w:val="Normal1linespace"/>
              <w:widowControl w:val="0"/>
              <w:jc w:val="left"/>
            </w:pPr>
          </w:p>
        </w:tc>
      </w:tr>
      <w:tr w:rsidR="00395B24" w14:paraId="5FAADADE" w14:textId="77777777" w:rsidTr="00432D8C">
        <w:trPr>
          <w:gridAfter w:val="1"/>
          <w:wAfter w:w="35" w:type="dxa"/>
        </w:trPr>
        <w:tc>
          <w:tcPr>
            <w:tcW w:w="3084" w:type="dxa"/>
            <w:shd w:val="clear" w:color="auto" w:fill="auto"/>
          </w:tcPr>
          <w:p w14:paraId="3CD0C213" w14:textId="774267F2" w:rsidR="00395B24" w:rsidRDefault="002C7385" w:rsidP="0049435A">
            <w:pPr>
              <w:pStyle w:val="Normal1linespace"/>
              <w:widowControl w:val="0"/>
              <w:jc w:val="left"/>
            </w:pPr>
            <w:r>
              <w:t>Judge:</w:t>
            </w:r>
          </w:p>
        </w:tc>
        <w:tc>
          <w:tcPr>
            <w:tcW w:w="5954" w:type="dxa"/>
            <w:shd w:val="clear" w:color="auto" w:fill="auto"/>
          </w:tcPr>
          <w:p w14:paraId="2FB2210E" w14:textId="77777777" w:rsidR="00395B24" w:rsidRDefault="002C7385" w:rsidP="00663878">
            <w:pPr>
              <w:pStyle w:val="Normal1linespace"/>
              <w:widowControl w:val="0"/>
              <w:jc w:val="left"/>
              <w:rPr>
                <w:b/>
              </w:rPr>
            </w:pPr>
            <w:r w:rsidRPr="00C07392">
              <w:rPr>
                <w:b/>
              </w:rPr>
              <w:fldChar w:fldCharType="begin" w:fldLock="1"/>
            </w:r>
            <w:r w:rsidRPr="00C07392">
              <w:rPr>
                <w:b/>
              </w:rPr>
              <w:instrText xml:space="preserve"> REF  Judge  \* MERGEFORMAT </w:instrText>
            </w:r>
            <w:r w:rsidRPr="00C07392">
              <w:rPr>
                <w:b/>
              </w:rPr>
              <w:fldChar w:fldCharType="separate"/>
            </w:r>
            <w:r w:rsidR="00C07392" w:rsidRPr="00C07392">
              <w:rPr>
                <w:b/>
                <w:caps/>
                <w:szCs w:val="24"/>
              </w:rPr>
              <w:t>BROMWICH J</w:t>
            </w:r>
            <w:r w:rsidRPr="00C07392">
              <w:rPr>
                <w:b/>
              </w:rPr>
              <w:fldChar w:fldCharType="end"/>
            </w:r>
          </w:p>
        </w:tc>
      </w:tr>
      <w:tr w:rsidR="00395B24" w14:paraId="7D880A40" w14:textId="77777777" w:rsidTr="00432D8C">
        <w:trPr>
          <w:gridAfter w:val="1"/>
          <w:wAfter w:w="35" w:type="dxa"/>
        </w:trPr>
        <w:tc>
          <w:tcPr>
            <w:tcW w:w="3084" w:type="dxa"/>
            <w:shd w:val="clear" w:color="auto" w:fill="auto"/>
          </w:tcPr>
          <w:p w14:paraId="389B6D1C" w14:textId="77777777" w:rsidR="00395B24" w:rsidRDefault="00395B24" w:rsidP="00663878">
            <w:pPr>
              <w:pStyle w:val="Normal1linespace"/>
              <w:widowControl w:val="0"/>
              <w:jc w:val="left"/>
            </w:pPr>
          </w:p>
        </w:tc>
        <w:tc>
          <w:tcPr>
            <w:tcW w:w="5954" w:type="dxa"/>
            <w:shd w:val="clear" w:color="auto" w:fill="auto"/>
          </w:tcPr>
          <w:p w14:paraId="3DB5ABAE" w14:textId="77777777" w:rsidR="00395B24" w:rsidRDefault="00395B24" w:rsidP="00663878">
            <w:pPr>
              <w:pStyle w:val="Normal1linespace"/>
              <w:widowControl w:val="0"/>
              <w:jc w:val="left"/>
            </w:pPr>
          </w:p>
        </w:tc>
      </w:tr>
      <w:tr w:rsidR="00395B24" w14:paraId="4ED4DABA" w14:textId="77777777" w:rsidTr="00432D8C">
        <w:trPr>
          <w:gridAfter w:val="1"/>
          <w:wAfter w:w="35" w:type="dxa"/>
        </w:trPr>
        <w:tc>
          <w:tcPr>
            <w:tcW w:w="3084" w:type="dxa"/>
            <w:shd w:val="clear" w:color="auto" w:fill="auto"/>
          </w:tcPr>
          <w:p w14:paraId="66FE237F" w14:textId="77777777" w:rsidR="00395B24" w:rsidRDefault="002C7385" w:rsidP="00663878">
            <w:pPr>
              <w:pStyle w:val="Normal1linespace"/>
              <w:widowControl w:val="0"/>
              <w:jc w:val="left"/>
            </w:pPr>
            <w:r>
              <w:t>Date of judgment:</w:t>
            </w:r>
          </w:p>
        </w:tc>
        <w:tc>
          <w:tcPr>
            <w:tcW w:w="5954" w:type="dxa"/>
            <w:shd w:val="clear" w:color="auto" w:fill="auto"/>
          </w:tcPr>
          <w:p w14:paraId="3EA4AEDB" w14:textId="77777777" w:rsidR="00395B24" w:rsidRDefault="00CE40EA" w:rsidP="00663878">
            <w:pPr>
              <w:pStyle w:val="Normal1linespace"/>
              <w:widowControl w:val="0"/>
              <w:jc w:val="left"/>
            </w:pPr>
            <w:bookmarkStart w:id="2" w:name="JudgmentDate"/>
            <w:bookmarkEnd w:id="2"/>
            <w:r>
              <w:t>12 October 2018</w:t>
            </w:r>
          </w:p>
        </w:tc>
      </w:tr>
      <w:tr w:rsidR="00395B24" w14:paraId="19F7708C" w14:textId="77777777" w:rsidTr="00432D8C">
        <w:trPr>
          <w:gridAfter w:val="1"/>
          <w:wAfter w:w="35" w:type="dxa"/>
        </w:trPr>
        <w:tc>
          <w:tcPr>
            <w:tcW w:w="3084" w:type="dxa"/>
            <w:shd w:val="clear" w:color="auto" w:fill="auto"/>
          </w:tcPr>
          <w:p w14:paraId="56D8033C" w14:textId="77777777" w:rsidR="00395B24" w:rsidRDefault="00395B24" w:rsidP="00663878">
            <w:pPr>
              <w:pStyle w:val="Normal1linespace"/>
              <w:widowControl w:val="0"/>
              <w:jc w:val="left"/>
            </w:pPr>
          </w:p>
        </w:tc>
        <w:tc>
          <w:tcPr>
            <w:tcW w:w="5954" w:type="dxa"/>
            <w:shd w:val="clear" w:color="auto" w:fill="auto"/>
          </w:tcPr>
          <w:p w14:paraId="380103B1" w14:textId="77777777" w:rsidR="00395B24" w:rsidRDefault="00395B24" w:rsidP="00663878">
            <w:pPr>
              <w:pStyle w:val="Normal1linespace"/>
              <w:widowControl w:val="0"/>
              <w:jc w:val="left"/>
            </w:pPr>
          </w:p>
        </w:tc>
      </w:tr>
      <w:tr w:rsidR="00395B24" w14:paraId="6D871D75" w14:textId="77777777" w:rsidTr="00432D8C">
        <w:trPr>
          <w:gridAfter w:val="1"/>
          <w:wAfter w:w="35" w:type="dxa"/>
        </w:trPr>
        <w:tc>
          <w:tcPr>
            <w:tcW w:w="3084" w:type="dxa"/>
            <w:shd w:val="clear" w:color="auto" w:fill="auto"/>
          </w:tcPr>
          <w:p w14:paraId="44A57D21" w14:textId="77777777" w:rsidR="00395B24" w:rsidRDefault="002C7385" w:rsidP="00663878">
            <w:pPr>
              <w:pStyle w:val="Normal1linespace"/>
              <w:widowControl w:val="0"/>
              <w:jc w:val="left"/>
            </w:pPr>
            <w:r>
              <w:t>Catchwords:</w:t>
            </w:r>
          </w:p>
        </w:tc>
        <w:tc>
          <w:tcPr>
            <w:tcW w:w="5954" w:type="dxa"/>
            <w:shd w:val="clear" w:color="auto" w:fill="auto"/>
          </w:tcPr>
          <w:p w14:paraId="1BBE45C3" w14:textId="7AD48809" w:rsidR="00395B24" w:rsidRDefault="00B00EB9" w:rsidP="004571A2">
            <w:pPr>
              <w:pStyle w:val="Normal1linespace"/>
              <w:widowControl w:val="0"/>
              <w:jc w:val="left"/>
            </w:pPr>
            <w:bookmarkStart w:id="3" w:name="Catchwords"/>
            <w:r>
              <w:rPr>
                <w:b/>
              </w:rPr>
              <w:t>REPRESENTATIVE PROCEEDINGS</w:t>
            </w:r>
            <w:r>
              <w:t xml:space="preserve"> – </w:t>
            </w:r>
            <w:r w:rsidRPr="00B00EB9">
              <w:t xml:space="preserve">representative proceeding under Part IVA of the </w:t>
            </w:r>
            <w:r w:rsidRPr="00B00EB9">
              <w:rPr>
                <w:i/>
              </w:rPr>
              <w:t xml:space="preserve">Federal Court of Australia Act 1976 </w:t>
            </w:r>
            <w:r w:rsidRPr="00B00EB9">
              <w:t>(</w:t>
            </w:r>
            <w:proofErr w:type="spellStart"/>
            <w:r w:rsidRPr="00B00EB9">
              <w:t>Cth</w:t>
            </w:r>
            <w:proofErr w:type="spellEnd"/>
            <w:r w:rsidRPr="00B00EB9">
              <w:t>) –</w:t>
            </w:r>
            <w:r w:rsidR="004571A2">
              <w:t xml:space="preserve"> </w:t>
            </w:r>
            <w:r w:rsidRPr="00B00EB9">
              <w:t xml:space="preserve">application for </w:t>
            </w:r>
            <w:r>
              <w:t xml:space="preserve">common fund order </w:t>
            </w:r>
            <w:r w:rsidRPr="00B00EB9">
              <w:t>– whether appropriate to make common fund order –</w:t>
            </w:r>
            <w:r>
              <w:t xml:space="preserve"> </w:t>
            </w:r>
            <w:r>
              <w:rPr>
                <w:b/>
              </w:rPr>
              <w:t>held</w:t>
            </w:r>
            <w:r w:rsidRPr="00B00EB9">
              <w:t>:</w:t>
            </w:r>
            <w:r>
              <w:t xml:space="preserve"> </w:t>
            </w:r>
            <w:r w:rsidR="00753E19">
              <w:t>common fund order appropriate</w:t>
            </w:r>
            <w:r w:rsidR="002C7385">
              <w:t xml:space="preserve"> </w:t>
            </w:r>
            <w:bookmarkEnd w:id="3"/>
          </w:p>
        </w:tc>
      </w:tr>
      <w:tr w:rsidR="00395B24" w14:paraId="0C5FBD1E" w14:textId="77777777" w:rsidTr="00432D8C">
        <w:trPr>
          <w:gridAfter w:val="1"/>
          <w:wAfter w:w="35" w:type="dxa"/>
        </w:trPr>
        <w:tc>
          <w:tcPr>
            <w:tcW w:w="3084" w:type="dxa"/>
            <w:shd w:val="clear" w:color="auto" w:fill="auto"/>
          </w:tcPr>
          <w:p w14:paraId="7382069D" w14:textId="77777777" w:rsidR="00395B24" w:rsidRDefault="00395B24" w:rsidP="00663878">
            <w:pPr>
              <w:pStyle w:val="Normal1linespace"/>
              <w:widowControl w:val="0"/>
              <w:jc w:val="left"/>
            </w:pPr>
          </w:p>
        </w:tc>
        <w:tc>
          <w:tcPr>
            <w:tcW w:w="5954" w:type="dxa"/>
            <w:shd w:val="clear" w:color="auto" w:fill="auto"/>
          </w:tcPr>
          <w:p w14:paraId="5E44B1A4" w14:textId="77777777" w:rsidR="00395B24" w:rsidRDefault="00395B24" w:rsidP="00663878">
            <w:pPr>
              <w:pStyle w:val="Normal1linespace"/>
              <w:widowControl w:val="0"/>
              <w:jc w:val="left"/>
            </w:pPr>
          </w:p>
        </w:tc>
      </w:tr>
      <w:tr w:rsidR="00395B24" w14:paraId="7E9BBEFC" w14:textId="77777777" w:rsidTr="00432D8C">
        <w:trPr>
          <w:gridAfter w:val="1"/>
          <w:wAfter w:w="35" w:type="dxa"/>
        </w:trPr>
        <w:tc>
          <w:tcPr>
            <w:tcW w:w="3084" w:type="dxa"/>
            <w:shd w:val="clear" w:color="auto" w:fill="auto"/>
          </w:tcPr>
          <w:p w14:paraId="4FE6E7E3" w14:textId="77777777" w:rsidR="00395B24" w:rsidRDefault="002C7385" w:rsidP="00663878">
            <w:pPr>
              <w:pStyle w:val="Normal1linespace"/>
              <w:widowControl w:val="0"/>
              <w:jc w:val="left"/>
            </w:pPr>
            <w:r>
              <w:t>Legislation:</w:t>
            </w:r>
          </w:p>
        </w:tc>
        <w:tc>
          <w:tcPr>
            <w:tcW w:w="5954" w:type="dxa"/>
            <w:shd w:val="clear" w:color="auto" w:fill="auto"/>
          </w:tcPr>
          <w:p w14:paraId="1548A853" w14:textId="49BCBFC2" w:rsidR="00793662" w:rsidRDefault="00793662" w:rsidP="00D82620">
            <w:pPr>
              <w:pStyle w:val="CasesLegislationAppealFrom"/>
              <w:spacing w:after="60"/>
            </w:pPr>
            <w:bookmarkStart w:id="4" w:name="Legislation"/>
            <w:r w:rsidRPr="00BA63B8">
              <w:rPr>
                <w:i/>
              </w:rPr>
              <w:t>Federal Court of Australia Act 1976</w:t>
            </w:r>
            <w:r>
              <w:t xml:space="preserve"> (</w:t>
            </w:r>
            <w:proofErr w:type="spellStart"/>
            <w:r>
              <w:t>Cth</w:t>
            </w:r>
            <w:proofErr w:type="spellEnd"/>
            <w:r>
              <w:t>)</w:t>
            </w:r>
            <w:r w:rsidR="0049435A">
              <w:t xml:space="preserve"> </w:t>
            </w:r>
            <w:r w:rsidR="00BE122A">
              <w:t>Pt</w:t>
            </w:r>
            <w:r w:rsidR="003A7EBE">
              <w:t xml:space="preserve"> </w:t>
            </w:r>
            <w:r w:rsidR="00BE122A">
              <w:t xml:space="preserve">IVA, </w:t>
            </w:r>
            <w:proofErr w:type="spellStart"/>
            <w:r w:rsidR="0049435A">
              <w:t>ss</w:t>
            </w:r>
            <w:proofErr w:type="spellEnd"/>
            <w:r w:rsidR="0049435A">
              <w:t xml:space="preserve"> 23, 33ZF</w:t>
            </w:r>
          </w:p>
          <w:p w14:paraId="685ACDF3" w14:textId="43E90499" w:rsidR="00395B24" w:rsidRDefault="00793662" w:rsidP="00D82620">
            <w:pPr>
              <w:pStyle w:val="CasesLegislationAppealFrom"/>
              <w:spacing w:after="60"/>
            </w:pPr>
            <w:r w:rsidRPr="00CF715B">
              <w:rPr>
                <w:i/>
                <w:szCs w:val="24"/>
              </w:rPr>
              <w:t>Federal Court Rules</w:t>
            </w:r>
            <w:r>
              <w:rPr>
                <w:i/>
                <w:szCs w:val="24"/>
              </w:rPr>
              <w:t xml:space="preserve"> 2011 </w:t>
            </w:r>
            <w:r>
              <w:rPr>
                <w:szCs w:val="24"/>
              </w:rPr>
              <w:t>(</w:t>
            </w:r>
            <w:proofErr w:type="spellStart"/>
            <w:r>
              <w:rPr>
                <w:szCs w:val="24"/>
              </w:rPr>
              <w:t>Cth</w:t>
            </w:r>
            <w:proofErr w:type="spellEnd"/>
            <w:r>
              <w:rPr>
                <w:szCs w:val="24"/>
              </w:rPr>
              <w:t>)</w:t>
            </w:r>
            <w:r>
              <w:t xml:space="preserve"> </w:t>
            </w:r>
            <w:r w:rsidR="0049435A">
              <w:t>r 1.32</w:t>
            </w:r>
            <w:r w:rsidR="002C7385">
              <w:t xml:space="preserve"> </w:t>
            </w:r>
            <w:bookmarkEnd w:id="4"/>
          </w:p>
        </w:tc>
      </w:tr>
      <w:tr w:rsidR="00395B24" w14:paraId="15281221" w14:textId="77777777" w:rsidTr="00432D8C">
        <w:trPr>
          <w:gridAfter w:val="1"/>
          <w:wAfter w:w="35" w:type="dxa"/>
        </w:trPr>
        <w:tc>
          <w:tcPr>
            <w:tcW w:w="3084" w:type="dxa"/>
            <w:shd w:val="clear" w:color="auto" w:fill="auto"/>
          </w:tcPr>
          <w:p w14:paraId="37FAD657" w14:textId="77777777" w:rsidR="00395B24" w:rsidRDefault="00395B24" w:rsidP="00663878">
            <w:pPr>
              <w:pStyle w:val="Normal1linespace"/>
              <w:widowControl w:val="0"/>
              <w:jc w:val="left"/>
            </w:pPr>
          </w:p>
        </w:tc>
        <w:tc>
          <w:tcPr>
            <w:tcW w:w="5954" w:type="dxa"/>
            <w:shd w:val="clear" w:color="auto" w:fill="auto"/>
          </w:tcPr>
          <w:p w14:paraId="2CFD86C6" w14:textId="77777777" w:rsidR="00395B24" w:rsidRDefault="00395B24" w:rsidP="00663878">
            <w:pPr>
              <w:pStyle w:val="Normal1linespace"/>
              <w:widowControl w:val="0"/>
              <w:jc w:val="left"/>
            </w:pPr>
          </w:p>
        </w:tc>
      </w:tr>
      <w:tr w:rsidR="00395B24" w14:paraId="46EE7B68" w14:textId="77777777" w:rsidTr="00432D8C">
        <w:trPr>
          <w:gridAfter w:val="1"/>
          <w:wAfter w:w="35" w:type="dxa"/>
        </w:trPr>
        <w:tc>
          <w:tcPr>
            <w:tcW w:w="3084" w:type="dxa"/>
            <w:shd w:val="clear" w:color="auto" w:fill="auto"/>
          </w:tcPr>
          <w:p w14:paraId="3D4C384E" w14:textId="77777777" w:rsidR="00395B24" w:rsidRDefault="002C7385" w:rsidP="00663878">
            <w:pPr>
              <w:pStyle w:val="Normal1linespace"/>
              <w:widowControl w:val="0"/>
              <w:jc w:val="left"/>
            </w:pPr>
            <w:r>
              <w:t>Cases cited:</w:t>
            </w:r>
          </w:p>
        </w:tc>
        <w:tc>
          <w:tcPr>
            <w:tcW w:w="5954" w:type="dxa"/>
            <w:shd w:val="clear" w:color="auto" w:fill="auto"/>
          </w:tcPr>
          <w:p w14:paraId="59D38DE6" w14:textId="54973211" w:rsidR="00793662" w:rsidRDefault="00793662" w:rsidP="00D82620">
            <w:pPr>
              <w:pStyle w:val="CasesLegislationAppealFrom"/>
              <w:spacing w:after="60"/>
              <w:rPr>
                <w:i/>
              </w:rPr>
            </w:pPr>
            <w:bookmarkStart w:id="5" w:name="Cases_Cited"/>
            <w:r w:rsidRPr="00FA61D5">
              <w:rPr>
                <w:i/>
                <w:szCs w:val="24"/>
              </w:rPr>
              <w:t xml:space="preserve">Blairgowrie Trading Ltd </w:t>
            </w:r>
            <w:r w:rsidR="0092070C">
              <w:rPr>
                <w:i/>
                <w:szCs w:val="24"/>
              </w:rPr>
              <w:t xml:space="preserve">v </w:t>
            </w:r>
            <w:proofErr w:type="spellStart"/>
            <w:r w:rsidR="0092070C">
              <w:rPr>
                <w:i/>
                <w:szCs w:val="24"/>
              </w:rPr>
              <w:t>Allco</w:t>
            </w:r>
            <w:proofErr w:type="spellEnd"/>
            <w:r w:rsidR="0092070C">
              <w:rPr>
                <w:i/>
                <w:szCs w:val="24"/>
              </w:rPr>
              <w:t xml:space="preserve"> Finance Group Limited (R</w:t>
            </w:r>
            <w:r w:rsidRPr="00FA61D5">
              <w:rPr>
                <w:i/>
                <w:szCs w:val="24"/>
              </w:rPr>
              <w:t xml:space="preserve">eceivers </w:t>
            </w:r>
            <w:r w:rsidR="0092070C">
              <w:rPr>
                <w:i/>
                <w:szCs w:val="24"/>
              </w:rPr>
              <w:t>&amp;</w:t>
            </w:r>
            <w:r w:rsidRPr="00FA61D5">
              <w:rPr>
                <w:i/>
                <w:szCs w:val="24"/>
              </w:rPr>
              <w:t xml:space="preserve"> </w:t>
            </w:r>
            <w:r w:rsidR="0092070C">
              <w:rPr>
                <w:i/>
                <w:szCs w:val="24"/>
              </w:rPr>
              <w:t>M</w:t>
            </w:r>
            <w:r w:rsidRPr="00FA61D5">
              <w:rPr>
                <w:i/>
                <w:szCs w:val="24"/>
              </w:rPr>
              <w:t xml:space="preserve">anagers </w:t>
            </w:r>
            <w:r w:rsidR="0092070C">
              <w:rPr>
                <w:i/>
                <w:szCs w:val="24"/>
              </w:rPr>
              <w:t>A</w:t>
            </w:r>
            <w:r w:rsidRPr="00FA61D5">
              <w:rPr>
                <w:i/>
                <w:szCs w:val="24"/>
              </w:rPr>
              <w:t>ppointed)</w:t>
            </w:r>
            <w:r w:rsidR="0092070C">
              <w:rPr>
                <w:i/>
                <w:szCs w:val="24"/>
              </w:rPr>
              <w:t xml:space="preserve"> (In </w:t>
            </w:r>
            <w:proofErr w:type="spellStart"/>
            <w:r w:rsidR="0092070C">
              <w:rPr>
                <w:i/>
                <w:szCs w:val="24"/>
              </w:rPr>
              <w:t>Liq</w:t>
            </w:r>
            <w:proofErr w:type="spellEnd"/>
            <w:r w:rsidR="0092070C">
              <w:rPr>
                <w:i/>
                <w:szCs w:val="24"/>
              </w:rPr>
              <w:t>)</w:t>
            </w:r>
            <w:r w:rsidRPr="00FA61D5">
              <w:rPr>
                <w:i/>
                <w:szCs w:val="24"/>
              </w:rPr>
              <w:t xml:space="preserve"> </w:t>
            </w:r>
            <w:r w:rsidRPr="00FA61D5">
              <w:rPr>
                <w:szCs w:val="24"/>
              </w:rPr>
              <w:t>[2015] FCA 811; 325 ALR 539</w:t>
            </w:r>
          </w:p>
          <w:p w14:paraId="4C8A5E76" w14:textId="724B9D04" w:rsidR="00793662" w:rsidRDefault="00793662" w:rsidP="00D82620">
            <w:pPr>
              <w:pStyle w:val="CasesLegislationAppealFrom"/>
              <w:spacing w:after="60"/>
              <w:rPr>
                <w:i/>
              </w:rPr>
            </w:pPr>
            <w:r w:rsidRPr="00793662">
              <w:rPr>
                <w:i/>
              </w:rPr>
              <w:t>Lenthall</w:t>
            </w:r>
            <w:r w:rsidRPr="00CC1BD3">
              <w:rPr>
                <w:i/>
              </w:rPr>
              <w:t xml:space="preserve"> v Westpac Life Insurance Services Limited</w:t>
            </w:r>
            <w:r>
              <w:t xml:space="preserve"> [2018] FCA 1422</w:t>
            </w:r>
          </w:p>
          <w:p w14:paraId="4F576059" w14:textId="7C44B2B0" w:rsidR="00793662" w:rsidRDefault="00793662" w:rsidP="00D82620">
            <w:pPr>
              <w:pStyle w:val="CasesLegislationAppealFrom"/>
              <w:spacing w:after="60"/>
              <w:rPr>
                <w:i/>
              </w:rPr>
            </w:pPr>
            <w:r w:rsidRPr="00B07686">
              <w:rPr>
                <w:i/>
              </w:rPr>
              <w:t xml:space="preserve">Melbourne City Investments Pty Ltd v Treasury Wine Estates Limited </w:t>
            </w:r>
            <w:r>
              <w:t>[2017] FCAFC 98, 252 FCR 1</w:t>
            </w:r>
          </w:p>
          <w:p w14:paraId="39320595" w14:textId="5339113E" w:rsidR="00793662" w:rsidRDefault="00793662" w:rsidP="00D82620">
            <w:pPr>
              <w:pStyle w:val="CasesLegislationAppealFrom"/>
              <w:spacing w:after="60"/>
            </w:pPr>
            <w:r w:rsidRPr="00793662">
              <w:rPr>
                <w:i/>
              </w:rPr>
              <w:t>Money Max</w:t>
            </w:r>
            <w:r w:rsidRPr="00080047">
              <w:rPr>
                <w:i/>
              </w:rPr>
              <w:t xml:space="preserve"> </w:t>
            </w:r>
            <w:proofErr w:type="spellStart"/>
            <w:r w:rsidRPr="00080047">
              <w:rPr>
                <w:i/>
              </w:rPr>
              <w:t>Int</w:t>
            </w:r>
            <w:proofErr w:type="spellEnd"/>
            <w:r w:rsidRPr="00080047">
              <w:rPr>
                <w:i/>
              </w:rPr>
              <w:t xml:space="preserve"> Pty Ltd v QBE Insurance Group Ltd </w:t>
            </w:r>
            <w:r>
              <w:t>[2016] FCAFC 148; 245 FCR 191</w:t>
            </w:r>
          </w:p>
          <w:p w14:paraId="76F4F048" w14:textId="77777777" w:rsidR="00793662" w:rsidRDefault="00793662" w:rsidP="00D82620">
            <w:pPr>
              <w:pStyle w:val="CasesLegislationAppealFrom"/>
              <w:spacing w:after="60"/>
            </w:pPr>
            <w:r w:rsidRPr="00793662">
              <w:rPr>
                <w:i/>
              </w:rPr>
              <w:t>Pearson</w:t>
            </w:r>
            <w:r w:rsidRPr="00085980">
              <w:rPr>
                <w:i/>
              </w:rPr>
              <w:t xml:space="preserve"> v State of Queensland</w:t>
            </w:r>
            <w:r>
              <w:t xml:space="preserve"> [2017] FCA 1096</w:t>
            </w:r>
          </w:p>
          <w:p w14:paraId="0F748C33" w14:textId="77777777" w:rsidR="00395B24" w:rsidRDefault="00793662" w:rsidP="0092070C">
            <w:pPr>
              <w:pStyle w:val="CasesLegislationAppealFrom"/>
              <w:spacing w:after="60"/>
            </w:pPr>
            <w:proofErr w:type="spellStart"/>
            <w:r>
              <w:rPr>
                <w:i/>
              </w:rPr>
              <w:t>Perera</w:t>
            </w:r>
            <w:proofErr w:type="spellEnd"/>
            <w:r>
              <w:rPr>
                <w:i/>
              </w:rPr>
              <w:t xml:space="preserve"> v </w:t>
            </w:r>
            <w:proofErr w:type="spellStart"/>
            <w:r w:rsidRPr="00B83A50">
              <w:rPr>
                <w:i/>
              </w:rPr>
              <w:t>Getswift</w:t>
            </w:r>
            <w:proofErr w:type="spellEnd"/>
            <w:r>
              <w:rPr>
                <w:i/>
              </w:rPr>
              <w:t xml:space="preserve"> </w:t>
            </w:r>
            <w:r w:rsidR="0092070C">
              <w:rPr>
                <w:i/>
              </w:rPr>
              <w:t>Limited</w:t>
            </w:r>
            <w:r>
              <w:rPr>
                <w:i/>
              </w:rPr>
              <w:t xml:space="preserve"> </w:t>
            </w:r>
            <w:r>
              <w:t xml:space="preserve">[2018] FCA 732; 357 ALR 586  </w:t>
            </w:r>
            <w:r w:rsidR="002C7385">
              <w:t xml:space="preserve"> </w:t>
            </w:r>
            <w:bookmarkEnd w:id="5"/>
          </w:p>
          <w:p w14:paraId="3018EAA5" w14:textId="0D624EC5" w:rsidR="0092070C" w:rsidRDefault="0092070C" w:rsidP="0092070C">
            <w:pPr>
              <w:pStyle w:val="CasesLegislationAppealFrom"/>
              <w:spacing w:after="60"/>
            </w:pPr>
          </w:p>
        </w:tc>
      </w:tr>
      <w:tr w:rsidR="00432D8C" w:rsidRPr="002A3C5C" w14:paraId="68C42121" w14:textId="77777777" w:rsidTr="00432D8C">
        <w:tc>
          <w:tcPr>
            <w:tcW w:w="3084" w:type="dxa"/>
            <w:shd w:val="clear" w:color="auto" w:fill="auto"/>
          </w:tcPr>
          <w:p w14:paraId="460118DA" w14:textId="49D5326F" w:rsidR="00432D8C" w:rsidRPr="002A3C5C" w:rsidRDefault="00432D8C" w:rsidP="001705F3">
            <w:pPr>
              <w:pStyle w:val="Normal1linespace"/>
              <w:widowControl w:val="0"/>
              <w:jc w:val="left"/>
            </w:pPr>
            <w:bookmarkStart w:id="6" w:name="CounselTable"/>
            <w:r w:rsidRPr="002A3C5C">
              <w:t>Date of hearing:</w:t>
            </w:r>
          </w:p>
        </w:tc>
        <w:tc>
          <w:tcPr>
            <w:tcW w:w="5989" w:type="dxa"/>
            <w:gridSpan w:val="2"/>
            <w:shd w:val="clear" w:color="auto" w:fill="auto"/>
          </w:tcPr>
          <w:p w14:paraId="33233565" w14:textId="77777777" w:rsidR="00432D8C" w:rsidRPr="002A3C5C" w:rsidRDefault="002C0AAB" w:rsidP="001705F3">
            <w:pPr>
              <w:pStyle w:val="CasesLegislationAppealFrom"/>
              <w:spacing w:after="0"/>
            </w:pPr>
            <w:r>
              <w:t>Determined on the papers</w:t>
            </w:r>
          </w:p>
        </w:tc>
      </w:tr>
      <w:tr w:rsidR="00432D8C" w:rsidRPr="002A3C5C" w14:paraId="6731F268" w14:textId="77777777" w:rsidTr="00432D8C">
        <w:tc>
          <w:tcPr>
            <w:tcW w:w="3084" w:type="dxa"/>
            <w:shd w:val="clear" w:color="auto" w:fill="auto"/>
          </w:tcPr>
          <w:p w14:paraId="4737ED18" w14:textId="77777777" w:rsidR="00432D8C" w:rsidRPr="002A3C5C" w:rsidRDefault="00432D8C" w:rsidP="001705F3">
            <w:pPr>
              <w:pStyle w:val="Normal1linespace"/>
              <w:widowControl w:val="0"/>
              <w:jc w:val="left"/>
            </w:pPr>
          </w:p>
        </w:tc>
        <w:tc>
          <w:tcPr>
            <w:tcW w:w="5989" w:type="dxa"/>
            <w:gridSpan w:val="2"/>
            <w:shd w:val="clear" w:color="auto" w:fill="auto"/>
          </w:tcPr>
          <w:p w14:paraId="478F8018" w14:textId="77777777" w:rsidR="00432D8C" w:rsidRPr="002A3C5C" w:rsidRDefault="00432D8C" w:rsidP="001705F3">
            <w:pPr>
              <w:pStyle w:val="CasesLegislationAppealFrom"/>
              <w:spacing w:after="0"/>
            </w:pPr>
          </w:p>
        </w:tc>
      </w:tr>
      <w:tr w:rsidR="001C0EA9" w:rsidRPr="002A3C5C" w14:paraId="509716A3" w14:textId="77777777" w:rsidTr="00432D8C">
        <w:tc>
          <w:tcPr>
            <w:tcW w:w="3084" w:type="dxa"/>
            <w:shd w:val="clear" w:color="auto" w:fill="auto"/>
          </w:tcPr>
          <w:p w14:paraId="54235CE6" w14:textId="75C74104" w:rsidR="001C0EA9" w:rsidRPr="002A3C5C" w:rsidRDefault="001C0EA9" w:rsidP="001705F3">
            <w:pPr>
              <w:pStyle w:val="Normal1linespace"/>
              <w:widowControl w:val="0"/>
              <w:jc w:val="left"/>
            </w:pPr>
            <w:r>
              <w:t>Date of last submissions:</w:t>
            </w:r>
          </w:p>
        </w:tc>
        <w:tc>
          <w:tcPr>
            <w:tcW w:w="5989" w:type="dxa"/>
            <w:gridSpan w:val="2"/>
            <w:shd w:val="clear" w:color="auto" w:fill="auto"/>
          </w:tcPr>
          <w:p w14:paraId="275DA347" w14:textId="2E8DFA51" w:rsidR="001C0EA9" w:rsidRDefault="009E5542" w:rsidP="001705F3">
            <w:pPr>
              <w:pStyle w:val="CasesLegislationAppealFrom"/>
              <w:spacing w:after="0"/>
            </w:pPr>
            <w:r>
              <w:t>3 September 2018 (Applicant)</w:t>
            </w:r>
          </w:p>
          <w:p w14:paraId="6BAFC14A" w14:textId="1B206A16" w:rsidR="008B02C8" w:rsidRPr="002A3C5C" w:rsidRDefault="009E5542" w:rsidP="001705F3">
            <w:pPr>
              <w:pStyle w:val="CasesLegislationAppealFrom"/>
              <w:spacing w:after="0"/>
            </w:pPr>
            <w:r>
              <w:t>17 August 2018 (Respondent)</w:t>
            </w:r>
          </w:p>
        </w:tc>
      </w:tr>
      <w:tr w:rsidR="001C0EA9" w:rsidRPr="002A3C5C" w14:paraId="0605ECE9" w14:textId="77777777" w:rsidTr="00432D8C">
        <w:tc>
          <w:tcPr>
            <w:tcW w:w="3084" w:type="dxa"/>
            <w:shd w:val="clear" w:color="auto" w:fill="auto"/>
          </w:tcPr>
          <w:p w14:paraId="39664FE5" w14:textId="77777777" w:rsidR="001C0EA9" w:rsidRDefault="001C0EA9" w:rsidP="001705F3">
            <w:pPr>
              <w:pStyle w:val="Normal1linespace"/>
              <w:widowControl w:val="0"/>
              <w:jc w:val="left"/>
            </w:pPr>
          </w:p>
        </w:tc>
        <w:tc>
          <w:tcPr>
            <w:tcW w:w="5989" w:type="dxa"/>
            <w:gridSpan w:val="2"/>
            <w:shd w:val="clear" w:color="auto" w:fill="auto"/>
          </w:tcPr>
          <w:p w14:paraId="2513DCAF" w14:textId="77777777" w:rsidR="001C0EA9" w:rsidRPr="002A3C5C" w:rsidRDefault="001C0EA9" w:rsidP="001705F3">
            <w:pPr>
              <w:pStyle w:val="CasesLegislationAppealFrom"/>
              <w:spacing w:after="0"/>
            </w:pPr>
          </w:p>
        </w:tc>
      </w:tr>
      <w:tr w:rsidR="00432D8C" w:rsidRPr="002A3C5C" w14:paraId="78EB0FFD" w14:textId="77777777" w:rsidTr="00432D8C">
        <w:tc>
          <w:tcPr>
            <w:tcW w:w="3084" w:type="dxa"/>
            <w:shd w:val="clear" w:color="auto" w:fill="auto"/>
          </w:tcPr>
          <w:p w14:paraId="022D69E2" w14:textId="77777777" w:rsidR="00432D8C" w:rsidRPr="002A3C5C" w:rsidRDefault="00432D8C" w:rsidP="001705F3">
            <w:pPr>
              <w:pStyle w:val="Normal1linespace"/>
              <w:widowControl w:val="0"/>
              <w:jc w:val="left"/>
            </w:pPr>
            <w:r w:rsidRPr="002A3C5C">
              <w:t>Registry:</w:t>
            </w:r>
          </w:p>
        </w:tc>
        <w:tc>
          <w:tcPr>
            <w:tcW w:w="5989" w:type="dxa"/>
            <w:gridSpan w:val="2"/>
            <w:shd w:val="clear" w:color="auto" w:fill="auto"/>
          </w:tcPr>
          <w:p w14:paraId="2343BE5F" w14:textId="30C03EB0" w:rsidR="00432D8C" w:rsidRPr="002A3C5C" w:rsidRDefault="007055C9" w:rsidP="001705F3">
            <w:pPr>
              <w:pStyle w:val="CasesLegislationAppealFrom"/>
              <w:spacing w:after="0"/>
            </w:pPr>
            <w:r>
              <w:t>Australian Capital Territory</w:t>
            </w:r>
          </w:p>
        </w:tc>
      </w:tr>
      <w:tr w:rsidR="00432D8C" w:rsidRPr="002A3C5C" w14:paraId="155A646A" w14:textId="77777777" w:rsidTr="00432D8C">
        <w:tc>
          <w:tcPr>
            <w:tcW w:w="3084" w:type="dxa"/>
            <w:shd w:val="clear" w:color="auto" w:fill="auto"/>
          </w:tcPr>
          <w:p w14:paraId="6CD146B5" w14:textId="77777777" w:rsidR="00432D8C" w:rsidRPr="002A3C5C" w:rsidRDefault="00432D8C" w:rsidP="001705F3">
            <w:pPr>
              <w:pStyle w:val="Normal1linespace"/>
              <w:widowControl w:val="0"/>
              <w:jc w:val="left"/>
            </w:pPr>
          </w:p>
        </w:tc>
        <w:tc>
          <w:tcPr>
            <w:tcW w:w="5989" w:type="dxa"/>
            <w:gridSpan w:val="2"/>
            <w:shd w:val="clear" w:color="auto" w:fill="auto"/>
          </w:tcPr>
          <w:p w14:paraId="339279E0" w14:textId="77777777" w:rsidR="00432D8C" w:rsidRPr="002A3C5C" w:rsidRDefault="00432D8C" w:rsidP="001705F3">
            <w:pPr>
              <w:pStyle w:val="CasesLegislationAppealFrom"/>
              <w:spacing w:after="0"/>
            </w:pPr>
          </w:p>
        </w:tc>
      </w:tr>
      <w:tr w:rsidR="00432D8C" w:rsidRPr="002A3C5C" w14:paraId="7622A007" w14:textId="77777777" w:rsidTr="00432D8C">
        <w:tc>
          <w:tcPr>
            <w:tcW w:w="3084" w:type="dxa"/>
            <w:shd w:val="clear" w:color="auto" w:fill="auto"/>
          </w:tcPr>
          <w:p w14:paraId="47CAE869" w14:textId="77777777" w:rsidR="00432D8C" w:rsidRPr="002A3C5C" w:rsidRDefault="00432D8C" w:rsidP="001705F3">
            <w:pPr>
              <w:pStyle w:val="Normal1linespace"/>
              <w:widowControl w:val="0"/>
              <w:jc w:val="left"/>
            </w:pPr>
            <w:r w:rsidRPr="002A3C5C">
              <w:t>Division:</w:t>
            </w:r>
          </w:p>
        </w:tc>
        <w:tc>
          <w:tcPr>
            <w:tcW w:w="5989" w:type="dxa"/>
            <w:gridSpan w:val="2"/>
            <w:shd w:val="clear" w:color="auto" w:fill="auto"/>
          </w:tcPr>
          <w:p w14:paraId="4E42DCEF" w14:textId="77777777" w:rsidR="00432D8C" w:rsidRPr="002A3C5C" w:rsidRDefault="002C0AAB" w:rsidP="001705F3">
            <w:pPr>
              <w:pStyle w:val="CasesLegislationAppealFrom"/>
              <w:spacing w:after="0"/>
            </w:pPr>
            <w:r>
              <w:t>Fair Work</w:t>
            </w:r>
          </w:p>
        </w:tc>
      </w:tr>
      <w:tr w:rsidR="00432D8C" w:rsidRPr="00CD6ECD" w14:paraId="6CF30622" w14:textId="77777777" w:rsidTr="00432D8C">
        <w:tc>
          <w:tcPr>
            <w:tcW w:w="3084" w:type="dxa"/>
            <w:shd w:val="clear" w:color="auto" w:fill="auto"/>
          </w:tcPr>
          <w:p w14:paraId="29621944" w14:textId="77777777" w:rsidR="00432D8C" w:rsidRPr="002A3C5C" w:rsidRDefault="00432D8C" w:rsidP="001705F3">
            <w:pPr>
              <w:pStyle w:val="Normal1linespace"/>
              <w:widowControl w:val="0"/>
              <w:jc w:val="left"/>
            </w:pPr>
          </w:p>
        </w:tc>
        <w:tc>
          <w:tcPr>
            <w:tcW w:w="5989" w:type="dxa"/>
            <w:gridSpan w:val="2"/>
            <w:shd w:val="clear" w:color="auto" w:fill="auto"/>
          </w:tcPr>
          <w:p w14:paraId="33700EC2" w14:textId="77777777" w:rsidR="00432D8C" w:rsidRPr="00CD6ECD" w:rsidRDefault="00432D8C" w:rsidP="001705F3">
            <w:pPr>
              <w:pStyle w:val="CasesLegislationAppealFrom"/>
              <w:spacing w:after="0"/>
            </w:pPr>
          </w:p>
        </w:tc>
      </w:tr>
      <w:tr w:rsidR="00432D8C" w:rsidRPr="00CD6ECD" w14:paraId="2DB56965" w14:textId="77777777" w:rsidTr="00432D8C">
        <w:tc>
          <w:tcPr>
            <w:tcW w:w="3084" w:type="dxa"/>
            <w:shd w:val="clear" w:color="auto" w:fill="auto"/>
          </w:tcPr>
          <w:p w14:paraId="423F4881" w14:textId="77777777" w:rsidR="00432D8C" w:rsidRPr="002A3C5C" w:rsidRDefault="00432D8C" w:rsidP="001705F3">
            <w:pPr>
              <w:pStyle w:val="Normal1linespace"/>
              <w:widowControl w:val="0"/>
              <w:jc w:val="left"/>
            </w:pPr>
            <w:r w:rsidRPr="002A3C5C">
              <w:t>National Practice Area:</w:t>
            </w:r>
          </w:p>
        </w:tc>
        <w:tc>
          <w:tcPr>
            <w:tcW w:w="5989" w:type="dxa"/>
            <w:gridSpan w:val="2"/>
            <w:shd w:val="clear" w:color="auto" w:fill="auto"/>
          </w:tcPr>
          <w:p w14:paraId="10CD43F9" w14:textId="77777777" w:rsidR="00432D8C" w:rsidRPr="00CD6ECD" w:rsidRDefault="00432D8C" w:rsidP="001705F3">
            <w:pPr>
              <w:pStyle w:val="CasesLegislationAppealFrom"/>
              <w:spacing w:after="0"/>
            </w:pPr>
            <w:r>
              <w:t>Employment and Industrial Relations</w:t>
            </w:r>
          </w:p>
        </w:tc>
      </w:tr>
      <w:tr w:rsidR="00432D8C" w:rsidRPr="002A3C5C" w14:paraId="65737EC7" w14:textId="77777777" w:rsidTr="00432D8C">
        <w:tc>
          <w:tcPr>
            <w:tcW w:w="3084" w:type="dxa"/>
            <w:shd w:val="clear" w:color="auto" w:fill="auto"/>
          </w:tcPr>
          <w:p w14:paraId="6631C251" w14:textId="77777777" w:rsidR="00432D8C" w:rsidRPr="002A3C5C" w:rsidRDefault="00432D8C" w:rsidP="001705F3">
            <w:pPr>
              <w:pStyle w:val="Normal1linespace"/>
              <w:widowControl w:val="0"/>
              <w:jc w:val="left"/>
            </w:pPr>
          </w:p>
        </w:tc>
        <w:tc>
          <w:tcPr>
            <w:tcW w:w="5989" w:type="dxa"/>
            <w:gridSpan w:val="2"/>
            <w:shd w:val="clear" w:color="auto" w:fill="auto"/>
          </w:tcPr>
          <w:p w14:paraId="1DF89B88" w14:textId="77777777" w:rsidR="00432D8C" w:rsidRPr="002A3C5C" w:rsidRDefault="00432D8C" w:rsidP="001705F3">
            <w:pPr>
              <w:pStyle w:val="CasesLegislationAppealFrom"/>
              <w:spacing w:after="0"/>
            </w:pPr>
          </w:p>
        </w:tc>
      </w:tr>
      <w:tr w:rsidR="00432D8C" w:rsidRPr="002A3C5C" w14:paraId="02C137D0" w14:textId="77777777" w:rsidTr="00432D8C">
        <w:tc>
          <w:tcPr>
            <w:tcW w:w="3084" w:type="dxa"/>
            <w:shd w:val="clear" w:color="auto" w:fill="auto"/>
          </w:tcPr>
          <w:p w14:paraId="1AD39859" w14:textId="40AFA5C1" w:rsidR="00432D8C" w:rsidRPr="002A3C5C" w:rsidRDefault="00432D8C" w:rsidP="001705F3">
            <w:pPr>
              <w:pStyle w:val="Normal1linespace"/>
              <w:widowControl w:val="0"/>
              <w:jc w:val="left"/>
            </w:pPr>
            <w:r w:rsidRPr="002A3C5C">
              <w:t>Number of paragraphs:</w:t>
            </w:r>
          </w:p>
        </w:tc>
        <w:tc>
          <w:tcPr>
            <w:tcW w:w="5989" w:type="dxa"/>
            <w:gridSpan w:val="2"/>
            <w:shd w:val="clear" w:color="auto" w:fill="auto"/>
          </w:tcPr>
          <w:p w14:paraId="42885211" w14:textId="783EEFBA" w:rsidR="00432D8C" w:rsidRPr="002A3C5C" w:rsidRDefault="0092070C" w:rsidP="001705F3">
            <w:pPr>
              <w:pStyle w:val="CasesLegislationAppealFrom"/>
              <w:spacing w:after="0"/>
            </w:pPr>
            <w:r>
              <w:t>18</w:t>
            </w:r>
          </w:p>
        </w:tc>
      </w:tr>
      <w:tr w:rsidR="001C0EA9" w:rsidRPr="002A3C5C" w14:paraId="572D681B" w14:textId="77777777" w:rsidTr="00432D8C">
        <w:tc>
          <w:tcPr>
            <w:tcW w:w="3084" w:type="dxa"/>
            <w:shd w:val="clear" w:color="auto" w:fill="auto"/>
          </w:tcPr>
          <w:p w14:paraId="6CA5A22E" w14:textId="77777777" w:rsidR="001C0EA9" w:rsidRPr="002A3C5C" w:rsidRDefault="001C0EA9" w:rsidP="001705F3">
            <w:pPr>
              <w:pStyle w:val="Normal1linespace"/>
              <w:widowControl w:val="0"/>
              <w:jc w:val="left"/>
            </w:pPr>
          </w:p>
        </w:tc>
        <w:tc>
          <w:tcPr>
            <w:tcW w:w="5989" w:type="dxa"/>
            <w:gridSpan w:val="2"/>
            <w:shd w:val="clear" w:color="auto" w:fill="auto"/>
          </w:tcPr>
          <w:p w14:paraId="294BACB5" w14:textId="77777777" w:rsidR="001C0EA9" w:rsidRDefault="001C0EA9" w:rsidP="001705F3">
            <w:pPr>
              <w:pStyle w:val="CasesLegislationAppealFrom"/>
              <w:spacing w:after="0"/>
            </w:pPr>
          </w:p>
        </w:tc>
      </w:tr>
      <w:tr w:rsidR="001C0EA9" w:rsidRPr="002A3C5C" w14:paraId="3738C89D" w14:textId="77777777" w:rsidTr="00432D8C">
        <w:tc>
          <w:tcPr>
            <w:tcW w:w="3084" w:type="dxa"/>
            <w:shd w:val="clear" w:color="auto" w:fill="auto"/>
          </w:tcPr>
          <w:p w14:paraId="28B2A756" w14:textId="7A092E8D" w:rsidR="001C0EA9" w:rsidRPr="002A3C5C" w:rsidRDefault="001C0EA9" w:rsidP="001705F3">
            <w:pPr>
              <w:pStyle w:val="Normal1linespace"/>
              <w:widowControl w:val="0"/>
              <w:jc w:val="left"/>
            </w:pPr>
            <w:r>
              <w:t>Category:</w:t>
            </w:r>
          </w:p>
        </w:tc>
        <w:tc>
          <w:tcPr>
            <w:tcW w:w="5989" w:type="dxa"/>
            <w:gridSpan w:val="2"/>
            <w:shd w:val="clear" w:color="auto" w:fill="auto"/>
          </w:tcPr>
          <w:p w14:paraId="68CA62AF" w14:textId="402A97D2" w:rsidR="001C0EA9" w:rsidRDefault="001C0EA9" w:rsidP="001705F3">
            <w:pPr>
              <w:pStyle w:val="CasesLegislationAppealFrom"/>
              <w:spacing w:after="0"/>
            </w:pPr>
            <w:r>
              <w:t>Catchwords</w:t>
            </w:r>
          </w:p>
        </w:tc>
      </w:tr>
      <w:tr w:rsidR="00432D8C" w:rsidRPr="002A3C5C" w14:paraId="6BC2F7C4" w14:textId="77777777" w:rsidTr="00432D8C">
        <w:tc>
          <w:tcPr>
            <w:tcW w:w="3084" w:type="dxa"/>
            <w:shd w:val="clear" w:color="auto" w:fill="auto"/>
          </w:tcPr>
          <w:p w14:paraId="4986CDAD" w14:textId="77777777" w:rsidR="00432D8C" w:rsidRPr="002A3C5C" w:rsidRDefault="00432D8C" w:rsidP="001705F3">
            <w:pPr>
              <w:pStyle w:val="Normal1linespace"/>
              <w:widowControl w:val="0"/>
              <w:jc w:val="left"/>
            </w:pPr>
          </w:p>
        </w:tc>
        <w:tc>
          <w:tcPr>
            <w:tcW w:w="5989" w:type="dxa"/>
            <w:gridSpan w:val="2"/>
            <w:shd w:val="clear" w:color="auto" w:fill="auto"/>
          </w:tcPr>
          <w:p w14:paraId="538D38A5" w14:textId="77777777" w:rsidR="00432D8C" w:rsidRPr="002A3C5C" w:rsidRDefault="00432D8C" w:rsidP="001705F3">
            <w:pPr>
              <w:pStyle w:val="CasesLegislationAppealFrom"/>
              <w:spacing w:after="0"/>
            </w:pPr>
          </w:p>
        </w:tc>
      </w:tr>
      <w:tr w:rsidR="00432D8C" w:rsidRPr="002A3C5C" w14:paraId="7EBFF6B0" w14:textId="77777777" w:rsidTr="00432D8C">
        <w:tc>
          <w:tcPr>
            <w:tcW w:w="3084" w:type="dxa"/>
            <w:shd w:val="clear" w:color="auto" w:fill="auto"/>
          </w:tcPr>
          <w:p w14:paraId="31A814A3" w14:textId="77777777" w:rsidR="00432D8C" w:rsidRPr="002A3C5C" w:rsidRDefault="00432D8C" w:rsidP="001705F3">
            <w:pPr>
              <w:pStyle w:val="Normal1linespace"/>
              <w:widowControl w:val="0"/>
              <w:jc w:val="left"/>
            </w:pPr>
            <w:r w:rsidRPr="002A3C5C">
              <w:lastRenderedPageBreak/>
              <w:t>Counsel</w:t>
            </w:r>
            <w:r>
              <w:t xml:space="preserve"> for the Applicant</w:t>
            </w:r>
            <w:r w:rsidRPr="002A3C5C">
              <w:t>:</w:t>
            </w:r>
          </w:p>
        </w:tc>
        <w:tc>
          <w:tcPr>
            <w:tcW w:w="5989" w:type="dxa"/>
            <w:gridSpan w:val="2"/>
            <w:shd w:val="clear" w:color="auto" w:fill="auto"/>
          </w:tcPr>
          <w:p w14:paraId="182C8390" w14:textId="77777777" w:rsidR="00432D8C" w:rsidRPr="002A3C5C" w:rsidRDefault="002C0AAB" w:rsidP="00432D8C">
            <w:pPr>
              <w:pStyle w:val="CasesLegislationAppealFrom"/>
              <w:spacing w:after="0"/>
            </w:pPr>
            <w:bookmarkStart w:id="7" w:name="AppCounsel"/>
            <w:bookmarkEnd w:id="7"/>
            <w:r>
              <w:t>Mr G Donnellan</w:t>
            </w:r>
          </w:p>
        </w:tc>
      </w:tr>
      <w:tr w:rsidR="00432D8C" w:rsidRPr="002A3C5C" w14:paraId="6A933619" w14:textId="77777777" w:rsidTr="00432D8C">
        <w:tc>
          <w:tcPr>
            <w:tcW w:w="3084" w:type="dxa"/>
            <w:shd w:val="clear" w:color="auto" w:fill="auto"/>
          </w:tcPr>
          <w:p w14:paraId="2567B3CD" w14:textId="77777777" w:rsidR="00432D8C" w:rsidRPr="002A3C5C" w:rsidRDefault="00432D8C" w:rsidP="001705F3">
            <w:pPr>
              <w:pStyle w:val="Normal1linespace"/>
              <w:widowControl w:val="0"/>
              <w:jc w:val="left"/>
            </w:pPr>
          </w:p>
        </w:tc>
        <w:tc>
          <w:tcPr>
            <w:tcW w:w="5989" w:type="dxa"/>
            <w:gridSpan w:val="2"/>
            <w:shd w:val="clear" w:color="auto" w:fill="auto"/>
          </w:tcPr>
          <w:p w14:paraId="16698EAD" w14:textId="77777777" w:rsidR="00432D8C" w:rsidRPr="002A3C5C" w:rsidRDefault="00432D8C" w:rsidP="001705F3">
            <w:pPr>
              <w:pStyle w:val="CasesLegislationAppealFrom"/>
              <w:spacing w:after="0"/>
            </w:pPr>
          </w:p>
        </w:tc>
      </w:tr>
      <w:tr w:rsidR="00432D8C" w:rsidRPr="002A3C5C" w14:paraId="0E02329E" w14:textId="77777777" w:rsidTr="00432D8C">
        <w:tc>
          <w:tcPr>
            <w:tcW w:w="3084" w:type="dxa"/>
            <w:shd w:val="clear" w:color="auto" w:fill="auto"/>
          </w:tcPr>
          <w:p w14:paraId="2C8F4037" w14:textId="77777777" w:rsidR="00432D8C" w:rsidRPr="002A3C5C" w:rsidRDefault="00432D8C" w:rsidP="001705F3">
            <w:pPr>
              <w:pStyle w:val="Normal1linespace"/>
              <w:widowControl w:val="0"/>
              <w:jc w:val="left"/>
            </w:pPr>
            <w:r>
              <w:t>Solicitor</w:t>
            </w:r>
            <w:r w:rsidRPr="002A3C5C">
              <w:t xml:space="preserve"> for the </w:t>
            </w:r>
            <w:r>
              <w:t>Applicant</w:t>
            </w:r>
            <w:r w:rsidRPr="002A3C5C">
              <w:t>:</w:t>
            </w:r>
          </w:p>
        </w:tc>
        <w:tc>
          <w:tcPr>
            <w:tcW w:w="5989" w:type="dxa"/>
            <w:gridSpan w:val="2"/>
            <w:shd w:val="clear" w:color="auto" w:fill="auto"/>
          </w:tcPr>
          <w:p w14:paraId="0E9F3D60" w14:textId="77777777" w:rsidR="00432D8C" w:rsidRPr="002A3C5C" w:rsidRDefault="00432D8C" w:rsidP="001705F3">
            <w:pPr>
              <w:pStyle w:val="CasesLegislationAppealFrom"/>
              <w:spacing w:after="0"/>
            </w:pPr>
            <w:proofErr w:type="spellStart"/>
            <w:r>
              <w:t>Adero</w:t>
            </w:r>
            <w:proofErr w:type="spellEnd"/>
            <w:r>
              <w:t xml:space="preserve"> Law</w:t>
            </w:r>
          </w:p>
        </w:tc>
      </w:tr>
      <w:tr w:rsidR="00432D8C" w:rsidRPr="002A3C5C" w14:paraId="1C3785E4" w14:textId="77777777" w:rsidTr="00432D8C">
        <w:tc>
          <w:tcPr>
            <w:tcW w:w="3084" w:type="dxa"/>
            <w:shd w:val="clear" w:color="auto" w:fill="auto"/>
          </w:tcPr>
          <w:p w14:paraId="055C875B" w14:textId="77777777" w:rsidR="00432D8C" w:rsidRPr="002A3C5C" w:rsidRDefault="00432D8C" w:rsidP="001705F3">
            <w:pPr>
              <w:pStyle w:val="Normal1linespace"/>
              <w:widowControl w:val="0"/>
              <w:jc w:val="left"/>
            </w:pPr>
          </w:p>
        </w:tc>
        <w:tc>
          <w:tcPr>
            <w:tcW w:w="5989" w:type="dxa"/>
            <w:gridSpan w:val="2"/>
            <w:shd w:val="clear" w:color="auto" w:fill="auto"/>
          </w:tcPr>
          <w:p w14:paraId="49C16B20" w14:textId="77777777" w:rsidR="00432D8C" w:rsidRPr="002A3C5C" w:rsidRDefault="00432D8C" w:rsidP="001705F3">
            <w:pPr>
              <w:pStyle w:val="CasesLegislationAppealFrom"/>
              <w:spacing w:after="0"/>
            </w:pPr>
          </w:p>
        </w:tc>
      </w:tr>
      <w:tr w:rsidR="00432D8C" w:rsidRPr="002A3C5C" w14:paraId="437EBDC7" w14:textId="77777777" w:rsidTr="00432D8C">
        <w:tc>
          <w:tcPr>
            <w:tcW w:w="3084" w:type="dxa"/>
            <w:shd w:val="clear" w:color="auto" w:fill="auto"/>
          </w:tcPr>
          <w:p w14:paraId="19183873" w14:textId="77777777" w:rsidR="00432D8C" w:rsidRPr="002A3C5C" w:rsidRDefault="00432D8C" w:rsidP="001705F3">
            <w:pPr>
              <w:pStyle w:val="Normal1linespace"/>
              <w:widowControl w:val="0"/>
              <w:jc w:val="left"/>
            </w:pPr>
            <w:r w:rsidRPr="002A3C5C">
              <w:t>Counsel for the Respondent:</w:t>
            </w:r>
          </w:p>
        </w:tc>
        <w:tc>
          <w:tcPr>
            <w:tcW w:w="5989" w:type="dxa"/>
            <w:gridSpan w:val="2"/>
            <w:shd w:val="clear" w:color="auto" w:fill="auto"/>
          </w:tcPr>
          <w:p w14:paraId="513A453B" w14:textId="77777777" w:rsidR="00432D8C" w:rsidRPr="002A3C5C" w:rsidRDefault="002C0AAB" w:rsidP="001705F3">
            <w:pPr>
              <w:pStyle w:val="CasesLegislationAppealFrom"/>
              <w:spacing w:after="0"/>
            </w:pPr>
            <w:r>
              <w:t xml:space="preserve">Ms Kate Eastman SC and Mr A </w:t>
            </w:r>
            <w:proofErr w:type="spellStart"/>
            <w:r>
              <w:t>Hochroth</w:t>
            </w:r>
            <w:proofErr w:type="spellEnd"/>
          </w:p>
        </w:tc>
      </w:tr>
      <w:tr w:rsidR="00432D8C" w14:paraId="513CEAE0" w14:textId="77777777" w:rsidTr="00432D8C">
        <w:tc>
          <w:tcPr>
            <w:tcW w:w="3084" w:type="dxa"/>
            <w:shd w:val="clear" w:color="auto" w:fill="auto"/>
          </w:tcPr>
          <w:p w14:paraId="704350DC" w14:textId="77777777" w:rsidR="00432D8C" w:rsidRPr="002A3C5C" w:rsidRDefault="00432D8C" w:rsidP="001705F3">
            <w:pPr>
              <w:pStyle w:val="Normal1linespace"/>
              <w:widowControl w:val="0"/>
              <w:jc w:val="left"/>
            </w:pPr>
          </w:p>
        </w:tc>
        <w:tc>
          <w:tcPr>
            <w:tcW w:w="5989" w:type="dxa"/>
            <w:gridSpan w:val="2"/>
            <w:shd w:val="clear" w:color="auto" w:fill="auto"/>
          </w:tcPr>
          <w:p w14:paraId="6181F265" w14:textId="77777777" w:rsidR="00432D8C" w:rsidRDefault="00432D8C" w:rsidP="001705F3">
            <w:pPr>
              <w:pStyle w:val="CasesLegislationAppealFrom"/>
              <w:spacing w:after="0"/>
            </w:pPr>
          </w:p>
        </w:tc>
      </w:tr>
      <w:tr w:rsidR="00432D8C" w14:paraId="21DA2805" w14:textId="77777777" w:rsidTr="00432D8C">
        <w:tc>
          <w:tcPr>
            <w:tcW w:w="3084" w:type="dxa"/>
            <w:shd w:val="clear" w:color="auto" w:fill="auto"/>
          </w:tcPr>
          <w:p w14:paraId="290B7994" w14:textId="77777777" w:rsidR="00432D8C" w:rsidRPr="002A3C5C" w:rsidRDefault="00432D8C" w:rsidP="001705F3">
            <w:pPr>
              <w:pStyle w:val="Normal1linespace"/>
              <w:widowControl w:val="0"/>
              <w:jc w:val="left"/>
            </w:pPr>
            <w:r>
              <w:t>Solicitor</w:t>
            </w:r>
            <w:r w:rsidRPr="002A3C5C">
              <w:t xml:space="preserve"> for the Respondent:</w:t>
            </w:r>
          </w:p>
        </w:tc>
        <w:tc>
          <w:tcPr>
            <w:tcW w:w="5989" w:type="dxa"/>
            <w:gridSpan w:val="2"/>
            <w:shd w:val="clear" w:color="auto" w:fill="auto"/>
          </w:tcPr>
          <w:p w14:paraId="3843F350" w14:textId="77777777" w:rsidR="00432D8C" w:rsidRDefault="00432D8C" w:rsidP="001705F3">
            <w:pPr>
              <w:pStyle w:val="CasesLegislationAppealFrom"/>
              <w:spacing w:after="0"/>
            </w:pPr>
            <w:proofErr w:type="spellStart"/>
            <w:r>
              <w:t>Ashurst</w:t>
            </w:r>
            <w:proofErr w:type="spellEnd"/>
          </w:p>
        </w:tc>
      </w:tr>
    </w:tbl>
    <w:p w14:paraId="6BA4697B" w14:textId="77777777" w:rsidR="00395B24" w:rsidRDefault="002C7385">
      <w:pPr>
        <w:pStyle w:val="Normal1linespace"/>
      </w:pPr>
      <w:r>
        <w:t xml:space="preserve"> </w:t>
      </w:r>
      <w:bookmarkEnd w:id="6"/>
    </w:p>
    <w:p w14:paraId="1D6F947D" w14:textId="77777777" w:rsidR="0092590B" w:rsidRDefault="0092590B">
      <w:pPr>
        <w:pStyle w:val="Normal1linespace"/>
      </w:pPr>
    </w:p>
    <w:p w14:paraId="5CA03C2D" w14:textId="77777777"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14:paraId="0A31701B"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F5F80C6" w14:textId="77777777" w:rsidTr="00E81DA6">
        <w:tc>
          <w:tcPr>
            <w:tcW w:w="6912" w:type="dxa"/>
            <w:gridSpan w:val="2"/>
          </w:tcPr>
          <w:p w14:paraId="25A6628C" w14:textId="77777777" w:rsidR="00A46CCC" w:rsidRPr="001765E0" w:rsidRDefault="00A46CCC" w:rsidP="00525A49">
            <w:pPr>
              <w:pStyle w:val="NormalHeadings"/>
            </w:pPr>
          </w:p>
        </w:tc>
        <w:tc>
          <w:tcPr>
            <w:tcW w:w="2330" w:type="dxa"/>
          </w:tcPr>
          <w:p w14:paraId="7B1F6B2C" w14:textId="77777777" w:rsidR="00A46CCC" w:rsidRDefault="00C07392" w:rsidP="00F92355">
            <w:pPr>
              <w:pStyle w:val="NormalHeadings"/>
              <w:jc w:val="right"/>
            </w:pPr>
            <w:bookmarkStart w:id="8" w:name="FileNo"/>
            <w:r>
              <w:t>ACD 97 of 2017</w:t>
            </w:r>
            <w:bookmarkEnd w:id="8"/>
          </w:p>
        </w:tc>
      </w:tr>
      <w:tr w:rsidR="00A76C13" w14:paraId="52CF6383" w14:textId="77777777" w:rsidTr="00F461A4">
        <w:tc>
          <w:tcPr>
            <w:tcW w:w="9242" w:type="dxa"/>
            <w:gridSpan w:val="3"/>
          </w:tcPr>
          <w:p w14:paraId="0DDC2DA2" w14:textId="77777777" w:rsidR="00A76C13" w:rsidRPr="00A76C13" w:rsidRDefault="00C07392" w:rsidP="00C07392">
            <w:pPr>
              <w:pStyle w:val="NormalHeadings"/>
              <w:jc w:val="left"/>
            </w:pPr>
            <w:bookmarkStart w:id="9" w:name="InTheMatterOf"/>
            <w:r>
              <w:t xml:space="preserve"> </w:t>
            </w:r>
            <w:bookmarkEnd w:id="9"/>
          </w:p>
        </w:tc>
      </w:tr>
      <w:tr w:rsidR="00A46CCC" w14:paraId="4424A774" w14:textId="77777777" w:rsidTr="005041F0">
        <w:trPr>
          <w:trHeight w:val="386"/>
        </w:trPr>
        <w:tc>
          <w:tcPr>
            <w:tcW w:w="2376" w:type="dxa"/>
          </w:tcPr>
          <w:p w14:paraId="79297340" w14:textId="77777777" w:rsidR="00A46CCC" w:rsidRDefault="00A46CCC" w:rsidP="005041F0">
            <w:pPr>
              <w:pStyle w:val="NormalHeadings"/>
              <w:jc w:val="left"/>
              <w:rPr>
                <w:caps/>
                <w:szCs w:val="24"/>
              </w:rPr>
            </w:pPr>
            <w:bookmarkStart w:id="10" w:name="Parties"/>
            <w:r>
              <w:rPr>
                <w:caps/>
                <w:szCs w:val="24"/>
              </w:rPr>
              <w:t>BETWEEN:</w:t>
            </w:r>
          </w:p>
        </w:tc>
        <w:tc>
          <w:tcPr>
            <w:tcW w:w="6866" w:type="dxa"/>
            <w:gridSpan w:val="2"/>
          </w:tcPr>
          <w:p w14:paraId="46375636" w14:textId="77777777" w:rsidR="00C07392" w:rsidRDefault="00C07392" w:rsidP="00C07392">
            <w:pPr>
              <w:pStyle w:val="NormalHeadings"/>
              <w:jc w:val="left"/>
            </w:pPr>
            <w:bookmarkStart w:id="11" w:name="Applicant"/>
            <w:r>
              <w:t>CATHERINE DUCK</w:t>
            </w:r>
          </w:p>
          <w:p w14:paraId="53F3281D" w14:textId="77777777" w:rsidR="00C07392" w:rsidRDefault="00C07392" w:rsidP="00C07392">
            <w:pPr>
              <w:pStyle w:val="PartyType"/>
            </w:pPr>
            <w:r>
              <w:t>Applicant</w:t>
            </w:r>
          </w:p>
          <w:bookmarkEnd w:id="11"/>
          <w:p w14:paraId="3256B9DA" w14:textId="77777777" w:rsidR="00A46CCC" w:rsidRPr="006555B4" w:rsidRDefault="00A46CCC" w:rsidP="005041F0">
            <w:pPr>
              <w:pStyle w:val="NormalHeadings"/>
              <w:jc w:val="left"/>
            </w:pPr>
          </w:p>
        </w:tc>
      </w:tr>
      <w:tr w:rsidR="00A46CCC" w14:paraId="0407FA9E" w14:textId="77777777" w:rsidTr="005041F0">
        <w:trPr>
          <w:trHeight w:val="386"/>
        </w:trPr>
        <w:tc>
          <w:tcPr>
            <w:tcW w:w="2376" w:type="dxa"/>
          </w:tcPr>
          <w:p w14:paraId="4D38DD04" w14:textId="77777777" w:rsidR="00A46CCC" w:rsidRDefault="00A46CCC" w:rsidP="005041F0">
            <w:pPr>
              <w:pStyle w:val="NormalHeadings"/>
              <w:jc w:val="left"/>
              <w:rPr>
                <w:caps/>
                <w:szCs w:val="24"/>
              </w:rPr>
            </w:pPr>
            <w:r>
              <w:rPr>
                <w:caps/>
                <w:szCs w:val="24"/>
              </w:rPr>
              <w:t>AND:</w:t>
            </w:r>
          </w:p>
        </w:tc>
        <w:tc>
          <w:tcPr>
            <w:tcW w:w="6866" w:type="dxa"/>
            <w:gridSpan w:val="2"/>
          </w:tcPr>
          <w:p w14:paraId="1983AE0F" w14:textId="77777777" w:rsidR="00C07392" w:rsidRDefault="00C07392" w:rsidP="00C07392">
            <w:pPr>
              <w:pStyle w:val="NormalHeadings"/>
              <w:jc w:val="left"/>
            </w:pPr>
            <w:bookmarkStart w:id="12" w:name="Respondent"/>
            <w:r>
              <w:t>AIRSERVICES AUSTRALIA</w:t>
            </w:r>
          </w:p>
          <w:p w14:paraId="6BB9337D" w14:textId="77777777" w:rsidR="00C07392" w:rsidRDefault="00C07392" w:rsidP="00C07392">
            <w:pPr>
              <w:pStyle w:val="PartyType"/>
            </w:pPr>
            <w:r>
              <w:t>Respondent</w:t>
            </w:r>
          </w:p>
          <w:bookmarkEnd w:id="12"/>
          <w:p w14:paraId="3AF92B89" w14:textId="77777777" w:rsidR="00A46CCC" w:rsidRPr="006555B4" w:rsidRDefault="00A46CCC" w:rsidP="005041F0">
            <w:pPr>
              <w:pStyle w:val="NormalHeadings"/>
              <w:jc w:val="left"/>
            </w:pPr>
          </w:p>
        </w:tc>
      </w:tr>
    </w:tbl>
    <w:p w14:paraId="41263CB1" w14:textId="77777777"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1258448A" w14:textId="77777777">
        <w:tc>
          <w:tcPr>
            <w:tcW w:w="2376" w:type="dxa"/>
          </w:tcPr>
          <w:p w14:paraId="72F31C1A" w14:textId="77777777" w:rsidR="00395B24" w:rsidRDefault="00C07392">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14:paraId="738A0E6C" w14:textId="77777777" w:rsidR="00395B24" w:rsidRDefault="00C07392">
            <w:pPr>
              <w:pStyle w:val="NormalHeadings"/>
              <w:jc w:val="left"/>
              <w:rPr>
                <w:caps/>
                <w:szCs w:val="24"/>
              </w:rPr>
            </w:pPr>
            <w:bookmarkStart w:id="15" w:name="Judge"/>
            <w:r>
              <w:rPr>
                <w:caps/>
                <w:szCs w:val="24"/>
              </w:rPr>
              <w:t>BROMWICH J</w:t>
            </w:r>
            <w:bookmarkEnd w:id="15"/>
          </w:p>
        </w:tc>
      </w:tr>
      <w:tr w:rsidR="00395B24" w14:paraId="6A28BE3E" w14:textId="77777777">
        <w:tc>
          <w:tcPr>
            <w:tcW w:w="2376" w:type="dxa"/>
          </w:tcPr>
          <w:p w14:paraId="5F4A2CFC" w14:textId="77777777" w:rsidR="00395B24" w:rsidRDefault="002C7385">
            <w:pPr>
              <w:pStyle w:val="NormalHeadings"/>
              <w:spacing w:after="120"/>
              <w:jc w:val="left"/>
              <w:rPr>
                <w:caps/>
                <w:szCs w:val="24"/>
              </w:rPr>
            </w:pPr>
            <w:r>
              <w:rPr>
                <w:caps/>
                <w:szCs w:val="24"/>
              </w:rPr>
              <w:t>DATE OF ORDER:</w:t>
            </w:r>
          </w:p>
        </w:tc>
        <w:tc>
          <w:tcPr>
            <w:tcW w:w="6866" w:type="dxa"/>
          </w:tcPr>
          <w:p w14:paraId="3BACAAFF" w14:textId="0586103D" w:rsidR="00395B24" w:rsidRDefault="00793662">
            <w:pPr>
              <w:pStyle w:val="NormalHeadings"/>
              <w:jc w:val="left"/>
              <w:rPr>
                <w:caps/>
                <w:szCs w:val="24"/>
              </w:rPr>
            </w:pPr>
            <w:bookmarkStart w:id="16" w:name="Judgment_Dated"/>
            <w:bookmarkEnd w:id="16"/>
            <w:r>
              <w:rPr>
                <w:caps/>
                <w:szCs w:val="24"/>
              </w:rPr>
              <w:t>12</w:t>
            </w:r>
            <w:r w:rsidR="00CE40EA">
              <w:rPr>
                <w:caps/>
                <w:szCs w:val="24"/>
              </w:rPr>
              <w:t xml:space="preserve"> October 2018</w:t>
            </w:r>
          </w:p>
        </w:tc>
      </w:tr>
    </w:tbl>
    <w:p w14:paraId="381746E9" w14:textId="77777777" w:rsidR="00395B24" w:rsidRDefault="00395B24">
      <w:pPr>
        <w:pStyle w:val="NormalHeadings"/>
        <w:rPr>
          <w:b w:val="0"/>
        </w:rPr>
      </w:pPr>
    </w:p>
    <w:p w14:paraId="7008322E" w14:textId="77777777" w:rsidR="008D1617" w:rsidRDefault="008D1617">
      <w:pPr>
        <w:pStyle w:val="NormalHeadings"/>
        <w:rPr>
          <w:b w:val="0"/>
        </w:rPr>
      </w:pPr>
    </w:p>
    <w:p w14:paraId="057A113D" w14:textId="77777777" w:rsidR="00395B24" w:rsidRDefault="002C7385">
      <w:pPr>
        <w:pStyle w:val="NormalHeadings"/>
      </w:pPr>
      <w:r>
        <w:t>THE COURT ORDERS THAT:</w:t>
      </w:r>
    </w:p>
    <w:p w14:paraId="36F414D2" w14:textId="77777777" w:rsidR="00395B24" w:rsidRDefault="00395B24">
      <w:pPr>
        <w:pStyle w:val="NormalHeadings"/>
      </w:pPr>
    </w:p>
    <w:p w14:paraId="4CCF96F4" w14:textId="2CC7543F" w:rsidR="00395B24" w:rsidRDefault="00971BBC" w:rsidP="00274F5B">
      <w:pPr>
        <w:pStyle w:val="Order1"/>
      </w:pPr>
      <w:bookmarkStart w:id="17" w:name="Order_Start_Text"/>
      <w:bookmarkEnd w:id="17"/>
      <w:r>
        <w:t>A common fund order be made</w:t>
      </w:r>
      <w:r w:rsidR="00EC5CBA">
        <w:t xml:space="preserve"> in terms that reflect </w:t>
      </w:r>
      <w:r>
        <w:t>the reasons of the Court.</w:t>
      </w:r>
    </w:p>
    <w:p w14:paraId="52DEE03D" w14:textId="77777777" w:rsidR="00EC5CBA" w:rsidRDefault="00EC5CBA" w:rsidP="00274F5B">
      <w:pPr>
        <w:pStyle w:val="Order1"/>
      </w:pPr>
      <w:r>
        <w:t>The parties file a joint or competing proposed order within 7 days or such other period as may be agreed upon and notified by email to the associate to Justice Bromwich.</w:t>
      </w:r>
    </w:p>
    <w:p w14:paraId="4B4D5695" w14:textId="77777777" w:rsidR="00636871" w:rsidRDefault="00636871" w:rsidP="002B0E91">
      <w:pPr>
        <w:pStyle w:val="BodyText"/>
      </w:pPr>
    </w:p>
    <w:p w14:paraId="70FF6479" w14:textId="77777777" w:rsidR="00395B24" w:rsidRDefault="00395B24" w:rsidP="002B0E91">
      <w:pPr>
        <w:pStyle w:val="BodyText"/>
      </w:pPr>
    </w:p>
    <w:p w14:paraId="10BE67B4" w14:textId="77777777" w:rsidR="00395B24" w:rsidRDefault="002C7385" w:rsidP="004D53E5">
      <w:pPr>
        <w:pStyle w:val="SingleSpace"/>
      </w:pPr>
      <w:r>
        <w:t>Note:</w:t>
      </w:r>
      <w:r>
        <w:tab/>
        <w:t xml:space="preserve">Entry of orders is dealt with in Rule 39.32 of the </w:t>
      </w:r>
      <w:r>
        <w:rPr>
          <w:i/>
        </w:rPr>
        <w:t>Federal Court Rules 2011</w:t>
      </w:r>
      <w:r>
        <w:t>.</w:t>
      </w:r>
    </w:p>
    <w:p w14:paraId="739D0DAC" w14:textId="77777777" w:rsidR="00395B24" w:rsidRDefault="00395B24" w:rsidP="002B0E91">
      <w:pPr>
        <w:pStyle w:val="BodyText"/>
      </w:pPr>
    </w:p>
    <w:p w14:paraId="6B2282E8" w14:textId="77777777" w:rsidR="00395B24" w:rsidRDefault="00395B24" w:rsidP="001F2DBC">
      <w:pPr>
        <w:pStyle w:val="BodyText"/>
      </w:pPr>
    </w:p>
    <w:p w14:paraId="2604EF33" w14:textId="77777777" w:rsidR="0092590B" w:rsidRDefault="0092590B" w:rsidP="002B0E91">
      <w:pPr>
        <w:pStyle w:val="BodyText"/>
      </w:pPr>
    </w:p>
    <w:p w14:paraId="2659472E" w14:textId="77777777"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14:paraId="4A0C6669" w14:textId="77777777"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58C1948C" w14:textId="77777777" w:rsidR="00395B24" w:rsidRPr="00EA03CE" w:rsidRDefault="00C07392" w:rsidP="005E0510">
      <w:pPr>
        <w:pStyle w:val="NormalHeadings"/>
        <w:spacing w:line="360" w:lineRule="auto"/>
        <w:jc w:val="left"/>
        <w:rPr>
          <w:sz w:val="26"/>
          <w:szCs w:val="26"/>
        </w:rPr>
      </w:pPr>
      <w:r>
        <w:rPr>
          <w:sz w:val="26"/>
          <w:szCs w:val="26"/>
        </w:rPr>
        <w:t>BROMWICH J</w:t>
      </w:r>
      <w:r w:rsidR="00484F6D" w:rsidRPr="00EA03CE">
        <w:rPr>
          <w:sz w:val="26"/>
          <w:szCs w:val="26"/>
        </w:rPr>
        <w:t>:</w:t>
      </w:r>
    </w:p>
    <w:p w14:paraId="156CA6DD" w14:textId="0C62E83D" w:rsidR="00BA63B8" w:rsidRDefault="00C07392" w:rsidP="00C07392">
      <w:pPr>
        <w:pStyle w:val="ParaNumbering"/>
      </w:pPr>
      <w:r>
        <w:t xml:space="preserve">On 22 December 2017, the applicant, Ms Catherine Duck, commenced </w:t>
      </w:r>
      <w:r w:rsidR="00CE40EA">
        <w:t xml:space="preserve">a </w:t>
      </w:r>
      <w:r w:rsidR="0085147C">
        <w:t xml:space="preserve">closed class </w:t>
      </w:r>
      <w:r>
        <w:t>representative proceeding</w:t>
      </w:r>
      <w:r w:rsidR="00EC5CBA">
        <w:t xml:space="preserve"> – that is, a class action –</w:t>
      </w:r>
      <w:r>
        <w:t xml:space="preserve"> against the respondent, Airservices Australia</w:t>
      </w:r>
      <w:r w:rsidR="00BA63B8">
        <w:t xml:space="preserve">, under Pt IVA of the </w:t>
      </w:r>
      <w:r w:rsidR="00BA63B8" w:rsidRPr="00BA63B8">
        <w:rPr>
          <w:i/>
        </w:rPr>
        <w:t>Federal Court of Australia Act 1976</w:t>
      </w:r>
      <w:r w:rsidR="00BA63B8">
        <w:t xml:space="preserve"> (</w:t>
      </w:r>
      <w:proofErr w:type="spellStart"/>
      <w:r w:rsidR="00BA63B8">
        <w:t>Cth</w:t>
      </w:r>
      <w:proofErr w:type="spellEnd"/>
      <w:r w:rsidR="00BA63B8">
        <w:t>) (</w:t>
      </w:r>
      <w:r w:rsidR="00BA63B8" w:rsidRPr="00BA63B8">
        <w:rPr>
          <w:b/>
          <w:i/>
        </w:rPr>
        <w:t>FCA Act</w:t>
      </w:r>
      <w:r w:rsidR="00BA63B8">
        <w:t xml:space="preserve">).  </w:t>
      </w:r>
      <w:r w:rsidR="0085147C">
        <w:t>The closed class comprise</w:t>
      </w:r>
      <w:r w:rsidR="004571A2">
        <w:t>d</w:t>
      </w:r>
      <w:r w:rsidR="0085147C">
        <w:t xml:space="preserve"> 76 members who have signed a funding agreement.  Ms Duck </w:t>
      </w:r>
      <w:r>
        <w:t>relies upon a</w:t>
      </w:r>
      <w:r w:rsidR="00596DB4">
        <w:t>n</w:t>
      </w:r>
      <w:r>
        <w:t xml:space="preserve"> amended originating application and a</w:t>
      </w:r>
      <w:r w:rsidR="00596DB4">
        <w:t>n</w:t>
      </w:r>
      <w:r>
        <w:t xml:space="preserve"> amended statement of claim</w:t>
      </w:r>
      <w:r w:rsidR="00B83A50">
        <w:t xml:space="preserve">.  Those documents were </w:t>
      </w:r>
      <w:r w:rsidR="00596DB4">
        <w:t xml:space="preserve">filed </w:t>
      </w:r>
      <w:r w:rsidR="00B83A50">
        <w:t>on 27 March 2018 in accordance with an order made by Jagot J on 20 March 201</w:t>
      </w:r>
      <w:r w:rsidR="00157FC0">
        <w:t>8</w:t>
      </w:r>
      <w:r w:rsidR="00B83A50">
        <w:t xml:space="preserve">.  By that means, </w:t>
      </w:r>
      <w:r w:rsidR="00FF2D7A">
        <w:t xml:space="preserve">the definition of group members </w:t>
      </w:r>
      <w:r w:rsidR="00B83A50">
        <w:t xml:space="preserve">changed </w:t>
      </w:r>
      <w:r w:rsidR="00FF2D7A">
        <w:t>to an open class</w:t>
      </w:r>
      <w:r w:rsidR="00157FC0">
        <w:t xml:space="preserve"> with the Court’s approval</w:t>
      </w:r>
      <w:r>
        <w:t xml:space="preserve">.  </w:t>
      </w:r>
      <w:r w:rsidR="00596DB4">
        <w:t xml:space="preserve">A further amended originating application and a further amended statement of claim were filed on 28 August 2018, which </w:t>
      </w:r>
      <w:r w:rsidR="00A57555">
        <w:t>in part clarified the class.</w:t>
      </w:r>
    </w:p>
    <w:p w14:paraId="044A2443" w14:textId="212A6335" w:rsidR="00971BBC" w:rsidRDefault="00C07392" w:rsidP="00C07392">
      <w:pPr>
        <w:pStyle w:val="ParaNumbering"/>
      </w:pPr>
      <w:r>
        <w:t xml:space="preserve">For present purposes, the nature of the </w:t>
      </w:r>
      <w:r w:rsidR="00BA63B8">
        <w:t xml:space="preserve">class action </w:t>
      </w:r>
      <w:r>
        <w:t xml:space="preserve">may be shortly stated as seeking to recover the difference between the benefits </w:t>
      </w:r>
      <w:r w:rsidR="00BA63B8">
        <w:t>Ms Duck</w:t>
      </w:r>
      <w:r>
        <w:t xml:space="preserve"> </w:t>
      </w:r>
      <w:r w:rsidR="00BA63B8">
        <w:t xml:space="preserve">and other members of the class </w:t>
      </w:r>
      <w:r>
        <w:t>obtained under contract</w:t>
      </w:r>
      <w:r w:rsidR="00B83A50">
        <w:t>s</w:t>
      </w:r>
      <w:r>
        <w:t xml:space="preserve"> of employment with Airservices Australia and what she contends </w:t>
      </w:r>
      <w:r w:rsidR="00BA63B8">
        <w:t>they were</w:t>
      </w:r>
      <w:r>
        <w:t xml:space="preserve"> entitled to be paid under one or </w:t>
      </w:r>
      <w:r w:rsidR="00BA63B8">
        <w:t>both of</w:t>
      </w:r>
      <w:r>
        <w:t xml:space="preserve"> two enterprise agreements.  </w:t>
      </w:r>
      <w:r w:rsidR="007F39AA">
        <w:t>A</w:t>
      </w:r>
      <w:r w:rsidR="00DB7EE4">
        <w:t xml:space="preserve"> central </w:t>
      </w:r>
      <w:r w:rsidR="007F39AA">
        <w:t xml:space="preserve">and indispensable </w:t>
      </w:r>
      <w:r w:rsidR="00DB7EE4">
        <w:t xml:space="preserve">contention </w:t>
      </w:r>
      <w:r w:rsidR="007F39AA">
        <w:t>by Ms Duck</w:t>
      </w:r>
      <w:r w:rsidR="00194602">
        <w:t xml:space="preserve"> is</w:t>
      </w:r>
      <w:r w:rsidR="007F39AA">
        <w:t xml:space="preserve"> </w:t>
      </w:r>
      <w:r w:rsidR="00DB7EE4">
        <w:t xml:space="preserve">that the enterprise agreements in question </w:t>
      </w:r>
      <w:r w:rsidR="006D7949">
        <w:t xml:space="preserve">cover the class members.  Airservices Australia dispute that such coverage is provided.  The parties have agreed, and the Court has ordered, that this preliminary dispute </w:t>
      </w:r>
      <w:r w:rsidR="00DB7EE4">
        <w:t>be determined by way of a separate question, which is yet to be heard.</w:t>
      </w:r>
      <w:r w:rsidR="007F39AA">
        <w:t xml:space="preserve">  </w:t>
      </w:r>
    </w:p>
    <w:p w14:paraId="2B5DC5C1" w14:textId="6AD89826" w:rsidR="00484F6D" w:rsidRDefault="007F39AA" w:rsidP="00C07392">
      <w:pPr>
        <w:pStyle w:val="ParaNumbering"/>
      </w:pPr>
      <w:r>
        <w:t>Attempts at settlement have been unsuccessful.  On the limited information available, it seems unlikely that this will change unless and until the separate question is heard and determined in Ms Duck’s favour.  If that does not occur, the class action will almost certainly be at an end.  If it does occur, it remains unclear as to whether settlement is likely to follow, or whether there will remain significant factual disputes going to liability</w:t>
      </w:r>
      <w:r w:rsidR="00EC5CBA">
        <w:t xml:space="preserve"> to be resolved at a trial</w:t>
      </w:r>
      <w:r>
        <w:t xml:space="preserve">.  </w:t>
      </w:r>
      <w:r w:rsidR="00971BBC">
        <w:t>This includes questions of whether Ms Duck and the class members are excluded from coverage by either of the enterprise agreements and whether or not Airservices Australia had</w:t>
      </w:r>
      <w:r w:rsidR="00F13DE4">
        <w:t xml:space="preserve"> falsely</w:t>
      </w:r>
      <w:r w:rsidR="00487EE6">
        <w:t>,</w:t>
      </w:r>
      <w:r w:rsidR="00F13DE4">
        <w:t xml:space="preserve"> or misleadingly and</w:t>
      </w:r>
      <w:r w:rsidR="00971BBC">
        <w:t xml:space="preserve"> recklessly</w:t>
      </w:r>
      <w:r w:rsidR="00487EE6">
        <w:t>,</w:t>
      </w:r>
      <w:r w:rsidR="00971BBC">
        <w:t xml:space="preserve"> represented the effect of those agreements to group members.</w:t>
      </w:r>
    </w:p>
    <w:p w14:paraId="4778456B" w14:textId="6A35B56D" w:rsidR="005E1735" w:rsidRDefault="00C07392" w:rsidP="00080047">
      <w:pPr>
        <w:pStyle w:val="ParaNumbering"/>
      </w:pPr>
      <w:r>
        <w:t>On 27 July 2018, Ms</w:t>
      </w:r>
      <w:r w:rsidR="007F75BC">
        <w:t xml:space="preserve"> Duck filed an interlocutory application by which she sought what is commonly referre</w:t>
      </w:r>
      <w:r w:rsidR="00DB7EE4">
        <w:t xml:space="preserve">d to as </w:t>
      </w:r>
      <w:r w:rsidR="006452E5">
        <w:t xml:space="preserve">a </w:t>
      </w:r>
      <w:r w:rsidR="00DB7EE4">
        <w:t>common fund order</w:t>
      </w:r>
      <w:r w:rsidR="00BA63B8">
        <w:t xml:space="preserve">, relying principally upon the power in s 33ZF(1) of the </w:t>
      </w:r>
      <w:r w:rsidR="00BA63B8" w:rsidRPr="00BA63B8">
        <w:rPr>
          <w:i/>
        </w:rPr>
        <w:t>FCA Act</w:t>
      </w:r>
      <w:r w:rsidR="00BA63B8">
        <w:t xml:space="preserve">, but also s 23 of that Act and r 1.32 of the </w:t>
      </w:r>
      <w:r w:rsidR="00BA63B8" w:rsidRPr="00CF715B">
        <w:rPr>
          <w:i/>
          <w:szCs w:val="24"/>
        </w:rPr>
        <w:t>Federal Court Rules</w:t>
      </w:r>
      <w:r w:rsidR="00080047">
        <w:rPr>
          <w:i/>
          <w:szCs w:val="24"/>
        </w:rPr>
        <w:t xml:space="preserve"> 2011 </w:t>
      </w:r>
      <w:r w:rsidR="00EC5CBA">
        <w:rPr>
          <w:szCs w:val="24"/>
        </w:rPr>
        <w:t>(</w:t>
      </w:r>
      <w:proofErr w:type="spellStart"/>
      <w:r w:rsidR="00EC5CBA">
        <w:rPr>
          <w:szCs w:val="24"/>
        </w:rPr>
        <w:t>Cth</w:t>
      </w:r>
      <w:proofErr w:type="spellEnd"/>
      <w:r w:rsidR="00EC5CBA">
        <w:rPr>
          <w:szCs w:val="24"/>
        </w:rPr>
        <w:t>)</w:t>
      </w:r>
      <w:r w:rsidR="00DB7EE4">
        <w:t xml:space="preserve">.  </w:t>
      </w:r>
      <w:r w:rsidR="00FF6F97">
        <w:t>The making of a c</w:t>
      </w:r>
      <w:r w:rsidR="00080047">
        <w:t xml:space="preserve">ommon fund </w:t>
      </w:r>
      <w:r w:rsidR="00BA63B8">
        <w:t xml:space="preserve">order </w:t>
      </w:r>
      <w:r w:rsidR="00FF6F97">
        <w:t>is</w:t>
      </w:r>
      <w:r w:rsidR="00BA63B8">
        <w:t xml:space="preserve"> one of a number of means by which the legal costs </w:t>
      </w:r>
      <w:r w:rsidR="00EC5CBA">
        <w:t xml:space="preserve">of the </w:t>
      </w:r>
      <w:r w:rsidR="00EC5CBA">
        <w:lastRenderedPageBreak/>
        <w:t xml:space="preserve">proceeding </w:t>
      </w:r>
      <w:r w:rsidR="00BA63B8">
        <w:t xml:space="preserve">and the commission cost of a litigation funder are met by all members of a class who either succeed in, or achieve a settlement in, a class action.  </w:t>
      </w:r>
    </w:p>
    <w:p w14:paraId="6C0BFE93" w14:textId="77777777" w:rsidR="00EC5CBA" w:rsidRDefault="00DB7EE4" w:rsidP="00CC1BD3">
      <w:pPr>
        <w:pStyle w:val="ParaNumbering"/>
      </w:pPr>
      <w:r>
        <w:t xml:space="preserve">The parties agreed that the determination could be made in chambers based on an affidavit in support of the application and written submissions.  Airservices Australia neither consents to, nor opposes, the orders being sought, but provided helpful submissions to assist the Court.  </w:t>
      </w:r>
    </w:p>
    <w:p w14:paraId="23322C0A" w14:textId="1BCBDCA8" w:rsidR="00C07392" w:rsidRDefault="00EC5CBA" w:rsidP="00CC1BD3">
      <w:pPr>
        <w:pStyle w:val="ParaNumbering"/>
      </w:pPr>
      <w:r>
        <w:t xml:space="preserve">The Full Court in </w:t>
      </w:r>
      <w:r w:rsidR="00BA63B8" w:rsidRPr="00EC5CBA">
        <w:rPr>
          <w:b/>
          <w:i/>
        </w:rPr>
        <w:t>Money Max</w:t>
      </w:r>
      <w:r w:rsidR="00BA63B8" w:rsidRPr="00080047">
        <w:rPr>
          <w:i/>
        </w:rPr>
        <w:t xml:space="preserve"> </w:t>
      </w:r>
      <w:proofErr w:type="spellStart"/>
      <w:r w:rsidR="00BA63B8" w:rsidRPr="00080047">
        <w:rPr>
          <w:i/>
        </w:rPr>
        <w:t>Int</w:t>
      </w:r>
      <w:proofErr w:type="spellEnd"/>
      <w:r w:rsidR="00BA63B8" w:rsidRPr="00080047">
        <w:rPr>
          <w:i/>
        </w:rPr>
        <w:t xml:space="preserve"> Pty Ltd v QBE Insurance Group Ltd </w:t>
      </w:r>
      <w:r w:rsidR="00BA63B8">
        <w:t>[2016] FCAFC 148; 245 FCR 191</w:t>
      </w:r>
      <w:r w:rsidR="00080047">
        <w:t xml:space="preserve"> at [168]</w:t>
      </w:r>
      <w:r w:rsidR="00CC1BD3">
        <w:t xml:space="preserve"> held that </w:t>
      </w:r>
      <w:r w:rsidR="00080047">
        <w:t xml:space="preserve">there is little doubt that s 33ZF(1) of the </w:t>
      </w:r>
      <w:r w:rsidR="00080047" w:rsidRPr="00BA63B8">
        <w:rPr>
          <w:i/>
        </w:rPr>
        <w:t>FCA Act</w:t>
      </w:r>
      <w:r w:rsidR="00080047">
        <w:rPr>
          <w:i/>
        </w:rPr>
        <w:t xml:space="preserve"> </w:t>
      </w:r>
      <w:r w:rsidR="00080047">
        <w:t>provides power to make a common fund order.</w:t>
      </w:r>
      <w:r w:rsidR="00CC1BD3">
        <w:t xml:space="preserve">  </w:t>
      </w:r>
      <w:r>
        <w:t xml:space="preserve">That basis for making such an order was relied upon by Lee J in </w:t>
      </w:r>
      <w:r w:rsidRPr="00CC1BD3">
        <w:rPr>
          <w:b/>
          <w:i/>
        </w:rPr>
        <w:t>Lenthall</w:t>
      </w:r>
      <w:r w:rsidRPr="00CC1BD3">
        <w:rPr>
          <w:i/>
        </w:rPr>
        <w:t xml:space="preserve"> v Westpac Life Insurance Services Limited</w:t>
      </w:r>
      <w:r>
        <w:t xml:space="preserve"> [2018] FCA 1422 at [25], but in the face of a contention by the respondents in that case that </w:t>
      </w:r>
      <w:r w:rsidRPr="00EC5CBA">
        <w:rPr>
          <w:i/>
        </w:rPr>
        <w:t>Money Max</w:t>
      </w:r>
      <w:r w:rsidRPr="00080047">
        <w:rPr>
          <w:i/>
        </w:rPr>
        <w:t xml:space="preserve"> </w:t>
      </w:r>
      <w:r>
        <w:t>was wrongly decided on the question of</w:t>
      </w:r>
      <w:r w:rsidR="002C0AAB">
        <w:t xml:space="preserve"> the Court’s</w:t>
      </w:r>
      <w:r>
        <w:t xml:space="preserve"> power to make such orders.  The respondents in </w:t>
      </w:r>
      <w:r w:rsidRPr="00CC1BD3">
        <w:rPr>
          <w:i/>
        </w:rPr>
        <w:t>Lenthall</w:t>
      </w:r>
      <w:r>
        <w:t xml:space="preserve"> have recently filed an application for leave to appeal, which in part seeks to challenge the correctness of this aspect of </w:t>
      </w:r>
      <w:r w:rsidR="00CC1BD3" w:rsidRPr="00CC1BD3">
        <w:rPr>
          <w:i/>
        </w:rPr>
        <w:t>Money Max</w:t>
      </w:r>
      <w:r>
        <w:t xml:space="preserve">.  </w:t>
      </w:r>
      <w:r w:rsidR="00CC1BD3">
        <w:t>However</w:t>
      </w:r>
      <w:r w:rsidR="002C0AAB">
        <w:t>,</w:t>
      </w:r>
      <w:r w:rsidR="00CC1BD3">
        <w:t xml:space="preserve"> I must proceed upon the basis that </w:t>
      </w:r>
      <w:r w:rsidR="00CC1BD3" w:rsidRPr="00CC1BD3">
        <w:rPr>
          <w:i/>
        </w:rPr>
        <w:t>Money Max</w:t>
      </w:r>
      <w:r w:rsidR="00CC1BD3">
        <w:rPr>
          <w:i/>
        </w:rPr>
        <w:t xml:space="preserve"> </w:t>
      </w:r>
      <w:r w:rsidR="00CC1BD3">
        <w:t xml:space="preserve">is correctly decided.  </w:t>
      </w:r>
    </w:p>
    <w:p w14:paraId="56D03EFE" w14:textId="77777777" w:rsidR="00AC6F95" w:rsidRDefault="0085147C" w:rsidP="00C07392">
      <w:pPr>
        <w:pStyle w:val="ParaNumbering"/>
      </w:pPr>
      <w:r>
        <w:t>The possible size of the class</w:t>
      </w:r>
      <w:r w:rsidR="00EC5CBA">
        <w:t xml:space="preserve"> applicable </w:t>
      </w:r>
      <w:r w:rsidR="004E7C57">
        <w:t xml:space="preserve">in </w:t>
      </w:r>
      <w:r w:rsidR="00EC5CBA">
        <w:t>this proceeding</w:t>
      </w:r>
      <w:r>
        <w:t xml:space="preserve"> </w:t>
      </w:r>
      <w:r w:rsidR="00EC5CBA">
        <w:t xml:space="preserve">appears on the evidence to be </w:t>
      </w:r>
      <w:r>
        <w:t xml:space="preserve">some significant, but undetermined, proportion of just over 1,200 individuals, </w:t>
      </w:r>
      <w:r w:rsidR="005E1735">
        <w:t xml:space="preserve">being </w:t>
      </w:r>
      <w:r>
        <w:t xml:space="preserve">persons </w:t>
      </w:r>
      <w:r w:rsidR="005E1735">
        <w:t xml:space="preserve">who </w:t>
      </w:r>
      <w:r>
        <w:t xml:space="preserve">reside both in Australia and overseas.  </w:t>
      </w:r>
    </w:p>
    <w:p w14:paraId="0E0D7B6E" w14:textId="7D9371A1" w:rsidR="000C3493" w:rsidRDefault="000C3493" w:rsidP="000C3493">
      <w:pPr>
        <w:pStyle w:val="ParaNumbering"/>
      </w:pPr>
      <w:r>
        <w:t>The central question guiding the exercise of discretion is whether, as required by s </w:t>
      </w:r>
      <w:proofErr w:type="gramStart"/>
      <w:r>
        <w:t>33ZF(</w:t>
      </w:r>
      <w:proofErr w:type="gramEnd"/>
      <w:r>
        <w:t>1), I “</w:t>
      </w:r>
      <w:r w:rsidRPr="008542B0">
        <w:rPr>
          <w:i/>
        </w:rPr>
        <w:t>think</w:t>
      </w:r>
      <w:r>
        <w:t>” that a common fund order of the kind sought, with any adjustments, is “</w:t>
      </w:r>
      <w:r w:rsidRPr="008542B0">
        <w:rPr>
          <w:i/>
        </w:rPr>
        <w:t>appropriate or necessary to ensure that justice is done in the proceeding</w:t>
      </w:r>
      <w:r>
        <w:t xml:space="preserve">”.  </w:t>
      </w:r>
      <w:r w:rsidR="00EC5CBA">
        <w:t xml:space="preserve">In </w:t>
      </w:r>
      <w:r w:rsidR="00EC5CBA" w:rsidRPr="00EC5CBA">
        <w:rPr>
          <w:i/>
        </w:rPr>
        <w:t>Money Max</w:t>
      </w:r>
      <w:r w:rsidR="00EC5CBA">
        <w:t xml:space="preserve">, the Full Court emphasised that the focus must be on justice in the extant proceeding, rather </w:t>
      </w:r>
      <w:r w:rsidR="004E7C57">
        <w:t xml:space="preserve">than </w:t>
      </w:r>
      <w:r w:rsidR="00D8182C">
        <w:t xml:space="preserve">by reference to broad policy considerations, although that limitation would not preclude having regard to the evident policy objectives behind Pt IVA of the </w:t>
      </w:r>
      <w:r w:rsidR="00D8182C">
        <w:rPr>
          <w:i/>
        </w:rPr>
        <w:t>FCA Act</w:t>
      </w:r>
      <w:r w:rsidR="00D8182C">
        <w:t>.</w:t>
      </w:r>
      <w:r w:rsidR="00D8182C">
        <w:rPr>
          <w:i/>
        </w:rPr>
        <w:t xml:space="preserve">  </w:t>
      </w:r>
      <w:r w:rsidRPr="00EC5CBA">
        <w:t>For</w:t>
      </w:r>
      <w:r>
        <w:t xml:space="preserve"> present purposes it is sufficient to confine </w:t>
      </w:r>
      <w:r w:rsidR="00D8182C">
        <w:t xml:space="preserve">the </w:t>
      </w:r>
      <w:r>
        <w:t xml:space="preserve">question </w:t>
      </w:r>
      <w:r w:rsidR="00D8182C">
        <w:t>raised by s </w:t>
      </w:r>
      <w:proofErr w:type="gramStart"/>
      <w:r w:rsidR="00D8182C">
        <w:t>33ZF(</w:t>
      </w:r>
      <w:proofErr w:type="gramEnd"/>
      <w:r w:rsidR="00D8182C">
        <w:t xml:space="preserve">1) </w:t>
      </w:r>
      <w:r>
        <w:t xml:space="preserve">to whether such an order is appropriate, bypassing the temptation to </w:t>
      </w:r>
      <w:r w:rsidR="00D8182C">
        <w:t>decide</w:t>
      </w:r>
      <w:r>
        <w:t xml:space="preserve"> whether the </w:t>
      </w:r>
      <w:r w:rsidR="00D8182C">
        <w:t xml:space="preserve">arguably higher </w:t>
      </w:r>
      <w:r>
        <w:t>threshold of “</w:t>
      </w:r>
      <w:r w:rsidRPr="008542B0">
        <w:rPr>
          <w:i/>
        </w:rPr>
        <w:t>necessary</w:t>
      </w:r>
      <w:r>
        <w:t xml:space="preserve">” has </w:t>
      </w:r>
      <w:r w:rsidR="00D8182C">
        <w:t xml:space="preserve">also </w:t>
      </w:r>
      <w:r>
        <w:t xml:space="preserve">been met.  </w:t>
      </w:r>
    </w:p>
    <w:p w14:paraId="3644E6AE" w14:textId="6A66B311" w:rsidR="007F39AA" w:rsidRDefault="007F39AA" w:rsidP="00C07392">
      <w:pPr>
        <w:pStyle w:val="ParaNumbering"/>
      </w:pPr>
      <w:bookmarkStart w:id="19" w:name="_Ref526958270"/>
      <w:r>
        <w:t>Ms Duck’s arguments in favour of granting the common fund order may be summarised as follows:</w:t>
      </w:r>
      <w:bookmarkEnd w:id="19"/>
    </w:p>
    <w:p w14:paraId="0C527223" w14:textId="4CF949C4" w:rsidR="00085980" w:rsidRDefault="00085980" w:rsidP="00085980">
      <w:pPr>
        <w:pStyle w:val="ListNo1"/>
      </w:pPr>
      <w:r>
        <w:t xml:space="preserve">funded group members, being those who have already signed </w:t>
      </w:r>
      <w:r w:rsidR="00D8182C">
        <w:t>the</w:t>
      </w:r>
      <w:r>
        <w:t xml:space="preserve"> agreement</w:t>
      </w:r>
      <w:r w:rsidR="00D8182C">
        <w:t xml:space="preserve"> with the funder</w:t>
      </w:r>
      <w:r>
        <w:t xml:space="preserve">, will </w:t>
      </w:r>
      <w:r w:rsidR="00D8182C">
        <w:t xml:space="preserve">likely </w:t>
      </w:r>
      <w:r>
        <w:t xml:space="preserve">be better off under the proposed common fund order because they will have the benefit of a </w:t>
      </w:r>
      <w:r w:rsidR="00D8182C">
        <w:t>C</w:t>
      </w:r>
      <w:r>
        <w:t xml:space="preserve">ourt-approved </w:t>
      </w:r>
      <w:r w:rsidR="00D8182C">
        <w:t xml:space="preserve">means of calculating the </w:t>
      </w:r>
      <w:r>
        <w:t>funding commission</w:t>
      </w:r>
      <w:r w:rsidR="00FF6F97">
        <w:t>,</w:t>
      </w:r>
      <w:r>
        <w:t xml:space="preserve"> </w:t>
      </w:r>
      <w:r>
        <w:lastRenderedPageBreak/>
        <w:t xml:space="preserve">which is likely to </w:t>
      </w:r>
      <w:r w:rsidR="00D8182C">
        <w:t xml:space="preserve">result in a </w:t>
      </w:r>
      <w:r>
        <w:t>lower commission tha</w:t>
      </w:r>
      <w:r w:rsidR="00F64AB5">
        <w:t>n</w:t>
      </w:r>
      <w:r>
        <w:t xml:space="preserve"> they are contractually obliged to pay under </w:t>
      </w:r>
      <w:r w:rsidR="00D8182C">
        <w:t>th</w:t>
      </w:r>
      <w:r w:rsidR="00F64AB5">
        <w:t>e</w:t>
      </w:r>
      <w:r w:rsidR="00D8182C">
        <w:t xml:space="preserve"> </w:t>
      </w:r>
      <w:r>
        <w:t>existing funding agreement;</w:t>
      </w:r>
    </w:p>
    <w:p w14:paraId="51F162C9" w14:textId="18A07FF8" w:rsidR="00085980" w:rsidRDefault="00085980" w:rsidP="00085980">
      <w:pPr>
        <w:pStyle w:val="ListNo1"/>
      </w:pPr>
      <w:proofErr w:type="gramStart"/>
      <w:r>
        <w:t>unfunded</w:t>
      </w:r>
      <w:proofErr w:type="gramEnd"/>
      <w:r>
        <w:t xml:space="preserve"> group members, being those who have not signed </w:t>
      </w:r>
      <w:r w:rsidR="00D8182C">
        <w:t xml:space="preserve">the existing </w:t>
      </w:r>
      <w:r>
        <w:t>funding agreement, will likely be better off as, in the absence of such an order, the funder may withdraw funding</w:t>
      </w:r>
      <w:r w:rsidR="00120689">
        <w:t>.</w:t>
      </w:r>
      <w:r>
        <w:t xml:space="preserve"> </w:t>
      </w:r>
      <w:r w:rsidR="00120689">
        <w:t>I</w:t>
      </w:r>
      <w:r>
        <w:t>n the event that it does not withdraw funding, the funder will apply for</w:t>
      </w:r>
      <w:r w:rsidR="00120689">
        <w:t xml:space="preserve"> a</w:t>
      </w:r>
      <w:r>
        <w:t xml:space="preserve"> funding equalisation order which is likely to leave unfunded group members worse off than under the proposed common fund order</w:t>
      </w:r>
      <w:r w:rsidR="00120689">
        <w:t>,</w:t>
      </w:r>
      <w:r>
        <w:t xml:space="preserve"> because they will be liable to pay a higher commission</w:t>
      </w:r>
      <w:r w:rsidR="00D8182C">
        <w:t xml:space="preserve"> in accordance with the existing agreement</w:t>
      </w:r>
      <w:r>
        <w:t>;</w:t>
      </w:r>
    </w:p>
    <w:p w14:paraId="34678A18" w14:textId="77777777" w:rsidR="00085980" w:rsidRDefault="00085980" w:rsidP="00085980">
      <w:pPr>
        <w:pStyle w:val="ListNo1"/>
      </w:pPr>
      <w:r>
        <w:t>a common fund order will reduce material “</w:t>
      </w:r>
      <w:r w:rsidRPr="00085980">
        <w:rPr>
          <w:i/>
        </w:rPr>
        <w:t>book-building</w:t>
      </w:r>
      <w:r>
        <w:t>”</w:t>
      </w:r>
      <w:r w:rsidRPr="00085980">
        <w:rPr>
          <w:i/>
        </w:rPr>
        <w:t xml:space="preserve"> </w:t>
      </w:r>
      <w:r w:rsidRPr="00085980">
        <w:t>costs</w:t>
      </w:r>
      <w:r>
        <w:t>;</w:t>
      </w:r>
    </w:p>
    <w:p w14:paraId="032982BB" w14:textId="77777777" w:rsidR="00085980" w:rsidRDefault="00085980" w:rsidP="00085980">
      <w:pPr>
        <w:pStyle w:val="ListNo1"/>
      </w:pPr>
      <w:r>
        <w:t>the proposed funding terms were appropriate and contained standard protections available to group members in Court-approved funding terms;</w:t>
      </w:r>
    </w:p>
    <w:p w14:paraId="6A88E266" w14:textId="77777777" w:rsidR="00085980" w:rsidRDefault="00085980" w:rsidP="00085980">
      <w:pPr>
        <w:pStyle w:val="ListNo1"/>
      </w:pPr>
      <w:r>
        <w:t>the proposed orders will reduce the scope for conflict to arise between the interests of funded and unfunded group members;</w:t>
      </w:r>
    </w:p>
    <w:p w14:paraId="2062522E" w14:textId="77777777" w:rsidR="00085980" w:rsidRDefault="00085980" w:rsidP="00085980">
      <w:pPr>
        <w:pStyle w:val="ListNo1"/>
      </w:pPr>
      <w:r>
        <w:t>it is in the interests of justice that the costs of the proceeding should be shared between all group members; and</w:t>
      </w:r>
    </w:p>
    <w:p w14:paraId="76F76122" w14:textId="77777777" w:rsidR="00085980" w:rsidRDefault="00085980" w:rsidP="008B02C8">
      <w:pPr>
        <w:pStyle w:val="ListNo1"/>
        <w:spacing w:before="0" w:after="0"/>
      </w:pPr>
      <w:proofErr w:type="gramStart"/>
      <w:r>
        <w:t>all</w:t>
      </w:r>
      <w:proofErr w:type="gramEnd"/>
      <w:r>
        <w:t xml:space="preserve"> group members, including unfunded group members, will have the opportunity to opt out of the proceeding after being fully informed of the effect of the proposed common fund order.</w:t>
      </w:r>
    </w:p>
    <w:p w14:paraId="0B565EEC" w14:textId="0EF15D66" w:rsidR="005E1735" w:rsidRDefault="005E1735" w:rsidP="00C07392">
      <w:pPr>
        <w:pStyle w:val="ParaNumbering"/>
      </w:pPr>
      <w:bookmarkStart w:id="20" w:name="_Ref527016304"/>
      <w:r>
        <w:t xml:space="preserve">Ms Duck also submits that the proceedings would not have been commenced but for the presence of funding and that such funding may be withdrawn if a common fund order is not made.  I do not consider it is appropriate to have regard to those submissions as they concern the interests of Ms Duck and the existing group members, and the interests of the funder, rather than the interests of justice in the proceeding, which </w:t>
      </w:r>
      <w:r w:rsidR="00197E2C">
        <w:t xml:space="preserve">are </w:t>
      </w:r>
      <w:r>
        <w:t xml:space="preserve">not the same.  Any issue of sharing costs and thereby reducing the individual share of costs is already accommodated by the </w:t>
      </w:r>
      <w:r w:rsidR="00E67098">
        <w:t xml:space="preserve">factors identified in </w:t>
      </w:r>
      <w:r w:rsidR="00AE690E">
        <w:t>Ms Duck’s</w:t>
      </w:r>
      <w:r w:rsidR="00E67098">
        <w:t xml:space="preserve"> </w:t>
      </w:r>
      <w:r>
        <w:t>submission</w:t>
      </w:r>
      <w:r w:rsidR="00E67098">
        <w:t>s</w:t>
      </w:r>
      <w:r>
        <w:t xml:space="preserve"> </w:t>
      </w:r>
      <w:r w:rsidR="00AE690E">
        <w:t xml:space="preserve">summarised </w:t>
      </w:r>
      <w:r>
        <w:t xml:space="preserve">at </w:t>
      </w:r>
      <w:r w:rsidR="00E67098" w:rsidRPr="00D8182C">
        <w:rPr>
          <w:szCs w:val="24"/>
        </w:rPr>
        <w:t>[</w:t>
      </w:r>
      <w:r w:rsidR="00120689">
        <w:rPr>
          <w:szCs w:val="24"/>
          <w:highlight w:val="yellow"/>
        </w:rPr>
        <w:fldChar w:fldCharType="begin"/>
      </w:r>
      <w:r w:rsidR="00120689">
        <w:rPr>
          <w:szCs w:val="24"/>
        </w:rPr>
        <w:instrText xml:space="preserve"> REF _Ref526958270 \r \h </w:instrText>
      </w:r>
      <w:r w:rsidR="00120689">
        <w:rPr>
          <w:szCs w:val="24"/>
          <w:highlight w:val="yellow"/>
        </w:rPr>
      </w:r>
      <w:r w:rsidR="00120689">
        <w:rPr>
          <w:szCs w:val="24"/>
          <w:highlight w:val="yellow"/>
        </w:rPr>
        <w:fldChar w:fldCharType="separate"/>
      </w:r>
      <w:r w:rsidR="00656AC2">
        <w:rPr>
          <w:szCs w:val="24"/>
        </w:rPr>
        <w:t>9</w:t>
      </w:r>
      <w:r w:rsidR="00120689">
        <w:rPr>
          <w:szCs w:val="24"/>
          <w:highlight w:val="yellow"/>
        </w:rPr>
        <w:fldChar w:fldCharType="end"/>
      </w:r>
      <w:r w:rsidR="00E67098" w:rsidRPr="00D8182C">
        <w:rPr>
          <w:szCs w:val="24"/>
        </w:rPr>
        <w:t>(</w:t>
      </w:r>
      <w:r w:rsidR="00E67098">
        <w:rPr>
          <w:szCs w:val="24"/>
        </w:rPr>
        <w:t>1</w:t>
      </w:r>
      <w:r w:rsidR="00E67098" w:rsidRPr="00D8182C">
        <w:rPr>
          <w:szCs w:val="24"/>
        </w:rPr>
        <w:t>)]</w:t>
      </w:r>
      <w:r w:rsidR="00E67098">
        <w:rPr>
          <w:szCs w:val="24"/>
        </w:rPr>
        <w:t xml:space="preserve">, </w:t>
      </w:r>
      <w:r w:rsidR="00E67098" w:rsidRPr="00D8182C">
        <w:rPr>
          <w:szCs w:val="24"/>
        </w:rPr>
        <w:t>[</w:t>
      </w:r>
      <w:r w:rsidR="00120689">
        <w:rPr>
          <w:szCs w:val="24"/>
          <w:highlight w:val="yellow"/>
        </w:rPr>
        <w:fldChar w:fldCharType="begin"/>
      </w:r>
      <w:r w:rsidR="00120689">
        <w:rPr>
          <w:szCs w:val="24"/>
        </w:rPr>
        <w:instrText xml:space="preserve"> REF _Ref526958270 \r \h </w:instrText>
      </w:r>
      <w:r w:rsidR="00120689">
        <w:rPr>
          <w:szCs w:val="24"/>
          <w:highlight w:val="yellow"/>
        </w:rPr>
      </w:r>
      <w:r w:rsidR="00120689">
        <w:rPr>
          <w:szCs w:val="24"/>
          <w:highlight w:val="yellow"/>
        </w:rPr>
        <w:fldChar w:fldCharType="separate"/>
      </w:r>
      <w:r w:rsidR="00656AC2">
        <w:rPr>
          <w:szCs w:val="24"/>
        </w:rPr>
        <w:t>9</w:t>
      </w:r>
      <w:r w:rsidR="00120689">
        <w:rPr>
          <w:szCs w:val="24"/>
          <w:highlight w:val="yellow"/>
        </w:rPr>
        <w:fldChar w:fldCharType="end"/>
      </w:r>
      <w:r w:rsidR="00E67098" w:rsidRPr="00D8182C">
        <w:rPr>
          <w:szCs w:val="24"/>
        </w:rPr>
        <w:t>(</w:t>
      </w:r>
      <w:r w:rsidR="00E67098">
        <w:rPr>
          <w:szCs w:val="24"/>
        </w:rPr>
        <w:t>2</w:t>
      </w:r>
      <w:r w:rsidR="00E67098" w:rsidRPr="00D8182C">
        <w:rPr>
          <w:szCs w:val="24"/>
        </w:rPr>
        <w:t>)]</w:t>
      </w:r>
      <w:r w:rsidR="00E67098">
        <w:t xml:space="preserve"> and </w:t>
      </w:r>
      <w:r w:rsidR="00085980" w:rsidRPr="00D8182C">
        <w:rPr>
          <w:szCs w:val="24"/>
        </w:rPr>
        <w:t>[</w:t>
      </w:r>
      <w:r w:rsidR="00120689">
        <w:rPr>
          <w:szCs w:val="24"/>
          <w:highlight w:val="yellow"/>
        </w:rPr>
        <w:fldChar w:fldCharType="begin"/>
      </w:r>
      <w:r w:rsidR="00120689">
        <w:rPr>
          <w:szCs w:val="24"/>
        </w:rPr>
        <w:instrText xml:space="preserve"> REF _Ref526958270 \r \h </w:instrText>
      </w:r>
      <w:r w:rsidR="00120689">
        <w:rPr>
          <w:szCs w:val="24"/>
          <w:highlight w:val="yellow"/>
        </w:rPr>
      </w:r>
      <w:r w:rsidR="00120689">
        <w:rPr>
          <w:szCs w:val="24"/>
          <w:highlight w:val="yellow"/>
        </w:rPr>
        <w:fldChar w:fldCharType="separate"/>
      </w:r>
      <w:r w:rsidR="00656AC2">
        <w:rPr>
          <w:szCs w:val="24"/>
        </w:rPr>
        <w:t>9</w:t>
      </w:r>
      <w:r w:rsidR="00120689">
        <w:rPr>
          <w:szCs w:val="24"/>
          <w:highlight w:val="yellow"/>
        </w:rPr>
        <w:fldChar w:fldCharType="end"/>
      </w:r>
      <w:r w:rsidR="00085980" w:rsidRPr="00D8182C">
        <w:rPr>
          <w:szCs w:val="24"/>
        </w:rPr>
        <w:t>(6)</w:t>
      </w:r>
      <w:r w:rsidRPr="00D8182C">
        <w:rPr>
          <w:szCs w:val="24"/>
        </w:rPr>
        <w:t>]</w:t>
      </w:r>
      <w:r>
        <w:t xml:space="preserve"> above.</w:t>
      </w:r>
      <w:bookmarkEnd w:id="20"/>
    </w:p>
    <w:p w14:paraId="0B844A18" w14:textId="14B27832" w:rsidR="005E1735" w:rsidRDefault="005E1735" w:rsidP="00C07392">
      <w:pPr>
        <w:pStyle w:val="ParaNumbering"/>
      </w:pPr>
      <w:bookmarkStart w:id="21" w:name="_Ref527016401"/>
      <w:r>
        <w:t>Ms Duck submits that a number of individuals initially expressed interest in participating, but only passively by reason of concerns about compromising their ongoing employment.  There is no evidence that there is any actual risk to ongoing employment</w:t>
      </w:r>
      <w:r w:rsidR="00E67098">
        <w:t xml:space="preserve">.  This </w:t>
      </w:r>
      <w:r>
        <w:t xml:space="preserve">issue is </w:t>
      </w:r>
      <w:r w:rsidR="00E67098">
        <w:t xml:space="preserve">best </w:t>
      </w:r>
      <w:r>
        <w:t xml:space="preserve">addressed </w:t>
      </w:r>
      <w:r w:rsidR="00E67098">
        <w:t xml:space="preserve">by reference to </w:t>
      </w:r>
      <w:r>
        <w:t xml:space="preserve">the </w:t>
      </w:r>
      <w:r w:rsidR="00085980">
        <w:t>category</w:t>
      </w:r>
      <w:r>
        <w:t xml:space="preserve"> of group members who would prefer, for a multiplicity of reasons, to be only a passive participant</w:t>
      </w:r>
      <w:r w:rsidR="00E67098">
        <w:t xml:space="preserve">, without reference to any unproven </w:t>
      </w:r>
      <w:r w:rsidR="00AE690E">
        <w:t xml:space="preserve">pejorative </w:t>
      </w:r>
      <w:r w:rsidR="00E67098">
        <w:t xml:space="preserve">basis </w:t>
      </w:r>
      <w:r w:rsidR="00AE690E">
        <w:t xml:space="preserve">directed at Airservices Australia </w:t>
      </w:r>
      <w:r w:rsidR="00E67098">
        <w:t>for preferring that arrangement</w:t>
      </w:r>
      <w:r>
        <w:t>.</w:t>
      </w:r>
      <w:bookmarkEnd w:id="21"/>
    </w:p>
    <w:p w14:paraId="1DFE291B" w14:textId="4723F8B0" w:rsidR="00AE690E" w:rsidRDefault="005E1735" w:rsidP="00C07392">
      <w:pPr>
        <w:pStyle w:val="ParaNumbering"/>
      </w:pPr>
      <w:r>
        <w:lastRenderedPageBreak/>
        <w:t xml:space="preserve">Ms Duck submits that this </w:t>
      </w:r>
      <w:r w:rsidR="00FF6F97">
        <w:t>i</w:t>
      </w:r>
      <w:r>
        <w:t xml:space="preserve">s not a case in which it was necessary to notify class members prior to making this application in order to protect their interests.  While this did cause me some concern, I am ultimately satisfied that this concern can be met as part of the information provided </w:t>
      </w:r>
      <w:r w:rsidR="00E67098">
        <w:t xml:space="preserve">during </w:t>
      </w:r>
      <w:r>
        <w:t xml:space="preserve">the </w:t>
      </w:r>
      <w:r w:rsidR="00AE690E">
        <w:t>“</w:t>
      </w:r>
      <w:r w:rsidRPr="00AE690E">
        <w:rPr>
          <w:i/>
        </w:rPr>
        <w:t>opt out</w:t>
      </w:r>
      <w:r w:rsidR="00AE690E">
        <w:t>”</w:t>
      </w:r>
      <w:r w:rsidR="00B908EC">
        <w:t xml:space="preserve"> process</w:t>
      </w:r>
      <w:r w:rsidR="00AE690E">
        <w:t xml:space="preserve"> due to commence in the near future</w:t>
      </w:r>
      <w:r>
        <w:t xml:space="preserve">.  </w:t>
      </w:r>
    </w:p>
    <w:p w14:paraId="6D1B43B2" w14:textId="5A2C40C8" w:rsidR="005E1735" w:rsidRDefault="005E1735" w:rsidP="00C07392">
      <w:pPr>
        <w:pStyle w:val="ParaNumbering"/>
      </w:pPr>
      <w:r>
        <w:t xml:space="preserve">Rather than </w:t>
      </w:r>
      <w:r w:rsidR="0042675B">
        <w:t xml:space="preserve">relying on the </w:t>
      </w:r>
      <w:r>
        <w:t xml:space="preserve">existing </w:t>
      </w:r>
      <w:r w:rsidR="00AE690E">
        <w:t xml:space="preserve">funding </w:t>
      </w:r>
      <w:r>
        <w:t>agreement</w:t>
      </w:r>
      <w:r w:rsidR="00AE690E">
        <w:t>, or any other basis,</w:t>
      </w:r>
      <w:r>
        <w:t xml:space="preserve"> </w:t>
      </w:r>
      <w:r w:rsidR="0042675B">
        <w:t xml:space="preserve">to set </w:t>
      </w:r>
      <w:r>
        <w:t>a</w:t>
      </w:r>
      <w:r w:rsidR="00085980">
        <w:t xml:space="preserve"> fixed </w:t>
      </w:r>
      <w:r>
        <w:t xml:space="preserve">commission </w:t>
      </w:r>
      <w:r w:rsidR="00085980">
        <w:t>rate</w:t>
      </w:r>
      <w:r w:rsidR="00AE690E">
        <w:t xml:space="preserve"> or calculation method</w:t>
      </w:r>
      <w:r w:rsidR="00085980">
        <w:t xml:space="preserve">, </w:t>
      </w:r>
      <w:r>
        <w:t xml:space="preserve">the proposal </w:t>
      </w:r>
      <w:r w:rsidR="00AE690E">
        <w:t xml:space="preserve">advanced by Ms Duck is that the </w:t>
      </w:r>
      <w:r w:rsidR="00E67098">
        <w:t xml:space="preserve">appropriate basis for the </w:t>
      </w:r>
      <w:r>
        <w:t xml:space="preserve">commission be determined at a later stage by the Court.  As noted below, that position can be further protected </w:t>
      </w:r>
      <w:r w:rsidR="00AE690E">
        <w:t xml:space="preserve">by </w:t>
      </w:r>
      <w:r w:rsidR="00194602">
        <w:t xml:space="preserve">a </w:t>
      </w:r>
      <w:r w:rsidR="00AE690E">
        <w:t xml:space="preserve">clause in the order </w:t>
      </w:r>
      <w:r>
        <w:t xml:space="preserve">that </w:t>
      </w:r>
      <w:r w:rsidR="00863560">
        <w:t>no group member</w:t>
      </w:r>
      <w:r>
        <w:t xml:space="preserve"> </w:t>
      </w:r>
      <w:r w:rsidR="00AE690E">
        <w:t>be</w:t>
      </w:r>
      <w:r>
        <w:t xml:space="preserve"> any worse off by reason of </w:t>
      </w:r>
      <w:r w:rsidR="00B908EC">
        <w:t>a common fund order being made.</w:t>
      </w:r>
      <w:r w:rsidR="00AE690E">
        <w:t xml:space="preserve">  I consider below some more recent authority favouring the fixing of the calculation method upfront.</w:t>
      </w:r>
    </w:p>
    <w:p w14:paraId="4A0100B8" w14:textId="77777777" w:rsidR="007F39AA" w:rsidRDefault="007F39AA" w:rsidP="00C07392">
      <w:pPr>
        <w:pStyle w:val="ParaNumbering"/>
      </w:pPr>
      <w:bookmarkStart w:id="22" w:name="_Ref527023498"/>
      <w:r>
        <w:t>Airservices Australia</w:t>
      </w:r>
      <w:r w:rsidR="00B908EC">
        <w:t>, after helpfully outlining the gene</w:t>
      </w:r>
      <w:r w:rsidR="00085980">
        <w:t>ral principles applicable and a</w:t>
      </w:r>
      <w:r w:rsidR="00B908EC">
        <w:t xml:space="preserve"> number of salient issues,</w:t>
      </w:r>
      <w:r>
        <w:t xml:space="preserve"> </w:t>
      </w:r>
      <w:r w:rsidR="00B908EC">
        <w:t>makes the following observations and raises the following concerns about Ms Duck’s application</w:t>
      </w:r>
      <w:r w:rsidR="008542B0">
        <w:t>:</w:t>
      </w:r>
      <w:bookmarkEnd w:id="22"/>
    </w:p>
    <w:p w14:paraId="238572D4" w14:textId="7BCC497D" w:rsidR="00085980" w:rsidRDefault="00085980" w:rsidP="00085980">
      <w:pPr>
        <w:pStyle w:val="ListNo1"/>
        <w:numPr>
          <w:ilvl w:val="0"/>
          <w:numId w:val="24"/>
        </w:numPr>
      </w:pPr>
      <w:r>
        <w:t>the orders sought</w:t>
      </w:r>
      <w:r w:rsidR="00AE690E">
        <w:t>,</w:t>
      </w:r>
      <w:r>
        <w:t xml:space="preserve"> appropriately </w:t>
      </w:r>
      <w:r w:rsidR="00AE690E">
        <w:t xml:space="preserve">from the perspective of </w:t>
      </w:r>
      <w:r w:rsidR="00157FC0">
        <w:t xml:space="preserve">Airservices Australia, </w:t>
      </w:r>
      <w:r>
        <w:t>do not set a fixed commission for the funder</w:t>
      </w:r>
      <w:r w:rsidR="00863560">
        <w:t>,</w:t>
      </w:r>
      <w:r>
        <w:t xml:space="preserve"> but rather provide for the commission to be approved by the Court on settlement or judgment;</w:t>
      </w:r>
    </w:p>
    <w:p w14:paraId="5192FCA4" w14:textId="3BD90B53" w:rsidR="00085980" w:rsidRDefault="00085980" w:rsidP="00085980">
      <w:pPr>
        <w:pStyle w:val="ListNo1"/>
        <w:numPr>
          <w:ilvl w:val="0"/>
          <w:numId w:val="24"/>
        </w:numPr>
      </w:pPr>
      <w:r>
        <w:t xml:space="preserve">there is a live question of whether or not group members would be better off under a common fund order than if a funding equalisation order </w:t>
      </w:r>
      <w:r w:rsidR="00197E2C">
        <w:t xml:space="preserve">were </w:t>
      </w:r>
      <w:r>
        <w:t>made at a subsequent stage in the proceedings and for that reason this was an appropriate case for a “</w:t>
      </w:r>
      <w:r w:rsidRPr="00B07686">
        <w:rPr>
          <w:i/>
        </w:rPr>
        <w:t>no worse off</w:t>
      </w:r>
      <w:r>
        <w:t xml:space="preserve">” order of the kind made in </w:t>
      </w:r>
      <w:r w:rsidRPr="00085980">
        <w:rPr>
          <w:i/>
        </w:rPr>
        <w:t>Money Max</w:t>
      </w:r>
      <w:r>
        <w:t xml:space="preserve"> to be imposed – in reply submissions Ms Duck expresses a willingness to have the order made subject to such a clause</w:t>
      </w:r>
      <w:r w:rsidR="00F2693E">
        <w:t>, which the Court considers appropriate</w:t>
      </w:r>
      <w:r w:rsidR="00AF3809">
        <w:t xml:space="preserve"> in this case</w:t>
      </w:r>
      <w:r>
        <w:t>;</w:t>
      </w:r>
    </w:p>
    <w:p w14:paraId="0EF30050" w14:textId="77777777" w:rsidR="00085980" w:rsidRDefault="00085980" w:rsidP="00085980">
      <w:pPr>
        <w:pStyle w:val="ListNo1"/>
        <w:numPr>
          <w:ilvl w:val="0"/>
          <w:numId w:val="24"/>
        </w:numPr>
      </w:pPr>
      <w:r>
        <w:t>sharing the burden of legal costs could equally be achieved through a funding equalisation order;</w:t>
      </w:r>
    </w:p>
    <w:p w14:paraId="1B5FC3A6" w14:textId="45C5CBD0" w:rsidR="00085980" w:rsidRDefault="00085980" w:rsidP="00085980">
      <w:pPr>
        <w:pStyle w:val="ListNo1"/>
        <w:numPr>
          <w:ilvl w:val="0"/>
          <w:numId w:val="24"/>
        </w:numPr>
      </w:pPr>
      <w:r>
        <w:t>there was no evidence to support the proposition that any “</w:t>
      </w:r>
      <w:r w:rsidRPr="00085980">
        <w:rPr>
          <w:i/>
        </w:rPr>
        <w:t>book building</w:t>
      </w:r>
      <w:r>
        <w:t>” exercise would continue if a common fund order was not made</w:t>
      </w:r>
      <w:r w:rsidR="008075F0">
        <w:t xml:space="preserve"> – in reply submissions, </w:t>
      </w:r>
      <w:r w:rsidR="00E67098">
        <w:t xml:space="preserve">which I accept, </w:t>
      </w:r>
      <w:r w:rsidR="008075F0">
        <w:t xml:space="preserve">Ms Duck </w:t>
      </w:r>
      <w:r w:rsidR="00E67098">
        <w:t xml:space="preserve">maintains that book building costs are a relevant consideration, </w:t>
      </w:r>
      <w:r w:rsidR="008075F0">
        <w:t>point</w:t>
      </w:r>
      <w:r w:rsidR="00E67098">
        <w:t>ing</w:t>
      </w:r>
      <w:r w:rsidR="008075F0">
        <w:t xml:space="preserve"> to the absence of challenge to the affidavit evidence to the effect that this remained an issue and also point</w:t>
      </w:r>
      <w:r w:rsidR="00FF6F97">
        <w:t>ing</w:t>
      </w:r>
      <w:r w:rsidR="008075F0">
        <w:t xml:space="preserve"> to considerable commercial incentives to continue book building if a common fund order w</w:t>
      </w:r>
      <w:r w:rsidR="00FF6F97">
        <w:t>ere</w:t>
      </w:r>
      <w:r w:rsidR="008075F0">
        <w:t xml:space="preserve"> refused</w:t>
      </w:r>
      <w:r>
        <w:t>;</w:t>
      </w:r>
    </w:p>
    <w:p w14:paraId="43E16ED4" w14:textId="22E60C04" w:rsidR="00085980" w:rsidRDefault="00085980" w:rsidP="00085980">
      <w:pPr>
        <w:pStyle w:val="ListNo1"/>
        <w:numPr>
          <w:ilvl w:val="0"/>
          <w:numId w:val="24"/>
        </w:numPr>
      </w:pPr>
      <w:r>
        <w:t xml:space="preserve">it is not appropriate to have regard to the submission that proceedings would not have been commenced but for funding and the funding may be withdrawn if a common fund </w:t>
      </w:r>
      <w:r>
        <w:lastRenderedPageBreak/>
        <w:t>order is not made</w:t>
      </w:r>
      <w:r w:rsidR="00B07686">
        <w:t xml:space="preserve"> – as noted above </w:t>
      </w:r>
      <w:r w:rsidR="00E67098">
        <w:t xml:space="preserve">at </w:t>
      </w:r>
      <w:r w:rsidR="0074128E">
        <w:t>[</w:t>
      </w:r>
      <w:r w:rsidR="00D9269E">
        <w:fldChar w:fldCharType="begin"/>
      </w:r>
      <w:r w:rsidR="00D9269E">
        <w:instrText xml:space="preserve"> REF _Ref527016304 \r \h </w:instrText>
      </w:r>
      <w:r w:rsidR="00D9269E">
        <w:fldChar w:fldCharType="separate"/>
      </w:r>
      <w:r w:rsidR="00656AC2">
        <w:t>10</w:t>
      </w:r>
      <w:r w:rsidR="00D9269E">
        <w:fldChar w:fldCharType="end"/>
      </w:r>
      <w:r w:rsidR="0074128E">
        <w:t>],</w:t>
      </w:r>
      <w:r w:rsidR="00E67098">
        <w:t xml:space="preserve"> </w:t>
      </w:r>
      <w:r w:rsidR="00B07686">
        <w:t xml:space="preserve">that is a position the Court </w:t>
      </w:r>
      <w:r w:rsidR="00863560">
        <w:t xml:space="preserve">has </w:t>
      </w:r>
      <w:r w:rsidR="00B07686">
        <w:t>independently reached</w:t>
      </w:r>
      <w:r>
        <w:t>;</w:t>
      </w:r>
    </w:p>
    <w:p w14:paraId="356F37F6" w14:textId="65EEAEDF" w:rsidR="00F54685" w:rsidRDefault="00085980" w:rsidP="00085980">
      <w:pPr>
        <w:pStyle w:val="ListNo1"/>
        <w:numPr>
          <w:ilvl w:val="0"/>
          <w:numId w:val="24"/>
        </w:numPr>
      </w:pPr>
      <w:r>
        <w:t xml:space="preserve">the funding terms proposed are not, as submitted by Ms Duck, materially the same as standard terms previously approved by the </w:t>
      </w:r>
      <w:r w:rsidR="00FF6F97">
        <w:t>C</w:t>
      </w:r>
      <w:r>
        <w:t xml:space="preserve">ourt, with appropriate protections, because there are material differences at paragraphs 15, 16(a)(iii), 17 and 20(c)(ii) of the terms approved in </w:t>
      </w:r>
      <w:r w:rsidRPr="00157FC0">
        <w:rPr>
          <w:b/>
          <w:i/>
        </w:rPr>
        <w:t>Pearson</w:t>
      </w:r>
      <w:r w:rsidRPr="00085980">
        <w:rPr>
          <w:i/>
        </w:rPr>
        <w:t xml:space="preserve"> v State of Queensland</w:t>
      </w:r>
      <w:r>
        <w:t xml:space="preserve"> [2017] FCA 1096 – Ms Duck addresse</w:t>
      </w:r>
      <w:r w:rsidR="008075F0">
        <w:t>d</w:t>
      </w:r>
      <w:r>
        <w:t xml:space="preserve"> each of those d</w:t>
      </w:r>
      <w:r w:rsidR="008075F0">
        <w:t xml:space="preserve">ifferences in reply submissions, </w:t>
      </w:r>
      <w:r w:rsidR="00157FC0">
        <w:t xml:space="preserve">as addressed in </w:t>
      </w:r>
      <w:r w:rsidR="00F54685">
        <w:t xml:space="preserve">the following comments: </w:t>
      </w:r>
    </w:p>
    <w:p w14:paraId="45AA1153" w14:textId="15228BAE" w:rsidR="00F54685" w:rsidRDefault="000D120F" w:rsidP="00157FC0">
      <w:pPr>
        <w:pStyle w:val="ListNo2"/>
      </w:pPr>
      <w:proofErr w:type="gramStart"/>
      <w:r>
        <w:t>paragraph</w:t>
      </w:r>
      <w:proofErr w:type="gramEnd"/>
      <w:r>
        <w:t xml:space="preserve"> 15 </w:t>
      </w:r>
      <w:r w:rsidR="00F2693E">
        <w:t>of</w:t>
      </w:r>
      <w:r>
        <w:t xml:space="preserve"> the </w:t>
      </w:r>
      <w:r>
        <w:rPr>
          <w:i/>
        </w:rPr>
        <w:t xml:space="preserve">Pearson </w:t>
      </w:r>
      <w:r w:rsidR="00F2693E">
        <w:t xml:space="preserve">funding </w:t>
      </w:r>
      <w:r w:rsidRPr="00F2693E">
        <w:t>terms</w:t>
      </w:r>
      <w:r>
        <w:t>, which deals with confidentiality obligations on the funder, should be inserted</w:t>
      </w:r>
      <w:r w:rsidR="00157FC0">
        <w:t xml:space="preserve">.  To </w:t>
      </w:r>
      <w:r>
        <w:t xml:space="preserve">the extent that Ms Duck is concerned that this will override certain permitted disclosures under the </w:t>
      </w:r>
      <w:r w:rsidR="00157FC0">
        <w:t xml:space="preserve">existing </w:t>
      </w:r>
      <w:r>
        <w:t xml:space="preserve">funding agreement, </w:t>
      </w:r>
      <w:r w:rsidR="00157FC0">
        <w:t xml:space="preserve">paragraph </w:t>
      </w:r>
      <w:r>
        <w:t xml:space="preserve">15 </w:t>
      </w:r>
      <w:r w:rsidR="00F2693E">
        <w:t>of</w:t>
      </w:r>
      <w:r>
        <w:t xml:space="preserve"> the </w:t>
      </w:r>
      <w:r>
        <w:rPr>
          <w:i/>
        </w:rPr>
        <w:t xml:space="preserve">Pearson </w:t>
      </w:r>
      <w:r w:rsidR="00F2693E">
        <w:t xml:space="preserve">funding </w:t>
      </w:r>
      <w:r>
        <w:t xml:space="preserve">terms </w:t>
      </w:r>
      <w:r w:rsidR="00157FC0">
        <w:t>can</w:t>
      </w:r>
      <w:r>
        <w:t xml:space="preserve"> be</w:t>
      </w:r>
      <w:r w:rsidR="00863560">
        <w:t xml:space="preserve"> </w:t>
      </w:r>
      <w:r>
        <w:t>tailored</w:t>
      </w:r>
      <w:r w:rsidR="00AF3809">
        <w:t xml:space="preserve"> </w:t>
      </w:r>
      <w:r>
        <w:t>for this to be avoided</w:t>
      </w:r>
      <w:r w:rsidR="00157FC0">
        <w:t xml:space="preserve"> or otherwise addressed</w:t>
      </w:r>
      <w:r>
        <w:t>;</w:t>
      </w:r>
    </w:p>
    <w:p w14:paraId="51E0E7F9" w14:textId="54007B12" w:rsidR="00157FC0" w:rsidRDefault="00F54685" w:rsidP="00157FC0">
      <w:pPr>
        <w:pStyle w:val="ListNo2"/>
      </w:pPr>
      <w:r>
        <w:t>it is appropriate, as proposed by Ms Duck</w:t>
      </w:r>
      <w:r w:rsidR="00157FC0">
        <w:t xml:space="preserve"> in the alternative</w:t>
      </w:r>
      <w:r>
        <w:t xml:space="preserve">, </w:t>
      </w:r>
      <w:r w:rsidR="00106D3C">
        <w:t xml:space="preserve">to insert a clause akin to paragraph 16(a)(iii) </w:t>
      </w:r>
      <w:r w:rsidR="00F2693E">
        <w:t xml:space="preserve">of </w:t>
      </w:r>
      <w:r w:rsidR="00106D3C">
        <w:t xml:space="preserve">the </w:t>
      </w:r>
      <w:r w:rsidR="00106D3C" w:rsidRPr="00085980">
        <w:rPr>
          <w:i/>
        </w:rPr>
        <w:t xml:space="preserve">Pearson </w:t>
      </w:r>
      <w:r w:rsidR="00F2693E">
        <w:t xml:space="preserve">funding </w:t>
      </w:r>
      <w:r w:rsidR="00106D3C">
        <w:t>terms</w:t>
      </w:r>
      <w:r w:rsidR="00710CF4">
        <w:t>, including the schedule,</w:t>
      </w:r>
      <w:r w:rsidR="00106D3C">
        <w:t xml:space="preserve"> so that procedures for dealing with a disputed proposed settlement are in the </w:t>
      </w:r>
      <w:r w:rsidR="00157FC0">
        <w:t xml:space="preserve">common fund </w:t>
      </w:r>
      <w:r w:rsidR="00106D3C">
        <w:t>order</w:t>
      </w:r>
      <w:r w:rsidR="00863560">
        <w:t>,</w:t>
      </w:r>
      <w:r w:rsidR="00106D3C">
        <w:t xml:space="preserve"> rather than being left to a conflicts management policy which is required to be implemented as part of the terms</w:t>
      </w:r>
      <w:r>
        <w:t>;</w:t>
      </w:r>
      <w:r w:rsidR="00F2693E">
        <w:t xml:space="preserve"> </w:t>
      </w:r>
    </w:p>
    <w:p w14:paraId="1BFE3C85" w14:textId="09707312" w:rsidR="00F54685" w:rsidRDefault="00157FC0" w:rsidP="00157FC0">
      <w:pPr>
        <w:pStyle w:val="ListNo2"/>
      </w:pPr>
      <w:r>
        <w:t>there is no difficulty in no</w:t>
      </w:r>
      <w:r w:rsidR="00194602">
        <w:t>t making</w:t>
      </w:r>
      <w:r>
        <w:t xml:space="preserve"> provision for appeal costs as no appeal funding is in contemplation; </w:t>
      </w:r>
      <w:r w:rsidR="00F2693E">
        <w:t>and</w:t>
      </w:r>
    </w:p>
    <w:p w14:paraId="3A658558" w14:textId="368AB0FC" w:rsidR="00085980" w:rsidRDefault="00863560" w:rsidP="00157FC0">
      <w:pPr>
        <w:pStyle w:val="ListNo2"/>
      </w:pPr>
      <w:proofErr w:type="gramStart"/>
      <w:r>
        <w:t>akin</w:t>
      </w:r>
      <w:proofErr w:type="gramEnd"/>
      <w:r>
        <w:t xml:space="preserve"> to the </w:t>
      </w:r>
      <w:r>
        <w:rPr>
          <w:i/>
        </w:rPr>
        <w:t xml:space="preserve">Pearson </w:t>
      </w:r>
      <w:r>
        <w:t xml:space="preserve">funding terms, </w:t>
      </w:r>
      <w:r w:rsidR="00915A79">
        <w:t xml:space="preserve">the proposed funding agreement may only be terminated by order of the Court on application by the applicant, funder or a group member. </w:t>
      </w:r>
      <w:r w:rsidR="00487EE6">
        <w:t xml:space="preserve"> </w:t>
      </w:r>
      <w:r w:rsidR="00915A79">
        <w:t>I</w:t>
      </w:r>
      <w:r w:rsidR="00F2693E">
        <w:t>n the event of termination of the funding agreement</w:t>
      </w:r>
      <w:r w:rsidR="00915A79">
        <w:t xml:space="preserve"> on application </w:t>
      </w:r>
      <w:r w:rsidR="00233744">
        <w:t>by</w:t>
      </w:r>
      <w:r w:rsidR="00915A79">
        <w:t xml:space="preserve"> the funder</w:t>
      </w:r>
      <w:r w:rsidR="00F2693E">
        <w:t xml:space="preserve">, </w:t>
      </w:r>
      <w:r w:rsidR="000D120F">
        <w:t xml:space="preserve">paragraph </w:t>
      </w:r>
      <w:r w:rsidR="00F2693E">
        <w:t xml:space="preserve">20(c)(ii) of the </w:t>
      </w:r>
      <w:r w:rsidR="00F2693E">
        <w:rPr>
          <w:i/>
        </w:rPr>
        <w:t>Pearson</w:t>
      </w:r>
      <w:r w:rsidR="00F2693E" w:rsidRPr="00F2693E">
        <w:t xml:space="preserve"> </w:t>
      </w:r>
      <w:r w:rsidR="00F2693E">
        <w:t>funding</w:t>
      </w:r>
      <w:r w:rsidR="00F2693E">
        <w:rPr>
          <w:i/>
        </w:rPr>
        <w:t xml:space="preserve"> </w:t>
      </w:r>
      <w:r w:rsidR="00F2693E">
        <w:t xml:space="preserve">terms </w:t>
      </w:r>
      <w:r>
        <w:t>required</w:t>
      </w:r>
      <w:r w:rsidR="00F2693E">
        <w:t xml:space="preserve"> the funder to indemnify the applicant and group members for any legal costs and disbursements reasonably incurred and payable to the applicant’s lawyers up to the date of termination. </w:t>
      </w:r>
      <w:r w:rsidR="00487EE6">
        <w:t xml:space="preserve"> </w:t>
      </w:r>
      <w:r w:rsidR="00915A79">
        <w:t xml:space="preserve">Paragraph 21(c)(ii) of the </w:t>
      </w:r>
      <w:r w:rsidR="00915A79">
        <w:rPr>
          <w:i/>
        </w:rPr>
        <w:t xml:space="preserve">Pearson </w:t>
      </w:r>
      <w:r w:rsidR="00915A79">
        <w:t>funding terms provide</w:t>
      </w:r>
      <w:r w:rsidR="00233744">
        <w:t>d</w:t>
      </w:r>
      <w:r w:rsidR="00915A79">
        <w:t xml:space="preserve"> a </w:t>
      </w:r>
      <w:r w:rsidR="00233744">
        <w:t>parallel</w:t>
      </w:r>
      <w:r w:rsidR="00915A79">
        <w:t xml:space="preserve"> indemnification in the event that the proposed funding agreement </w:t>
      </w:r>
      <w:r w:rsidR="00233744">
        <w:t>were to be</w:t>
      </w:r>
      <w:r w:rsidR="00915A79">
        <w:t xml:space="preserve"> terminated on application </w:t>
      </w:r>
      <w:r w:rsidR="00233744">
        <w:t>by</w:t>
      </w:r>
      <w:r w:rsidR="00915A79">
        <w:t xml:space="preserve"> the appl</w:t>
      </w:r>
      <w:r w:rsidR="00793662">
        <w:t>icant</w:t>
      </w:r>
      <w:r w:rsidR="00915A79">
        <w:t xml:space="preserve"> or a group member.</w:t>
      </w:r>
      <w:r w:rsidR="00487EE6">
        <w:t xml:space="preserve"> </w:t>
      </w:r>
      <w:r w:rsidR="00915A79">
        <w:t xml:space="preserve"> </w:t>
      </w:r>
      <w:r w:rsidR="00F2693E">
        <w:t xml:space="preserve">If </w:t>
      </w:r>
      <w:r w:rsidR="00915A79">
        <w:t>paragraph 20(c)(ii) or 21(c)(ii)</w:t>
      </w:r>
      <w:r w:rsidR="00F2693E">
        <w:t xml:space="preserve"> </w:t>
      </w:r>
      <w:r w:rsidR="00915A79">
        <w:t xml:space="preserve">of the </w:t>
      </w:r>
      <w:r w:rsidR="00915A79">
        <w:rPr>
          <w:i/>
        </w:rPr>
        <w:t xml:space="preserve">Pearson </w:t>
      </w:r>
      <w:r w:rsidR="00915A79">
        <w:t xml:space="preserve">funding terms </w:t>
      </w:r>
      <w:r w:rsidR="00194602">
        <w:t>are</w:t>
      </w:r>
      <w:r w:rsidR="00F2693E">
        <w:t xml:space="preserve"> not to be inserted, the applicant’s lawyers should be aware that the Cour</w:t>
      </w:r>
      <w:r w:rsidR="00AF3809">
        <w:t xml:space="preserve">t would </w:t>
      </w:r>
      <w:r w:rsidR="00157FC0">
        <w:t xml:space="preserve">most likely </w:t>
      </w:r>
      <w:r w:rsidR="00AF3809">
        <w:t xml:space="preserve">look unfavourably upon recourse against the applicant </w:t>
      </w:r>
      <w:r w:rsidR="00915A79">
        <w:t>or</w:t>
      </w:r>
      <w:r w:rsidR="00AF3809">
        <w:t xml:space="preserve"> group members for any </w:t>
      </w:r>
      <w:r w:rsidR="00793662">
        <w:t xml:space="preserve">legal costs and disbursements that exceed what the </w:t>
      </w:r>
      <w:r w:rsidR="00793662">
        <w:lastRenderedPageBreak/>
        <w:t>funder is obliged to pay</w:t>
      </w:r>
      <w:r w:rsidR="00157FC0">
        <w:t xml:space="preserve"> by reason of exceeding the funding cap agreed upon before termination of the funding agreement took place</w:t>
      </w:r>
      <w:r w:rsidR="00085980">
        <w:t>;</w:t>
      </w:r>
    </w:p>
    <w:p w14:paraId="63B96200" w14:textId="276744CE" w:rsidR="00085980" w:rsidRDefault="00085980" w:rsidP="00085980">
      <w:pPr>
        <w:pStyle w:val="ListNo1"/>
        <w:numPr>
          <w:ilvl w:val="0"/>
          <w:numId w:val="24"/>
        </w:numPr>
      </w:pPr>
      <w:r>
        <w:t xml:space="preserve">the scope for conflict between group members is unlikely to arise because, since </w:t>
      </w:r>
      <w:r w:rsidR="00B07686" w:rsidRPr="00085980">
        <w:rPr>
          <w:i/>
        </w:rPr>
        <w:t>Money Max</w:t>
      </w:r>
      <w:r>
        <w:t xml:space="preserve">, there has been disapproval of orders being made that would bar group members from participating in a judgment: see </w:t>
      </w:r>
      <w:r w:rsidRPr="00B07686">
        <w:rPr>
          <w:i/>
        </w:rPr>
        <w:t xml:space="preserve">Melbourne </w:t>
      </w:r>
      <w:r w:rsidR="00B07686" w:rsidRPr="00B07686">
        <w:rPr>
          <w:i/>
        </w:rPr>
        <w:t xml:space="preserve">City Investments </w:t>
      </w:r>
      <w:r w:rsidRPr="00B07686">
        <w:rPr>
          <w:i/>
        </w:rPr>
        <w:t xml:space="preserve">Pty Ltd v Treasury Wine Estates Limited </w:t>
      </w:r>
      <w:r>
        <w:t>[2017] FCAFC 98</w:t>
      </w:r>
      <w:r w:rsidR="0074128E">
        <w:t>, 252 FCR 1</w:t>
      </w:r>
      <w:r>
        <w:t xml:space="preserve"> at [70]-[76];</w:t>
      </w:r>
    </w:p>
    <w:p w14:paraId="59F17C74" w14:textId="77777777" w:rsidR="00085980" w:rsidRDefault="00B07686" w:rsidP="00085980">
      <w:pPr>
        <w:pStyle w:val="ListNo1"/>
        <w:numPr>
          <w:ilvl w:val="0"/>
          <w:numId w:val="24"/>
        </w:numPr>
      </w:pPr>
      <w:r>
        <w:t>the problem with “</w:t>
      </w:r>
      <w:r w:rsidR="00085980" w:rsidRPr="00CC1BD3">
        <w:rPr>
          <w:i/>
        </w:rPr>
        <w:t>free riders</w:t>
      </w:r>
      <w:r>
        <w:t>” (that is, group members taking a share of the benefits without contributing to the legal costs or funding)</w:t>
      </w:r>
      <w:r w:rsidR="00085980">
        <w:t xml:space="preserve"> is equally addressed by funding equalisation orders;</w:t>
      </w:r>
    </w:p>
    <w:p w14:paraId="204061E8" w14:textId="1BC54D3F" w:rsidR="00085980" w:rsidRDefault="00085980" w:rsidP="00085980">
      <w:pPr>
        <w:pStyle w:val="ListNo1"/>
        <w:numPr>
          <w:ilvl w:val="0"/>
          <w:numId w:val="24"/>
        </w:numPr>
      </w:pPr>
      <w:r>
        <w:t xml:space="preserve">there is no evidence of any victimisation of any group member by </w:t>
      </w:r>
      <w:r w:rsidR="00FF6F97">
        <w:t>Air</w:t>
      </w:r>
      <w:r>
        <w:t>services Australia, wh</w:t>
      </w:r>
      <w:r w:rsidR="00FF6F97">
        <w:t>ich</w:t>
      </w:r>
      <w:r>
        <w:t xml:space="preserve"> does not know the identity of any current employees </w:t>
      </w:r>
      <w:r w:rsidR="00FF6F97">
        <w:t xml:space="preserve">who </w:t>
      </w:r>
      <w:r>
        <w:t xml:space="preserve">have signed funding agreements, such </w:t>
      </w:r>
      <w:r w:rsidR="00FF6F97">
        <w:t xml:space="preserve">that </w:t>
      </w:r>
      <w:r>
        <w:t xml:space="preserve">the </w:t>
      </w:r>
      <w:r w:rsidR="007055C9">
        <w:t>C</w:t>
      </w:r>
      <w:r>
        <w:t xml:space="preserve">ourt should not </w:t>
      </w:r>
      <w:r w:rsidR="007055C9">
        <w:t xml:space="preserve">base </w:t>
      </w:r>
      <w:r>
        <w:t xml:space="preserve">any common fund order on </w:t>
      </w:r>
      <w:r w:rsidR="007055C9">
        <w:t xml:space="preserve">the </w:t>
      </w:r>
      <w:r>
        <w:t>prospect of victimisation of employees</w:t>
      </w:r>
      <w:r w:rsidR="00B07686">
        <w:t xml:space="preserve"> – again</w:t>
      </w:r>
      <w:r w:rsidR="00233744">
        <w:t>,</w:t>
      </w:r>
      <w:r w:rsidR="00B07686">
        <w:t xml:space="preserve"> a point independently reached by the Court</w:t>
      </w:r>
      <w:r w:rsidR="00E67098">
        <w:t xml:space="preserve"> at </w:t>
      </w:r>
      <w:r w:rsidR="00D9269E">
        <w:t>[</w:t>
      </w:r>
      <w:r w:rsidR="00D9269E">
        <w:fldChar w:fldCharType="begin"/>
      </w:r>
      <w:r w:rsidR="00D9269E">
        <w:instrText xml:space="preserve"> REF _Ref527016401 \r \h </w:instrText>
      </w:r>
      <w:r w:rsidR="00D9269E">
        <w:fldChar w:fldCharType="separate"/>
      </w:r>
      <w:r w:rsidR="00656AC2">
        <w:t>11</w:t>
      </w:r>
      <w:r w:rsidR="00D9269E">
        <w:fldChar w:fldCharType="end"/>
      </w:r>
      <w:r w:rsidR="00D9269E">
        <w:t>]</w:t>
      </w:r>
      <w:r w:rsidR="00E67098">
        <w:t xml:space="preserve"> above</w:t>
      </w:r>
      <w:r>
        <w:t>;</w:t>
      </w:r>
      <w:r w:rsidR="00D9269E">
        <w:t xml:space="preserve"> and</w:t>
      </w:r>
    </w:p>
    <w:p w14:paraId="60F8CD1B" w14:textId="1315F14E" w:rsidR="00085980" w:rsidRDefault="00085980" w:rsidP="008B02C8">
      <w:pPr>
        <w:pStyle w:val="ListNo1"/>
        <w:numPr>
          <w:ilvl w:val="0"/>
          <w:numId w:val="24"/>
        </w:numPr>
        <w:spacing w:before="0" w:after="0"/>
      </w:pPr>
      <w:r>
        <w:t>it may be that a combined notice approach would be appropriate by which group members would be advised of their statutory right to opt out and also be informed that a common fund application had been made, giving them an opportunity to object</w:t>
      </w:r>
      <w:r w:rsidR="00DF5795">
        <w:t xml:space="preserve"> – in light of the conclusions reached below, it is not necessary to consider that option further</w:t>
      </w:r>
      <w:r>
        <w:t>.</w:t>
      </w:r>
    </w:p>
    <w:p w14:paraId="43E17E1E" w14:textId="2027B18A" w:rsidR="00F03EFA" w:rsidRPr="00F03EFA" w:rsidRDefault="00106D3C" w:rsidP="00F03EFA">
      <w:pPr>
        <w:pStyle w:val="ParaNumbering"/>
        <w:rPr>
          <w:szCs w:val="24"/>
        </w:rPr>
      </w:pPr>
      <w:r>
        <w:rPr>
          <w:szCs w:val="24"/>
        </w:rPr>
        <w:t xml:space="preserve">The position of not having any </w:t>
      </w:r>
      <w:r w:rsidR="00E67098">
        <w:rPr>
          <w:szCs w:val="24"/>
        </w:rPr>
        <w:t xml:space="preserve">basis for determining the </w:t>
      </w:r>
      <w:r>
        <w:rPr>
          <w:szCs w:val="24"/>
        </w:rPr>
        <w:t xml:space="preserve">commission </w:t>
      </w:r>
      <w:r w:rsidR="00E67098">
        <w:rPr>
          <w:szCs w:val="24"/>
        </w:rPr>
        <w:t xml:space="preserve">payable </w:t>
      </w:r>
      <w:r>
        <w:rPr>
          <w:szCs w:val="24"/>
        </w:rPr>
        <w:t>until a later time in the proceedings</w:t>
      </w:r>
      <w:r w:rsidR="007055C9">
        <w:rPr>
          <w:szCs w:val="24"/>
        </w:rPr>
        <w:t>,</w:t>
      </w:r>
      <w:r>
        <w:rPr>
          <w:szCs w:val="24"/>
        </w:rPr>
        <w:t xml:space="preserve"> as was </w:t>
      </w:r>
      <w:r w:rsidR="00E67098">
        <w:rPr>
          <w:szCs w:val="24"/>
        </w:rPr>
        <w:t>found</w:t>
      </w:r>
      <w:r>
        <w:rPr>
          <w:szCs w:val="24"/>
        </w:rPr>
        <w:t xml:space="preserve"> to be appropriate </w:t>
      </w:r>
      <w:r w:rsidR="00E67098">
        <w:rPr>
          <w:szCs w:val="24"/>
        </w:rPr>
        <w:t xml:space="preserve">in </w:t>
      </w:r>
      <w:r w:rsidRPr="00CC1BD3">
        <w:rPr>
          <w:i/>
        </w:rPr>
        <w:t>Money Max</w:t>
      </w:r>
      <w:r w:rsidR="007055C9">
        <w:t>,</w:t>
      </w:r>
      <w:r>
        <w:rPr>
          <w:i/>
        </w:rPr>
        <w:t xml:space="preserve"> </w:t>
      </w:r>
      <w:r>
        <w:rPr>
          <w:szCs w:val="24"/>
        </w:rPr>
        <w:t xml:space="preserve">has since been questioned by Lee J as not necessarily being the best way to address the problem of windfall profits and appropriate incentives:  </w:t>
      </w:r>
      <w:r>
        <w:t xml:space="preserve">see </w:t>
      </w:r>
      <w:proofErr w:type="spellStart"/>
      <w:r>
        <w:rPr>
          <w:i/>
        </w:rPr>
        <w:t>Perera</w:t>
      </w:r>
      <w:proofErr w:type="spellEnd"/>
      <w:r>
        <w:rPr>
          <w:i/>
        </w:rPr>
        <w:t xml:space="preserve"> v </w:t>
      </w:r>
      <w:proofErr w:type="spellStart"/>
      <w:r w:rsidRPr="00F03EFA">
        <w:rPr>
          <w:b/>
          <w:i/>
        </w:rPr>
        <w:t>Getswift</w:t>
      </w:r>
      <w:proofErr w:type="spellEnd"/>
      <w:r>
        <w:rPr>
          <w:i/>
        </w:rPr>
        <w:t xml:space="preserve"> L</w:t>
      </w:r>
      <w:r w:rsidR="00BD6909">
        <w:rPr>
          <w:i/>
        </w:rPr>
        <w:t>imited</w:t>
      </w:r>
      <w:r>
        <w:rPr>
          <w:i/>
        </w:rPr>
        <w:t xml:space="preserve"> </w:t>
      </w:r>
      <w:r>
        <w:t>[2018] FCA 732; 357 ALR 586 at [285] to [291</w:t>
      </w:r>
      <w:r w:rsidR="00EC6341">
        <w:t>]</w:t>
      </w:r>
      <w:r>
        <w:t xml:space="preserve">, quoted again by his Honour in </w:t>
      </w:r>
      <w:r w:rsidRPr="00CC1BD3">
        <w:rPr>
          <w:i/>
        </w:rPr>
        <w:t>Lenthall</w:t>
      </w:r>
      <w:r>
        <w:rPr>
          <w:i/>
        </w:rPr>
        <w:t xml:space="preserve"> </w:t>
      </w:r>
      <w:r>
        <w:t xml:space="preserve">at [60].  However </w:t>
      </w:r>
      <w:r w:rsidR="00E67098">
        <w:t xml:space="preserve">in this case, no alternative of the kind that was before Lee J in </w:t>
      </w:r>
      <w:r w:rsidR="00E67098" w:rsidRPr="00CC1BD3">
        <w:rPr>
          <w:i/>
        </w:rPr>
        <w:t>Lenthall</w:t>
      </w:r>
      <w:r w:rsidR="00E67098">
        <w:rPr>
          <w:i/>
        </w:rPr>
        <w:t xml:space="preserve"> </w:t>
      </w:r>
      <w:r w:rsidR="00E67098">
        <w:t xml:space="preserve">was proposed.  </w:t>
      </w:r>
    </w:p>
    <w:p w14:paraId="3CB021A9" w14:textId="191B90D3" w:rsidR="00106D3C" w:rsidRDefault="00E67098" w:rsidP="00F03EFA">
      <w:pPr>
        <w:pStyle w:val="ParaNumbering"/>
        <w:rPr>
          <w:szCs w:val="24"/>
        </w:rPr>
      </w:pPr>
      <w:r>
        <w:t xml:space="preserve">In </w:t>
      </w:r>
      <w:r w:rsidR="00F03EFA" w:rsidRPr="00CC1BD3">
        <w:rPr>
          <w:i/>
        </w:rPr>
        <w:t>Lenthall</w:t>
      </w:r>
      <w:r>
        <w:t>, the proposal, which was accepted</w:t>
      </w:r>
      <w:r w:rsidR="00F03EFA">
        <w:t xml:space="preserve"> by Lee J</w:t>
      </w:r>
      <w:r>
        <w:t xml:space="preserve">, was a funding rate of the lesser of three times the total spend on </w:t>
      </w:r>
      <w:r w:rsidR="00821491">
        <w:t xml:space="preserve">legal </w:t>
      </w:r>
      <w:r>
        <w:t xml:space="preserve">costs and disbursements and adverse costs orders, or 25% of the gross recovery.  </w:t>
      </w:r>
      <w:r w:rsidR="001343A9">
        <w:t xml:space="preserve">In reaching that conclusion, his Honour referred to a variety of rates and funding agreements in other cases, and trends towards greater levels of funder completion and lower funding rates emerging, albeit with a focus on securities class actions: see [20]-[24].  </w:t>
      </w:r>
      <w:r w:rsidR="00DF5795">
        <w:t xml:space="preserve">Even if such a proposal had been advanced in this case, I would have needed some persuading that this was appropriate.  A significant reason is that there is at least a reasonable possibility </w:t>
      </w:r>
      <w:r w:rsidR="00DF5795">
        <w:lastRenderedPageBreak/>
        <w:t>that the separate question</w:t>
      </w:r>
      <w:r w:rsidR="006D7949">
        <w:t xml:space="preserve"> will either end the proceeding, or provide a solid platform for it to settle.  In those circumstances, the </w:t>
      </w:r>
      <w:r w:rsidR="006D7949" w:rsidRPr="00CC1BD3">
        <w:rPr>
          <w:i/>
        </w:rPr>
        <w:t>Lenthall</w:t>
      </w:r>
      <w:r w:rsidR="006D7949">
        <w:t xml:space="preserve"> approach may not merely be inappropriate, at least at this early stage, but also distort decision-making</w:t>
      </w:r>
      <w:r w:rsidR="00680362">
        <w:t xml:space="preserve"> about the conduct of the litigation</w:t>
      </w:r>
      <w:r w:rsidR="006D7949">
        <w:t xml:space="preserve">.  </w:t>
      </w:r>
      <w:r w:rsidR="001343A9">
        <w:t xml:space="preserve">Although, for the reasons Lee J has identified in </w:t>
      </w:r>
      <w:proofErr w:type="spellStart"/>
      <w:r w:rsidR="001343A9" w:rsidRPr="00F03EFA">
        <w:rPr>
          <w:i/>
        </w:rPr>
        <w:t>Getswift</w:t>
      </w:r>
      <w:proofErr w:type="spellEnd"/>
      <w:r w:rsidR="001343A9">
        <w:t xml:space="preserve"> at </w:t>
      </w:r>
      <w:r w:rsidR="00F03EFA">
        <w:t>[286]</w:t>
      </w:r>
      <w:r w:rsidR="001343A9">
        <w:t xml:space="preserve">, the Court may have difficulty in ultimately deciding how the funding commission should be determined, there is presently </w:t>
      </w:r>
      <w:r w:rsidR="00F03EFA">
        <w:t xml:space="preserve">no easy way of avoiding that, and it remains a better approach in the circumstances of this case than the approach his Honour adopted in </w:t>
      </w:r>
      <w:r w:rsidR="00F03EFA" w:rsidRPr="00CC1BD3">
        <w:rPr>
          <w:i/>
        </w:rPr>
        <w:t>Lenthall</w:t>
      </w:r>
      <w:r w:rsidR="00F03EFA">
        <w:rPr>
          <w:i/>
        </w:rPr>
        <w:t>.</w:t>
      </w:r>
      <w:r w:rsidR="006D7949">
        <w:rPr>
          <w:i/>
        </w:rPr>
        <w:t xml:space="preserve">  </w:t>
      </w:r>
      <w:r w:rsidR="006D7949">
        <w:t>Of course, that may change as the proceeding progresses.</w:t>
      </w:r>
    </w:p>
    <w:p w14:paraId="4C08254A" w14:textId="261DCC03" w:rsidR="00FA61D5" w:rsidRPr="00FA61D5" w:rsidRDefault="000C3493" w:rsidP="008164CE">
      <w:pPr>
        <w:pStyle w:val="ParaNumbering"/>
        <w:rPr>
          <w:szCs w:val="24"/>
        </w:rPr>
      </w:pPr>
      <w:r w:rsidRPr="00FA61D5">
        <w:rPr>
          <w:szCs w:val="24"/>
        </w:rPr>
        <w:t xml:space="preserve">With some hesitation, having regard in particular to </w:t>
      </w:r>
      <w:r w:rsidR="006D7949">
        <w:rPr>
          <w:szCs w:val="24"/>
        </w:rPr>
        <w:t xml:space="preserve">some of the </w:t>
      </w:r>
      <w:r w:rsidRPr="00FA61D5">
        <w:rPr>
          <w:szCs w:val="24"/>
        </w:rPr>
        <w:t xml:space="preserve">reservations expressed by Wigney J in refusing to </w:t>
      </w:r>
      <w:r w:rsidR="00971BBC">
        <w:rPr>
          <w:szCs w:val="24"/>
        </w:rPr>
        <w:t>make</w:t>
      </w:r>
      <w:r w:rsidRPr="00FA61D5">
        <w:rPr>
          <w:szCs w:val="24"/>
        </w:rPr>
        <w:t xml:space="preserve"> </w:t>
      </w:r>
      <w:r w:rsidR="006D7949">
        <w:rPr>
          <w:szCs w:val="24"/>
        </w:rPr>
        <w:t xml:space="preserve">a common fund order </w:t>
      </w:r>
      <w:r w:rsidRPr="00FA61D5">
        <w:rPr>
          <w:szCs w:val="24"/>
        </w:rPr>
        <w:t xml:space="preserve">in </w:t>
      </w:r>
      <w:r w:rsidRPr="00FA61D5">
        <w:rPr>
          <w:i/>
          <w:szCs w:val="24"/>
        </w:rPr>
        <w:t xml:space="preserve">Blairgowrie Trading Ltd v </w:t>
      </w:r>
      <w:proofErr w:type="spellStart"/>
      <w:r w:rsidRPr="00FA61D5">
        <w:rPr>
          <w:i/>
          <w:szCs w:val="24"/>
        </w:rPr>
        <w:t>Allco</w:t>
      </w:r>
      <w:proofErr w:type="spellEnd"/>
      <w:r w:rsidRPr="00FA61D5">
        <w:rPr>
          <w:i/>
          <w:szCs w:val="24"/>
        </w:rPr>
        <w:t xml:space="preserve"> Finance Group Limited (</w:t>
      </w:r>
      <w:r w:rsidR="00BD6909">
        <w:rPr>
          <w:i/>
          <w:szCs w:val="24"/>
        </w:rPr>
        <w:t>R</w:t>
      </w:r>
      <w:r w:rsidRPr="00FA61D5">
        <w:rPr>
          <w:i/>
          <w:szCs w:val="24"/>
        </w:rPr>
        <w:t xml:space="preserve">eceivers </w:t>
      </w:r>
      <w:r w:rsidR="00757FB9">
        <w:rPr>
          <w:i/>
          <w:szCs w:val="24"/>
        </w:rPr>
        <w:t>&amp;</w:t>
      </w:r>
      <w:r w:rsidRPr="00FA61D5">
        <w:rPr>
          <w:i/>
          <w:szCs w:val="24"/>
        </w:rPr>
        <w:t xml:space="preserve"> </w:t>
      </w:r>
      <w:r w:rsidR="00BD6909">
        <w:rPr>
          <w:i/>
          <w:szCs w:val="24"/>
        </w:rPr>
        <w:t>M</w:t>
      </w:r>
      <w:r w:rsidRPr="00FA61D5">
        <w:rPr>
          <w:i/>
          <w:szCs w:val="24"/>
        </w:rPr>
        <w:t xml:space="preserve">anagers </w:t>
      </w:r>
      <w:r w:rsidR="00BD6909">
        <w:rPr>
          <w:i/>
          <w:szCs w:val="24"/>
        </w:rPr>
        <w:t>A</w:t>
      </w:r>
      <w:r w:rsidRPr="00FA61D5">
        <w:rPr>
          <w:i/>
          <w:szCs w:val="24"/>
        </w:rPr>
        <w:t xml:space="preserve">ppointed) </w:t>
      </w:r>
      <w:r w:rsidR="00BD6909">
        <w:rPr>
          <w:i/>
          <w:szCs w:val="24"/>
        </w:rPr>
        <w:t xml:space="preserve">(In </w:t>
      </w:r>
      <w:proofErr w:type="spellStart"/>
      <w:r w:rsidR="00BD6909">
        <w:rPr>
          <w:i/>
          <w:szCs w:val="24"/>
        </w:rPr>
        <w:t>Liq</w:t>
      </w:r>
      <w:proofErr w:type="spellEnd"/>
      <w:r w:rsidR="00BD6909">
        <w:rPr>
          <w:i/>
          <w:szCs w:val="24"/>
        </w:rPr>
        <w:t xml:space="preserve">) </w:t>
      </w:r>
      <w:r w:rsidRPr="00FA61D5">
        <w:rPr>
          <w:szCs w:val="24"/>
        </w:rPr>
        <w:t>[2015] FCA 811; 325 ALR 539, I am satisfied that it is appropriate to make the common fund order sought</w:t>
      </w:r>
      <w:r w:rsidR="006D7949">
        <w:rPr>
          <w:szCs w:val="24"/>
        </w:rPr>
        <w:t xml:space="preserve"> in this case</w:t>
      </w:r>
      <w:r w:rsidR="00AE2643">
        <w:rPr>
          <w:szCs w:val="24"/>
        </w:rPr>
        <w:t>,</w:t>
      </w:r>
      <w:r w:rsidRPr="00FA61D5">
        <w:rPr>
          <w:szCs w:val="24"/>
        </w:rPr>
        <w:t xml:space="preserve"> with </w:t>
      </w:r>
      <w:r w:rsidR="00FA61D5" w:rsidRPr="00FA61D5">
        <w:rPr>
          <w:szCs w:val="24"/>
        </w:rPr>
        <w:t>certain adjustments</w:t>
      </w:r>
      <w:r w:rsidR="009725FF">
        <w:rPr>
          <w:szCs w:val="24"/>
        </w:rPr>
        <w:t xml:space="preserve"> referred to above</w:t>
      </w:r>
      <w:r w:rsidR="00AF3809">
        <w:rPr>
          <w:szCs w:val="24"/>
        </w:rPr>
        <w:t xml:space="preserve"> at [</w:t>
      </w:r>
      <w:r w:rsidR="00AF3809">
        <w:rPr>
          <w:szCs w:val="24"/>
        </w:rPr>
        <w:fldChar w:fldCharType="begin"/>
      </w:r>
      <w:r w:rsidR="00AF3809">
        <w:rPr>
          <w:szCs w:val="24"/>
        </w:rPr>
        <w:instrText xml:space="preserve"> REF _Ref527023498 \r \h </w:instrText>
      </w:r>
      <w:r w:rsidR="00AF3809">
        <w:rPr>
          <w:szCs w:val="24"/>
        </w:rPr>
      </w:r>
      <w:r w:rsidR="00AF3809">
        <w:rPr>
          <w:szCs w:val="24"/>
        </w:rPr>
        <w:fldChar w:fldCharType="separate"/>
      </w:r>
      <w:r w:rsidR="00656AC2">
        <w:rPr>
          <w:szCs w:val="24"/>
        </w:rPr>
        <w:t>14</w:t>
      </w:r>
      <w:r w:rsidR="00AF3809">
        <w:rPr>
          <w:szCs w:val="24"/>
        </w:rPr>
        <w:fldChar w:fldCharType="end"/>
      </w:r>
      <w:r w:rsidR="00AF3809">
        <w:rPr>
          <w:szCs w:val="24"/>
        </w:rPr>
        <w:t>]</w:t>
      </w:r>
      <w:r w:rsidR="00FA61D5" w:rsidRPr="00FA61D5">
        <w:rPr>
          <w:szCs w:val="24"/>
        </w:rPr>
        <w:t>.  The most important considerations in reaching that conclusion are that:</w:t>
      </w:r>
    </w:p>
    <w:p w14:paraId="6F8B5A00" w14:textId="22AD04AB" w:rsidR="00400DF0" w:rsidRDefault="00FA61D5" w:rsidP="00FA61D5">
      <w:pPr>
        <w:pStyle w:val="ListNo1"/>
        <w:numPr>
          <w:ilvl w:val="0"/>
          <w:numId w:val="26"/>
        </w:numPr>
      </w:pPr>
      <w:r>
        <w:t xml:space="preserve">the proceeding </w:t>
      </w:r>
      <w:r w:rsidR="00A57555">
        <w:t xml:space="preserve">is now </w:t>
      </w:r>
      <w:r>
        <w:t>an open</w:t>
      </w:r>
      <w:r w:rsidRPr="008542B0">
        <w:t xml:space="preserve"> </w:t>
      </w:r>
      <w:r>
        <w:t xml:space="preserve">class action, rather than a closed class action, which will advance the objective in this proceeding </w:t>
      </w:r>
      <w:r w:rsidR="00400DF0">
        <w:t>of ensuring justice is done by maximising the size of the class</w:t>
      </w:r>
      <w:r w:rsidR="00A57555">
        <w:t>,</w:t>
      </w:r>
      <w:r w:rsidR="00400DF0">
        <w:t xml:space="preserve"> thereby reduc</w:t>
      </w:r>
      <w:r w:rsidR="00EC6341">
        <w:t>ing</w:t>
      </w:r>
      <w:r w:rsidR="00400DF0">
        <w:t xml:space="preserve"> the pro-rata legal costs and commission costs of each member of the class</w:t>
      </w:r>
      <w:r w:rsidR="009725FF">
        <w:t xml:space="preserve"> </w:t>
      </w:r>
      <w:r w:rsidR="00F03EFA">
        <w:t xml:space="preserve">who does not opt out </w:t>
      </w:r>
      <w:r w:rsidR="009725FF">
        <w:t xml:space="preserve">– an outcome that is also in the interests of Airservices Australia in reducing the </w:t>
      </w:r>
      <w:r w:rsidR="00F03EFA">
        <w:t>risk</w:t>
      </w:r>
      <w:r w:rsidR="009725FF">
        <w:t xml:space="preserve"> of multiple proceedings</w:t>
      </w:r>
      <w:r w:rsidR="00400DF0">
        <w:t>;</w:t>
      </w:r>
    </w:p>
    <w:p w14:paraId="5008B533" w14:textId="77777777" w:rsidR="00400DF0" w:rsidRDefault="00400DF0" w:rsidP="00FA61D5">
      <w:pPr>
        <w:pStyle w:val="ListNo1"/>
        <w:numPr>
          <w:ilvl w:val="0"/>
          <w:numId w:val="26"/>
        </w:numPr>
      </w:pPr>
      <w:r>
        <w:t xml:space="preserve">each member of the open class will be able to make the opt out decision at a single point in time, </w:t>
      </w:r>
      <w:r w:rsidR="00F03EFA">
        <w:t xml:space="preserve">taking into consideration </w:t>
      </w:r>
      <w:r>
        <w:t>both participation and the costs of participation by way of reduction of any award or settlement;</w:t>
      </w:r>
    </w:p>
    <w:p w14:paraId="791C4176" w14:textId="58A45786" w:rsidR="00F03EFA" w:rsidRDefault="00EC6341" w:rsidP="00FA61D5">
      <w:pPr>
        <w:pStyle w:val="ListNo1"/>
        <w:numPr>
          <w:ilvl w:val="0"/>
          <w:numId w:val="26"/>
        </w:numPr>
      </w:pPr>
      <w:r>
        <w:t xml:space="preserve">no </w:t>
      </w:r>
      <w:r w:rsidR="00F03EFA">
        <w:t xml:space="preserve">further book building costs </w:t>
      </w:r>
      <w:r>
        <w:t xml:space="preserve">will need to be </w:t>
      </w:r>
      <w:r w:rsidR="00F03EFA">
        <w:t>incurred;</w:t>
      </w:r>
      <w:r>
        <w:t xml:space="preserve"> and</w:t>
      </w:r>
    </w:p>
    <w:p w14:paraId="4C084733" w14:textId="3CB11B2E" w:rsidR="006A3BA9" w:rsidRDefault="00400DF0" w:rsidP="008B02C8">
      <w:pPr>
        <w:pStyle w:val="ListNo1"/>
        <w:numPr>
          <w:ilvl w:val="0"/>
          <w:numId w:val="26"/>
        </w:numPr>
        <w:spacing w:before="0" w:after="0"/>
      </w:pPr>
      <w:r>
        <w:t xml:space="preserve">given the ongoing employment relationship between Airservices Australia and at least some of the class, </w:t>
      </w:r>
      <w:r w:rsidR="006D7949">
        <w:t xml:space="preserve">supporting the </w:t>
      </w:r>
      <w:r>
        <w:t>mov</w:t>
      </w:r>
      <w:r w:rsidR="006D7949">
        <w:t>e</w:t>
      </w:r>
      <w:r>
        <w:t xml:space="preserve"> to an open class </w:t>
      </w:r>
      <w:r w:rsidR="006D7949">
        <w:t>in this way, and the orderly progress of the proceeding</w:t>
      </w:r>
      <w:r w:rsidR="0052268A">
        <w:t>,</w:t>
      </w:r>
      <w:r w:rsidR="006D7949">
        <w:t xml:space="preserve"> </w:t>
      </w:r>
      <w:r>
        <w:t xml:space="preserve">will facilitate passive participation of the kind clearly contemplated by Pt IVA of the </w:t>
      </w:r>
      <w:r w:rsidRPr="00400DF0">
        <w:rPr>
          <w:i/>
        </w:rPr>
        <w:t>FCA Act</w:t>
      </w:r>
      <w:r w:rsidR="006A3BA9">
        <w:t xml:space="preserve">, without needing to delve into </w:t>
      </w:r>
      <w:r w:rsidR="00F03EFA">
        <w:t>any</w:t>
      </w:r>
      <w:r w:rsidR="006A3BA9">
        <w:t xml:space="preserve"> reasons for anonymity being sought</w:t>
      </w:r>
      <w:r w:rsidR="00F03EFA">
        <w:t xml:space="preserve"> to be maintained</w:t>
      </w:r>
      <w:r w:rsidR="006A3BA9">
        <w:t>.</w:t>
      </w:r>
    </w:p>
    <w:p w14:paraId="74A048C4" w14:textId="5A5AA8DC" w:rsidR="00FA61D5" w:rsidRDefault="00400DF0" w:rsidP="00C07392">
      <w:pPr>
        <w:pStyle w:val="ParaNumbering"/>
      </w:pPr>
      <w:r>
        <w:t xml:space="preserve">The parties are directed to furnish to the Court </w:t>
      </w:r>
      <w:r w:rsidR="00F03EFA">
        <w:t xml:space="preserve">an </w:t>
      </w:r>
      <w:r>
        <w:t xml:space="preserve">agreed or competing </w:t>
      </w:r>
      <w:r w:rsidR="00F03EFA">
        <w:t xml:space="preserve">draft </w:t>
      </w:r>
      <w:r>
        <w:t>order to give effect to these reasons within seven days or such shorter or longer time as may be ordered.</w:t>
      </w:r>
      <w:r w:rsidR="00F03EFA">
        <w:t xml:space="preserve">  I am aware that the opt out and other processes may require more to be done collaterally to the </w:t>
      </w:r>
      <w:r w:rsidR="00F03EFA">
        <w:lastRenderedPageBreak/>
        <w:t>making of the order than can be achieved in seven days, so the alternative will be for the parties to agree upon different timing</w:t>
      </w:r>
      <w:r w:rsidR="006D7949">
        <w:t xml:space="preserve"> and to notify my associate accordingly</w:t>
      </w:r>
      <w:r w:rsidR="00F03EFA">
        <w:t>.</w:t>
      </w:r>
    </w:p>
    <w:tbl>
      <w:tblPr>
        <w:tblW w:w="0" w:type="auto"/>
        <w:tblLook w:val="04A0" w:firstRow="1" w:lastRow="0" w:firstColumn="1" w:lastColumn="0" w:noHBand="0" w:noVBand="1"/>
      </w:tblPr>
      <w:tblGrid>
        <w:gridCol w:w="3794"/>
      </w:tblGrid>
      <w:tr w:rsidR="008B02C8" w:rsidRPr="00D22C2D" w14:paraId="0532B34C" w14:textId="77777777" w:rsidTr="00753B08">
        <w:tc>
          <w:tcPr>
            <w:tcW w:w="3794" w:type="dxa"/>
            <w:shd w:val="clear" w:color="auto" w:fill="auto"/>
          </w:tcPr>
          <w:p w14:paraId="050AAA44" w14:textId="067D748A" w:rsidR="008B02C8" w:rsidRPr="00D22C2D" w:rsidRDefault="008B02C8" w:rsidP="008B02C8">
            <w:pPr>
              <w:pStyle w:val="ParaNumbering"/>
            </w:pPr>
            <w:r w:rsidRPr="00D22C2D">
              <w:t xml:space="preserve">I certify that the preceding </w:t>
            </w:r>
            <w:bookmarkStart w:id="23" w:name="NumberWord"/>
            <w:r>
              <w:t>eighteen</w:t>
            </w:r>
            <w:bookmarkEnd w:id="23"/>
            <w:r w:rsidRPr="00D22C2D">
              <w:t xml:space="preserve"> (</w:t>
            </w:r>
            <w:r>
              <w:t>18</w:t>
            </w:r>
            <w:r w:rsidRPr="00D22C2D">
              <w:t xml:space="preserve">) numbered </w:t>
            </w:r>
            <w:bookmarkStart w:id="24" w:name="CertPara"/>
            <w:r>
              <w:t>paragraphs are</w:t>
            </w:r>
            <w:bookmarkEnd w:id="24"/>
            <w:r w:rsidRPr="00D22C2D">
              <w:t xml:space="preserve"> a true copy of the Reasons for Judgment herein of the Honourable </w:t>
            </w:r>
            <w:bookmarkStart w:id="25" w:name="Justice"/>
            <w:r>
              <w:t>Justice Bromwich</w:t>
            </w:r>
            <w:bookmarkEnd w:id="25"/>
            <w:r w:rsidRPr="00D22C2D">
              <w:t>.</w:t>
            </w:r>
          </w:p>
        </w:tc>
      </w:tr>
    </w:tbl>
    <w:p w14:paraId="05150DC1" w14:textId="77777777" w:rsidR="008B02C8" w:rsidRDefault="008B02C8" w:rsidP="008B02C8">
      <w:pPr>
        <w:pStyle w:val="BodyText"/>
      </w:pPr>
    </w:p>
    <w:p w14:paraId="13BD5FDC" w14:textId="77777777" w:rsidR="008B02C8" w:rsidRDefault="008B02C8" w:rsidP="008B02C8">
      <w:pPr>
        <w:pStyle w:val="BodyText"/>
      </w:pPr>
    </w:p>
    <w:p w14:paraId="63133DFB" w14:textId="77777777" w:rsidR="008B02C8" w:rsidRDefault="008B02C8" w:rsidP="008B02C8">
      <w:pPr>
        <w:pStyle w:val="BodyText"/>
      </w:pPr>
    </w:p>
    <w:p w14:paraId="743DB5D3" w14:textId="4B91CE9A" w:rsidR="008B02C8" w:rsidRDefault="008B02C8" w:rsidP="008B02C8">
      <w:pPr>
        <w:pStyle w:val="BodyText"/>
      </w:pPr>
      <w:r>
        <w:t>Associate:</w:t>
      </w:r>
      <w:r>
        <w:tab/>
      </w:r>
    </w:p>
    <w:p w14:paraId="7E755237" w14:textId="77777777" w:rsidR="008B02C8" w:rsidRDefault="008B02C8" w:rsidP="008B02C8">
      <w:pPr>
        <w:pStyle w:val="BodyText"/>
      </w:pPr>
    </w:p>
    <w:p w14:paraId="75DFFDD7" w14:textId="77777777" w:rsidR="008B02C8" w:rsidRDefault="008B02C8" w:rsidP="008B02C8">
      <w:pPr>
        <w:pStyle w:val="BodyText"/>
        <w:tabs>
          <w:tab w:val="left" w:pos="1134"/>
        </w:tabs>
      </w:pPr>
      <w:r>
        <w:t>Dated:</w:t>
      </w:r>
      <w:r>
        <w:tab/>
      </w:r>
      <w:bookmarkStart w:id="26" w:name="CertifyDated"/>
      <w:r>
        <w:t>12 October 2018</w:t>
      </w:r>
      <w:bookmarkEnd w:id="26"/>
    </w:p>
    <w:p w14:paraId="630CD50A" w14:textId="77777777" w:rsidR="008B02C8" w:rsidRDefault="008B02C8" w:rsidP="008B02C8">
      <w:pPr>
        <w:pStyle w:val="NoNum"/>
      </w:pPr>
    </w:p>
    <w:sectPr w:rsidR="008B02C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45C90" w14:textId="77777777" w:rsidR="00C07392" w:rsidRDefault="00C07392">
      <w:pPr>
        <w:spacing w:line="20" w:lineRule="exact"/>
      </w:pPr>
    </w:p>
    <w:p w14:paraId="2E9FEA90" w14:textId="77777777" w:rsidR="00C07392" w:rsidRDefault="00C07392"/>
    <w:p w14:paraId="47F65F84" w14:textId="77777777" w:rsidR="00C07392" w:rsidRDefault="00C07392"/>
  </w:endnote>
  <w:endnote w:type="continuationSeparator" w:id="0">
    <w:p w14:paraId="162892C5" w14:textId="77777777" w:rsidR="00C07392" w:rsidRDefault="00C07392">
      <w:r>
        <w:t xml:space="preserve"> </w:t>
      </w:r>
    </w:p>
    <w:p w14:paraId="2D935759" w14:textId="77777777" w:rsidR="00C07392" w:rsidRDefault="00C07392"/>
    <w:p w14:paraId="088ACBA0" w14:textId="77777777" w:rsidR="00C07392" w:rsidRDefault="00C07392"/>
  </w:endnote>
  <w:endnote w:type="continuationNotice" w:id="1">
    <w:p w14:paraId="0A4809C5" w14:textId="77777777" w:rsidR="00C07392" w:rsidRDefault="00C07392">
      <w:r>
        <w:t xml:space="preserve"> </w:t>
      </w:r>
    </w:p>
    <w:p w14:paraId="08AB74AE" w14:textId="77777777" w:rsidR="00C07392" w:rsidRDefault="00C07392"/>
    <w:p w14:paraId="34A7EDD6" w14:textId="77777777" w:rsidR="00C07392" w:rsidRDefault="00C073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D2078" w14:textId="6DC9C139"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DCD43" w14:textId="466BAABD"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DF9E" w14:textId="4141EE9E"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D7039" w14:textId="77777777" w:rsidR="00C07392" w:rsidRDefault="00C07392"/>
    <w:p w14:paraId="76B73A4F" w14:textId="77777777" w:rsidR="00C07392" w:rsidRDefault="00C07392"/>
    <w:p w14:paraId="6E44CF6C" w14:textId="77777777" w:rsidR="00C07392" w:rsidRDefault="00C07392"/>
  </w:footnote>
  <w:footnote w:type="continuationSeparator" w:id="0">
    <w:p w14:paraId="1BB9325E" w14:textId="77777777" w:rsidR="00C07392" w:rsidRDefault="00C07392">
      <w:r>
        <w:continuationSeparator/>
      </w:r>
    </w:p>
    <w:p w14:paraId="2ACE04EF" w14:textId="77777777" w:rsidR="00C07392" w:rsidRDefault="00C07392"/>
    <w:p w14:paraId="3CA014EC" w14:textId="77777777" w:rsidR="00C07392" w:rsidRDefault="00C0739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0DE1"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79EC"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9C20"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E2570" w14:textId="591639D0" w:rsidR="00395B24" w:rsidRDefault="002C7385">
    <w:pPr>
      <w:tabs>
        <w:tab w:val="center" w:pos="4512"/>
      </w:tabs>
      <w:suppressAutoHyphens/>
    </w:pPr>
    <w:r>
      <w:tab/>
      <w:t xml:space="preserve">- </w:t>
    </w:r>
    <w:r>
      <w:fldChar w:fldCharType="begin"/>
    </w:r>
    <w:r>
      <w:instrText>page \* arabic</w:instrText>
    </w:r>
    <w:r>
      <w:fldChar w:fldCharType="separate"/>
    </w:r>
    <w:r w:rsidR="003D301D">
      <w:rPr>
        <w:noProof/>
      </w:rPr>
      <w:t>8</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7AB02"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Catherine Duck"/>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ACD 97 of 2017"/>
    <w:docVar w:name="Initiators" w:val="(and another named in the Schedule)"/>
    <w:docVar w:name="Judge" w:val="Bromwich"/>
    <w:docVar w:name="NSD" w:val="NSD "/>
    <w:docVar w:name="NumApps"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Airservices Australia"/>
    <w:docVar w:name="ResState" w:val="Australian Capital Territory"/>
    <w:docVar w:name="SubArea" w:val="[none]"/>
  </w:docVars>
  <w:rsids>
    <w:rsidRoot w:val="00C07392"/>
    <w:rsid w:val="0001469E"/>
    <w:rsid w:val="00015993"/>
    <w:rsid w:val="00022289"/>
    <w:rsid w:val="00032F9F"/>
    <w:rsid w:val="00041C07"/>
    <w:rsid w:val="00045BB7"/>
    <w:rsid w:val="00055719"/>
    <w:rsid w:val="0005641B"/>
    <w:rsid w:val="00080047"/>
    <w:rsid w:val="00081497"/>
    <w:rsid w:val="00085980"/>
    <w:rsid w:val="000A2E76"/>
    <w:rsid w:val="000A4807"/>
    <w:rsid w:val="000A4BE4"/>
    <w:rsid w:val="000C023E"/>
    <w:rsid w:val="000C3493"/>
    <w:rsid w:val="000C5195"/>
    <w:rsid w:val="000C62EF"/>
    <w:rsid w:val="000D120F"/>
    <w:rsid w:val="000D2137"/>
    <w:rsid w:val="000D3FD2"/>
    <w:rsid w:val="000E3FC8"/>
    <w:rsid w:val="000E7BAE"/>
    <w:rsid w:val="000E7F51"/>
    <w:rsid w:val="000F133D"/>
    <w:rsid w:val="0010536B"/>
    <w:rsid w:val="00106D3C"/>
    <w:rsid w:val="0011145C"/>
    <w:rsid w:val="001128BD"/>
    <w:rsid w:val="0011419D"/>
    <w:rsid w:val="00120689"/>
    <w:rsid w:val="00132054"/>
    <w:rsid w:val="001343A9"/>
    <w:rsid w:val="00157FC0"/>
    <w:rsid w:val="001727A4"/>
    <w:rsid w:val="0017376C"/>
    <w:rsid w:val="001738AB"/>
    <w:rsid w:val="001765E0"/>
    <w:rsid w:val="00177759"/>
    <w:rsid w:val="00185E6B"/>
    <w:rsid w:val="00187BBC"/>
    <w:rsid w:val="001932F3"/>
    <w:rsid w:val="00194602"/>
    <w:rsid w:val="00197E2C"/>
    <w:rsid w:val="001A4309"/>
    <w:rsid w:val="001B1053"/>
    <w:rsid w:val="001B14AC"/>
    <w:rsid w:val="001B7940"/>
    <w:rsid w:val="001C0EA9"/>
    <w:rsid w:val="001C37CA"/>
    <w:rsid w:val="001D4303"/>
    <w:rsid w:val="001D6746"/>
    <w:rsid w:val="001E3B49"/>
    <w:rsid w:val="001E7388"/>
    <w:rsid w:val="001F13DD"/>
    <w:rsid w:val="001F2DBC"/>
    <w:rsid w:val="001F73E8"/>
    <w:rsid w:val="0020262C"/>
    <w:rsid w:val="00224537"/>
    <w:rsid w:val="00233744"/>
    <w:rsid w:val="00235956"/>
    <w:rsid w:val="00245991"/>
    <w:rsid w:val="00247C9A"/>
    <w:rsid w:val="0025160C"/>
    <w:rsid w:val="002535D0"/>
    <w:rsid w:val="002539B3"/>
    <w:rsid w:val="00257C3E"/>
    <w:rsid w:val="002602C2"/>
    <w:rsid w:val="002666C9"/>
    <w:rsid w:val="00270136"/>
    <w:rsid w:val="00274F5B"/>
    <w:rsid w:val="00280836"/>
    <w:rsid w:val="00282E1A"/>
    <w:rsid w:val="0028716F"/>
    <w:rsid w:val="0029113B"/>
    <w:rsid w:val="002934C0"/>
    <w:rsid w:val="002A1B50"/>
    <w:rsid w:val="002B0E91"/>
    <w:rsid w:val="002B3837"/>
    <w:rsid w:val="002B6779"/>
    <w:rsid w:val="002B71C0"/>
    <w:rsid w:val="002B7A34"/>
    <w:rsid w:val="002C0AAB"/>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BE"/>
    <w:rsid w:val="003A7ECC"/>
    <w:rsid w:val="003B2C72"/>
    <w:rsid w:val="003C1333"/>
    <w:rsid w:val="003C20FF"/>
    <w:rsid w:val="003C2F4F"/>
    <w:rsid w:val="003D2650"/>
    <w:rsid w:val="003D301D"/>
    <w:rsid w:val="003D560C"/>
    <w:rsid w:val="003E5874"/>
    <w:rsid w:val="003F193E"/>
    <w:rsid w:val="003F34F1"/>
    <w:rsid w:val="00400DF0"/>
    <w:rsid w:val="00411AE8"/>
    <w:rsid w:val="00413B74"/>
    <w:rsid w:val="0042675B"/>
    <w:rsid w:val="00432D8C"/>
    <w:rsid w:val="00435C5F"/>
    <w:rsid w:val="00441E98"/>
    <w:rsid w:val="004532F7"/>
    <w:rsid w:val="004571A2"/>
    <w:rsid w:val="00472027"/>
    <w:rsid w:val="004804CF"/>
    <w:rsid w:val="00484962"/>
    <w:rsid w:val="00484F6D"/>
    <w:rsid w:val="00487AA6"/>
    <w:rsid w:val="00487EE6"/>
    <w:rsid w:val="0049338A"/>
    <w:rsid w:val="0049417F"/>
    <w:rsid w:val="0049435A"/>
    <w:rsid w:val="004B3EFA"/>
    <w:rsid w:val="004C2A87"/>
    <w:rsid w:val="004C4D7B"/>
    <w:rsid w:val="004C4ED3"/>
    <w:rsid w:val="004D2EA5"/>
    <w:rsid w:val="004D32A6"/>
    <w:rsid w:val="004D53E5"/>
    <w:rsid w:val="004E7C57"/>
    <w:rsid w:val="00501A12"/>
    <w:rsid w:val="0051346D"/>
    <w:rsid w:val="00513EAE"/>
    <w:rsid w:val="00516806"/>
    <w:rsid w:val="0052268A"/>
    <w:rsid w:val="00525A49"/>
    <w:rsid w:val="0053196C"/>
    <w:rsid w:val="00535613"/>
    <w:rsid w:val="005359EB"/>
    <w:rsid w:val="0054254A"/>
    <w:rsid w:val="005466B5"/>
    <w:rsid w:val="00554314"/>
    <w:rsid w:val="005570A4"/>
    <w:rsid w:val="005629B3"/>
    <w:rsid w:val="00573AC4"/>
    <w:rsid w:val="005801FC"/>
    <w:rsid w:val="00595016"/>
    <w:rsid w:val="00596DB4"/>
    <w:rsid w:val="00597AAE"/>
    <w:rsid w:val="005A222C"/>
    <w:rsid w:val="005A4DF8"/>
    <w:rsid w:val="005B1426"/>
    <w:rsid w:val="005C0A8E"/>
    <w:rsid w:val="005C1767"/>
    <w:rsid w:val="005C42EF"/>
    <w:rsid w:val="005E02F5"/>
    <w:rsid w:val="005E0510"/>
    <w:rsid w:val="005E1735"/>
    <w:rsid w:val="005E176E"/>
    <w:rsid w:val="005E218E"/>
    <w:rsid w:val="005E35A0"/>
    <w:rsid w:val="005F0D1B"/>
    <w:rsid w:val="005F1865"/>
    <w:rsid w:val="006007BD"/>
    <w:rsid w:val="006013C8"/>
    <w:rsid w:val="0060270D"/>
    <w:rsid w:val="00604611"/>
    <w:rsid w:val="00611586"/>
    <w:rsid w:val="00621887"/>
    <w:rsid w:val="00624520"/>
    <w:rsid w:val="00632300"/>
    <w:rsid w:val="00632BB7"/>
    <w:rsid w:val="00635B36"/>
    <w:rsid w:val="00636871"/>
    <w:rsid w:val="00640F4E"/>
    <w:rsid w:val="00643DE0"/>
    <w:rsid w:val="00644E85"/>
    <w:rsid w:val="006452E5"/>
    <w:rsid w:val="00656AC2"/>
    <w:rsid w:val="0066063F"/>
    <w:rsid w:val="00662BB0"/>
    <w:rsid w:val="00663878"/>
    <w:rsid w:val="00667773"/>
    <w:rsid w:val="00670743"/>
    <w:rsid w:val="00680362"/>
    <w:rsid w:val="00690EE2"/>
    <w:rsid w:val="006939A4"/>
    <w:rsid w:val="006A0E20"/>
    <w:rsid w:val="006A3BA9"/>
    <w:rsid w:val="006A5478"/>
    <w:rsid w:val="006A5695"/>
    <w:rsid w:val="006B3904"/>
    <w:rsid w:val="006B5B7D"/>
    <w:rsid w:val="006D0ECF"/>
    <w:rsid w:val="006D4C92"/>
    <w:rsid w:val="006D4EB6"/>
    <w:rsid w:val="006D7949"/>
    <w:rsid w:val="006E35BF"/>
    <w:rsid w:val="006E7850"/>
    <w:rsid w:val="007028D9"/>
    <w:rsid w:val="007055C9"/>
    <w:rsid w:val="00707218"/>
    <w:rsid w:val="00710CF4"/>
    <w:rsid w:val="00712B1D"/>
    <w:rsid w:val="007325D9"/>
    <w:rsid w:val="007360CA"/>
    <w:rsid w:val="0074128E"/>
    <w:rsid w:val="00752296"/>
    <w:rsid w:val="00753E19"/>
    <w:rsid w:val="00757FB9"/>
    <w:rsid w:val="00760EC0"/>
    <w:rsid w:val="0078003A"/>
    <w:rsid w:val="00780771"/>
    <w:rsid w:val="007929CF"/>
    <w:rsid w:val="00793662"/>
    <w:rsid w:val="007A6F28"/>
    <w:rsid w:val="007B03C6"/>
    <w:rsid w:val="007B0DB1"/>
    <w:rsid w:val="007C3BF6"/>
    <w:rsid w:val="007D0FD2"/>
    <w:rsid w:val="007D2EF8"/>
    <w:rsid w:val="007D561F"/>
    <w:rsid w:val="007D7FD2"/>
    <w:rsid w:val="007E13D9"/>
    <w:rsid w:val="007E41BE"/>
    <w:rsid w:val="007E4DB6"/>
    <w:rsid w:val="007E7CD4"/>
    <w:rsid w:val="007F12AC"/>
    <w:rsid w:val="007F39AA"/>
    <w:rsid w:val="007F75BC"/>
    <w:rsid w:val="00801800"/>
    <w:rsid w:val="00801B5B"/>
    <w:rsid w:val="008075F0"/>
    <w:rsid w:val="00821491"/>
    <w:rsid w:val="008276B4"/>
    <w:rsid w:val="00831927"/>
    <w:rsid w:val="00841BD3"/>
    <w:rsid w:val="0084273D"/>
    <w:rsid w:val="00844E3F"/>
    <w:rsid w:val="00845A83"/>
    <w:rsid w:val="0085147C"/>
    <w:rsid w:val="008542B0"/>
    <w:rsid w:val="00863560"/>
    <w:rsid w:val="008712BB"/>
    <w:rsid w:val="008A2484"/>
    <w:rsid w:val="008B02C8"/>
    <w:rsid w:val="008C26D9"/>
    <w:rsid w:val="008C6D50"/>
    <w:rsid w:val="008C7167"/>
    <w:rsid w:val="008C7503"/>
    <w:rsid w:val="008D1617"/>
    <w:rsid w:val="008D47A4"/>
    <w:rsid w:val="008E6315"/>
    <w:rsid w:val="008F11E0"/>
    <w:rsid w:val="008F78BC"/>
    <w:rsid w:val="008F7B63"/>
    <w:rsid w:val="008F7D6A"/>
    <w:rsid w:val="009054CB"/>
    <w:rsid w:val="00912F94"/>
    <w:rsid w:val="00915A79"/>
    <w:rsid w:val="0092070C"/>
    <w:rsid w:val="0092590B"/>
    <w:rsid w:val="00925E60"/>
    <w:rsid w:val="009264B3"/>
    <w:rsid w:val="009365E0"/>
    <w:rsid w:val="00942BA2"/>
    <w:rsid w:val="00944C86"/>
    <w:rsid w:val="00957DE8"/>
    <w:rsid w:val="00960ECB"/>
    <w:rsid w:val="009615D6"/>
    <w:rsid w:val="00967855"/>
    <w:rsid w:val="00971BBC"/>
    <w:rsid w:val="009725FF"/>
    <w:rsid w:val="00980736"/>
    <w:rsid w:val="00981A39"/>
    <w:rsid w:val="00987097"/>
    <w:rsid w:val="009A3A9C"/>
    <w:rsid w:val="009B046C"/>
    <w:rsid w:val="009B13FA"/>
    <w:rsid w:val="009B1E2D"/>
    <w:rsid w:val="009C59FB"/>
    <w:rsid w:val="009C6F3B"/>
    <w:rsid w:val="009D1467"/>
    <w:rsid w:val="009E4FA6"/>
    <w:rsid w:val="009E5542"/>
    <w:rsid w:val="009E7D93"/>
    <w:rsid w:val="009F5C33"/>
    <w:rsid w:val="00A03EAC"/>
    <w:rsid w:val="00A11CA6"/>
    <w:rsid w:val="00A20C49"/>
    <w:rsid w:val="00A269CA"/>
    <w:rsid w:val="00A336EE"/>
    <w:rsid w:val="00A359AC"/>
    <w:rsid w:val="00A41413"/>
    <w:rsid w:val="00A45FB1"/>
    <w:rsid w:val="00A46CCC"/>
    <w:rsid w:val="00A51CFE"/>
    <w:rsid w:val="00A57555"/>
    <w:rsid w:val="00A76C13"/>
    <w:rsid w:val="00A92E79"/>
    <w:rsid w:val="00A950B6"/>
    <w:rsid w:val="00AB41C1"/>
    <w:rsid w:val="00AC6F95"/>
    <w:rsid w:val="00AD12A8"/>
    <w:rsid w:val="00AE023F"/>
    <w:rsid w:val="00AE2643"/>
    <w:rsid w:val="00AE690E"/>
    <w:rsid w:val="00AF3577"/>
    <w:rsid w:val="00AF35F9"/>
    <w:rsid w:val="00AF3809"/>
    <w:rsid w:val="00B00EB9"/>
    <w:rsid w:val="00B05C7D"/>
    <w:rsid w:val="00B07686"/>
    <w:rsid w:val="00B346C3"/>
    <w:rsid w:val="00B4471C"/>
    <w:rsid w:val="00B451A6"/>
    <w:rsid w:val="00B722DE"/>
    <w:rsid w:val="00B76C44"/>
    <w:rsid w:val="00B83A50"/>
    <w:rsid w:val="00B83F87"/>
    <w:rsid w:val="00B908EC"/>
    <w:rsid w:val="00BA2EFA"/>
    <w:rsid w:val="00BA3DBC"/>
    <w:rsid w:val="00BA63B8"/>
    <w:rsid w:val="00BB2DA2"/>
    <w:rsid w:val="00BB56DC"/>
    <w:rsid w:val="00BD6909"/>
    <w:rsid w:val="00BE122A"/>
    <w:rsid w:val="00BE183D"/>
    <w:rsid w:val="00BF5D7A"/>
    <w:rsid w:val="00C02D33"/>
    <w:rsid w:val="00C07392"/>
    <w:rsid w:val="00C1232C"/>
    <w:rsid w:val="00C36442"/>
    <w:rsid w:val="00C400CE"/>
    <w:rsid w:val="00C410FD"/>
    <w:rsid w:val="00C4626D"/>
    <w:rsid w:val="00C539FB"/>
    <w:rsid w:val="00CA246D"/>
    <w:rsid w:val="00CA50D9"/>
    <w:rsid w:val="00CB5636"/>
    <w:rsid w:val="00CC1BD3"/>
    <w:rsid w:val="00CE40EA"/>
    <w:rsid w:val="00D10F21"/>
    <w:rsid w:val="00D24806"/>
    <w:rsid w:val="00D34040"/>
    <w:rsid w:val="00D34E69"/>
    <w:rsid w:val="00D375EE"/>
    <w:rsid w:val="00D62699"/>
    <w:rsid w:val="00D70EAF"/>
    <w:rsid w:val="00D8182C"/>
    <w:rsid w:val="00D82620"/>
    <w:rsid w:val="00D8358F"/>
    <w:rsid w:val="00D9269E"/>
    <w:rsid w:val="00D9725F"/>
    <w:rsid w:val="00DA01B1"/>
    <w:rsid w:val="00DA11A2"/>
    <w:rsid w:val="00DA14ED"/>
    <w:rsid w:val="00DB2EF1"/>
    <w:rsid w:val="00DB3DE1"/>
    <w:rsid w:val="00DB5DA0"/>
    <w:rsid w:val="00DB716C"/>
    <w:rsid w:val="00DB7EE4"/>
    <w:rsid w:val="00DC5C85"/>
    <w:rsid w:val="00DD4236"/>
    <w:rsid w:val="00DD44F1"/>
    <w:rsid w:val="00DE3067"/>
    <w:rsid w:val="00DF5795"/>
    <w:rsid w:val="00E027BC"/>
    <w:rsid w:val="00E14EA5"/>
    <w:rsid w:val="00E21133"/>
    <w:rsid w:val="00E2327E"/>
    <w:rsid w:val="00E266EF"/>
    <w:rsid w:val="00E47428"/>
    <w:rsid w:val="00E66B9F"/>
    <w:rsid w:val="00E67098"/>
    <w:rsid w:val="00E710D6"/>
    <w:rsid w:val="00E7383C"/>
    <w:rsid w:val="00E76E45"/>
    <w:rsid w:val="00E777C9"/>
    <w:rsid w:val="00E81DA6"/>
    <w:rsid w:val="00E84212"/>
    <w:rsid w:val="00E9086C"/>
    <w:rsid w:val="00E91A0F"/>
    <w:rsid w:val="00E94A71"/>
    <w:rsid w:val="00EA03CE"/>
    <w:rsid w:val="00EA23E5"/>
    <w:rsid w:val="00EA4E2E"/>
    <w:rsid w:val="00EB2CCB"/>
    <w:rsid w:val="00EC57A7"/>
    <w:rsid w:val="00EC5CBA"/>
    <w:rsid w:val="00EC6341"/>
    <w:rsid w:val="00ED0817"/>
    <w:rsid w:val="00ED7DD9"/>
    <w:rsid w:val="00EF3113"/>
    <w:rsid w:val="00EF3F84"/>
    <w:rsid w:val="00F03EFA"/>
    <w:rsid w:val="00F13DE4"/>
    <w:rsid w:val="00F176AC"/>
    <w:rsid w:val="00F2693E"/>
    <w:rsid w:val="00F27714"/>
    <w:rsid w:val="00F3276E"/>
    <w:rsid w:val="00F33D3C"/>
    <w:rsid w:val="00F37A91"/>
    <w:rsid w:val="00F45CF5"/>
    <w:rsid w:val="00F47DB0"/>
    <w:rsid w:val="00F50E34"/>
    <w:rsid w:val="00F53EF7"/>
    <w:rsid w:val="00F54685"/>
    <w:rsid w:val="00F54BF2"/>
    <w:rsid w:val="00F61439"/>
    <w:rsid w:val="00F64AB5"/>
    <w:rsid w:val="00F92355"/>
    <w:rsid w:val="00F93963"/>
    <w:rsid w:val="00F94291"/>
    <w:rsid w:val="00FA61D5"/>
    <w:rsid w:val="00FB7982"/>
    <w:rsid w:val="00FC0734"/>
    <w:rsid w:val="00FC0FC5"/>
    <w:rsid w:val="00FC588F"/>
    <w:rsid w:val="00FD1C95"/>
    <w:rsid w:val="00FE1B30"/>
    <w:rsid w:val="00FE7B44"/>
    <w:rsid w:val="00FF2D7A"/>
    <w:rsid w:val="00FF6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85D9608"/>
  <w15:docId w15:val="{BDAAC4CA-DFC3-434A-B652-D0FF761B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11</Pages>
  <Words>3340</Words>
  <Characters>16821</Characters>
  <Application>Microsoft Office Word</Application>
  <DocSecurity>4</DocSecurity>
  <Lines>365</Lines>
  <Paragraphs>130</Paragraphs>
  <ScaleCrop>false</ScaleCrop>
  <HeadingPairs>
    <vt:vector size="2" baseType="variant">
      <vt:variant>
        <vt:lpstr>Title</vt:lpstr>
      </vt:variant>
      <vt:variant>
        <vt:i4>1</vt:i4>
      </vt:variant>
    </vt:vector>
  </HeadingPairs>
  <TitlesOfParts>
    <vt:vector size="1" baseType="lpstr">
      <vt:lpstr>Duck v Airservices Australia [2018] FCA 1541</vt:lpstr>
    </vt:vector>
  </TitlesOfParts>
  <Company>Federal Court of Australia</Company>
  <LinksUpToDate>false</LinksUpToDate>
  <CharactersWithSpaces>20031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Duck v Airservices Australia [2018] FCA 1541</dc:title>
  <dc:creator>Justice Bromwich (FCA)</dc:creator>
  <cp:lastModifiedBy>Sona Muradyan</cp:lastModifiedBy>
  <cp:revision>2</cp:revision>
  <cp:lastPrinted>2018-10-11T22:23:00Z</cp:lastPrinted>
  <dcterms:created xsi:type="dcterms:W3CDTF">2018-10-12T00:13:00Z</dcterms:created>
  <dcterms:modified xsi:type="dcterms:W3CDTF">2018-10-12T00:13:00Z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BROMWICH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Australian Capital Territory</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