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923B3">
      <w:pPr>
        <w:pStyle w:val="MediaNeutralStyle"/>
      </w:pPr>
      <w:bookmarkStart w:id="0" w:name="MNC"/>
      <w:r>
        <w:t>Samsung C&amp;T Corporation, i</w:t>
      </w:r>
      <w:r w:rsidR="00C6022C">
        <w:t>n the mat</w:t>
      </w:r>
      <w:r w:rsidR="00221F70">
        <w:t>t</w:t>
      </w:r>
      <w:r w:rsidR="00C6022C">
        <w:t>er of Samsung C&amp;T Corporation</w:t>
      </w:r>
      <w:r>
        <w:t xml:space="preserve"> </w:t>
      </w:r>
      <w:r w:rsidR="00C6022C">
        <w:t xml:space="preserve">[2017] </w:t>
      </w:r>
      <w:r w:rsidR="000072B0">
        <w:t>FCA 1169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B2186">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C6022C" w:rsidRDefault="006F7967" w:rsidP="00C6022C">
            <w:pPr>
              <w:pStyle w:val="Normal1linespace"/>
              <w:jc w:val="left"/>
            </w:pPr>
            <w:fldSimple w:instr=" REF  FileNo  \* MERGEFORMAT " w:fldLock="1">
              <w:r w:rsidR="00C6022C" w:rsidRPr="00C6022C">
                <w:t>WAD 146 of 2017</w:t>
              </w:r>
            </w:fldSimple>
          </w:p>
        </w:tc>
      </w:tr>
      <w:tr w:rsidR="00395B24" w:rsidTr="00BB218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2186">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C6022C">
              <w:rPr>
                <w:b/>
              </w:rPr>
              <w:fldChar w:fldCharType="begin" w:fldLock="1"/>
            </w:r>
            <w:r w:rsidRPr="00C6022C">
              <w:rPr>
                <w:b/>
              </w:rPr>
              <w:instrText xml:space="preserve"> REF  Judge  \* MERGEFORMAT </w:instrText>
            </w:r>
            <w:r w:rsidRPr="00C6022C">
              <w:rPr>
                <w:b/>
              </w:rPr>
              <w:fldChar w:fldCharType="separate"/>
            </w:r>
            <w:r w:rsidR="00C6022C" w:rsidRPr="00C6022C">
              <w:rPr>
                <w:b/>
                <w:caps/>
                <w:szCs w:val="24"/>
              </w:rPr>
              <w:t>GILMOUR J</w:t>
            </w:r>
            <w:r w:rsidRPr="00C6022C">
              <w:rPr>
                <w:b/>
              </w:rPr>
              <w:fldChar w:fldCharType="end"/>
            </w:r>
          </w:p>
        </w:tc>
      </w:tr>
      <w:tr w:rsidR="00395B24" w:rsidTr="00BB218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218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D2DDC" w:rsidP="00663878">
            <w:pPr>
              <w:pStyle w:val="Normal1linespace"/>
              <w:widowControl w:val="0"/>
              <w:jc w:val="left"/>
            </w:pPr>
            <w:bookmarkStart w:id="1" w:name="JudgmentDate"/>
            <w:r>
              <w:t>5</w:t>
            </w:r>
            <w:r w:rsidR="0063702F">
              <w:t xml:space="preserve"> October</w:t>
            </w:r>
            <w:r w:rsidR="00C6022C">
              <w:t xml:space="preserve"> 2017</w:t>
            </w:r>
            <w:bookmarkEnd w:id="1"/>
          </w:p>
        </w:tc>
      </w:tr>
      <w:tr w:rsidR="00395B24" w:rsidTr="00BB218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218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D00864" w:rsidRDefault="000B121A" w:rsidP="000B121A">
            <w:pPr>
              <w:pStyle w:val="Normal1linespace"/>
              <w:widowControl w:val="0"/>
              <w:jc w:val="left"/>
            </w:pPr>
            <w:r>
              <w:rPr>
                <w:b/>
              </w:rPr>
              <w:t>ARBITRATION</w:t>
            </w:r>
            <w:r>
              <w:t xml:space="preserve"> – international arbitration – </w:t>
            </w:r>
            <w:r w:rsidR="004D2DDC">
              <w:t xml:space="preserve">application for leave to issue subpoenas – </w:t>
            </w:r>
            <w:r>
              <w:t xml:space="preserve">whether the Federal Court of Australia has jurisdiction to give leave to issue subpoenas under s 23 of the </w:t>
            </w:r>
            <w:r>
              <w:rPr>
                <w:i/>
              </w:rPr>
              <w:t xml:space="preserve">International Arbitration Act 1974 </w:t>
            </w:r>
            <w:r>
              <w:t>(Cth) for foreign-seated arbitral proceedings</w:t>
            </w:r>
          </w:p>
        </w:tc>
      </w:tr>
      <w:tr w:rsidR="00395B24" w:rsidTr="00BB218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218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A5DCF" w:rsidRDefault="004A5DCF" w:rsidP="00D82620">
            <w:pPr>
              <w:pStyle w:val="CasesLegislationAppealFrom"/>
              <w:spacing w:after="60"/>
            </w:pPr>
            <w:bookmarkStart w:id="2" w:name="Legislation"/>
            <w:r w:rsidRPr="00867E76">
              <w:rPr>
                <w:i/>
              </w:rPr>
              <w:t>Extradition Act 1988</w:t>
            </w:r>
            <w:r>
              <w:t xml:space="preserve"> (Cth) ss 6, 12, 19(2)(a), </w:t>
            </w:r>
            <w:r w:rsidR="00D316C9">
              <w:t xml:space="preserve">and </w:t>
            </w:r>
            <w:r>
              <w:t>19(3)</w:t>
            </w:r>
          </w:p>
          <w:p w:rsidR="00D316C9" w:rsidRDefault="00D316C9" w:rsidP="00D82620">
            <w:pPr>
              <w:pStyle w:val="CasesLegislationAppealFrom"/>
              <w:spacing w:after="60"/>
            </w:pPr>
            <w:r w:rsidRPr="00D316C9">
              <w:rPr>
                <w:i/>
              </w:rPr>
              <w:t>Federal Justice System Amendment (Efficiency Measures) Act (No 1) 2009</w:t>
            </w:r>
            <w:r w:rsidRPr="003C468B">
              <w:t xml:space="preserve"> (Cth)</w:t>
            </w:r>
            <w:r>
              <w:t xml:space="preserve"> </w:t>
            </w:r>
            <w:proofErr w:type="spellStart"/>
            <w:r>
              <w:t>sch</w:t>
            </w:r>
            <w:proofErr w:type="spellEnd"/>
            <w:r>
              <w:t xml:space="preserve"> 1 s 3</w:t>
            </w:r>
          </w:p>
          <w:p w:rsidR="00D00864" w:rsidRDefault="00D00864" w:rsidP="00D82620">
            <w:pPr>
              <w:pStyle w:val="CasesLegislationAppealFrom"/>
              <w:spacing w:after="60"/>
            </w:pPr>
            <w:r>
              <w:rPr>
                <w:i/>
              </w:rPr>
              <w:t xml:space="preserve">International Arbitration Act 1974 </w:t>
            </w:r>
            <w:r>
              <w:t>(Cth)</w:t>
            </w:r>
            <w:r w:rsidR="00C219EC">
              <w:t xml:space="preserve"> ss</w:t>
            </w:r>
            <w:r w:rsidR="00C034EF">
              <w:t xml:space="preserve"> </w:t>
            </w:r>
            <w:r w:rsidR="00D316C9">
              <w:t xml:space="preserve">2D(c), 2D(d), </w:t>
            </w:r>
            <w:r w:rsidR="00C034EF">
              <w:t>3(1),</w:t>
            </w:r>
            <w:r w:rsidR="009B3FAC">
              <w:t xml:space="preserve"> 15(2),</w:t>
            </w:r>
            <w:r w:rsidR="00C219EC">
              <w:t xml:space="preserve"> </w:t>
            </w:r>
            <w:r w:rsidR="00113645">
              <w:t xml:space="preserve">16(1), </w:t>
            </w:r>
            <w:r w:rsidR="009B3FAC">
              <w:t xml:space="preserve">16(2), </w:t>
            </w:r>
            <w:r w:rsidR="00084B13">
              <w:t xml:space="preserve">18, </w:t>
            </w:r>
            <w:proofErr w:type="spellStart"/>
            <w:r w:rsidR="009B3FAC">
              <w:t>pt</w:t>
            </w:r>
            <w:proofErr w:type="spellEnd"/>
            <w:r w:rsidR="009B3FAC">
              <w:t xml:space="preserve"> III</w:t>
            </w:r>
            <w:r w:rsidR="009B3FAC" w:rsidRPr="004C4E24">
              <w:t xml:space="preserve"> </w:t>
            </w:r>
            <w:r w:rsidR="009B3FAC">
              <w:t>div 3,</w:t>
            </w:r>
            <w:r w:rsidR="009A248C">
              <w:t xml:space="preserve"> 22(1),</w:t>
            </w:r>
            <w:r w:rsidR="009B3FAC">
              <w:t xml:space="preserve"> </w:t>
            </w:r>
            <w:r w:rsidR="00C219EC">
              <w:t>22A,</w:t>
            </w:r>
            <w:r w:rsidR="00D316C9">
              <w:t xml:space="preserve"> and</w:t>
            </w:r>
            <w:r w:rsidR="00C219EC">
              <w:t xml:space="preserve"> 23, </w:t>
            </w:r>
            <w:proofErr w:type="spellStart"/>
            <w:r w:rsidR="00C219EC">
              <w:t>sch</w:t>
            </w:r>
            <w:proofErr w:type="spellEnd"/>
            <w:r w:rsidR="00C219EC">
              <w:t xml:space="preserve"> 2</w:t>
            </w:r>
            <w:r w:rsidR="00DF5E7B">
              <w:t xml:space="preserve"> (UNCITRAL Model Law on International Commercial Arbitration) arts 1(2), 1(3)(b)(2)</w:t>
            </w:r>
            <w:r w:rsidR="009B3FAC">
              <w:t xml:space="preserve">, 7 (option 1), </w:t>
            </w:r>
            <w:r w:rsidR="00DF5E7B">
              <w:t>27</w:t>
            </w:r>
            <w:r w:rsidR="00D316C9">
              <w:t>, and 35</w:t>
            </w:r>
          </w:p>
          <w:p w:rsidR="00D316C9" w:rsidRDefault="00D316C9" w:rsidP="00D82620">
            <w:pPr>
              <w:pStyle w:val="CasesLegislationAppealFrom"/>
              <w:spacing w:after="60"/>
            </w:pPr>
            <w:r w:rsidRPr="00D316C9">
              <w:rPr>
                <w:i/>
              </w:rPr>
              <w:t>International Arbitration Amendment Act 2010</w:t>
            </w:r>
            <w:r w:rsidRPr="003C468B">
              <w:t xml:space="preserve"> (Cth)</w:t>
            </w:r>
            <w:r>
              <w:t xml:space="preserve"> s 16</w:t>
            </w:r>
          </w:p>
          <w:p w:rsidR="00AE5CF7" w:rsidRDefault="00AE5CF7" w:rsidP="00D82620">
            <w:pPr>
              <w:pStyle w:val="CasesLegislationAppealFrom"/>
              <w:spacing w:after="60"/>
            </w:pPr>
            <w:r w:rsidRPr="00BA77A4">
              <w:rPr>
                <w:i/>
              </w:rPr>
              <w:t>International Arbitration Amendment Bill 2009</w:t>
            </w:r>
            <w:r w:rsidRPr="00BA77A4">
              <w:t xml:space="preserve"> (Cth)</w:t>
            </w:r>
          </w:p>
          <w:p w:rsidR="00030FCE" w:rsidRPr="00D00864" w:rsidRDefault="00030FCE" w:rsidP="00D82620">
            <w:pPr>
              <w:pStyle w:val="CasesLegislationAppealFrom"/>
              <w:spacing w:after="60"/>
            </w:pPr>
            <w:r>
              <w:t>Revised Explanatory Memorandum, International Arbitration Amendment Bill (Cth) 2010</w:t>
            </w:r>
          </w:p>
          <w:p w:rsidR="00030FCE" w:rsidRDefault="00030FCE" w:rsidP="00D82620">
            <w:pPr>
              <w:pStyle w:val="CasesLegislationAppealFrom"/>
              <w:spacing w:after="60"/>
            </w:pPr>
            <w:r>
              <w:rPr>
                <w:i/>
              </w:rPr>
              <w:t xml:space="preserve">Evidence Act 1906 </w:t>
            </w:r>
            <w:r>
              <w:t>(WA) ss 115–118</w:t>
            </w:r>
          </w:p>
          <w:p w:rsidR="00866B0C" w:rsidRDefault="00866B0C" w:rsidP="00D82620">
            <w:pPr>
              <w:pStyle w:val="CasesLegislationAppealFrom"/>
              <w:spacing w:after="60"/>
            </w:pPr>
            <w:r>
              <w:rPr>
                <w:i/>
              </w:rPr>
              <w:t xml:space="preserve">Rules of the Supreme Court 1971 </w:t>
            </w:r>
            <w:r>
              <w:t>(WA) O 39</w:t>
            </w:r>
          </w:p>
          <w:p w:rsidR="00030FCE" w:rsidRDefault="00030FCE" w:rsidP="00D82620">
            <w:pPr>
              <w:pStyle w:val="CasesLegislationAppealFrom"/>
              <w:spacing w:after="60"/>
            </w:pPr>
            <w:r>
              <w:t>International Arbitration Act (Singapore) (Cap 143A, 2002 Rev Ed) ss 3, 13(2)</w:t>
            </w:r>
          </w:p>
          <w:p w:rsidR="00030FCE" w:rsidRDefault="000072B0" w:rsidP="00D82620">
            <w:pPr>
              <w:pStyle w:val="CasesLegislationAppealFrom"/>
              <w:spacing w:after="60"/>
            </w:pPr>
            <w:r w:rsidRPr="00E719C2">
              <w:t>UNCITRAL Arbitration Rules 2013</w:t>
            </w:r>
          </w:p>
          <w:p w:rsidR="00395B24" w:rsidRDefault="00030FCE" w:rsidP="00D82620">
            <w:pPr>
              <w:pStyle w:val="CasesLegislationAppealFrom"/>
              <w:spacing w:after="60"/>
            </w:pPr>
            <w:r w:rsidRPr="0033750D">
              <w:rPr>
                <w:i/>
              </w:rPr>
              <w:t>Convention on the Taking of Evidence Abroad</w:t>
            </w:r>
            <w:r>
              <w:rPr>
                <w:i/>
              </w:rPr>
              <w:t xml:space="preserve"> in Civil or Commercial Matters</w:t>
            </w:r>
            <w:r>
              <w:t>,</w:t>
            </w:r>
            <w:r>
              <w:rPr>
                <w:i/>
              </w:rPr>
              <w:t xml:space="preserve"> </w:t>
            </w:r>
            <w:r>
              <w:t>o</w:t>
            </w:r>
            <w:r w:rsidRPr="0033750D">
              <w:t>pened</w:t>
            </w:r>
            <w:r>
              <w:t xml:space="preserve"> for signature on 18 March 1970, 847 UNTS 241 </w:t>
            </w:r>
            <w:r w:rsidRPr="0033750D">
              <w:t>(entered into force on 7 October 1972)</w:t>
            </w:r>
            <w:r>
              <w:t xml:space="preserve"> arts 1 and 2</w:t>
            </w:r>
            <w:r w:rsidR="002C7385">
              <w:t xml:space="preserve"> </w:t>
            </w:r>
            <w:bookmarkEnd w:id="2"/>
          </w:p>
        </w:tc>
      </w:tr>
      <w:tr w:rsidR="00395B24" w:rsidTr="00BB218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B218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316C9" w:rsidRDefault="00D316C9" w:rsidP="00D82620">
            <w:pPr>
              <w:pStyle w:val="CasesLegislationAppealFrom"/>
              <w:spacing w:after="60"/>
              <w:rPr>
                <w:i/>
              </w:rPr>
            </w:pPr>
            <w:r>
              <w:rPr>
                <w:i/>
              </w:rPr>
              <w:t xml:space="preserve">Alcan (NT) Alumina Pty Ltd v Commissioner of Territory Revenue </w:t>
            </w:r>
            <w:r>
              <w:t>(2009) 239 CLR 27</w:t>
            </w:r>
          </w:p>
          <w:p w:rsidR="009B3FAC" w:rsidRDefault="009B3FAC" w:rsidP="00D82620">
            <w:pPr>
              <w:pStyle w:val="CasesLegislationAppealFrom"/>
              <w:spacing w:after="60"/>
              <w:rPr>
                <w:i/>
              </w:rPr>
            </w:pPr>
            <w:proofErr w:type="spellStart"/>
            <w:r>
              <w:rPr>
                <w:i/>
              </w:rPr>
              <w:t>AssetInsure</w:t>
            </w:r>
            <w:proofErr w:type="spellEnd"/>
            <w:r>
              <w:rPr>
                <w:i/>
              </w:rPr>
              <w:t xml:space="preserve"> Pty Ltd v New Cap</w:t>
            </w:r>
            <w:r>
              <w:t xml:space="preserve">; </w:t>
            </w:r>
            <w:r>
              <w:rPr>
                <w:i/>
              </w:rPr>
              <w:t xml:space="preserve">Certain Lloyd’s Underwriters </w:t>
            </w:r>
            <w:r w:rsidRPr="00F24205">
              <w:rPr>
                <w:i/>
              </w:rPr>
              <w:t>Subscribing to Contract No IH00AAQS v Cross &amp; Ors</w:t>
            </w:r>
            <w:r>
              <w:rPr>
                <w:i/>
              </w:rPr>
              <w:t xml:space="preserve"> </w:t>
            </w:r>
            <w:r>
              <w:t>(2012) 248 CLR 378</w:t>
            </w:r>
          </w:p>
          <w:p w:rsidR="00395B24" w:rsidRDefault="00C72D28" w:rsidP="00D82620">
            <w:pPr>
              <w:pStyle w:val="CasesLegislationAppealFrom"/>
              <w:spacing w:after="60"/>
            </w:pPr>
            <w:r>
              <w:rPr>
                <w:i/>
              </w:rPr>
              <w:t xml:space="preserve">Director of Public Prosecutions of the Commonwealth v </w:t>
            </w:r>
            <w:proofErr w:type="spellStart"/>
            <w:r>
              <w:rPr>
                <w:i/>
              </w:rPr>
              <w:lastRenderedPageBreak/>
              <w:t>Kainhofer</w:t>
            </w:r>
            <w:proofErr w:type="spellEnd"/>
            <w:r>
              <w:rPr>
                <w:i/>
              </w:rPr>
              <w:t xml:space="preserve"> </w:t>
            </w:r>
            <w:r>
              <w:t>(1995) 185 CLR 528</w:t>
            </w:r>
          </w:p>
          <w:p w:rsidR="009B3FAC" w:rsidRDefault="009B3FAC" w:rsidP="00D82620">
            <w:pPr>
              <w:pStyle w:val="CasesLegislationAppealFrom"/>
              <w:spacing w:after="60"/>
            </w:pPr>
            <w:r>
              <w:rPr>
                <w:i/>
              </w:rPr>
              <w:t>Reinsurance Corp Ltd (in liq)</w:t>
            </w:r>
            <w:r>
              <w:t xml:space="preserve"> (2006) 225 CLR 331 </w:t>
            </w:r>
          </w:p>
          <w:p w:rsidR="009B3FAC" w:rsidRDefault="009B3FAC" w:rsidP="00D82620">
            <w:pPr>
              <w:pStyle w:val="CasesLegislationAppealFrom"/>
              <w:spacing w:after="60"/>
            </w:pPr>
            <w:r w:rsidRPr="00EE187A">
              <w:rPr>
                <w:i/>
              </w:rPr>
              <w:t>Rinehart v Rinehart (No 3)</w:t>
            </w:r>
            <w:r w:rsidRPr="004C4E24">
              <w:t xml:space="preserve"> [2016] FCA 539</w:t>
            </w:r>
          </w:p>
          <w:p w:rsidR="009B3FAC" w:rsidRDefault="009B3FAC" w:rsidP="009B3FAC">
            <w:pPr>
              <w:pStyle w:val="CasesLegislationAppealFrom"/>
              <w:spacing w:after="60"/>
            </w:pPr>
            <w:r>
              <w:rPr>
                <w:i/>
              </w:rPr>
              <w:t xml:space="preserve">Western Australian Planning Commission v Leith </w:t>
            </w:r>
            <w:r>
              <w:t xml:space="preserve">[2017] HCA 7 </w:t>
            </w:r>
          </w:p>
        </w:tc>
      </w:tr>
      <w:tr w:rsidR="00BB2186" w:rsidRPr="00BB2186" w:rsidTr="00BB2186">
        <w:tc>
          <w:tcPr>
            <w:tcW w:w="3085" w:type="dxa"/>
            <w:shd w:val="clear" w:color="auto" w:fill="auto"/>
          </w:tcPr>
          <w:p w:rsidR="00BB2186" w:rsidRPr="00BB2186" w:rsidRDefault="00BB2186" w:rsidP="00BB2186">
            <w:pPr>
              <w:pStyle w:val="Normal1linespace"/>
              <w:jc w:val="left"/>
            </w:pPr>
          </w:p>
        </w:tc>
        <w:tc>
          <w:tcPr>
            <w:tcW w:w="5989" w:type="dxa"/>
            <w:shd w:val="clear" w:color="auto" w:fill="auto"/>
          </w:tcPr>
          <w:p w:rsidR="00BB2186" w:rsidRPr="00BB2186" w:rsidRDefault="00BB2186" w:rsidP="00BB2186">
            <w:pPr>
              <w:pStyle w:val="Normal1linespace"/>
              <w:jc w:val="left"/>
            </w:pPr>
          </w:p>
        </w:tc>
      </w:tr>
      <w:tr w:rsidR="00BB2186" w:rsidRPr="00BB2186" w:rsidTr="00BB2186">
        <w:tc>
          <w:tcPr>
            <w:tcW w:w="3085" w:type="dxa"/>
            <w:shd w:val="clear" w:color="auto" w:fill="auto"/>
          </w:tcPr>
          <w:p w:rsidR="00BB2186" w:rsidRPr="00BB2186" w:rsidRDefault="00BB2186" w:rsidP="00BB2186">
            <w:pPr>
              <w:pStyle w:val="Normal1linespace"/>
              <w:jc w:val="left"/>
            </w:pPr>
            <w:bookmarkStart w:id="3" w:name="CounselDate" w:colFirst="0" w:colLast="2"/>
            <w:r w:rsidRPr="00BB2186">
              <w:t>Date of hearing:</w:t>
            </w:r>
          </w:p>
        </w:tc>
        <w:tc>
          <w:tcPr>
            <w:tcW w:w="5989" w:type="dxa"/>
            <w:shd w:val="clear" w:color="auto" w:fill="auto"/>
          </w:tcPr>
          <w:p w:rsidR="00BB2186" w:rsidRPr="00BB2186" w:rsidRDefault="000923B3" w:rsidP="00BB2186">
            <w:pPr>
              <w:pStyle w:val="Normal1linespace"/>
              <w:jc w:val="left"/>
            </w:pPr>
            <w:bookmarkStart w:id="4" w:name="HearingDate"/>
            <w:bookmarkEnd w:id="4"/>
            <w:r>
              <w:t>H</w:t>
            </w:r>
            <w:r w:rsidR="009B3FAC">
              <w:t>eard on the papers</w:t>
            </w:r>
          </w:p>
        </w:tc>
      </w:tr>
      <w:tr w:rsidR="009B3FAC" w:rsidRPr="00BB2186" w:rsidTr="00BB2186">
        <w:tc>
          <w:tcPr>
            <w:tcW w:w="3085" w:type="dxa"/>
            <w:shd w:val="clear" w:color="auto" w:fill="auto"/>
          </w:tcPr>
          <w:p w:rsidR="009B3FAC" w:rsidRPr="00BB2186" w:rsidRDefault="009B3FAC" w:rsidP="00BB2186">
            <w:pPr>
              <w:pStyle w:val="Normal1linespace"/>
              <w:jc w:val="left"/>
            </w:pPr>
          </w:p>
        </w:tc>
        <w:tc>
          <w:tcPr>
            <w:tcW w:w="5989" w:type="dxa"/>
            <w:shd w:val="clear" w:color="auto" w:fill="auto"/>
          </w:tcPr>
          <w:p w:rsidR="009B3FAC" w:rsidRDefault="009B3FAC" w:rsidP="00BB2186">
            <w:pPr>
              <w:pStyle w:val="Normal1linespace"/>
              <w:jc w:val="left"/>
            </w:pPr>
          </w:p>
        </w:tc>
      </w:tr>
      <w:tr w:rsidR="009B3FAC" w:rsidRPr="00BB2186" w:rsidTr="00BB2186">
        <w:tc>
          <w:tcPr>
            <w:tcW w:w="3085" w:type="dxa"/>
            <w:shd w:val="clear" w:color="auto" w:fill="auto"/>
          </w:tcPr>
          <w:p w:rsidR="009B3FAC" w:rsidRPr="00BB2186" w:rsidRDefault="009B3FAC" w:rsidP="00BB2186">
            <w:pPr>
              <w:pStyle w:val="Normal1linespace"/>
              <w:jc w:val="left"/>
            </w:pPr>
            <w:r>
              <w:t>Date of last submissions:</w:t>
            </w:r>
          </w:p>
        </w:tc>
        <w:tc>
          <w:tcPr>
            <w:tcW w:w="5989" w:type="dxa"/>
            <w:shd w:val="clear" w:color="auto" w:fill="auto"/>
          </w:tcPr>
          <w:p w:rsidR="009B3FAC" w:rsidRDefault="009B3FAC" w:rsidP="00BB2186">
            <w:pPr>
              <w:pStyle w:val="Normal1linespace"/>
              <w:jc w:val="left"/>
            </w:pPr>
            <w:r>
              <w:t>13 September 2017</w:t>
            </w:r>
          </w:p>
        </w:tc>
      </w:tr>
      <w:tr w:rsidR="00BB2186" w:rsidRPr="00BB2186" w:rsidTr="00BB2186">
        <w:tc>
          <w:tcPr>
            <w:tcW w:w="3085" w:type="dxa"/>
            <w:shd w:val="clear" w:color="auto" w:fill="auto"/>
          </w:tcPr>
          <w:p w:rsidR="00BB2186" w:rsidRPr="00BB2186" w:rsidRDefault="00BB2186" w:rsidP="00BB2186">
            <w:pPr>
              <w:pStyle w:val="Normal1linespace"/>
              <w:jc w:val="left"/>
            </w:pPr>
          </w:p>
        </w:tc>
        <w:tc>
          <w:tcPr>
            <w:tcW w:w="5989" w:type="dxa"/>
            <w:shd w:val="clear" w:color="auto" w:fill="auto"/>
          </w:tcPr>
          <w:p w:rsidR="00BB2186" w:rsidRPr="00BB2186" w:rsidRDefault="00BB2186" w:rsidP="00BB2186">
            <w:pPr>
              <w:pStyle w:val="Normal1linespace"/>
              <w:jc w:val="left"/>
            </w:pPr>
          </w:p>
        </w:tc>
      </w:tr>
      <w:bookmarkEnd w:id="3"/>
      <w:tr w:rsidR="00BB2186" w:rsidTr="00BB2186">
        <w:tc>
          <w:tcPr>
            <w:tcW w:w="3085" w:type="dxa"/>
            <w:shd w:val="clear" w:color="auto" w:fill="auto"/>
          </w:tcPr>
          <w:p w:rsidR="00BB2186" w:rsidRDefault="00BB2186" w:rsidP="00BB2186">
            <w:pPr>
              <w:pStyle w:val="Normal1linespace"/>
              <w:widowControl w:val="0"/>
              <w:jc w:val="left"/>
            </w:pPr>
            <w:r>
              <w:t>Registry:</w:t>
            </w:r>
          </w:p>
        </w:tc>
        <w:tc>
          <w:tcPr>
            <w:tcW w:w="5989" w:type="dxa"/>
            <w:shd w:val="clear" w:color="auto" w:fill="auto"/>
          </w:tcPr>
          <w:p w:rsidR="00BB2186" w:rsidRPr="00F17599" w:rsidRDefault="006F7967" w:rsidP="00BB2186">
            <w:pPr>
              <w:pStyle w:val="Normal1linespace"/>
              <w:widowControl w:val="0"/>
              <w:jc w:val="left"/>
            </w:pPr>
            <w:fldSimple w:instr=" DOCPROPERTY  Registry ">
              <w:r w:rsidR="00BB2186">
                <w:t>Western Australia</w:t>
              </w:r>
            </w:fldSimple>
          </w:p>
        </w:tc>
      </w:tr>
      <w:tr w:rsidR="00BB2186" w:rsidTr="00BB2186">
        <w:tc>
          <w:tcPr>
            <w:tcW w:w="3085" w:type="dxa"/>
            <w:shd w:val="clear" w:color="auto" w:fill="auto"/>
          </w:tcPr>
          <w:p w:rsidR="00BB2186" w:rsidRDefault="00BB2186" w:rsidP="00BB2186">
            <w:pPr>
              <w:pStyle w:val="Normal1linespace"/>
              <w:widowControl w:val="0"/>
              <w:jc w:val="left"/>
            </w:pPr>
          </w:p>
        </w:tc>
        <w:tc>
          <w:tcPr>
            <w:tcW w:w="5989" w:type="dxa"/>
            <w:shd w:val="clear" w:color="auto" w:fill="auto"/>
          </w:tcPr>
          <w:p w:rsidR="00BB2186" w:rsidRDefault="00BB2186" w:rsidP="00BB2186">
            <w:pPr>
              <w:pStyle w:val="Normal1linespace"/>
              <w:widowControl w:val="0"/>
              <w:jc w:val="left"/>
            </w:pPr>
          </w:p>
        </w:tc>
      </w:tr>
      <w:tr w:rsidR="00BB2186" w:rsidTr="00BB2186">
        <w:tc>
          <w:tcPr>
            <w:tcW w:w="3085" w:type="dxa"/>
            <w:shd w:val="clear" w:color="auto" w:fill="auto"/>
          </w:tcPr>
          <w:p w:rsidR="00BB2186" w:rsidRDefault="00BB2186" w:rsidP="00BB2186">
            <w:pPr>
              <w:pStyle w:val="Normal1linespace"/>
              <w:widowControl w:val="0"/>
              <w:jc w:val="left"/>
            </w:pPr>
            <w:r>
              <w:t>Division:</w:t>
            </w:r>
          </w:p>
        </w:tc>
        <w:tc>
          <w:tcPr>
            <w:tcW w:w="5989" w:type="dxa"/>
            <w:shd w:val="clear" w:color="auto" w:fill="auto"/>
          </w:tcPr>
          <w:p w:rsidR="00BB2186" w:rsidRPr="00F17599" w:rsidRDefault="006F7967" w:rsidP="00BB2186">
            <w:pPr>
              <w:pStyle w:val="Normal1linespace"/>
              <w:widowControl w:val="0"/>
              <w:jc w:val="left"/>
            </w:pPr>
            <w:fldSimple w:instr=" DOCPROPERTY  Division ">
              <w:r w:rsidR="00BB2186">
                <w:t>General Division</w:t>
              </w:r>
            </w:fldSimple>
          </w:p>
        </w:tc>
      </w:tr>
      <w:tr w:rsidR="00BB2186" w:rsidTr="00BB2186">
        <w:tc>
          <w:tcPr>
            <w:tcW w:w="3085" w:type="dxa"/>
            <w:shd w:val="clear" w:color="auto" w:fill="auto"/>
          </w:tcPr>
          <w:p w:rsidR="00BB2186" w:rsidRDefault="00BB2186" w:rsidP="00BB2186">
            <w:pPr>
              <w:pStyle w:val="Normal1linespace"/>
              <w:widowControl w:val="0"/>
              <w:jc w:val="left"/>
            </w:pPr>
          </w:p>
        </w:tc>
        <w:tc>
          <w:tcPr>
            <w:tcW w:w="5989" w:type="dxa"/>
            <w:shd w:val="clear" w:color="auto" w:fill="auto"/>
          </w:tcPr>
          <w:p w:rsidR="00BB2186" w:rsidRPr="00F17599" w:rsidRDefault="00BB2186" w:rsidP="00BB2186">
            <w:pPr>
              <w:pStyle w:val="Normal1linespace"/>
              <w:widowControl w:val="0"/>
              <w:jc w:val="left"/>
              <w:rPr>
                <w:b/>
              </w:rPr>
            </w:pPr>
          </w:p>
        </w:tc>
      </w:tr>
      <w:tr w:rsidR="00BB2186" w:rsidTr="00BB2186">
        <w:tc>
          <w:tcPr>
            <w:tcW w:w="3085" w:type="dxa"/>
            <w:shd w:val="clear" w:color="auto" w:fill="auto"/>
          </w:tcPr>
          <w:p w:rsidR="00BB2186" w:rsidRDefault="00BB2186" w:rsidP="00BB2186">
            <w:pPr>
              <w:pStyle w:val="Normal1linespace"/>
              <w:widowControl w:val="0"/>
              <w:jc w:val="left"/>
            </w:pPr>
            <w:r>
              <w:t>National Practice Area:</w:t>
            </w:r>
          </w:p>
        </w:tc>
        <w:tc>
          <w:tcPr>
            <w:tcW w:w="5989" w:type="dxa"/>
            <w:shd w:val="clear" w:color="auto" w:fill="auto"/>
          </w:tcPr>
          <w:p w:rsidR="00BB2186" w:rsidRPr="00F17599" w:rsidRDefault="006F7967" w:rsidP="00BB2186">
            <w:pPr>
              <w:pStyle w:val="Normal1linespace"/>
              <w:widowControl w:val="0"/>
              <w:jc w:val="left"/>
              <w:rPr>
                <w:b/>
              </w:rPr>
            </w:pPr>
            <w:fldSimple w:instr=" DOCPROPERTY  &quot;Practice Area&quot;  \* MERGEFORMAT ">
              <w:r w:rsidR="00BB2186">
                <w:t>Commercial and Corporations</w:t>
              </w:r>
            </w:fldSimple>
          </w:p>
        </w:tc>
      </w:tr>
      <w:tr w:rsidR="00BB2186" w:rsidTr="00BB2186">
        <w:tc>
          <w:tcPr>
            <w:tcW w:w="3085" w:type="dxa"/>
            <w:shd w:val="clear" w:color="auto" w:fill="auto"/>
          </w:tcPr>
          <w:p w:rsidR="00BB2186" w:rsidRDefault="00BB2186" w:rsidP="00BB2186">
            <w:pPr>
              <w:pStyle w:val="Normal1linespace"/>
              <w:widowControl w:val="0"/>
              <w:jc w:val="left"/>
            </w:pPr>
          </w:p>
        </w:tc>
        <w:tc>
          <w:tcPr>
            <w:tcW w:w="5989" w:type="dxa"/>
            <w:shd w:val="clear" w:color="auto" w:fill="auto"/>
          </w:tcPr>
          <w:p w:rsidR="00BB2186" w:rsidRDefault="00BB2186" w:rsidP="00BB2186">
            <w:pPr>
              <w:pStyle w:val="Normal1linespace"/>
              <w:widowControl w:val="0"/>
              <w:jc w:val="left"/>
            </w:pPr>
          </w:p>
        </w:tc>
      </w:tr>
      <w:tr w:rsidR="00BB2186" w:rsidTr="00BB2186">
        <w:tc>
          <w:tcPr>
            <w:tcW w:w="3085" w:type="dxa"/>
            <w:shd w:val="clear" w:color="auto" w:fill="auto"/>
          </w:tcPr>
          <w:p w:rsidR="00BB2186" w:rsidRDefault="00BB2186" w:rsidP="00BB2186">
            <w:pPr>
              <w:pStyle w:val="Normal1linespace"/>
              <w:widowControl w:val="0"/>
              <w:jc w:val="left"/>
            </w:pPr>
            <w:r>
              <w:t>Sub-area:</w:t>
            </w:r>
          </w:p>
        </w:tc>
        <w:tc>
          <w:tcPr>
            <w:tcW w:w="5989" w:type="dxa"/>
            <w:shd w:val="clear" w:color="auto" w:fill="auto"/>
          </w:tcPr>
          <w:p w:rsidR="00BB2186" w:rsidRPr="00435936" w:rsidRDefault="006F7967" w:rsidP="00BB2186">
            <w:pPr>
              <w:pStyle w:val="Normal1linespace"/>
              <w:widowControl w:val="0"/>
              <w:jc w:val="left"/>
            </w:pPr>
            <w:fldSimple w:instr=" DOCPROPERTY  &quot;Sub Area&quot;  \* MERGEFORMAT ">
              <w:r w:rsidR="00BB2186" w:rsidRPr="00BB2186">
                <w:rPr>
                  <w:bCs/>
                  <w:lang w:val="en-US"/>
                </w:rPr>
                <w:t>International Commercial Arbitration</w:t>
              </w:r>
            </w:fldSimple>
          </w:p>
        </w:tc>
      </w:tr>
      <w:tr w:rsidR="00BB2186" w:rsidTr="00BB2186">
        <w:tc>
          <w:tcPr>
            <w:tcW w:w="3085" w:type="dxa"/>
            <w:shd w:val="clear" w:color="auto" w:fill="auto"/>
          </w:tcPr>
          <w:p w:rsidR="00BB2186" w:rsidRDefault="00BB2186" w:rsidP="00BB2186">
            <w:pPr>
              <w:pStyle w:val="Normal1linespace"/>
              <w:widowControl w:val="0"/>
              <w:jc w:val="left"/>
            </w:pPr>
          </w:p>
        </w:tc>
        <w:tc>
          <w:tcPr>
            <w:tcW w:w="5989" w:type="dxa"/>
            <w:shd w:val="clear" w:color="auto" w:fill="auto"/>
          </w:tcPr>
          <w:p w:rsidR="00BB2186" w:rsidRDefault="00BB2186" w:rsidP="00BB2186">
            <w:pPr>
              <w:pStyle w:val="Normal1linespace"/>
              <w:widowControl w:val="0"/>
              <w:jc w:val="left"/>
              <w:rPr>
                <w:b/>
              </w:rPr>
            </w:pPr>
          </w:p>
        </w:tc>
      </w:tr>
      <w:tr w:rsidR="00BB2186" w:rsidTr="00BB2186">
        <w:tc>
          <w:tcPr>
            <w:tcW w:w="3085" w:type="dxa"/>
            <w:shd w:val="clear" w:color="auto" w:fill="auto"/>
          </w:tcPr>
          <w:p w:rsidR="00BB2186" w:rsidRDefault="00BB2186" w:rsidP="00BB2186">
            <w:pPr>
              <w:pStyle w:val="Normal1linespace"/>
              <w:widowControl w:val="0"/>
              <w:jc w:val="left"/>
            </w:pPr>
            <w:r>
              <w:t>Category:</w:t>
            </w:r>
          </w:p>
        </w:tc>
        <w:tc>
          <w:tcPr>
            <w:tcW w:w="5989" w:type="dxa"/>
            <w:shd w:val="clear" w:color="auto" w:fill="auto"/>
          </w:tcPr>
          <w:p w:rsidR="00BB2186" w:rsidRDefault="00D00864" w:rsidP="00BB2186">
            <w:pPr>
              <w:pStyle w:val="Normal1linespace"/>
              <w:widowControl w:val="0"/>
              <w:jc w:val="left"/>
            </w:pPr>
            <w:r>
              <w:t>Catchwords</w:t>
            </w:r>
          </w:p>
        </w:tc>
      </w:tr>
      <w:tr w:rsidR="00BB2186" w:rsidTr="00BB2186">
        <w:tc>
          <w:tcPr>
            <w:tcW w:w="3085" w:type="dxa"/>
            <w:shd w:val="clear" w:color="auto" w:fill="auto"/>
          </w:tcPr>
          <w:p w:rsidR="00BB2186" w:rsidRDefault="00BB2186" w:rsidP="00BB2186">
            <w:pPr>
              <w:pStyle w:val="Normal1linespace"/>
              <w:widowControl w:val="0"/>
              <w:jc w:val="left"/>
            </w:pPr>
          </w:p>
        </w:tc>
        <w:tc>
          <w:tcPr>
            <w:tcW w:w="5989" w:type="dxa"/>
            <w:shd w:val="clear" w:color="auto" w:fill="auto"/>
          </w:tcPr>
          <w:p w:rsidR="00BB2186" w:rsidRDefault="00BB2186" w:rsidP="00BB2186">
            <w:pPr>
              <w:pStyle w:val="Normal1linespace"/>
              <w:widowControl w:val="0"/>
              <w:jc w:val="left"/>
            </w:pPr>
          </w:p>
        </w:tc>
      </w:tr>
      <w:tr w:rsidR="00BB2186" w:rsidTr="00BB2186">
        <w:tc>
          <w:tcPr>
            <w:tcW w:w="3085" w:type="dxa"/>
            <w:shd w:val="clear" w:color="auto" w:fill="auto"/>
          </w:tcPr>
          <w:p w:rsidR="00BB2186" w:rsidRDefault="00BB2186" w:rsidP="00BB2186">
            <w:pPr>
              <w:pStyle w:val="Normal1linespace"/>
              <w:widowControl w:val="0"/>
              <w:jc w:val="left"/>
            </w:pPr>
            <w:r>
              <w:t>Number of paragraphs:</w:t>
            </w:r>
          </w:p>
        </w:tc>
        <w:tc>
          <w:tcPr>
            <w:tcW w:w="5989" w:type="dxa"/>
            <w:shd w:val="clear" w:color="auto" w:fill="auto"/>
          </w:tcPr>
          <w:p w:rsidR="00BB2186" w:rsidRDefault="004C1DC0" w:rsidP="00BB2186">
            <w:pPr>
              <w:pStyle w:val="Normal1linespace"/>
              <w:widowControl w:val="0"/>
              <w:jc w:val="left"/>
            </w:pPr>
            <w:r>
              <w:t>53</w:t>
            </w:r>
          </w:p>
        </w:tc>
      </w:tr>
      <w:tr w:rsidR="004617A7" w:rsidTr="00BB2186">
        <w:tc>
          <w:tcPr>
            <w:tcW w:w="3085" w:type="dxa"/>
            <w:shd w:val="clear" w:color="auto" w:fill="auto"/>
          </w:tcPr>
          <w:p w:rsidR="004617A7" w:rsidRDefault="004617A7" w:rsidP="00BB2186">
            <w:pPr>
              <w:pStyle w:val="Normal1linespace"/>
              <w:widowControl w:val="0"/>
              <w:jc w:val="left"/>
            </w:pPr>
            <w:bookmarkStart w:id="5" w:name="Counsel" w:colFirst="0" w:colLast="2"/>
          </w:p>
        </w:tc>
        <w:tc>
          <w:tcPr>
            <w:tcW w:w="5989" w:type="dxa"/>
            <w:shd w:val="clear" w:color="auto" w:fill="auto"/>
          </w:tcPr>
          <w:p w:rsidR="004617A7" w:rsidRDefault="004617A7" w:rsidP="00BB2186">
            <w:pPr>
              <w:pStyle w:val="Normal1linespace"/>
              <w:widowControl w:val="0"/>
              <w:jc w:val="left"/>
            </w:pPr>
          </w:p>
        </w:tc>
      </w:tr>
      <w:tr w:rsidR="004617A7" w:rsidTr="00BB2186">
        <w:tc>
          <w:tcPr>
            <w:tcW w:w="3085" w:type="dxa"/>
            <w:shd w:val="clear" w:color="auto" w:fill="auto"/>
          </w:tcPr>
          <w:p w:rsidR="004617A7" w:rsidRDefault="004617A7" w:rsidP="00BB2186">
            <w:pPr>
              <w:pStyle w:val="Normal1linespace"/>
              <w:widowControl w:val="0"/>
              <w:jc w:val="left"/>
            </w:pPr>
            <w:r>
              <w:t>Solicitor for the Applicant:</w:t>
            </w:r>
          </w:p>
        </w:tc>
        <w:tc>
          <w:tcPr>
            <w:tcW w:w="5989" w:type="dxa"/>
            <w:shd w:val="clear" w:color="auto" w:fill="auto"/>
          </w:tcPr>
          <w:p w:rsidR="004617A7" w:rsidRDefault="004617A7" w:rsidP="00BB2186">
            <w:pPr>
              <w:pStyle w:val="Normal1linespace"/>
              <w:widowControl w:val="0"/>
              <w:jc w:val="left"/>
            </w:pPr>
            <w:r>
              <w:t>Herbert Smith Freehills</w:t>
            </w:r>
          </w:p>
        </w:tc>
      </w:tr>
      <w:bookmarkEnd w:id="5"/>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6022C" w:rsidP="00F92355">
            <w:pPr>
              <w:pStyle w:val="NormalHeadings"/>
              <w:jc w:val="right"/>
            </w:pPr>
            <w:bookmarkStart w:id="6" w:name="FileNo"/>
            <w:r>
              <w:t>WAD 146 of 2017</w:t>
            </w:r>
            <w:bookmarkEnd w:id="6"/>
          </w:p>
        </w:tc>
      </w:tr>
      <w:tr w:rsidR="00A76C13" w:rsidTr="002D025B">
        <w:tc>
          <w:tcPr>
            <w:tcW w:w="9242" w:type="dxa"/>
            <w:gridSpan w:val="3"/>
          </w:tcPr>
          <w:p w:rsidR="00A76C13" w:rsidRPr="00A76C13" w:rsidRDefault="00C6022C" w:rsidP="00FC3C3B">
            <w:pPr>
              <w:pStyle w:val="NormalHeadings"/>
              <w:spacing w:before="240" w:after="240"/>
              <w:jc w:val="left"/>
            </w:pPr>
            <w:bookmarkStart w:id="7" w:name="InTheMatterOf"/>
            <w:r>
              <w:t>IN THE MATTER OF SAMSUNG C&amp;T CORPORATION</w:t>
            </w:r>
            <w:bookmarkEnd w:id="7"/>
            <w:r w:rsidR="00030FCE">
              <w:t xml:space="preserve"> (WITH REPUBLIC OF KOREA REGISTRATION NUMBER 110111-0015762)</w:t>
            </w:r>
          </w:p>
        </w:tc>
      </w:tr>
      <w:tr w:rsidR="00A46CCC" w:rsidTr="002D025B">
        <w:trPr>
          <w:trHeight w:val="386"/>
        </w:trPr>
        <w:tc>
          <w:tcPr>
            <w:tcW w:w="2376" w:type="dxa"/>
          </w:tcPr>
          <w:p w:rsidR="00A46CCC" w:rsidRDefault="00A46CCC" w:rsidP="002D025B">
            <w:pPr>
              <w:pStyle w:val="NormalHeadings"/>
              <w:jc w:val="left"/>
              <w:rPr>
                <w:caps/>
                <w:szCs w:val="24"/>
              </w:rPr>
            </w:pPr>
            <w:bookmarkStart w:id="8" w:name="Parties"/>
          </w:p>
        </w:tc>
        <w:tc>
          <w:tcPr>
            <w:tcW w:w="6866" w:type="dxa"/>
            <w:gridSpan w:val="2"/>
          </w:tcPr>
          <w:p w:rsidR="00A46CCC" w:rsidRDefault="00FC3C3B" w:rsidP="00C6022C">
            <w:pPr>
              <w:pStyle w:val="NormalHeadings"/>
              <w:jc w:val="left"/>
            </w:pPr>
            <w:bookmarkStart w:id="9" w:name="Applicant"/>
            <w:bookmarkEnd w:id="9"/>
            <w:r>
              <w:t>SAMSUNG C&amp;T CORPORATION (WITH REPUBLIC OF KOREA REGISTRATION NUMBER 110111-0015762)</w:t>
            </w:r>
          </w:p>
          <w:p w:rsidR="00D264C8" w:rsidRPr="00D264C8" w:rsidRDefault="00D264C8" w:rsidP="00C6022C">
            <w:pPr>
              <w:pStyle w:val="NormalHeadings"/>
              <w:jc w:val="left"/>
              <w:rPr>
                <w:b w:val="0"/>
              </w:rPr>
            </w:pPr>
            <w:r>
              <w:rPr>
                <w:b w:val="0"/>
              </w:rPr>
              <w:t>Applicant</w:t>
            </w:r>
          </w:p>
        </w:tc>
      </w:tr>
    </w:tbl>
    <w:p w:rsidR="00395B24" w:rsidRDefault="00395B24">
      <w:pPr>
        <w:pStyle w:val="NormalHeadings"/>
      </w:pPr>
      <w:bookmarkStart w:id="10" w:name="CrossClaimPosition"/>
      <w:bookmarkEnd w:id="8"/>
      <w:bookmarkEnd w:id="10"/>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6022C">
            <w:pPr>
              <w:pStyle w:val="NormalHeadings"/>
              <w:spacing w:after="120"/>
              <w:jc w:val="left"/>
              <w:rPr>
                <w:caps/>
                <w:szCs w:val="24"/>
              </w:rPr>
            </w:pPr>
            <w:bookmarkStart w:id="11" w:name="JudgeText"/>
            <w:r>
              <w:rPr>
                <w:caps/>
                <w:szCs w:val="24"/>
              </w:rPr>
              <w:t>JUDGE</w:t>
            </w:r>
            <w:bookmarkEnd w:id="11"/>
            <w:r w:rsidR="002C7385">
              <w:rPr>
                <w:caps/>
                <w:szCs w:val="24"/>
              </w:rPr>
              <w:t>:</w:t>
            </w:r>
          </w:p>
        </w:tc>
        <w:tc>
          <w:tcPr>
            <w:tcW w:w="6866" w:type="dxa"/>
          </w:tcPr>
          <w:p w:rsidR="00395B24" w:rsidRDefault="00C6022C">
            <w:pPr>
              <w:pStyle w:val="NormalHeadings"/>
              <w:jc w:val="left"/>
              <w:rPr>
                <w:caps/>
                <w:szCs w:val="24"/>
              </w:rPr>
            </w:pPr>
            <w:bookmarkStart w:id="12" w:name="Judge"/>
            <w:r>
              <w:rPr>
                <w:caps/>
                <w:szCs w:val="24"/>
              </w:rPr>
              <w:t>GILMOUR J</w:t>
            </w:r>
            <w:bookmarkEnd w:id="12"/>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D2DDC">
            <w:pPr>
              <w:pStyle w:val="NormalHeadings"/>
              <w:jc w:val="left"/>
              <w:rPr>
                <w:caps/>
                <w:szCs w:val="24"/>
              </w:rPr>
            </w:pPr>
            <w:bookmarkStart w:id="13" w:name="Judgment_Dated"/>
            <w:r>
              <w:rPr>
                <w:caps/>
                <w:szCs w:val="24"/>
              </w:rPr>
              <w:t>5</w:t>
            </w:r>
            <w:r w:rsidR="001F086D">
              <w:rPr>
                <w:caps/>
                <w:szCs w:val="24"/>
              </w:rPr>
              <w:t xml:space="preserve"> October </w:t>
            </w:r>
            <w:r w:rsidR="00C6022C">
              <w:rPr>
                <w:caps/>
                <w:szCs w:val="24"/>
              </w:rPr>
              <w:t>2017</w:t>
            </w:r>
            <w:bookmarkEnd w:id="13"/>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00864" w:rsidP="00274F5B">
      <w:pPr>
        <w:pStyle w:val="Order1"/>
      </w:pPr>
      <w:bookmarkStart w:id="14" w:name="Order_Start_Text"/>
      <w:bookmarkEnd w:id="14"/>
      <w:r>
        <w:t>The application</w:t>
      </w:r>
      <w:r w:rsidR="004D2DDC">
        <w:t xml:space="preserve"> filed on 5 September 2017</w:t>
      </w:r>
      <w:r>
        <w:t xml:space="preserve"> for leave to issue subpoenas pursuant to s 23 of the </w:t>
      </w:r>
      <w:r>
        <w:rPr>
          <w:i/>
        </w:rPr>
        <w:t xml:space="preserve">International Arbitration Act 1974 </w:t>
      </w:r>
      <w:r>
        <w:t xml:space="preserve">(Cth) be dismissed.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rsidR="00395B24" w:rsidRPr="00EA03CE" w:rsidRDefault="00FC3C3B" w:rsidP="005E0510">
      <w:pPr>
        <w:pStyle w:val="NormalHeadings"/>
        <w:spacing w:line="360" w:lineRule="auto"/>
        <w:jc w:val="left"/>
        <w:rPr>
          <w:sz w:val="26"/>
          <w:szCs w:val="26"/>
        </w:rPr>
      </w:pPr>
      <w:r>
        <w:rPr>
          <w:sz w:val="26"/>
          <w:szCs w:val="26"/>
        </w:rPr>
        <w:t>GILMOUR J</w:t>
      </w:r>
      <w:r w:rsidR="00484F6D" w:rsidRPr="00EA03CE">
        <w:rPr>
          <w:sz w:val="26"/>
          <w:szCs w:val="26"/>
        </w:rPr>
        <w:t>:</w:t>
      </w:r>
    </w:p>
    <w:p w:rsidR="00887331" w:rsidRDefault="00887331" w:rsidP="00887331">
      <w:pPr>
        <w:pStyle w:val="Heading2"/>
      </w:pPr>
      <w:r>
        <w:t>Introduction</w:t>
      </w:r>
    </w:p>
    <w:p w:rsidR="00887331" w:rsidRPr="003519B4" w:rsidRDefault="00227CA3" w:rsidP="00227CA3">
      <w:pPr>
        <w:pStyle w:val="ParaNumbering"/>
      </w:pPr>
      <w:r>
        <w:t xml:space="preserve">In this </w:t>
      </w:r>
      <w:r w:rsidRPr="003519B4">
        <w:t>application,</w:t>
      </w:r>
      <w:r w:rsidR="004D2DDC">
        <w:t xml:space="preserve"> filed on 5 September 2017,</w:t>
      </w:r>
      <w:r w:rsidRPr="003519B4">
        <w:t xml:space="preserve"> the Applicant, Samsung C&amp;T Corporation </w:t>
      </w:r>
      <w:r w:rsidR="00AE5CF7" w:rsidRPr="003519B4">
        <w:t>(</w:t>
      </w:r>
      <w:r w:rsidRPr="003519B4">
        <w:t>with Republic of Korea</w:t>
      </w:r>
      <w:r w:rsidR="00AE5CF7" w:rsidRPr="003519B4">
        <w:t xml:space="preserve"> Registration Number 110111-0015762)</w:t>
      </w:r>
      <w:r w:rsidRPr="003519B4">
        <w:t xml:space="preserve"> (Samsung), seeks leave to issue subpoenas for production of certain documents in relation to arbitral proceedings between it and </w:t>
      </w:r>
      <w:proofErr w:type="spellStart"/>
      <w:r w:rsidRPr="003519B4">
        <w:t>Duro</w:t>
      </w:r>
      <w:proofErr w:type="spellEnd"/>
      <w:r w:rsidRPr="003519B4">
        <w:t xml:space="preserve"> </w:t>
      </w:r>
      <w:proofErr w:type="spellStart"/>
      <w:r w:rsidRPr="003519B4">
        <w:t>Felguera</w:t>
      </w:r>
      <w:proofErr w:type="spellEnd"/>
      <w:r w:rsidRPr="003519B4">
        <w:t xml:space="preserve"> Australia Pty Ltd (</w:t>
      </w:r>
      <w:proofErr w:type="spellStart"/>
      <w:r w:rsidRPr="003519B4">
        <w:t>Duro</w:t>
      </w:r>
      <w:proofErr w:type="spellEnd"/>
      <w:r w:rsidRPr="003519B4">
        <w:t>) in S</w:t>
      </w:r>
      <w:r w:rsidR="004D2DDC">
        <w:t>ingapore International Arbitration Centre (SIAC)</w:t>
      </w:r>
      <w:r w:rsidRPr="003519B4">
        <w:t xml:space="preserve"> Case No ARB065/16/JJ (Arbitration).</w:t>
      </w:r>
    </w:p>
    <w:p w:rsidR="00227CA3" w:rsidRPr="003519B4" w:rsidRDefault="00227CA3" w:rsidP="00227CA3">
      <w:pPr>
        <w:pStyle w:val="ParaNumbering"/>
      </w:pPr>
      <w:r w:rsidRPr="003519B4">
        <w:t xml:space="preserve">The present application is one of two applications for leave to issue subpoenas that have come before this Court in the matter. </w:t>
      </w:r>
      <w:r w:rsidR="00867E76" w:rsidRPr="003519B4">
        <w:t>The first application was heard by me on 21 March 2017 and I granted leave to issue subpoenas (First Application). However, for reasons which follow, I have concluded that my decision to grant leave was</w:t>
      </w:r>
      <w:r w:rsidR="009F1661">
        <w:t xml:space="preserve"> not only wrong, but was</w:t>
      </w:r>
      <w:r w:rsidR="00867E76" w:rsidRPr="003519B4">
        <w:t xml:space="preserve"> clearly wrong. Accordingly, I refuse leave and dismiss the present application (Second Application). </w:t>
      </w:r>
    </w:p>
    <w:p w:rsidR="00E719C2" w:rsidRDefault="00E719C2" w:rsidP="00E719C2">
      <w:pPr>
        <w:pStyle w:val="Heading2"/>
      </w:pPr>
      <w:r>
        <w:t>Background</w:t>
      </w:r>
    </w:p>
    <w:p w:rsidR="00E719C2" w:rsidRPr="003519B4" w:rsidRDefault="00E719C2" w:rsidP="00E719C2">
      <w:pPr>
        <w:pStyle w:val="ParaNumbering"/>
      </w:pPr>
      <w:r w:rsidRPr="00E719C2">
        <w:t xml:space="preserve">Both Samsung and </w:t>
      </w:r>
      <w:proofErr w:type="spellStart"/>
      <w:r>
        <w:t>Duro</w:t>
      </w:r>
      <w:proofErr w:type="spellEnd"/>
      <w:r>
        <w:t xml:space="preserve"> </w:t>
      </w:r>
      <w:r w:rsidRPr="00E719C2">
        <w:t xml:space="preserve">have places of business within Australia.  The Arbitration is an </w:t>
      </w:r>
      <w:r w:rsidRPr="003519B4">
        <w:t xml:space="preserve">'international commercial arbitration' pursuant to </w:t>
      </w:r>
      <w:r w:rsidR="00DF5E7B" w:rsidRPr="003519B4">
        <w:t xml:space="preserve">Art 1(3)(b)(2) of the Model Law, found in </w:t>
      </w:r>
      <w:proofErr w:type="spellStart"/>
      <w:r w:rsidR="00DF5E7B" w:rsidRPr="003519B4">
        <w:t>sch</w:t>
      </w:r>
      <w:proofErr w:type="spellEnd"/>
      <w:r w:rsidR="00DF5E7B" w:rsidRPr="003519B4">
        <w:t xml:space="preserve"> 2 of the </w:t>
      </w:r>
      <w:r w:rsidR="00DF5E7B" w:rsidRPr="003519B4">
        <w:rPr>
          <w:i/>
        </w:rPr>
        <w:t xml:space="preserve">International Arbitration Act </w:t>
      </w:r>
      <w:r w:rsidR="00DF5E7B" w:rsidRPr="003519B4">
        <w:t xml:space="preserve">(Cth) (IAA), </w:t>
      </w:r>
      <w:r w:rsidRPr="003519B4">
        <w:t>as the place (seat) of arbitration nominated by the parties is Singapore, being a State other than the State</w:t>
      </w:r>
      <w:r w:rsidR="00867E76" w:rsidRPr="003519B4">
        <w:t xml:space="preserve"> (Australia)</w:t>
      </w:r>
      <w:r w:rsidRPr="003519B4">
        <w:t xml:space="preserve"> in which the parties' places of business are located.</w:t>
      </w:r>
    </w:p>
    <w:p w:rsidR="00E719C2" w:rsidRPr="003519B4" w:rsidRDefault="00E719C2" w:rsidP="00E719C2">
      <w:pPr>
        <w:pStyle w:val="ParaNumbering"/>
      </w:pPr>
      <w:r w:rsidRPr="003519B4">
        <w:t xml:space="preserve">The Arbitration is governed by the UNCITRAL Arbitration Rules 2013 and administered by </w:t>
      </w:r>
      <w:r w:rsidR="00867E76" w:rsidRPr="003519B4">
        <w:t xml:space="preserve">the </w:t>
      </w:r>
      <w:r w:rsidR="004D2DDC">
        <w:t>SIAC</w:t>
      </w:r>
      <w:r w:rsidR="00867E76" w:rsidRPr="003519B4">
        <w:t xml:space="preserve"> (</w:t>
      </w:r>
      <w:r w:rsidR="00DF5E7B" w:rsidRPr="003519B4">
        <w:t>Tribunal</w:t>
      </w:r>
      <w:r w:rsidR="00867E76" w:rsidRPr="003519B4">
        <w:t>)</w:t>
      </w:r>
      <w:r w:rsidRPr="003519B4">
        <w:t xml:space="preserve"> and subject to the governing law of Western Australia.</w:t>
      </w:r>
    </w:p>
    <w:p w:rsidR="00E95BD7" w:rsidRPr="003519B4" w:rsidRDefault="00887331" w:rsidP="0094691A">
      <w:pPr>
        <w:pStyle w:val="Heading3"/>
      </w:pPr>
      <w:r w:rsidRPr="003519B4">
        <w:t>History of this matter</w:t>
      </w:r>
    </w:p>
    <w:p w:rsidR="009579A3" w:rsidRPr="003519B4" w:rsidRDefault="009579A3" w:rsidP="009579A3">
      <w:pPr>
        <w:pStyle w:val="ParaNumbering"/>
      </w:pPr>
      <w:r w:rsidRPr="003519B4">
        <w:t xml:space="preserve">As Samsung outlined in its submissions for the First Application, </w:t>
      </w:r>
      <w:r w:rsidR="00DF5E7B" w:rsidRPr="003519B4">
        <w:t>its solicitors had advised the T</w:t>
      </w:r>
      <w:r w:rsidRPr="003519B4">
        <w:t>ribunal by letter dated 6 December 2016 of its intention to seek the issu</w:t>
      </w:r>
      <w:r w:rsidR="00DF5E7B" w:rsidRPr="003519B4">
        <w:t>e of a letter of request under T</w:t>
      </w:r>
      <w:r w:rsidRPr="003519B4">
        <w:t>he Hague Convention on the Taking of Evidence</w:t>
      </w:r>
      <w:r w:rsidR="0033750D" w:rsidRPr="003519B4">
        <w:t xml:space="preserve"> Abroad in Civil or Commercial M</w:t>
      </w:r>
      <w:r w:rsidRPr="003519B4">
        <w:t>atters</w:t>
      </w:r>
      <w:r w:rsidR="0033750D" w:rsidRPr="003519B4">
        <w:t xml:space="preserve"> of 18 March 1970</w:t>
      </w:r>
      <w:r w:rsidR="0021437F">
        <w:t xml:space="preserve"> (</w:t>
      </w:r>
      <w:r w:rsidR="004D2DDC">
        <w:t xml:space="preserve">The </w:t>
      </w:r>
      <w:r w:rsidR="0021437F">
        <w:t>Hague Evidence Convention)</w:t>
      </w:r>
      <w:r w:rsidRPr="003519B4">
        <w:t xml:space="preserve">. This course, which would </w:t>
      </w:r>
      <w:r w:rsidR="004D2DDC">
        <w:t>need</w:t>
      </w:r>
      <w:r w:rsidRPr="003519B4">
        <w:t xml:space="preserve"> to have been given effect upon application to the Western Australian Supreme Court, is</w:t>
      </w:r>
      <w:r w:rsidR="00BF0943" w:rsidRPr="003519B4">
        <w:t xml:space="preserve"> the course</w:t>
      </w:r>
      <w:r w:rsidRPr="003519B4">
        <w:t xml:space="preserve"> that </w:t>
      </w:r>
      <w:r w:rsidR="00BF0943" w:rsidRPr="003519B4">
        <w:t xml:space="preserve">is </w:t>
      </w:r>
      <w:r w:rsidRPr="003519B4">
        <w:t>ordinarily taken</w:t>
      </w:r>
      <w:r w:rsidR="00AE5CF7" w:rsidRPr="003519B4">
        <w:t xml:space="preserve"> in such matters</w:t>
      </w:r>
      <w:r w:rsidRPr="003519B4">
        <w:t>. Samsung</w:t>
      </w:r>
      <w:r w:rsidR="003519B4" w:rsidRPr="003519B4">
        <w:t xml:space="preserve"> was </w:t>
      </w:r>
      <w:r w:rsidRPr="003519B4">
        <w:t xml:space="preserve">informed </w:t>
      </w:r>
      <w:r>
        <w:t xml:space="preserve">by </w:t>
      </w:r>
      <w:proofErr w:type="spellStart"/>
      <w:r>
        <w:t>Duro</w:t>
      </w:r>
      <w:proofErr w:type="spellEnd"/>
      <w:r>
        <w:t xml:space="preserve"> </w:t>
      </w:r>
      <w:r w:rsidR="0033750D">
        <w:t>that it did</w:t>
      </w:r>
      <w:r>
        <w:t xml:space="preserve"> not object to </w:t>
      </w:r>
      <w:r w:rsidR="003519B4">
        <w:t xml:space="preserve">Samsung </w:t>
      </w:r>
      <w:r>
        <w:t>seeking the documents but</w:t>
      </w:r>
      <w:r w:rsidR="003519B4">
        <w:t xml:space="preserve"> </w:t>
      </w:r>
      <w:proofErr w:type="spellStart"/>
      <w:r w:rsidR="003519B4">
        <w:t>Duro</w:t>
      </w:r>
      <w:proofErr w:type="spellEnd"/>
      <w:r>
        <w:t xml:space="preserve"> maintained</w:t>
      </w:r>
      <w:r w:rsidR="003519B4">
        <w:t xml:space="preserve"> that</w:t>
      </w:r>
      <w:r>
        <w:t xml:space="preserve"> s 23 of the IAA was the a</w:t>
      </w:r>
      <w:r w:rsidR="003519B4">
        <w:t>ppropriate production mechanism. Thus, Samsung</w:t>
      </w:r>
      <w:r>
        <w:t xml:space="preserve"> </w:t>
      </w:r>
      <w:r w:rsidR="003519B4">
        <w:t xml:space="preserve">on </w:t>
      </w:r>
      <w:r>
        <w:t xml:space="preserve">13 December </w:t>
      </w:r>
      <w:r>
        <w:lastRenderedPageBreak/>
        <w:t>2016</w:t>
      </w:r>
      <w:r w:rsidR="003519B4">
        <w:t>, by application to the Tribunal, requested</w:t>
      </w:r>
      <w:r>
        <w:t xml:space="preserve"> that </w:t>
      </w:r>
      <w:r w:rsidR="003519B4">
        <w:t>it</w:t>
      </w:r>
      <w:r w:rsidR="0033750D">
        <w:t xml:space="preserve"> issue a letter pursuant to T</w:t>
      </w:r>
      <w:r>
        <w:t xml:space="preserve">he Hague </w:t>
      </w:r>
      <w:r w:rsidR="004D2DDC">
        <w:t xml:space="preserve">Evidence </w:t>
      </w:r>
      <w:r>
        <w:t xml:space="preserve">Convention and also permit Samsung to apply to an Australian court for the issue of subpoenas under s 23 of the IAA. The </w:t>
      </w:r>
      <w:r w:rsidRPr="003519B4">
        <w:t xml:space="preserve">Tribunal then issued a </w:t>
      </w:r>
      <w:r w:rsidR="0033750D" w:rsidRPr="003519B4">
        <w:t>procedural order</w:t>
      </w:r>
      <w:r w:rsidRPr="003519B4">
        <w:t xml:space="preserve">, upon the parties agreeing a subpoena protocol, permitting Samsung to apply to this Court, and also permitting </w:t>
      </w:r>
      <w:proofErr w:type="spellStart"/>
      <w:r w:rsidRPr="003519B4">
        <w:t>Duro</w:t>
      </w:r>
      <w:proofErr w:type="spellEnd"/>
      <w:r w:rsidRPr="003519B4">
        <w:t xml:space="preserve"> to do the same also pursuant to s 23. </w:t>
      </w:r>
      <w:proofErr w:type="spellStart"/>
      <w:r w:rsidR="0033750D" w:rsidRPr="003519B4">
        <w:t>Duro</w:t>
      </w:r>
      <w:proofErr w:type="spellEnd"/>
      <w:r w:rsidR="0033750D" w:rsidRPr="003519B4">
        <w:t xml:space="preserve"> has not made any such applications before me in this matter.</w:t>
      </w:r>
    </w:p>
    <w:p w:rsidR="00E95BD7" w:rsidRPr="003519B4" w:rsidRDefault="00E95BD7" w:rsidP="00FC3C3B">
      <w:pPr>
        <w:pStyle w:val="ParaNumbering"/>
      </w:pPr>
      <w:r w:rsidRPr="003519B4">
        <w:t xml:space="preserve">I heard the </w:t>
      </w:r>
      <w:r w:rsidR="009579A3" w:rsidRPr="003519B4">
        <w:t>First Application</w:t>
      </w:r>
      <w:r w:rsidRPr="003519B4">
        <w:t xml:space="preserve"> </w:t>
      </w:r>
      <w:r w:rsidR="00EE4FCA" w:rsidRPr="003519B4">
        <w:t xml:space="preserve">on 21 March 2017 </w:t>
      </w:r>
      <w:r w:rsidR="009579A3" w:rsidRPr="003519B4">
        <w:t>and made orders granting Samsung leave to issue subpoenas</w:t>
      </w:r>
      <w:r w:rsidRPr="003519B4">
        <w:t xml:space="preserve">. The </w:t>
      </w:r>
      <w:r w:rsidR="00E719C2" w:rsidRPr="003519B4">
        <w:t>First A</w:t>
      </w:r>
      <w:r w:rsidRPr="003519B4">
        <w:t>pplication was not opposed</w:t>
      </w:r>
      <w:r w:rsidR="00E719C2" w:rsidRPr="003519B4">
        <w:t xml:space="preserve"> and was brought before the Court on an urgent basis</w:t>
      </w:r>
      <w:r w:rsidRPr="003519B4">
        <w:t>. The sol</w:t>
      </w:r>
      <w:r w:rsidR="00E719C2" w:rsidRPr="003519B4">
        <w:t xml:space="preserve">icitors for </w:t>
      </w:r>
      <w:proofErr w:type="spellStart"/>
      <w:r w:rsidR="00E719C2" w:rsidRPr="003519B4">
        <w:t>Duro</w:t>
      </w:r>
      <w:proofErr w:type="spellEnd"/>
      <w:r w:rsidR="00E719C2" w:rsidRPr="003519B4">
        <w:t xml:space="preserve"> </w:t>
      </w:r>
      <w:r w:rsidR="00A51630" w:rsidRPr="003519B4">
        <w:t>appeared in the he</w:t>
      </w:r>
      <w:r w:rsidR="00EE4FCA" w:rsidRPr="003519B4">
        <w:t xml:space="preserve">aring on a limited basis, specifically for an order that certain of </w:t>
      </w:r>
      <w:r w:rsidR="00E719C2" w:rsidRPr="003519B4">
        <w:t xml:space="preserve">Samsung’s </w:t>
      </w:r>
      <w:r w:rsidR="00EE4FCA" w:rsidRPr="003519B4">
        <w:t xml:space="preserve">documents </w:t>
      </w:r>
      <w:r w:rsidR="00E719C2" w:rsidRPr="003519B4">
        <w:t>supporting the First Application</w:t>
      </w:r>
      <w:r w:rsidR="00EE4FCA" w:rsidRPr="003519B4">
        <w:t xml:space="preserve"> be admitted as confidential. </w:t>
      </w:r>
    </w:p>
    <w:p w:rsidR="00EE4FCA" w:rsidRPr="003519B4" w:rsidRDefault="00EE4FCA" w:rsidP="00FC3C3B">
      <w:pPr>
        <w:pStyle w:val="ParaNumbering"/>
      </w:pPr>
      <w:r w:rsidRPr="003519B4">
        <w:t xml:space="preserve">There was no real contradictor in the hearing of the First Application. </w:t>
      </w:r>
      <w:r w:rsidR="00887331" w:rsidRPr="003519B4">
        <w:t xml:space="preserve">Samsung </w:t>
      </w:r>
      <w:r w:rsidRPr="003519B4">
        <w:t>provided detailed written submissions in support of the First Application, on the basis of which</w:t>
      </w:r>
      <w:r w:rsidR="00867E76" w:rsidRPr="003519B4">
        <w:t>, at the conclusion of the hearing,</w:t>
      </w:r>
      <w:r w:rsidR="00887331" w:rsidRPr="003519B4">
        <w:t xml:space="preserve"> </w:t>
      </w:r>
      <w:r w:rsidR="00E719C2" w:rsidRPr="003519B4">
        <w:t>I granted the relief sought</w:t>
      </w:r>
      <w:r w:rsidR="00867E76" w:rsidRPr="003519B4">
        <w:t>.</w:t>
      </w:r>
    </w:p>
    <w:p w:rsidR="00887331" w:rsidRPr="003519B4" w:rsidRDefault="0033750D" w:rsidP="00887331">
      <w:pPr>
        <w:pStyle w:val="ParaNumbering"/>
      </w:pPr>
      <w:r w:rsidRPr="003519B4">
        <w:t>Before me now is the further Second A</w:t>
      </w:r>
      <w:r w:rsidR="00EE4FCA" w:rsidRPr="003519B4">
        <w:t>pplication for leave to issue subpoenas</w:t>
      </w:r>
      <w:r w:rsidR="00E719C2" w:rsidRPr="003519B4">
        <w:t xml:space="preserve"> to recipients that are not parties to the Arbitration and are persons located in Australia</w:t>
      </w:r>
      <w:r w:rsidR="00EE4FCA" w:rsidRPr="003519B4">
        <w:t xml:space="preserve">. </w:t>
      </w:r>
      <w:r w:rsidR="00887331" w:rsidRPr="003519B4">
        <w:t xml:space="preserve">Samsung brought the First and Second Applications under s 23 of the </w:t>
      </w:r>
      <w:r w:rsidR="00DF5E7B" w:rsidRPr="003519B4">
        <w:t>IAA</w:t>
      </w:r>
      <w:r w:rsidR="00890B7E" w:rsidRPr="003519B4">
        <w:t>, having on both occasions obtained the arbitral tribunal’s permission to do so</w:t>
      </w:r>
      <w:r w:rsidR="00887331" w:rsidRPr="003519B4">
        <w:t xml:space="preserve">. There are a number of issues that arise in making orders permitting the issue of subpoenas under s 23. The threshold question is whether this Court has jurisdiction to make such orders. </w:t>
      </w:r>
    </w:p>
    <w:p w:rsidR="008C71F5" w:rsidRPr="003519B4" w:rsidRDefault="00EE4FCA" w:rsidP="00867E76">
      <w:pPr>
        <w:pStyle w:val="ParaNumbering"/>
      </w:pPr>
      <w:r w:rsidRPr="003519B4">
        <w:t>Samsun</w:t>
      </w:r>
      <w:r w:rsidR="00887331" w:rsidRPr="003519B4">
        <w:t>g</w:t>
      </w:r>
      <w:r w:rsidRPr="003519B4">
        <w:t xml:space="preserve"> requested that the </w:t>
      </w:r>
      <w:r w:rsidR="00887331" w:rsidRPr="003519B4">
        <w:t>Second Application</w:t>
      </w:r>
      <w:r w:rsidR="0033750D" w:rsidRPr="003519B4">
        <w:t xml:space="preserve"> </w:t>
      </w:r>
      <w:r w:rsidRPr="003519B4">
        <w:t xml:space="preserve">be assessed on the papers. </w:t>
      </w:r>
      <w:r w:rsidR="0033750D" w:rsidRPr="003519B4">
        <w:t>Samsung</w:t>
      </w:r>
      <w:r w:rsidR="00867E76" w:rsidRPr="003519B4">
        <w:t xml:space="preserve"> had by then already filed detailed written submissions in support of its Second Application, which, as with the First Application, was not opposed. I acceded to this request but required Samsung to provide additional detailed written submissions on a</w:t>
      </w:r>
      <w:r w:rsidR="003519B4" w:rsidRPr="003519B4">
        <w:t>n issue not previously exposed, namely the construction of</w:t>
      </w:r>
      <w:r w:rsidR="00867E76" w:rsidRPr="003519B4">
        <w:t xml:space="preserve"> </w:t>
      </w:r>
      <w:r w:rsidR="00887331" w:rsidRPr="003519B4">
        <w:t xml:space="preserve">s 22A of the IAA bearing on the question of jurisdiction. </w:t>
      </w:r>
      <w:r w:rsidR="003519B4" w:rsidRPr="003519B4">
        <w:t>Samsung lodged supplementary submissions going to this issue</w:t>
      </w:r>
      <w:r w:rsidR="004D2DDC">
        <w:t xml:space="preserve"> on 13 September 2017</w:t>
      </w:r>
      <w:r w:rsidR="003519B4" w:rsidRPr="003519B4">
        <w:t>.</w:t>
      </w:r>
      <w:r w:rsidR="008C71F5" w:rsidRPr="003519B4">
        <w:t xml:space="preserve"> </w:t>
      </w:r>
    </w:p>
    <w:p w:rsidR="008C71F5" w:rsidRDefault="008C71F5" w:rsidP="008C71F5">
      <w:pPr>
        <w:pStyle w:val="Heading2"/>
      </w:pPr>
      <w:r>
        <w:t>Issues for consideration</w:t>
      </w:r>
    </w:p>
    <w:p w:rsidR="00295641" w:rsidRDefault="00D1526E" w:rsidP="008C71F5">
      <w:pPr>
        <w:pStyle w:val="ParaNumbering"/>
      </w:pPr>
      <w:r>
        <w:t>Section 23 of the IAA</w:t>
      </w:r>
      <w:r w:rsidR="009B3FAC">
        <w:t xml:space="preserve"> </w:t>
      </w:r>
      <w:r>
        <w:t>provides as follows:</w:t>
      </w:r>
    </w:p>
    <w:p w:rsidR="00D1526E" w:rsidRPr="00D1526E" w:rsidRDefault="00D1526E" w:rsidP="00D1526E">
      <w:pPr>
        <w:pStyle w:val="Quote1"/>
        <w:ind w:left="1440" w:hanging="703"/>
        <w:rPr>
          <w:lang w:eastAsia="en-AU"/>
        </w:rPr>
      </w:pPr>
      <w:r w:rsidRPr="00D1526E">
        <w:rPr>
          <w:lang w:eastAsia="en-AU"/>
        </w:rPr>
        <w:t>(1)</w:t>
      </w:r>
      <w:r w:rsidRPr="00D1526E">
        <w:rPr>
          <w:lang w:eastAsia="en-AU"/>
        </w:rPr>
        <w:tab/>
        <w:t>A party to arbitral proceedings commenced in reliance on an arbitration agreement may apply to a court to issue a subpoena under subsection (3).</w:t>
      </w:r>
    </w:p>
    <w:p w:rsidR="00D1526E" w:rsidRPr="00D1526E" w:rsidRDefault="00D1526E" w:rsidP="00D1526E">
      <w:pPr>
        <w:pStyle w:val="Quote1"/>
        <w:ind w:left="1440" w:hanging="703"/>
        <w:rPr>
          <w:lang w:eastAsia="en-AU"/>
        </w:rPr>
      </w:pPr>
      <w:bookmarkStart w:id="16" w:name="subsection"/>
      <w:r w:rsidRPr="00D1526E">
        <w:rPr>
          <w:lang w:eastAsia="en-AU"/>
        </w:rPr>
        <w:t>(2)</w:t>
      </w:r>
      <w:r w:rsidRPr="00D1526E">
        <w:rPr>
          <w:lang w:eastAsia="en-AU"/>
        </w:rPr>
        <w:tab/>
        <w:t xml:space="preserve">However, this may only be done with the permission of the arbitral tribunal </w:t>
      </w:r>
      <w:r w:rsidRPr="00D1526E">
        <w:rPr>
          <w:lang w:eastAsia="en-AU"/>
        </w:rPr>
        <w:lastRenderedPageBreak/>
        <w:t>conducting the arbitral proceedings.</w:t>
      </w:r>
    </w:p>
    <w:p w:rsidR="00D1526E" w:rsidRPr="00D1526E" w:rsidRDefault="00D1526E" w:rsidP="00D1526E">
      <w:pPr>
        <w:pStyle w:val="Quote1"/>
        <w:ind w:left="1440" w:hanging="703"/>
        <w:rPr>
          <w:lang w:eastAsia="en-AU"/>
        </w:rPr>
      </w:pPr>
      <w:r w:rsidRPr="00D1526E">
        <w:rPr>
          <w:lang w:eastAsia="en-AU"/>
        </w:rPr>
        <w:t>(3)</w:t>
      </w:r>
      <w:r w:rsidRPr="00D1526E">
        <w:rPr>
          <w:lang w:eastAsia="en-AU"/>
        </w:rPr>
        <w:tab/>
        <w:t>The court may, for the purposes of the arbitral proceedings, issue a subpoena requiring a person to do either or both of the following:</w:t>
      </w:r>
    </w:p>
    <w:p w:rsidR="00D1526E" w:rsidRPr="00D1526E" w:rsidRDefault="00D1526E" w:rsidP="00D1526E">
      <w:pPr>
        <w:pStyle w:val="Quote1"/>
        <w:ind w:firstLine="703"/>
        <w:rPr>
          <w:lang w:eastAsia="en-AU"/>
        </w:rPr>
      </w:pPr>
      <w:bookmarkStart w:id="17" w:name="paragraph"/>
      <w:r w:rsidRPr="00D1526E">
        <w:rPr>
          <w:lang w:eastAsia="en-AU"/>
        </w:rPr>
        <w:t>(a)</w:t>
      </w:r>
      <w:r w:rsidRPr="00D1526E">
        <w:rPr>
          <w:lang w:eastAsia="en-AU"/>
        </w:rPr>
        <w:tab/>
      </w:r>
      <w:proofErr w:type="gramStart"/>
      <w:r w:rsidRPr="00D1526E">
        <w:rPr>
          <w:lang w:eastAsia="en-AU"/>
        </w:rPr>
        <w:t>to</w:t>
      </w:r>
      <w:proofErr w:type="gramEnd"/>
      <w:r w:rsidRPr="00D1526E">
        <w:rPr>
          <w:lang w:eastAsia="en-AU"/>
        </w:rPr>
        <w:t xml:space="preserve"> attend for examination before the arbitral tribunal;</w:t>
      </w:r>
    </w:p>
    <w:bookmarkEnd w:id="17"/>
    <w:p w:rsidR="00D1526E" w:rsidRPr="00D1526E" w:rsidRDefault="00D1526E" w:rsidP="00D1526E">
      <w:pPr>
        <w:pStyle w:val="Quote1"/>
        <w:ind w:left="2160" w:hanging="720"/>
        <w:rPr>
          <w:lang w:eastAsia="en-AU"/>
        </w:rPr>
      </w:pPr>
      <w:r w:rsidRPr="00D1526E">
        <w:rPr>
          <w:lang w:eastAsia="en-AU"/>
        </w:rPr>
        <w:t>(b)</w:t>
      </w:r>
      <w:r w:rsidRPr="00D1526E">
        <w:rPr>
          <w:lang w:eastAsia="en-AU"/>
        </w:rPr>
        <w:tab/>
      </w:r>
      <w:proofErr w:type="gramStart"/>
      <w:r w:rsidRPr="00D1526E">
        <w:rPr>
          <w:lang w:eastAsia="en-AU"/>
        </w:rPr>
        <w:t>to</w:t>
      </w:r>
      <w:proofErr w:type="gramEnd"/>
      <w:r w:rsidRPr="00D1526E">
        <w:rPr>
          <w:lang w:eastAsia="en-AU"/>
        </w:rPr>
        <w:t xml:space="preserve"> produce to the arbitral tribunal the documents specified in the subpoena.</w:t>
      </w:r>
    </w:p>
    <w:p w:rsidR="00D1526E" w:rsidRPr="00D1526E" w:rsidRDefault="00D1526E" w:rsidP="00D1526E">
      <w:pPr>
        <w:pStyle w:val="Quote1"/>
        <w:ind w:left="1440" w:hanging="703"/>
        <w:rPr>
          <w:lang w:eastAsia="en-AU"/>
        </w:rPr>
      </w:pPr>
      <w:r w:rsidRPr="00D1526E">
        <w:rPr>
          <w:lang w:eastAsia="en-AU"/>
        </w:rPr>
        <w:t>(4)</w:t>
      </w:r>
      <w:r w:rsidRPr="00D1526E">
        <w:rPr>
          <w:lang w:eastAsia="en-AU"/>
        </w:rPr>
        <w:tab/>
        <w:t>A person must not be compelled under a subpoena issued under subsection (3) to answer any question or produce any document which that person could not be compelled to answer or produce in a proceeding before that court.</w:t>
      </w:r>
    </w:p>
    <w:p w:rsidR="00D1526E" w:rsidRPr="00D1526E" w:rsidRDefault="00D1526E" w:rsidP="00D1526E">
      <w:pPr>
        <w:pStyle w:val="Quote1"/>
        <w:ind w:left="1440" w:hanging="703"/>
        <w:rPr>
          <w:lang w:eastAsia="en-AU"/>
        </w:rPr>
      </w:pPr>
      <w:r w:rsidRPr="00D1526E">
        <w:rPr>
          <w:lang w:eastAsia="en-AU"/>
        </w:rPr>
        <w:t>(5)</w:t>
      </w:r>
      <w:r w:rsidRPr="00D1526E">
        <w:rPr>
          <w:lang w:eastAsia="en-AU"/>
        </w:rPr>
        <w:tab/>
        <w:t>The court must not issue a subpoena under subsection (3) to a person who is not a party to the arbitral proceedings unless the court is satisfied that it is reasonable in all the circumstances to issue it to the person.</w:t>
      </w:r>
    </w:p>
    <w:bookmarkEnd w:id="16"/>
    <w:p w:rsidR="00D1526E" w:rsidRDefault="00D1526E" w:rsidP="00D1526E">
      <w:pPr>
        <w:pStyle w:val="Quote1"/>
        <w:rPr>
          <w:lang w:eastAsia="en-AU"/>
        </w:rPr>
      </w:pPr>
      <w:r w:rsidRPr="00D1526E">
        <w:rPr>
          <w:lang w:eastAsia="en-AU"/>
        </w:rPr>
        <w:t>(6)</w:t>
      </w:r>
      <w:r w:rsidRPr="00D1526E">
        <w:rPr>
          <w:lang w:eastAsia="en-AU"/>
        </w:rPr>
        <w:tab/>
        <w:t>Nothing in this section limits Article 27 of the Model Law.</w:t>
      </w:r>
    </w:p>
    <w:p w:rsidR="00E719C2" w:rsidRDefault="00545AD6" w:rsidP="008C71F5">
      <w:pPr>
        <w:pStyle w:val="ParaNumbering"/>
      </w:pPr>
      <w:r>
        <w:t xml:space="preserve">The </w:t>
      </w:r>
      <w:r w:rsidR="00D1526E">
        <w:t>issues to be addressed before s 23 can apply are:</w:t>
      </w:r>
    </w:p>
    <w:p w:rsidR="00890B7E" w:rsidRDefault="007701C6" w:rsidP="00890B7E">
      <w:pPr>
        <w:pStyle w:val="ListNo1"/>
      </w:pPr>
      <w:r>
        <w:t>whether this</w:t>
      </w:r>
      <w:r w:rsidR="00890B7E">
        <w:t xml:space="preserve"> Co</w:t>
      </w:r>
      <w:r w:rsidR="00295641">
        <w:t xml:space="preserve">urt has jurisdiction </w:t>
      </w:r>
      <w:r w:rsidR="003519B4">
        <w:t xml:space="preserve">to </w:t>
      </w:r>
      <w:r w:rsidR="00890B7E">
        <w:t>issue the subpoenas;</w:t>
      </w:r>
      <w:r w:rsidR="00D1526E">
        <w:t xml:space="preserve"> and</w:t>
      </w:r>
    </w:p>
    <w:p w:rsidR="00545AD6" w:rsidRDefault="007701C6" w:rsidP="00545AD6">
      <w:pPr>
        <w:pStyle w:val="ListNo1"/>
      </w:pPr>
      <w:proofErr w:type="gramStart"/>
      <w:r>
        <w:t>whether</w:t>
      </w:r>
      <w:proofErr w:type="gramEnd"/>
      <w:r>
        <w:t xml:space="preserve"> this</w:t>
      </w:r>
      <w:r w:rsidR="00890B7E">
        <w:t xml:space="preserve"> Court is satisfied (pursuant to s 23(5) of the IAA) that issuing the subp</w:t>
      </w:r>
      <w:r w:rsidR="00D1526E">
        <w:t>oenas sought is reasonable.</w:t>
      </w:r>
    </w:p>
    <w:p w:rsidR="004D2DDC" w:rsidRDefault="00295641" w:rsidP="00295641">
      <w:pPr>
        <w:pStyle w:val="ParaNumbering"/>
      </w:pPr>
      <w:r>
        <w:t xml:space="preserve">Samsung, relying on the orders made in respect of the First Application, submitted that the Court needs to determine, in relation to the Second Application, </w:t>
      </w:r>
      <w:r w:rsidR="00F039A8">
        <w:t xml:space="preserve">only </w:t>
      </w:r>
      <w:r>
        <w:t xml:space="preserve">issue (2) of the above – namely, whether </w:t>
      </w:r>
      <w:r w:rsidRPr="00887331">
        <w:t>it is reasonable in all the circumstances to issue the further subpoenas sought in Samsung's present application.</w:t>
      </w:r>
    </w:p>
    <w:p w:rsidR="00295641" w:rsidRDefault="004D2DDC" w:rsidP="004D2DDC">
      <w:pPr>
        <w:pStyle w:val="Heading2"/>
      </w:pPr>
      <w:r>
        <w:t>The first issue: jurisdiction</w:t>
      </w:r>
      <w:r w:rsidR="00295641" w:rsidRPr="00887331">
        <w:t xml:space="preserve">  </w:t>
      </w:r>
    </w:p>
    <w:p w:rsidR="00545AD6" w:rsidRDefault="003519B4" w:rsidP="00295641">
      <w:pPr>
        <w:pStyle w:val="ParaNumbering"/>
      </w:pPr>
      <w:r>
        <w:t xml:space="preserve">As to </w:t>
      </w:r>
      <w:r w:rsidR="004D2DDC">
        <w:t>the jurisdiction issue</w:t>
      </w:r>
      <w:r>
        <w:t xml:space="preserve">, the </w:t>
      </w:r>
      <w:r w:rsidR="004D2DDC">
        <w:t xml:space="preserve">relevant </w:t>
      </w:r>
      <w:r>
        <w:t>questions are whether this Court is a</w:t>
      </w:r>
      <w:r w:rsidR="0094691A">
        <w:t xml:space="preserve"> </w:t>
      </w:r>
      <w:r w:rsidR="00545AD6">
        <w:t>‘court’ for the purposes of s 23,</w:t>
      </w:r>
      <w:r>
        <w:t xml:space="preserve"> and, informing this, whether the arbitral proceedings referred to in that provision include foreign arbitral proceedings or whether they are confined to those commenced in a State or Territory of Australia. It is to these q</w:t>
      </w:r>
      <w:r w:rsidR="004D2DDC">
        <w:t>uestions that s 22A is relevant, which</w:t>
      </w:r>
      <w:r>
        <w:t xml:space="preserve"> provides:</w:t>
      </w:r>
      <w:r w:rsidR="00545AD6">
        <w:t xml:space="preserve"> </w:t>
      </w:r>
    </w:p>
    <w:p w:rsidR="00545AD6" w:rsidRPr="004D2DDC" w:rsidRDefault="00545AD6" w:rsidP="00030FCE">
      <w:pPr>
        <w:pStyle w:val="Quote1"/>
        <w:rPr>
          <w:lang w:eastAsia="en-AU"/>
        </w:rPr>
      </w:pPr>
      <w:r w:rsidRPr="004D2DDC">
        <w:rPr>
          <w:shd w:val="clear" w:color="auto" w:fill="FFFFFF"/>
          <w:lang w:eastAsia="en-AU"/>
        </w:rPr>
        <w:t>Interpretation</w:t>
      </w:r>
    </w:p>
    <w:p w:rsidR="00545AD6" w:rsidRPr="004D2DDC" w:rsidRDefault="00545AD6" w:rsidP="00030FCE">
      <w:pPr>
        <w:pStyle w:val="Quote1"/>
        <w:rPr>
          <w:lang w:eastAsia="en-AU"/>
        </w:rPr>
      </w:pPr>
      <w:r w:rsidRPr="004D2DDC">
        <w:rPr>
          <w:lang w:eastAsia="en-AU"/>
        </w:rPr>
        <w:t>In this Division:</w:t>
      </w:r>
    </w:p>
    <w:p w:rsidR="00545AD6" w:rsidRPr="004D2DDC" w:rsidRDefault="00545AD6" w:rsidP="00030FCE">
      <w:pPr>
        <w:pStyle w:val="Quote1"/>
        <w:rPr>
          <w:lang w:eastAsia="en-AU"/>
        </w:rPr>
      </w:pPr>
      <w:bookmarkStart w:id="18" w:name="definition"/>
      <w:bookmarkEnd w:id="18"/>
      <w:r w:rsidRPr="004D2DDC">
        <w:rPr>
          <w:lang w:eastAsia="en-AU"/>
        </w:rPr>
        <w:t>"</w:t>
      </w:r>
      <w:proofErr w:type="gramStart"/>
      <w:r w:rsidRPr="004D2DDC">
        <w:rPr>
          <w:i/>
          <w:lang w:eastAsia="en-AU"/>
        </w:rPr>
        <w:t>court</w:t>
      </w:r>
      <w:proofErr w:type="gramEnd"/>
      <w:r w:rsidRPr="004D2DDC">
        <w:rPr>
          <w:lang w:eastAsia="en-AU"/>
        </w:rPr>
        <w:t>" means:</w:t>
      </w:r>
    </w:p>
    <w:p w:rsidR="00545AD6" w:rsidRPr="00D1526E" w:rsidRDefault="00545AD6" w:rsidP="00030FCE">
      <w:pPr>
        <w:pStyle w:val="Quote2"/>
        <w:ind w:left="2160" w:hanging="720"/>
        <w:rPr>
          <w:lang w:eastAsia="en-AU"/>
        </w:rPr>
      </w:pPr>
      <w:r>
        <w:rPr>
          <w:lang w:eastAsia="en-AU"/>
        </w:rPr>
        <w:t>(a)</w:t>
      </w:r>
      <w:r>
        <w:rPr>
          <w:lang w:eastAsia="en-AU"/>
        </w:rPr>
        <w:tab/>
      </w:r>
      <w:proofErr w:type="gramStart"/>
      <w:r w:rsidRPr="00D1526E">
        <w:rPr>
          <w:lang w:eastAsia="en-AU"/>
        </w:rPr>
        <w:t>in</w:t>
      </w:r>
      <w:proofErr w:type="gramEnd"/>
      <w:r w:rsidRPr="00D1526E">
        <w:rPr>
          <w:lang w:eastAsia="en-AU"/>
        </w:rPr>
        <w:t xml:space="preserve"> relation to arbitral proceedings that are, or are to be, conducted in a State--the Supreme Court of that State; and</w:t>
      </w:r>
    </w:p>
    <w:p w:rsidR="00545AD6" w:rsidRPr="00D1526E" w:rsidRDefault="00545AD6" w:rsidP="00030FCE">
      <w:pPr>
        <w:pStyle w:val="Quote2"/>
        <w:ind w:left="2160" w:hanging="720"/>
        <w:rPr>
          <w:lang w:eastAsia="en-AU"/>
        </w:rPr>
      </w:pPr>
      <w:r>
        <w:rPr>
          <w:lang w:eastAsia="en-AU"/>
        </w:rPr>
        <w:t>(b)</w:t>
      </w:r>
      <w:r>
        <w:rPr>
          <w:lang w:eastAsia="en-AU"/>
        </w:rPr>
        <w:tab/>
      </w:r>
      <w:proofErr w:type="gramStart"/>
      <w:r w:rsidRPr="00D1526E">
        <w:rPr>
          <w:lang w:eastAsia="en-AU"/>
        </w:rPr>
        <w:t>in</w:t>
      </w:r>
      <w:proofErr w:type="gramEnd"/>
      <w:r w:rsidRPr="00D1526E">
        <w:rPr>
          <w:lang w:eastAsia="en-AU"/>
        </w:rPr>
        <w:t xml:space="preserve"> relation to arbitral proceedings that are, or are to be, conducted in </w:t>
      </w:r>
      <w:r w:rsidRPr="00D1526E">
        <w:rPr>
          <w:lang w:eastAsia="en-AU"/>
        </w:rPr>
        <w:lastRenderedPageBreak/>
        <w:t>a Territory:</w:t>
      </w:r>
    </w:p>
    <w:p w:rsidR="00545AD6" w:rsidRPr="00D1526E" w:rsidRDefault="00545AD6" w:rsidP="00030FCE">
      <w:pPr>
        <w:pStyle w:val="Quote3"/>
        <w:rPr>
          <w:lang w:eastAsia="en-AU"/>
        </w:rPr>
      </w:pPr>
      <w:bookmarkStart w:id="19" w:name="paragraphsub"/>
      <w:r>
        <w:rPr>
          <w:lang w:eastAsia="en-AU"/>
        </w:rPr>
        <w:t>(</w:t>
      </w:r>
      <w:proofErr w:type="spellStart"/>
      <w:r>
        <w:rPr>
          <w:lang w:eastAsia="en-AU"/>
        </w:rPr>
        <w:t>i</w:t>
      </w:r>
      <w:proofErr w:type="spellEnd"/>
      <w:r>
        <w:rPr>
          <w:lang w:eastAsia="en-AU"/>
        </w:rPr>
        <w:t>)</w:t>
      </w:r>
      <w:r>
        <w:rPr>
          <w:lang w:eastAsia="en-AU"/>
        </w:rPr>
        <w:tab/>
      </w:r>
      <w:proofErr w:type="gramStart"/>
      <w:r w:rsidRPr="00D1526E">
        <w:rPr>
          <w:lang w:eastAsia="en-AU"/>
        </w:rPr>
        <w:t>the</w:t>
      </w:r>
      <w:proofErr w:type="gramEnd"/>
      <w:r w:rsidRPr="00D1526E">
        <w:rPr>
          <w:lang w:eastAsia="en-AU"/>
        </w:rPr>
        <w:t xml:space="preserve"> Supreme Court of the Territory; or</w:t>
      </w:r>
    </w:p>
    <w:bookmarkEnd w:id="19"/>
    <w:p w:rsidR="00545AD6" w:rsidRPr="00D1526E" w:rsidRDefault="00545AD6" w:rsidP="00030FCE">
      <w:pPr>
        <w:pStyle w:val="Quote3"/>
        <w:ind w:left="2880" w:hanging="720"/>
        <w:rPr>
          <w:lang w:eastAsia="en-AU"/>
        </w:rPr>
      </w:pPr>
      <w:r>
        <w:rPr>
          <w:lang w:eastAsia="en-AU"/>
        </w:rPr>
        <w:t>(ii)</w:t>
      </w:r>
      <w:r>
        <w:rPr>
          <w:lang w:eastAsia="en-AU"/>
        </w:rPr>
        <w:tab/>
      </w:r>
      <w:r w:rsidRPr="00D1526E">
        <w:rPr>
          <w:lang w:eastAsia="en-AU"/>
        </w:rPr>
        <w:t>if there is no Supreme Court established in that Territory--the Supreme Court of the State or Territory that has jurisdiction in relation to that Territory; and</w:t>
      </w:r>
    </w:p>
    <w:p w:rsidR="00545AD6" w:rsidRDefault="00545AD6" w:rsidP="00030FCE">
      <w:pPr>
        <w:pStyle w:val="Quote2"/>
        <w:rPr>
          <w:lang w:eastAsia="en-AU"/>
        </w:rPr>
      </w:pPr>
      <w:r>
        <w:rPr>
          <w:lang w:eastAsia="en-AU"/>
        </w:rPr>
        <w:t>(c)</w:t>
      </w:r>
      <w:r>
        <w:rPr>
          <w:lang w:eastAsia="en-AU"/>
        </w:rPr>
        <w:tab/>
      </w:r>
      <w:proofErr w:type="gramStart"/>
      <w:r w:rsidRPr="00D1526E">
        <w:rPr>
          <w:lang w:eastAsia="en-AU"/>
        </w:rPr>
        <w:t>in</w:t>
      </w:r>
      <w:proofErr w:type="gramEnd"/>
      <w:r w:rsidRPr="00D1526E">
        <w:rPr>
          <w:lang w:eastAsia="en-AU"/>
        </w:rPr>
        <w:t xml:space="preserve"> any case--the Federal Court of Australia.</w:t>
      </w:r>
    </w:p>
    <w:p w:rsidR="003519B4" w:rsidRDefault="003519B4" w:rsidP="00295641">
      <w:pPr>
        <w:pStyle w:val="ParaNumbering"/>
      </w:pPr>
      <w:r>
        <w:t>The</w:t>
      </w:r>
      <w:r w:rsidR="00545AD6" w:rsidRPr="00EE187A">
        <w:t xml:space="preserve"> proper construction of s 22A</w:t>
      </w:r>
      <w:r w:rsidR="00545AD6">
        <w:t>, which</w:t>
      </w:r>
      <w:r w:rsidR="00545AD6" w:rsidRPr="00EE187A">
        <w:t xml:space="preserve"> bear</w:t>
      </w:r>
      <w:r w:rsidR="00545AD6">
        <w:t>s</w:t>
      </w:r>
      <w:r w:rsidR="00545AD6" w:rsidRPr="00EE187A">
        <w:t xml:space="preserve"> on the issue of jurisdiction was, as I mentioned, not</w:t>
      </w:r>
      <w:r w:rsidR="00545AD6">
        <w:t xml:space="preserve"> </w:t>
      </w:r>
      <w:r w:rsidR="00545AD6" w:rsidRPr="00EE187A">
        <w:t xml:space="preserve">the subject of submissions in relation to the First Application. </w:t>
      </w:r>
      <w:r w:rsidR="00F039A8" w:rsidRPr="00EE187A">
        <w:t>I have now considered this question</w:t>
      </w:r>
      <w:r w:rsidR="00545AD6">
        <w:t xml:space="preserve">, </w:t>
      </w:r>
      <w:r>
        <w:t>taking into account Samsung’s supplementary submissions, and have resolved it adversely to Samsung. In my opinion, s 23 concerns domestic arbitral proceedings commenced in a State or Territory of Australia, and does not include foreign-based arbitral proceedings</w:t>
      </w:r>
      <w:proofErr w:type="gramStart"/>
      <w:r>
        <w:t xml:space="preserve">. </w:t>
      </w:r>
      <w:proofErr w:type="gramEnd"/>
      <w:r>
        <w:t>Accordingly, this Court has no jurisdiction to grant leave to issue subpoenas relating to an arbitration commenced in Singapore.</w:t>
      </w:r>
    </w:p>
    <w:p w:rsidR="00C219EC" w:rsidRDefault="00EE187A" w:rsidP="004D2DDC">
      <w:pPr>
        <w:pStyle w:val="Heading3"/>
      </w:pPr>
      <w:r>
        <w:t>Samsung’s submissions</w:t>
      </w:r>
      <w:r w:rsidR="009579A3">
        <w:t xml:space="preserve"> on jurisdiction</w:t>
      </w:r>
    </w:p>
    <w:p w:rsidR="00D1526E" w:rsidRPr="003519B4" w:rsidRDefault="00CF6611" w:rsidP="00295641">
      <w:pPr>
        <w:pStyle w:val="ParaNumbering"/>
      </w:pPr>
      <w:r>
        <w:t>Samsung, in its submissions</w:t>
      </w:r>
      <w:r w:rsidR="004C4E24">
        <w:t xml:space="preserve"> for the First Application</w:t>
      </w:r>
      <w:r>
        <w:t xml:space="preserve">, identified the issue of jurisdiction in broad terms, </w:t>
      </w:r>
      <w:r w:rsidRPr="003519B4">
        <w:t xml:space="preserve">but </w:t>
      </w:r>
      <w:r w:rsidR="00F039A8" w:rsidRPr="003519B4">
        <w:t xml:space="preserve">confined </w:t>
      </w:r>
      <w:r w:rsidR="004D2DDC">
        <w:t xml:space="preserve">its answer </w:t>
      </w:r>
      <w:r w:rsidR="00F039A8" w:rsidRPr="003519B4">
        <w:t>to a consideration of s 23,</w:t>
      </w:r>
      <w:r w:rsidRPr="003519B4">
        <w:t xml:space="preserve"> as follows:</w:t>
      </w:r>
    </w:p>
    <w:p w:rsidR="00CF6611" w:rsidRPr="003519B4" w:rsidRDefault="00CF6611" w:rsidP="00030FCE">
      <w:pPr>
        <w:pStyle w:val="Quote1"/>
      </w:pPr>
      <w:r w:rsidRPr="003519B4">
        <w:t xml:space="preserve">The text, history, context and objects and purposes of the IAA strongly support an interpretation that s 23 applies to an arbitration seated in Singapore where there is a sufficient territorial nexus between the subpoenas sought and Australia. </w:t>
      </w:r>
    </w:p>
    <w:p w:rsidR="0094691A" w:rsidRPr="00CB7999" w:rsidRDefault="00344A32" w:rsidP="00CB7999">
      <w:pPr>
        <w:pStyle w:val="ParaNumbering"/>
        <w:tabs>
          <w:tab w:val="clear" w:pos="720"/>
        </w:tabs>
      </w:pPr>
      <w:r w:rsidRPr="003519B4">
        <w:t>Samsung</w:t>
      </w:r>
      <w:r w:rsidR="00C219EC" w:rsidRPr="003519B4">
        <w:t xml:space="preserve"> submitted </w:t>
      </w:r>
      <w:r w:rsidRPr="003519B4">
        <w:t xml:space="preserve">in relation to the First Application </w:t>
      </w:r>
      <w:r w:rsidR="00C219EC" w:rsidRPr="003519B4">
        <w:t>that this Court does have the jurisdiction and power to issue the subpoen</w:t>
      </w:r>
      <w:r w:rsidR="00CB7999" w:rsidRPr="003519B4">
        <w:t xml:space="preserve">as sought under s 23 of the IAA </w:t>
      </w:r>
      <w:r w:rsidR="009B3FAC" w:rsidRPr="003519B4">
        <w:t>under</w:t>
      </w:r>
      <w:r w:rsidR="00CB7999" w:rsidRPr="003519B4">
        <w:t xml:space="preserve"> a wider interpretation of that section</w:t>
      </w:r>
      <w:r w:rsidR="009B3FAC" w:rsidRPr="003519B4">
        <w:t>, which Samsung submitted was the preferable interpretation</w:t>
      </w:r>
      <w:r w:rsidR="00CB7999" w:rsidRPr="003519B4">
        <w:t xml:space="preserve">. Samsung </w:t>
      </w:r>
      <w:r w:rsidR="009B3FAC" w:rsidRPr="003519B4">
        <w:t>put</w:t>
      </w:r>
      <w:r w:rsidR="00CB7999" w:rsidRPr="003519B4">
        <w:t xml:space="preserve"> that</w:t>
      </w:r>
      <w:r w:rsidR="009B3FAC" w:rsidRPr="003519B4">
        <w:t>,</w:t>
      </w:r>
      <w:r w:rsidR="00CB7999" w:rsidRPr="003519B4">
        <w:t xml:space="preserve"> for the resolution of the issue of jurisdiction, it must be appreciated that a party to arbitral proceedings commenced in reliance on an ‘arbitration agreement’ may apply, pursuant to s 23(1) of the IAA, to ‘a court’ to issue a subpoena under s 23(3). Samsung submitted that an ‘arbitration agreement’ is broadly defined as a written agreement to submit to arbitration all or any differences which have arisen between parties in respect of </w:t>
      </w:r>
      <w:r w:rsidR="00CB7999" w:rsidRPr="00CB7999">
        <w:t xml:space="preserve">a defined legal relationship: ss 15(2), 16(2) and </w:t>
      </w:r>
      <w:proofErr w:type="spellStart"/>
      <w:r w:rsidR="009B3FAC">
        <w:t>sch</w:t>
      </w:r>
      <w:proofErr w:type="spellEnd"/>
      <w:r w:rsidR="00CB7999" w:rsidRPr="00CB7999">
        <w:t xml:space="preserve"> 2, </w:t>
      </w:r>
      <w:r w:rsidR="009B3FAC">
        <w:t>art 7 (o</w:t>
      </w:r>
      <w:r w:rsidR="00CB7999" w:rsidRPr="00CB7999">
        <w:t xml:space="preserve">ption 1) of the IAA.  It further </w:t>
      </w:r>
      <w:r w:rsidR="00CB7999">
        <w:t>submitted</w:t>
      </w:r>
      <w:r w:rsidR="00CB7999" w:rsidRPr="00CB7999">
        <w:t xml:space="preserve"> that there is no territorial restraint on the definition of 'arbitration agreement' in the Act.</w:t>
      </w:r>
      <w:r w:rsidR="00CB7999">
        <w:t xml:space="preserve"> </w:t>
      </w:r>
    </w:p>
    <w:p w:rsidR="00C219EC" w:rsidRPr="003519B4" w:rsidRDefault="00867E76" w:rsidP="00C219EC">
      <w:pPr>
        <w:pStyle w:val="ParaNumbering"/>
      </w:pPr>
      <w:r w:rsidRPr="003519B4">
        <w:t xml:space="preserve">Whilst Samsung, in relation to the First Application, mentioned s 22A in a footnote, it made no submissions as to the proper construction of this section. </w:t>
      </w:r>
      <w:r w:rsidR="00CB7999" w:rsidRPr="003519B4">
        <w:t xml:space="preserve">Specifically, </w:t>
      </w:r>
      <w:r w:rsidR="004D2DDC">
        <w:t xml:space="preserve">in that footnote, </w:t>
      </w:r>
      <w:r w:rsidRPr="003519B4">
        <w:t xml:space="preserve">Samsung </w:t>
      </w:r>
      <w:r w:rsidR="00CB7999" w:rsidRPr="003519B4">
        <w:t>stated</w:t>
      </w:r>
      <w:r w:rsidR="00C219EC" w:rsidRPr="003519B4">
        <w:t xml:space="preserve"> that:</w:t>
      </w:r>
    </w:p>
    <w:p w:rsidR="00C219EC" w:rsidRPr="003519B4" w:rsidRDefault="00C219EC" w:rsidP="00C219EC">
      <w:pPr>
        <w:pStyle w:val="Quote1"/>
      </w:pPr>
      <w:r w:rsidRPr="003519B4">
        <w:t xml:space="preserve">By reason of the definition of ‘court’ in s 22A of the </w:t>
      </w:r>
      <w:r w:rsidRPr="003519B4">
        <w:rPr>
          <w:i/>
        </w:rPr>
        <w:t>International Arbitration Act</w:t>
      </w:r>
      <w:r w:rsidRPr="003519B4">
        <w:t xml:space="preserve">, </w:t>
      </w:r>
      <w:r w:rsidRPr="003519B4">
        <w:lastRenderedPageBreak/>
        <w:t xml:space="preserve">this Honourable Court is the </w:t>
      </w:r>
      <w:r w:rsidRPr="003519B4">
        <w:rPr>
          <w:i/>
        </w:rPr>
        <w:t>appropriate</w:t>
      </w:r>
      <w:r w:rsidRPr="003519B4">
        <w:t xml:space="preserve"> court for an application under s 23 for subpoenas to be issued in support of a foreign seated arbitration. </w:t>
      </w:r>
    </w:p>
    <w:p w:rsidR="00867E76" w:rsidRPr="003519B4" w:rsidRDefault="004D2DDC" w:rsidP="007A04E1">
      <w:pPr>
        <w:pStyle w:val="ParaNumbering"/>
      </w:pPr>
      <w:r>
        <w:t>This</w:t>
      </w:r>
      <w:r w:rsidR="00867E76" w:rsidRPr="003519B4">
        <w:t xml:space="preserve"> was no more than an assertion, and did not condescend to any analysis as to the proper construction of s 22A.</w:t>
      </w:r>
    </w:p>
    <w:p w:rsidR="00827618" w:rsidRDefault="0094691A" w:rsidP="00827618">
      <w:pPr>
        <w:pStyle w:val="ParaNumbering"/>
      </w:pPr>
      <w:r>
        <w:t>When</w:t>
      </w:r>
      <w:r w:rsidR="007701C6">
        <w:t xml:space="preserve"> the same issue arose in relation to the Second Application,</w:t>
      </w:r>
      <w:r w:rsidR="003519B4">
        <w:t xml:space="preserve"> as I mentioned,</w:t>
      </w:r>
      <w:r w:rsidR="007701C6">
        <w:t xml:space="preserve"> I requested that Samsung provide further submissions to the Court on the operation of s 22A.</w:t>
      </w:r>
      <w:r w:rsidR="00545AD6">
        <w:t xml:space="preserve"> </w:t>
      </w:r>
    </w:p>
    <w:p w:rsidR="00827618" w:rsidRDefault="004A5DCF" w:rsidP="00827618">
      <w:pPr>
        <w:pStyle w:val="ParaNumbering"/>
      </w:pPr>
      <w:r>
        <w:t>Samsung</w:t>
      </w:r>
      <w:r w:rsidR="003519B4">
        <w:t xml:space="preserve">’s </w:t>
      </w:r>
      <w:r w:rsidR="00827618">
        <w:t xml:space="preserve">further submissions </w:t>
      </w:r>
      <w:r w:rsidR="003519B4">
        <w:t>commenced with the observation</w:t>
      </w:r>
      <w:r>
        <w:t xml:space="preserve"> that </w:t>
      </w:r>
      <w:proofErr w:type="spellStart"/>
      <w:r>
        <w:t>pt</w:t>
      </w:r>
      <w:proofErr w:type="spellEnd"/>
      <w:r>
        <w:t xml:space="preserve"> III, div 3 of the IAA applied to ‘any arbitration to which the Model Law applies’: s 22(1). </w:t>
      </w:r>
      <w:r w:rsidR="003519B4">
        <w:t>It</w:t>
      </w:r>
      <w:r>
        <w:t xml:space="preserve"> submitted </w:t>
      </w:r>
      <w:r w:rsidR="00827618">
        <w:t xml:space="preserve">that the Model Law </w:t>
      </w:r>
      <w:r w:rsidR="00827618" w:rsidRPr="004C4E24">
        <w:t xml:space="preserve">applies to the arbitration between </w:t>
      </w:r>
      <w:r w:rsidR="003519B4">
        <w:t xml:space="preserve">Samsung and </w:t>
      </w:r>
      <w:proofErr w:type="spellStart"/>
      <w:r w:rsidR="003519B4">
        <w:t>Duro</w:t>
      </w:r>
      <w:proofErr w:type="spellEnd"/>
      <w:r w:rsidR="003519B4">
        <w:t xml:space="preserve">; </w:t>
      </w:r>
      <w:r w:rsidR="00827618">
        <w:t xml:space="preserve">that the </w:t>
      </w:r>
      <w:r w:rsidR="00827618" w:rsidRPr="004C4E24">
        <w:t>arbitration is seated</w:t>
      </w:r>
      <w:r w:rsidR="00827618">
        <w:t xml:space="preserve"> in Singapore and subject to Singapore’s</w:t>
      </w:r>
      <w:r w:rsidR="00827618" w:rsidRPr="004C4E24">
        <w:t xml:space="preserve"> </w:t>
      </w:r>
      <w:r w:rsidR="00827618" w:rsidRPr="001A1B06">
        <w:t xml:space="preserve">International </w:t>
      </w:r>
      <w:r w:rsidR="00827618">
        <w:t>Arbitration Act (Cap 143A, 2002 Rev Ed) (SIAA)</w:t>
      </w:r>
      <w:r w:rsidR="00827618" w:rsidRPr="004C4E24">
        <w:t xml:space="preserve"> which, by s 3, gives the Model Law the force of law in Singapore: </w:t>
      </w:r>
      <w:r w:rsidR="00827618" w:rsidRPr="00EE187A">
        <w:rPr>
          <w:i/>
        </w:rPr>
        <w:t>Rinehart v Rinehart (No 3)</w:t>
      </w:r>
      <w:r w:rsidR="00827618">
        <w:t xml:space="preserve"> [2016] FCA 539 at</w:t>
      </w:r>
      <w:r w:rsidR="00827618" w:rsidRPr="004C4E24">
        <w:t xml:space="preserve"> [83].</w:t>
      </w:r>
      <w:r w:rsidR="00827618">
        <w:t xml:space="preserve"> Samsung </w:t>
      </w:r>
      <w:r w:rsidR="003519B4">
        <w:t>then</w:t>
      </w:r>
      <w:r w:rsidR="00827618">
        <w:t xml:space="preserve"> submitted that the </w:t>
      </w:r>
      <w:r w:rsidR="00827618" w:rsidRPr="004C4E24">
        <w:t xml:space="preserve">SIAA vests the Singaporean </w:t>
      </w:r>
      <w:r w:rsidR="00827618">
        <w:t>courts with the power to summon</w:t>
      </w:r>
      <w:r w:rsidR="00827618" w:rsidRPr="004C4E24">
        <w:t xml:space="preserve"> witnesses by subpoena but only where the witness is located wit</w:t>
      </w:r>
      <w:r w:rsidR="00827618">
        <w:t xml:space="preserve">hin Singapore (s 13(2)) and that </w:t>
      </w:r>
      <w:r w:rsidR="003519B4">
        <w:t>accordingly</w:t>
      </w:r>
      <w:r w:rsidR="00827618">
        <w:t xml:space="preserve"> t</w:t>
      </w:r>
      <w:r w:rsidR="00827618" w:rsidRPr="004C4E24">
        <w:t xml:space="preserve">he </w:t>
      </w:r>
      <w:r w:rsidR="00827618" w:rsidRPr="003519B4">
        <w:t>IAA provides the only mechanism for issuing subpoenas in support of a Singapore seated arbitration to non-parties to the arbitration who are based within Australia.</w:t>
      </w:r>
      <w:r w:rsidR="00EE70DB" w:rsidRPr="003519B4">
        <w:t xml:space="preserve"> Samsung identified </w:t>
      </w:r>
      <w:r w:rsidR="003519B4">
        <w:t xml:space="preserve">only </w:t>
      </w:r>
      <w:r w:rsidR="00EE70DB" w:rsidRPr="003519B4">
        <w:t xml:space="preserve">the requirement </w:t>
      </w:r>
      <w:r w:rsidR="00EE70DB">
        <w:t xml:space="preserve">that any arbitration be one to which the Model Law applied before s 23 can apply to it (per s 22(1)) as a limitation on </w:t>
      </w:r>
      <w:r w:rsidR="004D2DDC">
        <w:t>the</w:t>
      </w:r>
      <w:r w:rsidR="00EE70DB">
        <w:t xml:space="preserve"> purported jurisdiction to </w:t>
      </w:r>
      <w:r w:rsidR="005178CE">
        <w:t>issue</w:t>
      </w:r>
      <w:r w:rsidR="00EE70DB">
        <w:t xml:space="preserve"> subpoenas in support of foreign-seated arbitrations. </w:t>
      </w:r>
    </w:p>
    <w:p w:rsidR="00EE70DB" w:rsidRDefault="00EE70DB" w:rsidP="00827618">
      <w:pPr>
        <w:pStyle w:val="ParaNumbering"/>
      </w:pPr>
      <w:r>
        <w:t xml:space="preserve">Moreover, Samsung </w:t>
      </w:r>
      <w:r w:rsidR="004D2DDC">
        <w:t>submitted</w:t>
      </w:r>
      <w:r>
        <w:t xml:space="preserve"> that even if there is a territorial limitation on this Court’s power to issue subpoenas under s 23, the territorial nexus between Australia and the arbitration in question is real and substantial, and would overcome issues of territorial limits on jurisdiction. </w:t>
      </w:r>
    </w:p>
    <w:p w:rsidR="00656F9B" w:rsidRDefault="00656F9B" w:rsidP="004D2DDC">
      <w:pPr>
        <w:pStyle w:val="Heading3"/>
      </w:pPr>
      <w:r>
        <w:t>Statutory interpretation</w:t>
      </w:r>
    </w:p>
    <w:p w:rsidR="00C72D28" w:rsidRDefault="00C72D28" w:rsidP="00C72D28">
      <w:pPr>
        <w:pStyle w:val="ParaNumbering"/>
      </w:pPr>
      <w:r>
        <w:t xml:space="preserve">The modern task of statutory interpretation focuses on text, context and purpose: </w:t>
      </w:r>
      <w:r>
        <w:rPr>
          <w:i/>
        </w:rPr>
        <w:t xml:space="preserve">Western Australian Planning Commission v Leith </w:t>
      </w:r>
      <w:r>
        <w:t xml:space="preserve">[2017] HCA 7 at [128]; </w:t>
      </w:r>
      <w:proofErr w:type="spellStart"/>
      <w:r>
        <w:rPr>
          <w:i/>
        </w:rPr>
        <w:t>AssetInsure</w:t>
      </w:r>
      <w:proofErr w:type="spellEnd"/>
      <w:r>
        <w:rPr>
          <w:i/>
        </w:rPr>
        <w:t xml:space="preserve"> Pty Ltd v New Cap Reinsurance Corp Ltd (in liq)</w:t>
      </w:r>
      <w:r>
        <w:t xml:space="preserve"> (2006) 225 CLR 331 at [86]–[87]; </w:t>
      </w:r>
      <w:r>
        <w:rPr>
          <w:i/>
        </w:rPr>
        <w:t xml:space="preserve">Certain Lloyd’s Underwriters </w:t>
      </w:r>
      <w:r w:rsidRPr="00F24205">
        <w:rPr>
          <w:i/>
        </w:rPr>
        <w:t>Subscribing to Contract No IH00AAQS v Cross &amp; Ors</w:t>
      </w:r>
      <w:r>
        <w:rPr>
          <w:i/>
        </w:rPr>
        <w:t xml:space="preserve"> </w:t>
      </w:r>
      <w:r>
        <w:t xml:space="preserve">(2012) 248 CLR 378 at 388–390 </w:t>
      </w:r>
      <w:r w:rsidR="009B3FAC">
        <w:t xml:space="preserve">at </w:t>
      </w:r>
      <w:r>
        <w:t xml:space="preserve">[23]–[26]. </w:t>
      </w:r>
    </w:p>
    <w:p w:rsidR="00C72D28" w:rsidRPr="00020854" w:rsidRDefault="004D2DDC" w:rsidP="00C72D28">
      <w:pPr>
        <w:pStyle w:val="ParaNumbering"/>
      </w:pPr>
      <w:r>
        <w:t>The</w:t>
      </w:r>
      <w:r w:rsidR="00C72D28" w:rsidRPr="00020854">
        <w:t xml:space="preserve"> text of s 22A </w:t>
      </w:r>
      <w:r w:rsidR="005178CE" w:rsidRPr="00020854">
        <w:t>is</w:t>
      </w:r>
      <w:r w:rsidR="00C72D28" w:rsidRPr="00020854">
        <w:t xml:space="preserve"> the starting point in its interpretation: </w:t>
      </w:r>
      <w:r w:rsidR="00C72D28" w:rsidRPr="00020854">
        <w:rPr>
          <w:i/>
        </w:rPr>
        <w:t xml:space="preserve">Alcan (NT) Alumina Pty Ltd v Commissioner of Territory Revenue </w:t>
      </w:r>
      <w:r w:rsidR="00C72D28" w:rsidRPr="00020854">
        <w:t>(2</w:t>
      </w:r>
      <w:r w:rsidR="00867E76" w:rsidRPr="00020854">
        <w:t xml:space="preserve">009) 239 CLR 27 at 46–47 [47]. In </w:t>
      </w:r>
      <w:r w:rsidR="00C72D28" w:rsidRPr="00020854">
        <w:t>s 22A</w:t>
      </w:r>
      <w:r w:rsidR="00867E76" w:rsidRPr="00020854">
        <w:t xml:space="preserve">, the meaning </w:t>
      </w:r>
      <w:r w:rsidR="00867E76" w:rsidRPr="00020854">
        <w:lastRenderedPageBreak/>
        <w:t>of ‘court’, variously,</w:t>
      </w:r>
      <w:r w:rsidR="00C72D28" w:rsidRPr="00020854">
        <w:t xml:space="preserve"> is determined by reference to the geographic location of the arbitral proceedings in question.</w:t>
      </w:r>
    </w:p>
    <w:p w:rsidR="00C72D28" w:rsidRPr="00020854" w:rsidRDefault="00C72D28" w:rsidP="00C72D28">
      <w:pPr>
        <w:pStyle w:val="ParaNumbering"/>
      </w:pPr>
      <w:r w:rsidRPr="00020854">
        <w:t xml:space="preserve">As Samsung correctly submits, it is evident from the reference in s 22A(a) to a Supreme Court of a ‘State’ that ‘State’ in the context of s 22A is a reference to a state of Australia: </w:t>
      </w:r>
      <w:proofErr w:type="spellStart"/>
      <w:r w:rsidRPr="00020854">
        <w:t>cf</w:t>
      </w:r>
      <w:proofErr w:type="spellEnd"/>
      <w:r w:rsidRPr="00020854">
        <w:t xml:space="preserve"> the definition of ‘State’ as meaning Australia and any foreign country in s 16(2) of the IAA. </w:t>
      </w:r>
      <w:r w:rsidR="00867E76" w:rsidRPr="00020854">
        <w:t>Samsung relies upon s 22A(c) to ground jurisdiction</w:t>
      </w:r>
      <w:r w:rsidRPr="00020854">
        <w:t xml:space="preserve">. </w:t>
      </w:r>
      <w:r w:rsidR="00867E76" w:rsidRPr="00020854">
        <w:t xml:space="preserve">The construction question is then what meaning the phrase ‘in any case’ has and whether it extends to include </w:t>
      </w:r>
      <w:r w:rsidRPr="00020854">
        <w:t xml:space="preserve">foreign-seated arbitral proceedings. </w:t>
      </w:r>
    </w:p>
    <w:p w:rsidR="00C72D28" w:rsidRDefault="004D2DDC" w:rsidP="00C72D28">
      <w:pPr>
        <w:pStyle w:val="ParaNumbering"/>
      </w:pPr>
      <w:r>
        <w:t>Samsung</w:t>
      </w:r>
      <w:r w:rsidR="00113645">
        <w:t xml:space="preserve"> </w:t>
      </w:r>
      <w:r w:rsidR="005178CE">
        <w:t>submitted that an</w:t>
      </w:r>
      <w:r w:rsidR="00C72D28">
        <w:t xml:space="preserve"> ambiguity</w:t>
      </w:r>
      <w:r w:rsidR="005178CE">
        <w:t xml:space="preserve"> arose</w:t>
      </w:r>
      <w:r w:rsidR="00C72D28">
        <w:t xml:space="preserve"> in the phrase ‘in any case’ because </w:t>
      </w:r>
      <w:r w:rsidR="00113645">
        <w:t>the phrase</w:t>
      </w:r>
      <w:r w:rsidR="00C72D28">
        <w:t xml:space="preserve"> can be read:</w:t>
      </w:r>
    </w:p>
    <w:p w:rsidR="00C72D28" w:rsidRPr="00BB2186" w:rsidRDefault="00C72D28" w:rsidP="00C72D28">
      <w:pPr>
        <w:pStyle w:val="FCBullets"/>
      </w:pPr>
      <w:r w:rsidRPr="00BB2186">
        <w:t>narrowly an</w:t>
      </w:r>
      <w:r w:rsidR="00113645">
        <w:t>d restrictively, as limited to ‘</w:t>
      </w:r>
      <w:r w:rsidRPr="00BB2186">
        <w:t xml:space="preserve">in any case in which arbitral proceedings are, or are to be conducted, in a </w:t>
      </w:r>
      <w:r w:rsidR="00113645">
        <w:t>State or Territory of Australia’</w:t>
      </w:r>
      <w:r w:rsidRPr="00BB2186">
        <w:t>; or</w:t>
      </w:r>
    </w:p>
    <w:p w:rsidR="00C72D28" w:rsidRDefault="00C72D28" w:rsidP="00C72D28">
      <w:pPr>
        <w:pStyle w:val="FCBullets"/>
      </w:pPr>
      <w:proofErr w:type="gramStart"/>
      <w:r w:rsidRPr="00BB2186">
        <w:t>broadly</w:t>
      </w:r>
      <w:proofErr w:type="gramEnd"/>
      <w:r w:rsidRPr="00BB2186">
        <w:t xml:space="preserve"> as </w:t>
      </w:r>
      <w:r w:rsidR="00113645">
        <w:t>‘</w:t>
      </w:r>
      <w:r w:rsidRPr="00BB2186">
        <w:t>in any case, whether or not the arbitral proceedings are, or are to be conducted, in a State or Territory of Australia.</w:t>
      </w:r>
      <w:r w:rsidR="00113645">
        <w:t>’</w:t>
      </w:r>
      <w:r w:rsidRPr="00BB2186">
        <w:t xml:space="preserve"> </w:t>
      </w:r>
    </w:p>
    <w:p w:rsidR="00FE1350" w:rsidRPr="005178CE" w:rsidRDefault="004D2DDC" w:rsidP="00FE1350">
      <w:pPr>
        <w:pStyle w:val="ParaNumbering"/>
      </w:pPr>
      <w:r>
        <w:t>Samsung further submitted that</w:t>
      </w:r>
      <w:r w:rsidR="00FE1350" w:rsidRPr="005178CE">
        <w:t xml:space="preserve"> the broader reading of ‘in any case’ as it appears in s 22A(c) is to be preferred as it is more consonant with the natural and ordinary meaning of the legislative text as well as the purpose and objects of the IAA. To this end, Samsung state</w:t>
      </w:r>
      <w:r w:rsidR="004A5DCF" w:rsidRPr="005178CE">
        <w:t>d</w:t>
      </w:r>
      <w:r w:rsidR="00FE1350" w:rsidRPr="005178CE">
        <w:t>:</w:t>
      </w:r>
    </w:p>
    <w:p w:rsidR="00FE1350" w:rsidRPr="005178CE" w:rsidRDefault="00FE1350" w:rsidP="00030FCE">
      <w:pPr>
        <w:pStyle w:val="Quote1"/>
      </w:pPr>
      <w:r w:rsidRPr="005178CE">
        <w:t>A narrow and restricted reading limiting the Federal Court's jurisdiction to only those arbitral proceedings being conducted in Australia would involve unnecessarily reading words into subsection (c), contrary to settled principles of statutory construction.  Nor is there any textual or contextual basis for grafting any negative implication on to the words "in any case" from the geographical limitations expressly stipulated in subsections (a) and (b)</w:t>
      </w:r>
    </w:p>
    <w:p w:rsidR="000361EA" w:rsidRDefault="000361EA" w:rsidP="00C71255">
      <w:pPr>
        <w:pStyle w:val="ParaNumbering"/>
      </w:pPr>
      <w:r>
        <w:t xml:space="preserve">I do not accept </w:t>
      </w:r>
      <w:r w:rsidR="005178CE">
        <w:t>these submissions</w:t>
      </w:r>
      <w:r>
        <w:t>. A broader interpretation would unnecessarily read words of significance int</w:t>
      </w:r>
      <w:r w:rsidR="005178CE">
        <w:t xml:space="preserve">o s 22A(c), particularly where elsewhere in the IAA </w:t>
      </w:r>
      <w:r>
        <w:t xml:space="preserve">the Parliament has turned its mind to specify similar expansions of jurisdiction based on geographical location. </w:t>
      </w:r>
      <w:r w:rsidR="005178CE">
        <w:t xml:space="preserve">I will return to this point later in the reasons. </w:t>
      </w:r>
      <w:r>
        <w:t>The second point made by Samsung is not sufficiently substantiated</w:t>
      </w:r>
      <w:r w:rsidR="004D2DDC">
        <w:t>.</w:t>
      </w:r>
    </w:p>
    <w:p w:rsidR="00FE1350" w:rsidRPr="005178CE" w:rsidRDefault="00FE1350" w:rsidP="00FE1350">
      <w:pPr>
        <w:pStyle w:val="ParaNumbering"/>
      </w:pPr>
      <w:r w:rsidRPr="005178CE">
        <w:t xml:space="preserve">In some cases, where there is an ambiguity as to the meaning of a particular word or phrase, there may be guidance available if it has been used and interpreted elsewhere. In </w:t>
      </w:r>
      <w:r w:rsidRPr="005178CE">
        <w:rPr>
          <w:i/>
        </w:rPr>
        <w:t xml:space="preserve">Director of Public Prosecutions of the Commonwealth v </w:t>
      </w:r>
      <w:proofErr w:type="spellStart"/>
      <w:r w:rsidRPr="005178CE">
        <w:rPr>
          <w:i/>
        </w:rPr>
        <w:t>Kainhofer</w:t>
      </w:r>
      <w:proofErr w:type="spellEnd"/>
      <w:r w:rsidRPr="005178CE">
        <w:rPr>
          <w:i/>
        </w:rPr>
        <w:t xml:space="preserve"> </w:t>
      </w:r>
      <w:r w:rsidRPr="005178CE">
        <w:t>(1995) 185 CLR 528, the High Court considered the construction of a statutory provision containing the phrase ‘in any case’.</w:t>
      </w:r>
    </w:p>
    <w:p w:rsidR="00FE1350" w:rsidRDefault="00FE1350" w:rsidP="00FE1350">
      <w:pPr>
        <w:pStyle w:val="ParaNumbering"/>
      </w:pPr>
      <w:proofErr w:type="spellStart"/>
      <w:r>
        <w:rPr>
          <w:i/>
        </w:rPr>
        <w:lastRenderedPageBreak/>
        <w:t>Kainhofer</w:t>
      </w:r>
      <w:proofErr w:type="spellEnd"/>
      <w:r>
        <w:t>, whilst not entirely analogous, is nonetheless of some assistance</w:t>
      </w:r>
      <w:r w:rsidR="004A5DCF">
        <w:t>,</w:t>
      </w:r>
      <w:r>
        <w:t xml:space="preserve"> concerned as it was with alternatives contained within a statutory provision. The case concerned a magistrate’s power under s 12 of the </w:t>
      </w:r>
      <w:r w:rsidRPr="00867E76">
        <w:rPr>
          <w:i/>
        </w:rPr>
        <w:t>Extradition Act 1988</w:t>
      </w:r>
      <w:r>
        <w:t xml:space="preserve"> (Cth)</w:t>
      </w:r>
      <w:r w:rsidR="009A248C">
        <w:t xml:space="preserve"> (Extradition Act)</w:t>
      </w:r>
      <w:r>
        <w:t xml:space="preserve"> to issue a warran</w:t>
      </w:r>
      <w:r w:rsidR="004A5DCF">
        <w:t>t for the arrest of an ‘extradi</w:t>
      </w:r>
      <w:r>
        <w:t>table person’. One of the questions in the case was what ‘supporting documents in relation to the offence’ had to be produced to the magistrate, pursuant to s 19(2</w:t>
      </w:r>
      <w:proofErr w:type="gramStart"/>
      <w:r>
        <w:t>)(</w:t>
      </w:r>
      <w:proofErr w:type="gramEnd"/>
      <w:r>
        <w:t xml:space="preserve">a) of the Extradition Act, to assist the magistrate’s determination in relation to an extradition offence. </w:t>
      </w:r>
    </w:p>
    <w:p w:rsidR="00FE1350" w:rsidRDefault="00FE1350" w:rsidP="00FE1350">
      <w:pPr>
        <w:pStyle w:val="ParaNumbering"/>
      </w:pPr>
      <w:r>
        <w:t>Section 19(3) provided:</w:t>
      </w:r>
    </w:p>
    <w:p w:rsidR="00FE1350" w:rsidRPr="00BB4236" w:rsidRDefault="00FE1350" w:rsidP="00030FCE">
      <w:pPr>
        <w:pStyle w:val="Quote1"/>
      </w:pPr>
      <w:r w:rsidRPr="00BB4236">
        <w:t>(3) In paragraph [19</w:t>
      </w:r>
      <w:proofErr w:type="gramStart"/>
      <w:r w:rsidRPr="00BB4236">
        <w:t>](</w:t>
      </w:r>
      <w:proofErr w:type="gramEnd"/>
      <w:r w:rsidRPr="00BB4236">
        <w:t>2)(a), ‘</w:t>
      </w:r>
      <w:r w:rsidRPr="004D2DDC">
        <w:t>supporting documents’</w:t>
      </w:r>
      <w:r w:rsidRPr="00BB4236">
        <w:t>, in relation an extradition offence, means:</w:t>
      </w:r>
    </w:p>
    <w:p w:rsidR="00FE1350" w:rsidRPr="00BB4236" w:rsidRDefault="00FE1350" w:rsidP="00030FCE">
      <w:pPr>
        <w:pStyle w:val="Quote2"/>
      </w:pPr>
      <w:r w:rsidRPr="00BB4236">
        <w:t>(</w:t>
      </w:r>
      <w:proofErr w:type="gramStart"/>
      <w:r w:rsidRPr="00BB4236">
        <w:t>a</w:t>
      </w:r>
      <w:proofErr w:type="gramEnd"/>
      <w:r w:rsidRPr="00BB4236">
        <w:t>) if the offence is an offence of which the person is accused – a duly authenticated warrant issued by the extradition country for the arrest of the person for the offence, or a duly authenticated copy of such a warrant;</w:t>
      </w:r>
    </w:p>
    <w:p w:rsidR="00FE1350" w:rsidRPr="00BB4236" w:rsidRDefault="00FE1350" w:rsidP="00030FCE">
      <w:pPr>
        <w:pStyle w:val="Quote2"/>
      </w:pPr>
      <w:r w:rsidRPr="00BB4236">
        <w:t xml:space="preserve">(b) </w:t>
      </w:r>
      <w:proofErr w:type="gramStart"/>
      <w:r w:rsidRPr="00BB4236">
        <w:t>if</w:t>
      </w:r>
      <w:proofErr w:type="gramEnd"/>
      <w:r w:rsidRPr="00BB4236">
        <w:t xml:space="preserve"> the offence is an offence of which the person has been convicted – such duly authenticated documents as provide evidence of:</w:t>
      </w:r>
    </w:p>
    <w:p w:rsidR="00FE1350" w:rsidRPr="00BB4236" w:rsidRDefault="00FE1350" w:rsidP="00030FCE">
      <w:pPr>
        <w:pStyle w:val="Quote3"/>
      </w:pPr>
      <w:r w:rsidRPr="00BB4236">
        <w:t>(</w:t>
      </w:r>
      <w:proofErr w:type="spellStart"/>
      <w:r w:rsidRPr="00BB4236">
        <w:t>i</w:t>
      </w:r>
      <w:proofErr w:type="spellEnd"/>
      <w:r w:rsidRPr="00BB4236">
        <w:t xml:space="preserve">) </w:t>
      </w:r>
      <w:proofErr w:type="gramStart"/>
      <w:r w:rsidRPr="00BB4236">
        <w:t>the</w:t>
      </w:r>
      <w:proofErr w:type="gramEnd"/>
      <w:r w:rsidRPr="00BB4236">
        <w:t xml:space="preserve"> conviction;</w:t>
      </w:r>
    </w:p>
    <w:p w:rsidR="00FE1350" w:rsidRPr="00BB4236" w:rsidRDefault="00FE1350" w:rsidP="00030FCE">
      <w:pPr>
        <w:pStyle w:val="Quote3"/>
      </w:pPr>
      <w:r w:rsidRPr="00BB4236">
        <w:t xml:space="preserve">(ii) </w:t>
      </w:r>
      <w:proofErr w:type="gramStart"/>
      <w:r w:rsidRPr="00BB4236">
        <w:t>the</w:t>
      </w:r>
      <w:proofErr w:type="gramEnd"/>
      <w:r w:rsidRPr="00BB4236">
        <w:t xml:space="preserve"> sentence imposed or the intention to impose a sentence; and</w:t>
      </w:r>
    </w:p>
    <w:p w:rsidR="00FE1350" w:rsidRPr="00BB4236" w:rsidRDefault="00FE1350" w:rsidP="00030FCE">
      <w:pPr>
        <w:pStyle w:val="Quote3"/>
      </w:pPr>
      <w:r w:rsidRPr="00BB4236">
        <w:t xml:space="preserve">(iii) </w:t>
      </w:r>
      <w:proofErr w:type="gramStart"/>
      <w:r w:rsidRPr="00BB4236">
        <w:t>the</w:t>
      </w:r>
      <w:proofErr w:type="gramEnd"/>
      <w:r w:rsidRPr="00BB4236">
        <w:t xml:space="preserve"> extent to which a sentence imposed has not been carried out; and</w:t>
      </w:r>
    </w:p>
    <w:p w:rsidR="00FE1350" w:rsidRPr="004D2DDC" w:rsidRDefault="00FE1350" w:rsidP="00030FCE">
      <w:pPr>
        <w:pStyle w:val="Quote2"/>
      </w:pPr>
      <w:r w:rsidRPr="004D2DDC">
        <w:t xml:space="preserve">(c) </w:t>
      </w:r>
      <w:proofErr w:type="gramStart"/>
      <w:r w:rsidRPr="00030FCE">
        <w:rPr>
          <w:i/>
        </w:rPr>
        <w:t>in</w:t>
      </w:r>
      <w:proofErr w:type="gramEnd"/>
      <w:r w:rsidRPr="00030FCE">
        <w:rPr>
          <w:i/>
        </w:rPr>
        <w:t xml:space="preserve"> any case</w:t>
      </w:r>
      <w:r w:rsidRPr="004D2DDC">
        <w:t>:</w:t>
      </w:r>
    </w:p>
    <w:p w:rsidR="00FE1350" w:rsidRPr="00BB4236" w:rsidRDefault="00FE1350" w:rsidP="00030FCE">
      <w:pPr>
        <w:pStyle w:val="Quote3"/>
      </w:pPr>
      <w:r w:rsidRPr="00BB4236">
        <w:t>(</w:t>
      </w:r>
      <w:proofErr w:type="spellStart"/>
      <w:r w:rsidRPr="00BB4236">
        <w:t>i</w:t>
      </w:r>
      <w:proofErr w:type="spellEnd"/>
      <w:r w:rsidRPr="00BB4236">
        <w:t xml:space="preserve">) </w:t>
      </w:r>
      <w:proofErr w:type="gramStart"/>
      <w:r w:rsidRPr="00BB4236">
        <w:t>a</w:t>
      </w:r>
      <w:proofErr w:type="gramEnd"/>
      <w:r w:rsidRPr="00BB4236">
        <w:t xml:space="preserve"> duly authenticated statement in writing setting out a description of, and the penalty applicable in respect of, the offence; and</w:t>
      </w:r>
    </w:p>
    <w:p w:rsidR="00FE1350" w:rsidRPr="00BB4236" w:rsidRDefault="00FE1350" w:rsidP="00030FCE">
      <w:pPr>
        <w:pStyle w:val="Quote3"/>
      </w:pPr>
      <w:r w:rsidRPr="00BB4236">
        <w:t xml:space="preserve">(ii) </w:t>
      </w:r>
      <w:proofErr w:type="gramStart"/>
      <w:r w:rsidRPr="00BB4236">
        <w:t>a</w:t>
      </w:r>
      <w:proofErr w:type="gramEnd"/>
      <w:r w:rsidRPr="00BB4236">
        <w:t xml:space="preserve"> duly authenticated statement in writing setting out the conduct constituting the offence.</w:t>
      </w:r>
    </w:p>
    <w:p w:rsidR="00FE1350" w:rsidRPr="00A75DE0" w:rsidRDefault="00030FCE" w:rsidP="00030FCE">
      <w:pPr>
        <w:pStyle w:val="Quote2"/>
        <w:rPr>
          <w:sz w:val="28"/>
        </w:rPr>
      </w:pPr>
      <w:r w:rsidRPr="00BB4236">
        <w:t xml:space="preserve"> </w:t>
      </w:r>
      <w:r w:rsidR="00FE1350" w:rsidRPr="00BB4236">
        <w:t>(</w:t>
      </w:r>
      <w:proofErr w:type="gramStart"/>
      <w:r w:rsidR="00FE1350" w:rsidRPr="00BB4236">
        <w:t>emphasis</w:t>
      </w:r>
      <w:proofErr w:type="gramEnd"/>
      <w:r w:rsidR="00FE1350" w:rsidRPr="00BB4236">
        <w:t xml:space="preserve"> added)</w:t>
      </w:r>
    </w:p>
    <w:p w:rsidR="00FE1350" w:rsidRDefault="004D2DDC" w:rsidP="00FE1350">
      <w:pPr>
        <w:pStyle w:val="ParaNumbering"/>
      </w:pPr>
      <w:r>
        <w:t>At 552–</w:t>
      </w:r>
      <w:r w:rsidR="00FE1350">
        <w:t xml:space="preserve">554, </w:t>
      </w:r>
      <w:proofErr w:type="spellStart"/>
      <w:r w:rsidR="00FE1350" w:rsidRPr="005178CE">
        <w:t>Gummow</w:t>
      </w:r>
      <w:proofErr w:type="spellEnd"/>
      <w:r w:rsidR="00FE1350" w:rsidRPr="005178CE">
        <w:t xml:space="preserve"> J (who agreed with the majority but provided separate reasons) considered what other classification applied to supporting documents that were given ‘in any case’ for the purposes of subsection (c) above</w:t>
      </w:r>
      <w:proofErr w:type="gramStart"/>
      <w:r w:rsidR="00FE1350" w:rsidRPr="005178CE">
        <w:t xml:space="preserve">. </w:t>
      </w:r>
      <w:proofErr w:type="gramEnd"/>
      <w:r w:rsidR="00FE1350" w:rsidRPr="005178CE">
        <w:t xml:space="preserve">His Honour noted </w:t>
      </w:r>
      <w:r w:rsidR="00FE1350">
        <w:t>at 553 that:</w:t>
      </w:r>
    </w:p>
    <w:p w:rsidR="00FE1350" w:rsidRPr="00BB4236" w:rsidRDefault="00FE1350" w:rsidP="00FE1350">
      <w:pPr>
        <w:pStyle w:val="Quote1"/>
      </w:pPr>
      <w:r w:rsidRPr="00BB4236">
        <w:t>The answer depends upon the classification of the extradition offence established by pars (a) and (b) of s 19(3). If the offence is one for which the person has been convicted, then there must be provided the duly authenticated documents set out in par (b). If, on the other hand, the offence is one for which the person is ‘accused’, then what is required is the duly authenticated arrest warrant specified in par (a). If the person was neither accused nor convicted, then all that would be required as supporting documents would be those identified in par (c), as required ‘in any case’…</w:t>
      </w:r>
    </w:p>
    <w:p w:rsidR="00FE1350" w:rsidRPr="00BB4236" w:rsidRDefault="00FE1350" w:rsidP="00FE1350">
      <w:pPr>
        <w:pStyle w:val="Quote1"/>
      </w:pPr>
      <w:r w:rsidRPr="00BB4236">
        <w:t xml:space="preserve">The result, in the present case, would be that, if the respondent fell within neither par (a) nor par (b), all that would be required would be the documents specified in par </w:t>
      </w:r>
      <w:r w:rsidRPr="00BB4236">
        <w:lastRenderedPageBreak/>
        <w:t xml:space="preserve">(c). </w:t>
      </w:r>
      <w:r w:rsidRPr="004A5DCF">
        <w:rPr>
          <w:i/>
        </w:rPr>
        <w:t>Either the phrase ‘in any case’ in par (c) identifies the classifications of offence in pars (a) or (b) or includes some other class of case.</w:t>
      </w:r>
      <w:r w:rsidRPr="00BB4236">
        <w:t xml:space="preserve"> </w:t>
      </w:r>
    </w:p>
    <w:p w:rsidR="00FE1350" w:rsidRPr="009A248C" w:rsidRDefault="00FE1350" w:rsidP="00FE1350">
      <w:pPr>
        <w:pStyle w:val="Quote1"/>
      </w:pPr>
      <w:r w:rsidRPr="009A248C">
        <w:t>(</w:t>
      </w:r>
      <w:proofErr w:type="gramStart"/>
      <w:r w:rsidRPr="009A248C">
        <w:t>emphasis</w:t>
      </w:r>
      <w:proofErr w:type="gramEnd"/>
      <w:r w:rsidRPr="009A248C">
        <w:t xml:space="preserve"> added)</w:t>
      </w:r>
    </w:p>
    <w:p w:rsidR="00FE1350" w:rsidRDefault="00FE1350" w:rsidP="00FE1350">
      <w:pPr>
        <w:pStyle w:val="ParaNumbering"/>
      </w:pPr>
      <w:proofErr w:type="spellStart"/>
      <w:r w:rsidRPr="009A248C">
        <w:t>Gummow</w:t>
      </w:r>
      <w:proofErr w:type="spellEnd"/>
      <w:r w:rsidRPr="009A248C">
        <w:t xml:space="preserve"> J held that the latter</w:t>
      </w:r>
      <w:r w:rsidR="004A5DCF" w:rsidRPr="009A248C">
        <w:t>, wider</w:t>
      </w:r>
      <w:r w:rsidRPr="009A248C">
        <w:t xml:space="preserve"> interpretation was not the preferable construction of ‘in any case’ in this instance, </w:t>
      </w:r>
      <w:r w:rsidR="004D2DDC">
        <w:t>in light of</w:t>
      </w:r>
      <w:r w:rsidR="004A5DCF" w:rsidRPr="009A248C">
        <w:t xml:space="preserve"> the definition of ‘extradi</w:t>
      </w:r>
      <w:r w:rsidRPr="009A248C">
        <w:t xml:space="preserve">table person’ in s 6 of the Extradition Act. </w:t>
      </w:r>
      <w:proofErr w:type="spellStart"/>
      <w:r w:rsidRPr="009A248C">
        <w:t>Gummow</w:t>
      </w:r>
      <w:proofErr w:type="spellEnd"/>
      <w:r w:rsidRPr="009A248C">
        <w:t xml:space="preserve"> J appeared to give preference to a narrower interpretation of s 19(3)(c</w:t>
      </w:r>
      <w:r w:rsidR="00EE70DB" w:rsidRPr="009A248C">
        <w:t>) given that, to be an ‘extradi</w:t>
      </w:r>
      <w:r w:rsidRPr="009A248C">
        <w:t>table person’ and thus subject to the Act, a person had to be either accused or convicted of an offence</w:t>
      </w:r>
      <w:proofErr w:type="gramStart"/>
      <w:r w:rsidRPr="009A248C">
        <w:t xml:space="preserve">. </w:t>
      </w:r>
      <w:proofErr w:type="gramEnd"/>
      <w:r w:rsidRPr="009A248C">
        <w:t>Allowing for a third type of offence in s 19(3</w:t>
      </w:r>
      <w:proofErr w:type="gramStart"/>
      <w:r w:rsidRPr="009A248C">
        <w:t>)(</w:t>
      </w:r>
      <w:proofErr w:type="gramEnd"/>
      <w:r w:rsidRPr="009A248C">
        <w:t xml:space="preserve">c) would be inconsistent with </w:t>
      </w:r>
      <w:r>
        <w:t>this requirement.</w:t>
      </w:r>
    </w:p>
    <w:p w:rsidR="00FE1350" w:rsidRDefault="00FE1350" w:rsidP="00FE1350">
      <w:pPr>
        <w:pStyle w:val="ParaNumbering"/>
      </w:pPr>
      <w:proofErr w:type="spellStart"/>
      <w:r>
        <w:t>Gummow</w:t>
      </w:r>
      <w:proofErr w:type="spellEnd"/>
      <w:r>
        <w:t xml:space="preserve"> J therefore held, at 554, that:</w:t>
      </w:r>
    </w:p>
    <w:p w:rsidR="00FE1350" w:rsidRPr="00BB4236" w:rsidRDefault="00FE1350" w:rsidP="00FE1350">
      <w:pPr>
        <w:pStyle w:val="Quote1"/>
      </w:pPr>
      <w:r w:rsidRPr="00BB4236">
        <w:t>The classification in s 19(3) of that which is required for the necessary ‘supporting documents’ assumes that extradition is sought either in respect of an offence of which the person is accused or in respect of an offence of which the person has been convicted. It does not proceed on the footing that there is a further category of offences in respect of which the person is neither accused nor convicted.</w:t>
      </w:r>
    </w:p>
    <w:p w:rsidR="00FE1350" w:rsidRPr="005178CE" w:rsidRDefault="00FE1350" w:rsidP="00FE1350">
      <w:pPr>
        <w:pStyle w:val="ParaNumbering"/>
      </w:pPr>
      <w:r w:rsidRPr="005178CE">
        <w:t>A phrase, which is of wide signification, is limited by its context</w:t>
      </w:r>
      <w:r w:rsidRPr="005178CE">
        <w:rPr>
          <w:szCs w:val="24"/>
        </w:rPr>
        <w:t xml:space="preserve">: D C Pearce and R S Geddes, </w:t>
      </w:r>
      <w:r w:rsidRPr="005178CE">
        <w:rPr>
          <w:i/>
          <w:szCs w:val="24"/>
        </w:rPr>
        <w:t xml:space="preserve">Statutory Interpretation in Australia </w:t>
      </w:r>
      <w:r w:rsidRPr="005178CE">
        <w:rPr>
          <w:szCs w:val="24"/>
        </w:rPr>
        <w:t>(</w:t>
      </w:r>
      <w:r w:rsidR="008830FC" w:rsidRPr="005178CE">
        <w:rPr>
          <w:szCs w:val="24"/>
        </w:rPr>
        <w:t xml:space="preserve">Lexis Nexis, </w:t>
      </w:r>
      <w:r w:rsidRPr="005178CE">
        <w:rPr>
          <w:szCs w:val="24"/>
        </w:rPr>
        <w:t>7</w:t>
      </w:r>
      <w:r w:rsidRPr="005178CE">
        <w:rPr>
          <w:szCs w:val="24"/>
          <w:vertAlign w:val="superscript"/>
        </w:rPr>
        <w:t>th</w:t>
      </w:r>
      <w:r w:rsidRPr="005178CE">
        <w:rPr>
          <w:szCs w:val="24"/>
        </w:rPr>
        <w:t xml:space="preserve"> ed, 2011) </w:t>
      </w:r>
      <w:r w:rsidR="008830FC" w:rsidRPr="005178CE">
        <w:rPr>
          <w:szCs w:val="24"/>
        </w:rPr>
        <w:t xml:space="preserve">at </w:t>
      </w:r>
      <w:r w:rsidRPr="005178CE">
        <w:rPr>
          <w:szCs w:val="24"/>
        </w:rPr>
        <w:t>47 [2.24]</w:t>
      </w:r>
      <w:proofErr w:type="gramStart"/>
      <w:r w:rsidRPr="005178CE">
        <w:rPr>
          <w:szCs w:val="24"/>
        </w:rPr>
        <w:t>.</w:t>
      </w:r>
      <w:r w:rsidRPr="005178CE">
        <w:t xml:space="preserve"> </w:t>
      </w:r>
      <w:proofErr w:type="gramEnd"/>
      <w:r w:rsidR="00965431" w:rsidRPr="005178CE">
        <w:t>Context</w:t>
      </w:r>
      <w:r w:rsidR="005178CE" w:rsidRPr="005178CE">
        <w:t>,</w:t>
      </w:r>
      <w:r w:rsidR="00965431" w:rsidRPr="005178CE">
        <w:t xml:space="preserve"> in the </w:t>
      </w:r>
      <w:r w:rsidR="007F5368" w:rsidRPr="005178CE">
        <w:t xml:space="preserve">sense of </w:t>
      </w:r>
      <w:r w:rsidR="005178CE" w:rsidRPr="005178CE">
        <w:t xml:space="preserve">the </w:t>
      </w:r>
      <w:r w:rsidR="007F5368" w:rsidRPr="005178CE">
        <w:t>surrounding text</w:t>
      </w:r>
      <w:r w:rsidR="005178CE" w:rsidRPr="005178CE">
        <w:t>,</w:t>
      </w:r>
      <w:r w:rsidR="00965431" w:rsidRPr="005178CE">
        <w:t xml:space="preserve"> is </w:t>
      </w:r>
      <w:r w:rsidR="008830FC" w:rsidRPr="005178CE">
        <w:t>the starting point</w:t>
      </w:r>
      <w:r w:rsidR="00965431" w:rsidRPr="005178CE">
        <w:t xml:space="preserve">. </w:t>
      </w:r>
      <w:r w:rsidRPr="005178CE">
        <w:t xml:space="preserve">In s 22A, the meaning of ‘court’ is determined by reference to the geographical location of the arbitration proceedings in question. The context for ‘in any case’ here is the territorial specification in the preceding s </w:t>
      </w:r>
      <w:proofErr w:type="gramStart"/>
      <w:r w:rsidRPr="005178CE">
        <w:t>22A(</w:t>
      </w:r>
      <w:proofErr w:type="gramEnd"/>
      <w:r w:rsidRPr="005178CE">
        <w:t xml:space="preserve">a) and (b), which would limit the phrase’s wide signification. </w:t>
      </w:r>
    </w:p>
    <w:p w:rsidR="008B0369" w:rsidRDefault="008B0369" w:rsidP="004D2DDC">
      <w:pPr>
        <w:pStyle w:val="Heading4"/>
      </w:pPr>
      <w:r>
        <w:t>Model Law</w:t>
      </w:r>
    </w:p>
    <w:p w:rsidR="00476CCD" w:rsidRDefault="008830FC" w:rsidP="008B0369">
      <w:pPr>
        <w:pStyle w:val="ParaNumbering"/>
      </w:pPr>
      <w:r>
        <w:t>An important part of the context for s 22A</w:t>
      </w:r>
      <w:r w:rsidR="00D316C9">
        <w:t xml:space="preserve"> within the IAA</w:t>
      </w:r>
      <w:r>
        <w:t xml:space="preserve"> is the Model Law</w:t>
      </w:r>
      <w:r w:rsidR="00D316C9">
        <w:t>,</w:t>
      </w:r>
      <w:r>
        <w:t xml:space="preserve"> found in </w:t>
      </w:r>
      <w:proofErr w:type="spellStart"/>
      <w:r>
        <w:t>sch</w:t>
      </w:r>
      <w:proofErr w:type="spellEnd"/>
      <w:r>
        <w:t xml:space="preserve"> 2 of the IAA. Importantly, art</w:t>
      </w:r>
      <w:r w:rsidR="00476CCD">
        <w:t xml:space="preserve"> 27 of the Model Law provides:</w:t>
      </w:r>
    </w:p>
    <w:p w:rsidR="00476CCD" w:rsidRDefault="00476CCD" w:rsidP="00030FCE">
      <w:pPr>
        <w:pStyle w:val="Quote1"/>
      </w:pPr>
      <w:r w:rsidRPr="00867E76">
        <w:t>The arbitral tribunal or a party with the approval of the arbitral tribunal may request from a competent court of this State assistance in taking evidence. The court may execute the request within its competence and according to its rules on taking evidence.</w:t>
      </w:r>
    </w:p>
    <w:p w:rsidR="008830FC" w:rsidRPr="003C468B" w:rsidRDefault="008830FC" w:rsidP="00867E76">
      <w:pPr>
        <w:pStyle w:val="ParaNumbering"/>
      </w:pPr>
      <w:r w:rsidRPr="003C468B">
        <w:t>As Samsung acknowledged in its earlier First Application submissions, t</w:t>
      </w:r>
      <w:r w:rsidR="00867E76" w:rsidRPr="003C468B">
        <w:t>he</w:t>
      </w:r>
      <w:r w:rsidR="00DD0B92" w:rsidRPr="003C468B">
        <w:t xml:space="preserve"> provisions of the Model Law (including art 27)</w:t>
      </w:r>
      <w:r w:rsidR="00867E76" w:rsidRPr="003C468B">
        <w:t xml:space="preserve">, by reason of art 1(2), </w:t>
      </w:r>
      <w:r w:rsidR="00DD0B92" w:rsidRPr="003C468B">
        <w:t xml:space="preserve">apply only if the place of arbitration is in the territory of the </w:t>
      </w:r>
      <w:r w:rsidR="00867E76" w:rsidRPr="003C468B">
        <w:t>(</w:t>
      </w:r>
      <w:r w:rsidR="00DD0B92" w:rsidRPr="003C468B">
        <w:t>legislating</w:t>
      </w:r>
      <w:r w:rsidR="00867E76" w:rsidRPr="003C468B">
        <w:t>)</w:t>
      </w:r>
      <w:r w:rsidR="00DD0B92" w:rsidRPr="003C468B">
        <w:t xml:space="preserve"> State. Legislating States may, of course, expand their courts’ jurisdiction </w:t>
      </w:r>
      <w:r w:rsidR="00867E76" w:rsidRPr="003C468B">
        <w:t xml:space="preserve">in particular respects </w:t>
      </w:r>
      <w:r w:rsidR="00DD0B92" w:rsidRPr="003C468B">
        <w:t>to foreign seated arbitrations.</w:t>
      </w:r>
      <w:r w:rsidR="00816631" w:rsidRPr="003C468B">
        <w:t xml:space="preserve"> </w:t>
      </w:r>
      <w:r w:rsidR="00867E76" w:rsidRPr="003C468B">
        <w:t>Such is the case under the IAA in relation to the</w:t>
      </w:r>
      <w:r w:rsidR="003C468B" w:rsidRPr="003C468B">
        <w:t xml:space="preserve"> enforcement of foreign awards, to which I will shortly return.</w:t>
      </w:r>
    </w:p>
    <w:p w:rsidR="00867E76" w:rsidRPr="003C468B" w:rsidRDefault="008830FC" w:rsidP="00867E76">
      <w:pPr>
        <w:pStyle w:val="ParaNumbering"/>
      </w:pPr>
      <w:r w:rsidRPr="003C468B">
        <w:lastRenderedPageBreak/>
        <w:t>However, in those earlier submissions, Samsung also put</w:t>
      </w:r>
      <w:r w:rsidR="00867E76" w:rsidRPr="003C468B">
        <w:t xml:space="preserve"> that neither the terms nor the legislative history of s 23</w:t>
      </w:r>
      <w:r w:rsidR="007F5368" w:rsidRPr="003C468B">
        <w:t xml:space="preserve"> </w:t>
      </w:r>
      <w:r w:rsidR="00867E76" w:rsidRPr="003C468B">
        <w:t xml:space="preserve">suggest that it is </w:t>
      </w:r>
      <w:r w:rsidR="007F5368" w:rsidRPr="003C468B">
        <w:t xml:space="preserve">legislatively </w:t>
      </w:r>
      <w:r w:rsidR="00867E76" w:rsidRPr="003C468B">
        <w:t>implementing art 27</w:t>
      </w:r>
      <w:r w:rsidR="007F5368" w:rsidRPr="003C468B">
        <w:t xml:space="preserve"> only</w:t>
      </w:r>
      <w:r w:rsidRPr="003C468B">
        <w:t>, and that therefore the territorial limitation introduced by art 1(2) was irrelevant as a factor pointing towards a narrower interpretation of s 23</w:t>
      </w:r>
      <w:r w:rsidR="00867E76" w:rsidRPr="003C468B">
        <w:t>.</w:t>
      </w:r>
      <w:r w:rsidR="007F5368" w:rsidRPr="003C468B">
        <w:t xml:space="preserve"> As a result, Samsung submitted, s 23 was not subject to any express territorial restriction</w:t>
      </w:r>
      <w:r w:rsidRPr="003C468B">
        <w:t xml:space="preserve"> limiting it to arbitrations seated in Australia</w:t>
      </w:r>
      <w:r w:rsidR="007F5368" w:rsidRPr="003C468B">
        <w:t>.</w:t>
      </w:r>
      <w:r w:rsidR="00867E76" w:rsidRPr="003C468B">
        <w:t xml:space="preserve"> </w:t>
      </w:r>
      <w:r w:rsidRPr="003C468B">
        <w:t>W</w:t>
      </w:r>
      <w:r w:rsidR="00867E76" w:rsidRPr="003C468B">
        <w:t>hatever else may be said about this submission, art 27 is not concerned with the jurisdictional issue raised by s 22A</w:t>
      </w:r>
      <w:r w:rsidR="007F5368" w:rsidRPr="003C468B">
        <w:t>(</w:t>
      </w:r>
      <w:r w:rsidR="00867E76" w:rsidRPr="003C468B">
        <w:t xml:space="preserve">c). Rather it concerns whether </w:t>
      </w:r>
      <w:r w:rsidRPr="003C468B">
        <w:t xml:space="preserve">a court may be </w:t>
      </w:r>
      <w:r w:rsidR="00867E76" w:rsidRPr="003C468B">
        <w:t xml:space="preserve">requested </w:t>
      </w:r>
      <w:r w:rsidRPr="003C468B">
        <w:t>to give assistance</w:t>
      </w:r>
      <w:r w:rsidR="00867E76" w:rsidRPr="003C468B">
        <w:t xml:space="preserve"> as to the taking of evidence</w:t>
      </w:r>
      <w:r w:rsidRPr="003C468B">
        <w:t xml:space="preserve"> by a party to arbitration with the arbitral tribunal’s approval</w:t>
      </w:r>
      <w:r w:rsidR="00867E76" w:rsidRPr="003C468B">
        <w:t xml:space="preserve">. This would include, for example, requests made by letters of request.  </w:t>
      </w:r>
    </w:p>
    <w:p w:rsidR="008B0369" w:rsidRDefault="008B0369" w:rsidP="004D2DDC">
      <w:pPr>
        <w:pStyle w:val="Heading4"/>
      </w:pPr>
      <w:r>
        <w:t>Foreign arbitration agreements and awards</w:t>
      </w:r>
    </w:p>
    <w:p w:rsidR="00CC4017" w:rsidRDefault="00867E76" w:rsidP="00867E76">
      <w:pPr>
        <w:pStyle w:val="ParaNumbering"/>
      </w:pPr>
      <w:r>
        <w:t>Part II of the IAA reinforces these conclusions as to the reach of s 22A(c). P</w:t>
      </w:r>
      <w:r w:rsidR="00D316C9">
        <w:t>ar</w:t>
      </w:r>
      <w:r>
        <w:t xml:space="preserve">t II was specifically inserted to deal with </w:t>
      </w:r>
      <w:r w:rsidR="00C034EF" w:rsidRPr="00D316C9">
        <w:t>foreign</w:t>
      </w:r>
      <w:r w:rsidR="00C034EF">
        <w:t xml:space="preserve"> arbitration agreements and awards, with, for example, ‘foreign award’ defined to refer to an award made ‘in a country other than Australia’: s 3(1). </w:t>
      </w:r>
    </w:p>
    <w:p w:rsidR="008B0369" w:rsidRPr="003C468B" w:rsidRDefault="008B0369" w:rsidP="008B0369">
      <w:pPr>
        <w:pStyle w:val="ParaNumbering"/>
      </w:pPr>
      <w:r w:rsidRPr="003C468B">
        <w:t>The IAA otherwise makes provision for conferral of jurisdiction to enforce arbitral awards (domestic) t</w:t>
      </w:r>
      <w:r w:rsidR="00C973B8">
        <w:t xml:space="preserve">hrough art 35 of the Model Law </w:t>
      </w:r>
      <w:r w:rsidRPr="003C468B">
        <w:t>which provides that:</w:t>
      </w:r>
    </w:p>
    <w:p w:rsidR="008B0369" w:rsidRPr="003C468B" w:rsidRDefault="008B0369" w:rsidP="00030FCE">
      <w:pPr>
        <w:pStyle w:val="Quote1"/>
      </w:pPr>
      <w:r w:rsidRPr="003C468B">
        <w:t>An arbitral award, irrespective of the country in which it was made, shall be recognized as binding and, upon application in writing to the competent court, shall be enforced subject to the provisions of this article and of article 36.</w:t>
      </w:r>
    </w:p>
    <w:p w:rsidR="008B0369" w:rsidRPr="003C468B" w:rsidRDefault="008B0369" w:rsidP="004845E4">
      <w:pPr>
        <w:pStyle w:val="ParaNumbering"/>
      </w:pPr>
      <w:r w:rsidRPr="003C468B">
        <w:t xml:space="preserve">As the Model Law covers the field by virtue of s 21 of the IAA, this would appear to be the only way for a domestic award in an international arbitration to be enforced: Justice Stephen Rares, ‘The Federal Court of Australia’s International Arbitration List’ (Paper presented at the Senior Counsel Arbitration Seminar of the New South Wales Bar Association, 14 September 2011) at [5]–[6]. </w:t>
      </w:r>
      <w:r w:rsidR="004845E4" w:rsidRPr="003C468B">
        <w:t>Art</w:t>
      </w:r>
      <w:r w:rsidR="00D316C9">
        <w:t>icle</w:t>
      </w:r>
      <w:r w:rsidR="004845E4" w:rsidRPr="003C468B">
        <w:t xml:space="preserve"> 35, on a plain reading, would appear to cover both domestic and foreign awards. However, for the purposes of the IAA, the Parliament turned its mind to provide expressly for foreign awards and agreements in </w:t>
      </w:r>
      <w:proofErr w:type="spellStart"/>
      <w:r w:rsidR="004845E4" w:rsidRPr="003C468B">
        <w:t>pt</w:t>
      </w:r>
      <w:proofErr w:type="spellEnd"/>
      <w:r w:rsidR="004845E4" w:rsidRPr="003C468B">
        <w:t xml:space="preserve"> II. </w:t>
      </w:r>
      <w:r w:rsidR="00867E76" w:rsidRPr="003C468B">
        <w:t>There</w:t>
      </w:r>
      <w:r w:rsidR="00CC4017" w:rsidRPr="003C468B">
        <w:t xml:space="preserve"> is</w:t>
      </w:r>
      <w:r w:rsidR="00867E76" w:rsidRPr="003C468B">
        <w:t>, by contrast,</w:t>
      </w:r>
      <w:r w:rsidR="00CC4017" w:rsidRPr="003C468B">
        <w:t xml:space="preserve"> no </w:t>
      </w:r>
      <w:r w:rsidR="00867E76" w:rsidRPr="003C468B">
        <w:t>express</w:t>
      </w:r>
      <w:r w:rsidR="00CC4017" w:rsidRPr="003C468B">
        <w:t xml:space="preserve"> provision for </w:t>
      </w:r>
      <w:r w:rsidR="00CC4017" w:rsidRPr="00D316C9">
        <w:t>foreign arbitral</w:t>
      </w:r>
      <w:r w:rsidR="00CC4017" w:rsidRPr="003C468B">
        <w:t xml:space="preserve"> proceedings (taking place ‘in a country other than Australia’) in s 22A. </w:t>
      </w:r>
    </w:p>
    <w:p w:rsidR="00FC369D" w:rsidRPr="003C468B" w:rsidRDefault="004845E4" w:rsidP="00FC369D">
      <w:pPr>
        <w:pStyle w:val="ParaNumbering"/>
      </w:pPr>
      <w:r w:rsidRPr="003C468B">
        <w:t>Furthermore, i</w:t>
      </w:r>
      <w:r w:rsidR="00FC369D" w:rsidRPr="003C468B">
        <w:t xml:space="preserve">n the objects of the IAA set out in s 2D, separate provision is made for the recognition and enforcement of </w:t>
      </w:r>
      <w:r w:rsidR="00D316C9">
        <w:t>arbitral awards generally (in s</w:t>
      </w:r>
      <w:r w:rsidR="00FC369D" w:rsidRPr="003C468B">
        <w:t xml:space="preserve"> </w:t>
      </w:r>
      <w:r w:rsidR="00D316C9">
        <w:t>2D</w:t>
      </w:r>
      <w:r w:rsidR="00FC369D" w:rsidRPr="003C468B">
        <w:t>(c)</w:t>
      </w:r>
      <w:r w:rsidR="00BA77A4" w:rsidRPr="003C468B">
        <w:t>)</w:t>
      </w:r>
      <w:r w:rsidR="00FC369D" w:rsidRPr="003C468B">
        <w:t xml:space="preserve"> and</w:t>
      </w:r>
      <w:r w:rsidR="004D2DDC">
        <w:t xml:space="preserve"> the obligations Australia has</w:t>
      </w:r>
      <w:r w:rsidR="00FC369D" w:rsidRPr="003C468B">
        <w:t xml:space="preserve"> in respect of </w:t>
      </w:r>
      <w:r w:rsidRPr="003C468B">
        <w:t xml:space="preserve">recognising and enforcing </w:t>
      </w:r>
      <w:r w:rsidR="00FC369D" w:rsidRPr="003C468B">
        <w:t>foreign awards specifically</w:t>
      </w:r>
      <w:r w:rsidR="00D316C9">
        <w:t xml:space="preserve"> (in s</w:t>
      </w:r>
      <w:r w:rsidR="00BA77A4" w:rsidRPr="003C468B">
        <w:t xml:space="preserve"> </w:t>
      </w:r>
      <w:proofErr w:type="gramStart"/>
      <w:r w:rsidR="00D316C9">
        <w:t>2D</w:t>
      </w:r>
      <w:r w:rsidR="00BA77A4" w:rsidRPr="003C468B">
        <w:t>(</w:t>
      </w:r>
      <w:proofErr w:type="gramEnd"/>
      <w:r w:rsidR="00BA77A4" w:rsidRPr="003C468B">
        <w:t>d))</w:t>
      </w:r>
      <w:r w:rsidR="00FC369D" w:rsidRPr="003C468B">
        <w:t>.</w:t>
      </w:r>
      <w:r w:rsidR="00BA77A4" w:rsidRPr="003C468B">
        <w:t xml:space="preserve"> </w:t>
      </w:r>
    </w:p>
    <w:p w:rsidR="004845E4" w:rsidRPr="003C468B" w:rsidRDefault="004845E4" w:rsidP="004845E4">
      <w:pPr>
        <w:pStyle w:val="ParaNumbering"/>
      </w:pPr>
      <w:r w:rsidRPr="003C468B">
        <w:lastRenderedPageBreak/>
        <w:t xml:space="preserve">The specification of ‘foreign’ awards and arbitration agreements in </w:t>
      </w:r>
      <w:proofErr w:type="spellStart"/>
      <w:r w:rsidRPr="003C468B">
        <w:t>pt</w:t>
      </w:r>
      <w:proofErr w:type="spellEnd"/>
      <w:r w:rsidRPr="003C468B">
        <w:t xml:space="preserve"> II and the objects of the IAA points against a presumed intention that s 22A be read expansively to include foreign-seated arbitral proceed</w:t>
      </w:r>
      <w:r w:rsidR="00084B13" w:rsidRPr="003C468B">
        <w:t>ings.</w:t>
      </w:r>
    </w:p>
    <w:p w:rsidR="005445A5" w:rsidRPr="003C468B" w:rsidRDefault="00965431" w:rsidP="005445A5">
      <w:pPr>
        <w:pStyle w:val="ParaNumbering"/>
      </w:pPr>
      <w:r w:rsidRPr="003C468B">
        <w:t xml:space="preserve">Samsung submitted, for the Second Application, that ‘[t]here is nothing in the legislative history to support a narrow and restricted interpretation of subsection (c) of s 22A’. Earlier, in relation to the First Application, it had submitted that ‘[t]he legislative context also strongly supports the wider interpretation of s 23’. Leading commentators on the IAA have observed that </w:t>
      </w:r>
      <w:proofErr w:type="spellStart"/>
      <w:r w:rsidRPr="003C468B">
        <w:t>pt</w:t>
      </w:r>
      <w:proofErr w:type="spellEnd"/>
      <w:r w:rsidRPr="003C468B">
        <w:t xml:space="preserve"> III (including ss 22A and 23) was introduced to encourage international arbitration taking place in Australia: </w:t>
      </w:r>
      <w:r w:rsidRPr="003C468B">
        <w:rPr>
          <w:szCs w:val="24"/>
        </w:rPr>
        <w:t xml:space="preserve">Malcolm Holmes and Chester Brown, </w:t>
      </w:r>
      <w:r w:rsidRPr="003C468B">
        <w:rPr>
          <w:i/>
          <w:szCs w:val="24"/>
        </w:rPr>
        <w:t>The International Arbitration Act 1974: A Commentary</w:t>
      </w:r>
      <w:r w:rsidRPr="003C468B">
        <w:rPr>
          <w:szCs w:val="24"/>
        </w:rPr>
        <w:t xml:space="preserve"> (2</w:t>
      </w:r>
      <w:r w:rsidRPr="003C468B">
        <w:rPr>
          <w:szCs w:val="24"/>
          <w:vertAlign w:val="superscript"/>
        </w:rPr>
        <w:t>nd</w:t>
      </w:r>
      <w:r w:rsidRPr="003C468B">
        <w:rPr>
          <w:szCs w:val="24"/>
        </w:rPr>
        <w:t xml:space="preserve"> ed, Lexis Nexis, 2015) </w:t>
      </w:r>
      <w:r w:rsidR="00D316C9">
        <w:rPr>
          <w:szCs w:val="24"/>
        </w:rPr>
        <w:t xml:space="preserve">at </w:t>
      </w:r>
      <w:r w:rsidRPr="003C468B">
        <w:rPr>
          <w:szCs w:val="24"/>
        </w:rPr>
        <w:t>5</w:t>
      </w:r>
      <w:proofErr w:type="gramStart"/>
      <w:r w:rsidRPr="003C468B">
        <w:rPr>
          <w:szCs w:val="24"/>
        </w:rPr>
        <w:t>.</w:t>
      </w:r>
      <w:r w:rsidRPr="003C468B">
        <w:t xml:space="preserve"> </w:t>
      </w:r>
      <w:proofErr w:type="gramEnd"/>
      <w:r w:rsidR="005445A5" w:rsidRPr="003C468B">
        <w:t xml:space="preserve">Indeed, prior to the introduction of </w:t>
      </w:r>
      <w:proofErr w:type="spellStart"/>
      <w:r w:rsidR="004845E4" w:rsidRPr="003C468B">
        <w:t>pt</w:t>
      </w:r>
      <w:proofErr w:type="spellEnd"/>
      <w:r w:rsidR="005445A5" w:rsidRPr="003C468B">
        <w:t xml:space="preserve"> III provisions in 2010, the </w:t>
      </w:r>
      <w:r w:rsidR="00084B13" w:rsidRPr="003C468B">
        <w:t xml:space="preserve">Commonwealth </w:t>
      </w:r>
      <w:r w:rsidR="005445A5" w:rsidRPr="003C468B">
        <w:t xml:space="preserve">Attorney-General, in a media release issued on 21 November 2008 to outline the need for review of the IAA, cited the intention of ‘developing Australia as a regional hub for international commercial dispute resolution’: </w:t>
      </w:r>
      <w:r w:rsidR="00DE7EA4" w:rsidRPr="003C468B">
        <w:t>Attorney-General’</w:t>
      </w:r>
      <w:r w:rsidR="005445A5" w:rsidRPr="003C468B">
        <w:t>s Department, ‘Australian Government Moves to Modernise International Arbitration’ (Press Release, 21 November 2008).</w:t>
      </w:r>
    </w:p>
    <w:p w:rsidR="003C38FF" w:rsidRPr="003C468B" w:rsidRDefault="003C38FF" w:rsidP="00DD0B92">
      <w:pPr>
        <w:pStyle w:val="ParaNumbering"/>
      </w:pPr>
      <w:r w:rsidRPr="003C468B">
        <w:t>As Holmes and Brown note at 6:</w:t>
      </w:r>
    </w:p>
    <w:p w:rsidR="003C38FF" w:rsidRPr="003C468B" w:rsidRDefault="003C38FF" w:rsidP="00030FCE">
      <w:pPr>
        <w:pStyle w:val="Quote1"/>
      </w:pPr>
      <w:r w:rsidRPr="003C468B">
        <w:t xml:space="preserve">On 21 November 2008, the Commonwealth Attorney-General announced a review of the Act and released a discussion paper to stimulate debate about the future of the Act (the Review). The Review resulted in, first, the </w:t>
      </w:r>
      <w:r w:rsidRPr="00D316C9">
        <w:rPr>
          <w:i/>
        </w:rPr>
        <w:t>Federal Justice System Amendment (Efficiency Measures) Act (No 1) 2009</w:t>
      </w:r>
      <w:r w:rsidRPr="003C468B">
        <w:t xml:space="preserve"> (Cth), which conferred jurisdiction under the Act on the Federal Court of Australia </w:t>
      </w:r>
      <w:r w:rsidRPr="003C468B">
        <w:rPr>
          <w:i/>
        </w:rPr>
        <w:t>concurrently</w:t>
      </w:r>
      <w:r w:rsidRPr="003C468B">
        <w:t xml:space="preserve"> with that of the Supreme Courts of the states and territories; and second, the International Arbitration Amendment Act 2010 (Cth), which involved a major revision of the Act and the adoption of the 2006 amendments to the Model Law. </w:t>
      </w:r>
    </w:p>
    <w:p w:rsidR="003C38FF" w:rsidRPr="003C468B" w:rsidRDefault="003C38FF" w:rsidP="00030FCE">
      <w:pPr>
        <w:pStyle w:val="Quote1"/>
      </w:pPr>
      <w:r w:rsidRPr="003C468B">
        <w:t>(</w:t>
      </w:r>
      <w:proofErr w:type="gramStart"/>
      <w:r w:rsidRPr="003C468B">
        <w:t>emphasis</w:t>
      </w:r>
      <w:proofErr w:type="gramEnd"/>
      <w:r w:rsidRPr="003C468B">
        <w:t xml:space="preserve"> added)</w:t>
      </w:r>
    </w:p>
    <w:p w:rsidR="00FF4EB2" w:rsidRPr="003C468B" w:rsidRDefault="00FF4EB2" w:rsidP="00DD0B92">
      <w:pPr>
        <w:pStyle w:val="ParaNumbering"/>
      </w:pPr>
      <w:r w:rsidRPr="003C468B">
        <w:t xml:space="preserve">Section 3 of </w:t>
      </w:r>
      <w:proofErr w:type="spellStart"/>
      <w:r w:rsidRPr="003C468B">
        <w:t>sch</w:t>
      </w:r>
      <w:proofErr w:type="spellEnd"/>
      <w:r w:rsidRPr="003C468B">
        <w:t xml:space="preserve"> 1 of the </w:t>
      </w:r>
      <w:r w:rsidR="00D316C9" w:rsidRPr="00D316C9">
        <w:rPr>
          <w:i/>
        </w:rPr>
        <w:t>Federal Justice System Amendment (Efficiency Measures) Act (No 1) 2009</w:t>
      </w:r>
      <w:r w:rsidR="00D316C9" w:rsidRPr="003C468B">
        <w:t xml:space="preserve"> (Cth)</w:t>
      </w:r>
      <w:r w:rsidR="00D316C9">
        <w:t xml:space="preserve"> </w:t>
      </w:r>
      <w:r w:rsidRPr="003C468B">
        <w:t>added the phrase ‘(c) in any case – the Federal Court of Australia’ to the end of s 18</w:t>
      </w:r>
      <w:r w:rsidR="00BA77A4" w:rsidRPr="003C468B">
        <w:t xml:space="preserve">, among other changes </w:t>
      </w:r>
      <w:r w:rsidR="00084B13" w:rsidRPr="003C468B">
        <w:t>which</w:t>
      </w:r>
      <w:r w:rsidR="00BA77A4" w:rsidRPr="003C468B">
        <w:t xml:space="preserve"> effectively </w:t>
      </w:r>
      <w:r w:rsidR="00084B13" w:rsidRPr="003C468B">
        <w:t>replicated for this</w:t>
      </w:r>
      <w:r w:rsidR="00BA77A4" w:rsidRPr="003C468B">
        <w:t xml:space="preserve"> Court the </w:t>
      </w:r>
      <w:r w:rsidR="00084B13" w:rsidRPr="003C468B">
        <w:t>jurisdiction that</w:t>
      </w:r>
      <w:r w:rsidR="00BA77A4" w:rsidRPr="003C468B">
        <w:t xml:space="preserve"> </w:t>
      </w:r>
      <w:r w:rsidR="00084B13" w:rsidRPr="003C468B">
        <w:t>State and Territory</w:t>
      </w:r>
      <w:r w:rsidR="00BA77A4" w:rsidRPr="003C468B">
        <w:t xml:space="preserve"> Supreme Courts</w:t>
      </w:r>
      <w:r w:rsidR="00084B13" w:rsidRPr="003C468B">
        <w:t xml:space="preserve"> had to exercise certain functions and powers under the IAA</w:t>
      </w:r>
      <w:r w:rsidRPr="003C468B">
        <w:t xml:space="preserve">. Section 16 of the </w:t>
      </w:r>
      <w:r w:rsidRPr="00D316C9">
        <w:rPr>
          <w:i/>
        </w:rPr>
        <w:t>International Arbitration Amendment Act 2010</w:t>
      </w:r>
      <w:r w:rsidRPr="003C468B">
        <w:t xml:space="preserve"> (Cth) added s 22A in full in terms (unchanged since then) that are near-identical to the terms of s 18, including the concurrent jurisdiction of this Court. </w:t>
      </w:r>
    </w:p>
    <w:p w:rsidR="00BA77A4" w:rsidRPr="003C468B" w:rsidRDefault="00BA77A4" w:rsidP="00BA77A4">
      <w:pPr>
        <w:pStyle w:val="ParaNumbering"/>
      </w:pPr>
      <w:r w:rsidRPr="003C468B">
        <w:t xml:space="preserve">The significance of concurrent jurisdiction is apparent </w:t>
      </w:r>
      <w:r w:rsidR="004D2DDC">
        <w:t>in</w:t>
      </w:r>
      <w:r w:rsidRPr="003C468B">
        <w:t xml:space="preserve"> the discussion that led to the changes. In its 2008 discussion paper on the review of the IAA, the Federal Government </w:t>
      </w:r>
      <w:r w:rsidRPr="003C468B">
        <w:lastRenderedPageBreak/>
        <w:t>suggested the conferral of exclusive jurisdiction over IAA matters to this Court. This proposal was met by significant opposit</w:t>
      </w:r>
      <w:r w:rsidR="003C468B" w:rsidRPr="003C468B">
        <w:t>ion from the Chief Justices of S</w:t>
      </w:r>
      <w:r w:rsidRPr="003C468B">
        <w:t xml:space="preserve">tate and </w:t>
      </w:r>
      <w:r w:rsidR="003C468B" w:rsidRPr="003C468B">
        <w:t>T</w:t>
      </w:r>
      <w:r w:rsidRPr="003C468B">
        <w:t>erritory Supreme Courts: see Chief Justices of the States and Territories,</w:t>
      </w:r>
      <w:r w:rsidR="00084B13" w:rsidRPr="003C468B">
        <w:t xml:space="preserve"> Submission to Attorney-General’</w:t>
      </w:r>
      <w:r w:rsidRPr="003C468B">
        <w:t xml:space="preserve">s Department, </w:t>
      </w:r>
      <w:r w:rsidRPr="003C468B">
        <w:rPr>
          <w:i/>
        </w:rPr>
        <w:t xml:space="preserve">Review of the International Arbitration Act </w:t>
      </w:r>
      <w:r w:rsidRPr="00D316C9">
        <w:rPr>
          <w:i/>
        </w:rPr>
        <w:t>1974 (Cth)</w:t>
      </w:r>
      <w:r w:rsidRPr="003C468B">
        <w:t xml:space="preserve">, 10 December 2008, 1. </w:t>
      </w:r>
      <w:r w:rsidR="00566DF9" w:rsidRPr="003C468B">
        <w:t>The</w:t>
      </w:r>
      <w:r w:rsidRPr="003C468B">
        <w:t xml:space="preserve"> Court was then, in 2008, given jurisdiction over IAA matters identical</w:t>
      </w:r>
      <w:r w:rsidR="00084B13" w:rsidRPr="003C468B">
        <w:t xml:space="preserve"> (or, concurrent)</w:t>
      </w:r>
      <w:r w:rsidRPr="003C468B">
        <w:t xml:space="preserve"> to t</w:t>
      </w:r>
      <w:r w:rsidR="003C468B" w:rsidRPr="003C468B">
        <w:t>hat given to State and T</w:t>
      </w:r>
      <w:r w:rsidR="00084B13" w:rsidRPr="003C468B">
        <w:t xml:space="preserve">erritory Supreme Courts, rather than exclusive jurisdiction. This would support an interpretation of s 22A(c) </w:t>
      </w:r>
      <w:r w:rsidR="00DE7EA4" w:rsidRPr="003C468B">
        <w:t>that limits</w:t>
      </w:r>
      <w:r w:rsidR="00084B13" w:rsidRPr="003C468B">
        <w:t xml:space="preserve"> this Court’s jurisdiction to that of the </w:t>
      </w:r>
      <w:r w:rsidR="003C468B" w:rsidRPr="003C468B">
        <w:t>State and T</w:t>
      </w:r>
      <w:r w:rsidR="00084B13" w:rsidRPr="003C468B">
        <w:t xml:space="preserve">erritory Supreme Courts. </w:t>
      </w:r>
    </w:p>
    <w:p w:rsidR="00EB2A0A" w:rsidRPr="003C468B" w:rsidRDefault="00EB2A0A" w:rsidP="00BA77A4">
      <w:pPr>
        <w:pStyle w:val="ParaNumbering"/>
      </w:pPr>
      <w:r w:rsidRPr="003C468B">
        <w:t xml:space="preserve">Indeed, returning to the revised explanatory memorandum for the bill introducing </w:t>
      </w:r>
      <w:proofErr w:type="spellStart"/>
      <w:r w:rsidRPr="003C468B">
        <w:t>pt</w:t>
      </w:r>
      <w:proofErr w:type="spellEnd"/>
      <w:r w:rsidRPr="003C468B">
        <w:t xml:space="preserve"> III provisions including ss 22A and 23,</w:t>
      </w:r>
      <w:r w:rsidR="00BA77A4" w:rsidRPr="003C468B">
        <w:t xml:space="preserve"> the </w:t>
      </w:r>
      <w:r w:rsidR="00BA77A4" w:rsidRPr="003C468B">
        <w:rPr>
          <w:i/>
        </w:rPr>
        <w:t>International Arbitration Amendment Bill 2009</w:t>
      </w:r>
      <w:r w:rsidR="00BA77A4" w:rsidRPr="003C468B">
        <w:t xml:space="preserve"> (Cth),</w:t>
      </w:r>
      <w:r w:rsidRPr="003C468B">
        <w:t xml:space="preserve"> the justification given for these changes was as follows, at [59]:</w:t>
      </w:r>
    </w:p>
    <w:p w:rsidR="00EB2A0A" w:rsidRDefault="00EB2A0A" w:rsidP="00030FCE">
      <w:pPr>
        <w:pStyle w:val="Quote1"/>
      </w:pPr>
      <w:r w:rsidRPr="003C468B">
        <w:t xml:space="preserve">The following items amend Part III of the Act which </w:t>
      </w:r>
      <w:r>
        <w:t xml:space="preserve">gives the force of law to the Model Law as the primary arbitral law governing the conduct of </w:t>
      </w:r>
      <w:r w:rsidRPr="005445A5">
        <w:rPr>
          <w:i/>
        </w:rPr>
        <w:t>international commercial arbitrations in Australia</w:t>
      </w:r>
      <w:r>
        <w:t>.</w:t>
      </w:r>
    </w:p>
    <w:p w:rsidR="005445A5" w:rsidRDefault="005445A5" w:rsidP="00030FCE">
      <w:pPr>
        <w:pStyle w:val="Quote1"/>
      </w:pPr>
      <w:r>
        <w:t>(</w:t>
      </w:r>
      <w:proofErr w:type="gramStart"/>
      <w:r>
        <w:t>emphasis</w:t>
      </w:r>
      <w:proofErr w:type="gramEnd"/>
      <w:r>
        <w:t xml:space="preserve"> added)</w:t>
      </w:r>
    </w:p>
    <w:p w:rsidR="00CC4017" w:rsidRDefault="00CC4017" w:rsidP="00CC4017">
      <w:pPr>
        <w:pStyle w:val="ParaNumbering"/>
      </w:pPr>
      <w:r w:rsidRPr="003C468B">
        <w:t>I am satisfied that the context and purpose of s 22A and th</w:t>
      </w:r>
      <w:r w:rsidR="003C468B" w:rsidRPr="003C468B">
        <w:t>e IAA more generally supports a</w:t>
      </w:r>
      <w:r w:rsidRPr="003C468B">
        <w:t xml:space="preserve"> </w:t>
      </w:r>
      <w:r w:rsidR="003C468B" w:rsidRPr="003C468B">
        <w:t>construction</w:t>
      </w:r>
      <w:r w:rsidRPr="003C468B">
        <w:t xml:space="preserve"> that it applies to arbitral proceedings seated in a </w:t>
      </w:r>
      <w:r w:rsidR="003C468B" w:rsidRPr="003C468B">
        <w:t>State or T</w:t>
      </w:r>
      <w:r w:rsidRPr="003C468B">
        <w:t>erritory of Australia.</w:t>
      </w:r>
      <w:r w:rsidR="000072B0" w:rsidRPr="003C468B">
        <w:t xml:space="preserve"> </w:t>
      </w:r>
      <w:r w:rsidR="003C468B" w:rsidRPr="003C468B">
        <w:t xml:space="preserve">To paraphrase </w:t>
      </w:r>
      <w:proofErr w:type="spellStart"/>
      <w:r w:rsidRPr="003C468B">
        <w:t>Gummow</w:t>
      </w:r>
      <w:proofErr w:type="spellEnd"/>
      <w:r w:rsidRPr="003C468B">
        <w:t xml:space="preserve"> J in </w:t>
      </w:r>
      <w:proofErr w:type="spellStart"/>
      <w:r w:rsidRPr="003C468B">
        <w:rPr>
          <w:i/>
        </w:rPr>
        <w:t>Kainhofer</w:t>
      </w:r>
      <w:proofErr w:type="spellEnd"/>
      <w:r w:rsidRPr="003C468B">
        <w:t xml:space="preserve"> in relation to the </w:t>
      </w:r>
      <w:r w:rsidR="00867E76" w:rsidRPr="003C468B">
        <w:t xml:space="preserve">somewhat </w:t>
      </w:r>
      <w:r w:rsidRPr="003C468B">
        <w:t xml:space="preserve">analogous statutory text there, s 22A(c) does not proceed on the footing that there is a further category of geographical locations for arbitrations beyond those held in a </w:t>
      </w:r>
      <w:r w:rsidR="003C468B" w:rsidRPr="003C468B">
        <w:t>State or T</w:t>
      </w:r>
      <w:r w:rsidRPr="003C468B">
        <w:t>erritory. Allowing for a third type of arbitral proceedings to be included, in the absence of clear words to that effect, would be inconsistent with the purpose of the IAA and indeed the purpose of the amendments that introduced both ss 22A and 23.</w:t>
      </w:r>
      <w:r w:rsidR="000072B0" w:rsidRPr="003C468B">
        <w:t xml:space="preserve"> The options and choices afforded under such provisions of </w:t>
      </w:r>
      <w:proofErr w:type="spellStart"/>
      <w:r w:rsidR="000072B0" w:rsidRPr="003C468B">
        <w:t>pt</w:t>
      </w:r>
      <w:proofErr w:type="spellEnd"/>
      <w:r w:rsidR="000072B0" w:rsidRPr="003C468B">
        <w:t xml:space="preserve"> III of the Act are therefore limited to parties who have </w:t>
      </w:r>
      <w:r w:rsidR="003C468B" w:rsidRPr="003C468B">
        <w:t>commenced their arbitral proceedings in Australia.</w:t>
      </w:r>
    </w:p>
    <w:p w:rsidR="004D2DDC" w:rsidRDefault="001A6BA4" w:rsidP="00CC4017">
      <w:pPr>
        <w:pStyle w:val="ParaNumbering"/>
      </w:pPr>
      <w:r>
        <w:t>Samsung’s alternative submission was</w:t>
      </w:r>
      <w:r w:rsidR="004D2DDC">
        <w:t xml:space="preserve"> that a territorial nexus would overcome the territorial limits on jurisdiction. Samsung </w:t>
      </w:r>
      <w:r>
        <w:t xml:space="preserve">made this submission primarily by reference to the ‘constitutional conceptions of predominant territorial nexus inherent in the federal compact and the nature of judicial power’. This submission was rather faintly put and I do not accept it. </w:t>
      </w:r>
    </w:p>
    <w:p w:rsidR="003C468B" w:rsidRDefault="007D4A1D" w:rsidP="00CC4017">
      <w:pPr>
        <w:pStyle w:val="ParaNumbering"/>
      </w:pPr>
      <w:r>
        <w:t>Finally, a</w:t>
      </w:r>
      <w:r w:rsidR="003C468B">
        <w:t xml:space="preserve">s I noted at [5] above, Samsung’s </w:t>
      </w:r>
      <w:r w:rsidR="003C468B" w:rsidRPr="003519B4">
        <w:t>solicitors had</w:t>
      </w:r>
      <w:r w:rsidR="003C468B">
        <w:t xml:space="preserve"> originally intended to</w:t>
      </w:r>
      <w:r w:rsidR="003C468B" w:rsidRPr="003519B4">
        <w:t xml:space="preserve"> seek the issue of a letter of request under </w:t>
      </w:r>
      <w:r w:rsidR="003C468B">
        <w:t xml:space="preserve">the Hague Evidence Convention, which it would have sought to effect through the </w:t>
      </w:r>
      <w:r w:rsidR="003C468B" w:rsidRPr="003519B4">
        <w:t>Western Australian Supreme Court</w:t>
      </w:r>
      <w:r w:rsidR="001A6BA4">
        <w:t>. However, at [20</w:t>
      </w:r>
      <w:r w:rsidR="003C468B">
        <w:t xml:space="preserve">] above, I also noted </w:t>
      </w:r>
      <w:r w:rsidR="003C468B">
        <w:lastRenderedPageBreak/>
        <w:t xml:space="preserve">Samsung’s further submission that because the Singaporean courts have no jurisdiction to issue subpoenas to persons outside Singapore, s 23 was the only available avenue for Samsung to achieve that end. This is not so. </w:t>
      </w:r>
    </w:p>
    <w:p w:rsidR="003C468B" w:rsidRDefault="003C468B" w:rsidP="00CC4017">
      <w:pPr>
        <w:pStyle w:val="ParaNumbering"/>
      </w:pPr>
      <w:r>
        <w:t xml:space="preserve">Singapore and Australia </w:t>
      </w:r>
      <w:r w:rsidR="0021437F">
        <w:t>are both</w:t>
      </w:r>
      <w:r w:rsidR="00866B0C">
        <w:t xml:space="preserve"> contracting</w:t>
      </w:r>
      <w:r w:rsidR="0021437F">
        <w:t xml:space="preserve"> parties to </w:t>
      </w:r>
      <w:r w:rsidR="004D2DDC">
        <w:t>T</w:t>
      </w:r>
      <w:r w:rsidR="0021437F">
        <w:t>he Hague Evidence Convention. U</w:t>
      </w:r>
      <w:r w:rsidR="0074003E">
        <w:t>nder art 1 of that</w:t>
      </w:r>
      <w:r w:rsidR="0021437F">
        <w:t xml:space="preserve"> Convention, the central authority of the requesting state may send a letter of request to the central authority of another contracting state for the taking of evidence. The letter must </w:t>
      </w:r>
      <w:r w:rsidR="00FC0E25">
        <w:t>be executed by a judicial authority</w:t>
      </w:r>
      <w:r w:rsidR="00C058F6">
        <w:t xml:space="preserve"> of the requested state</w:t>
      </w:r>
      <w:r w:rsidR="00FC0E25">
        <w:t xml:space="preserve"> that is competent to do so under its own law (art 2), which in this case would be the W</w:t>
      </w:r>
      <w:r w:rsidR="00866B0C">
        <w:t xml:space="preserve">estern Australian Supreme Court. </w:t>
      </w:r>
      <w:r w:rsidR="00E66A70">
        <w:t>Parties may apply to the Western Australian Supreme Court for assistance in obtaining evidence in a</w:t>
      </w:r>
      <w:r w:rsidR="006F044D">
        <w:t xml:space="preserve"> </w:t>
      </w:r>
      <w:r w:rsidR="00E66A70">
        <w:t>court</w:t>
      </w:r>
      <w:r w:rsidR="006F044D">
        <w:t xml:space="preserve"> or tribunal</w:t>
      </w:r>
      <w:r w:rsidR="00E66A70">
        <w:t xml:space="preserve"> which is outside Western Australia: </w:t>
      </w:r>
      <w:r w:rsidR="00E66A70">
        <w:rPr>
          <w:i/>
        </w:rPr>
        <w:t xml:space="preserve">Evidence Act 1906 </w:t>
      </w:r>
      <w:r w:rsidR="00866B0C">
        <w:t>(WA) ss 115–118</w:t>
      </w:r>
      <w:r w:rsidR="00E66A70">
        <w:t xml:space="preserve">; </w:t>
      </w:r>
      <w:r w:rsidR="00E66A70">
        <w:rPr>
          <w:i/>
        </w:rPr>
        <w:t xml:space="preserve">Rules of the Supreme Court 1971 </w:t>
      </w:r>
      <w:r w:rsidR="00E66A70">
        <w:t>(WA) O 39.</w:t>
      </w:r>
    </w:p>
    <w:p w:rsidR="004D2DDC" w:rsidRDefault="004D2DDC" w:rsidP="004D2DDC">
      <w:pPr>
        <w:pStyle w:val="Heading2"/>
      </w:pPr>
      <w:r>
        <w:t>The second issue: reasonableness</w:t>
      </w:r>
    </w:p>
    <w:p w:rsidR="006C2A8B" w:rsidRPr="003C468B" w:rsidRDefault="006C2A8B" w:rsidP="00CC4017">
      <w:pPr>
        <w:pStyle w:val="ParaNumbering"/>
      </w:pPr>
      <w:r>
        <w:t xml:space="preserve">There is, in light of </w:t>
      </w:r>
      <w:r w:rsidR="00F82380">
        <w:t xml:space="preserve">my </w:t>
      </w:r>
      <w:r>
        <w:t>conclusion as to the first issue, no need to consider the second issue.</w:t>
      </w:r>
    </w:p>
    <w:p w:rsidR="00227CA3" w:rsidRDefault="00113645" w:rsidP="00113645">
      <w:pPr>
        <w:pStyle w:val="Heading2"/>
      </w:pPr>
      <w:r>
        <w:t>Conclusion and order</w:t>
      </w:r>
    </w:p>
    <w:p w:rsidR="00113645" w:rsidRDefault="003C468B" w:rsidP="00113645">
      <w:pPr>
        <w:pStyle w:val="ParaNumbering"/>
      </w:pPr>
      <w:r>
        <w:t xml:space="preserve">Samsung’s application, for the above reasons, fails, and I will refuse leave to issue further subpoenas, and dismiss the application. </w:t>
      </w:r>
    </w:p>
    <w:p w:rsidR="00BB2186" w:rsidRDefault="00BB2186" w:rsidP="002D025B">
      <w:pPr>
        <w:pStyle w:val="BodyText"/>
      </w:pPr>
      <w:bookmarkStart w:id="20" w:name="Certification"/>
    </w:p>
    <w:tbl>
      <w:tblPr>
        <w:tblW w:w="0" w:type="auto"/>
        <w:tblLook w:val="04A0" w:firstRow="1" w:lastRow="0" w:firstColumn="1" w:lastColumn="0" w:noHBand="0" w:noVBand="1"/>
      </w:tblPr>
      <w:tblGrid>
        <w:gridCol w:w="3794"/>
      </w:tblGrid>
      <w:tr w:rsidR="00BB2186" w:rsidRPr="00BB2186">
        <w:tc>
          <w:tcPr>
            <w:tcW w:w="3794" w:type="dxa"/>
            <w:shd w:val="clear" w:color="auto" w:fill="auto"/>
          </w:tcPr>
          <w:p w:rsidR="00BB2186" w:rsidRPr="00BB2186" w:rsidRDefault="00BB2186" w:rsidP="00AE5CF7">
            <w:pPr>
              <w:pStyle w:val="Normal1linespace"/>
            </w:pPr>
            <w:r w:rsidRPr="00BB2186">
              <w:t xml:space="preserve">I certify that the preceding </w:t>
            </w:r>
            <w:r w:rsidR="000E0E7C">
              <w:t>fifty-</w:t>
            </w:r>
            <w:r w:rsidR="004C1DC0">
              <w:t>three</w:t>
            </w:r>
            <w:r w:rsidRPr="00BB2186">
              <w:t xml:space="preserve"> (</w:t>
            </w:r>
            <w:r w:rsidR="003C468B">
              <w:t>5</w:t>
            </w:r>
            <w:r w:rsidR="004C1DC0">
              <w:t>3</w:t>
            </w:r>
            <w:r w:rsidRPr="00BB2186">
              <w:t xml:space="preserve">) numbered </w:t>
            </w:r>
            <w:bookmarkStart w:id="21" w:name="CertPara"/>
            <w:r>
              <w:t>paragraphs are</w:t>
            </w:r>
            <w:bookmarkEnd w:id="21"/>
            <w:r w:rsidRPr="00BB2186">
              <w:t xml:space="preserve"> a true copy of the Reasons for Judgment herein of the Honourable </w:t>
            </w:r>
            <w:bookmarkStart w:id="22" w:name="Justice"/>
            <w:r>
              <w:t>Justice Gilmour</w:t>
            </w:r>
            <w:bookmarkEnd w:id="22"/>
            <w:r w:rsidRPr="00BB2186">
              <w:t>.</w:t>
            </w:r>
          </w:p>
        </w:tc>
      </w:tr>
    </w:tbl>
    <w:p w:rsidR="00BB2186" w:rsidRDefault="00BB2186" w:rsidP="002D025B">
      <w:pPr>
        <w:pStyle w:val="BodyText"/>
      </w:pPr>
      <w:bookmarkStart w:id="23" w:name="_GoBack"/>
      <w:bookmarkEnd w:id="23"/>
    </w:p>
    <w:p w:rsidR="00BB2186" w:rsidRDefault="00BB2186" w:rsidP="002D025B">
      <w:pPr>
        <w:pStyle w:val="BodyText"/>
      </w:pPr>
      <w:r>
        <w:t>Associate:</w:t>
      </w:r>
    </w:p>
    <w:p w:rsidR="00BB2186" w:rsidRDefault="00BB2186" w:rsidP="002D025B">
      <w:pPr>
        <w:pStyle w:val="BodyText"/>
      </w:pPr>
    </w:p>
    <w:p w:rsidR="00BB2186" w:rsidRDefault="00BB2186" w:rsidP="002D025B">
      <w:pPr>
        <w:pStyle w:val="BodyText"/>
        <w:tabs>
          <w:tab w:val="left" w:pos="1134"/>
        </w:tabs>
      </w:pPr>
      <w:r>
        <w:t>Dated:</w:t>
      </w:r>
      <w:r>
        <w:tab/>
      </w:r>
      <w:bookmarkStart w:id="24" w:name="CertifyDated"/>
      <w:r w:rsidR="007D4A1D">
        <w:t>5</w:t>
      </w:r>
      <w:r w:rsidR="007F10F1">
        <w:t xml:space="preserve"> October</w:t>
      </w:r>
      <w:r>
        <w:t xml:space="preserve"> 2017</w:t>
      </w:r>
      <w:bookmarkEnd w:id="24"/>
    </w:p>
    <w:p w:rsidR="00BB2186" w:rsidRDefault="00BB2186" w:rsidP="002D025B">
      <w:pPr>
        <w:pStyle w:val="BodyText"/>
      </w:pPr>
    </w:p>
    <w:bookmarkEnd w:id="20"/>
    <w:p w:rsidR="00BB2186" w:rsidRPr="002F2F70" w:rsidRDefault="00BB2186" w:rsidP="00BB2186">
      <w:pPr>
        <w:pStyle w:val="BodyText"/>
      </w:pPr>
    </w:p>
    <w:sectPr w:rsidR="00BB2186" w:rsidRPr="002F2F7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FC" w:rsidRDefault="007F5AFC">
      <w:pPr>
        <w:spacing w:line="20" w:lineRule="exact"/>
      </w:pPr>
    </w:p>
    <w:p w:rsidR="007F5AFC" w:rsidRDefault="007F5AFC"/>
    <w:p w:rsidR="007F5AFC" w:rsidRDefault="007F5AFC"/>
  </w:endnote>
  <w:endnote w:type="continuationSeparator" w:id="0">
    <w:p w:rsidR="007F5AFC" w:rsidRDefault="007F5AFC">
      <w:r>
        <w:t xml:space="preserve"> </w:t>
      </w:r>
    </w:p>
    <w:p w:rsidR="007F5AFC" w:rsidRDefault="007F5AFC"/>
    <w:p w:rsidR="007F5AFC" w:rsidRDefault="007F5AFC"/>
  </w:endnote>
  <w:endnote w:type="continuationNotice" w:id="1">
    <w:p w:rsidR="007F5AFC" w:rsidRDefault="007F5AFC">
      <w:r>
        <w:t xml:space="preserve"> </w:t>
      </w:r>
    </w:p>
    <w:p w:rsidR="007F5AFC" w:rsidRDefault="007F5AFC"/>
    <w:p w:rsidR="007F5AFC" w:rsidRDefault="007F5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Pr="00FE1350" w:rsidRDefault="009B3FAC" w:rsidP="00FE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Pr="00FE1350" w:rsidRDefault="009B3FAC" w:rsidP="00FE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FC" w:rsidRDefault="007F5AFC"/>
    <w:p w:rsidR="007F5AFC" w:rsidRDefault="007F5AFC"/>
    <w:p w:rsidR="007F5AFC" w:rsidRDefault="007F5AFC"/>
  </w:footnote>
  <w:footnote w:type="continuationSeparator" w:id="0">
    <w:p w:rsidR="007F5AFC" w:rsidRDefault="007F5AFC">
      <w:r>
        <w:continuationSeparator/>
      </w:r>
    </w:p>
    <w:p w:rsidR="007F5AFC" w:rsidRDefault="007F5AFC"/>
    <w:p w:rsidR="007F5AFC" w:rsidRDefault="007F5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Default="009B3FA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Default="009B3FAC">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Default="009B3F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Default="009B3FAC">
    <w:pPr>
      <w:tabs>
        <w:tab w:val="center" w:pos="4512"/>
      </w:tabs>
      <w:suppressAutoHyphens/>
    </w:pPr>
    <w:r>
      <w:tab/>
      <w:t xml:space="preserve">- </w:t>
    </w:r>
    <w:r>
      <w:fldChar w:fldCharType="begin"/>
    </w:r>
    <w:r>
      <w:instrText>page \* arabic</w:instrText>
    </w:r>
    <w:r>
      <w:fldChar w:fldCharType="separate"/>
    </w:r>
    <w:r w:rsidR="00ED49FB">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AC" w:rsidRDefault="009B3FA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 w:numId="28">
    <w:abstractNumId w:val="13"/>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146 of 2017"/>
    <w:docVar w:name="Initiators" w:val="(and another named in the Schedule)"/>
    <w:docVar w:name="InTheMatterOf" w:val="Samsung C&amp;T Corporation (with Republic of Korea Registration Number 110111-0015762)"/>
    <w:docVar w:name="Judgdate" w:val="## October 2017"/>
    <w:docVar w:name="Judge" w:val="Gilmour"/>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Commercial and Corporations"/>
    <w:docVar w:name="RESAndAnother" w:val="True"/>
    <w:docVar w:name="RESAndOthers" w:val="False"/>
    <w:docVar w:name="ResState" w:val="Western Australia"/>
    <w:docVar w:name="SubArea" w:val="International Commercial Arbitration (C &amp; C)"/>
  </w:docVars>
  <w:rsids>
    <w:rsidRoot w:val="00C6022C"/>
    <w:rsid w:val="000035BD"/>
    <w:rsid w:val="000072B0"/>
    <w:rsid w:val="0001469E"/>
    <w:rsid w:val="00015993"/>
    <w:rsid w:val="00020854"/>
    <w:rsid w:val="00022289"/>
    <w:rsid w:val="00023D9B"/>
    <w:rsid w:val="00030FCE"/>
    <w:rsid w:val="00032F9F"/>
    <w:rsid w:val="000361EA"/>
    <w:rsid w:val="00041C07"/>
    <w:rsid w:val="00045BB7"/>
    <w:rsid w:val="0005358D"/>
    <w:rsid w:val="00055719"/>
    <w:rsid w:val="000561D2"/>
    <w:rsid w:val="0005641B"/>
    <w:rsid w:val="00080A11"/>
    <w:rsid w:val="00081497"/>
    <w:rsid w:val="00084B13"/>
    <w:rsid w:val="000923B3"/>
    <w:rsid w:val="000A2E76"/>
    <w:rsid w:val="000A4807"/>
    <w:rsid w:val="000A4BE4"/>
    <w:rsid w:val="000A65B5"/>
    <w:rsid w:val="000A7923"/>
    <w:rsid w:val="000B121A"/>
    <w:rsid w:val="000C023E"/>
    <w:rsid w:val="000C5195"/>
    <w:rsid w:val="000C524B"/>
    <w:rsid w:val="000C62EF"/>
    <w:rsid w:val="000D2137"/>
    <w:rsid w:val="000D3FD2"/>
    <w:rsid w:val="000E0E7C"/>
    <w:rsid w:val="000E4E4A"/>
    <w:rsid w:val="000E7BAE"/>
    <w:rsid w:val="000F133D"/>
    <w:rsid w:val="0010536B"/>
    <w:rsid w:val="0011145C"/>
    <w:rsid w:val="001128BD"/>
    <w:rsid w:val="00113645"/>
    <w:rsid w:val="0011419D"/>
    <w:rsid w:val="00132054"/>
    <w:rsid w:val="00134483"/>
    <w:rsid w:val="001727A4"/>
    <w:rsid w:val="0017376C"/>
    <w:rsid w:val="001738AB"/>
    <w:rsid w:val="001765E0"/>
    <w:rsid w:val="00177759"/>
    <w:rsid w:val="00185E6B"/>
    <w:rsid w:val="00187BBC"/>
    <w:rsid w:val="001932F3"/>
    <w:rsid w:val="001A1B06"/>
    <w:rsid w:val="001A4309"/>
    <w:rsid w:val="001A6BA4"/>
    <w:rsid w:val="001B1053"/>
    <w:rsid w:val="001B14AC"/>
    <w:rsid w:val="001B7940"/>
    <w:rsid w:val="001C37CA"/>
    <w:rsid w:val="001D4303"/>
    <w:rsid w:val="001D6746"/>
    <w:rsid w:val="001E3B49"/>
    <w:rsid w:val="001E7388"/>
    <w:rsid w:val="001F086D"/>
    <w:rsid w:val="001F13DD"/>
    <w:rsid w:val="001F2DBC"/>
    <w:rsid w:val="0020262C"/>
    <w:rsid w:val="0021437F"/>
    <w:rsid w:val="00220E31"/>
    <w:rsid w:val="00221F70"/>
    <w:rsid w:val="00224537"/>
    <w:rsid w:val="00227CA3"/>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5641"/>
    <w:rsid w:val="00297A38"/>
    <w:rsid w:val="002A1B50"/>
    <w:rsid w:val="002B0E91"/>
    <w:rsid w:val="002B40BA"/>
    <w:rsid w:val="002B6779"/>
    <w:rsid w:val="002B71C0"/>
    <w:rsid w:val="002B7A34"/>
    <w:rsid w:val="002C31AD"/>
    <w:rsid w:val="002C7385"/>
    <w:rsid w:val="002D025B"/>
    <w:rsid w:val="002D2DBB"/>
    <w:rsid w:val="002D54A6"/>
    <w:rsid w:val="002E6A7A"/>
    <w:rsid w:val="002F1E49"/>
    <w:rsid w:val="002F2F70"/>
    <w:rsid w:val="002F4E9C"/>
    <w:rsid w:val="0031256C"/>
    <w:rsid w:val="00314D6C"/>
    <w:rsid w:val="00316D2A"/>
    <w:rsid w:val="00322A7C"/>
    <w:rsid w:val="0033750D"/>
    <w:rsid w:val="003402D3"/>
    <w:rsid w:val="00343ABC"/>
    <w:rsid w:val="00344A32"/>
    <w:rsid w:val="003463FE"/>
    <w:rsid w:val="003519B4"/>
    <w:rsid w:val="003554B3"/>
    <w:rsid w:val="00356632"/>
    <w:rsid w:val="003845A9"/>
    <w:rsid w:val="00390883"/>
    <w:rsid w:val="003922F8"/>
    <w:rsid w:val="00395B24"/>
    <w:rsid w:val="003A2D38"/>
    <w:rsid w:val="003A7ECC"/>
    <w:rsid w:val="003B15C7"/>
    <w:rsid w:val="003B2C72"/>
    <w:rsid w:val="003C1333"/>
    <w:rsid w:val="003C20FF"/>
    <w:rsid w:val="003C38FF"/>
    <w:rsid w:val="003C468B"/>
    <w:rsid w:val="003D2650"/>
    <w:rsid w:val="003D560C"/>
    <w:rsid w:val="003E5874"/>
    <w:rsid w:val="003F193E"/>
    <w:rsid w:val="003F2012"/>
    <w:rsid w:val="003F34F1"/>
    <w:rsid w:val="00411AE8"/>
    <w:rsid w:val="00413B74"/>
    <w:rsid w:val="00435C5F"/>
    <w:rsid w:val="00441E98"/>
    <w:rsid w:val="004532F7"/>
    <w:rsid w:val="004617A7"/>
    <w:rsid w:val="00472027"/>
    <w:rsid w:val="00476CCD"/>
    <w:rsid w:val="004804CF"/>
    <w:rsid w:val="004845E4"/>
    <w:rsid w:val="00484962"/>
    <w:rsid w:val="00484F6D"/>
    <w:rsid w:val="0049338A"/>
    <w:rsid w:val="0049417F"/>
    <w:rsid w:val="004A5DCF"/>
    <w:rsid w:val="004B3EFA"/>
    <w:rsid w:val="004C1DC0"/>
    <w:rsid w:val="004C2A87"/>
    <w:rsid w:val="004C4E24"/>
    <w:rsid w:val="004C4ED3"/>
    <w:rsid w:val="004D2DDC"/>
    <w:rsid w:val="004D2EA5"/>
    <w:rsid w:val="004D32A6"/>
    <w:rsid w:val="004D53E5"/>
    <w:rsid w:val="00501A12"/>
    <w:rsid w:val="0051346D"/>
    <w:rsid w:val="00513EAE"/>
    <w:rsid w:val="00516806"/>
    <w:rsid w:val="005178CE"/>
    <w:rsid w:val="00525A49"/>
    <w:rsid w:val="00535613"/>
    <w:rsid w:val="005359EB"/>
    <w:rsid w:val="0054254A"/>
    <w:rsid w:val="005445A5"/>
    <w:rsid w:val="00545AD6"/>
    <w:rsid w:val="005466B5"/>
    <w:rsid w:val="005629B3"/>
    <w:rsid w:val="00566DF9"/>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3702F"/>
    <w:rsid w:val="00640F4E"/>
    <w:rsid w:val="00643DE0"/>
    <w:rsid w:val="00644E85"/>
    <w:rsid w:val="00656F9B"/>
    <w:rsid w:val="0066063F"/>
    <w:rsid w:val="00662BB0"/>
    <w:rsid w:val="00663878"/>
    <w:rsid w:val="00667773"/>
    <w:rsid w:val="00670743"/>
    <w:rsid w:val="00690EE2"/>
    <w:rsid w:val="00697E0E"/>
    <w:rsid w:val="006A0E20"/>
    <w:rsid w:val="006A5695"/>
    <w:rsid w:val="006A7598"/>
    <w:rsid w:val="006B3904"/>
    <w:rsid w:val="006B5B7D"/>
    <w:rsid w:val="006C2A8B"/>
    <w:rsid w:val="006C6C21"/>
    <w:rsid w:val="006D0ECF"/>
    <w:rsid w:val="006D4C92"/>
    <w:rsid w:val="006D4EB6"/>
    <w:rsid w:val="006E35BF"/>
    <w:rsid w:val="006E7850"/>
    <w:rsid w:val="006F044D"/>
    <w:rsid w:val="006F6CDD"/>
    <w:rsid w:val="006F7967"/>
    <w:rsid w:val="007028D9"/>
    <w:rsid w:val="00707218"/>
    <w:rsid w:val="00712B1D"/>
    <w:rsid w:val="007325D9"/>
    <w:rsid w:val="007360CA"/>
    <w:rsid w:val="0074003E"/>
    <w:rsid w:val="007701C6"/>
    <w:rsid w:val="0078003A"/>
    <w:rsid w:val="00780771"/>
    <w:rsid w:val="007929CF"/>
    <w:rsid w:val="007A04E1"/>
    <w:rsid w:val="007A6F28"/>
    <w:rsid w:val="007B03C6"/>
    <w:rsid w:val="007B0DB1"/>
    <w:rsid w:val="007D2EF8"/>
    <w:rsid w:val="007D4A1D"/>
    <w:rsid w:val="007D561F"/>
    <w:rsid w:val="007D7FD2"/>
    <w:rsid w:val="007E13D9"/>
    <w:rsid w:val="007E4DB6"/>
    <w:rsid w:val="007E53D8"/>
    <w:rsid w:val="007E7CD4"/>
    <w:rsid w:val="007F10F1"/>
    <w:rsid w:val="007F1776"/>
    <w:rsid w:val="007F5368"/>
    <w:rsid w:val="007F5AFC"/>
    <w:rsid w:val="007F7C5D"/>
    <w:rsid w:val="00801800"/>
    <w:rsid w:val="00801B5B"/>
    <w:rsid w:val="00807319"/>
    <w:rsid w:val="00816631"/>
    <w:rsid w:val="00827618"/>
    <w:rsid w:val="008276B4"/>
    <w:rsid w:val="00831927"/>
    <w:rsid w:val="00841BD3"/>
    <w:rsid w:val="0084273D"/>
    <w:rsid w:val="00844E3F"/>
    <w:rsid w:val="00845A83"/>
    <w:rsid w:val="00866B0C"/>
    <w:rsid w:val="00867E76"/>
    <w:rsid w:val="008712BB"/>
    <w:rsid w:val="008830FC"/>
    <w:rsid w:val="00887331"/>
    <w:rsid w:val="00890B7E"/>
    <w:rsid w:val="008A2484"/>
    <w:rsid w:val="008B0369"/>
    <w:rsid w:val="008C26D9"/>
    <w:rsid w:val="008C6D50"/>
    <w:rsid w:val="008C7167"/>
    <w:rsid w:val="008C71F5"/>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4691A"/>
    <w:rsid w:val="009579A3"/>
    <w:rsid w:val="00957DE8"/>
    <w:rsid w:val="00960ECB"/>
    <w:rsid w:val="009615D6"/>
    <w:rsid w:val="00965431"/>
    <w:rsid w:val="00967855"/>
    <w:rsid w:val="00980736"/>
    <w:rsid w:val="00981A39"/>
    <w:rsid w:val="00987097"/>
    <w:rsid w:val="009A248C"/>
    <w:rsid w:val="009A5AA2"/>
    <w:rsid w:val="009B046C"/>
    <w:rsid w:val="009B13FA"/>
    <w:rsid w:val="009B1E2D"/>
    <w:rsid w:val="009B3FAC"/>
    <w:rsid w:val="009C59FB"/>
    <w:rsid w:val="009C6F3B"/>
    <w:rsid w:val="009E4FA6"/>
    <w:rsid w:val="009E7D93"/>
    <w:rsid w:val="009F0F98"/>
    <w:rsid w:val="009F1661"/>
    <w:rsid w:val="009F5C33"/>
    <w:rsid w:val="00A03CCD"/>
    <w:rsid w:val="00A03EAC"/>
    <w:rsid w:val="00A11CA6"/>
    <w:rsid w:val="00A20C49"/>
    <w:rsid w:val="00A269CA"/>
    <w:rsid w:val="00A359AC"/>
    <w:rsid w:val="00A41413"/>
    <w:rsid w:val="00A45FB1"/>
    <w:rsid w:val="00A46CCC"/>
    <w:rsid w:val="00A51630"/>
    <w:rsid w:val="00A51CFE"/>
    <w:rsid w:val="00A75DE0"/>
    <w:rsid w:val="00A76C13"/>
    <w:rsid w:val="00A92E79"/>
    <w:rsid w:val="00A950B6"/>
    <w:rsid w:val="00AB41C1"/>
    <w:rsid w:val="00AD12A8"/>
    <w:rsid w:val="00AE5CF7"/>
    <w:rsid w:val="00AF1C9A"/>
    <w:rsid w:val="00AF3577"/>
    <w:rsid w:val="00AF35F9"/>
    <w:rsid w:val="00B05C7D"/>
    <w:rsid w:val="00B346C3"/>
    <w:rsid w:val="00B4471C"/>
    <w:rsid w:val="00B451A6"/>
    <w:rsid w:val="00B722DE"/>
    <w:rsid w:val="00B76C44"/>
    <w:rsid w:val="00B83F87"/>
    <w:rsid w:val="00BA2EFA"/>
    <w:rsid w:val="00BA3DBC"/>
    <w:rsid w:val="00BA77A4"/>
    <w:rsid w:val="00BB2186"/>
    <w:rsid w:val="00BB2DA2"/>
    <w:rsid w:val="00BB56DC"/>
    <w:rsid w:val="00BE183D"/>
    <w:rsid w:val="00BF0943"/>
    <w:rsid w:val="00BF5D7A"/>
    <w:rsid w:val="00C034EF"/>
    <w:rsid w:val="00C058F6"/>
    <w:rsid w:val="00C219EC"/>
    <w:rsid w:val="00C26B96"/>
    <w:rsid w:val="00C36442"/>
    <w:rsid w:val="00C400CE"/>
    <w:rsid w:val="00C40B55"/>
    <w:rsid w:val="00C410FD"/>
    <w:rsid w:val="00C539FB"/>
    <w:rsid w:val="00C6022C"/>
    <w:rsid w:val="00C71255"/>
    <w:rsid w:val="00C72D28"/>
    <w:rsid w:val="00C973B8"/>
    <w:rsid w:val="00CA246D"/>
    <w:rsid w:val="00CB5636"/>
    <w:rsid w:val="00CB5774"/>
    <w:rsid w:val="00CB7999"/>
    <w:rsid w:val="00CC4017"/>
    <w:rsid w:val="00CF6611"/>
    <w:rsid w:val="00D00864"/>
    <w:rsid w:val="00D10F21"/>
    <w:rsid w:val="00D1526E"/>
    <w:rsid w:val="00D264C8"/>
    <w:rsid w:val="00D316C9"/>
    <w:rsid w:val="00D34040"/>
    <w:rsid w:val="00D34E69"/>
    <w:rsid w:val="00D375EE"/>
    <w:rsid w:val="00D5181A"/>
    <w:rsid w:val="00D62699"/>
    <w:rsid w:val="00D64950"/>
    <w:rsid w:val="00D82620"/>
    <w:rsid w:val="00D9725F"/>
    <w:rsid w:val="00DA01B1"/>
    <w:rsid w:val="00DA11A2"/>
    <w:rsid w:val="00DA14ED"/>
    <w:rsid w:val="00DB2EF1"/>
    <w:rsid w:val="00DB3DE1"/>
    <w:rsid w:val="00DB5DA0"/>
    <w:rsid w:val="00DB716C"/>
    <w:rsid w:val="00DC5C85"/>
    <w:rsid w:val="00DD0B92"/>
    <w:rsid w:val="00DD4236"/>
    <w:rsid w:val="00DD44F1"/>
    <w:rsid w:val="00DE3067"/>
    <w:rsid w:val="00DE7EA4"/>
    <w:rsid w:val="00DF5E7B"/>
    <w:rsid w:val="00E027BC"/>
    <w:rsid w:val="00E14EA5"/>
    <w:rsid w:val="00E21133"/>
    <w:rsid w:val="00E2327E"/>
    <w:rsid w:val="00E266EF"/>
    <w:rsid w:val="00E47428"/>
    <w:rsid w:val="00E66A70"/>
    <w:rsid w:val="00E66B9F"/>
    <w:rsid w:val="00E710D6"/>
    <w:rsid w:val="00E719C2"/>
    <w:rsid w:val="00E76E45"/>
    <w:rsid w:val="00E777C9"/>
    <w:rsid w:val="00E81DA6"/>
    <w:rsid w:val="00E84212"/>
    <w:rsid w:val="00E9086C"/>
    <w:rsid w:val="00E91A0F"/>
    <w:rsid w:val="00E94A71"/>
    <w:rsid w:val="00E95BD7"/>
    <w:rsid w:val="00EA03CE"/>
    <w:rsid w:val="00EA23E5"/>
    <w:rsid w:val="00EA4E2E"/>
    <w:rsid w:val="00EB2A0A"/>
    <w:rsid w:val="00EB2CCB"/>
    <w:rsid w:val="00EC4135"/>
    <w:rsid w:val="00EC57A7"/>
    <w:rsid w:val="00ED0817"/>
    <w:rsid w:val="00ED49FB"/>
    <w:rsid w:val="00ED7DD9"/>
    <w:rsid w:val="00EE187A"/>
    <w:rsid w:val="00EE4FCA"/>
    <w:rsid w:val="00EE70DB"/>
    <w:rsid w:val="00EF3113"/>
    <w:rsid w:val="00EF3F84"/>
    <w:rsid w:val="00F039A8"/>
    <w:rsid w:val="00F176AC"/>
    <w:rsid w:val="00F24205"/>
    <w:rsid w:val="00F27714"/>
    <w:rsid w:val="00F3276E"/>
    <w:rsid w:val="00F33D3C"/>
    <w:rsid w:val="00F37A91"/>
    <w:rsid w:val="00F45CF5"/>
    <w:rsid w:val="00F47DB0"/>
    <w:rsid w:val="00F50E34"/>
    <w:rsid w:val="00F53EF7"/>
    <w:rsid w:val="00F54BF2"/>
    <w:rsid w:val="00F55718"/>
    <w:rsid w:val="00F82380"/>
    <w:rsid w:val="00F92355"/>
    <w:rsid w:val="00F93963"/>
    <w:rsid w:val="00F94291"/>
    <w:rsid w:val="00FB7982"/>
    <w:rsid w:val="00FC0734"/>
    <w:rsid w:val="00FC0E25"/>
    <w:rsid w:val="00FC0FC5"/>
    <w:rsid w:val="00FC369D"/>
    <w:rsid w:val="00FC3C3B"/>
    <w:rsid w:val="00FC588F"/>
    <w:rsid w:val="00FE1350"/>
    <w:rsid w:val="00FE1B30"/>
    <w:rsid w:val="00FE7B44"/>
    <w:rsid w:val="00FF4EB2"/>
    <w:rsid w:val="00FF6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D1526E"/>
    <w:pPr>
      <w:spacing w:before="100" w:beforeAutospacing="1" w:after="100" w:afterAutospacing="1" w:line="240" w:lineRule="auto"/>
      <w:jc w:val="left"/>
    </w:pPr>
    <w:rPr>
      <w:rFonts w:eastAsia="Times New Roman"/>
      <w:szCs w:val="24"/>
      <w:lang w:eastAsia="en-AU"/>
    </w:rPr>
  </w:style>
  <w:style w:type="paragraph" w:styleId="FootnoteText">
    <w:name w:val="footnote text"/>
    <w:basedOn w:val="Normal"/>
    <w:link w:val="FootnoteTextChar"/>
    <w:uiPriority w:val="99"/>
    <w:semiHidden/>
    <w:rsid w:val="00080A11"/>
    <w:pPr>
      <w:suppressAutoHyphens/>
      <w:spacing w:line="240" w:lineRule="auto"/>
      <w:jc w:val="left"/>
    </w:pPr>
    <w:rPr>
      <w:rFonts w:eastAsia="Times New Roman"/>
    </w:rPr>
  </w:style>
  <w:style w:type="character" w:customStyle="1" w:styleId="FootnoteTextChar">
    <w:name w:val="Footnote Text Char"/>
    <w:basedOn w:val="DefaultParagraphFont"/>
    <w:link w:val="FootnoteText"/>
    <w:uiPriority w:val="99"/>
    <w:semiHidden/>
    <w:rsid w:val="00080A11"/>
    <w:rPr>
      <w:rFonts w:eastAsia="Times New Roman"/>
      <w:sz w:val="24"/>
      <w:lang w:eastAsia="en-US"/>
    </w:rPr>
  </w:style>
  <w:style w:type="character" w:styleId="FootnoteReference">
    <w:name w:val="footnote reference"/>
    <w:uiPriority w:val="99"/>
    <w:semiHidden/>
    <w:rsid w:val="00080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1526E"/>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D1526E"/>
    <w:pPr>
      <w:spacing w:before="100" w:beforeAutospacing="1" w:after="100" w:afterAutospacing="1" w:line="240" w:lineRule="auto"/>
      <w:jc w:val="left"/>
    </w:pPr>
    <w:rPr>
      <w:rFonts w:eastAsia="Times New Roman"/>
      <w:szCs w:val="24"/>
      <w:lang w:eastAsia="en-AU"/>
    </w:rPr>
  </w:style>
  <w:style w:type="paragraph" w:styleId="FootnoteText">
    <w:name w:val="footnote text"/>
    <w:basedOn w:val="Normal"/>
    <w:link w:val="FootnoteTextChar"/>
    <w:uiPriority w:val="99"/>
    <w:semiHidden/>
    <w:rsid w:val="00080A11"/>
    <w:pPr>
      <w:suppressAutoHyphens/>
      <w:spacing w:line="240" w:lineRule="auto"/>
      <w:jc w:val="left"/>
    </w:pPr>
    <w:rPr>
      <w:rFonts w:eastAsia="Times New Roman"/>
    </w:rPr>
  </w:style>
  <w:style w:type="character" w:customStyle="1" w:styleId="FootnoteTextChar">
    <w:name w:val="Footnote Text Char"/>
    <w:basedOn w:val="DefaultParagraphFont"/>
    <w:link w:val="FootnoteText"/>
    <w:uiPriority w:val="99"/>
    <w:semiHidden/>
    <w:rsid w:val="00080A11"/>
    <w:rPr>
      <w:rFonts w:eastAsia="Times New Roman"/>
      <w:sz w:val="24"/>
      <w:lang w:eastAsia="en-US"/>
    </w:rPr>
  </w:style>
  <w:style w:type="character" w:styleId="FootnoteReference">
    <w:name w:val="footnote reference"/>
    <w:uiPriority w:val="99"/>
    <w:semiHidden/>
    <w:rsid w:val="00080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667070">
      <w:bodyDiv w:val="1"/>
      <w:marLeft w:val="0"/>
      <w:marRight w:val="0"/>
      <w:marTop w:val="0"/>
      <w:marBottom w:val="0"/>
      <w:divBdr>
        <w:top w:val="none" w:sz="0" w:space="0" w:color="auto"/>
        <w:left w:val="none" w:sz="0" w:space="0" w:color="auto"/>
        <w:bottom w:val="none" w:sz="0" w:space="0" w:color="auto"/>
        <w:right w:val="none" w:sz="0" w:space="0" w:color="auto"/>
      </w:divBdr>
    </w:div>
    <w:div w:id="20550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3C79-521D-4CC7-817A-571958B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Pages>
  <Words>5145</Words>
  <Characters>26412</Characters>
  <Application>Microsoft Office Word</Application>
  <DocSecurity>0</DocSecurity>
  <Lines>517</Lines>
  <Paragraphs>204</Paragraphs>
  <ScaleCrop>false</ScaleCrop>
  <HeadingPairs>
    <vt:vector size="2" baseType="variant">
      <vt:variant>
        <vt:lpstr>Title</vt:lpstr>
      </vt:variant>
      <vt:variant>
        <vt:i4>1</vt:i4>
      </vt:variant>
    </vt:vector>
  </HeadingPairs>
  <TitlesOfParts>
    <vt:vector size="1" baseType="lpstr">
      <vt:lpstr>Samsung C&amp;T Corporation, in the matter of Samsung C&amp;T Corporation [2017] FCA 1169</vt:lpstr>
    </vt:vector>
  </TitlesOfParts>
  <Company>Federal Court of Australia</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C&amp;T Corporation, in the matter of Samsung C&amp;T Corporation [2017] FCA 1169</dc:title>
  <dc:creator>Vicki</dc:creator>
  <cp:lastModifiedBy>Anna Masters</cp:lastModifiedBy>
  <cp:revision>3</cp:revision>
  <cp:lastPrinted>2017-09-29T06:09:00Z</cp:lastPrinted>
  <dcterms:created xsi:type="dcterms:W3CDTF">2017-10-09T03:36:00Z</dcterms:created>
  <dcterms:modified xsi:type="dcterms:W3CDTF">2017-10-09T03:36:00Z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GILMOUR J</vt:lpwstr>
  </property>
  <property fmtid="{D5CDD505-2E9C-101B-9397-08002B2CF9AE}" pid="4" name="Judgment_dated" linkTarget="Judgment_dated">
    <vt:lpwstr>5 October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International Commercial Arbitration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