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401E4">
      <w:pPr>
        <w:pStyle w:val="MediaNeutralStyle"/>
      </w:pPr>
      <w:bookmarkStart w:id="0" w:name="MNC"/>
      <w:proofErr w:type="spellStart"/>
      <w:r>
        <w:t>Langbein</w:t>
      </w:r>
      <w:proofErr w:type="spellEnd"/>
      <w:r>
        <w:t xml:space="preserve"> v </w:t>
      </w:r>
      <w:proofErr w:type="spellStart"/>
      <w:r>
        <w:t>Mottershead</w:t>
      </w:r>
      <w:proofErr w:type="spellEnd"/>
      <w:r>
        <w:t xml:space="preserve"> Investments Pty Ltd [2019] FCA </w:t>
      </w:r>
      <w:r w:rsidR="00D27CE3">
        <w:t>1619</w:t>
      </w:r>
      <w:r w:rsidR="002C7385">
        <w:t xml:space="preserve"> </w:t>
      </w:r>
      <w:bookmarkEnd w:id="0"/>
    </w:p>
    <w:p w:rsidR="00395B24" w:rsidRDefault="00395B24">
      <w:pPr>
        <w:pStyle w:val="Normal1linespace"/>
      </w:pPr>
    </w:p>
    <w:tbl>
      <w:tblPr>
        <w:tblW w:w="9038" w:type="dxa"/>
        <w:tblLayout w:type="fixed"/>
        <w:tblLook w:val="01E0" w:firstRow="1" w:lastRow="1" w:firstColumn="1" w:lastColumn="1" w:noHBand="0" w:noVBand="0"/>
      </w:tblPr>
      <w:tblGrid>
        <w:gridCol w:w="3084"/>
        <w:gridCol w:w="5954"/>
      </w:tblGrid>
      <w:tr w:rsidR="00395B24" w:rsidTr="00663878">
        <w:tc>
          <w:tcPr>
            <w:tcW w:w="3084" w:type="dxa"/>
            <w:shd w:val="clear" w:color="auto" w:fill="auto"/>
          </w:tcPr>
          <w:p w:rsidR="00395B24" w:rsidRDefault="002C7385" w:rsidP="002539B3">
            <w:pPr>
              <w:pStyle w:val="Normal1linespace"/>
              <w:widowControl w:val="0"/>
              <w:spacing w:after="60"/>
              <w:jc w:val="left"/>
            </w:pPr>
            <w:r>
              <w:t>Appeal from:</w:t>
            </w:r>
          </w:p>
        </w:tc>
        <w:tc>
          <w:tcPr>
            <w:tcW w:w="5954" w:type="dxa"/>
            <w:shd w:val="clear" w:color="auto" w:fill="auto"/>
          </w:tcPr>
          <w:p w:rsidR="00395B24" w:rsidRDefault="00E401E4" w:rsidP="002539B3">
            <w:pPr>
              <w:pStyle w:val="CasesLegislationAppealFrom"/>
              <w:spacing w:after="60"/>
            </w:pPr>
            <w:bookmarkStart w:id="1" w:name="AppealFrom"/>
            <w:proofErr w:type="spellStart"/>
            <w:r w:rsidRPr="00E401E4">
              <w:rPr>
                <w:i/>
              </w:rPr>
              <w:t>Mottershead</w:t>
            </w:r>
            <w:proofErr w:type="spellEnd"/>
            <w:r w:rsidRPr="00E401E4">
              <w:rPr>
                <w:i/>
              </w:rPr>
              <w:t xml:space="preserve"> Investments Pty Ltd v Aircraft Support Industries Engineering Pty Ltd (in liquidation) and </w:t>
            </w:r>
            <w:proofErr w:type="spellStart"/>
            <w:r w:rsidRPr="00E401E4">
              <w:rPr>
                <w:i/>
              </w:rPr>
              <w:t>Ors</w:t>
            </w:r>
            <w:proofErr w:type="spellEnd"/>
            <w:r>
              <w:t xml:space="preserve"> [2019] FCCA 1375</w:t>
            </w:r>
            <w:r w:rsidR="009264B3">
              <w:t xml:space="preserve"> </w:t>
            </w:r>
            <w:bookmarkEnd w:id="1"/>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0D1EC6">
            <w:pPr>
              <w:pStyle w:val="Normal1linespace"/>
              <w:widowControl w:val="0"/>
              <w:jc w:val="left"/>
            </w:pPr>
            <w:r>
              <w:t>File number:</w:t>
            </w:r>
          </w:p>
        </w:tc>
        <w:tc>
          <w:tcPr>
            <w:tcW w:w="5954" w:type="dxa"/>
            <w:shd w:val="clear" w:color="auto" w:fill="auto"/>
          </w:tcPr>
          <w:p w:rsidR="00395B24" w:rsidRPr="00E401E4" w:rsidRDefault="008A5DD9" w:rsidP="00E401E4">
            <w:pPr>
              <w:pStyle w:val="Normal1linespace"/>
              <w:jc w:val="left"/>
            </w:pPr>
            <w:fldSimple w:instr=" REF  FileNo  \* MERGEFORMAT " w:fldLock="1">
              <w:r w:rsidR="00E401E4" w:rsidRPr="00E401E4">
                <w:t>NSD 1157 of 2019</w:t>
              </w:r>
            </w:fldSimple>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0D1EC6">
            <w:pPr>
              <w:pStyle w:val="Normal1linespace"/>
              <w:widowControl w:val="0"/>
              <w:jc w:val="left"/>
            </w:pPr>
            <w:r>
              <w:t>Judge:</w:t>
            </w:r>
          </w:p>
        </w:tc>
        <w:tc>
          <w:tcPr>
            <w:tcW w:w="5954" w:type="dxa"/>
            <w:shd w:val="clear" w:color="auto" w:fill="auto"/>
          </w:tcPr>
          <w:p w:rsidR="00395B24" w:rsidRDefault="002C7385" w:rsidP="00663878">
            <w:pPr>
              <w:pStyle w:val="Normal1linespace"/>
              <w:widowControl w:val="0"/>
              <w:jc w:val="left"/>
              <w:rPr>
                <w:b/>
              </w:rPr>
            </w:pPr>
            <w:r w:rsidRPr="00E401E4">
              <w:rPr>
                <w:b/>
              </w:rPr>
              <w:fldChar w:fldCharType="begin" w:fldLock="1"/>
            </w:r>
            <w:r w:rsidRPr="00E401E4">
              <w:rPr>
                <w:b/>
              </w:rPr>
              <w:instrText xml:space="preserve"> REF  Judge  \* MERGEFORMAT </w:instrText>
            </w:r>
            <w:r w:rsidRPr="00E401E4">
              <w:rPr>
                <w:b/>
              </w:rPr>
              <w:fldChar w:fldCharType="separate"/>
            </w:r>
            <w:r w:rsidR="00E401E4" w:rsidRPr="00E401E4">
              <w:rPr>
                <w:b/>
                <w:caps/>
                <w:szCs w:val="24"/>
              </w:rPr>
              <w:t>STEWART J</w:t>
            </w:r>
            <w:r w:rsidRPr="00E401E4">
              <w:rPr>
                <w:b/>
              </w:rPr>
              <w:fldChar w:fldCharType="end"/>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Date of judgment:</w:t>
            </w:r>
          </w:p>
        </w:tc>
        <w:tc>
          <w:tcPr>
            <w:tcW w:w="5954" w:type="dxa"/>
            <w:shd w:val="clear" w:color="auto" w:fill="auto"/>
          </w:tcPr>
          <w:p w:rsidR="00395B24" w:rsidRDefault="00E401E4" w:rsidP="00663878">
            <w:pPr>
              <w:pStyle w:val="Normal1linespace"/>
              <w:widowControl w:val="0"/>
              <w:jc w:val="left"/>
            </w:pPr>
            <w:bookmarkStart w:id="2" w:name="JudgmentDate"/>
            <w:r>
              <w:t>26 September 2019</w:t>
            </w:r>
            <w:bookmarkEnd w:id="2"/>
          </w:p>
        </w:tc>
      </w:tr>
      <w:tr w:rsidR="00E401E4" w:rsidTr="00663878">
        <w:tc>
          <w:tcPr>
            <w:tcW w:w="3084" w:type="dxa"/>
            <w:shd w:val="clear" w:color="auto" w:fill="auto"/>
          </w:tcPr>
          <w:p w:rsidR="00E401E4" w:rsidRDefault="00E401E4" w:rsidP="00663878">
            <w:pPr>
              <w:pStyle w:val="Normal1linespace"/>
              <w:widowControl w:val="0"/>
              <w:jc w:val="left"/>
            </w:pPr>
          </w:p>
        </w:tc>
        <w:tc>
          <w:tcPr>
            <w:tcW w:w="5954" w:type="dxa"/>
            <w:shd w:val="clear" w:color="auto" w:fill="auto"/>
          </w:tcPr>
          <w:p w:rsidR="00E401E4" w:rsidRDefault="00E401E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Catchwords:</w:t>
            </w:r>
          </w:p>
        </w:tc>
        <w:tc>
          <w:tcPr>
            <w:tcW w:w="5954" w:type="dxa"/>
            <w:shd w:val="clear" w:color="auto" w:fill="auto"/>
          </w:tcPr>
          <w:p w:rsidR="00F16EB7" w:rsidRDefault="00F16EB7" w:rsidP="00F16EB7">
            <w:pPr>
              <w:pStyle w:val="Normal1linespace"/>
              <w:widowControl w:val="0"/>
              <w:jc w:val="left"/>
            </w:pPr>
            <w:bookmarkStart w:id="3" w:name="Catchwords"/>
            <w:r>
              <w:rPr>
                <w:b/>
              </w:rPr>
              <w:t>PRACTICE AND PROCEDURE</w:t>
            </w:r>
            <w:r>
              <w:t xml:space="preserve"> – application by appellant for an extension of a stay of the judgment the appellant appeal’s from under r 36.08 of the </w:t>
            </w:r>
            <w:r>
              <w:rPr>
                <w:i/>
              </w:rPr>
              <w:t xml:space="preserve">Federal Court Rules 2011 </w:t>
            </w:r>
            <w:r>
              <w:t>(</w:t>
            </w:r>
            <w:proofErr w:type="spellStart"/>
            <w:r>
              <w:t>Cth</w:t>
            </w:r>
            <w:proofErr w:type="spellEnd"/>
            <w:r>
              <w:t>)</w:t>
            </w:r>
            <w:r w:rsidR="008D2759">
              <w:t xml:space="preserve"> – w</w:t>
            </w:r>
            <w:bookmarkEnd w:id="3"/>
            <w:r>
              <w:t>here respondent has offered personal undertakings to repay the judgment sum in the event that the appeal is successful – where appellant has already paid the judgment debt and the respondent has not yet had the use of that money</w:t>
            </w:r>
            <w:r w:rsidR="008D2759">
              <w:t xml:space="preserve"> –</w:t>
            </w:r>
            <w:r>
              <w:t xml:space="preserve"> application dismissed</w:t>
            </w:r>
          </w:p>
          <w:p w:rsidR="00F16EB7" w:rsidRDefault="00F16EB7" w:rsidP="00F16EB7">
            <w:pPr>
              <w:pStyle w:val="Normal1linespace"/>
              <w:widowControl w:val="0"/>
              <w:jc w:val="left"/>
            </w:pPr>
          </w:p>
          <w:p w:rsidR="00395B24" w:rsidRPr="009F7C80" w:rsidRDefault="00F16EB7" w:rsidP="00F16EB7">
            <w:pPr>
              <w:pStyle w:val="Normal1linespace"/>
              <w:widowControl w:val="0"/>
              <w:jc w:val="left"/>
            </w:pPr>
            <w:r>
              <w:rPr>
                <w:b/>
              </w:rPr>
              <w:t>PRACTICE AND PROCEDURE</w:t>
            </w:r>
            <w:r w:rsidR="009F7C80">
              <w:t xml:space="preserve"> – </w:t>
            </w:r>
            <w:r w:rsidR="008D2759">
              <w:t xml:space="preserve">respondent’s </w:t>
            </w:r>
            <w:r w:rsidR="009F7C80">
              <w:t xml:space="preserve">application for security for costs </w:t>
            </w:r>
            <w:r>
              <w:t>–</w:t>
            </w:r>
            <w:r w:rsidR="009F7C80">
              <w:t xml:space="preserve"> </w:t>
            </w:r>
            <w:r>
              <w:t>where appellant is a resident out of the jurisdiction and there are no assets available within the jurisdiction to pay costs of appeal – security ordered</w:t>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Legislation:</w:t>
            </w:r>
          </w:p>
        </w:tc>
        <w:tc>
          <w:tcPr>
            <w:tcW w:w="5954" w:type="dxa"/>
            <w:shd w:val="clear" w:color="auto" w:fill="auto"/>
          </w:tcPr>
          <w:p w:rsidR="00F16EB7" w:rsidRPr="008D2759" w:rsidRDefault="00F16EB7" w:rsidP="00D82620">
            <w:pPr>
              <w:pStyle w:val="CasesLegislationAppealFrom"/>
              <w:spacing w:after="60"/>
              <w:rPr>
                <w:i/>
              </w:rPr>
            </w:pPr>
            <w:bookmarkStart w:id="4" w:name="Legislation"/>
            <w:r>
              <w:rPr>
                <w:i/>
              </w:rPr>
              <w:t xml:space="preserve">Federal Court of Australia Act 1976 </w:t>
            </w:r>
            <w:r>
              <w:t>(</w:t>
            </w:r>
            <w:proofErr w:type="spellStart"/>
            <w:r>
              <w:t>Cth</w:t>
            </w:r>
            <w:proofErr w:type="spellEnd"/>
            <w:r>
              <w:t>) s 56</w:t>
            </w:r>
            <w:bookmarkEnd w:id="4"/>
          </w:p>
          <w:p w:rsidR="00395B24" w:rsidRPr="008D2759" w:rsidRDefault="00F16EB7" w:rsidP="00D82620">
            <w:pPr>
              <w:pStyle w:val="CasesLegislationAppealFrom"/>
              <w:spacing w:after="60"/>
            </w:pPr>
            <w:r>
              <w:rPr>
                <w:i/>
              </w:rPr>
              <w:t xml:space="preserve">Federal Court Rules 2011 </w:t>
            </w:r>
            <w:r>
              <w:t>(</w:t>
            </w:r>
            <w:proofErr w:type="spellStart"/>
            <w:r>
              <w:t>Cth</w:t>
            </w:r>
            <w:proofErr w:type="spellEnd"/>
            <w:r>
              <w:t xml:space="preserve">) </w:t>
            </w:r>
            <w:proofErr w:type="spellStart"/>
            <w:r>
              <w:t>rr</w:t>
            </w:r>
            <w:proofErr w:type="spellEnd"/>
            <w:r>
              <w:t xml:space="preserve"> 36.08, 36.09</w:t>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Cases cited:</w:t>
            </w:r>
          </w:p>
        </w:tc>
        <w:tc>
          <w:tcPr>
            <w:tcW w:w="5954" w:type="dxa"/>
            <w:shd w:val="clear" w:color="auto" w:fill="auto"/>
          </w:tcPr>
          <w:p w:rsidR="00F16EB7" w:rsidRDefault="00FE32F9" w:rsidP="00D82620">
            <w:pPr>
              <w:pStyle w:val="CasesLegislationAppealFrom"/>
              <w:spacing w:after="60"/>
            </w:pPr>
            <w:bookmarkStart w:id="5" w:name="Cases_Cited"/>
            <w:r w:rsidRPr="00592107">
              <w:rPr>
                <w:i/>
              </w:rPr>
              <w:t xml:space="preserve">Henderson v </w:t>
            </w:r>
            <w:proofErr w:type="spellStart"/>
            <w:r w:rsidRPr="00592107">
              <w:rPr>
                <w:i/>
              </w:rPr>
              <w:t>Amadio</w:t>
            </w:r>
            <w:proofErr w:type="spellEnd"/>
            <w:r w:rsidRPr="00592107">
              <w:rPr>
                <w:i/>
              </w:rPr>
              <w:t xml:space="preserve"> Pty Ltd (No 3)</w:t>
            </w:r>
            <w:r w:rsidRPr="00592107">
              <w:t xml:space="preserve"> (1996) 65 FCR 66</w:t>
            </w:r>
          </w:p>
          <w:p w:rsidR="00592107" w:rsidRDefault="00592107" w:rsidP="00D82620">
            <w:pPr>
              <w:pStyle w:val="CasesLegislationAppealFrom"/>
              <w:spacing w:after="60"/>
            </w:pPr>
            <w:r w:rsidRPr="00592107">
              <w:rPr>
                <w:i/>
              </w:rPr>
              <w:t xml:space="preserve">KP Cable Investments Pty Ltd v </w:t>
            </w:r>
            <w:proofErr w:type="spellStart"/>
            <w:r w:rsidRPr="00592107">
              <w:rPr>
                <w:i/>
              </w:rPr>
              <w:t>Meltglow</w:t>
            </w:r>
            <w:proofErr w:type="spellEnd"/>
            <w:r w:rsidRPr="00592107">
              <w:rPr>
                <w:i/>
              </w:rPr>
              <w:t xml:space="preserve"> Pty Ltd </w:t>
            </w:r>
            <w:r w:rsidR="00FE32F9" w:rsidRPr="00592107">
              <w:t xml:space="preserve"> </w:t>
            </w:r>
            <w:r w:rsidR="00F6321F">
              <w:rPr>
                <w:color w:val="000000"/>
                <w:lang w:val="en-US"/>
              </w:rPr>
              <w:t xml:space="preserve">[1995] FCA 76; </w:t>
            </w:r>
            <w:r w:rsidR="00FE32F9" w:rsidRPr="00592107">
              <w:t>56 FCR 189</w:t>
            </w:r>
          </w:p>
          <w:p w:rsidR="00395B24" w:rsidRDefault="00FE32F9" w:rsidP="008D2759">
            <w:pPr>
              <w:pStyle w:val="CasesLegislationAppealFrom"/>
              <w:spacing w:after="60"/>
            </w:pPr>
            <w:r w:rsidRPr="00592107">
              <w:rPr>
                <w:i/>
              </w:rPr>
              <w:t xml:space="preserve">PS </w:t>
            </w:r>
            <w:proofErr w:type="spellStart"/>
            <w:r w:rsidRPr="00592107">
              <w:rPr>
                <w:i/>
              </w:rPr>
              <w:t>Chellaram</w:t>
            </w:r>
            <w:proofErr w:type="spellEnd"/>
            <w:r w:rsidRPr="00592107">
              <w:rPr>
                <w:i/>
              </w:rPr>
              <w:t xml:space="preserve"> &amp; Co Limited v China Ocean Shipping Company</w:t>
            </w:r>
            <w:r w:rsidRPr="00592107">
              <w:t xml:space="preserve"> [1991]</w:t>
            </w:r>
            <w:r w:rsidR="00592107" w:rsidRPr="00592107">
              <w:t xml:space="preserve"> HCA 36;</w:t>
            </w:r>
            <w:r w:rsidRPr="00592107">
              <w:t xml:space="preserve"> </w:t>
            </w:r>
            <w:bookmarkEnd w:id="5"/>
            <w:r w:rsidR="00F16EB7">
              <w:t>102 ALR 321</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bookmarkStart w:id="6" w:name="CounselTable"/>
          </w:p>
        </w:tc>
        <w:tc>
          <w:tcPr>
            <w:tcW w:w="5954" w:type="dxa"/>
            <w:shd w:val="clear" w:color="auto" w:fill="auto"/>
          </w:tcPr>
          <w:p w:rsidR="00E401E4" w:rsidRPr="00CF20B0" w:rsidRDefault="00E401E4" w:rsidP="002D3F12">
            <w:pPr>
              <w:pStyle w:val="CasesLegislationAppealFrom"/>
              <w:spacing w:after="60"/>
            </w:pP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r w:rsidRPr="00CF20B0">
              <w:t>Date of hearing:</w:t>
            </w:r>
          </w:p>
        </w:tc>
        <w:tc>
          <w:tcPr>
            <w:tcW w:w="5954" w:type="dxa"/>
            <w:shd w:val="clear" w:color="auto" w:fill="auto"/>
          </w:tcPr>
          <w:p w:rsidR="00E401E4" w:rsidRPr="00CF20B0" w:rsidRDefault="00E401E4" w:rsidP="002D3F12">
            <w:pPr>
              <w:pStyle w:val="CasesLegislationAppealFrom"/>
              <w:spacing w:after="60"/>
            </w:pPr>
            <w:r>
              <w:t xml:space="preserve">26 September </w:t>
            </w:r>
            <w:r w:rsidRPr="00CF20B0">
              <w:t>2019</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p>
        </w:tc>
        <w:tc>
          <w:tcPr>
            <w:tcW w:w="5954" w:type="dxa"/>
            <w:shd w:val="clear" w:color="auto" w:fill="auto"/>
          </w:tcPr>
          <w:p w:rsidR="00E401E4" w:rsidRPr="00CF20B0" w:rsidRDefault="00E401E4" w:rsidP="002D3F12">
            <w:pPr>
              <w:pStyle w:val="CasesLegislationAppealFrom"/>
              <w:spacing w:after="60"/>
            </w:pP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r w:rsidRPr="00CF20B0">
              <w:t>Registry:</w:t>
            </w:r>
          </w:p>
        </w:tc>
        <w:tc>
          <w:tcPr>
            <w:tcW w:w="5954" w:type="dxa"/>
            <w:shd w:val="clear" w:color="auto" w:fill="auto"/>
          </w:tcPr>
          <w:p w:rsidR="00E401E4" w:rsidRPr="00CF20B0" w:rsidRDefault="00E401E4" w:rsidP="002D3F12">
            <w:pPr>
              <w:pStyle w:val="CasesLegislationAppealFrom"/>
              <w:spacing w:after="60"/>
            </w:pPr>
            <w:r w:rsidRPr="00CF20B0">
              <w:t>New South Wales</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p>
        </w:tc>
        <w:tc>
          <w:tcPr>
            <w:tcW w:w="5954" w:type="dxa"/>
            <w:shd w:val="clear" w:color="auto" w:fill="auto"/>
          </w:tcPr>
          <w:p w:rsidR="00E401E4" w:rsidRPr="00CF20B0" w:rsidRDefault="00E401E4" w:rsidP="002D3F12">
            <w:pPr>
              <w:pStyle w:val="CasesLegislationAppealFrom"/>
              <w:spacing w:after="60"/>
            </w:pP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r w:rsidRPr="00CF20B0">
              <w:t>Division:</w:t>
            </w:r>
          </w:p>
        </w:tc>
        <w:tc>
          <w:tcPr>
            <w:tcW w:w="5954" w:type="dxa"/>
            <w:shd w:val="clear" w:color="auto" w:fill="auto"/>
          </w:tcPr>
          <w:p w:rsidR="00E401E4" w:rsidRPr="00CF20B0" w:rsidRDefault="00E401E4" w:rsidP="002D3F12">
            <w:pPr>
              <w:pStyle w:val="CasesLegislationAppealFrom"/>
              <w:spacing w:after="60"/>
            </w:pPr>
            <w:r w:rsidRPr="00CF20B0">
              <w:t>General</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p>
        </w:tc>
        <w:tc>
          <w:tcPr>
            <w:tcW w:w="5954" w:type="dxa"/>
            <w:shd w:val="clear" w:color="auto" w:fill="auto"/>
          </w:tcPr>
          <w:p w:rsidR="00E401E4" w:rsidRPr="00CF20B0" w:rsidRDefault="00E401E4" w:rsidP="002D3F12">
            <w:pPr>
              <w:pStyle w:val="CasesLegislationAppealFrom"/>
              <w:spacing w:after="60"/>
            </w:pP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r w:rsidRPr="00CF20B0">
              <w:t>National Practice Area:</w:t>
            </w:r>
          </w:p>
        </w:tc>
        <w:tc>
          <w:tcPr>
            <w:tcW w:w="5954" w:type="dxa"/>
            <w:shd w:val="clear" w:color="auto" w:fill="auto"/>
          </w:tcPr>
          <w:p w:rsidR="00E401E4" w:rsidRPr="00CF20B0" w:rsidRDefault="00E401E4" w:rsidP="002D3F12">
            <w:pPr>
              <w:pStyle w:val="CasesLegislationAppealFrom"/>
              <w:spacing w:after="60"/>
            </w:pPr>
            <w:r w:rsidRPr="00CF20B0">
              <w:t>Commercial and Corporations</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p>
        </w:tc>
        <w:tc>
          <w:tcPr>
            <w:tcW w:w="5954" w:type="dxa"/>
            <w:shd w:val="clear" w:color="auto" w:fill="auto"/>
          </w:tcPr>
          <w:p w:rsidR="00E401E4" w:rsidRPr="00CF20B0" w:rsidRDefault="00E401E4" w:rsidP="002D3F12">
            <w:pPr>
              <w:pStyle w:val="CasesLegislationAppealFrom"/>
              <w:spacing w:after="60"/>
            </w:pP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r w:rsidRPr="00CF20B0">
              <w:t>Sub-area:</w:t>
            </w:r>
          </w:p>
        </w:tc>
        <w:tc>
          <w:tcPr>
            <w:tcW w:w="5954" w:type="dxa"/>
            <w:shd w:val="clear" w:color="auto" w:fill="auto"/>
          </w:tcPr>
          <w:p w:rsidR="00E401E4" w:rsidRPr="00CF20B0" w:rsidRDefault="00E401E4" w:rsidP="002D3F12">
            <w:pPr>
              <w:pStyle w:val="CasesLegislationAppealFrom"/>
              <w:spacing w:after="60"/>
            </w:pPr>
            <w:r w:rsidRPr="00E401E4">
              <w:rPr>
                <w:lang w:val="en-US"/>
              </w:rPr>
              <w:t>Commercial Contracts, Banking, Finance and Insurance</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p>
        </w:tc>
        <w:tc>
          <w:tcPr>
            <w:tcW w:w="5954" w:type="dxa"/>
            <w:shd w:val="clear" w:color="auto" w:fill="auto"/>
          </w:tcPr>
          <w:p w:rsidR="00E401E4" w:rsidRPr="00CF20B0" w:rsidRDefault="00E401E4" w:rsidP="002D3F12">
            <w:pPr>
              <w:pStyle w:val="CasesLegislationAppealFrom"/>
              <w:spacing w:after="60"/>
            </w:pP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r w:rsidRPr="00CF20B0">
              <w:t>Category:</w:t>
            </w:r>
          </w:p>
        </w:tc>
        <w:tc>
          <w:tcPr>
            <w:tcW w:w="5954" w:type="dxa"/>
            <w:shd w:val="clear" w:color="auto" w:fill="auto"/>
          </w:tcPr>
          <w:p w:rsidR="00E401E4" w:rsidRPr="00CF20B0" w:rsidRDefault="00E401E4" w:rsidP="002D3F12">
            <w:pPr>
              <w:pStyle w:val="CasesLegislationAppealFrom"/>
              <w:spacing w:after="60"/>
            </w:pPr>
            <w:r w:rsidRPr="00CF20B0">
              <w:t>Catchwords</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p>
        </w:tc>
        <w:tc>
          <w:tcPr>
            <w:tcW w:w="5954" w:type="dxa"/>
            <w:shd w:val="clear" w:color="auto" w:fill="auto"/>
          </w:tcPr>
          <w:p w:rsidR="00E401E4" w:rsidRPr="00CF20B0" w:rsidRDefault="00E401E4" w:rsidP="002D3F12">
            <w:pPr>
              <w:pStyle w:val="CasesLegislationAppealFrom"/>
              <w:spacing w:after="60"/>
            </w:pPr>
          </w:p>
        </w:tc>
      </w:tr>
      <w:tr w:rsidR="00E401E4" w:rsidRPr="002A3BC6" w:rsidTr="00E401E4">
        <w:tc>
          <w:tcPr>
            <w:tcW w:w="3084" w:type="dxa"/>
            <w:shd w:val="clear" w:color="auto" w:fill="auto"/>
          </w:tcPr>
          <w:p w:rsidR="00E401E4" w:rsidRPr="002A3BC6" w:rsidRDefault="00E401E4" w:rsidP="002D3F12">
            <w:pPr>
              <w:pStyle w:val="Normal1linespace"/>
              <w:widowControl w:val="0"/>
              <w:jc w:val="left"/>
            </w:pPr>
            <w:r w:rsidRPr="002A3BC6">
              <w:t>Number of paragraphs:</w:t>
            </w:r>
          </w:p>
        </w:tc>
        <w:tc>
          <w:tcPr>
            <w:tcW w:w="5954" w:type="dxa"/>
            <w:shd w:val="clear" w:color="auto" w:fill="auto"/>
          </w:tcPr>
          <w:p w:rsidR="00E401E4" w:rsidRPr="002A3BC6" w:rsidRDefault="000D1EC6" w:rsidP="002D3F12">
            <w:pPr>
              <w:pStyle w:val="CasesLegislationAppealFrom"/>
              <w:spacing w:after="60"/>
            </w:pPr>
            <w:r>
              <w:t>32</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p>
        </w:tc>
        <w:tc>
          <w:tcPr>
            <w:tcW w:w="5954" w:type="dxa"/>
            <w:shd w:val="clear" w:color="auto" w:fill="auto"/>
          </w:tcPr>
          <w:p w:rsidR="00E401E4" w:rsidRPr="00CF20B0" w:rsidRDefault="00E401E4" w:rsidP="002D3F12">
            <w:pPr>
              <w:pStyle w:val="CasesLegislationAppealFrom"/>
              <w:spacing w:after="60"/>
            </w:pPr>
          </w:p>
        </w:tc>
      </w:tr>
      <w:tr w:rsidR="00E401E4" w:rsidRPr="00CF20B0" w:rsidTr="00E401E4">
        <w:tc>
          <w:tcPr>
            <w:tcW w:w="3084" w:type="dxa"/>
            <w:shd w:val="clear" w:color="auto" w:fill="auto"/>
          </w:tcPr>
          <w:p w:rsidR="00E401E4" w:rsidRPr="00CF20B0" w:rsidRDefault="00E401E4" w:rsidP="00E401E4">
            <w:pPr>
              <w:pStyle w:val="Normal1linespace"/>
              <w:widowControl w:val="0"/>
              <w:jc w:val="left"/>
            </w:pPr>
            <w:r w:rsidRPr="00CF20B0">
              <w:t xml:space="preserve">Counsel for the </w:t>
            </w:r>
            <w:r>
              <w:t>Appellant</w:t>
            </w:r>
            <w:r w:rsidRPr="00CF20B0">
              <w:t>:</w:t>
            </w:r>
          </w:p>
        </w:tc>
        <w:tc>
          <w:tcPr>
            <w:tcW w:w="5954" w:type="dxa"/>
            <w:shd w:val="clear" w:color="auto" w:fill="auto"/>
          </w:tcPr>
          <w:p w:rsidR="00E401E4" w:rsidRPr="00CF20B0" w:rsidRDefault="00E401E4" w:rsidP="002D3F12">
            <w:pPr>
              <w:pStyle w:val="CasesLegislationAppealFrom"/>
              <w:spacing w:after="60"/>
            </w:pPr>
            <w:r>
              <w:t>J T Johnson</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p>
        </w:tc>
        <w:tc>
          <w:tcPr>
            <w:tcW w:w="5954" w:type="dxa"/>
            <w:shd w:val="clear" w:color="auto" w:fill="auto"/>
          </w:tcPr>
          <w:p w:rsidR="00E401E4" w:rsidRPr="00CF20B0" w:rsidRDefault="00E401E4" w:rsidP="002D3F12">
            <w:pPr>
              <w:pStyle w:val="CasesLegislationAppealFrom"/>
              <w:spacing w:after="60"/>
            </w:pPr>
          </w:p>
        </w:tc>
      </w:tr>
      <w:tr w:rsidR="00E401E4" w:rsidRPr="00CF20B0" w:rsidTr="00E401E4">
        <w:tc>
          <w:tcPr>
            <w:tcW w:w="3084" w:type="dxa"/>
            <w:shd w:val="clear" w:color="auto" w:fill="auto"/>
          </w:tcPr>
          <w:p w:rsidR="00E401E4" w:rsidRPr="00CF20B0" w:rsidRDefault="00E401E4" w:rsidP="00E401E4">
            <w:pPr>
              <w:pStyle w:val="Normal1linespace"/>
              <w:widowControl w:val="0"/>
              <w:jc w:val="left"/>
            </w:pPr>
            <w:r w:rsidRPr="00CF20B0">
              <w:t xml:space="preserve">Solicitor for the </w:t>
            </w:r>
            <w:r>
              <w:t>Appellant</w:t>
            </w:r>
            <w:r w:rsidRPr="00CF20B0">
              <w:t>:</w:t>
            </w:r>
          </w:p>
        </w:tc>
        <w:tc>
          <w:tcPr>
            <w:tcW w:w="5954" w:type="dxa"/>
            <w:shd w:val="clear" w:color="auto" w:fill="auto"/>
          </w:tcPr>
          <w:p w:rsidR="00E401E4" w:rsidRPr="00CF20B0" w:rsidRDefault="00D54CDF" w:rsidP="002D3F12">
            <w:pPr>
              <w:pStyle w:val="CasesLegislationAppealFrom"/>
              <w:spacing w:after="60"/>
            </w:pPr>
            <w:r>
              <w:t>JT Law</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p>
        </w:tc>
        <w:tc>
          <w:tcPr>
            <w:tcW w:w="5954" w:type="dxa"/>
            <w:shd w:val="clear" w:color="auto" w:fill="auto"/>
          </w:tcPr>
          <w:p w:rsidR="00E401E4" w:rsidRPr="00CF20B0" w:rsidRDefault="00E401E4" w:rsidP="002D3F12">
            <w:pPr>
              <w:pStyle w:val="CasesLegislationAppealFrom"/>
              <w:spacing w:after="60"/>
            </w:pP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r w:rsidRPr="00CF20B0">
              <w:t>Counsel for the Respondent:</w:t>
            </w:r>
          </w:p>
        </w:tc>
        <w:tc>
          <w:tcPr>
            <w:tcW w:w="5954" w:type="dxa"/>
            <w:shd w:val="clear" w:color="auto" w:fill="auto"/>
          </w:tcPr>
          <w:p w:rsidR="00E401E4" w:rsidRPr="00CF20B0" w:rsidRDefault="00E401E4" w:rsidP="002D3F12">
            <w:pPr>
              <w:pStyle w:val="CasesLegislationAppealFrom"/>
              <w:spacing w:after="60"/>
            </w:pPr>
            <w:r>
              <w:t>S Bell</w:t>
            </w: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p>
        </w:tc>
        <w:tc>
          <w:tcPr>
            <w:tcW w:w="5954" w:type="dxa"/>
            <w:shd w:val="clear" w:color="auto" w:fill="auto"/>
          </w:tcPr>
          <w:p w:rsidR="00E401E4" w:rsidRPr="00CF20B0" w:rsidRDefault="00E401E4" w:rsidP="002D3F12">
            <w:pPr>
              <w:pStyle w:val="CasesLegislationAppealFrom"/>
              <w:spacing w:after="60"/>
            </w:pPr>
          </w:p>
        </w:tc>
      </w:tr>
      <w:tr w:rsidR="00E401E4" w:rsidRPr="00CF20B0" w:rsidTr="00E401E4">
        <w:tc>
          <w:tcPr>
            <w:tcW w:w="3084" w:type="dxa"/>
            <w:shd w:val="clear" w:color="auto" w:fill="auto"/>
          </w:tcPr>
          <w:p w:rsidR="00E401E4" w:rsidRPr="00CF20B0" w:rsidRDefault="00E401E4" w:rsidP="002D3F12">
            <w:pPr>
              <w:pStyle w:val="Normal1linespace"/>
              <w:widowControl w:val="0"/>
              <w:jc w:val="left"/>
            </w:pPr>
            <w:r w:rsidRPr="00CF20B0">
              <w:t>Solicitor for the Respondent:</w:t>
            </w:r>
          </w:p>
        </w:tc>
        <w:tc>
          <w:tcPr>
            <w:tcW w:w="5954" w:type="dxa"/>
            <w:shd w:val="clear" w:color="auto" w:fill="auto"/>
          </w:tcPr>
          <w:p w:rsidR="00E401E4" w:rsidRPr="00CF20B0" w:rsidRDefault="00D54CDF" w:rsidP="002D3F12">
            <w:pPr>
              <w:pStyle w:val="CasesLegislationAppealFrom"/>
              <w:spacing w:after="60"/>
            </w:pPr>
            <w:proofErr w:type="spellStart"/>
            <w:r>
              <w:t>Terrett</w:t>
            </w:r>
            <w:proofErr w:type="spellEnd"/>
            <w:r>
              <w:t xml:space="preserve"> Lawyers  </w:t>
            </w:r>
            <w:bookmarkStart w:id="7" w:name="_GoBack"/>
            <w:bookmarkEnd w:id="7"/>
          </w:p>
        </w:tc>
      </w:tr>
    </w:tbl>
    <w:p w:rsidR="00395B24" w:rsidRDefault="002C7385">
      <w:pPr>
        <w:pStyle w:val="Normal1linespace"/>
      </w:pPr>
      <w:r>
        <w:t xml:space="preserve"> </w:t>
      </w:r>
      <w:bookmarkEnd w:id="6"/>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401E4" w:rsidP="00F92355">
            <w:pPr>
              <w:pStyle w:val="NormalHeadings"/>
              <w:jc w:val="right"/>
            </w:pPr>
            <w:bookmarkStart w:id="8" w:name="FileNo"/>
            <w:r>
              <w:t>NSD 1157 of 2019</w:t>
            </w:r>
            <w:bookmarkEnd w:id="8"/>
          </w:p>
        </w:tc>
      </w:tr>
      <w:tr w:rsidR="00A76C13" w:rsidTr="002D3F12">
        <w:tc>
          <w:tcPr>
            <w:tcW w:w="9242" w:type="dxa"/>
            <w:gridSpan w:val="3"/>
          </w:tcPr>
          <w:p w:rsidR="00A76C13" w:rsidRPr="00A76C13" w:rsidRDefault="00E401E4" w:rsidP="00E401E4">
            <w:pPr>
              <w:pStyle w:val="NormalHeadings"/>
              <w:jc w:val="left"/>
            </w:pPr>
            <w:bookmarkStart w:id="9" w:name="InTheMatterOf"/>
            <w:r>
              <w:t xml:space="preserve"> </w:t>
            </w:r>
            <w:bookmarkEnd w:id="9"/>
          </w:p>
        </w:tc>
      </w:tr>
      <w:tr w:rsidR="00A46CCC" w:rsidTr="002D3F12">
        <w:trPr>
          <w:trHeight w:val="386"/>
        </w:trPr>
        <w:tc>
          <w:tcPr>
            <w:tcW w:w="2376" w:type="dxa"/>
          </w:tcPr>
          <w:p w:rsidR="00A46CCC" w:rsidRDefault="00A46CCC" w:rsidP="002D3F12">
            <w:pPr>
              <w:pStyle w:val="NormalHeadings"/>
              <w:jc w:val="left"/>
              <w:rPr>
                <w:caps/>
                <w:szCs w:val="24"/>
              </w:rPr>
            </w:pPr>
            <w:bookmarkStart w:id="10" w:name="Parties"/>
            <w:r>
              <w:rPr>
                <w:caps/>
                <w:szCs w:val="24"/>
              </w:rPr>
              <w:t>BETWEEN:</w:t>
            </w:r>
          </w:p>
        </w:tc>
        <w:tc>
          <w:tcPr>
            <w:tcW w:w="6866" w:type="dxa"/>
            <w:gridSpan w:val="2"/>
          </w:tcPr>
          <w:p w:rsidR="00E401E4" w:rsidRDefault="00E401E4" w:rsidP="00E401E4">
            <w:pPr>
              <w:pStyle w:val="NormalHeadings"/>
              <w:jc w:val="left"/>
            </w:pPr>
            <w:bookmarkStart w:id="11" w:name="Applicant"/>
            <w:r>
              <w:t>MARK CALVIN LANGBEIN</w:t>
            </w:r>
          </w:p>
          <w:p w:rsidR="00E401E4" w:rsidRDefault="00E401E4" w:rsidP="00E401E4">
            <w:pPr>
              <w:pStyle w:val="PartyType"/>
            </w:pPr>
            <w:r>
              <w:t>Appellant</w:t>
            </w:r>
          </w:p>
          <w:bookmarkEnd w:id="11"/>
          <w:p w:rsidR="00A46CCC" w:rsidRPr="006555B4" w:rsidRDefault="00A46CCC" w:rsidP="002D3F12">
            <w:pPr>
              <w:pStyle w:val="NormalHeadings"/>
              <w:jc w:val="left"/>
            </w:pPr>
          </w:p>
        </w:tc>
      </w:tr>
      <w:tr w:rsidR="00A46CCC" w:rsidTr="002D3F12">
        <w:trPr>
          <w:trHeight w:val="386"/>
        </w:trPr>
        <w:tc>
          <w:tcPr>
            <w:tcW w:w="2376" w:type="dxa"/>
          </w:tcPr>
          <w:p w:rsidR="00A46CCC" w:rsidRDefault="00A46CCC" w:rsidP="002D3F12">
            <w:pPr>
              <w:pStyle w:val="NormalHeadings"/>
              <w:jc w:val="left"/>
              <w:rPr>
                <w:caps/>
                <w:szCs w:val="24"/>
              </w:rPr>
            </w:pPr>
            <w:r>
              <w:rPr>
                <w:caps/>
                <w:szCs w:val="24"/>
              </w:rPr>
              <w:t>AND:</w:t>
            </w:r>
          </w:p>
        </w:tc>
        <w:tc>
          <w:tcPr>
            <w:tcW w:w="6866" w:type="dxa"/>
            <w:gridSpan w:val="2"/>
          </w:tcPr>
          <w:p w:rsidR="00E401E4" w:rsidRDefault="00E401E4" w:rsidP="00E401E4">
            <w:pPr>
              <w:pStyle w:val="NormalHeadings"/>
              <w:jc w:val="left"/>
            </w:pPr>
            <w:bookmarkStart w:id="12" w:name="Respondent"/>
            <w:r>
              <w:t>MOTTERSHEAD INVESTMENTS PTY LTD ACN 119 740 304</w:t>
            </w:r>
          </w:p>
          <w:p w:rsidR="00E401E4" w:rsidRDefault="00E401E4" w:rsidP="00E401E4">
            <w:pPr>
              <w:pStyle w:val="PartyType"/>
            </w:pPr>
            <w:r>
              <w:t>Respondent</w:t>
            </w:r>
          </w:p>
          <w:bookmarkEnd w:id="12"/>
          <w:p w:rsidR="00A46CCC" w:rsidRPr="006555B4" w:rsidRDefault="00A46CCC" w:rsidP="002D3F12">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401E4">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E401E4">
            <w:pPr>
              <w:pStyle w:val="NormalHeadings"/>
              <w:jc w:val="left"/>
              <w:rPr>
                <w:caps/>
                <w:szCs w:val="24"/>
              </w:rPr>
            </w:pPr>
            <w:bookmarkStart w:id="15" w:name="Judge"/>
            <w:r>
              <w:rPr>
                <w:caps/>
                <w:szCs w:val="24"/>
              </w:rPr>
              <w:t>STEWART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401E4">
            <w:pPr>
              <w:pStyle w:val="NormalHeadings"/>
              <w:jc w:val="left"/>
              <w:rPr>
                <w:caps/>
                <w:szCs w:val="24"/>
              </w:rPr>
            </w:pPr>
            <w:bookmarkStart w:id="16" w:name="Judgment_Dated"/>
            <w:r>
              <w:rPr>
                <w:caps/>
                <w:szCs w:val="24"/>
              </w:rPr>
              <w:t>26 SEPTEMBER 2019</w:t>
            </w:r>
            <w:bookmarkEnd w:id="16"/>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E401E4" w:rsidRDefault="00E401E4">
      <w:pPr>
        <w:pStyle w:val="NormalHeadings"/>
      </w:pPr>
    </w:p>
    <w:p w:rsidR="00E401E4" w:rsidRPr="00E401E4" w:rsidRDefault="00E401E4" w:rsidP="00E401E4">
      <w:pPr>
        <w:pStyle w:val="Order1"/>
        <w:numPr>
          <w:ilvl w:val="0"/>
          <w:numId w:val="0"/>
        </w:numPr>
        <w:ind w:left="720" w:hanging="720"/>
      </w:pPr>
      <w:bookmarkStart w:id="17" w:name="Order_Start_Text"/>
      <w:bookmarkEnd w:id="17"/>
      <w:r w:rsidRPr="00E401E4">
        <w:rPr>
          <w:b/>
          <w:bCs/>
        </w:rPr>
        <w:t xml:space="preserve">Appellant’s Interlocutory Application filed on 11 September 2019 </w:t>
      </w:r>
    </w:p>
    <w:p w:rsidR="00E401E4" w:rsidRPr="00E401E4" w:rsidRDefault="00E401E4" w:rsidP="00E401E4">
      <w:pPr>
        <w:pStyle w:val="Order1"/>
      </w:pPr>
      <w:r w:rsidRPr="00E401E4">
        <w:t xml:space="preserve">The appellant’s interlocutory application filed on 11 September 2019 is dismissed. </w:t>
      </w:r>
    </w:p>
    <w:p w:rsidR="00E401E4" w:rsidRPr="00E401E4" w:rsidRDefault="00E401E4" w:rsidP="00E401E4">
      <w:pPr>
        <w:pStyle w:val="Order1"/>
      </w:pPr>
      <w:r w:rsidRPr="00E401E4">
        <w:t xml:space="preserve">The appellant is to pay the costs of its interlocutory application filed on 16 September 2019. </w:t>
      </w:r>
    </w:p>
    <w:p w:rsidR="00E401E4" w:rsidRPr="00E401E4" w:rsidRDefault="00E401E4" w:rsidP="00E401E4">
      <w:pPr>
        <w:pStyle w:val="Order1"/>
        <w:numPr>
          <w:ilvl w:val="0"/>
          <w:numId w:val="0"/>
        </w:numPr>
      </w:pPr>
      <w:r w:rsidRPr="00E401E4">
        <w:rPr>
          <w:b/>
          <w:bCs/>
        </w:rPr>
        <w:t xml:space="preserve">Respondent’s Interlocutory Application filed on 16 September 2019 </w:t>
      </w:r>
    </w:p>
    <w:p w:rsidR="00E401E4" w:rsidRPr="00E401E4" w:rsidRDefault="00E401E4" w:rsidP="00E401E4">
      <w:pPr>
        <w:pStyle w:val="Order1"/>
      </w:pPr>
      <w:r w:rsidRPr="00E401E4">
        <w:t xml:space="preserve">Pursuant to s 56 of the </w:t>
      </w:r>
      <w:r w:rsidRPr="00E401E4">
        <w:rPr>
          <w:i/>
          <w:iCs/>
        </w:rPr>
        <w:t xml:space="preserve">Federal Court of Australia Act 1976 </w:t>
      </w:r>
      <w:r w:rsidRPr="00E401E4">
        <w:t>(</w:t>
      </w:r>
      <w:proofErr w:type="spellStart"/>
      <w:r w:rsidRPr="00E401E4">
        <w:t>Cth</w:t>
      </w:r>
      <w:proofErr w:type="spellEnd"/>
      <w:r w:rsidRPr="00E401E4">
        <w:t xml:space="preserve">) and r 39.01 of the </w:t>
      </w:r>
      <w:r w:rsidRPr="00E401E4">
        <w:rPr>
          <w:i/>
          <w:iCs/>
        </w:rPr>
        <w:t xml:space="preserve">Federal Court Rules 2011 </w:t>
      </w:r>
      <w:r w:rsidRPr="00E401E4">
        <w:t>(</w:t>
      </w:r>
      <w:proofErr w:type="spellStart"/>
      <w:r w:rsidRPr="00E401E4">
        <w:t>Cth</w:t>
      </w:r>
      <w:proofErr w:type="spellEnd"/>
      <w:r w:rsidRPr="00E401E4">
        <w:t xml:space="preserve">) the appellant is to give security for the respondent’s costs of the appeal in the sum of $30,000 to be provided by 4:00pm on the twenty-first (21st) day after the date of these Orders by payment into Court in this proceeding pursuant to r 2.42 of the </w:t>
      </w:r>
      <w:r w:rsidRPr="00E401E4">
        <w:rPr>
          <w:i/>
          <w:iCs/>
        </w:rPr>
        <w:t xml:space="preserve">Federal Court Rules 2011 </w:t>
      </w:r>
      <w:r w:rsidRPr="00E401E4">
        <w:t>(</w:t>
      </w:r>
      <w:proofErr w:type="spellStart"/>
      <w:r w:rsidRPr="00E401E4">
        <w:t>Cth</w:t>
      </w:r>
      <w:proofErr w:type="spellEnd"/>
      <w:r w:rsidRPr="00E401E4">
        <w:t xml:space="preserve">). </w:t>
      </w:r>
    </w:p>
    <w:p w:rsidR="00E401E4" w:rsidRPr="00E401E4" w:rsidRDefault="00E401E4" w:rsidP="00E401E4">
      <w:pPr>
        <w:pStyle w:val="Order1"/>
      </w:pPr>
      <w:r w:rsidRPr="00E401E4">
        <w:t xml:space="preserve">Pursuant to r 36.09(1)(b) of the </w:t>
      </w:r>
      <w:r w:rsidRPr="00E401E4">
        <w:rPr>
          <w:i/>
          <w:iCs/>
        </w:rPr>
        <w:t xml:space="preserve">Federal Court Rules 2011 </w:t>
      </w:r>
      <w:r w:rsidRPr="00E401E4">
        <w:t>(</w:t>
      </w:r>
      <w:proofErr w:type="spellStart"/>
      <w:r w:rsidRPr="00E401E4">
        <w:t>Cth</w:t>
      </w:r>
      <w:proofErr w:type="spellEnd"/>
      <w:r w:rsidRPr="00E401E4">
        <w:t xml:space="preserve">), the appellant’s appeal be stayed until the security for costs sum has been provided by the appellant pursuant to Order 3. </w:t>
      </w:r>
    </w:p>
    <w:p w:rsidR="00E401E4" w:rsidRPr="00E401E4" w:rsidRDefault="00E401E4" w:rsidP="00E401E4">
      <w:pPr>
        <w:pStyle w:val="Order1"/>
      </w:pPr>
      <w:r w:rsidRPr="00E401E4">
        <w:t xml:space="preserve">The costs of the respondent’s interlocutory application for security for costs filed on 16 September 2019 are to be costs in the appeal. </w:t>
      </w:r>
    </w:p>
    <w:p w:rsidR="00E401E4" w:rsidRPr="00E401E4" w:rsidRDefault="00E401E4" w:rsidP="00E401E4">
      <w:pPr>
        <w:pStyle w:val="Order1"/>
        <w:numPr>
          <w:ilvl w:val="0"/>
          <w:numId w:val="0"/>
        </w:numPr>
        <w:rPr>
          <w:b/>
        </w:rPr>
      </w:pPr>
      <w:r w:rsidRPr="00E401E4">
        <w:rPr>
          <w:b/>
        </w:rPr>
        <w:t xml:space="preserve">General </w:t>
      </w:r>
    </w:p>
    <w:p w:rsidR="00E401E4" w:rsidRDefault="00E401E4" w:rsidP="00E401E4">
      <w:pPr>
        <w:pStyle w:val="Order1"/>
      </w:pPr>
      <w:r>
        <w:t xml:space="preserve">The matter is listed for case management on 24 October 2019 at 9:30am, which is also to be the return day for any application brought by the respondent in the event that security is not established pursuant to Order 3. </w:t>
      </w:r>
    </w:p>
    <w:p w:rsidR="00395B24" w:rsidRDefault="00395B24" w:rsidP="00E401E4">
      <w:pPr>
        <w:pStyle w:val="Order1"/>
        <w:numPr>
          <w:ilvl w:val="0"/>
          <w:numId w:val="0"/>
        </w:numPr>
        <w:ind w:left="720" w:hanging="720"/>
      </w:pPr>
    </w:p>
    <w:p w:rsidR="00636871" w:rsidRDefault="00636871"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152CEE" w:rsidRPr="00045BB7" w:rsidRDefault="00152CEE" w:rsidP="00045BB7">
      <w:pPr>
        <w:pStyle w:val="NormalHeadings"/>
        <w:spacing w:line="480" w:lineRule="auto"/>
        <w:jc w:val="center"/>
        <w:rPr>
          <w:sz w:val="28"/>
          <w:szCs w:val="28"/>
        </w:rPr>
      </w:pPr>
      <w:r>
        <w:rPr>
          <w:sz w:val="28"/>
          <w:szCs w:val="28"/>
        </w:rPr>
        <w:t>(</w:t>
      </w:r>
      <w:r w:rsidR="00A87681">
        <w:rPr>
          <w:sz w:val="28"/>
          <w:szCs w:val="28"/>
        </w:rPr>
        <w:t>Delivered ex tempore</w:t>
      </w:r>
      <w:r>
        <w:rPr>
          <w:sz w:val="28"/>
          <w:szCs w:val="28"/>
        </w:rPr>
        <w:t>)</w:t>
      </w:r>
    </w:p>
    <w:p w:rsidR="00395B24" w:rsidRPr="00EA03CE" w:rsidRDefault="00E401E4" w:rsidP="005E0510">
      <w:pPr>
        <w:pStyle w:val="NormalHeadings"/>
        <w:spacing w:line="360" w:lineRule="auto"/>
        <w:jc w:val="left"/>
        <w:rPr>
          <w:sz w:val="26"/>
          <w:szCs w:val="26"/>
        </w:rPr>
      </w:pPr>
      <w:r>
        <w:rPr>
          <w:sz w:val="26"/>
          <w:szCs w:val="26"/>
        </w:rPr>
        <w:t>STEWART J</w:t>
      </w:r>
      <w:r w:rsidR="00484F6D" w:rsidRPr="00EA03CE">
        <w:rPr>
          <w:sz w:val="26"/>
          <w:szCs w:val="26"/>
        </w:rPr>
        <w:t>:</w:t>
      </w:r>
    </w:p>
    <w:p w:rsidR="00FE32F9" w:rsidRDefault="00FE32F9" w:rsidP="00FE32F9">
      <w:pPr>
        <w:pStyle w:val="ParaNumbering"/>
      </w:pPr>
      <w:r>
        <w:t>There are two com</w:t>
      </w:r>
      <w:r w:rsidR="00CB0876">
        <w:t>peting applications before the C</w:t>
      </w:r>
      <w:r>
        <w:t xml:space="preserve">ourt.  The respondent seeks security for its costs in the appeal in the event that the appeal fails.  The appellant seeks an extension of a stay of the judgment that </w:t>
      </w:r>
      <w:r w:rsidR="00CB0876">
        <w:t xml:space="preserve">he appeals from, namely that </w:t>
      </w:r>
      <w:r>
        <w:t>he pay the sum of $209,000 from funds currently held in trust by his solicitor.  The judgment was stayed by the primary judge until the first case management hearing in the appeal, when it was further extended until the determination of this stay application.</w:t>
      </w:r>
    </w:p>
    <w:p w:rsidR="00CB0876" w:rsidRDefault="00CB0876" w:rsidP="00FE32F9">
      <w:pPr>
        <w:pStyle w:val="ParaNumbering"/>
      </w:pPr>
      <w:r>
        <w:t>I will consider the stay application first.</w:t>
      </w:r>
    </w:p>
    <w:p w:rsidR="00CB0876" w:rsidRDefault="00FE32F9" w:rsidP="00CB0876">
      <w:pPr>
        <w:pStyle w:val="ParaNumbering"/>
      </w:pPr>
      <w:r>
        <w:t>There is $300,000 held by the appellant’s solicitors in trust.  That sum is part of the proceeds of sale of the appellant’s Manly house which occurred during the proceeding at first instance.  The primary judge ordered that that sum be retained in trust to satisfy any judgment that might subsequently be made against the appellant.  The primary judge i</w:t>
      </w:r>
      <w:r w:rsidR="00CB0876">
        <w:t>s yet to determine the interest</w:t>
      </w:r>
      <w:r>
        <w:t xml:space="preserve"> and costs tha</w:t>
      </w:r>
      <w:r w:rsidR="00CB0876">
        <w:t>t are claimed in the proceeding</w:t>
      </w:r>
      <w:r>
        <w:t xml:space="preserve"> at first instance.  The balance of the sum of $300,000</w:t>
      </w:r>
      <w:r w:rsidR="00CB0876">
        <w:t xml:space="preserve"> after the principal sum of $209,000 is paid is held to meet the</w:t>
      </w:r>
      <w:r>
        <w:t xml:space="preserve"> judgment </w:t>
      </w:r>
      <w:r w:rsidR="00CB0876">
        <w:t xml:space="preserve">on interest and costs </w:t>
      </w:r>
      <w:r>
        <w:t xml:space="preserve">once it is made.  </w:t>
      </w:r>
    </w:p>
    <w:p w:rsidR="00FE32F9" w:rsidRDefault="00FE32F9" w:rsidP="00CB0876">
      <w:pPr>
        <w:pStyle w:val="ParaNumbering"/>
      </w:pPr>
      <w:r>
        <w:t xml:space="preserve">The appellant relies on </w:t>
      </w:r>
      <w:r w:rsidR="003D1E9E">
        <w:t xml:space="preserve">r </w:t>
      </w:r>
      <w:r>
        <w:t xml:space="preserve">36.08 of the </w:t>
      </w:r>
      <w:r w:rsidRPr="009C6788">
        <w:rPr>
          <w:i/>
        </w:rPr>
        <w:t>Federal Court Rules</w:t>
      </w:r>
      <w:r w:rsidR="00592107">
        <w:rPr>
          <w:i/>
        </w:rPr>
        <w:t xml:space="preserve"> 2011 </w:t>
      </w:r>
      <w:r w:rsidR="00592107">
        <w:t>(</w:t>
      </w:r>
      <w:proofErr w:type="spellStart"/>
      <w:r w:rsidR="00592107">
        <w:t>Cth</w:t>
      </w:r>
      <w:proofErr w:type="spellEnd"/>
      <w:r w:rsidR="00592107">
        <w:t>) (</w:t>
      </w:r>
      <w:r w:rsidR="00592107">
        <w:rPr>
          <w:b/>
        </w:rPr>
        <w:t>FCR</w:t>
      </w:r>
      <w:r w:rsidR="00592107">
        <w:t>)</w:t>
      </w:r>
      <w:r w:rsidR="00CB0876">
        <w:t>, which provides that a</w:t>
      </w:r>
      <w:r>
        <w:t>n appeal does not operate as a stay of execution or a stay of any proceedings under the judgment subject to the appeal.  However, an appellant or interested person may apply to the court for an order to stay the execution of the proceeding until the appeal is heard and determined.</w:t>
      </w:r>
    </w:p>
    <w:p w:rsidR="00CB0876" w:rsidRDefault="00FE32F9" w:rsidP="00FE32F9">
      <w:pPr>
        <w:pStyle w:val="ParaNumbering"/>
      </w:pPr>
      <w:r>
        <w:t xml:space="preserve">The relevant principles are well-established.  The assumption is that the judgment appealed from is correct and that the court should not deprive a person of the fruits of their victory.  It is not necessary for an appellant to show special or exceptional circumstances in order to justify a stay, but some reason must be demonstrated.  Also, the court can order a stay on appropriate conditions, such as with regard to the provision of security for the judgment, or it can refuse a stay subject to conditions with regard to the respondent, that is, the judgment creditor providing security for repayment in the event that the appeal succeeds.  </w:t>
      </w:r>
    </w:p>
    <w:p w:rsidR="00FE32F9" w:rsidRDefault="00FE32F9" w:rsidP="00FE32F9">
      <w:pPr>
        <w:pStyle w:val="ParaNumbering"/>
      </w:pPr>
      <w:r>
        <w:lastRenderedPageBreak/>
        <w:t xml:space="preserve">The respondent refers to </w:t>
      </w:r>
      <w:r w:rsidRPr="009C6788">
        <w:rPr>
          <w:i/>
        </w:rPr>
        <w:t xml:space="preserve">Henderson v </w:t>
      </w:r>
      <w:proofErr w:type="spellStart"/>
      <w:r w:rsidRPr="009C6788">
        <w:rPr>
          <w:i/>
        </w:rPr>
        <w:t>Amadio</w:t>
      </w:r>
      <w:proofErr w:type="spellEnd"/>
      <w:r w:rsidRPr="009C6788">
        <w:rPr>
          <w:i/>
        </w:rPr>
        <w:t xml:space="preserve"> Pty Ltd (No 3)</w:t>
      </w:r>
      <w:r>
        <w:t xml:space="preserve"> (1996) 65 FCR 66</w:t>
      </w:r>
      <w:r w:rsidR="00CB0876">
        <w:t xml:space="preserve"> at 69D</w:t>
      </w:r>
      <w:r>
        <w:t xml:space="preserve">, where </w:t>
      </w:r>
      <w:proofErr w:type="spellStart"/>
      <w:r>
        <w:t>Heerey</w:t>
      </w:r>
      <w:proofErr w:type="spellEnd"/>
      <w:r>
        <w:t xml:space="preserve"> J stated as follows:</w:t>
      </w:r>
    </w:p>
    <w:p w:rsidR="00FE32F9" w:rsidRDefault="00CB0876" w:rsidP="00FE32F9">
      <w:pPr>
        <w:pStyle w:val="Quote1"/>
      </w:pPr>
      <w:r>
        <w:t xml:space="preserve">I do not think that the circumstances need to be “special” or “exceptional” in the sense of being unusual or rare.  </w:t>
      </w:r>
      <w:r w:rsidR="00FE32F9">
        <w:t xml:space="preserve">For example, where the judgment sought to be stayed is for payment of a money sum and costs, as is the case here, the appellant will often be concerned with the prospect that without a stay the proceeds of the judgment may be dissipated or seized by other creditors or for some other reason be impossible or very difficult to recover.  In such a case, the appellant has to show there would be no reasonable probability of getting back monies paid under the judgment if the appeal succeeds in full.  See </w:t>
      </w:r>
      <w:r w:rsidR="00FE32F9" w:rsidRPr="009C6788">
        <w:rPr>
          <w:i/>
        </w:rPr>
        <w:t>Andrews v John Fairfax &amp; Sons Ltd</w:t>
      </w:r>
      <w:r>
        <w:t xml:space="preserve"> [1979] 2 NSWLR 184 at 189 … However this could hardly be considered a special, exceptional, rare or unusual situation.</w:t>
      </w:r>
    </w:p>
    <w:p w:rsidR="00FE32F9" w:rsidRDefault="00FE32F9" w:rsidP="00FE32F9">
      <w:pPr>
        <w:pStyle w:val="ParaNumbering"/>
      </w:pPr>
      <w:r>
        <w:t xml:space="preserve">The prospects of success in the appeal can be a relevant consideration.  In this case, there is nothing to suggest that the appeal is other than </w:t>
      </w:r>
      <w:r w:rsidRPr="00CB0876">
        <w:t>bona fide</w:t>
      </w:r>
      <w:r w:rsidRPr="003D1E9E">
        <w:t>,</w:t>
      </w:r>
      <w:r>
        <w:t xml:space="preserve"> but I am not in a position to make any assessment as to its prospects of success.  That is because the appeal is on a question of fact, and to make any kind of assessment would require getting into the evidence in considerable detail, which would not be an appropria</w:t>
      </w:r>
      <w:r w:rsidR="00CB0876">
        <w:t>te or proportionate use of the C</w:t>
      </w:r>
      <w:r>
        <w:t>ourt’s time at this stage of the proceeding</w:t>
      </w:r>
      <w:r w:rsidR="00CB0876">
        <w:t>.  In</w:t>
      </w:r>
      <w:r>
        <w:t>deed, Mr Johnson, who appeared for the appellant, did not urge that on me.  He submitted that I can deal with the matter on the basis that the appeal is bona fide and genuinely brought and that it is of relatively narrow compass.</w:t>
      </w:r>
    </w:p>
    <w:p w:rsidR="00CB0876" w:rsidRDefault="00FE32F9" w:rsidP="00FE32F9">
      <w:pPr>
        <w:pStyle w:val="ParaNumbering"/>
      </w:pPr>
      <w:r>
        <w:t xml:space="preserve">The respondent is a corporation of unknown assets and creditworthiness.  </w:t>
      </w:r>
      <w:r w:rsidR="00CB0876">
        <w:t>Those are circumstances that would count in favour of the extension of the existing stay of the judgment as the appellant could be justifiably concerned that it might not be repaid in the event that the appeal is successful.</w:t>
      </w:r>
    </w:p>
    <w:p w:rsidR="00CB0876" w:rsidRDefault="00CB0876" w:rsidP="00FE32F9">
      <w:pPr>
        <w:pStyle w:val="ParaNumbering"/>
      </w:pPr>
      <w:r>
        <w:t>However, the respondent</w:t>
      </w:r>
      <w:r w:rsidR="00FE32F9">
        <w:t xml:space="preserve"> has offered personal undertakings </w:t>
      </w:r>
      <w:r>
        <w:t xml:space="preserve">from three natural persons </w:t>
      </w:r>
      <w:r w:rsidR="00FE32F9">
        <w:t xml:space="preserve">to repay the judgment sum in the event that the appeal is successful.  Evidence has been adduced as to </w:t>
      </w:r>
      <w:r>
        <w:t xml:space="preserve">the </w:t>
      </w:r>
      <w:r w:rsidR="00FE32F9">
        <w:t>real property owned by each of them</w:t>
      </w:r>
      <w:r>
        <w:t xml:space="preserve"> to found the submission that the undertakings have value.</w:t>
      </w:r>
    </w:p>
    <w:p w:rsidR="00FE32F9" w:rsidRDefault="003D1E9E" w:rsidP="00FE32F9">
      <w:pPr>
        <w:pStyle w:val="ParaNumbering"/>
      </w:pPr>
      <w:r>
        <w:t xml:space="preserve">The first undertaking is by </w:t>
      </w:r>
      <w:r w:rsidR="00FE32F9">
        <w:t xml:space="preserve">Mr Ross </w:t>
      </w:r>
      <w:proofErr w:type="spellStart"/>
      <w:r w:rsidR="00FE32F9">
        <w:t>Mottershead</w:t>
      </w:r>
      <w:proofErr w:type="spellEnd"/>
      <w:r w:rsidR="00FE32F9">
        <w:t>, the sole director of the respondent in the proceeding</w:t>
      </w:r>
      <w:r>
        <w:t xml:space="preserve"> and a Chartered Accountant</w:t>
      </w:r>
      <w:r w:rsidR="00FE32F9">
        <w:t xml:space="preserve">.  </w:t>
      </w:r>
      <w:r w:rsidR="00CB0876">
        <w:t>The undertaking is made to the c</w:t>
      </w:r>
      <w:r w:rsidR="00FE32F9">
        <w:t>ourt and to the appellant</w:t>
      </w:r>
      <w:r w:rsidR="00CB0876">
        <w:t>.  It</w:t>
      </w:r>
      <w:r w:rsidR="00FE32F9">
        <w:t xml:space="preserve"> is that </w:t>
      </w:r>
      <w:r w:rsidR="00CB0876">
        <w:t xml:space="preserve">in the event that the appellant is successful in his present appeal, </w:t>
      </w:r>
      <w:r w:rsidR="00FE32F9">
        <w:t xml:space="preserve">Mr </w:t>
      </w:r>
      <w:proofErr w:type="spellStart"/>
      <w:r w:rsidR="00FE32F9">
        <w:t>Mottershead</w:t>
      </w:r>
      <w:proofErr w:type="spellEnd"/>
      <w:r w:rsidR="00FE32F9">
        <w:t xml:space="preserve"> will pay into court </w:t>
      </w:r>
      <w:r w:rsidR="00447D38">
        <w:t>such</w:t>
      </w:r>
      <w:r w:rsidR="00FE32F9">
        <w:t xml:space="preserve"> amount</w:t>
      </w:r>
      <w:r w:rsidR="00447D38">
        <w:t>,</w:t>
      </w:r>
      <w:r w:rsidR="00FE32F9">
        <w:t xml:space="preserve"> up to $300,000</w:t>
      </w:r>
      <w:r w:rsidR="00447D38">
        <w:t>,</w:t>
      </w:r>
      <w:r w:rsidR="00FE32F9">
        <w:t xml:space="preserve"> as may </w:t>
      </w:r>
      <w:r w:rsidR="00447D38">
        <w:t>have been</w:t>
      </w:r>
      <w:r w:rsidR="00FE32F9">
        <w:t xml:space="preserve"> paid out of the sum presently held pursuant to the orders of the primary judge.  The evidence shows that the property owned by Mr </w:t>
      </w:r>
      <w:proofErr w:type="spellStart"/>
      <w:r w:rsidR="00FE32F9">
        <w:t>Mottershead</w:t>
      </w:r>
      <w:proofErr w:type="spellEnd"/>
      <w:r w:rsidR="00FE32F9">
        <w:t>, which is in Queensland, is heavily mortgaged such that there is not much equity in that property.</w:t>
      </w:r>
      <w:r w:rsidR="00447D38">
        <w:t xml:space="preserve">  Mr </w:t>
      </w:r>
      <w:proofErr w:type="spellStart"/>
      <w:r w:rsidR="00447D38">
        <w:t>Mottershead</w:t>
      </w:r>
      <w:proofErr w:type="spellEnd"/>
      <w:r w:rsidR="00447D38">
        <w:t xml:space="preserve"> should nevertheless be assumed, as </w:t>
      </w:r>
      <w:r w:rsidR="00447D38">
        <w:lastRenderedPageBreak/>
        <w:t xml:space="preserve">a professional person, to be honourable and to at least have the honest belief that </w:t>
      </w:r>
      <w:r w:rsidR="000D1EC6">
        <w:t>h</w:t>
      </w:r>
      <w:r w:rsidR="00447D38">
        <w:t>e will be able to pay the sum that he has undertaken to pay.</w:t>
      </w:r>
    </w:p>
    <w:p w:rsidR="00FE32F9" w:rsidRDefault="00FE32F9" w:rsidP="00FE32F9">
      <w:pPr>
        <w:pStyle w:val="ParaNumbering"/>
      </w:pPr>
      <w:r>
        <w:t xml:space="preserve">The second undertaking offered is by Mr Peter </w:t>
      </w:r>
      <w:proofErr w:type="spellStart"/>
      <w:r>
        <w:t>Terrett</w:t>
      </w:r>
      <w:proofErr w:type="spellEnd"/>
      <w:r>
        <w:t xml:space="preserve">, the respondent’s solicitor in this proceeding.  Mr </w:t>
      </w:r>
      <w:proofErr w:type="spellStart"/>
      <w:r>
        <w:t>Terrett</w:t>
      </w:r>
      <w:proofErr w:type="spellEnd"/>
      <w:r>
        <w:t xml:space="preserve"> offers an undertaking to the court that in the event that Mr </w:t>
      </w:r>
      <w:proofErr w:type="spellStart"/>
      <w:r>
        <w:t>Mottershead</w:t>
      </w:r>
      <w:proofErr w:type="spellEnd"/>
      <w:r>
        <w:t>, who offers the first undertaking, fails to pay</w:t>
      </w:r>
      <w:r w:rsidR="00447D38" w:rsidRPr="00447D38">
        <w:t xml:space="preserve"> </w:t>
      </w:r>
      <w:r w:rsidR="00447D38">
        <w:t>on his undertaking</w:t>
      </w:r>
      <w:r>
        <w:t xml:space="preserve">, then Mr </w:t>
      </w:r>
      <w:proofErr w:type="spellStart"/>
      <w:r>
        <w:t>Terrett</w:t>
      </w:r>
      <w:proofErr w:type="spellEnd"/>
      <w:r w:rsidR="00447D38">
        <w:t xml:space="preserve"> as guarantor will pay that sum into court</w:t>
      </w:r>
      <w:r>
        <w:t xml:space="preserve">, up to the sum of $60,000. </w:t>
      </w:r>
      <w:r w:rsidR="003D1E9E">
        <w:t xml:space="preserve"> Mr </w:t>
      </w:r>
      <w:proofErr w:type="spellStart"/>
      <w:r w:rsidR="003D1E9E">
        <w:t>Terrett</w:t>
      </w:r>
      <w:proofErr w:type="spellEnd"/>
      <w:r w:rsidR="003D1E9E">
        <w:t xml:space="preserve"> has real property in New South Wales that has sufficient equity to meet his undertaking,</w:t>
      </w:r>
      <w:r w:rsidR="00447D38">
        <w:t xml:space="preserve"> limited as it is</w:t>
      </w:r>
      <w:r w:rsidR="003D1E9E">
        <w:t>.</w:t>
      </w:r>
      <w:r w:rsidR="00447D38">
        <w:t xml:space="preserve">  As a solicitor of this court, Mr </w:t>
      </w:r>
      <w:proofErr w:type="spellStart"/>
      <w:r w:rsidR="00447D38">
        <w:t>Terrett’s</w:t>
      </w:r>
      <w:proofErr w:type="spellEnd"/>
      <w:r w:rsidR="00447D38">
        <w:t xml:space="preserve"> undertaking to the court must be assumed to be good.</w:t>
      </w:r>
    </w:p>
    <w:p w:rsidR="00FE32F9" w:rsidRDefault="00FE32F9" w:rsidP="00FA6D1C">
      <w:pPr>
        <w:pStyle w:val="ParaNumbering"/>
      </w:pPr>
      <w:r>
        <w:t xml:space="preserve">The third undertaking is by Mr Neil </w:t>
      </w:r>
      <w:proofErr w:type="spellStart"/>
      <w:r>
        <w:t>Mottershead</w:t>
      </w:r>
      <w:proofErr w:type="spellEnd"/>
      <w:r>
        <w:t>, who is the brot</w:t>
      </w:r>
      <w:r w:rsidR="00447D38">
        <w:t xml:space="preserve">her of Ross </w:t>
      </w:r>
      <w:proofErr w:type="spellStart"/>
      <w:r w:rsidR="00447D38">
        <w:t>Mottershead</w:t>
      </w:r>
      <w:proofErr w:type="spellEnd"/>
      <w:r w:rsidR="00447D38">
        <w:t>.  He</w:t>
      </w:r>
      <w:r>
        <w:t xml:space="preserve"> undertakes that if Ross </w:t>
      </w:r>
      <w:proofErr w:type="spellStart"/>
      <w:r>
        <w:t>Mottershead</w:t>
      </w:r>
      <w:proofErr w:type="spellEnd"/>
      <w:r>
        <w:t xml:space="preserve"> fails to pay any sum up to $200,000 under his undertaking, then he, Neil </w:t>
      </w:r>
      <w:proofErr w:type="spellStart"/>
      <w:r>
        <w:t>Mottershead</w:t>
      </w:r>
      <w:proofErr w:type="spellEnd"/>
      <w:r>
        <w:t>, will pay that amount</w:t>
      </w:r>
      <w:r w:rsidR="00447D38">
        <w:t xml:space="preserve"> into court</w:t>
      </w:r>
      <w:r>
        <w:t xml:space="preserve">.  </w:t>
      </w:r>
      <w:r w:rsidR="00447D38">
        <w:t>T</w:t>
      </w:r>
      <w:r>
        <w:t xml:space="preserve">he evidence indicates that </w:t>
      </w:r>
      <w:r w:rsidR="00447D38">
        <w:t xml:space="preserve">Neil </w:t>
      </w:r>
      <w:proofErr w:type="spellStart"/>
      <w:r w:rsidR="00447D38">
        <w:t>Mottershead</w:t>
      </w:r>
      <w:proofErr w:type="spellEnd"/>
      <w:r>
        <w:t xml:space="preserve"> has real property in New South Wales that has very considerable equity in it</w:t>
      </w:r>
      <w:r w:rsidR="00447D38">
        <w:t xml:space="preserve"> far in excess of the value of his undertaking</w:t>
      </w:r>
      <w:r>
        <w:t xml:space="preserve">.  </w:t>
      </w:r>
    </w:p>
    <w:p w:rsidR="00447D38" w:rsidRDefault="00FE32F9" w:rsidP="00FA6D1C">
      <w:pPr>
        <w:pStyle w:val="ParaNumbering"/>
      </w:pPr>
      <w:r>
        <w:t>The present circumstances are that the appellant has already, in effect, paid the judgment debt.  That occurred a long time before judgment wh</w:t>
      </w:r>
      <w:r w:rsidR="00447D38">
        <w:t xml:space="preserve">en the proceeds of the sale of </w:t>
      </w:r>
      <w:r>
        <w:t>his property were put in trust</w:t>
      </w:r>
      <w:r w:rsidR="00447D38">
        <w:t xml:space="preserve"> under the orders of the primary judge</w:t>
      </w:r>
      <w:r>
        <w:t xml:space="preserve">.  </w:t>
      </w:r>
      <w:r w:rsidR="00447D38">
        <w:t>However,</w:t>
      </w:r>
      <w:r>
        <w:t xml:space="preserve"> the respondent has not had and does not yet have the use of that money.  </w:t>
      </w:r>
    </w:p>
    <w:p w:rsidR="00FE32F9" w:rsidRDefault="00FE32F9" w:rsidP="00FA6D1C">
      <w:pPr>
        <w:pStyle w:val="ParaNumbering"/>
      </w:pPr>
      <w:r>
        <w:t xml:space="preserve">In view of the authorities and in particular in view of the undertakings that have been proffered, which taken together I accept are very likely to produce </w:t>
      </w:r>
      <w:r w:rsidR="00447D38">
        <w:t>re</w:t>
      </w:r>
      <w:r>
        <w:t>payment of any amount that is paid out of the $300,000 in the event that the appellant succeeds in the appeal, I am not satisfied that the judgment should continue to be stayed, and I will dismiss the stay application.</w:t>
      </w:r>
      <w:r w:rsidR="00447D38">
        <w:t xml:space="preserve">  That is expressly on the basis of the undertakings that have been proffered.</w:t>
      </w:r>
    </w:p>
    <w:p w:rsidR="00447D38" w:rsidRDefault="00447D38" w:rsidP="00FA6D1C">
      <w:pPr>
        <w:pStyle w:val="ParaNumbering"/>
      </w:pPr>
      <w:r>
        <w:t>I now turn to the security for costs application.</w:t>
      </w:r>
    </w:p>
    <w:p w:rsidR="00FE32F9" w:rsidRDefault="00447D38" w:rsidP="00FE32F9">
      <w:pPr>
        <w:pStyle w:val="ParaNumbering"/>
      </w:pPr>
      <w:r>
        <w:t>The</w:t>
      </w:r>
      <w:r w:rsidR="00FE32F9">
        <w:t xml:space="preserve"> respondent moves on an amended interlocutory application dated 24 September 2019 for security </w:t>
      </w:r>
      <w:r>
        <w:t>for</w:t>
      </w:r>
      <w:r w:rsidR="00FE32F9">
        <w:t xml:space="preserve"> its costs in the appeal in the sum of $70,000 or such other amount as the court may consider appropriate.  The application is made pursuant to </w:t>
      </w:r>
      <w:r w:rsidR="002D3F12">
        <w:t xml:space="preserve">s </w:t>
      </w:r>
      <w:r w:rsidR="00FE32F9">
        <w:t xml:space="preserve">56 of the </w:t>
      </w:r>
      <w:r w:rsidR="00FE32F9" w:rsidRPr="00447D38">
        <w:rPr>
          <w:i/>
        </w:rPr>
        <w:t>Federal Court of Australia Act 1976</w:t>
      </w:r>
      <w:r w:rsidR="00FE32F9">
        <w:t xml:space="preserve"> </w:t>
      </w:r>
      <w:r w:rsidR="002D3F12">
        <w:t>(</w:t>
      </w:r>
      <w:proofErr w:type="spellStart"/>
      <w:r w:rsidR="002D3F12">
        <w:t>Cth</w:t>
      </w:r>
      <w:proofErr w:type="spellEnd"/>
      <w:r w:rsidR="002D3F12">
        <w:t xml:space="preserve">) </w:t>
      </w:r>
      <w:r w:rsidR="00FE32F9">
        <w:t xml:space="preserve">and </w:t>
      </w:r>
      <w:r w:rsidR="002D3F12">
        <w:t xml:space="preserve">r </w:t>
      </w:r>
      <w:r w:rsidR="00FE32F9">
        <w:t xml:space="preserve">36.09 of </w:t>
      </w:r>
      <w:r w:rsidR="002D3F12">
        <w:t>the FCR.</w:t>
      </w:r>
    </w:p>
    <w:p w:rsidR="00FE32F9" w:rsidRDefault="00FE32F9" w:rsidP="00FE32F9">
      <w:pPr>
        <w:pStyle w:val="ParaNumbering"/>
      </w:pPr>
      <w:r>
        <w:t xml:space="preserve">The court’s discretion to order security is broad and unfettered, although it must be exercised judicially.  I refer to </w:t>
      </w:r>
      <w:r w:rsidRPr="00447D38">
        <w:rPr>
          <w:i/>
        </w:rPr>
        <w:t xml:space="preserve">KP Cable Investments Pty Ltd v </w:t>
      </w:r>
      <w:proofErr w:type="spellStart"/>
      <w:r w:rsidRPr="00447D38">
        <w:rPr>
          <w:i/>
        </w:rPr>
        <w:t>Meltglow</w:t>
      </w:r>
      <w:proofErr w:type="spellEnd"/>
      <w:r w:rsidRPr="00447D38">
        <w:rPr>
          <w:i/>
        </w:rPr>
        <w:t xml:space="preserve"> Pty Ltd </w:t>
      </w:r>
      <w:r w:rsidR="00F6321F">
        <w:rPr>
          <w:color w:val="000000"/>
          <w:lang w:val="en-US"/>
        </w:rPr>
        <w:t xml:space="preserve">[1995] FCA 76; </w:t>
      </w:r>
      <w:r>
        <w:t xml:space="preserve">56 FCR 189 at 196 per Beazley J.  A non-exhaustive list of discretionary factors is set out by her Honour.  Those include the following: </w:t>
      </w:r>
      <w:r w:rsidR="00592107" w:rsidRPr="00447D38">
        <w:rPr>
          <w:i/>
        </w:rPr>
        <w:t>first</w:t>
      </w:r>
      <w:r w:rsidR="00592107">
        <w:t xml:space="preserve">, </w:t>
      </w:r>
      <w:r>
        <w:t xml:space="preserve">that such applications should be brought promptly;  </w:t>
      </w:r>
      <w:r w:rsidRPr="00447D38">
        <w:rPr>
          <w:i/>
        </w:rPr>
        <w:lastRenderedPageBreak/>
        <w:t>second</w:t>
      </w:r>
      <w:r>
        <w:t xml:space="preserve">, that regard is to be had to the strength and bona fides of the applicant’s case;  </w:t>
      </w:r>
      <w:r w:rsidRPr="00447D38">
        <w:rPr>
          <w:i/>
        </w:rPr>
        <w:t>third</w:t>
      </w:r>
      <w:r>
        <w:t xml:space="preserve">, whether the applicant’s impecuniosity was caused by the respondent's conduct subject of the claim, that is, if the security is resisted on the basis of the appellant’s impecuniosity;  and </w:t>
      </w:r>
      <w:r w:rsidRPr="00447D38">
        <w:rPr>
          <w:i/>
        </w:rPr>
        <w:t>fourth</w:t>
      </w:r>
      <w:r>
        <w:t>, whether the respondent's application for security is oppressive, in the sense that it is being used merely to deny an impecunious applicant a right to litigate.  There are further factors which are not relevant to the present case where the appellant is a natural person and not a corporation.</w:t>
      </w:r>
    </w:p>
    <w:p w:rsidR="00FE32F9" w:rsidRDefault="00FE32F9" w:rsidP="00FE32F9">
      <w:pPr>
        <w:pStyle w:val="ParaNumbering"/>
      </w:pPr>
      <w:r>
        <w:t xml:space="preserve">There is no evidence in </w:t>
      </w:r>
      <w:r w:rsidR="00447D38">
        <w:t>this</w:t>
      </w:r>
      <w:r>
        <w:t xml:space="preserve"> proceeding that ordering security would stultify the appeal or would be likely to preclude the </w:t>
      </w:r>
      <w:r w:rsidR="00447D38">
        <w:t>appellant</w:t>
      </w:r>
      <w:r>
        <w:t xml:space="preserve"> from obtaining access to justice.  In </w:t>
      </w:r>
      <w:r w:rsidRPr="009C6788">
        <w:rPr>
          <w:i/>
        </w:rPr>
        <w:t xml:space="preserve">PS </w:t>
      </w:r>
      <w:proofErr w:type="spellStart"/>
      <w:r w:rsidRPr="009C6788">
        <w:rPr>
          <w:i/>
        </w:rPr>
        <w:t>Chellaram</w:t>
      </w:r>
      <w:proofErr w:type="spellEnd"/>
      <w:r w:rsidRPr="009C6788">
        <w:rPr>
          <w:i/>
        </w:rPr>
        <w:t xml:space="preserve"> &amp; Co Limited v China Ocean Shipping Company</w:t>
      </w:r>
      <w:r>
        <w:t xml:space="preserve"> [1991]</w:t>
      </w:r>
      <w:r w:rsidR="00592107">
        <w:t xml:space="preserve"> HCA 36;</w:t>
      </w:r>
      <w:r>
        <w:t xml:space="preserve"> </w:t>
      </w:r>
      <w:r w:rsidR="00447D38">
        <w:t>102 ALR 321 at 32</w:t>
      </w:r>
      <w:r>
        <w:t>3, McHugh J observed that:</w:t>
      </w:r>
    </w:p>
    <w:p w:rsidR="00FE32F9" w:rsidRDefault="00447D38" w:rsidP="009C6788">
      <w:pPr>
        <w:pStyle w:val="Quote1"/>
      </w:pPr>
      <w:r>
        <w:t>[</w:t>
      </w:r>
      <w:r w:rsidR="00FE32F9">
        <w:t>F</w:t>
      </w:r>
      <w:r w:rsidR="00A87681">
        <w:t>]</w:t>
      </w:r>
      <w:r w:rsidR="00FE32F9">
        <w:t>or over 200 years, the fact that a party, bringing proceedings, is resident out of the jurisdiction and has no assets within the jurisdiction has been seen as a circumstance of great weight in determining whether an order for security for costs should be made.</w:t>
      </w:r>
    </w:p>
    <w:p w:rsidR="00447D38" w:rsidRDefault="00FE32F9" w:rsidP="00447D38">
      <w:pPr>
        <w:pStyle w:val="ParaNumbering"/>
      </w:pPr>
      <w:r>
        <w:t>The appellant appears to be resident out of the</w:t>
      </w:r>
      <w:r w:rsidR="00447D38">
        <w:t xml:space="preserve"> jurisdiction, and there appear</w:t>
      </w:r>
      <w:r>
        <w:t xml:space="preserve"> to be no assets available within the jurisdiction to pay the costs of the appeal save for the appellant’s interest in funds held in trust</w:t>
      </w:r>
      <w:r w:rsidR="00447D38">
        <w:t>.  T</w:t>
      </w:r>
      <w:r>
        <w:t xml:space="preserve">hat is the funds held in the primary proceedings, </w:t>
      </w:r>
      <w:r w:rsidR="00447D38">
        <w:t>being</w:t>
      </w:r>
      <w:r>
        <w:t xml:space="preserve"> the sum of $300,000 already mentioned, </w:t>
      </w:r>
      <w:r w:rsidR="00447D38">
        <w:t>and</w:t>
      </w:r>
      <w:r>
        <w:t xml:space="preserve"> also a sum of approximately $2.3 million held in </w:t>
      </w:r>
      <w:r w:rsidR="00334CFC">
        <w:t>another proceeding</w:t>
      </w:r>
      <w:r>
        <w:t xml:space="preserve"> in this court.  </w:t>
      </w:r>
      <w:r w:rsidR="00447D38">
        <w:t xml:space="preserve">Mr </w:t>
      </w:r>
      <w:proofErr w:type="spellStart"/>
      <w:r w:rsidR="00447D38">
        <w:t>Terrett</w:t>
      </w:r>
      <w:proofErr w:type="spellEnd"/>
      <w:r w:rsidR="00447D38">
        <w:t xml:space="preserve"> obtained a national property ownership report in respect of the appellant that reveals that the appellant does not currently own any real property in Australia.</w:t>
      </w:r>
    </w:p>
    <w:p w:rsidR="00FE32F9" w:rsidRDefault="00FE32F9" w:rsidP="00FE32F9">
      <w:pPr>
        <w:pStyle w:val="ParaNumbering"/>
      </w:pPr>
      <w:r>
        <w:t xml:space="preserve">The appellant holds a New Zealand passport, and his nationality is that of New Zealand.  The evidence is that he lives most of </w:t>
      </w:r>
      <w:r w:rsidR="002D3F12">
        <w:t xml:space="preserve">the </w:t>
      </w:r>
      <w:r>
        <w:t>time in the Philippines with his family on a farming property, although he does return to Australia from time to time.</w:t>
      </w:r>
      <w:r w:rsidR="00447D38">
        <w:t xml:space="preserve">  He </w:t>
      </w:r>
      <w:r w:rsidR="000D1EC6">
        <w:t xml:space="preserve">also </w:t>
      </w:r>
      <w:r w:rsidR="00447D38">
        <w:t>has business interests in Singapore.</w:t>
      </w:r>
    </w:p>
    <w:p w:rsidR="00FE32F9" w:rsidRDefault="00FE32F9" w:rsidP="00FE32F9">
      <w:pPr>
        <w:pStyle w:val="ParaNumbering"/>
      </w:pPr>
      <w:r>
        <w:t>As I have indicated, the judgment amount from which the appellant appeals is $209,000, whereas there is a sum of $300,000 held to meet that judgment.  That sum, however, must also meet any judgment that might still be made by the primary judge in respect of interest and of costs.  On the figures given to me, there is at least a reasonable prospect that the further judgment by the primary judge may deplete what will remain in that fund of $300,000.</w:t>
      </w:r>
    </w:p>
    <w:p w:rsidR="00FE32F9" w:rsidRDefault="00FE32F9" w:rsidP="00FE32F9">
      <w:pPr>
        <w:pStyle w:val="ParaNumbering"/>
      </w:pPr>
      <w:r>
        <w:t xml:space="preserve">The appellant relies on the circumstances in the other proceeding in this court to which I have referred where the sum of approximately $2.3 million is being held under the control of the court.  </w:t>
      </w:r>
      <w:r w:rsidR="00334CFC">
        <w:t>That proceeding is</w:t>
      </w:r>
      <w:r>
        <w:t xml:space="preserve"> prosecuted by the liquidator of Aircraft Support Industries </w:t>
      </w:r>
      <w:r>
        <w:lastRenderedPageBreak/>
        <w:t xml:space="preserve">Engineering Pty Ltd </w:t>
      </w:r>
      <w:r w:rsidR="009C6788">
        <w:t>(in l</w:t>
      </w:r>
      <w:r>
        <w:t>iquidation</w:t>
      </w:r>
      <w:r w:rsidR="009C6788">
        <w:t>)</w:t>
      </w:r>
      <w:r>
        <w:t xml:space="preserve"> concerning an insolvent trading claim against the appellant before me.  I do not know enough about </w:t>
      </w:r>
      <w:r w:rsidR="00334CFC">
        <w:t>that proceeding</w:t>
      </w:r>
      <w:r>
        <w:t xml:space="preserve"> to have sufficient confidence that any part of </w:t>
      </w:r>
      <w:r w:rsidR="00334CFC">
        <w:t>the fund of $2.3m</w:t>
      </w:r>
      <w:r>
        <w:t xml:space="preserve"> will be available to meet any costs order on appeal in this case.</w:t>
      </w:r>
    </w:p>
    <w:p w:rsidR="00FE32F9" w:rsidRDefault="00FE32F9" w:rsidP="00FE32F9">
      <w:pPr>
        <w:pStyle w:val="ParaNumbering"/>
      </w:pPr>
      <w:r>
        <w:t xml:space="preserve">The respondent’s solicitor, Mr </w:t>
      </w:r>
      <w:proofErr w:type="spellStart"/>
      <w:r>
        <w:t>Terrett</w:t>
      </w:r>
      <w:proofErr w:type="spellEnd"/>
      <w:r>
        <w:t xml:space="preserve">, has estimated the respondent’s costs on appeal </w:t>
      </w:r>
      <w:r w:rsidR="00334CFC">
        <w:t>are</w:t>
      </w:r>
      <w:r>
        <w:t xml:space="preserve"> likely to be in the region of $76,000, including GST.  He has prepared a detailed schedule showing how that estimate </w:t>
      </w:r>
      <w:r w:rsidR="002D3F12">
        <w:t xml:space="preserve">was </w:t>
      </w:r>
      <w:r>
        <w:t xml:space="preserve">arrived at.  Although I do not doubt Mr </w:t>
      </w:r>
      <w:proofErr w:type="spellStart"/>
      <w:r>
        <w:t>Terrett’s</w:t>
      </w:r>
      <w:proofErr w:type="spellEnd"/>
      <w:r>
        <w:t xml:space="preserve"> experience or his </w:t>
      </w:r>
      <w:r w:rsidRPr="00334CFC">
        <w:t>bona fides</w:t>
      </w:r>
      <w:r>
        <w:t>, his schedule appears to me to overstate the calculation of an appropriate figure for security for costs in this appeal.</w:t>
      </w:r>
    </w:p>
    <w:p w:rsidR="00A87681" w:rsidRDefault="00FE32F9" w:rsidP="002D3F12">
      <w:pPr>
        <w:pStyle w:val="ParaNumbering"/>
      </w:pPr>
      <w:r>
        <w:t xml:space="preserve">I have in mind in particular the following considerations.  </w:t>
      </w:r>
    </w:p>
    <w:p w:rsidR="00A87681" w:rsidRDefault="00FE32F9" w:rsidP="002D3F12">
      <w:pPr>
        <w:pStyle w:val="ParaNumbering"/>
      </w:pPr>
      <w:r w:rsidRPr="00A87681">
        <w:rPr>
          <w:i/>
        </w:rPr>
        <w:t>First</w:t>
      </w:r>
      <w:r>
        <w:t xml:space="preserve">, the appeal is from the Federal Circuit Court, in which the principal sum of only $209,000 is at stake.  Only questions of fact arise on the appeal.  It is important that the costs are not disproportionate to what is at stake.  </w:t>
      </w:r>
    </w:p>
    <w:p w:rsidR="00A87681" w:rsidRDefault="00334CFC" w:rsidP="002D3F12">
      <w:pPr>
        <w:pStyle w:val="ParaNumbering"/>
      </w:pPr>
      <w:r>
        <w:rPr>
          <w:i/>
        </w:rPr>
        <w:t>Second</w:t>
      </w:r>
      <w:r w:rsidR="00A87681">
        <w:t>, the</w:t>
      </w:r>
      <w:r w:rsidR="00FE32F9">
        <w:t xml:space="preserve"> schedule makes provision for senior and junior counsel.  I am not persuaded that that is justified </w:t>
      </w:r>
      <w:r w:rsidR="002D3F12">
        <w:t>on a</w:t>
      </w:r>
      <w:r w:rsidR="00FE32F9">
        <w:t xml:space="preserve"> party</w:t>
      </w:r>
      <w:r w:rsidR="002D3F12">
        <w:t>-</w:t>
      </w:r>
      <w:r w:rsidR="00FE32F9">
        <w:t xml:space="preserve">party basis.  Indeed, I am not satisfied that it is justifiable to brief senior counsel at all.  I will, therefore, adjust that amount by removing those </w:t>
      </w:r>
      <w:r w:rsidR="00A87681">
        <w:t>items providing</w:t>
      </w:r>
      <w:r w:rsidR="00FE32F9">
        <w:t xml:space="preserve"> for senior counsel.</w:t>
      </w:r>
    </w:p>
    <w:p w:rsidR="00A87681" w:rsidRDefault="00A87681" w:rsidP="002D3F12">
      <w:pPr>
        <w:pStyle w:val="ParaNumbering"/>
      </w:pPr>
      <w:r>
        <w:rPr>
          <w:i/>
        </w:rPr>
        <w:t>Third</w:t>
      </w:r>
      <w:r w:rsidR="002D3F12" w:rsidRPr="002D3F12">
        <w:t xml:space="preserve">, </w:t>
      </w:r>
      <w:r w:rsidR="00FE32F9" w:rsidRPr="002D3F12">
        <w:t>the schedule appears to have been prepared on an indemnity basis, whereas security should only be provided on a party</w:t>
      </w:r>
      <w:r w:rsidR="002D3F12">
        <w:t>-</w:t>
      </w:r>
      <w:r w:rsidR="00FE32F9" w:rsidRPr="002D3F12">
        <w:t>party basis.  By removing the amounts provided for briefing senior counsel and for the work of senior counsel, approximately $35,000 comes out of the amount, leaving, say, $40,000</w:t>
      </w:r>
      <w:r>
        <w:t>.  O</w:t>
      </w:r>
      <w:r w:rsidR="00FE32F9" w:rsidRPr="002D3F12">
        <w:t xml:space="preserve">n a </w:t>
      </w:r>
      <w:r>
        <w:t xml:space="preserve">rough and </w:t>
      </w:r>
      <w:r w:rsidR="00FE32F9" w:rsidRPr="002D3F12">
        <w:t>ready basis, I estimate that if costs were to be awarded on a party</w:t>
      </w:r>
      <w:r w:rsidR="002D3F12">
        <w:t>-</w:t>
      </w:r>
      <w:r w:rsidR="00FE32F9" w:rsidRPr="002D3F12">
        <w:t xml:space="preserve">party scale, that might be reduced to, say, $30,000.  </w:t>
      </w:r>
    </w:p>
    <w:p w:rsidR="00D57D72" w:rsidRDefault="00FE32F9" w:rsidP="00A87681">
      <w:pPr>
        <w:pStyle w:val="ParaNumbering"/>
      </w:pPr>
      <w:r w:rsidRPr="002D3F12">
        <w:t>The appellant submitted that if I was to order him to furnish security for costs, a sum of $15,000 would be more appropriate.  That seems to me to be too low, and I am satisfied that an appropriate amount, at least at this stage, is $30,000.</w:t>
      </w:r>
    </w:p>
    <w:p w:rsidR="00A87681" w:rsidRDefault="00A87681" w:rsidP="00FE32F9">
      <w:pPr>
        <w:pStyle w:val="ParaNumbering"/>
      </w:pPr>
      <w:r>
        <w:t>To recap,</w:t>
      </w:r>
      <w:r w:rsidR="009C6788" w:rsidRPr="009C6788">
        <w:t xml:space="preserve"> on the appellant’s interlocutory application seeking an extension of the stay, I </w:t>
      </w:r>
      <w:r>
        <w:t xml:space="preserve">will </w:t>
      </w:r>
      <w:r w:rsidR="009C6788" w:rsidRPr="009C6788">
        <w:t xml:space="preserve">simply dismiss the application, and I will hear the parties on costs. </w:t>
      </w:r>
    </w:p>
    <w:p w:rsidR="009C6788" w:rsidRDefault="00A87681" w:rsidP="00FE32F9">
      <w:pPr>
        <w:pStyle w:val="ParaNumbering"/>
      </w:pPr>
      <w:r>
        <w:t>O</w:t>
      </w:r>
      <w:r w:rsidR="009C6788" w:rsidRPr="009C6788">
        <w:t>n the respondent’s amended interlocutory application seeking security for costs, I</w:t>
      </w:r>
      <w:r w:rsidR="00592107">
        <w:t xml:space="preserve"> </w:t>
      </w:r>
      <w:r>
        <w:t>will order that the appellant provide security in the sum of $30,000, and again I will hear the parties on costs.</w:t>
      </w:r>
    </w:p>
    <w:p w:rsidR="00D57D72" w:rsidRDefault="00A87681" w:rsidP="00A87681">
      <w:pPr>
        <w:pStyle w:val="Heading2"/>
      </w:pPr>
      <w:r>
        <w:lastRenderedPageBreak/>
        <w:t>Later, on c</w:t>
      </w:r>
      <w:r w:rsidR="00D57D72">
        <w:t>osts</w:t>
      </w:r>
    </w:p>
    <w:p w:rsidR="00D57D72" w:rsidRDefault="00A87681" w:rsidP="00A87681">
      <w:pPr>
        <w:pStyle w:val="ParaNumbering"/>
      </w:pPr>
      <w:r>
        <w:t>On the appellant’s stay application, as the respondent has been wholly successful, t</w:t>
      </w:r>
      <w:r w:rsidR="00D57D72">
        <w:t xml:space="preserve">he appellant </w:t>
      </w:r>
      <w:r>
        <w:t>should</w:t>
      </w:r>
      <w:r w:rsidR="00D57D72">
        <w:t xml:space="preserve"> pay the respondent’s costs.</w:t>
      </w:r>
    </w:p>
    <w:p w:rsidR="00D57D72" w:rsidRDefault="00A87681" w:rsidP="00A87681">
      <w:pPr>
        <w:pStyle w:val="ParaNumbering"/>
      </w:pPr>
      <w:r>
        <w:t>On the security for costs application, a</w:t>
      </w:r>
      <w:r w:rsidR="00D57D72">
        <w:t>lthough the respondent has been successful</w:t>
      </w:r>
      <w:r>
        <w:t xml:space="preserve"> in getting orders for security</w:t>
      </w:r>
      <w:r w:rsidR="00D57D72">
        <w:t>, it has certainly got a lot less security than it held out for</w:t>
      </w:r>
      <w:r>
        <w:t>.  I</w:t>
      </w:r>
      <w:r w:rsidR="00D57D72">
        <w:t>n my view, justice is be</w:t>
      </w:r>
      <w:r>
        <w:t>st served by making those costs</w:t>
      </w:r>
      <w:r w:rsidR="00D57D72">
        <w:t xml:space="preserve"> </w:t>
      </w:r>
      <w:proofErr w:type="spellStart"/>
      <w:r w:rsidR="00D57D72">
        <w:t>costs</w:t>
      </w:r>
      <w:proofErr w:type="spellEnd"/>
      <w:r w:rsidR="00D57D72">
        <w:t xml:space="preserve"> in the appeal.</w:t>
      </w:r>
    </w:p>
    <w:p w:rsidR="00D57D72" w:rsidRPr="00D57D72" w:rsidRDefault="00D57D72" w:rsidP="00D57D72">
      <w:pPr>
        <w:pStyle w:val="ParaNumbering"/>
        <w:numPr>
          <w:ilvl w:val="0"/>
          <w:numId w:val="0"/>
        </w:numPr>
      </w:pPr>
    </w:p>
    <w:tbl>
      <w:tblPr>
        <w:tblW w:w="0" w:type="auto"/>
        <w:tblLook w:val="04A0" w:firstRow="1" w:lastRow="0" w:firstColumn="1" w:lastColumn="0" w:noHBand="0" w:noVBand="1"/>
      </w:tblPr>
      <w:tblGrid>
        <w:gridCol w:w="3794"/>
      </w:tblGrid>
      <w:tr w:rsidR="00E401E4" w:rsidRPr="002A3BC6" w:rsidTr="002D3F12">
        <w:tc>
          <w:tcPr>
            <w:tcW w:w="3794" w:type="dxa"/>
            <w:shd w:val="clear" w:color="auto" w:fill="auto"/>
          </w:tcPr>
          <w:p w:rsidR="00E401E4" w:rsidRPr="002A3BC6" w:rsidRDefault="00E401E4" w:rsidP="009F7C80">
            <w:pPr>
              <w:pStyle w:val="Normal1linespace"/>
            </w:pPr>
            <w:r w:rsidRPr="002A3BC6">
              <w:t xml:space="preserve">I certify that the preceding </w:t>
            </w:r>
            <w:r w:rsidR="009F7C80">
              <w:t>thirty-two</w:t>
            </w:r>
            <w:r w:rsidR="009F7C80" w:rsidRPr="002A3BC6">
              <w:t xml:space="preserve"> </w:t>
            </w:r>
            <w:r w:rsidR="009F7C80">
              <w:t>(32)</w:t>
            </w:r>
            <w:r w:rsidR="009F7C80" w:rsidRPr="002A3BC6">
              <w:t xml:space="preserve"> </w:t>
            </w:r>
            <w:r w:rsidRPr="002A3BC6">
              <w:t xml:space="preserve">numbered </w:t>
            </w:r>
            <w:bookmarkStart w:id="19" w:name="CertPara"/>
            <w:r w:rsidRPr="002A3BC6">
              <w:t>paragraphs are</w:t>
            </w:r>
            <w:bookmarkEnd w:id="19"/>
            <w:r w:rsidRPr="002A3BC6">
              <w:t xml:space="preserve"> a true copy of the Reasons for Judgment herein of the Honourable </w:t>
            </w:r>
            <w:bookmarkStart w:id="20" w:name="Justice"/>
            <w:r w:rsidRPr="002A3BC6">
              <w:t>Justice Stewart</w:t>
            </w:r>
            <w:bookmarkEnd w:id="20"/>
            <w:r w:rsidRPr="002A3BC6">
              <w:t>.</w:t>
            </w:r>
          </w:p>
        </w:tc>
      </w:tr>
    </w:tbl>
    <w:p w:rsidR="00E401E4" w:rsidRPr="002A3BC6" w:rsidRDefault="00E401E4" w:rsidP="00E401E4">
      <w:pPr>
        <w:pStyle w:val="BodyText"/>
      </w:pPr>
    </w:p>
    <w:p w:rsidR="00E401E4" w:rsidRPr="002A3BC6" w:rsidRDefault="00E401E4" w:rsidP="00E401E4">
      <w:pPr>
        <w:pStyle w:val="BodyText"/>
      </w:pPr>
    </w:p>
    <w:p w:rsidR="00E401E4" w:rsidRPr="002A3BC6" w:rsidRDefault="00E401E4" w:rsidP="00E401E4">
      <w:pPr>
        <w:pStyle w:val="BodyText"/>
      </w:pPr>
      <w:r w:rsidRPr="002A3BC6">
        <w:t>Associate:</w:t>
      </w:r>
    </w:p>
    <w:p w:rsidR="00E401E4" w:rsidRPr="002A3BC6" w:rsidRDefault="00E401E4" w:rsidP="00E401E4">
      <w:pPr>
        <w:pStyle w:val="BodyText"/>
      </w:pPr>
      <w:r w:rsidRPr="002A3BC6">
        <w:t xml:space="preserve"> </w:t>
      </w:r>
    </w:p>
    <w:p w:rsidR="00E401E4" w:rsidRDefault="00E401E4" w:rsidP="00E401E4">
      <w:pPr>
        <w:pStyle w:val="ParaNumbering"/>
        <w:numPr>
          <w:ilvl w:val="0"/>
          <w:numId w:val="0"/>
        </w:numPr>
      </w:pPr>
      <w:r w:rsidRPr="002A3BC6">
        <w:t>Dated:</w:t>
      </w:r>
      <w:r w:rsidRPr="002A3BC6">
        <w:tab/>
      </w:r>
      <w:r w:rsidR="009F7C80">
        <w:t xml:space="preserve">30 </w:t>
      </w:r>
      <w:r>
        <w:t>September</w:t>
      </w:r>
      <w:r w:rsidRPr="002A3BC6">
        <w:t xml:space="preserve"> 2019</w:t>
      </w:r>
    </w:p>
    <w:sectPr w:rsidR="00E401E4">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9F" w:rsidRDefault="004A299F">
      <w:pPr>
        <w:spacing w:line="20" w:lineRule="exact"/>
      </w:pPr>
    </w:p>
    <w:p w:rsidR="004A299F" w:rsidRDefault="004A299F"/>
    <w:p w:rsidR="004A299F" w:rsidRDefault="004A299F"/>
  </w:endnote>
  <w:endnote w:type="continuationSeparator" w:id="0">
    <w:p w:rsidR="004A299F" w:rsidRDefault="004A299F">
      <w:r>
        <w:t xml:space="preserve"> </w:t>
      </w:r>
    </w:p>
    <w:p w:rsidR="004A299F" w:rsidRDefault="004A299F"/>
    <w:p w:rsidR="004A299F" w:rsidRDefault="004A299F"/>
  </w:endnote>
  <w:endnote w:type="continuationNotice" w:id="1">
    <w:p w:rsidR="004A299F" w:rsidRDefault="004A299F">
      <w:r>
        <w:t xml:space="preserve"> </w:t>
      </w:r>
    </w:p>
    <w:p w:rsidR="004A299F" w:rsidRDefault="004A299F"/>
    <w:p w:rsidR="004A299F" w:rsidRDefault="004A2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12" w:rsidRDefault="002D3F12">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12" w:rsidRPr="00624520" w:rsidRDefault="002D3F12"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12" w:rsidRDefault="002D3F12"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9F" w:rsidRDefault="004A299F"/>
    <w:p w:rsidR="004A299F" w:rsidRDefault="004A299F"/>
    <w:p w:rsidR="004A299F" w:rsidRDefault="004A299F"/>
  </w:footnote>
  <w:footnote w:type="continuationSeparator" w:id="0">
    <w:p w:rsidR="004A299F" w:rsidRDefault="004A299F">
      <w:r>
        <w:continuationSeparator/>
      </w:r>
    </w:p>
    <w:p w:rsidR="004A299F" w:rsidRDefault="004A299F"/>
    <w:p w:rsidR="004A299F" w:rsidRDefault="004A29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12" w:rsidRDefault="002D3F12">
    <w:pPr>
      <w:tabs>
        <w:tab w:val="center" w:pos="4512"/>
      </w:tabs>
      <w:suppressAutoHyphens/>
    </w:pPr>
    <w:r>
      <w:tab/>
      <w:t xml:space="preserve">- </w:t>
    </w:r>
    <w:r>
      <w:fldChar w:fldCharType="begin"/>
    </w:r>
    <w:r>
      <w:instrText xml:space="preserve"> PAGE   \* MERGEFORMAT </w:instrText>
    </w:r>
    <w:r>
      <w:fldChar w:fldCharType="separate"/>
    </w:r>
    <w:r w:rsidR="00D54CDF">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12" w:rsidRDefault="002D3F12">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12" w:rsidRDefault="002D3F1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12" w:rsidRDefault="002D3F12">
    <w:pPr>
      <w:tabs>
        <w:tab w:val="center" w:pos="4512"/>
      </w:tabs>
      <w:suppressAutoHyphens/>
    </w:pPr>
    <w:r>
      <w:tab/>
      <w:t xml:space="preserve">- </w:t>
    </w:r>
    <w:r>
      <w:fldChar w:fldCharType="begin"/>
    </w:r>
    <w:r>
      <w:instrText>page \* arabic</w:instrText>
    </w:r>
    <w:r>
      <w:fldChar w:fldCharType="separate"/>
    </w:r>
    <w:r w:rsidR="00D54CDF">
      <w:rPr>
        <w:noProof/>
      </w:rP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12" w:rsidRDefault="002D3F12">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Mark Calvin Langbein"/>
    <w:docVar w:name="Cross1AndAnother" w:val="True"/>
    <w:docVar w:name="Cross1AndOthers" w:val="False"/>
    <w:docVar w:name="Cross2AndAnother" w:val="True"/>
    <w:docVar w:name="Cross2AndOthers" w:val="False"/>
    <w:docVar w:name="Defenders" w:val="(and another named in the Schedule)"/>
    <w:docVar w:name="dgnword-docGUID" w:val="{A9026C77-A703-4D69-B163-49F44B666A32}"/>
    <w:docVar w:name="dgnword-eventsink" w:val="718376888"/>
    <w:docVar w:name="Division" w:val="General Division"/>
    <w:docVar w:name="DocCreated" w:val="True"/>
    <w:docVar w:name="FileNumbers" w:val="NSD 1157 of 2019"/>
    <w:docVar w:name="Initiators" w:val="(and another named in the Schedule)"/>
    <w:docVar w:name="Judgdate" w:val="26 September 2019"/>
    <w:docVar w:name="Judge" w:val="Stewart"/>
    <w:docVar w:name="NSD" w:val="NSD "/>
    <w:docVar w:name="NumApps"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Mottershead Investments Pty Ltd ACN 119 740 304"/>
    <w:docVar w:name="ResState" w:val="New South Wales"/>
    <w:docVar w:name="SubArea" w:val="Commercial Contracts, Banking, Finance and Insurance  (C &amp; C)"/>
  </w:docVars>
  <w:rsids>
    <w:rsidRoot w:val="000B3DA0"/>
    <w:rsid w:val="0001469E"/>
    <w:rsid w:val="00015993"/>
    <w:rsid w:val="00022289"/>
    <w:rsid w:val="00032F9F"/>
    <w:rsid w:val="00041C07"/>
    <w:rsid w:val="00045BB7"/>
    <w:rsid w:val="00055719"/>
    <w:rsid w:val="0005641B"/>
    <w:rsid w:val="00081497"/>
    <w:rsid w:val="000A2E76"/>
    <w:rsid w:val="000A4807"/>
    <w:rsid w:val="000A4BE4"/>
    <w:rsid w:val="000B3DA0"/>
    <w:rsid w:val="000C023E"/>
    <w:rsid w:val="000C5195"/>
    <w:rsid w:val="000C62EF"/>
    <w:rsid w:val="000D1EC6"/>
    <w:rsid w:val="000D2137"/>
    <w:rsid w:val="000D3FD2"/>
    <w:rsid w:val="000E3FC8"/>
    <w:rsid w:val="000E7BAE"/>
    <w:rsid w:val="000F133D"/>
    <w:rsid w:val="0010536B"/>
    <w:rsid w:val="0011145C"/>
    <w:rsid w:val="001128BD"/>
    <w:rsid w:val="0011419D"/>
    <w:rsid w:val="00132054"/>
    <w:rsid w:val="00152CEE"/>
    <w:rsid w:val="001727A4"/>
    <w:rsid w:val="0017376C"/>
    <w:rsid w:val="001738AB"/>
    <w:rsid w:val="001765E0"/>
    <w:rsid w:val="00177759"/>
    <w:rsid w:val="00185E6B"/>
    <w:rsid w:val="001866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3F12"/>
    <w:rsid w:val="002D54A6"/>
    <w:rsid w:val="002E6A7A"/>
    <w:rsid w:val="002F1E49"/>
    <w:rsid w:val="002F4E9C"/>
    <w:rsid w:val="00311551"/>
    <w:rsid w:val="0031256C"/>
    <w:rsid w:val="00314D6C"/>
    <w:rsid w:val="00316D2A"/>
    <w:rsid w:val="00322A7C"/>
    <w:rsid w:val="00334CFC"/>
    <w:rsid w:val="003402D3"/>
    <w:rsid w:val="00343ABC"/>
    <w:rsid w:val="003463FE"/>
    <w:rsid w:val="003554B3"/>
    <w:rsid w:val="00356632"/>
    <w:rsid w:val="003845A9"/>
    <w:rsid w:val="00390883"/>
    <w:rsid w:val="003922F8"/>
    <w:rsid w:val="00394EE8"/>
    <w:rsid w:val="00395B24"/>
    <w:rsid w:val="003A2D38"/>
    <w:rsid w:val="003A7ECC"/>
    <w:rsid w:val="003B2C72"/>
    <w:rsid w:val="003C1333"/>
    <w:rsid w:val="003C20FF"/>
    <w:rsid w:val="003D1E9E"/>
    <w:rsid w:val="003D2650"/>
    <w:rsid w:val="003D560C"/>
    <w:rsid w:val="003E5874"/>
    <w:rsid w:val="003F193E"/>
    <w:rsid w:val="003F34F1"/>
    <w:rsid w:val="00411AE8"/>
    <w:rsid w:val="00413B74"/>
    <w:rsid w:val="00435C5F"/>
    <w:rsid w:val="00441E98"/>
    <w:rsid w:val="00447D38"/>
    <w:rsid w:val="004532F7"/>
    <w:rsid w:val="00472027"/>
    <w:rsid w:val="00473125"/>
    <w:rsid w:val="004804CF"/>
    <w:rsid w:val="00484962"/>
    <w:rsid w:val="00484F6D"/>
    <w:rsid w:val="0049338A"/>
    <w:rsid w:val="0049417F"/>
    <w:rsid w:val="004A299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154A"/>
    <w:rsid w:val="00592107"/>
    <w:rsid w:val="00595016"/>
    <w:rsid w:val="00597AAE"/>
    <w:rsid w:val="005A222C"/>
    <w:rsid w:val="005A4DF8"/>
    <w:rsid w:val="005B1426"/>
    <w:rsid w:val="005C0A8E"/>
    <w:rsid w:val="005C1767"/>
    <w:rsid w:val="005C42EF"/>
    <w:rsid w:val="005D7266"/>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A6368"/>
    <w:rsid w:val="006B3904"/>
    <w:rsid w:val="006B5B7D"/>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B3556"/>
    <w:rsid w:val="007C3BF6"/>
    <w:rsid w:val="007C3F22"/>
    <w:rsid w:val="007D0FD2"/>
    <w:rsid w:val="007D2EF8"/>
    <w:rsid w:val="007D561F"/>
    <w:rsid w:val="007D7FD2"/>
    <w:rsid w:val="007E13D9"/>
    <w:rsid w:val="007E41BE"/>
    <w:rsid w:val="007E44E0"/>
    <w:rsid w:val="007E4DB6"/>
    <w:rsid w:val="007E7CD4"/>
    <w:rsid w:val="007F12AC"/>
    <w:rsid w:val="00801800"/>
    <w:rsid w:val="00801B5B"/>
    <w:rsid w:val="008276B4"/>
    <w:rsid w:val="00831927"/>
    <w:rsid w:val="00835B5F"/>
    <w:rsid w:val="00841BD3"/>
    <w:rsid w:val="0084273D"/>
    <w:rsid w:val="00844E3F"/>
    <w:rsid w:val="00845A83"/>
    <w:rsid w:val="00854162"/>
    <w:rsid w:val="008712BB"/>
    <w:rsid w:val="008A2484"/>
    <w:rsid w:val="008A5DD9"/>
    <w:rsid w:val="008A7847"/>
    <w:rsid w:val="008C26D9"/>
    <w:rsid w:val="008C6D50"/>
    <w:rsid w:val="008C7167"/>
    <w:rsid w:val="008C7503"/>
    <w:rsid w:val="008D1617"/>
    <w:rsid w:val="008D2759"/>
    <w:rsid w:val="008E6315"/>
    <w:rsid w:val="008F11E0"/>
    <w:rsid w:val="008F78BC"/>
    <w:rsid w:val="008F7B63"/>
    <w:rsid w:val="008F7D6A"/>
    <w:rsid w:val="009054CB"/>
    <w:rsid w:val="00912F94"/>
    <w:rsid w:val="0092590B"/>
    <w:rsid w:val="00925E60"/>
    <w:rsid w:val="009264B3"/>
    <w:rsid w:val="009365E0"/>
    <w:rsid w:val="00942BA2"/>
    <w:rsid w:val="00942D3D"/>
    <w:rsid w:val="00944C86"/>
    <w:rsid w:val="00957DE8"/>
    <w:rsid w:val="00960ECB"/>
    <w:rsid w:val="009615D6"/>
    <w:rsid w:val="00967855"/>
    <w:rsid w:val="00980736"/>
    <w:rsid w:val="00981A39"/>
    <w:rsid w:val="00987097"/>
    <w:rsid w:val="009A3A9C"/>
    <w:rsid w:val="009B046C"/>
    <w:rsid w:val="009B13FA"/>
    <w:rsid w:val="009B1E2D"/>
    <w:rsid w:val="009C59FB"/>
    <w:rsid w:val="009C6788"/>
    <w:rsid w:val="009C6F3B"/>
    <w:rsid w:val="009D1467"/>
    <w:rsid w:val="009E4FA6"/>
    <w:rsid w:val="009E7D93"/>
    <w:rsid w:val="009F5C33"/>
    <w:rsid w:val="009F7C80"/>
    <w:rsid w:val="00A03EAC"/>
    <w:rsid w:val="00A11CA6"/>
    <w:rsid w:val="00A20C49"/>
    <w:rsid w:val="00A269CA"/>
    <w:rsid w:val="00A336EE"/>
    <w:rsid w:val="00A359AC"/>
    <w:rsid w:val="00A41413"/>
    <w:rsid w:val="00A45FB1"/>
    <w:rsid w:val="00A46CCC"/>
    <w:rsid w:val="00A51CFE"/>
    <w:rsid w:val="00A76C13"/>
    <w:rsid w:val="00A87681"/>
    <w:rsid w:val="00A92E79"/>
    <w:rsid w:val="00A950B6"/>
    <w:rsid w:val="00AB41C1"/>
    <w:rsid w:val="00AD12A8"/>
    <w:rsid w:val="00AE023F"/>
    <w:rsid w:val="00AF3577"/>
    <w:rsid w:val="00AF35F9"/>
    <w:rsid w:val="00B05C7D"/>
    <w:rsid w:val="00B346C3"/>
    <w:rsid w:val="00B4471C"/>
    <w:rsid w:val="00B451A6"/>
    <w:rsid w:val="00B722DE"/>
    <w:rsid w:val="00B76C44"/>
    <w:rsid w:val="00B83F87"/>
    <w:rsid w:val="00BA2EFA"/>
    <w:rsid w:val="00BA3DBC"/>
    <w:rsid w:val="00BB2DA2"/>
    <w:rsid w:val="00BB56DC"/>
    <w:rsid w:val="00BD5E04"/>
    <w:rsid w:val="00BE183D"/>
    <w:rsid w:val="00BF5D7A"/>
    <w:rsid w:val="00C02D33"/>
    <w:rsid w:val="00C1232C"/>
    <w:rsid w:val="00C36442"/>
    <w:rsid w:val="00C400CE"/>
    <w:rsid w:val="00C410FD"/>
    <w:rsid w:val="00C539FB"/>
    <w:rsid w:val="00CA246D"/>
    <w:rsid w:val="00CA50D9"/>
    <w:rsid w:val="00CB0876"/>
    <w:rsid w:val="00CB5636"/>
    <w:rsid w:val="00D10F21"/>
    <w:rsid w:val="00D24806"/>
    <w:rsid w:val="00D27CE3"/>
    <w:rsid w:val="00D34040"/>
    <w:rsid w:val="00D34E69"/>
    <w:rsid w:val="00D375EE"/>
    <w:rsid w:val="00D51AD7"/>
    <w:rsid w:val="00D54CDF"/>
    <w:rsid w:val="00D57D72"/>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01E4"/>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1B54"/>
    <w:rsid w:val="00EF3113"/>
    <w:rsid w:val="00EF3F84"/>
    <w:rsid w:val="00F16EB7"/>
    <w:rsid w:val="00F176AC"/>
    <w:rsid w:val="00F27714"/>
    <w:rsid w:val="00F3276E"/>
    <w:rsid w:val="00F33D3C"/>
    <w:rsid w:val="00F37A91"/>
    <w:rsid w:val="00F45CF5"/>
    <w:rsid w:val="00F47DB0"/>
    <w:rsid w:val="00F50E34"/>
    <w:rsid w:val="00F53EF7"/>
    <w:rsid w:val="00F54BF2"/>
    <w:rsid w:val="00F6321F"/>
    <w:rsid w:val="00F92355"/>
    <w:rsid w:val="00F93963"/>
    <w:rsid w:val="00F94291"/>
    <w:rsid w:val="00FA6D1C"/>
    <w:rsid w:val="00FB7982"/>
    <w:rsid w:val="00FC0734"/>
    <w:rsid w:val="00FC0FC5"/>
    <w:rsid w:val="00FC588F"/>
    <w:rsid w:val="00FE1B30"/>
    <w:rsid w:val="00FE32F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6570E6D"/>
  <w15:docId w15:val="{7EC43F1C-3E99-4389-88B8-202C5D59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link w:val="BodyText"/>
    <w:rsid w:val="00E91A0F"/>
    <w:rPr>
      <w:sz w:val="24"/>
      <w:lang w:eastAsia="en-US"/>
    </w:rPr>
  </w:style>
  <w:style w:type="character" w:customStyle="1" w:styleId="NormalHeadingsChar">
    <w:name w:val="Normal Headings Char"/>
    <w:link w:val="NormalHeadings"/>
    <w:rsid w:val="00E91A0F"/>
    <w:rPr>
      <w:b/>
      <w:sz w:val="24"/>
      <w:lang w:eastAsia="en-US"/>
    </w:rPr>
  </w:style>
  <w:style w:type="paragraph" w:customStyle="1" w:styleId="Default">
    <w:name w:val="Default"/>
    <w:rsid w:val="00E401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Judgment.dotx</Template>
  <TotalTime>2</TotalTime>
  <Pages>10</Pages>
  <Words>2879</Words>
  <Characters>13963</Characters>
  <Application>Microsoft Office Word</Application>
  <DocSecurity>0</DocSecurity>
  <Lines>340</Lines>
  <Paragraphs>133</Paragraphs>
  <ScaleCrop>false</ScaleCrop>
  <HeadingPairs>
    <vt:vector size="2" baseType="variant">
      <vt:variant>
        <vt:lpstr>Title</vt:lpstr>
      </vt:variant>
      <vt:variant>
        <vt:i4>1</vt:i4>
      </vt:variant>
    </vt:vector>
  </HeadingPairs>
  <TitlesOfParts>
    <vt:vector size="1" baseType="lpstr">
      <vt:lpstr>Langbein v Mottershead Investments Pty Ltd [2019] FCA 1619</vt:lpstr>
    </vt:vector>
  </TitlesOfParts>
  <Company>Federal Court of Australia</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Langbein v Mottershead Investments Pty Ltd [2019] FCA 1619</dc:title>
  <dc:subject/>
  <dc:creator>Phoebe Bates</dc:creator>
  <cp:keywords/>
  <cp:lastModifiedBy>Sona Muradyan</cp:lastModifiedBy>
  <cp:revision>7</cp:revision>
  <cp:lastPrinted>2019-09-29T23:58:00Z</cp:lastPrinted>
  <dcterms:created xsi:type="dcterms:W3CDTF">2019-09-30T03:49:00Z</dcterms:created>
  <dcterms:modified xsi:type="dcterms:W3CDTF">2019-10-01T01:23:00Z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STEWART J</vt:lpwstr>
  </property>
  <property fmtid="{D5CDD505-2E9C-101B-9397-08002B2CF9AE}" pid="4" name="Judgment_dated" linkTarget="Judgment_dated">
    <vt:lpwstr>26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