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4A0F9E">
      <w:pPr>
        <w:pStyle w:val="MediaNeutralStyle"/>
      </w:pPr>
      <w:bookmarkStart w:id="0" w:name="MNC"/>
      <w:r>
        <w:t xml:space="preserve">JKC Australia LNG Pty Ltd v AkzoNobel NV [2019] FCA </w:t>
      </w:r>
      <w:r w:rsidR="00CE0994">
        <w:t>1032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31428">
        <w:tc>
          <w:tcPr>
            <w:tcW w:w="3085" w:type="dxa"/>
            <w:shd w:val="clear" w:color="auto" w:fill="auto"/>
          </w:tcPr>
          <w:p w:rsidR="00395B24" w:rsidRDefault="002C7385" w:rsidP="004A0F9E">
            <w:pPr>
              <w:pStyle w:val="Normal1linespace"/>
              <w:widowControl w:val="0"/>
              <w:jc w:val="left"/>
            </w:pPr>
            <w:r>
              <w:t>File number:</w:t>
            </w:r>
          </w:p>
        </w:tc>
        <w:tc>
          <w:tcPr>
            <w:tcW w:w="5989" w:type="dxa"/>
            <w:shd w:val="clear" w:color="auto" w:fill="auto"/>
          </w:tcPr>
          <w:p w:rsidR="00395B24" w:rsidRPr="004A0F9E" w:rsidRDefault="005C076E" w:rsidP="004A0F9E">
            <w:pPr>
              <w:pStyle w:val="Normal1linespace"/>
              <w:jc w:val="left"/>
            </w:pPr>
            <w:r>
              <w:fldChar w:fldCharType="begin" w:fldLock="1"/>
            </w:r>
            <w:r>
              <w:instrText xml:space="preserve"> REF  FileNo  \* MERGEFORMAT </w:instrText>
            </w:r>
            <w:r>
              <w:fldChar w:fldCharType="separate"/>
            </w:r>
            <w:r w:rsidR="004A0F9E" w:rsidRPr="004A0F9E">
              <w:t>WAD 448 of 2017</w:t>
            </w:r>
            <w:r>
              <w:fldChar w:fldCharType="end"/>
            </w:r>
          </w:p>
        </w:tc>
      </w:tr>
      <w:tr w:rsidR="00395B24" w:rsidTr="0063142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1428">
        <w:tc>
          <w:tcPr>
            <w:tcW w:w="3085" w:type="dxa"/>
            <w:shd w:val="clear" w:color="auto" w:fill="auto"/>
          </w:tcPr>
          <w:p w:rsidR="00395B24" w:rsidRDefault="004A0F9E"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4A0F9E">
              <w:rPr>
                <w:b/>
              </w:rPr>
              <w:fldChar w:fldCharType="begin" w:fldLock="1"/>
            </w:r>
            <w:r w:rsidRPr="004A0F9E">
              <w:rPr>
                <w:b/>
              </w:rPr>
              <w:instrText xml:space="preserve"> REF  Judge  \* MERGEFORMAT </w:instrText>
            </w:r>
            <w:r w:rsidRPr="004A0F9E">
              <w:rPr>
                <w:b/>
              </w:rPr>
              <w:fldChar w:fldCharType="separate"/>
            </w:r>
            <w:r w:rsidR="004A0F9E" w:rsidRPr="004A0F9E">
              <w:rPr>
                <w:b/>
                <w:caps/>
                <w:szCs w:val="24"/>
              </w:rPr>
              <w:t>BANKS-SMITH J</w:t>
            </w:r>
            <w:r w:rsidRPr="004A0F9E">
              <w:rPr>
                <w:b/>
              </w:rPr>
              <w:fldChar w:fldCharType="end"/>
            </w:r>
          </w:p>
        </w:tc>
      </w:tr>
      <w:tr w:rsidR="00395B24" w:rsidTr="0063142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1428">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A0F9E" w:rsidP="00663878">
            <w:pPr>
              <w:pStyle w:val="Normal1linespace"/>
              <w:widowControl w:val="0"/>
              <w:jc w:val="left"/>
            </w:pPr>
            <w:bookmarkStart w:id="1" w:name="JudgmentDate"/>
            <w:r>
              <w:t>2 July 2019</w:t>
            </w:r>
            <w:bookmarkEnd w:id="1"/>
          </w:p>
        </w:tc>
      </w:tr>
      <w:tr w:rsidR="00395B24" w:rsidTr="0063142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1428">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631428" w:rsidP="00551EF2">
            <w:pPr>
              <w:pStyle w:val="Normal1linespace"/>
              <w:widowControl w:val="0"/>
              <w:jc w:val="left"/>
            </w:pPr>
            <w:bookmarkStart w:id="2" w:name="Catchwords"/>
            <w:r>
              <w:rPr>
                <w:b/>
              </w:rPr>
              <w:t xml:space="preserve">PRACTICE AND PROCEDURE </w:t>
            </w:r>
            <w:r w:rsidR="00D33CA9">
              <w:t xml:space="preserve">- </w:t>
            </w:r>
            <w:r>
              <w:t>application for release of the implied undertaking to the Court in relation to particular documents obtained by discovery - application granted</w:t>
            </w:r>
            <w:bookmarkEnd w:id="2"/>
          </w:p>
        </w:tc>
      </w:tr>
      <w:tr w:rsidR="00395B24" w:rsidTr="0063142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1428">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51EF2" w:rsidRPr="00551EF2" w:rsidRDefault="00551EF2" w:rsidP="00D82620">
            <w:pPr>
              <w:pStyle w:val="CasesLegislationAppealFrom"/>
              <w:spacing w:after="60"/>
            </w:pPr>
            <w:bookmarkStart w:id="3" w:name="Cases_Cited"/>
            <w:r w:rsidRPr="00551EF2">
              <w:rPr>
                <w:i/>
              </w:rPr>
              <w:t xml:space="preserve">Blucher on behalf of the </w:t>
            </w:r>
            <w:proofErr w:type="spellStart"/>
            <w:r w:rsidRPr="00551EF2">
              <w:rPr>
                <w:i/>
              </w:rPr>
              <w:t>Gaangala</w:t>
            </w:r>
            <w:proofErr w:type="spellEnd"/>
            <w:r w:rsidRPr="00551EF2">
              <w:rPr>
                <w:i/>
              </w:rPr>
              <w:t xml:space="preserve"> Nation People v State of Queensland </w:t>
            </w:r>
            <w:r w:rsidRPr="00551EF2">
              <w:t>[2018] FCA 1621</w:t>
            </w:r>
          </w:p>
          <w:p w:rsidR="00551EF2" w:rsidRPr="00551EF2" w:rsidRDefault="00551EF2" w:rsidP="00D82620">
            <w:pPr>
              <w:pStyle w:val="CasesLegislationAppealFrom"/>
              <w:spacing w:after="60"/>
            </w:pPr>
            <w:r w:rsidRPr="00551EF2">
              <w:rPr>
                <w:i/>
              </w:rPr>
              <w:t xml:space="preserve">Corbett v Corbett Court Pty Ltd, in the matter of Corbett Court Pty Ltd </w:t>
            </w:r>
            <w:r w:rsidRPr="00551EF2">
              <w:t>[2017] FCA 718</w:t>
            </w:r>
          </w:p>
          <w:p w:rsidR="00551EF2" w:rsidRPr="00551EF2" w:rsidRDefault="00551EF2" w:rsidP="00D82620">
            <w:pPr>
              <w:pStyle w:val="CasesLegislationAppealFrom"/>
              <w:spacing w:after="60"/>
            </w:pPr>
            <w:r w:rsidRPr="00551EF2">
              <w:rPr>
                <w:i/>
                <w:iCs/>
              </w:rPr>
              <w:t>Harman v Secretary of State for the Home Department</w:t>
            </w:r>
            <w:r w:rsidRPr="00551EF2">
              <w:t xml:space="preserve"> [1983] 1 AC 280; [1982] 2 WLR 338</w:t>
            </w:r>
          </w:p>
          <w:p w:rsidR="00551EF2" w:rsidRPr="00551EF2" w:rsidRDefault="00551EF2" w:rsidP="00D82620">
            <w:pPr>
              <w:pStyle w:val="CasesLegislationAppealFrom"/>
              <w:spacing w:after="60"/>
            </w:pPr>
            <w:r w:rsidRPr="00551EF2">
              <w:rPr>
                <w:bCs/>
                <w:i/>
                <w:iCs/>
              </w:rPr>
              <w:t>Hearne v Street</w:t>
            </w:r>
            <w:r w:rsidRPr="00551EF2">
              <w:t xml:space="preserve"> [2008] HCA 36; (2008) 235 CLR 125</w:t>
            </w:r>
          </w:p>
          <w:p w:rsidR="00551EF2" w:rsidRPr="00551EF2" w:rsidRDefault="00551EF2" w:rsidP="00D82620">
            <w:pPr>
              <w:pStyle w:val="CasesLegislationAppealFrom"/>
              <w:spacing w:after="60"/>
            </w:pPr>
            <w:r w:rsidRPr="00551EF2">
              <w:rPr>
                <w:i/>
              </w:rPr>
              <w:t xml:space="preserve">Liberty Funding Pty Ltd v Phoenix Capital Ltd </w:t>
            </w:r>
            <w:r w:rsidRPr="00551EF2">
              <w:t>[2005] FCAFC 3</w:t>
            </w:r>
            <w:bookmarkEnd w:id="3"/>
          </w:p>
        </w:tc>
      </w:tr>
      <w:tr w:rsidR="00631428" w:rsidRPr="00631428" w:rsidTr="00631428">
        <w:tc>
          <w:tcPr>
            <w:tcW w:w="3085" w:type="dxa"/>
            <w:shd w:val="clear" w:color="auto" w:fill="auto"/>
          </w:tcPr>
          <w:p w:rsidR="00631428" w:rsidRPr="00631428" w:rsidRDefault="00631428" w:rsidP="00631428">
            <w:pPr>
              <w:pStyle w:val="Normal1linespace"/>
              <w:jc w:val="left"/>
            </w:pPr>
          </w:p>
        </w:tc>
        <w:tc>
          <w:tcPr>
            <w:tcW w:w="5989" w:type="dxa"/>
            <w:shd w:val="clear" w:color="auto" w:fill="auto"/>
          </w:tcPr>
          <w:p w:rsidR="00631428" w:rsidRPr="00631428" w:rsidRDefault="00631428" w:rsidP="00631428">
            <w:pPr>
              <w:pStyle w:val="Normal1linespace"/>
              <w:jc w:val="left"/>
            </w:pPr>
          </w:p>
        </w:tc>
      </w:tr>
      <w:tr w:rsidR="00631428" w:rsidRPr="00631428" w:rsidTr="00631428">
        <w:tc>
          <w:tcPr>
            <w:tcW w:w="3085" w:type="dxa"/>
            <w:shd w:val="clear" w:color="auto" w:fill="auto"/>
          </w:tcPr>
          <w:p w:rsidR="00631428" w:rsidRPr="00631428" w:rsidRDefault="00631428" w:rsidP="00631428">
            <w:pPr>
              <w:pStyle w:val="Normal1linespace"/>
              <w:jc w:val="left"/>
            </w:pPr>
            <w:bookmarkStart w:id="4" w:name="CounselDate" w:colFirst="0" w:colLast="2"/>
            <w:r w:rsidRPr="00631428">
              <w:t>Date of hearing:</w:t>
            </w:r>
          </w:p>
        </w:tc>
        <w:tc>
          <w:tcPr>
            <w:tcW w:w="5989" w:type="dxa"/>
            <w:shd w:val="clear" w:color="auto" w:fill="auto"/>
          </w:tcPr>
          <w:p w:rsidR="00631428" w:rsidRPr="00631428" w:rsidRDefault="00631428" w:rsidP="00631428">
            <w:pPr>
              <w:pStyle w:val="Normal1linespace"/>
              <w:jc w:val="left"/>
            </w:pPr>
            <w:bookmarkStart w:id="5" w:name="HearingDate"/>
            <w:r>
              <w:t>2 July 2019</w:t>
            </w:r>
            <w:bookmarkEnd w:id="5"/>
          </w:p>
        </w:tc>
      </w:tr>
      <w:tr w:rsidR="00631428" w:rsidRPr="00631428" w:rsidTr="00631428">
        <w:tc>
          <w:tcPr>
            <w:tcW w:w="3085" w:type="dxa"/>
            <w:shd w:val="clear" w:color="auto" w:fill="auto"/>
          </w:tcPr>
          <w:p w:rsidR="00631428" w:rsidRPr="00631428" w:rsidRDefault="00631428" w:rsidP="00631428">
            <w:pPr>
              <w:pStyle w:val="Normal1linespace"/>
              <w:jc w:val="left"/>
            </w:pPr>
          </w:p>
        </w:tc>
        <w:tc>
          <w:tcPr>
            <w:tcW w:w="5989" w:type="dxa"/>
            <w:shd w:val="clear" w:color="auto" w:fill="auto"/>
          </w:tcPr>
          <w:p w:rsidR="00631428" w:rsidRPr="00631428" w:rsidRDefault="00631428" w:rsidP="00631428">
            <w:pPr>
              <w:pStyle w:val="Normal1linespace"/>
              <w:jc w:val="left"/>
            </w:pPr>
          </w:p>
        </w:tc>
      </w:tr>
      <w:bookmarkEnd w:id="4"/>
      <w:tr w:rsidR="00631428" w:rsidTr="00631428">
        <w:tc>
          <w:tcPr>
            <w:tcW w:w="3085" w:type="dxa"/>
            <w:shd w:val="clear" w:color="auto" w:fill="auto"/>
          </w:tcPr>
          <w:p w:rsidR="00631428" w:rsidRDefault="00631428" w:rsidP="00631428">
            <w:pPr>
              <w:pStyle w:val="Normal1linespace"/>
              <w:widowControl w:val="0"/>
              <w:jc w:val="left"/>
            </w:pPr>
            <w:r>
              <w:t>Registry:</w:t>
            </w:r>
          </w:p>
        </w:tc>
        <w:tc>
          <w:tcPr>
            <w:tcW w:w="5989" w:type="dxa"/>
            <w:shd w:val="clear" w:color="auto" w:fill="auto"/>
          </w:tcPr>
          <w:p w:rsidR="00631428" w:rsidRPr="00F17599" w:rsidRDefault="005C076E" w:rsidP="00631428">
            <w:pPr>
              <w:pStyle w:val="Normal1linespace"/>
              <w:widowControl w:val="0"/>
              <w:jc w:val="left"/>
            </w:pPr>
            <w:r>
              <w:fldChar w:fldCharType="begin" w:fldLock="1"/>
            </w:r>
            <w:r>
              <w:instrText xml:space="preserve"> DOCPROPERTY  Registry </w:instrText>
            </w:r>
            <w:r>
              <w:fldChar w:fldCharType="separate"/>
            </w:r>
            <w:r w:rsidR="00631428">
              <w:t>Western Australia</w:t>
            </w:r>
            <w:r>
              <w:fldChar w:fldCharType="end"/>
            </w:r>
          </w:p>
        </w:tc>
      </w:tr>
      <w:tr w:rsidR="00631428" w:rsidTr="00631428">
        <w:tc>
          <w:tcPr>
            <w:tcW w:w="3085" w:type="dxa"/>
            <w:shd w:val="clear" w:color="auto" w:fill="auto"/>
          </w:tcPr>
          <w:p w:rsidR="00631428" w:rsidRDefault="00631428" w:rsidP="00631428">
            <w:pPr>
              <w:pStyle w:val="Normal1linespace"/>
              <w:widowControl w:val="0"/>
              <w:jc w:val="left"/>
            </w:pPr>
          </w:p>
        </w:tc>
        <w:tc>
          <w:tcPr>
            <w:tcW w:w="5989" w:type="dxa"/>
            <w:shd w:val="clear" w:color="auto" w:fill="auto"/>
          </w:tcPr>
          <w:p w:rsidR="00631428" w:rsidRDefault="00631428" w:rsidP="00631428">
            <w:pPr>
              <w:pStyle w:val="Normal1linespace"/>
              <w:widowControl w:val="0"/>
              <w:jc w:val="left"/>
            </w:pPr>
          </w:p>
        </w:tc>
      </w:tr>
      <w:tr w:rsidR="00631428" w:rsidTr="00631428">
        <w:tc>
          <w:tcPr>
            <w:tcW w:w="3085" w:type="dxa"/>
            <w:shd w:val="clear" w:color="auto" w:fill="auto"/>
          </w:tcPr>
          <w:p w:rsidR="00631428" w:rsidRDefault="00631428" w:rsidP="00631428">
            <w:pPr>
              <w:pStyle w:val="Normal1linespace"/>
              <w:widowControl w:val="0"/>
              <w:jc w:val="left"/>
            </w:pPr>
            <w:r>
              <w:t>Division:</w:t>
            </w:r>
          </w:p>
        </w:tc>
        <w:tc>
          <w:tcPr>
            <w:tcW w:w="5989" w:type="dxa"/>
            <w:shd w:val="clear" w:color="auto" w:fill="auto"/>
          </w:tcPr>
          <w:p w:rsidR="00631428" w:rsidRPr="00F17599" w:rsidRDefault="005C076E" w:rsidP="00631428">
            <w:pPr>
              <w:pStyle w:val="Normal1linespace"/>
              <w:widowControl w:val="0"/>
              <w:jc w:val="left"/>
            </w:pPr>
            <w:r>
              <w:fldChar w:fldCharType="begin" w:fldLock="1"/>
            </w:r>
            <w:r>
              <w:instrText xml:space="preserve"> DOCPROPERTY  Division </w:instrText>
            </w:r>
            <w:r>
              <w:fldChar w:fldCharType="separate"/>
            </w:r>
            <w:r w:rsidR="00631428">
              <w:t>General Division</w:t>
            </w:r>
            <w:r>
              <w:fldChar w:fldCharType="end"/>
            </w:r>
          </w:p>
        </w:tc>
      </w:tr>
      <w:tr w:rsidR="00631428" w:rsidTr="00631428">
        <w:tc>
          <w:tcPr>
            <w:tcW w:w="3085" w:type="dxa"/>
            <w:shd w:val="clear" w:color="auto" w:fill="auto"/>
          </w:tcPr>
          <w:p w:rsidR="00631428" w:rsidRDefault="00631428" w:rsidP="00631428">
            <w:pPr>
              <w:pStyle w:val="Normal1linespace"/>
              <w:widowControl w:val="0"/>
              <w:jc w:val="left"/>
            </w:pPr>
          </w:p>
        </w:tc>
        <w:tc>
          <w:tcPr>
            <w:tcW w:w="5989" w:type="dxa"/>
            <w:shd w:val="clear" w:color="auto" w:fill="auto"/>
          </w:tcPr>
          <w:p w:rsidR="00631428" w:rsidRPr="00F17599" w:rsidRDefault="00631428" w:rsidP="00631428">
            <w:pPr>
              <w:pStyle w:val="Normal1linespace"/>
              <w:widowControl w:val="0"/>
              <w:jc w:val="left"/>
              <w:rPr>
                <w:b/>
              </w:rPr>
            </w:pPr>
          </w:p>
        </w:tc>
      </w:tr>
      <w:tr w:rsidR="00631428" w:rsidTr="00631428">
        <w:tc>
          <w:tcPr>
            <w:tcW w:w="3085" w:type="dxa"/>
            <w:shd w:val="clear" w:color="auto" w:fill="auto"/>
          </w:tcPr>
          <w:p w:rsidR="00631428" w:rsidRDefault="00631428" w:rsidP="00631428">
            <w:pPr>
              <w:pStyle w:val="Normal1linespace"/>
              <w:widowControl w:val="0"/>
              <w:jc w:val="left"/>
            </w:pPr>
            <w:r>
              <w:t>National Practice Area:</w:t>
            </w:r>
          </w:p>
        </w:tc>
        <w:tc>
          <w:tcPr>
            <w:tcW w:w="5989" w:type="dxa"/>
            <w:shd w:val="clear" w:color="auto" w:fill="auto"/>
          </w:tcPr>
          <w:p w:rsidR="00631428" w:rsidRPr="00F17599" w:rsidRDefault="005C076E" w:rsidP="00631428">
            <w:pPr>
              <w:pStyle w:val="Normal1linespace"/>
              <w:widowControl w:val="0"/>
              <w:jc w:val="left"/>
              <w:rPr>
                <w:b/>
              </w:rPr>
            </w:pPr>
            <w:r>
              <w:fldChar w:fldCharType="begin" w:fldLock="1"/>
            </w:r>
            <w:r>
              <w:instrText xml:space="preserve"> DOCPROPERTY  "Practice Area"  \* MERGEFORMAT </w:instrText>
            </w:r>
            <w:r>
              <w:fldChar w:fldCharType="separate"/>
            </w:r>
            <w:r w:rsidR="00631428">
              <w:t>Commercial and Corporations</w:t>
            </w:r>
            <w:r>
              <w:fldChar w:fldCharType="end"/>
            </w:r>
          </w:p>
        </w:tc>
      </w:tr>
      <w:tr w:rsidR="00631428" w:rsidTr="00631428">
        <w:tc>
          <w:tcPr>
            <w:tcW w:w="3085" w:type="dxa"/>
            <w:shd w:val="clear" w:color="auto" w:fill="auto"/>
          </w:tcPr>
          <w:p w:rsidR="00631428" w:rsidRDefault="00631428" w:rsidP="00631428">
            <w:pPr>
              <w:pStyle w:val="Normal1linespace"/>
              <w:widowControl w:val="0"/>
              <w:jc w:val="left"/>
            </w:pPr>
          </w:p>
        </w:tc>
        <w:tc>
          <w:tcPr>
            <w:tcW w:w="5989" w:type="dxa"/>
            <w:shd w:val="clear" w:color="auto" w:fill="auto"/>
          </w:tcPr>
          <w:p w:rsidR="00631428" w:rsidRDefault="00631428" w:rsidP="00631428">
            <w:pPr>
              <w:pStyle w:val="Normal1linespace"/>
              <w:widowControl w:val="0"/>
              <w:jc w:val="left"/>
            </w:pPr>
          </w:p>
        </w:tc>
      </w:tr>
      <w:tr w:rsidR="00631428" w:rsidTr="00631428">
        <w:tc>
          <w:tcPr>
            <w:tcW w:w="3085" w:type="dxa"/>
            <w:shd w:val="clear" w:color="auto" w:fill="auto"/>
          </w:tcPr>
          <w:p w:rsidR="00631428" w:rsidRDefault="00631428" w:rsidP="00631428">
            <w:pPr>
              <w:pStyle w:val="Normal1linespace"/>
              <w:widowControl w:val="0"/>
              <w:jc w:val="left"/>
            </w:pPr>
            <w:r>
              <w:t>Sub-area:</w:t>
            </w:r>
          </w:p>
        </w:tc>
        <w:tc>
          <w:tcPr>
            <w:tcW w:w="5989" w:type="dxa"/>
            <w:shd w:val="clear" w:color="auto" w:fill="auto"/>
          </w:tcPr>
          <w:p w:rsidR="00631428" w:rsidRPr="00435936" w:rsidRDefault="005C076E" w:rsidP="00631428">
            <w:pPr>
              <w:pStyle w:val="Normal1linespace"/>
              <w:widowControl w:val="0"/>
              <w:jc w:val="left"/>
            </w:pPr>
            <w:r>
              <w:fldChar w:fldCharType="begin" w:fldLock="1"/>
            </w:r>
            <w:r>
              <w:instrText xml:space="preserve"> DOCPROPERTY  "Sub Area"  \* MERGEFORMAT </w:instrText>
            </w:r>
            <w:r>
              <w:fldChar w:fldCharType="separate"/>
            </w:r>
            <w:r w:rsidR="00631428" w:rsidRPr="00631428">
              <w:rPr>
                <w:bCs/>
                <w:lang w:val="en-US"/>
              </w:rPr>
              <w:t>Regulator and Consumer</w:t>
            </w:r>
            <w:r w:rsidR="00631428">
              <w:t xml:space="preserve"> Protection</w:t>
            </w:r>
            <w:r>
              <w:fldChar w:fldCharType="end"/>
            </w:r>
          </w:p>
        </w:tc>
      </w:tr>
      <w:tr w:rsidR="00631428" w:rsidTr="00631428">
        <w:tc>
          <w:tcPr>
            <w:tcW w:w="3085" w:type="dxa"/>
            <w:shd w:val="clear" w:color="auto" w:fill="auto"/>
          </w:tcPr>
          <w:p w:rsidR="00631428" w:rsidRDefault="00631428" w:rsidP="00631428">
            <w:pPr>
              <w:pStyle w:val="Normal1linespace"/>
              <w:widowControl w:val="0"/>
              <w:jc w:val="left"/>
            </w:pPr>
          </w:p>
        </w:tc>
        <w:tc>
          <w:tcPr>
            <w:tcW w:w="5989" w:type="dxa"/>
            <w:shd w:val="clear" w:color="auto" w:fill="auto"/>
          </w:tcPr>
          <w:p w:rsidR="00631428" w:rsidRDefault="00631428" w:rsidP="00631428">
            <w:pPr>
              <w:pStyle w:val="Normal1linespace"/>
              <w:widowControl w:val="0"/>
              <w:jc w:val="left"/>
              <w:rPr>
                <w:b/>
              </w:rPr>
            </w:pPr>
          </w:p>
        </w:tc>
      </w:tr>
      <w:tr w:rsidR="00631428" w:rsidTr="00631428">
        <w:tc>
          <w:tcPr>
            <w:tcW w:w="3085" w:type="dxa"/>
            <w:shd w:val="clear" w:color="auto" w:fill="auto"/>
          </w:tcPr>
          <w:p w:rsidR="00631428" w:rsidRDefault="00631428" w:rsidP="00631428">
            <w:pPr>
              <w:pStyle w:val="Normal1linespace"/>
              <w:widowControl w:val="0"/>
              <w:jc w:val="left"/>
            </w:pPr>
            <w:r>
              <w:t>Category:</w:t>
            </w:r>
          </w:p>
        </w:tc>
        <w:tc>
          <w:tcPr>
            <w:tcW w:w="5989" w:type="dxa"/>
            <w:shd w:val="clear" w:color="auto" w:fill="auto"/>
          </w:tcPr>
          <w:p w:rsidR="00631428" w:rsidRDefault="00631428" w:rsidP="00631428">
            <w:pPr>
              <w:pStyle w:val="Normal1linespace"/>
              <w:widowControl w:val="0"/>
              <w:jc w:val="left"/>
            </w:pPr>
            <w:r w:rsidRPr="00631428">
              <w:t>Catchwords</w:t>
            </w:r>
          </w:p>
        </w:tc>
      </w:tr>
      <w:tr w:rsidR="00631428" w:rsidTr="00631428">
        <w:tc>
          <w:tcPr>
            <w:tcW w:w="3085" w:type="dxa"/>
            <w:shd w:val="clear" w:color="auto" w:fill="auto"/>
          </w:tcPr>
          <w:p w:rsidR="00631428" w:rsidRDefault="00631428" w:rsidP="00631428">
            <w:pPr>
              <w:pStyle w:val="Normal1linespace"/>
              <w:widowControl w:val="0"/>
              <w:jc w:val="left"/>
            </w:pPr>
          </w:p>
        </w:tc>
        <w:tc>
          <w:tcPr>
            <w:tcW w:w="5989" w:type="dxa"/>
            <w:shd w:val="clear" w:color="auto" w:fill="auto"/>
          </w:tcPr>
          <w:p w:rsidR="00631428" w:rsidRDefault="00631428" w:rsidP="00631428">
            <w:pPr>
              <w:pStyle w:val="Normal1linespace"/>
              <w:widowControl w:val="0"/>
              <w:jc w:val="left"/>
            </w:pPr>
          </w:p>
        </w:tc>
      </w:tr>
      <w:tr w:rsidR="00631428" w:rsidTr="00631428">
        <w:tc>
          <w:tcPr>
            <w:tcW w:w="3085" w:type="dxa"/>
            <w:shd w:val="clear" w:color="auto" w:fill="auto"/>
          </w:tcPr>
          <w:p w:rsidR="00631428" w:rsidRDefault="00631428" w:rsidP="00631428">
            <w:pPr>
              <w:pStyle w:val="Normal1linespace"/>
              <w:widowControl w:val="0"/>
              <w:jc w:val="left"/>
            </w:pPr>
            <w:r>
              <w:t>Number of paragraphs:</w:t>
            </w:r>
          </w:p>
        </w:tc>
        <w:tc>
          <w:tcPr>
            <w:tcW w:w="5989" w:type="dxa"/>
            <w:shd w:val="clear" w:color="auto" w:fill="auto"/>
          </w:tcPr>
          <w:p w:rsidR="00631428" w:rsidRDefault="00551EF2" w:rsidP="00631428">
            <w:pPr>
              <w:pStyle w:val="Normal1linespace"/>
              <w:widowControl w:val="0"/>
              <w:jc w:val="left"/>
            </w:pPr>
            <w:bookmarkStart w:id="6" w:name="PlaceCategoryParagraphs"/>
            <w:r>
              <w:t>32</w:t>
            </w:r>
            <w:bookmarkEnd w:id="6"/>
          </w:p>
        </w:tc>
      </w:tr>
      <w:tr w:rsidR="00631428" w:rsidTr="00631428">
        <w:tc>
          <w:tcPr>
            <w:tcW w:w="3085" w:type="dxa"/>
            <w:shd w:val="clear" w:color="auto" w:fill="auto"/>
          </w:tcPr>
          <w:p w:rsidR="00631428" w:rsidRDefault="00631428" w:rsidP="00631428">
            <w:pPr>
              <w:pStyle w:val="Normal1linespace"/>
              <w:widowControl w:val="0"/>
              <w:jc w:val="left"/>
            </w:pPr>
          </w:p>
        </w:tc>
        <w:tc>
          <w:tcPr>
            <w:tcW w:w="5989" w:type="dxa"/>
            <w:shd w:val="clear" w:color="auto" w:fill="auto"/>
          </w:tcPr>
          <w:p w:rsidR="00631428" w:rsidRDefault="00631428" w:rsidP="00631428">
            <w:pPr>
              <w:pStyle w:val="Normal1linespace"/>
              <w:widowControl w:val="0"/>
              <w:jc w:val="left"/>
            </w:pPr>
          </w:p>
        </w:tc>
      </w:tr>
      <w:tr w:rsidR="00631428" w:rsidTr="00631428">
        <w:tc>
          <w:tcPr>
            <w:tcW w:w="3085" w:type="dxa"/>
            <w:shd w:val="clear" w:color="auto" w:fill="auto"/>
          </w:tcPr>
          <w:p w:rsidR="00631428" w:rsidRDefault="00631428" w:rsidP="00631428">
            <w:pPr>
              <w:pStyle w:val="Normal1linespace"/>
              <w:widowControl w:val="0"/>
              <w:jc w:val="left"/>
            </w:pPr>
            <w:bookmarkStart w:id="7" w:name="Counsel" w:colFirst="0" w:colLast="2"/>
            <w:r>
              <w:t>Counsel for the Applicant:</w:t>
            </w:r>
          </w:p>
        </w:tc>
        <w:tc>
          <w:tcPr>
            <w:tcW w:w="5989" w:type="dxa"/>
            <w:shd w:val="clear" w:color="auto" w:fill="auto"/>
          </w:tcPr>
          <w:p w:rsidR="00631428" w:rsidRDefault="00631428" w:rsidP="00631428">
            <w:pPr>
              <w:pStyle w:val="Normal1linespace"/>
              <w:widowControl w:val="0"/>
              <w:jc w:val="left"/>
            </w:pPr>
            <w:bookmarkStart w:id="8" w:name="AppCounsel"/>
            <w:bookmarkEnd w:id="8"/>
            <w:r>
              <w:t>Mr M</w:t>
            </w:r>
            <w:r w:rsidR="00710F43">
              <w:t>J</w:t>
            </w:r>
            <w:r>
              <w:t xml:space="preserve"> Smith</w:t>
            </w:r>
          </w:p>
        </w:tc>
      </w:tr>
      <w:tr w:rsidR="00631428" w:rsidTr="00631428">
        <w:tc>
          <w:tcPr>
            <w:tcW w:w="3085" w:type="dxa"/>
            <w:shd w:val="clear" w:color="auto" w:fill="auto"/>
          </w:tcPr>
          <w:p w:rsidR="00631428" w:rsidRDefault="00631428" w:rsidP="00631428">
            <w:pPr>
              <w:pStyle w:val="Normal1linespace"/>
              <w:widowControl w:val="0"/>
              <w:jc w:val="left"/>
            </w:pPr>
          </w:p>
        </w:tc>
        <w:tc>
          <w:tcPr>
            <w:tcW w:w="5989" w:type="dxa"/>
            <w:shd w:val="clear" w:color="auto" w:fill="auto"/>
          </w:tcPr>
          <w:p w:rsidR="00631428" w:rsidRDefault="00631428" w:rsidP="00631428">
            <w:pPr>
              <w:pStyle w:val="Normal1linespace"/>
              <w:widowControl w:val="0"/>
              <w:jc w:val="left"/>
            </w:pPr>
          </w:p>
        </w:tc>
      </w:tr>
      <w:tr w:rsidR="00631428" w:rsidTr="00631428">
        <w:tc>
          <w:tcPr>
            <w:tcW w:w="3085" w:type="dxa"/>
            <w:shd w:val="clear" w:color="auto" w:fill="auto"/>
          </w:tcPr>
          <w:p w:rsidR="00631428" w:rsidRDefault="00631428" w:rsidP="00631428">
            <w:pPr>
              <w:pStyle w:val="Normal1linespace"/>
              <w:widowControl w:val="0"/>
              <w:jc w:val="left"/>
            </w:pPr>
            <w:r>
              <w:t>Solicitor for the Applicant:</w:t>
            </w:r>
          </w:p>
        </w:tc>
        <w:tc>
          <w:tcPr>
            <w:tcW w:w="5989" w:type="dxa"/>
            <w:shd w:val="clear" w:color="auto" w:fill="auto"/>
          </w:tcPr>
          <w:p w:rsidR="00631428" w:rsidRDefault="00631428" w:rsidP="00631428">
            <w:pPr>
              <w:pStyle w:val="Normal1linespace"/>
              <w:widowControl w:val="0"/>
              <w:jc w:val="left"/>
            </w:pPr>
            <w:r>
              <w:t>Solomon Brothers</w:t>
            </w:r>
          </w:p>
        </w:tc>
      </w:tr>
      <w:tr w:rsidR="00631428" w:rsidTr="00631428">
        <w:tc>
          <w:tcPr>
            <w:tcW w:w="3085" w:type="dxa"/>
            <w:shd w:val="clear" w:color="auto" w:fill="auto"/>
          </w:tcPr>
          <w:p w:rsidR="00631428" w:rsidRDefault="00631428" w:rsidP="00631428">
            <w:pPr>
              <w:pStyle w:val="Normal1linespace"/>
              <w:widowControl w:val="0"/>
              <w:jc w:val="left"/>
            </w:pPr>
          </w:p>
        </w:tc>
        <w:tc>
          <w:tcPr>
            <w:tcW w:w="5989" w:type="dxa"/>
            <w:shd w:val="clear" w:color="auto" w:fill="auto"/>
          </w:tcPr>
          <w:p w:rsidR="00631428" w:rsidRDefault="00631428" w:rsidP="00631428">
            <w:pPr>
              <w:pStyle w:val="Normal1linespace"/>
              <w:widowControl w:val="0"/>
              <w:jc w:val="left"/>
            </w:pPr>
          </w:p>
        </w:tc>
      </w:tr>
      <w:tr w:rsidR="00631428" w:rsidTr="00631428">
        <w:tc>
          <w:tcPr>
            <w:tcW w:w="3085" w:type="dxa"/>
            <w:shd w:val="clear" w:color="auto" w:fill="auto"/>
          </w:tcPr>
          <w:p w:rsidR="00631428" w:rsidRDefault="00631428" w:rsidP="00631428">
            <w:pPr>
              <w:pStyle w:val="Normal1linespace"/>
              <w:widowControl w:val="0"/>
              <w:jc w:val="left"/>
            </w:pPr>
            <w:r>
              <w:t>Counsel for the Respondents:</w:t>
            </w:r>
          </w:p>
        </w:tc>
        <w:tc>
          <w:tcPr>
            <w:tcW w:w="5989" w:type="dxa"/>
            <w:shd w:val="clear" w:color="auto" w:fill="auto"/>
          </w:tcPr>
          <w:p w:rsidR="00631428" w:rsidRDefault="00631428" w:rsidP="00631428">
            <w:pPr>
              <w:pStyle w:val="Normal1linespace"/>
              <w:widowControl w:val="0"/>
              <w:jc w:val="left"/>
            </w:pPr>
            <w:r>
              <w:t>Ms TL Trend</w:t>
            </w:r>
          </w:p>
        </w:tc>
      </w:tr>
      <w:tr w:rsidR="00631428" w:rsidTr="00631428">
        <w:tc>
          <w:tcPr>
            <w:tcW w:w="3085" w:type="dxa"/>
            <w:shd w:val="clear" w:color="auto" w:fill="auto"/>
          </w:tcPr>
          <w:p w:rsidR="00631428" w:rsidRDefault="00631428" w:rsidP="00631428">
            <w:pPr>
              <w:pStyle w:val="Normal1linespace"/>
              <w:widowControl w:val="0"/>
              <w:jc w:val="left"/>
            </w:pPr>
          </w:p>
        </w:tc>
        <w:tc>
          <w:tcPr>
            <w:tcW w:w="5989" w:type="dxa"/>
            <w:shd w:val="clear" w:color="auto" w:fill="auto"/>
          </w:tcPr>
          <w:p w:rsidR="00631428" w:rsidRDefault="00631428" w:rsidP="00631428">
            <w:pPr>
              <w:pStyle w:val="Normal1linespace"/>
              <w:widowControl w:val="0"/>
              <w:jc w:val="left"/>
            </w:pPr>
          </w:p>
        </w:tc>
      </w:tr>
      <w:tr w:rsidR="00631428" w:rsidTr="00631428">
        <w:tc>
          <w:tcPr>
            <w:tcW w:w="3085" w:type="dxa"/>
            <w:shd w:val="clear" w:color="auto" w:fill="auto"/>
          </w:tcPr>
          <w:p w:rsidR="00631428" w:rsidRDefault="00631428" w:rsidP="00631428">
            <w:pPr>
              <w:pStyle w:val="Normal1linespace"/>
              <w:widowControl w:val="0"/>
              <w:jc w:val="left"/>
            </w:pPr>
            <w:r>
              <w:t>Solicitor for the Respondents:</w:t>
            </w:r>
          </w:p>
        </w:tc>
        <w:tc>
          <w:tcPr>
            <w:tcW w:w="5989" w:type="dxa"/>
            <w:shd w:val="clear" w:color="auto" w:fill="auto"/>
          </w:tcPr>
          <w:p w:rsidR="00631428" w:rsidRDefault="00631428" w:rsidP="00631428">
            <w:pPr>
              <w:pStyle w:val="Normal1linespace"/>
              <w:widowControl w:val="0"/>
              <w:jc w:val="left"/>
            </w:pPr>
            <w:r>
              <w:t xml:space="preserve">Clayton </w:t>
            </w:r>
            <w:proofErr w:type="spellStart"/>
            <w:r>
              <w:t>Utz</w:t>
            </w:r>
            <w:proofErr w:type="spellEnd"/>
          </w:p>
        </w:tc>
      </w:tr>
      <w:bookmarkEnd w:id="7"/>
    </w:tbl>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A0F9E" w:rsidP="00F92355">
            <w:pPr>
              <w:pStyle w:val="NormalHeadings"/>
              <w:jc w:val="right"/>
            </w:pPr>
            <w:bookmarkStart w:id="9" w:name="FileNo"/>
            <w:r>
              <w:t>WAD 448 of 2017</w:t>
            </w:r>
            <w:bookmarkEnd w:id="9"/>
          </w:p>
        </w:tc>
      </w:tr>
      <w:tr w:rsidR="00A76C13" w:rsidTr="0050335C">
        <w:tc>
          <w:tcPr>
            <w:tcW w:w="9242" w:type="dxa"/>
            <w:gridSpan w:val="3"/>
          </w:tcPr>
          <w:p w:rsidR="00A76C13" w:rsidRPr="00A76C13" w:rsidRDefault="004A0F9E" w:rsidP="004A0F9E">
            <w:pPr>
              <w:pStyle w:val="NormalHeadings"/>
              <w:jc w:val="left"/>
            </w:pPr>
            <w:bookmarkStart w:id="10" w:name="InTheMatterOf"/>
            <w:r>
              <w:t xml:space="preserve"> </w:t>
            </w:r>
            <w:bookmarkEnd w:id="10"/>
          </w:p>
        </w:tc>
      </w:tr>
      <w:tr w:rsidR="00A46CCC" w:rsidTr="0050335C">
        <w:trPr>
          <w:trHeight w:val="386"/>
        </w:trPr>
        <w:tc>
          <w:tcPr>
            <w:tcW w:w="2376" w:type="dxa"/>
          </w:tcPr>
          <w:p w:rsidR="00A46CCC" w:rsidRDefault="00A46CCC" w:rsidP="0050335C">
            <w:pPr>
              <w:pStyle w:val="NormalHeadings"/>
              <w:jc w:val="left"/>
              <w:rPr>
                <w:caps/>
                <w:szCs w:val="24"/>
              </w:rPr>
            </w:pPr>
            <w:bookmarkStart w:id="11" w:name="Parties"/>
            <w:r>
              <w:rPr>
                <w:caps/>
                <w:szCs w:val="24"/>
              </w:rPr>
              <w:t>BETWEEN:</w:t>
            </w:r>
          </w:p>
        </w:tc>
        <w:tc>
          <w:tcPr>
            <w:tcW w:w="6866" w:type="dxa"/>
            <w:gridSpan w:val="2"/>
          </w:tcPr>
          <w:p w:rsidR="004A0F9E" w:rsidRDefault="004A0F9E" w:rsidP="004A0F9E">
            <w:pPr>
              <w:pStyle w:val="NormalHeadings"/>
              <w:jc w:val="left"/>
            </w:pPr>
            <w:bookmarkStart w:id="12" w:name="Applicant"/>
            <w:r>
              <w:t>JKC AUSTRALIA LNG PTY LTD (ACN 154 383 409)</w:t>
            </w:r>
          </w:p>
          <w:p w:rsidR="004A0F9E" w:rsidRDefault="004A0F9E" w:rsidP="004A0F9E">
            <w:pPr>
              <w:pStyle w:val="PartyType"/>
            </w:pPr>
            <w:r>
              <w:t>Applicant</w:t>
            </w:r>
          </w:p>
          <w:bookmarkEnd w:id="12"/>
          <w:p w:rsidR="00A46CCC" w:rsidRPr="006555B4" w:rsidRDefault="00A46CCC" w:rsidP="0050335C">
            <w:pPr>
              <w:pStyle w:val="NormalHeadings"/>
              <w:jc w:val="left"/>
            </w:pPr>
          </w:p>
        </w:tc>
      </w:tr>
      <w:tr w:rsidR="00A46CCC" w:rsidTr="0050335C">
        <w:trPr>
          <w:trHeight w:val="386"/>
        </w:trPr>
        <w:tc>
          <w:tcPr>
            <w:tcW w:w="2376" w:type="dxa"/>
          </w:tcPr>
          <w:p w:rsidR="00A46CCC" w:rsidRDefault="00A46CCC" w:rsidP="0050335C">
            <w:pPr>
              <w:pStyle w:val="NormalHeadings"/>
              <w:jc w:val="left"/>
              <w:rPr>
                <w:caps/>
                <w:szCs w:val="24"/>
              </w:rPr>
            </w:pPr>
            <w:r>
              <w:rPr>
                <w:caps/>
                <w:szCs w:val="24"/>
              </w:rPr>
              <w:t>AND:</w:t>
            </w:r>
          </w:p>
        </w:tc>
        <w:tc>
          <w:tcPr>
            <w:tcW w:w="6866" w:type="dxa"/>
            <w:gridSpan w:val="2"/>
          </w:tcPr>
          <w:p w:rsidR="004A0F9E" w:rsidRDefault="004A0F9E" w:rsidP="004A0F9E">
            <w:pPr>
              <w:pStyle w:val="NormalHeadings"/>
              <w:jc w:val="left"/>
            </w:pPr>
            <w:bookmarkStart w:id="13" w:name="Respondent"/>
            <w:r>
              <w:t>AKZONOBEL NV</w:t>
            </w:r>
          </w:p>
          <w:p w:rsidR="004A0F9E" w:rsidRDefault="004A0F9E" w:rsidP="004A0F9E">
            <w:pPr>
              <w:pStyle w:val="PartyType"/>
            </w:pPr>
            <w:r>
              <w:t>First Respondent</w:t>
            </w:r>
          </w:p>
          <w:p w:rsidR="004A0F9E" w:rsidRDefault="004A0F9E" w:rsidP="0050335C">
            <w:pPr>
              <w:pStyle w:val="NormalHeadings"/>
              <w:jc w:val="left"/>
            </w:pPr>
          </w:p>
          <w:p w:rsidR="004A0F9E" w:rsidRDefault="004A0F9E" w:rsidP="004A0F9E">
            <w:pPr>
              <w:pStyle w:val="NormalHeadings"/>
              <w:jc w:val="left"/>
            </w:pPr>
            <w:r>
              <w:t>INTERNATIONAL PAINT LIMITED</w:t>
            </w:r>
          </w:p>
          <w:p w:rsidR="004A0F9E" w:rsidRDefault="004A0F9E" w:rsidP="004A0F9E">
            <w:pPr>
              <w:pStyle w:val="PartyType"/>
            </w:pPr>
            <w:r>
              <w:t>Second Respondent</w:t>
            </w:r>
          </w:p>
          <w:bookmarkEnd w:id="13"/>
          <w:p w:rsidR="00A46CCC" w:rsidRPr="006555B4" w:rsidRDefault="00A46CCC" w:rsidP="0050335C">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A0F9E">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4A0F9E">
            <w:pPr>
              <w:pStyle w:val="NormalHeadings"/>
              <w:jc w:val="left"/>
              <w:rPr>
                <w:caps/>
                <w:szCs w:val="24"/>
              </w:rPr>
            </w:pPr>
            <w:bookmarkStart w:id="16" w:name="Judge"/>
            <w:r>
              <w:rPr>
                <w:caps/>
                <w:szCs w:val="24"/>
              </w:rPr>
              <w:t>BANKS-SMITH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A0F9E">
            <w:pPr>
              <w:pStyle w:val="NormalHeadings"/>
              <w:jc w:val="left"/>
              <w:rPr>
                <w:caps/>
                <w:szCs w:val="24"/>
              </w:rPr>
            </w:pPr>
            <w:bookmarkStart w:id="17" w:name="Judgment_Dated"/>
            <w:r>
              <w:rPr>
                <w:caps/>
                <w:szCs w:val="24"/>
              </w:rPr>
              <w:t>2 JULY 2019</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DF6717" w:rsidRDefault="00DF6717" w:rsidP="00DF6717">
      <w:pPr>
        <w:pStyle w:val="Order1"/>
        <w:numPr>
          <w:ilvl w:val="0"/>
          <w:numId w:val="42"/>
        </w:numPr>
      </w:pPr>
      <w:bookmarkStart w:id="18" w:name="Order_Start_Text"/>
      <w:bookmarkEnd w:id="18"/>
      <w:r w:rsidRPr="00EC0EFC">
        <w:t>Subject to order 2 below, the applicant, and its external legal representatives, be released from their respective obligations to use the documents listed in Annexures A and B (by their unique document id</w:t>
      </w:r>
      <w:r>
        <w:t>entifiers) to these orders (</w:t>
      </w:r>
      <w:r w:rsidRPr="00EC0EFC">
        <w:rPr>
          <w:b/>
        </w:rPr>
        <w:t>Documents</w:t>
      </w:r>
      <w:r w:rsidRPr="00EC0EFC">
        <w:t>) only for the purpose of this proceeding, to the extent only that they may each use any of the Documents</w:t>
      </w:r>
      <w:r>
        <w:t>:</w:t>
      </w:r>
    </w:p>
    <w:p w:rsidR="00DF6717" w:rsidRDefault="00DF6717" w:rsidP="00DF6717">
      <w:pPr>
        <w:pStyle w:val="Order2"/>
        <w:numPr>
          <w:ilvl w:val="1"/>
          <w:numId w:val="42"/>
        </w:numPr>
      </w:pPr>
      <w:r w:rsidRPr="00EC0EFC">
        <w:t>for the purposes of responding to any claims made against the applicant by</w:t>
      </w:r>
      <w:r>
        <w:t>:</w:t>
      </w:r>
    </w:p>
    <w:p w:rsidR="00DF6717" w:rsidRDefault="00DF6717" w:rsidP="00DF6717">
      <w:pPr>
        <w:pStyle w:val="Order3"/>
        <w:numPr>
          <w:ilvl w:val="2"/>
          <w:numId w:val="42"/>
        </w:numPr>
      </w:pPr>
      <w:r w:rsidRPr="00EC0EFC">
        <w:t>INPEX Operations Australia Pty Ltd (</w:t>
      </w:r>
      <w:r w:rsidRPr="00EC0EFC">
        <w:rPr>
          <w:b/>
        </w:rPr>
        <w:t>INPEX</w:t>
      </w:r>
      <w:r w:rsidRPr="00EC0EFC">
        <w:t>);</w:t>
      </w:r>
      <w:r>
        <w:t xml:space="preserve"> or</w:t>
      </w:r>
    </w:p>
    <w:p w:rsidR="00DF6717" w:rsidRDefault="00DF6717" w:rsidP="00DF6717">
      <w:pPr>
        <w:pStyle w:val="Order3"/>
        <w:numPr>
          <w:ilvl w:val="2"/>
          <w:numId w:val="42"/>
        </w:numPr>
      </w:pPr>
      <w:proofErr w:type="spellStart"/>
      <w:r>
        <w:t>Ichthys</w:t>
      </w:r>
      <w:proofErr w:type="spellEnd"/>
      <w:r>
        <w:t xml:space="preserve"> LNG Pty Ltd (</w:t>
      </w:r>
      <w:proofErr w:type="spellStart"/>
      <w:r>
        <w:rPr>
          <w:b/>
        </w:rPr>
        <w:t>Ichthys</w:t>
      </w:r>
      <w:proofErr w:type="spellEnd"/>
      <w:r>
        <w:t xml:space="preserve">) </w:t>
      </w:r>
    </w:p>
    <w:p w:rsidR="00DF6717" w:rsidRDefault="00DF6717" w:rsidP="00DF6717">
      <w:pPr>
        <w:pStyle w:val="Order3"/>
        <w:numPr>
          <w:ilvl w:val="0"/>
          <w:numId w:val="0"/>
        </w:numPr>
        <w:ind w:left="1440"/>
      </w:pPr>
      <w:r>
        <w:t xml:space="preserve">in relation to the use of Intertherm 228 coating on the </w:t>
      </w:r>
      <w:proofErr w:type="spellStart"/>
      <w:r>
        <w:t>Ichthys</w:t>
      </w:r>
      <w:proofErr w:type="spellEnd"/>
      <w:r>
        <w:t xml:space="preserve"> Onshore Project;</w:t>
      </w:r>
    </w:p>
    <w:p w:rsidR="00DF6717" w:rsidRDefault="00DF6717" w:rsidP="00DF6717">
      <w:pPr>
        <w:pStyle w:val="Order2"/>
        <w:numPr>
          <w:ilvl w:val="1"/>
          <w:numId w:val="42"/>
        </w:numPr>
      </w:pPr>
      <w:r>
        <w:t>in any dispute that arises between the applicant and:</w:t>
      </w:r>
    </w:p>
    <w:p w:rsidR="00DF6717" w:rsidRDefault="00DF6717" w:rsidP="00DF6717">
      <w:pPr>
        <w:pStyle w:val="Order3"/>
        <w:numPr>
          <w:ilvl w:val="2"/>
          <w:numId w:val="42"/>
        </w:numPr>
      </w:pPr>
      <w:r>
        <w:t>INPEX; or</w:t>
      </w:r>
    </w:p>
    <w:p w:rsidR="00DF6717" w:rsidRDefault="00DF6717" w:rsidP="00DF6717">
      <w:pPr>
        <w:pStyle w:val="Order3"/>
        <w:numPr>
          <w:ilvl w:val="2"/>
          <w:numId w:val="42"/>
        </w:numPr>
      </w:pPr>
      <w:proofErr w:type="spellStart"/>
      <w:r>
        <w:t>Ichthys</w:t>
      </w:r>
      <w:proofErr w:type="spellEnd"/>
    </w:p>
    <w:p w:rsidR="00DF6717" w:rsidRDefault="00DF6717" w:rsidP="00DF6717">
      <w:pPr>
        <w:pStyle w:val="Order2"/>
        <w:numPr>
          <w:ilvl w:val="0"/>
          <w:numId w:val="0"/>
        </w:numPr>
        <w:ind w:left="1440"/>
      </w:pPr>
      <w:r>
        <w:t xml:space="preserve">in relation to the </w:t>
      </w:r>
      <w:r w:rsidRPr="00EC0EFC">
        <w:t xml:space="preserve">use of Intertherm 228 coating on the </w:t>
      </w:r>
      <w:proofErr w:type="spellStart"/>
      <w:r w:rsidRPr="00EC0EFC">
        <w:t>Ichthys</w:t>
      </w:r>
      <w:proofErr w:type="spellEnd"/>
      <w:r w:rsidRPr="00EC0EFC">
        <w:t xml:space="preserve"> Onshore Project, including in and for the purposes of any judicial or arbitral proce</w:t>
      </w:r>
      <w:r>
        <w:t>edings in relation thereto (</w:t>
      </w:r>
      <w:r>
        <w:rPr>
          <w:b/>
        </w:rPr>
        <w:t>Permitted Use</w:t>
      </w:r>
      <w:r w:rsidRPr="00EC0EFC">
        <w:t>)</w:t>
      </w:r>
      <w:r>
        <w:t>.</w:t>
      </w:r>
    </w:p>
    <w:p w:rsidR="00DF6717" w:rsidRDefault="00DF6717" w:rsidP="00DF6717">
      <w:pPr>
        <w:pStyle w:val="Order1"/>
        <w:numPr>
          <w:ilvl w:val="0"/>
          <w:numId w:val="42"/>
        </w:numPr>
      </w:pPr>
      <w:r w:rsidRPr="009A432F">
        <w:t>The Documents listed in Annexure B to these orders, which contain information that has been nominated as confidential to the first and/or second respondent, may only be inspected by, or provided or made available to the applicant, and</w:t>
      </w:r>
      <w:r>
        <w:t>:</w:t>
      </w:r>
    </w:p>
    <w:p w:rsidR="00DF6717" w:rsidRDefault="00DF6717" w:rsidP="00DF6717">
      <w:pPr>
        <w:pStyle w:val="Order2"/>
        <w:numPr>
          <w:ilvl w:val="1"/>
          <w:numId w:val="42"/>
        </w:numPr>
      </w:pPr>
      <w:r>
        <w:lastRenderedPageBreak/>
        <w:t>any of the applicant's officers or employees;</w:t>
      </w:r>
    </w:p>
    <w:p w:rsidR="00DF6717" w:rsidRDefault="00DF6717" w:rsidP="00DF6717">
      <w:pPr>
        <w:pStyle w:val="Order2"/>
        <w:numPr>
          <w:ilvl w:val="1"/>
          <w:numId w:val="42"/>
        </w:numPr>
      </w:pPr>
      <w:r>
        <w:t xml:space="preserve">any other external lawyer or external counsel engaged by the applicant, </w:t>
      </w:r>
      <w:r w:rsidRPr="009A432F">
        <w:t>or any secretarial or administrative assistant engaged by that external lawyer or external counsel</w:t>
      </w:r>
      <w:r>
        <w:t>;</w:t>
      </w:r>
    </w:p>
    <w:p w:rsidR="00DF6717" w:rsidRDefault="00DF6717" w:rsidP="00DF6717">
      <w:pPr>
        <w:pStyle w:val="Order2"/>
        <w:numPr>
          <w:ilvl w:val="1"/>
          <w:numId w:val="42"/>
        </w:numPr>
      </w:pPr>
      <w:r w:rsidRPr="009A432F">
        <w:t>any other in-house lawyer employed or contracted by the applicant; and</w:t>
      </w:r>
    </w:p>
    <w:p w:rsidR="00DF6717" w:rsidRDefault="00DF6717" w:rsidP="00DF6717">
      <w:pPr>
        <w:pStyle w:val="Order2"/>
        <w:numPr>
          <w:ilvl w:val="1"/>
          <w:numId w:val="42"/>
        </w:numPr>
      </w:pPr>
      <w:r w:rsidRPr="009A432F">
        <w:t>any expert engaged by the applicant</w:t>
      </w:r>
      <w:r>
        <w:t>;</w:t>
      </w:r>
    </w:p>
    <w:p w:rsidR="00DF6717" w:rsidRDefault="00DF6717" w:rsidP="00DF6717">
      <w:pPr>
        <w:pStyle w:val="Order2"/>
        <w:numPr>
          <w:ilvl w:val="0"/>
          <w:numId w:val="0"/>
        </w:numPr>
        <w:ind w:left="720"/>
      </w:pPr>
      <w:r>
        <w:t>who:</w:t>
      </w:r>
    </w:p>
    <w:p w:rsidR="00DF6717" w:rsidRDefault="00DF6717" w:rsidP="00DF6717">
      <w:pPr>
        <w:pStyle w:val="Order2"/>
        <w:numPr>
          <w:ilvl w:val="1"/>
          <w:numId w:val="42"/>
        </w:numPr>
      </w:pPr>
      <w:r w:rsidRPr="009A432F">
        <w:t>is engaged by the applicant to act or advise in relation to a Permitted Use, or to instruct or otherwise assist someone else to act or advise in relation to a Permitted Use; and</w:t>
      </w:r>
    </w:p>
    <w:p w:rsidR="00DF6717" w:rsidRDefault="00DF6717" w:rsidP="00DF6717">
      <w:pPr>
        <w:pStyle w:val="Order2"/>
        <w:numPr>
          <w:ilvl w:val="1"/>
          <w:numId w:val="42"/>
        </w:numPr>
      </w:pPr>
      <w:r w:rsidRPr="009A432F">
        <w:t>has signed a con</w:t>
      </w:r>
      <w:r>
        <w:t>fidentiality undertaking</w:t>
      </w:r>
      <w:r w:rsidRPr="009A432F">
        <w:t xml:space="preserve"> in the form set out in Annexure C to these orders</w:t>
      </w:r>
      <w:r>
        <w:t>.</w:t>
      </w:r>
    </w:p>
    <w:p w:rsidR="00DF6717" w:rsidRDefault="00DF6717" w:rsidP="00DF6717">
      <w:pPr>
        <w:pStyle w:val="Order1"/>
        <w:numPr>
          <w:ilvl w:val="0"/>
          <w:numId w:val="42"/>
        </w:numPr>
      </w:pPr>
      <w:r w:rsidRPr="009A432F">
        <w:t xml:space="preserve">Pursuant to section 37AF of the </w:t>
      </w:r>
      <w:r w:rsidRPr="009A432F">
        <w:rPr>
          <w:i/>
        </w:rPr>
        <w:t>Federal Court of Australia Act 1976</w:t>
      </w:r>
      <w:r w:rsidRPr="009A432F">
        <w:t xml:space="preserve"> (Cth), until further order, and in order to prevent prejudice to the proper administration of justice, access to exhibit TDG-2 to the affidavit of Trafford Dean </w:t>
      </w:r>
      <w:proofErr w:type="spellStart"/>
      <w:r w:rsidRPr="009A432F">
        <w:t>Gazsik</w:t>
      </w:r>
      <w:proofErr w:type="spellEnd"/>
      <w:r w:rsidRPr="009A432F">
        <w:t xml:space="preserve"> made on 17 June 2019 not be available or open for inspection or removal from the Registry by third parties pursuant to Division 2.4 of the </w:t>
      </w:r>
      <w:r w:rsidRPr="009A432F">
        <w:rPr>
          <w:i/>
        </w:rPr>
        <w:t>Federal Court Rules 2011</w:t>
      </w:r>
      <w:r w:rsidRPr="009A432F">
        <w:t xml:space="preserve"> (Cth)</w:t>
      </w:r>
      <w:r>
        <w:t xml:space="preserve"> (</w:t>
      </w:r>
      <w:r>
        <w:rPr>
          <w:b/>
        </w:rPr>
        <w:t>Rules</w:t>
      </w:r>
      <w:r>
        <w:t>)</w:t>
      </w:r>
      <w:r w:rsidRPr="009A432F">
        <w:t xml:space="preserve"> other than by order of the Court</w:t>
      </w:r>
      <w:r w:rsidR="00D96DC9">
        <w:t>.</w:t>
      </w:r>
    </w:p>
    <w:p w:rsidR="00DF6717" w:rsidRDefault="00DF6717" w:rsidP="00DF6717">
      <w:pPr>
        <w:pStyle w:val="Order1"/>
        <w:numPr>
          <w:ilvl w:val="0"/>
          <w:numId w:val="42"/>
        </w:numPr>
      </w:pPr>
      <w:r w:rsidRPr="009A432F">
        <w:t xml:space="preserve">The applicant will be given notice, and an opportunity to make submissions, if a non-party seeks access under rule 2.32(4) of </w:t>
      </w:r>
      <w:r>
        <w:t>the Rules to:</w:t>
      </w:r>
    </w:p>
    <w:p w:rsidR="00DF6717" w:rsidRDefault="00DF6717" w:rsidP="00DF6717">
      <w:pPr>
        <w:pStyle w:val="Order2"/>
        <w:numPr>
          <w:ilvl w:val="1"/>
          <w:numId w:val="42"/>
        </w:numPr>
      </w:pPr>
      <w:r w:rsidRPr="009A432F">
        <w:t xml:space="preserve">paragraphs 16 and 17 of the affidavit of Trafford Dean </w:t>
      </w:r>
      <w:proofErr w:type="spellStart"/>
      <w:r w:rsidRPr="009A432F">
        <w:t>Gazsik</w:t>
      </w:r>
      <w:proofErr w:type="spellEnd"/>
      <w:r w:rsidRPr="009A432F">
        <w:t xml:space="preserve"> made on 17</w:t>
      </w:r>
      <w:r>
        <w:t> </w:t>
      </w:r>
      <w:r w:rsidRPr="009A432F">
        <w:t>June 2019</w:t>
      </w:r>
      <w:r>
        <w:t>;</w:t>
      </w:r>
    </w:p>
    <w:p w:rsidR="00395B24" w:rsidRDefault="00DF6717" w:rsidP="00DF6717">
      <w:pPr>
        <w:pStyle w:val="Order2"/>
      </w:pPr>
      <w:r w:rsidRPr="009A432F">
        <w:t xml:space="preserve">annexures TDG-3 and TDG-4 to the affidavit of Trafford Dean </w:t>
      </w:r>
      <w:proofErr w:type="spellStart"/>
      <w:r w:rsidRPr="009A432F">
        <w:t>Gazsik</w:t>
      </w:r>
      <w:proofErr w:type="spellEnd"/>
      <w:r w:rsidRPr="009A432F">
        <w:t xml:space="preserve"> made on 17 June 2019</w:t>
      </w:r>
      <w:r>
        <w:t>.</w:t>
      </w:r>
    </w:p>
    <w:p w:rsidR="00DF6717" w:rsidRDefault="00DF6717">
      <w:pPr>
        <w:spacing w:line="240" w:lineRule="auto"/>
        <w:jc w:val="left"/>
      </w:pPr>
      <w:r>
        <w:br w:type="page"/>
      </w:r>
    </w:p>
    <w:p w:rsidR="00DF6717" w:rsidRPr="00DF6717" w:rsidRDefault="00DF6717" w:rsidP="00DF6717">
      <w:pPr>
        <w:pStyle w:val="BodyText"/>
        <w:jc w:val="center"/>
        <w:rPr>
          <w:b/>
        </w:rPr>
      </w:pPr>
      <w:r w:rsidRPr="00DF6717">
        <w:rPr>
          <w:b/>
        </w:rPr>
        <w:lastRenderedPageBreak/>
        <w:t xml:space="preserve">Annexure A </w:t>
      </w:r>
      <w:r w:rsidR="001050DA">
        <w:rPr>
          <w:b/>
        </w:rPr>
        <w:t>-</w:t>
      </w:r>
      <w:r w:rsidRPr="00DF6717">
        <w:rPr>
          <w:b/>
        </w:rPr>
        <w:t xml:space="preserve"> Non-Confidential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0"/>
      </w:tblGrid>
      <w:tr w:rsidR="00DF6717" w:rsidRPr="00DF6717" w:rsidTr="003E6EF6">
        <w:trPr>
          <w:trHeight w:val="75"/>
          <w:jc w:val="center"/>
        </w:trPr>
        <w:tc>
          <w:tcPr>
            <w:tcW w:w="3720" w:type="dxa"/>
            <w:shd w:val="clear" w:color="auto" w:fill="A6A6A6"/>
          </w:tcPr>
          <w:p w:rsidR="00DF6717" w:rsidRPr="00DF6717" w:rsidRDefault="00DF6717" w:rsidP="003E6EF6">
            <w:pPr>
              <w:pStyle w:val="ListParagraph"/>
              <w:ind w:left="0"/>
              <w:jc w:val="center"/>
              <w:rPr>
                <w:rFonts w:ascii="Times New Roman" w:hAnsi="Times New Roman"/>
                <w:sz w:val="24"/>
              </w:rPr>
            </w:pPr>
            <w:r w:rsidRPr="00DF6717">
              <w:rPr>
                <w:rFonts w:ascii="Times New Roman" w:hAnsi="Times New Roman"/>
                <w:b/>
                <w:sz w:val="24"/>
                <w:lang w:val="en-US"/>
              </w:rPr>
              <w:t>Production Number</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AKZ.001.001.1839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AKZ.003.002.7621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AKZ.003.004.3909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AKZ.003.004.7611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AKZ.003.004.9768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AKZ.003.005.1177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AKZ.003.006.4760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AKZ.003.006.6718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AKZ.003.008.4362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AKZ.003.008.4570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AKZ.003.008.4840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AKZ.003.008.5122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AKZ.003.008.7458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AKZ.003.008.7508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AKZ.003.008.7589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AKZ.003.009.0105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AKZ.003.009.3499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AKZ.004.002.0878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AKZ.004.002.4222 </w:t>
            </w:r>
          </w:p>
        </w:tc>
      </w:tr>
    </w:tbl>
    <w:p w:rsidR="00DF6717" w:rsidRDefault="00DF6717" w:rsidP="00DF6717">
      <w:pPr>
        <w:pStyle w:val="BodyText"/>
      </w:pPr>
    </w:p>
    <w:p w:rsidR="00DF6717" w:rsidRDefault="00DF6717" w:rsidP="00DF6717">
      <w:pPr>
        <w:pStyle w:val="BodyText"/>
      </w:pPr>
    </w:p>
    <w:p w:rsidR="00DF6717" w:rsidRDefault="00DF6717" w:rsidP="00DF6717">
      <w:pPr>
        <w:pStyle w:val="BodyText"/>
      </w:pPr>
    </w:p>
    <w:p w:rsidR="00DF6717" w:rsidRPr="00DF6717" w:rsidRDefault="00DF6717" w:rsidP="00DF6717">
      <w:pPr>
        <w:pStyle w:val="BodyText"/>
        <w:jc w:val="center"/>
        <w:rPr>
          <w:b/>
        </w:rPr>
      </w:pPr>
      <w:r w:rsidRPr="00DF6717">
        <w:rPr>
          <w:b/>
        </w:rPr>
        <w:t xml:space="preserve">Annexure B </w:t>
      </w:r>
      <w:r w:rsidR="001050DA">
        <w:rPr>
          <w:b/>
        </w:rPr>
        <w:t>-</w:t>
      </w:r>
      <w:r w:rsidRPr="00DF6717">
        <w:rPr>
          <w:b/>
        </w:rPr>
        <w:t xml:space="preserve"> Confidential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0"/>
      </w:tblGrid>
      <w:tr w:rsidR="00DF6717" w:rsidRPr="00DF6717" w:rsidTr="003E6EF6">
        <w:trPr>
          <w:trHeight w:val="75"/>
          <w:jc w:val="center"/>
        </w:trPr>
        <w:tc>
          <w:tcPr>
            <w:tcW w:w="3720" w:type="dxa"/>
            <w:shd w:val="clear" w:color="auto" w:fill="A6A6A6"/>
          </w:tcPr>
          <w:p w:rsidR="00DF6717" w:rsidRPr="00DF6717" w:rsidRDefault="00DF6717" w:rsidP="003E6EF6">
            <w:pPr>
              <w:pStyle w:val="ListParagraph"/>
              <w:ind w:left="0"/>
              <w:jc w:val="center"/>
              <w:rPr>
                <w:rFonts w:ascii="Times New Roman" w:hAnsi="Times New Roman"/>
                <w:sz w:val="24"/>
              </w:rPr>
            </w:pPr>
            <w:r w:rsidRPr="00DF6717">
              <w:rPr>
                <w:rFonts w:ascii="Times New Roman" w:hAnsi="Times New Roman"/>
                <w:b/>
                <w:sz w:val="24"/>
                <w:lang w:val="en-US"/>
              </w:rPr>
              <w:t>Production Number</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AKZ.003.001.0394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AKZ.003.005.3631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AKZ.003.005.8072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AKZ.003.009.3437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AKZ.003.010.5577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AKZ.003.010.6173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AKZ.003.010.7971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AKZ.003.010.8982 </w:t>
            </w:r>
          </w:p>
        </w:tc>
      </w:tr>
      <w:tr w:rsidR="00DF6717" w:rsidRPr="00DF6717" w:rsidTr="003E6EF6">
        <w:trPr>
          <w:trHeight w:val="75"/>
          <w:jc w:val="center"/>
        </w:trPr>
        <w:tc>
          <w:tcPr>
            <w:tcW w:w="3720" w:type="dxa"/>
            <w:shd w:val="clear" w:color="auto" w:fill="auto"/>
          </w:tcPr>
          <w:p w:rsidR="00DF6717" w:rsidRPr="00DF6717" w:rsidRDefault="00DF6717" w:rsidP="003E6EF6">
            <w:pPr>
              <w:pStyle w:val="Default"/>
              <w:jc w:val="center"/>
              <w:rPr>
                <w:rFonts w:ascii="Times New Roman" w:hAnsi="Times New Roman" w:cs="Times New Roman"/>
              </w:rPr>
            </w:pPr>
            <w:r w:rsidRPr="00DF6717">
              <w:rPr>
                <w:rFonts w:ascii="Times New Roman" w:hAnsi="Times New Roman" w:cs="Times New Roman"/>
              </w:rPr>
              <w:t xml:space="preserve">AKZ.004.002.8160 </w:t>
            </w:r>
          </w:p>
        </w:tc>
      </w:tr>
    </w:tbl>
    <w:p w:rsidR="00DF6717" w:rsidRPr="00DF6717" w:rsidRDefault="00DF6717" w:rsidP="00DF6717">
      <w:pPr>
        <w:pStyle w:val="BodyText"/>
      </w:pPr>
    </w:p>
    <w:p w:rsidR="00DF6717" w:rsidRDefault="00DF6717">
      <w:pPr>
        <w:spacing w:line="240" w:lineRule="auto"/>
        <w:jc w:val="left"/>
      </w:pPr>
      <w:r>
        <w:br w:type="page"/>
      </w:r>
    </w:p>
    <w:p w:rsidR="00636871" w:rsidRPr="00DF6717" w:rsidRDefault="00DF6717" w:rsidP="00DF6717">
      <w:pPr>
        <w:pStyle w:val="BodyText"/>
        <w:jc w:val="center"/>
        <w:rPr>
          <w:b/>
        </w:rPr>
      </w:pPr>
      <w:r w:rsidRPr="00DF6717">
        <w:rPr>
          <w:b/>
        </w:rPr>
        <w:lastRenderedPageBreak/>
        <w:t>Annexure C - Confidentiality Undertaking</w:t>
      </w:r>
    </w:p>
    <w:p w:rsidR="00395B24" w:rsidRPr="00DF6717" w:rsidRDefault="00395B24" w:rsidP="002B0E91">
      <w:pPr>
        <w:pStyle w:val="BodyText"/>
        <w:rPr>
          <w:sz w:val="16"/>
          <w:szCs w:val="16"/>
        </w:rPr>
      </w:pPr>
    </w:p>
    <w:p w:rsidR="00DF6717" w:rsidRDefault="009B0B76" w:rsidP="002B0E91">
      <w:pPr>
        <w:pStyle w:val="BodyText"/>
      </w:pPr>
      <w:r w:rsidRPr="009B0B76">
        <w:rPr>
          <w:noProof/>
          <w:lang w:eastAsia="en-AU"/>
        </w:rPr>
        <w:drawing>
          <wp:inline distT="0" distB="0" distL="0" distR="0">
            <wp:extent cx="5732145" cy="7844613"/>
            <wp:effectExtent l="0" t="0" r="1905" b="4445"/>
            <wp:docPr id="3" name="Picture 3" descr="I:\Banks-Smith\EA (KB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nks-Smith\EA (KBS)\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7844613"/>
                    </a:xfrm>
                    <a:prstGeom prst="rect">
                      <a:avLst/>
                    </a:prstGeom>
                    <a:noFill/>
                    <a:ln>
                      <a:noFill/>
                    </a:ln>
                  </pic:spPr>
                </pic:pic>
              </a:graphicData>
            </a:graphic>
          </wp:inline>
        </w:drawing>
      </w:r>
    </w:p>
    <w:p w:rsidR="00DF6717" w:rsidRDefault="00DF6717" w:rsidP="002B0E91">
      <w:pPr>
        <w:pStyle w:val="BodyText"/>
      </w:pPr>
    </w:p>
    <w:p w:rsidR="0092590B" w:rsidRDefault="002C7385" w:rsidP="00DF6717">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4A0F9E" w:rsidP="005E0510">
      <w:pPr>
        <w:pStyle w:val="NormalHeadings"/>
        <w:spacing w:line="360" w:lineRule="auto"/>
        <w:jc w:val="left"/>
        <w:rPr>
          <w:sz w:val="26"/>
          <w:szCs w:val="26"/>
        </w:rPr>
      </w:pPr>
      <w:r>
        <w:rPr>
          <w:sz w:val="26"/>
          <w:szCs w:val="26"/>
        </w:rPr>
        <w:t>BANKS-SMITH J</w:t>
      </w:r>
      <w:r w:rsidR="00484F6D" w:rsidRPr="00EA03CE">
        <w:rPr>
          <w:sz w:val="26"/>
          <w:szCs w:val="26"/>
        </w:rPr>
        <w:t>:</w:t>
      </w:r>
    </w:p>
    <w:p w:rsidR="004F19FD" w:rsidRDefault="004F19FD" w:rsidP="004F19FD">
      <w:pPr>
        <w:pStyle w:val="ParaNumbering"/>
      </w:pPr>
      <w:r>
        <w:t xml:space="preserve">The </w:t>
      </w:r>
      <w:proofErr w:type="spellStart"/>
      <w:r>
        <w:t>Ichthys</w:t>
      </w:r>
      <w:proofErr w:type="spellEnd"/>
      <w:r>
        <w:t xml:space="preserve"> Onshore Project is one of the world's largest </w:t>
      </w:r>
      <w:r w:rsidR="00DB138A">
        <w:t>liquefied natural gas</w:t>
      </w:r>
      <w:r>
        <w:t xml:space="preserve"> developments</w:t>
      </w:r>
      <w:r w:rsidR="00551EF2">
        <w:t xml:space="preserve">.  </w:t>
      </w:r>
      <w:r>
        <w:t xml:space="preserve">In short, it involves the extraction of gas and condensate from the </w:t>
      </w:r>
      <w:proofErr w:type="spellStart"/>
      <w:r>
        <w:t>Ichthys</w:t>
      </w:r>
      <w:proofErr w:type="spellEnd"/>
      <w:r>
        <w:t xml:space="preserve"> Field in the Browse Basin</w:t>
      </w:r>
      <w:r w:rsidR="00DB138A">
        <w:t xml:space="preserve"> off North West Australia</w:t>
      </w:r>
      <w:r>
        <w:t xml:space="preserve"> and transportation </w:t>
      </w:r>
      <w:r w:rsidR="00DB138A">
        <w:t>of the gas and condensate by 890</w:t>
      </w:r>
      <w:r w:rsidR="00907D1F">
        <w:t> </w:t>
      </w:r>
      <w:r w:rsidR="00DB138A">
        <w:t>k</w:t>
      </w:r>
      <w:r>
        <w:t xml:space="preserve">m of undersea pipeline to </w:t>
      </w:r>
      <w:r w:rsidR="00DB138A">
        <w:t>onshore LNG facilities near Darwin for conversion into LNG for export</w:t>
      </w:r>
      <w:r>
        <w:t>.</w:t>
      </w:r>
    </w:p>
    <w:p w:rsidR="008E2FC0" w:rsidRDefault="008E2FC0" w:rsidP="004F19FD">
      <w:pPr>
        <w:pStyle w:val="ParaNumbering"/>
      </w:pPr>
      <w:r>
        <w:t>A short summary of the pleaded case is as follows.</w:t>
      </w:r>
    </w:p>
    <w:p w:rsidR="004F19FD" w:rsidRDefault="004F19FD" w:rsidP="004F19FD">
      <w:pPr>
        <w:pStyle w:val="ParaNumbering"/>
      </w:pPr>
      <w:r>
        <w:t xml:space="preserve">The applicant </w:t>
      </w:r>
      <w:r w:rsidR="00DB138A">
        <w:t xml:space="preserve">in these proceedings </w:t>
      </w:r>
      <w:r w:rsidR="00631428">
        <w:t>(</w:t>
      </w:r>
      <w:r w:rsidR="00631428" w:rsidRPr="00DB138A">
        <w:rPr>
          <w:b/>
        </w:rPr>
        <w:t>JKC</w:t>
      </w:r>
      <w:r w:rsidR="00631428">
        <w:t xml:space="preserve">) </w:t>
      </w:r>
      <w:r w:rsidR="00DB138A">
        <w:t>entered into a contract with I</w:t>
      </w:r>
      <w:r w:rsidR="00805A08">
        <w:t>NPEX</w:t>
      </w:r>
      <w:r w:rsidR="00DB138A">
        <w:t xml:space="preserve"> Operations Australia Pty Ltd (</w:t>
      </w:r>
      <w:r w:rsidR="00DB138A" w:rsidRPr="00DB138A">
        <w:rPr>
          <w:b/>
        </w:rPr>
        <w:t>I</w:t>
      </w:r>
      <w:r w:rsidR="00805A08">
        <w:rPr>
          <w:b/>
        </w:rPr>
        <w:t>NPEX</w:t>
      </w:r>
      <w:r w:rsidR="00DB138A">
        <w:t>) for JKC to undertake certain engineering, procurement, supply, construction and commissioning for the project</w:t>
      </w:r>
      <w:r w:rsidR="009863DF">
        <w:t xml:space="preserve"> (the contract is referred to as the </w:t>
      </w:r>
      <w:r w:rsidR="009863DF" w:rsidRPr="009863DF">
        <w:rPr>
          <w:b/>
        </w:rPr>
        <w:t>EPC contract</w:t>
      </w:r>
      <w:r w:rsidR="009863DF">
        <w:t>)</w:t>
      </w:r>
      <w:r w:rsidR="00907D1F">
        <w:t>.</w:t>
      </w:r>
    </w:p>
    <w:p w:rsidR="00DB138A" w:rsidRDefault="00DB138A" w:rsidP="004F19FD">
      <w:pPr>
        <w:pStyle w:val="ParaNumbering"/>
      </w:pPr>
      <w:r>
        <w:t xml:space="preserve">Relevantly, one of </w:t>
      </w:r>
      <w:r w:rsidR="00601A68">
        <w:t xml:space="preserve">JKC's </w:t>
      </w:r>
      <w:r>
        <w:t xml:space="preserve">tasks </w:t>
      </w:r>
      <w:r w:rsidR="00601A68">
        <w:t>under the contract</w:t>
      </w:r>
      <w:r>
        <w:t xml:space="preserve"> was </w:t>
      </w:r>
      <w:r w:rsidR="00601A68">
        <w:t>to develop coating specifications for pipework and equipment as necessary for the scope of its works.</w:t>
      </w:r>
    </w:p>
    <w:p w:rsidR="00601A68" w:rsidRDefault="00E302F1" w:rsidP="004F19FD">
      <w:pPr>
        <w:pStyle w:val="ParaNumbering"/>
      </w:pPr>
      <w:r>
        <w:t>After</w:t>
      </w:r>
      <w:r w:rsidR="00601A68">
        <w:t xml:space="preserve"> various correspondence with one or both of the respondents (</w:t>
      </w:r>
      <w:proofErr w:type="spellStart"/>
      <w:r w:rsidR="00805A08">
        <w:rPr>
          <w:b/>
        </w:rPr>
        <w:t>AkzoNobel</w:t>
      </w:r>
      <w:proofErr w:type="spellEnd"/>
      <w:r w:rsidR="00601A68" w:rsidRPr="00601A68">
        <w:rPr>
          <w:b/>
        </w:rPr>
        <w:t xml:space="preserve"> parties</w:t>
      </w:r>
      <w:r w:rsidR="00601A68">
        <w:t xml:space="preserve">), JKC </w:t>
      </w:r>
      <w:r>
        <w:t>directed</w:t>
      </w:r>
      <w:r w:rsidR="00601A68">
        <w:t xml:space="preserve"> certain suppliers to use a particular coating system </w:t>
      </w:r>
      <w:r w:rsidR="00907D1F">
        <w:t>known as Intertherm </w:t>
      </w:r>
      <w:r>
        <w:t xml:space="preserve">228 </w:t>
      </w:r>
      <w:r w:rsidR="00601A68">
        <w:t>on pipework and equipment modules</w:t>
      </w:r>
      <w:r w:rsidR="00907D1F">
        <w:t>.</w:t>
      </w:r>
    </w:p>
    <w:p w:rsidR="00E302F1" w:rsidRDefault="00E302F1" w:rsidP="00E302F1">
      <w:pPr>
        <w:pStyle w:val="ParaNumbering"/>
      </w:pPr>
      <w:r>
        <w:t>Following use</w:t>
      </w:r>
      <w:r w:rsidR="00D61CB5">
        <w:t xml:space="preserve"> of Intertherm 228</w:t>
      </w:r>
      <w:r>
        <w:t>, degradation and decolourisation issues arose with respect to the coated pipework and equipment</w:t>
      </w:r>
      <w:r w:rsidR="00907D1F">
        <w:t>.</w:t>
      </w:r>
    </w:p>
    <w:p w:rsidR="008E2FC0" w:rsidRDefault="008E2FC0" w:rsidP="008E2FC0">
      <w:pPr>
        <w:pStyle w:val="ParaNumbering"/>
      </w:pPr>
      <w:r>
        <w:t xml:space="preserve">In these proceedings, JKC alleges </w:t>
      </w:r>
      <w:r w:rsidR="00E302F1">
        <w:t xml:space="preserve">that </w:t>
      </w:r>
      <w:r>
        <w:t xml:space="preserve">the </w:t>
      </w:r>
      <w:proofErr w:type="spellStart"/>
      <w:r w:rsidR="00805A08">
        <w:t>AkzoNobel</w:t>
      </w:r>
      <w:proofErr w:type="spellEnd"/>
      <w:r>
        <w:t xml:space="preserve"> parties engaged in conduct that was misleading or deceptive or likely to mislead or deceive by endorsing the use of In</w:t>
      </w:r>
      <w:r w:rsidR="00907D1F">
        <w:t>tertherm </w:t>
      </w:r>
      <w:r>
        <w:t>228 for the project</w:t>
      </w:r>
      <w:r w:rsidR="00907D1F">
        <w:t>.</w:t>
      </w:r>
    </w:p>
    <w:p w:rsidR="008E2FC0" w:rsidRDefault="00E302F1" w:rsidP="008E2FC0">
      <w:pPr>
        <w:pStyle w:val="ParaNumbering"/>
      </w:pPr>
      <w:r>
        <w:t>JKC alleges that a</w:t>
      </w:r>
      <w:r w:rsidR="008E2FC0">
        <w:t xml:space="preserve"> regime of repairs was instituted</w:t>
      </w:r>
      <w:r>
        <w:t>,</w:t>
      </w:r>
      <w:r w:rsidR="008E2FC0">
        <w:t xml:space="preserve"> </w:t>
      </w:r>
      <w:r>
        <w:t>but</w:t>
      </w:r>
      <w:r w:rsidR="008E2FC0">
        <w:t xml:space="preserve"> </w:t>
      </w:r>
      <w:r>
        <w:t>it</w:t>
      </w:r>
      <w:r w:rsidR="008E2FC0">
        <w:t xml:space="preserve"> alleges</w:t>
      </w:r>
      <w:r>
        <w:t xml:space="preserve"> that</w:t>
      </w:r>
      <w:r w:rsidR="008E2FC0">
        <w:t xml:space="preserve"> the </w:t>
      </w:r>
      <w:proofErr w:type="spellStart"/>
      <w:r w:rsidR="00805A08">
        <w:t>AkzoNobel</w:t>
      </w:r>
      <w:proofErr w:type="spellEnd"/>
      <w:r w:rsidR="008E2FC0">
        <w:t xml:space="preserve"> parties </w:t>
      </w:r>
      <w:r>
        <w:t xml:space="preserve">also </w:t>
      </w:r>
      <w:r w:rsidR="008E2FC0">
        <w:t>engaged in misleading or deceptive conduct with respect to the repair process.</w:t>
      </w:r>
    </w:p>
    <w:p w:rsidR="00E302F1" w:rsidRDefault="00E302F1" w:rsidP="008E2FC0">
      <w:pPr>
        <w:pStyle w:val="ParaNumbering"/>
      </w:pPr>
      <w:r>
        <w:t xml:space="preserve">JKC alleges that the </w:t>
      </w:r>
      <w:proofErr w:type="spellStart"/>
      <w:r w:rsidR="00805A08">
        <w:t>AkzoNobel</w:t>
      </w:r>
      <w:proofErr w:type="spellEnd"/>
      <w:r>
        <w:t xml:space="preserve"> parties then advised </w:t>
      </w:r>
      <w:r w:rsidR="00805A08">
        <w:t xml:space="preserve">INPEX </w:t>
      </w:r>
      <w:r>
        <w:t>and JKC, in effect, that Intertherm</w:t>
      </w:r>
      <w:r w:rsidR="00907D1F">
        <w:t> </w:t>
      </w:r>
      <w:r>
        <w:t xml:space="preserve">228 was not suitable for use in the manner it was used on the </w:t>
      </w:r>
      <w:proofErr w:type="spellStart"/>
      <w:r>
        <w:t>Ichthys</w:t>
      </w:r>
      <w:proofErr w:type="spellEnd"/>
      <w:r>
        <w:t xml:space="preserve"> Onshore Project</w:t>
      </w:r>
      <w:r w:rsidR="00551EF2">
        <w:t xml:space="preserve">.  </w:t>
      </w:r>
      <w:r w:rsidR="00805A08">
        <w:t xml:space="preserve">INPEX </w:t>
      </w:r>
      <w:r>
        <w:t>withdrew its approval for the repair regime and directed JKC to conduct rectification work.</w:t>
      </w:r>
    </w:p>
    <w:p w:rsidR="00E302F1" w:rsidRDefault="00D27FDF" w:rsidP="008E2FC0">
      <w:pPr>
        <w:pStyle w:val="ParaNumbering"/>
      </w:pPr>
      <w:r>
        <w:t xml:space="preserve">JKC says that it has suffered or is likely to suffer loss or damage by reason of the misleading and deceptive conduct of one or both of the </w:t>
      </w:r>
      <w:proofErr w:type="spellStart"/>
      <w:r w:rsidR="00805A08">
        <w:t>AkzoNobel</w:t>
      </w:r>
      <w:proofErr w:type="spellEnd"/>
      <w:r>
        <w:t xml:space="preserve"> parties.</w:t>
      </w:r>
    </w:p>
    <w:p w:rsidR="00D61CB5" w:rsidRDefault="00D61CB5" w:rsidP="008E2FC0">
      <w:pPr>
        <w:pStyle w:val="ParaNumbering"/>
      </w:pPr>
      <w:r>
        <w:lastRenderedPageBreak/>
        <w:t xml:space="preserve">The </w:t>
      </w:r>
      <w:proofErr w:type="spellStart"/>
      <w:r>
        <w:t>AkzoNobel</w:t>
      </w:r>
      <w:proofErr w:type="spellEnd"/>
      <w:r>
        <w:t xml:space="preserve"> parties deny the allegations.</w:t>
      </w:r>
    </w:p>
    <w:p w:rsidR="00D27FDF" w:rsidRDefault="00D27FDF" w:rsidP="004F19FD">
      <w:pPr>
        <w:pStyle w:val="ParaNumbering"/>
      </w:pPr>
      <w:r>
        <w:t>The parties have been proactive, indeed exemplary, in addressing case management and interlocutory steps in these proceedings</w:t>
      </w:r>
      <w:r w:rsidR="00551EF2">
        <w:t xml:space="preserve">.  </w:t>
      </w:r>
      <w:r>
        <w:t xml:space="preserve">In particular, discovery has been undertaken by the Redfern schedule process and the Court </w:t>
      </w:r>
      <w:r w:rsidR="00631428">
        <w:t xml:space="preserve">has been </w:t>
      </w:r>
      <w:r>
        <w:t xml:space="preserve">obliged to resolve </w:t>
      </w:r>
      <w:r w:rsidR="00631428">
        <w:t xml:space="preserve">only </w:t>
      </w:r>
      <w:r>
        <w:t>a small number of discovery disputes.</w:t>
      </w:r>
    </w:p>
    <w:p w:rsidR="00D27FDF" w:rsidRDefault="00D27FDF" w:rsidP="004F19FD">
      <w:pPr>
        <w:pStyle w:val="ParaNumbering"/>
      </w:pPr>
      <w:r>
        <w:t>By that discovery process, JKC has in its possession documents</w:t>
      </w:r>
      <w:r w:rsidR="00792DD7">
        <w:t xml:space="preserve"> from the </w:t>
      </w:r>
      <w:proofErr w:type="spellStart"/>
      <w:r w:rsidR="00805A08">
        <w:t>AkzoNobel</w:t>
      </w:r>
      <w:proofErr w:type="spellEnd"/>
      <w:r w:rsidRPr="00D27FDF">
        <w:t xml:space="preserve"> </w:t>
      </w:r>
      <w:r w:rsidR="00792DD7">
        <w:t xml:space="preserve">parties </w:t>
      </w:r>
      <w:r w:rsidR="00907D1F">
        <w:t>that relate to Intertherm </w:t>
      </w:r>
      <w:r>
        <w:t xml:space="preserve">228, </w:t>
      </w:r>
      <w:r w:rsidR="00D61CB5">
        <w:t>some</w:t>
      </w:r>
      <w:r>
        <w:t xml:space="preserve"> of which are the subject of confidentiality agreements</w:t>
      </w:r>
      <w:r w:rsidR="00792DD7">
        <w:t xml:space="preserve"> as between JKC and the </w:t>
      </w:r>
      <w:proofErr w:type="spellStart"/>
      <w:r w:rsidR="00805A08">
        <w:t>AkzoNobel</w:t>
      </w:r>
      <w:proofErr w:type="spellEnd"/>
      <w:r w:rsidR="00792DD7">
        <w:t xml:space="preserve"> parties</w:t>
      </w:r>
      <w:r w:rsidR="00907D1F">
        <w:t>.</w:t>
      </w:r>
    </w:p>
    <w:p w:rsidR="00D27FDF" w:rsidRDefault="00D61CB5" w:rsidP="004F19FD">
      <w:pPr>
        <w:pStyle w:val="ParaNumbering"/>
      </w:pPr>
      <w:r>
        <w:t xml:space="preserve">There is potential for separate </w:t>
      </w:r>
      <w:r w:rsidR="005205BE">
        <w:t>claims</w:t>
      </w:r>
      <w:r>
        <w:t xml:space="preserve"> between I</w:t>
      </w:r>
      <w:r w:rsidR="00C41F38">
        <w:t>NPEX</w:t>
      </w:r>
      <w:r>
        <w:t xml:space="preserve"> and JKC with respect to Intertherm 228</w:t>
      </w:r>
      <w:r w:rsidR="00551EF2">
        <w:t xml:space="preserve">.  </w:t>
      </w:r>
      <w:r>
        <w:t>It is not necessary for the purpose of these reasons to detail the current position as between I</w:t>
      </w:r>
      <w:r w:rsidR="00C41F38">
        <w:t>NPEX</w:t>
      </w:r>
      <w:r>
        <w:t xml:space="preserve"> and JKC</w:t>
      </w:r>
      <w:r w:rsidR="00551EF2">
        <w:t xml:space="preserve">.  </w:t>
      </w:r>
      <w:r>
        <w:t xml:space="preserve">However, JKC has retained different lawyers for its dealings with </w:t>
      </w:r>
      <w:r w:rsidR="00C41F38">
        <w:t>INPEX</w:t>
      </w:r>
      <w:r>
        <w:t xml:space="preserve"> to those who represent them in these proceedings, and </w:t>
      </w:r>
      <w:r w:rsidR="005205BE">
        <w:t>those lawyers have</w:t>
      </w:r>
      <w:r>
        <w:t xml:space="preserve"> retained an expert </w:t>
      </w:r>
      <w:r w:rsidR="005205BE">
        <w:t xml:space="preserve">in painting/coatings </w:t>
      </w:r>
      <w:r>
        <w:t>to provide an opinion relating to coatings, including</w:t>
      </w:r>
      <w:r w:rsidR="005205BE">
        <w:t xml:space="preserve"> Intertherm 228</w:t>
      </w:r>
      <w:r w:rsidR="00551EF2">
        <w:t xml:space="preserve">.  </w:t>
      </w:r>
      <w:r w:rsidR="005205BE">
        <w:t xml:space="preserve">For ease of reference, I will refer to those matters involving the lawyers and expert as the </w:t>
      </w:r>
      <w:r w:rsidR="005205BE" w:rsidRPr="005205BE">
        <w:rPr>
          <w:b/>
        </w:rPr>
        <w:t>separate advice</w:t>
      </w:r>
      <w:r w:rsidR="005205BE">
        <w:t>.</w:t>
      </w:r>
    </w:p>
    <w:p w:rsidR="00265B54" w:rsidRDefault="00792DD7" w:rsidP="005205BE">
      <w:pPr>
        <w:pStyle w:val="ParaNumbering"/>
      </w:pPr>
      <w:r>
        <w:t xml:space="preserve">JKC contends that </w:t>
      </w:r>
      <w:r w:rsidR="005205BE">
        <w:t>28 documents</w:t>
      </w:r>
      <w:r>
        <w:t xml:space="preserve"> it has received from </w:t>
      </w:r>
      <w:r w:rsidR="00C41F38">
        <w:t xml:space="preserve">the </w:t>
      </w:r>
      <w:proofErr w:type="spellStart"/>
      <w:r w:rsidR="00805A08">
        <w:t>AkzoNobel</w:t>
      </w:r>
      <w:proofErr w:type="spellEnd"/>
      <w:r w:rsidRPr="00792DD7">
        <w:t xml:space="preserve"> </w:t>
      </w:r>
      <w:r w:rsidR="00C41F38">
        <w:t xml:space="preserve">parties </w:t>
      </w:r>
      <w:r w:rsidR="00495A3A">
        <w:t>by the discovery process</w:t>
      </w:r>
      <w:r>
        <w:t xml:space="preserve"> in these proceed</w:t>
      </w:r>
      <w:r w:rsidR="00495A3A">
        <w:t>ings</w:t>
      </w:r>
      <w:r>
        <w:t xml:space="preserve"> appear relevant to </w:t>
      </w:r>
      <w:r w:rsidR="005205BE">
        <w:t>the separate advice</w:t>
      </w:r>
      <w:r w:rsidR="00551EF2">
        <w:t xml:space="preserve">.  </w:t>
      </w:r>
      <w:r w:rsidR="00495A3A">
        <w:t>Accordingly, JKC</w:t>
      </w:r>
      <w:r w:rsidR="004A0F9E">
        <w:t xml:space="preserve"> seeks orders</w:t>
      </w:r>
      <w:r w:rsidR="00D33CA9">
        <w:t xml:space="preserve"> </w:t>
      </w:r>
      <w:r w:rsidR="004A0F9E">
        <w:t>pe</w:t>
      </w:r>
      <w:r w:rsidR="00D33CA9">
        <w:t>rm</w:t>
      </w:r>
      <w:r w:rsidR="004A0F9E">
        <w:t>itting it to be relieved of the implied undertaking</w:t>
      </w:r>
      <w:r w:rsidR="002B6538">
        <w:t xml:space="preserve"> to the </w:t>
      </w:r>
      <w:r w:rsidR="00907D1F">
        <w:t>C</w:t>
      </w:r>
      <w:r w:rsidR="002B6538">
        <w:t>ourt</w:t>
      </w:r>
      <w:r w:rsidR="004A0F9E">
        <w:t xml:space="preserve"> (</w:t>
      </w:r>
      <w:r w:rsidR="002B6538">
        <w:t xml:space="preserve">commonly known as the </w:t>
      </w:r>
      <w:r w:rsidR="002B6538" w:rsidRPr="002B6538">
        <w:rPr>
          <w:i/>
        </w:rPr>
        <w:t>Home Office v</w:t>
      </w:r>
      <w:r w:rsidR="002B6538">
        <w:t xml:space="preserve"> </w:t>
      </w:r>
      <w:r w:rsidR="004A0F9E" w:rsidRPr="00495A3A">
        <w:rPr>
          <w:i/>
        </w:rPr>
        <w:t>Harman</w:t>
      </w:r>
      <w:r w:rsidR="004A0F9E">
        <w:t xml:space="preserve"> undertaking) in respect of </w:t>
      </w:r>
      <w:r w:rsidR="00495A3A">
        <w:t>those documents</w:t>
      </w:r>
      <w:r w:rsidR="00495A3A" w:rsidRPr="00495A3A">
        <w:t xml:space="preserve"> </w:t>
      </w:r>
      <w:r w:rsidR="005205BE">
        <w:t>so that it can provide them to, relevantly, the separate lawyers (and counsel) and the expert, and for the purpose of the separate advice</w:t>
      </w:r>
      <w:r w:rsidR="00D96DC9">
        <w:t>.</w:t>
      </w:r>
    </w:p>
    <w:p w:rsidR="004A0F9E" w:rsidRDefault="004A0F9E" w:rsidP="00C83496">
      <w:pPr>
        <w:pStyle w:val="ParaNumbering"/>
      </w:pPr>
      <w:r>
        <w:t xml:space="preserve">In support of its application, </w:t>
      </w:r>
      <w:r w:rsidR="0050335C">
        <w:t xml:space="preserve">JKC relies on the affidavits of Trafford </w:t>
      </w:r>
      <w:proofErr w:type="spellStart"/>
      <w:r w:rsidR="0050335C">
        <w:t>Gazsik</w:t>
      </w:r>
      <w:proofErr w:type="spellEnd"/>
      <w:r>
        <w:t xml:space="preserve"> and</w:t>
      </w:r>
      <w:r w:rsidR="0050335C">
        <w:t xml:space="preserve"> Liam Prescott</w:t>
      </w:r>
      <w:r w:rsidR="00907D1F">
        <w:t>.</w:t>
      </w:r>
    </w:p>
    <w:p w:rsidR="00495A3A" w:rsidRDefault="00E55BC1" w:rsidP="0050335C">
      <w:pPr>
        <w:pStyle w:val="ParaNumbering"/>
      </w:pPr>
      <w:r w:rsidRPr="00E55BC1">
        <w:t>Mr </w:t>
      </w:r>
      <w:proofErr w:type="spellStart"/>
      <w:r w:rsidR="004A0F9E">
        <w:t>Gazsik</w:t>
      </w:r>
      <w:proofErr w:type="spellEnd"/>
      <w:r w:rsidR="004A0F9E">
        <w:t xml:space="preserve"> holds the position o</w:t>
      </w:r>
      <w:r w:rsidR="00D33CA9">
        <w:t xml:space="preserve">f senior </w:t>
      </w:r>
      <w:r w:rsidR="00495A3A">
        <w:t xml:space="preserve">legal counsel for JKC and </w:t>
      </w:r>
      <w:r w:rsidR="004A0F9E">
        <w:t>is responsible for the day</w:t>
      </w:r>
      <w:r w:rsidR="00D33CA9">
        <w:noBreakHyphen/>
      </w:r>
      <w:r w:rsidR="004A0F9E">
        <w:t>to</w:t>
      </w:r>
      <w:r w:rsidR="00D33CA9">
        <w:noBreakHyphen/>
      </w:r>
      <w:r w:rsidR="004A0F9E">
        <w:t>day management of the present proceeding</w:t>
      </w:r>
      <w:r w:rsidR="00551EF2">
        <w:t xml:space="preserve">.  </w:t>
      </w:r>
      <w:r w:rsidR="00495A3A">
        <w:t>I therefore infer that he has a good understanding of the matters in issue in these proceedings and so understands the significance of the documents that h</w:t>
      </w:r>
      <w:r w:rsidR="00C41F38">
        <w:t xml:space="preserve">ave been discovered by the </w:t>
      </w:r>
      <w:proofErr w:type="spellStart"/>
      <w:r w:rsidR="00C41F38">
        <w:t>AkzoNobel</w:t>
      </w:r>
      <w:proofErr w:type="spellEnd"/>
      <w:r w:rsidR="00495A3A">
        <w:t xml:space="preserve"> parties.</w:t>
      </w:r>
    </w:p>
    <w:p w:rsidR="00265B54" w:rsidRDefault="00495A3A" w:rsidP="0050335C">
      <w:pPr>
        <w:pStyle w:val="ParaNumbering"/>
      </w:pPr>
      <w:r>
        <w:t>He deposes to the fact that</w:t>
      </w:r>
      <w:r w:rsidR="004A0F9E">
        <w:t xml:space="preserve"> </w:t>
      </w:r>
      <w:r>
        <w:t xml:space="preserve">the </w:t>
      </w:r>
      <w:r w:rsidR="00080D3D">
        <w:t>relevant d</w:t>
      </w:r>
      <w:r>
        <w:t>ocuments</w:t>
      </w:r>
      <w:r w:rsidR="00080D3D">
        <w:t xml:space="preserve"> (</w:t>
      </w:r>
      <w:r w:rsidR="00080D3D" w:rsidRPr="00080D3D">
        <w:rPr>
          <w:b/>
        </w:rPr>
        <w:t>Documents</w:t>
      </w:r>
      <w:r w:rsidR="00080D3D">
        <w:t>)</w:t>
      </w:r>
      <w:r w:rsidR="004A0F9E">
        <w:t xml:space="preserve"> </w:t>
      </w:r>
      <w:r>
        <w:t>fall within</w:t>
      </w:r>
      <w:r w:rsidR="00265B54">
        <w:t xml:space="preserve"> three categories</w:t>
      </w:r>
      <w:r w:rsidR="00907D1F">
        <w:t>:</w:t>
      </w:r>
    </w:p>
    <w:p w:rsidR="00265B54" w:rsidRDefault="00265B54" w:rsidP="00265B54">
      <w:pPr>
        <w:pStyle w:val="ListNo2"/>
      </w:pPr>
      <w:r>
        <w:t>coating defects c</w:t>
      </w:r>
      <w:r w:rsidR="004A0F9E">
        <w:t>orrespondence</w:t>
      </w:r>
      <w:r>
        <w:t xml:space="preserve">, being correspondence between relevant identified parties that records or refers to the nature and extent of alleged coating defects, </w:t>
      </w:r>
      <w:r w:rsidR="00907D1F">
        <w:t>including testing of Intertherm </w:t>
      </w:r>
      <w:r>
        <w:t>228 and possible rectification solutions;</w:t>
      </w:r>
    </w:p>
    <w:p w:rsidR="00265B54" w:rsidRDefault="00265B54" w:rsidP="00265B54">
      <w:pPr>
        <w:pStyle w:val="ListNo2"/>
      </w:pPr>
      <w:r>
        <w:lastRenderedPageBreak/>
        <w:t xml:space="preserve">specified tests, being testing reports and presentations performed by the </w:t>
      </w:r>
      <w:proofErr w:type="spellStart"/>
      <w:r w:rsidR="00805A08">
        <w:t>AkzoNobel</w:t>
      </w:r>
      <w:proofErr w:type="spellEnd"/>
      <w:r>
        <w:t xml:space="preserve"> parties or on their behalf relating to the alleged coating defects and the merits</w:t>
      </w:r>
      <w:r w:rsidR="00907D1F">
        <w:t xml:space="preserve"> of possible rectification; and</w:t>
      </w:r>
    </w:p>
    <w:p w:rsidR="00265B54" w:rsidRDefault="00265B54" w:rsidP="00265B54">
      <w:pPr>
        <w:pStyle w:val="ListNo2"/>
      </w:pPr>
      <w:r>
        <w:t>f</w:t>
      </w:r>
      <w:r w:rsidR="00E55BC1">
        <w:t>orm</w:t>
      </w:r>
      <w:r>
        <w:t xml:space="preserve">ulation documents, being </w:t>
      </w:r>
      <w:r w:rsidR="00080D3D">
        <w:t>documents</w:t>
      </w:r>
      <w:r>
        <w:t xml:space="preserve"> prepared by </w:t>
      </w:r>
      <w:r w:rsidR="00805A08">
        <w:t xml:space="preserve">INPEX </w:t>
      </w:r>
      <w:r>
        <w:t>or related parties</w:t>
      </w:r>
      <w:r w:rsidR="00080D3D">
        <w:t>,</w:t>
      </w:r>
      <w:r>
        <w:t xml:space="preserve"> o</w:t>
      </w:r>
      <w:r w:rsidR="00080D3D">
        <w:t>r</w:t>
      </w:r>
      <w:r>
        <w:t xml:space="preserve"> the subject of </w:t>
      </w:r>
      <w:r w:rsidR="00080D3D">
        <w:t>communications</w:t>
      </w:r>
      <w:r>
        <w:t xml:space="preserve"> between them and the </w:t>
      </w:r>
      <w:proofErr w:type="spellStart"/>
      <w:r w:rsidR="00805A08">
        <w:t>AkzoNobel</w:t>
      </w:r>
      <w:proofErr w:type="spellEnd"/>
      <w:r>
        <w:t xml:space="preserve"> parties</w:t>
      </w:r>
      <w:r w:rsidR="00080D3D">
        <w:t>,</w:t>
      </w:r>
      <w:r>
        <w:t xml:space="preserve"> </w:t>
      </w:r>
      <w:r w:rsidR="00080D3D">
        <w:t>that refer</w:t>
      </w:r>
      <w:r>
        <w:t xml:space="preserve"> </w:t>
      </w:r>
      <w:r w:rsidR="00080D3D">
        <w:t>t</w:t>
      </w:r>
      <w:r>
        <w:t xml:space="preserve">o the formulation and </w:t>
      </w:r>
      <w:r w:rsidR="00080D3D">
        <w:t>constituent</w:t>
      </w:r>
      <w:r w:rsidR="00907D1F">
        <w:t xml:space="preserve"> parts of the Intertherm </w:t>
      </w:r>
      <w:r>
        <w:t xml:space="preserve">228 </w:t>
      </w:r>
      <w:r w:rsidR="00080D3D">
        <w:t>supplied</w:t>
      </w:r>
      <w:r>
        <w:t xml:space="preserve"> an</w:t>
      </w:r>
      <w:r w:rsidR="00080D3D">
        <w:t>d use</w:t>
      </w:r>
      <w:r>
        <w:t>d</w:t>
      </w:r>
      <w:r w:rsidR="00080D3D">
        <w:t xml:space="preserve"> </w:t>
      </w:r>
      <w:r>
        <w:t>on the project</w:t>
      </w:r>
      <w:r w:rsidR="00907D1F">
        <w:t>.</w:t>
      </w:r>
    </w:p>
    <w:p w:rsidR="00495A3A" w:rsidRDefault="00080D3D" w:rsidP="00265B54">
      <w:pPr>
        <w:pStyle w:val="ParaNumbering"/>
      </w:pPr>
      <w:r>
        <w:t xml:space="preserve">The </w:t>
      </w:r>
      <w:r w:rsidR="00975B58">
        <w:t>D</w:t>
      </w:r>
      <w:r>
        <w:t>ocuments are not of the type that are publicly available or generally available to the industry</w:t>
      </w:r>
      <w:r w:rsidR="00907D1F">
        <w:t>.</w:t>
      </w:r>
    </w:p>
    <w:p w:rsidR="004A0F9E" w:rsidRDefault="00E55BC1" w:rsidP="0050335C">
      <w:pPr>
        <w:pStyle w:val="ParaNumbering"/>
      </w:pPr>
      <w:r w:rsidRPr="00E55BC1">
        <w:t>Mr </w:t>
      </w:r>
      <w:proofErr w:type="spellStart"/>
      <w:r w:rsidR="00495A3A">
        <w:t>Gazsik</w:t>
      </w:r>
      <w:proofErr w:type="spellEnd"/>
      <w:r w:rsidR="00495A3A">
        <w:t xml:space="preserve"> also explained</w:t>
      </w:r>
      <w:r w:rsidR="004A0F9E">
        <w:t xml:space="preserve"> that to the extent that the Documents</w:t>
      </w:r>
      <w:r w:rsidR="00D33CA9">
        <w:t xml:space="preserve"> </w:t>
      </w:r>
      <w:r w:rsidR="004A0F9E">
        <w:t xml:space="preserve">contain information that is confidential to the </w:t>
      </w:r>
      <w:proofErr w:type="spellStart"/>
      <w:r w:rsidR="00805A08">
        <w:t>AkzoNobel</w:t>
      </w:r>
      <w:proofErr w:type="spellEnd"/>
      <w:r w:rsidR="00495A3A">
        <w:t xml:space="preserve"> parties then</w:t>
      </w:r>
      <w:r w:rsidR="004A0F9E">
        <w:t xml:space="preserve"> </w:t>
      </w:r>
      <w:r w:rsidR="00495A3A">
        <w:t xml:space="preserve">it accepts that it is appropriate that there be </w:t>
      </w:r>
      <w:r w:rsidR="004A0F9E">
        <w:t>a confidentiality regime</w:t>
      </w:r>
      <w:r w:rsidR="00D33CA9">
        <w:t xml:space="preserve"> </w:t>
      </w:r>
      <w:r w:rsidR="00495A3A">
        <w:t>in place to protect such confidentiality</w:t>
      </w:r>
      <w:r w:rsidR="004A0F9E">
        <w:t>.</w:t>
      </w:r>
    </w:p>
    <w:p w:rsidR="004A0F9E" w:rsidRDefault="00E55BC1" w:rsidP="0050335C">
      <w:pPr>
        <w:pStyle w:val="ParaNumbering"/>
      </w:pPr>
      <w:r w:rsidRPr="00E55BC1">
        <w:t>Mr </w:t>
      </w:r>
      <w:r w:rsidR="004A0F9E">
        <w:t xml:space="preserve">Prescott </w:t>
      </w:r>
      <w:r w:rsidR="00C41F38">
        <w:t>is a partner of</w:t>
      </w:r>
      <w:r w:rsidR="00634698">
        <w:t xml:space="preserve"> the law firm DLA Piper and is the solicitor for </w:t>
      </w:r>
      <w:r w:rsidR="004A0F9E">
        <w:t xml:space="preserve">JKC </w:t>
      </w:r>
      <w:r w:rsidR="005205BE">
        <w:t>for the purpose of the separate advice</w:t>
      </w:r>
      <w:r w:rsidR="00551EF2">
        <w:t xml:space="preserve">.  </w:t>
      </w:r>
      <w:r w:rsidRPr="00E55BC1">
        <w:t>Mr </w:t>
      </w:r>
      <w:r w:rsidR="004A0F9E">
        <w:t>Prescott</w:t>
      </w:r>
      <w:r w:rsidR="00634698">
        <w:t>'s evidence is to the effect that</w:t>
      </w:r>
      <w:r w:rsidR="004A0F9E">
        <w:t xml:space="preserve"> he has spoken</w:t>
      </w:r>
      <w:r w:rsidR="00D33CA9">
        <w:t xml:space="preserve"> </w:t>
      </w:r>
      <w:r w:rsidR="004A0F9E">
        <w:t>to the coatings expe</w:t>
      </w:r>
      <w:r w:rsidR="00D33CA9">
        <w:t>rt</w:t>
      </w:r>
      <w:r w:rsidR="004A0F9E">
        <w:t xml:space="preserve"> engaged by JKC, who has indicated that certain types of</w:t>
      </w:r>
      <w:r w:rsidR="00D33CA9">
        <w:t xml:space="preserve"> </w:t>
      </w:r>
      <w:r w:rsidR="004A0F9E">
        <w:t xml:space="preserve">documents (which fall within the </w:t>
      </w:r>
      <w:r w:rsidR="00634698">
        <w:t>three</w:t>
      </w:r>
      <w:r w:rsidR="004A0F9E">
        <w:t xml:space="preserve"> </w:t>
      </w:r>
      <w:r w:rsidR="00634698">
        <w:t>categories referred to</w:t>
      </w:r>
      <w:r w:rsidR="004A0F9E">
        <w:t xml:space="preserve">) would assist in </w:t>
      </w:r>
      <w:r w:rsidR="00C41F38">
        <w:t>his preparation of</w:t>
      </w:r>
      <w:r w:rsidR="005205BE">
        <w:t xml:space="preserve"> a report.</w:t>
      </w:r>
    </w:p>
    <w:p w:rsidR="00634698" w:rsidRDefault="00907D1F" w:rsidP="0050335C">
      <w:pPr>
        <w:pStyle w:val="ParaNumbering"/>
      </w:pPr>
      <w:r>
        <w:t>I should add that Mr </w:t>
      </w:r>
      <w:r w:rsidR="00634698">
        <w:t>Prescott set out in his affidavit relevant extracts from his communications with the expert which support the matters to which he has deposed.</w:t>
      </w:r>
    </w:p>
    <w:p w:rsidR="0050335C" w:rsidRDefault="00907D1F" w:rsidP="005205BE">
      <w:pPr>
        <w:pStyle w:val="ParaNumbering"/>
      </w:pPr>
      <w:r>
        <w:t>Further, Mr </w:t>
      </w:r>
      <w:r w:rsidR="00634698">
        <w:t xml:space="preserve">Prescott deposes to the fact that it would be possible to obtain the Documents separately </w:t>
      </w:r>
      <w:r w:rsidR="00975B58">
        <w:t>through other means such as pre</w:t>
      </w:r>
      <w:r w:rsidR="00975B58">
        <w:noBreakHyphen/>
      </w:r>
      <w:r w:rsidR="00634698">
        <w:t>acti</w:t>
      </w:r>
      <w:r w:rsidR="00975B58">
        <w:t>on third party discovery o</w:t>
      </w:r>
      <w:r w:rsidR="00631428">
        <w:t>r</w:t>
      </w:r>
      <w:r w:rsidR="00975B58">
        <w:t xml:space="preserve"> pre</w:t>
      </w:r>
      <w:r w:rsidR="00975B58">
        <w:noBreakHyphen/>
      </w:r>
      <w:r w:rsidR="00634698">
        <w:t xml:space="preserve">action subpoenas for documents likely to have been created and held by coating designers and manufacturers in the position of the </w:t>
      </w:r>
      <w:proofErr w:type="spellStart"/>
      <w:r w:rsidR="00805A08">
        <w:t>AkzoNobel</w:t>
      </w:r>
      <w:proofErr w:type="spellEnd"/>
      <w:r w:rsidR="00634698">
        <w:t xml:space="preserve"> </w:t>
      </w:r>
      <w:r w:rsidR="005205BE">
        <w:t>parties,</w:t>
      </w:r>
      <w:r w:rsidR="00634698">
        <w:t xml:space="preserve"> but that if it were required to take such steps</w:t>
      </w:r>
      <w:r w:rsidR="00631428">
        <w:t>,</w:t>
      </w:r>
      <w:r w:rsidR="00634698">
        <w:t xml:space="preserve"> </w:t>
      </w:r>
      <w:r w:rsidR="00C10EDF">
        <w:t>additional costs</w:t>
      </w:r>
      <w:r w:rsidR="00634698">
        <w:t xml:space="preserve"> </w:t>
      </w:r>
      <w:r w:rsidR="00C10EDF">
        <w:t>would be incurred and there would be delays in dealing with the separate advice.</w:t>
      </w:r>
    </w:p>
    <w:p w:rsidR="004A0F9E" w:rsidRDefault="004A0F9E" w:rsidP="00D33CA9">
      <w:pPr>
        <w:pStyle w:val="Heading2"/>
      </w:pPr>
      <w:r>
        <w:t>R</w:t>
      </w:r>
      <w:r w:rsidR="00D33CA9">
        <w:t>elevant principles</w:t>
      </w:r>
    </w:p>
    <w:p w:rsidR="004A0F9E" w:rsidRDefault="004A0F9E" w:rsidP="004A0F9E">
      <w:pPr>
        <w:pStyle w:val="ParaNumbering"/>
      </w:pPr>
      <w:r>
        <w:t>The relevant principles are uncontroversial.</w:t>
      </w:r>
    </w:p>
    <w:p w:rsidR="002B6538" w:rsidRDefault="002B6538" w:rsidP="002B6538">
      <w:pPr>
        <w:pStyle w:val="ParaNumbering"/>
      </w:pPr>
      <w:r>
        <w:t xml:space="preserve">The implied undertaking to the </w:t>
      </w:r>
      <w:r w:rsidR="00975B58">
        <w:t>C</w:t>
      </w:r>
      <w:r>
        <w:t>ourt is d</w:t>
      </w:r>
      <w:r w:rsidRPr="00794782">
        <w:t>erived from the substantive legal obligation imposed on a party to litigation who obtains documents or information as a result of the compulsory processes of a court not to use them for any other purpose without leave of that court</w:t>
      </w:r>
      <w:r w:rsidR="00907D1F">
        <w:t xml:space="preserve">:  </w:t>
      </w:r>
      <w:r w:rsidRPr="00204177">
        <w:rPr>
          <w:bCs/>
          <w:i/>
          <w:iCs/>
        </w:rPr>
        <w:t xml:space="preserve">Hearne </w:t>
      </w:r>
      <w:r w:rsidRPr="00204177">
        <w:rPr>
          <w:bCs/>
          <w:i/>
          <w:iCs/>
        </w:rPr>
        <w:lastRenderedPageBreak/>
        <w:t>v Street</w:t>
      </w:r>
      <w:r w:rsidRPr="00204177">
        <w:t xml:space="preserve"> [2008] HCA 36; (2008) 235 CLR 125</w:t>
      </w:r>
      <w:r w:rsidRPr="00794782">
        <w:t xml:space="preserve"> at</w:t>
      </w:r>
      <w:r w:rsidR="00975B58">
        <w:t> </w:t>
      </w:r>
      <w:r w:rsidRPr="00794782">
        <w:t>[96]</w:t>
      </w:r>
      <w:r w:rsidR="00975B58">
        <w:t xml:space="preserve">, </w:t>
      </w:r>
      <w:r>
        <w:t>[106]</w:t>
      </w:r>
      <w:r w:rsidRPr="00FD4300">
        <w:t>;</w:t>
      </w:r>
      <w:r w:rsidRPr="00794782">
        <w:t xml:space="preserve"> </w:t>
      </w:r>
      <w:r w:rsidRPr="00204177">
        <w:rPr>
          <w:i/>
          <w:iCs/>
        </w:rPr>
        <w:t>Harman v Secretary of State for the Home Department</w:t>
      </w:r>
      <w:r w:rsidRPr="00204177">
        <w:t xml:space="preserve"> [1983] 1 AC 280; [1982] 2 WLR 338</w:t>
      </w:r>
      <w:r w:rsidRPr="00794782">
        <w:t>.</w:t>
      </w:r>
    </w:p>
    <w:p w:rsidR="002B6538" w:rsidRDefault="002B6538" w:rsidP="00975B58">
      <w:pPr>
        <w:pStyle w:val="ParaNumbering"/>
        <w:keepNext/>
      </w:pPr>
      <w:r>
        <w:t xml:space="preserve">In </w:t>
      </w:r>
      <w:r w:rsidRPr="00204177">
        <w:rPr>
          <w:i/>
        </w:rPr>
        <w:t xml:space="preserve">Liberty Funding Pty Ltd v Phoenix Capital Ltd </w:t>
      </w:r>
      <w:r w:rsidRPr="00204177">
        <w:t>[2005] FCAFC 3</w:t>
      </w:r>
      <w:r>
        <w:t>, the Full Court explained what is required to be released from the implied undertaking as follows:</w:t>
      </w:r>
    </w:p>
    <w:p w:rsidR="002B6538" w:rsidRDefault="00975B58" w:rsidP="00975B58">
      <w:pPr>
        <w:pStyle w:val="Quote1"/>
        <w:widowControl/>
        <w:ind w:left="1440" w:hanging="703"/>
      </w:pPr>
      <w:r>
        <w:t>[31]</w:t>
      </w:r>
      <w:r>
        <w:tab/>
      </w:r>
      <w:r w:rsidR="002B6538">
        <w:t xml:space="preserve">In order to be released from the implied undertaking it has been said that a party in the position of the appellants must show </w:t>
      </w:r>
      <w:r>
        <w:t>'</w:t>
      </w:r>
      <w:r w:rsidR="002B6538">
        <w:t>special circumstances</w:t>
      </w:r>
      <w:r>
        <w:t>'</w:t>
      </w:r>
      <w:r w:rsidR="00907D1F">
        <w:t xml:space="preserve">:  </w:t>
      </w:r>
      <w:r w:rsidR="002B6538">
        <w:t xml:space="preserve">see, for example, </w:t>
      </w:r>
      <w:r w:rsidR="002B6538" w:rsidRPr="00527A1F">
        <w:rPr>
          <w:i/>
        </w:rPr>
        <w:t xml:space="preserve">Springfield Nominees Pty Ltd v </w:t>
      </w:r>
      <w:proofErr w:type="spellStart"/>
      <w:r w:rsidR="002B6538" w:rsidRPr="00527A1F">
        <w:rPr>
          <w:i/>
        </w:rPr>
        <w:t>Bridgelands</w:t>
      </w:r>
      <w:proofErr w:type="spellEnd"/>
      <w:r w:rsidR="002B6538" w:rsidRPr="00527A1F">
        <w:rPr>
          <w:i/>
        </w:rPr>
        <w:t xml:space="preserve"> Securities Ltd</w:t>
      </w:r>
      <w:r w:rsidR="002B6538">
        <w:t xml:space="preserve"> (1992) 38 FCR 217</w:t>
      </w:r>
      <w:r w:rsidR="00551EF2">
        <w:t xml:space="preserve">.  </w:t>
      </w:r>
      <w:r w:rsidR="002B6538">
        <w:t>It is unnecessary to examine the authorities in this area in any detail</w:t>
      </w:r>
      <w:r w:rsidR="00551EF2">
        <w:t xml:space="preserve">.  </w:t>
      </w:r>
      <w:r w:rsidR="002B6538">
        <w:t>The parties were not in disagreement as to the legal principles</w:t>
      </w:r>
      <w:r w:rsidR="00551EF2">
        <w:t xml:space="preserve">.  </w:t>
      </w:r>
      <w:r w:rsidR="002B6538">
        <w:t xml:space="preserve">The notion of </w:t>
      </w:r>
      <w:r>
        <w:t>'</w:t>
      </w:r>
      <w:r w:rsidR="002B6538">
        <w:t>special circumstances</w:t>
      </w:r>
      <w:r>
        <w:t>'</w:t>
      </w:r>
      <w:r w:rsidR="002B6538">
        <w:t xml:space="preserve"> does not require that some extraordinary factors must bear on the question before the discretion will be exercised</w:t>
      </w:r>
      <w:r w:rsidR="00551EF2">
        <w:t xml:space="preserve">.  </w:t>
      </w:r>
      <w:r w:rsidR="002B6538">
        <w:t>It is sufficient to say that, in all the circumstances, good reason must be shown why, contrary to the usual position, documents produced or information obtained in one piece of litigation should be used for the advantage of a party in another piece of litigation or for other non-litigious purposes</w:t>
      </w:r>
      <w:r w:rsidR="00551EF2">
        <w:t xml:space="preserve">.  </w:t>
      </w:r>
      <w:r w:rsidR="002B6538">
        <w:t>The discretion is a broad one and all the circumstances of the case must be examined</w:t>
      </w:r>
      <w:r w:rsidR="00551EF2">
        <w:t xml:space="preserve">.  </w:t>
      </w:r>
      <w:r w:rsidR="002B6538">
        <w:t xml:space="preserve">In </w:t>
      </w:r>
      <w:r w:rsidR="002B6538" w:rsidRPr="00527A1F">
        <w:rPr>
          <w:i/>
        </w:rPr>
        <w:t>Springfield Nominees</w:t>
      </w:r>
      <w:r w:rsidR="002B6538">
        <w:t>, Wilcox J identified a number of considerations which may, depending upon the circumstances, be relevant to the exercise of the discretion</w:t>
      </w:r>
      <w:r w:rsidR="00551EF2">
        <w:t xml:space="preserve">.  </w:t>
      </w:r>
      <w:r w:rsidR="002B6538">
        <w:t>These were:</w:t>
      </w:r>
    </w:p>
    <w:p w:rsidR="002B6538" w:rsidRDefault="00975B58" w:rsidP="00975B58">
      <w:pPr>
        <w:pStyle w:val="Quote2Bullet"/>
      </w:pPr>
      <w:r>
        <w:t>the nature of the document;</w:t>
      </w:r>
    </w:p>
    <w:p w:rsidR="002B6538" w:rsidRDefault="002B6538" w:rsidP="00975B58">
      <w:pPr>
        <w:pStyle w:val="Quote2Bullet"/>
      </w:pPr>
      <w:r>
        <w:t>the circumstances under which th</w:t>
      </w:r>
      <w:r w:rsidR="00975B58">
        <w:t>e document came into existence;</w:t>
      </w:r>
    </w:p>
    <w:p w:rsidR="002B6538" w:rsidRDefault="002B6538" w:rsidP="00975B58">
      <w:pPr>
        <w:pStyle w:val="Quote2Bullet"/>
      </w:pPr>
      <w:r>
        <w:t>the attitude of the author of the document and any pr</w:t>
      </w:r>
      <w:r w:rsidR="00975B58">
        <w:t>ejudice the author may sustain;</w:t>
      </w:r>
    </w:p>
    <w:p w:rsidR="002B6538" w:rsidRDefault="002B6538" w:rsidP="00975B58">
      <w:pPr>
        <w:pStyle w:val="Quote2Bullet"/>
      </w:pPr>
      <w:r>
        <w:t>whether the document pre-existed litigation or was created for that purpose and therefore expec</w:t>
      </w:r>
      <w:r w:rsidR="00975B58">
        <w:t>ted to enter the public domain;</w:t>
      </w:r>
    </w:p>
    <w:p w:rsidR="002B6538" w:rsidRDefault="002B6538" w:rsidP="00975B58">
      <w:pPr>
        <w:pStyle w:val="Quote2Bullet"/>
      </w:pPr>
      <w:r>
        <w:t>the nature of the information in the document (in particular whether it contains personal data or commercially sensitive information)</w:t>
      </w:r>
      <w:r w:rsidR="00975B58">
        <w:t>;</w:t>
      </w:r>
    </w:p>
    <w:p w:rsidR="002B6538" w:rsidRDefault="002B6538" w:rsidP="00975B58">
      <w:pPr>
        <w:pStyle w:val="Quote2Bullet"/>
      </w:pPr>
      <w:r>
        <w:t xml:space="preserve">the circumstances in which the document came in to </w:t>
      </w:r>
      <w:r w:rsidR="00975B58">
        <w:t>the hands of the applicant; and</w:t>
      </w:r>
    </w:p>
    <w:p w:rsidR="002B6538" w:rsidRDefault="002B6538" w:rsidP="00975B58">
      <w:pPr>
        <w:pStyle w:val="Quote2Bullet"/>
        <w:spacing w:after="360"/>
      </w:pPr>
      <w:r>
        <w:t>most importantly of all, the likely contribution of the document to achieving justice in the other proceeding.</w:t>
      </w:r>
    </w:p>
    <w:p w:rsidR="00C10EDF" w:rsidRDefault="00C10EDF" w:rsidP="00C10EDF">
      <w:pPr>
        <w:pStyle w:val="ParaNumbering"/>
      </w:pPr>
      <w:r>
        <w:t xml:space="preserve">Examples of more recent applications of the principles include </w:t>
      </w:r>
      <w:r w:rsidRPr="00551EF2">
        <w:rPr>
          <w:i/>
        </w:rPr>
        <w:t xml:space="preserve">Corbett v Corbett Court Pty Ltd, in the matter of Corbett Court Pty Ltd </w:t>
      </w:r>
      <w:r w:rsidRPr="00551EF2">
        <w:t>[2017] FCA 718</w:t>
      </w:r>
      <w:r>
        <w:t xml:space="preserve"> and </w:t>
      </w:r>
      <w:r w:rsidRPr="00551EF2">
        <w:rPr>
          <w:i/>
        </w:rPr>
        <w:t xml:space="preserve">Blucher on behalf of the </w:t>
      </w:r>
      <w:proofErr w:type="spellStart"/>
      <w:r w:rsidRPr="00551EF2">
        <w:rPr>
          <w:i/>
        </w:rPr>
        <w:t>Gaangala</w:t>
      </w:r>
      <w:proofErr w:type="spellEnd"/>
      <w:r w:rsidRPr="00551EF2">
        <w:rPr>
          <w:i/>
        </w:rPr>
        <w:t xml:space="preserve"> Nation People v State of Queensland </w:t>
      </w:r>
      <w:r w:rsidRPr="00551EF2">
        <w:t>[2018] FCA 1621</w:t>
      </w:r>
      <w:r>
        <w:rPr>
          <w:i/>
        </w:rPr>
        <w:t>.</w:t>
      </w:r>
    </w:p>
    <w:p w:rsidR="002B6538" w:rsidRDefault="002B6538" w:rsidP="0050335C">
      <w:pPr>
        <w:pStyle w:val="ParaNumbering"/>
      </w:pPr>
      <w:r>
        <w:t xml:space="preserve">In this case, the two factors of particular importance are the confidential nature of some of the Documents, and the likely contribution of the Documents to </w:t>
      </w:r>
      <w:r w:rsidR="00C10EDF">
        <w:t>the separate advice and therefore the position as between INPEX and JKC</w:t>
      </w:r>
      <w:r w:rsidR="00805A08">
        <w:t>.</w:t>
      </w:r>
    </w:p>
    <w:p w:rsidR="00F553C8" w:rsidRDefault="002B6538" w:rsidP="0050335C">
      <w:pPr>
        <w:pStyle w:val="ParaNumbering"/>
      </w:pPr>
      <w:r>
        <w:lastRenderedPageBreak/>
        <w:t>JKC accepts</w:t>
      </w:r>
      <w:r w:rsidR="004A0F9E">
        <w:t xml:space="preserve"> that some of the Documents contain info</w:t>
      </w:r>
      <w:r w:rsidR="00D33CA9">
        <w:t>rma</w:t>
      </w:r>
      <w:r w:rsidR="004A0F9E">
        <w:t xml:space="preserve">tion that is confidential to the </w:t>
      </w:r>
      <w:proofErr w:type="spellStart"/>
      <w:r w:rsidR="00631428">
        <w:t>AkzoNobel</w:t>
      </w:r>
      <w:proofErr w:type="spellEnd"/>
      <w:r w:rsidR="00631428">
        <w:t xml:space="preserve"> parties</w:t>
      </w:r>
      <w:r w:rsidR="00551EF2">
        <w:t xml:space="preserve">.  </w:t>
      </w:r>
      <w:r w:rsidR="00F553C8">
        <w:t xml:space="preserve">With respect to those identified documents, </w:t>
      </w:r>
      <w:r w:rsidR="004A0F9E">
        <w:t>JKC</w:t>
      </w:r>
      <w:r w:rsidR="00D33CA9">
        <w:t xml:space="preserve"> </w:t>
      </w:r>
      <w:r w:rsidR="00F553C8">
        <w:t>proposes a confidentially regime whereby such documents can only be provided to officers or employees of JKC, external lawyers or counsel and their respective administrative staff, in</w:t>
      </w:r>
      <w:r w:rsidR="00975B58">
        <w:noBreakHyphen/>
      </w:r>
      <w:r w:rsidR="00F553C8">
        <w:t>house lawyers employed by JKC and any expert retained by JKC and only where they are engaged by JKC to advise in relation to a 'permitted use' and have signed an approved confidentiality undertaking</w:t>
      </w:r>
      <w:r w:rsidR="00975B58">
        <w:t>.</w:t>
      </w:r>
    </w:p>
    <w:p w:rsidR="00C10EDF" w:rsidRDefault="00F553C8" w:rsidP="000E791C">
      <w:pPr>
        <w:pStyle w:val="ParaNumbering"/>
      </w:pPr>
      <w:r>
        <w:t>In my view</w:t>
      </w:r>
      <w:r w:rsidR="00631428">
        <w:t>,</w:t>
      </w:r>
      <w:r>
        <w:t xml:space="preserve"> access to the Documents as proposed by JKC is likely to contribute</w:t>
      </w:r>
      <w:r w:rsidR="004A0F9E">
        <w:t xml:space="preserve"> to </w:t>
      </w:r>
      <w:r w:rsidR="00C10EDF">
        <w:t>the separate advice and therefore the position as between INPEX and JKC, and is accordingly in the interests of justice as between those parties</w:t>
      </w:r>
      <w:r w:rsidR="00551EF2">
        <w:t xml:space="preserve">.  </w:t>
      </w:r>
      <w:r w:rsidR="004A0F9E">
        <w:t xml:space="preserve">The evidence of </w:t>
      </w:r>
      <w:r w:rsidR="00E55BC1" w:rsidRPr="00E55BC1">
        <w:t>Mr </w:t>
      </w:r>
      <w:proofErr w:type="spellStart"/>
      <w:r w:rsidR="004A0F9E">
        <w:t>Gazsik</w:t>
      </w:r>
      <w:proofErr w:type="spellEnd"/>
      <w:r w:rsidR="004A0F9E">
        <w:t xml:space="preserve"> and</w:t>
      </w:r>
      <w:r w:rsidR="0050335C">
        <w:t xml:space="preserve"> </w:t>
      </w:r>
      <w:r w:rsidR="00E55BC1" w:rsidRPr="00E55BC1">
        <w:t>Mr </w:t>
      </w:r>
      <w:r w:rsidR="0050335C">
        <w:t>Prescott</w:t>
      </w:r>
      <w:r w:rsidR="00386D6F">
        <w:t xml:space="preserve"> </w:t>
      </w:r>
      <w:r w:rsidR="0050335C">
        <w:t>persuades me</w:t>
      </w:r>
      <w:r w:rsidR="004A0F9E">
        <w:t xml:space="preserve"> that the provision of the Documents to the </w:t>
      </w:r>
      <w:r w:rsidR="0050335C">
        <w:t xml:space="preserve">lawyers and </w:t>
      </w:r>
      <w:r w:rsidR="004A0F9E">
        <w:t>expert</w:t>
      </w:r>
      <w:r w:rsidR="0050335C">
        <w:t>s</w:t>
      </w:r>
      <w:r w:rsidR="00386D6F">
        <w:t xml:space="preserve"> </w:t>
      </w:r>
      <w:r w:rsidR="004A0F9E">
        <w:t xml:space="preserve">engaged by JKC will enable the </w:t>
      </w:r>
      <w:r w:rsidR="00C10EDF">
        <w:t>separate advice to proceed</w:t>
      </w:r>
      <w:r w:rsidR="0050335C">
        <w:t xml:space="preserve"> with the benefit of important information</w:t>
      </w:r>
      <w:r w:rsidR="00551EF2">
        <w:t xml:space="preserve">.  </w:t>
      </w:r>
      <w:r w:rsidR="0050335C">
        <w:t>The subject matter of the Documents, as is apparent from the three defined categories, is likely to be directly relevant to that task</w:t>
      </w:r>
      <w:r w:rsidR="00551EF2">
        <w:t xml:space="preserve">.  </w:t>
      </w:r>
      <w:r w:rsidR="0050335C">
        <w:t xml:space="preserve">I note that such advice from an expert may also be of assistance in the proceedings between JKC and the </w:t>
      </w:r>
      <w:proofErr w:type="spellStart"/>
      <w:r w:rsidR="00805A08">
        <w:t>AkzoNobel</w:t>
      </w:r>
      <w:proofErr w:type="spellEnd"/>
      <w:r w:rsidR="0050335C">
        <w:t xml:space="preserve"> parties</w:t>
      </w:r>
      <w:r w:rsidR="00631428">
        <w:t>.</w:t>
      </w:r>
    </w:p>
    <w:p w:rsidR="004A0F9E" w:rsidRDefault="0050335C" w:rsidP="000E791C">
      <w:pPr>
        <w:pStyle w:val="ParaNumbering"/>
      </w:pPr>
      <w:r>
        <w:t>Particularly in circumstances where copies of the Documents could in any event be sought by JKC through the use of other pre</w:t>
      </w:r>
      <w:r w:rsidR="00204177">
        <w:noBreakHyphen/>
      </w:r>
      <w:r>
        <w:t>trial tools, it seem to me to be sensible and in the interests of justice to grant the orders ought.</w:t>
      </w:r>
    </w:p>
    <w:p w:rsidR="005205BE" w:rsidRDefault="005205BE" w:rsidP="0050335C">
      <w:pPr>
        <w:pStyle w:val="ParaNumbering"/>
      </w:pPr>
      <w:r>
        <w:t xml:space="preserve">I add that the </w:t>
      </w:r>
      <w:proofErr w:type="spellStart"/>
      <w:r>
        <w:t>AkzoNobel</w:t>
      </w:r>
      <w:proofErr w:type="spellEnd"/>
      <w:r>
        <w:t xml:space="preserve"> parties appeared but made no submissions with respect to JKC's application</w:t>
      </w:r>
      <w:r w:rsidR="00C10EDF">
        <w:t xml:space="preserve"> and indicated through counsel that t</w:t>
      </w:r>
      <w:r w:rsidR="00631428">
        <w:t>hey</w:t>
      </w:r>
      <w:r w:rsidR="00C10EDF">
        <w:t xml:space="preserve"> neither consented to nor opposed the grant of the orders.</w:t>
      </w:r>
    </w:p>
    <w:p w:rsidR="00551EF2" w:rsidRDefault="00551EF2" w:rsidP="00815065">
      <w:pPr>
        <w:pStyle w:val="BodyText"/>
      </w:pPr>
      <w:bookmarkStart w:id="20" w:name="Certification"/>
    </w:p>
    <w:tbl>
      <w:tblPr>
        <w:tblW w:w="0" w:type="auto"/>
        <w:tblLook w:val="04A0" w:firstRow="1" w:lastRow="0" w:firstColumn="1" w:lastColumn="0" w:noHBand="0" w:noVBand="1"/>
      </w:tblPr>
      <w:tblGrid>
        <w:gridCol w:w="3794"/>
      </w:tblGrid>
      <w:tr w:rsidR="00551EF2" w:rsidRPr="00551EF2">
        <w:tc>
          <w:tcPr>
            <w:tcW w:w="3794" w:type="dxa"/>
            <w:shd w:val="clear" w:color="auto" w:fill="auto"/>
          </w:tcPr>
          <w:p w:rsidR="00551EF2" w:rsidRPr="00551EF2" w:rsidRDefault="00551EF2" w:rsidP="00551EF2">
            <w:pPr>
              <w:pStyle w:val="Normal1linespace"/>
            </w:pPr>
            <w:r w:rsidRPr="00551EF2">
              <w:t xml:space="preserve">I certify that the preceding </w:t>
            </w:r>
            <w:bookmarkStart w:id="21" w:name="NumberWord"/>
            <w:r>
              <w:t>thirty-two</w:t>
            </w:r>
            <w:bookmarkEnd w:id="21"/>
            <w:r w:rsidRPr="00551EF2">
              <w:t xml:space="preserve"> (</w:t>
            </w:r>
            <w:bookmarkStart w:id="22" w:name="NumberNumeral"/>
            <w:r>
              <w:t>32</w:t>
            </w:r>
            <w:bookmarkEnd w:id="22"/>
            <w:r w:rsidRPr="00551EF2">
              <w:t xml:space="preserve">) numbered </w:t>
            </w:r>
            <w:bookmarkStart w:id="23" w:name="CertPara"/>
            <w:r>
              <w:t>paragraphs are</w:t>
            </w:r>
            <w:bookmarkEnd w:id="23"/>
            <w:r w:rsidRPr="00551EF2">
              <w:t xml:space="preserve"> a true copy of the Reasons for Judgment herein of the Honourable </w:t>
            </w:r>
            <w:bookmarkStart w:id="24" w:name="Justice"/>
            <w:r>
              <w:t>Justice Banks-Smith</w:t>
            </w:r>
            <w:bookmarkEnd w:id="24"/>
            <w:r w:rsidRPr="00551EF2">
              <w:t>.</w:t>
            </w:r>
          </w:p>
        </w:tc>
      </w:tr>
    </w:tbl>
    <w:p w:rsidR="00551EF2" w:rsidRDefault="00551EF2" w:rsidP="00815065">
      <w:pPr>
        <w:pStyle w:val="BodyText"/>
      </w:pPr>
    </w:p>
    <w:p w:rsidR="00551EF2" w:rsidRDefault="00551EF2" w:rsidP="00815065">
      <w:pPr>
        <w:pStyle w:val="BodyText"/>
      </w:pPr>
    </w:p>
    <w:p w:rsidR="00551EF2" w:rsidRDefault="00551EF2" w:rsidP="00815065">
      <w:pPr>
        <w:pStyle w:val="BodyText"/>
      </w:pPr>
      <w:r>
        <w:t>Associate:</w:t>
      </w:r>
    </w:p>
    <w:p w:rsidR="00551EF2" w:rsidRDefault="00551EF2" w:rsidP="00815065">
      <w:pPr>
        <w:pStyle w:val="BodyText"/>
      </w:pPr>
      <w:bookmarkStart w:id="25" w:name="_GoBack"/>
      <w:bookmarkEnd w:id="25"/>
    </w:p>
    <w:p w:rsidR="00551EF2" w:rsidRDefault="00551EF2" w:rsidP="00551EF2">
      <w:pPr>
        <w:pStyle w:val="BodyText"/>
        <w:tabs>
          <w:tab w:val="left" w:pos="1134"/>
        </w:tabs>
      </w:pPr>
      <w:r>
        <w:t>Dated:</w:t>
      </w:r>
      <w:r>
        <w:tab/>
      </w:r>
      <w:bookmarkStart w:id="26" w:name="CertifyDated"/>
      <w:r>
        <w:t>2 July 2019</w:t>
      </w:r>
      <w:bookmarkEnd w:id="26"/>
      <w:bookmarkEnd w:id="20"/>
    </w:p>
    <w:sectPr w:rsidR="00551EF2">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5C" w:rsidRDefault="0050335C">
      <w:pPr>
        <w:spacing w:line="20" w:lineRule="exact"/>
      </w:pPr>
    </w:p>
    <w:p w:rsidR="0050335C" w:rsidRDefault="0050335C"/>
    <w:p w:rsidR="0050335C" w:rsidRDefault="0050335C"/>
  </w:endnote>
  <w:endnote w:type="continuationSeparator" w:id="0">
    <w:p w:rsidR="0050335C" w:rsidRDefault="0050335C">
      <w:r>
        <w:t xml:space="preserve"> </w:t>
      </w:r>
    </w:p>
    <w:p w:rsidR="0050335C" w:rsidRDefault="0050335C"/>
    <w:p w:rsidR="0050335C" w:rsidRDefault="0050335C"/>
  </w:endnote>
  <w:endnote w:type="continuationNotice" w:id="1">
    <w:p w:rsidR="0050335C" w:rsidRDefault="0050335C">
      <w:r>
        <w:t xml:space="preserve"> </w:t>
      </w:r>
    </w:p>
    <w:p w:rsidR="0050335C" w:rsidRDefault="0050335C"/>
    <w:p w:rsidR="0050335C" w:rsidRDefault="00503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5C" w:rsidRDefault="0050335C">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5C" w:rsidRPr="004A0F9E" w:rsidRDefault="0050335C" w:rsidP="00624520">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5C" w:rsidRDefault="0050335C"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5C" w:rsidRDefault="0050335C"/>
    <w:p w:rsidR="0050335C" w:rsidRDefault="0050335C"/>
    <w:p w:rsidR="0050335C" w:rsidRDefault="0050335C"/>
  </w:footnote>
  <w:footnote w:type="continuationSeparator" w:id="0">
    <w:p w:rsidR="0050335C" w:rsidRDefault="0050335C">
      <w:r>
        <w:continuationSeparator/>
      </w:r>
    </w:p>
    <w:p w:rsidR="0050335C" w:rsidRDefault="0050335C"/>
    <w:p w:rsidR="0050335C" w:rsidRDefault="005033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5C" w:rsidRDefault="0050335C">
    <w:pPr>
      <w:tabs>
        <w:tab w:val="center" w:pos="4512"/>
      </w:tabs>
      <w:suppressAutoHyphens/>
    </w:pPr>
    <w:r>
      <w:tab/>
      <w:t xml:space="preserve">- </w:t>
    </w:r>
    <w:r>
      <w:fldChar w:fldCharType="begin"/>
    </w:r>
    <w:r>
      <w:instrText xml:space="preserve"> PAGE   \* MERGEFORMAT </w:instrText>
    </w:r>
    <w:r>
      <w:fldChar w:fldCharType="separate"/>
    </w:r>
    <w:r w:rsidR="005C076E">
      <w:rPr>
        <w:noProof/>
      </w:rPr>
      <w:t>iv</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5C" w:rsidRDefault="0050335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5C" w:rsidRDefault="0050335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5C" w:rsidRDefault="0050335C">
    <w:pPr>
      <w:tabs>
        <w:tab w:val="center" w:pos="4512"/>
      </w:tabs>
      <w:suppressAutoHyphens/>
    </w:pPr>
    <w:r>
      <w:tab/>
      <w:t xml:space="preserve">- </w:t>
    </w:r>
    <w:r>
      <w:fldChar w:fldCharType="begin"/>
    </w:r>
    <w:r>
      <w:instrText>page \* arabic</w:instrText>
    </w:r>
    <w:r>
      <w:fldChar w:fldCharType="separate"/>
    </w:r>
    <w:r w:rsidR="005C076E">
      <w:rPr>
        <w:noProof/>
      </w:rPr>
      <w:t>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5C" w:rsidRDefault="0050335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JKC AUSTRALIA LNG PTY LTD (ACN 154 383 409)"/>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448 of 2017"/>
    <w:docVar w:name="HearingDate" w:val="2 July 2019"/>
    <w:docVar w:name="Initiators" w:val="(and another named in the Schedule)"/>
    <w:docVar w:name="Judgdate" w:val="2 July 2019"/>
    <w:docVar w:name="Judge" w:val="Banks-Smith"/>
    <w:docVar w:name="Justices" w:val="Justice"/>
    <w:docVar w:name="lstEntryList" w:val="-1"/>
    <w:docVar w:name="myEntryList" w:val="Counsel for the Applicant=Mr M Smith|Solicitor for the Applicant=Solomon Brothers|Counsel for the Respondents=Ms TL Trend|Solicitor for the Respondents=Clayton Utz"/>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AKZONOBEL NV|INTERNATIONAL PAINT LIMITED"/>
    <w:docVar w:name="ResState" w:val="Western Australia"/>
    <w:docVar w:name="SubArea" w:val="Regulator and Consumer Protection (C &amp; C)"/>
  </w:docVars>
  <w:rsids>
    <w:rsidRoot w:val="004A0F9E"/>
    <w:rsid w:val="0001469E"/>
    <w:rsid w:val="00015993"/>
    <w:rsid w:val="00022289"/>
    <w:rsid w:val="00032F9F"/>
    <w:rsid w:val="00041C07"/>
    <w:rsid w:val="00045BB7"/>
    <w:rsid w:val="00055719"/>
    <w:rsid w:val="0005641B"/>
    <w:rsid w:val="00080D3D"/>
    <w:rsid w:val="00081497"/>
    <w:rsid w:val="000A2E76"/>
    <w:rsid w:val="000A4807"/>
    <w:rsid w:val="000A4BE4"/>
    <w:rsid w:val="000C023E"/>
    <w:rsid w:val="000C5195"/>
    <w:rsid w:val="000C62EF"/>
    <w:rsid w:val="000C7836"/>
    <w:rsid w:val="000D2137"/>
    <w:rsid w:val="000D3FD2"/>
    <w:rsid w:val="000E3FC8"/>
    <w:rsid w:val="000E7BAE"/>
    <w:rsid w:val="000F133D"/>
    <w:rsid w:val="001050DA"/>
    <w:rsid w:val="0010536B"/>
    <w:rsid w:val="0011145C"/>
    <w:rsid w:val="001128BD"/>
    <w:rsid w:val="0011419D"/>
    <w:rsid w:val="00132054"/>
    <w:rsid w:val="0015676C"/>
    <w:rsid w:val="00164F3E"/>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04177"/>
    <w:rsid w:val="00224537"/>
    <w:rsid w:val="00235956"/>
    <w:rsid w:val="00247C9A"/>
    <w:rsid w:val="0025160C"/>
    <w:rsid w:val="002535D0"/>
    <w:rsid w:val="002539B3"/>
    <w:rsid w:val="00257C3E"/>
    <w:rsid w:val="002602C2"/>
    <w:rsid w:val="00265B54"/>
    <w:rsid w:val="002666C9"/>
    <w:rsid w:val="00270136"/>
    <w:rsid w:val="00274F5B"/>
    <w:rsid w:val="00280836"/>
    <w:rsid w:val="00282E1A"/>
    <w:rsid w:val="0029113B"/>
    <w:rsid w:val="002934C0"/>
    <w:rsid w:val="002A1B50"/>
    <w:rsid w:val="002B0E91"/>
    <w:rsid w:val="002B6538"/>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67E7E"/>
    <w:rsid w:val="003845A9"/>
    <w:rsid w:val="00386D6F"/>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776BC"/>
    <w:rsid w:val="004804CF"/>
    <w:rsid w:val="00484962"/>
    <w:rsid w:val="00484F6D"/>
    <w:rsid w:val="0049338A"/>
    <w:rsid w:val="0049417F"/>
    <w:rsid w:val="00495A3A"/>
    <w:rsid w:val="004A0F9E"/>
    <w:rsid w:val="004B3EFA"/>
    <w:rsid w:val="004C2A87"/>
    <w:rsid w:val="004C4D7B"/>
    <w:rsid w:val="004C4ED3"/>
    <w:rsid w:val="004D2EA5"/>
    <w:rsid w:val="004D32A6"/>
    <w:rsid w:val="004D53E5"/>
    <w:rsid w:val="004F19FD"/>
    <w:rsid w:val="00501A12"/>
    <w:rsid w:val="0050335C"/>
    <w:rsid w:val="0051346D"/>
    <w:rsid w:val="00513EAE"/>
    <w:rsid w:val="00516806"/>
    <w:rsid w:val="005205BE"/>
    <w:rsid w:val="00525A49"/>
    <w:rsid w:val="00535613"/>
    <w:rsid w:val="005359EB"/>
    <w:rsid w:val="0054254A"/>
    <w:rsid w:val="005466B5"/>
    <w:rsid w:val="00551EF2"/>
    <w:rsid w:val="00554314"/>
    <w:rsid w:val="005629B3"/>
    <w:rsid w:val="00573AC4"/>
    <w:rsid w:val="005801FC"/>
    <w:rsid w:val="00595016"/>
    <w:rsid w:val="00597AAE"/>
    <w:rsid w:val="005A222C"/>
    <w:rsid w:val="005A4DF8"/>
    <w:rsid w:val="005B1426"/>
    <w:rsid w:val="005C076E"/>
    <w:rsid w:val="005C0A8E"/>
    <w:rsid w:val="005C1767"/>
    <w:rsid w:val="005C42EF"/>
    <w:rsid w:val="005E02F5"/>
    <w:rsid w:val="005E0510"/>
    <w:rsid w:val="005E176E"/>
    <w:rsid w:val="005E218E"/>
    <w:rsid w:val="005E35A0"/>
    <w:rsid w:val="005F0D1B"/>
    <w:rsid w:val="005F1865"/>
    <w:rsid w:val="006007BD"/>
    <w:rsid w:val="006013C8"/>
    <w:rsid w:val="00601A68"/>
    <w:rsid w:val="0060270D"/>
    <w:rsid w:val="00604611"/>
    <w:rsid w:val="00611586"/>
    <w:rsid w:val="00621887"/>
    <w:rsid w:val="00624520"/>
    <w:rsid w:val="00631428"/>
    <w:rsid w:val="00632300"/>
    <w:rsid w:val="00632BB7"/>
    <w:rsid w:val="00634698"/>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0F43"/>
    <w:rsid w:val="00712B1D"/>
    <w:rsid w:val="007325D9"/>
    <w:rsid w:val="007360CA"/>
    <w:rsid w:val="00760EC0"/>
    <w:rsid w:val="00763A85"/>
    <w:rsid w:val="0078003A"/>
    <w:rsid w:val="00780771"/>
    <w:rsid w:val="007929CF"/>
    <w:rsid w:val="00792DD7"/>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05A08"/>
    <w:rsid w:val="008276B4"/>
    <w:rsid w:val="00831927"/>
    <w:rsid w:val="00841BD3"/>
    <w:rsid w:val="0084273D"/>
    <w:rsid w:val="00844E3F"/>
    <w:rsid w:val="00845A83"/>
    <w:rsid w:val="008712BB"/>
    <w:rsid w:val="00882DF8"/>
    <w:rsid w:val="008A2484"/>
    <w:rsid w:val="008C2213"/>
    <w:rsid w:val="008C26D9"/>
    <w:rsid w:val="008C6D50"/>
    <w:rsid w:val="008C7167"/>
    <w:rsid w:val="008C7503"/>
    <w:rsid w:val="008D1617"/>
    <w:rsid w:val="008E2FC0"/>
    <w:rsid w:val="008E6315"/>
    <w:rsid w:val="008F11E0"/>
    <w:rsid w:val="008F78BC"/>
    <w:rsid w:val="008F7B63"/>
    <w:rsid w:val="008F7D6A"/>
    <w:rsid w:val="009054CB"/>
    <w:rsid w:val="00907D1F"/>
    <w:rsid w:val="00912F94"/>
    <w:rsid w:val="0092590B"/>
    <w:rsid w:val="00925E60"/>
    <w:rsid w:val="009264B3"/>
    <w:rsid w:val="009365E0"/>
    <w:rsid w:val="00942BA2"/>
    <w:rsid w:val="00944C86"/>
    <w:rsid w:val="00957DE8"/>
    <w:rsid w:val="00960ECB"/>
    <w:rsid w:val="009615D6"/>
    <w:rsid w:val="00967855"/>
    <w:rsid w:val="00975B58"/>
    <w:rsid w:val="00980736"/>
    <w:rsid w:val="00981A39"/>
    <w:rsid w:val="009863DF"/>
    <w:rsid w:val="00987097"/>
    <w:rsid w:val="009A3A9C"/>
    <w:rsid w:val="009B046C"/>
    <w:rsid w:val="009B0B76"/>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D7A"/>
    <w:rsid w:val="00C02D33"/>
    <w:rsid w:val="00C10EDF"/>
    <w:rsid w:val="00C1232C"/>
    <w:rsid w:val="00C36442"/>
    <w:rsid w:val="00C400CE"/>
    <w:rsid w:val="00C410FD"/>
    <w:rsid w:val="00C41F38"/>
    <w:rsid w:val="00C539FB"/>
    <w:rsid w:val="00CA246D"/>
    <w:rsid w:val="00CA50D9"/>
    <w:rsid w:val="00CB5636"/>
    <w:rsid w:val="00CE0994"/>
    <w:rsid w:val="00D10F21"/>
    <w:rsid w:val="00D24806"/>
    <w:rsid w:val="00D27FDF"/>
    <w:rsid w:val="00D33CA9"/>
    <w:rsid w:val="00D34040"/>
    <w:rsid w:val="00D34E69"/>
    <w:rsid w:val="00D375EE"/>
    <w:rsid w:val="00D61CB5"/>
    <w:rsid w:val="00D62699"/>
    <w:rsid w:val="00D82620"/>
    <w:rsid w:val="00D840B1"/>
    <w:rsid w:val="00D96DC9"/>
    <w:rsid w:val="00D9725F"/>
    <w:rsid w:val="00DA01B1"/>
    <w:rsid w:val="00DA11A2"/>
    <w:rsid w:val="00DA14ED"/>
    <w:rsid w:val="00DB138A"/>
    <w:rsid w:val="00DB2EF1"/>
    <w:rsid w:val="00DB3DE1"/>
    <w:rsid w:val="00DB5DA0"/>
    <w:rsid w:val="00DB716C"/>
    <w:rsid w:val="00DC5C85"/>
    <w:rsid w:val="00DD4236"/>
    <w:rsid w:val="00DD44F1"/>
    <w:rsid w:val="00DE3067"/>
    <w:rsid w:val="00DF6717"/>
    <w:rsid w:val="00E027BC"/>
    <w:rsid w:val="00E14EA5"/>
    <w:rsid w:val="00E21133"/>
    <w:rsid w:val="00E2327E"/>
    <w:rsid w:val="00E266EF"/>
    <w:rsid w:val="00E302F1"/>
    <w:rsid w:val="00E32758"/>
    <w:rsid w:val="00E47428"/>
    <w:rsid w:val="00E55BC1"/>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553C8"/>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36B37B0-5AE6-4AED-A70B-AA87C385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DF6717"/>
    <w:pPr>
      <w:spacing w:line="240" w:lineRule="auto"/>
      <w:ind w:left="720"/>
      <w:jc w:val="left"/>
    </w:pPr>
    <w:rPr>
      <w:rFonts w:ascii="Arial" w:eastAsia="Times New Roman" w:hAnsi="Arial"/>
      <w:sz w:val="22"/>
      <w:szCs w:val="24"/>
    </w:rPr>
  </w:style>
  <w:style w:type="paragraph" w:customStyle="1" w:styleId="Default">
    <w:name w:val="Default"/>
    <w:rsid w:val="00DF6717"/>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10</Pages>
  <Words>2529</Words>
  <Characters>13319</Characters>
  <Application>Microsoft Office Word</Application>
  <DocSecurity>0</DocSecurity>
  <Lines>359</Lines>
  <Paragraphs>188</Paragraphs>
  <ScaleCrop>false</ScaleCrop>
  <HeadingPairs>
    <vt:vector size="2" baseType="variant">
      <vt:variant>
        <vt:lpstr>Title</vt:lpstr>
      </vt:variant>
      <vt:variant>
        <vt:i4>1</vt:i4>
      </vt:variant>
    </vt:vector>
  </HeadingPairs>
  <TitlesOfParts>
    <vt:vector size="1" baseType="lpstr">
      <vt:lpstr>JKC Australia LNG Pty Ltd v AkzoNobel NV [2019] FCA 1032</vt:lpstr>
    </vt:vector>
  </TitlesOfParts>
  <Company>Federal Court of Australia</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JKC Australia LNG Pty Ltd v AkzoNobel NV [2019] FCA 1032</dc:title>
  <dc:creator>Deanne Jaffé</dc:creator>
  <cp:lastModifiedBy>Sona Muradyan</cp:lastModifiedBy>
  <cp:revision>4</cp:revision>
  <cp:lastPrinted>2019-07-02T05:14:00Z</cp:lastPrinted>
  <dcterms:created xsi:type="dcterms:W3CDTF">2019-07-03T00:23:00Z</dcterms:created>
  <dcterms:modified xsi:type="dcterms:W3CDTF">2019-07-03T00:23:00Z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BANKS-SMITH J</vt:lpwstr>
  </property>
  <property fmtid="{D5CDD505-2E9C-101B-9397-08002B2CF9AE}" pid="4" name="Judgment_dated" linkTarget="Judgment_dated">
    <vt:lpwstr>2 JULY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