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FB18D5">
      <w:pPr>
        <w:pStyle w:val="MediaNeutralStyle"/>
      </w:pPr>
      <w:bookmarkStart w:id="0" w:name="MNC"/>
      <w:r w:rsidRPr="00FB18D5">
        <w:t>W.R. Berkley Insurance (Europe) Limited, in the matter of Division 3A of Part III of the Insurance Act (1973)</w:t>
      </w:r>
      <w:r w:rsidR="00237497">
        <w:t xml:space="preserve"> (No 3</w:t>
      </w:r>
      <w:r>
        <w:t>)</w:t>
      </w:r>
      <w:r w:rsidRPr="00FB18D5">
        <w:t xml:space="preserve"> [2016] FCA </w:t>
      </w:r>
      <w:r w:rsidR="001356B5">
        <w:t>1497</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FB18D5">
        <w:tc>
          <w:tcPr>
            <w:tcW w:w="3085" w:type="dxa"/>
            <w:shd w:val="clear" w:color="auto" w:fill="auto"/>
          </w:tcPr>
          <w:p w:rsidR="00395B24" w:rsidRDefault="00FB18D5" w:rsidP="00663878">
            <w:pPr>
              <w:pStyle w:val="Normal1linespace"/>
              <w:widowControl w:val="0"/>
              <w:jc w:val="left"/>
            </w:pPr>
            <w:r>
              <w:t>File number</w:t>
            </w:r>
            <w:r w:rsidR="002C7385">
              <w:t>:</w:t>
            </w:r>
          </w:p>
        </w:tc>
        <w:tc>
          <w:tcPr>
            <w:tcW w:w="5989" w:type="dxa"/>
            <w:shd w:val="clear" w:color="auto" w:fill="auto"/>
          </w:tcPr>
          <w:p w:rsidR="00395B24" w:rsidRPr="00FB18D5" w:rsidRDefault="0063017F" w:rsidP="00FB18D5">
            <w:pPr>
              <w:pStyle w:val="Normal1linespace"/>
              <w:jc w:val="left"/>
            </w:pPr>
            <w:r>
              <w:fldChar w:fldCharType="begin" w:fldLock="1"/>
            </w:r>
            <w:r>
              <w:instrText xml:space="preserve"> REF  FileNo  \* MERGEFORMAT </w:instrText>
            </w:r>
            <w:r>
              <w:fldChar w:fldCharType="separate"/>
            </w:r>
            <w:r w:rsidR="00FB18D5" w:rsidRPr="00FB18D5">
              <w:t>NSD 1201 of 2015</w:t>
            </w:r>
            <w:r>
              <w:fldChar w:fldCharType="end"/>
            </w:r>
          </w:p>
        </w:tc>
      </w:tr>
      <w:tr w:rsidR="00395B24" w:rsidTr="00FB18D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FB18D5">
        <w:tc>
          <w:tcPr>
            <w:tcW w:w="3085" w:type="dxa"/>
            <w:shd w:val="clear" w:color="auto" w:fill="auto"/>
          </w:tcPr>
          <w:p w:rsidR="00395B24" w:rsidRDefault="00FB18D5"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FB18D5">
              <w:rPr>
                <w:b/>
              </w:rPr>
              <w:fldChar w:fldCharType="begin" w:fldLock="1"/>
            </w:r>
            <w:r w:rsidRPr="00FB18D5">
              <w:rPr>
                <w:b/>
              </w:rPr>
              <w:instrText xml:space="preserve"> REF  Judge  \* MERGEFORMAT </w:instrText>
            </w:r>
            <w:r w:rsidRPr="00FB18D5">
              <w:rPr>
                <w:b/>
              </w:rPr>
              <w:fldChar w:fldCharType="separate"/>
            </w:r>
            <w:r w:rsidR="00FB18D5" w:rsidRPr="00FB18D5">
              <w:rPr>
                <w:b/>
                <w:caps/>
                <w:szCs w:val="24"/>
              </w:rPr>
              <w:t xml:space="preserve">ALLSOP  </w:t>
            </w:r>
            <w:r w:rsidR="00FB18D5">
              <w:rPr>
                <w:b/>
                <w:caps/>
                <w:szCs w:val="24"/>
              </w:rPr>
              <w:t>C</w:t>
            </w:r>
            <w:r w:rsidR="00FB18D5" w:rsidRPr="00FB18D5">
              <w:rPr>
                <w:b/>
                <w:caps/>
                <w:szCs w:val="24"/>
              </w:rPr>
              <w:t>J</w:t>
            </w:r>
            <w:r w:rsidRPr="00FB18D5">
              <w:rPr>
                <w:b/>
              </w:rPr>
              <w:fldChar w:fldCharType="end"/>
            </w:r>
          </w:p>
        </w:tc>
      </w:tr>
      <w:tr w:rsidR="00395B24" w:rsidTr="00FB18D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FB18D5">
        <w:tc>
          <w:tcPr>
            <w:tcW w:w="3085" w:type="dxa"/>
            <w:shd w:val="clear" w:color="auto" w:fill="auto"/>
          </w:tcPr>
          <w:p w:rsidR="00395B24" w:rsidRDefault="002C7385" w:rsidP="00DB0E2D">
            <w:pPr>
              <w:pStyle w:val="Normal1linespace"/>
              <w:widowControl w:val="0"/>
              <w:jc w:val="left"/>
            </w:pPr>
            <w:r>
              <w:t xml:space="preserve">Date of </w:t>
            </w:r>
            <w:r w:rsidR="00DB0E2D">
              <w:t>judgment</w:t>
            </w:r>
            <w:r>
              <w:t>:</w:t>
            </w:r>
          </w:p>
        </w:tc>
        <w:tc>
          <w:tcPr>
            <w:tcW w:w="5989" w:type="dxa"/>
            <w:shd w:val="clear" w:color="auto" w:fill="auto"/>
          </w:tcPr>
          <w:p w:rsidR="00A5328A" w:rsidRDefault="00FE1321" w:rsidP="0051777B">
            <w:pPr>
              <w:pStyle w:val="Normal1linespace"/>
              <w:widowControl w:val="0"/>
              <w:jc w:val="left"/>
            </w:pPr>
            <w:bookmarkStart w:id="1" w:name="JudgmentDate"/>
            <w:r>
              <w:t xml:space="preserve">28 </w:t>
            </w:r>
            <w:r w:rsidR="00FB18D5">
              <w:t>October 2016</w:t>
            </w:r>
            <w:bookmarkEnd w:id="1"/>
          </w:p>
        </w:tc>
      </w:tr>
      <w:tr w:rsidR="0051777B" w:rsidTr="00FB18D5">
        <w:tc>
          <w:tcPr>
            <w:tcW w:w="3085" w:type="dxa"/>
            <w:shd w:val="clear" w:color="auto" w:fill="auto"/>
          </w:tcPr>
          <w:p w:rsidR="0051777B" w:rsidRDefault="0051777B" w:rsidP="00DB0E2D">
            <w:pPr>
              <w:pStyle w:val="Normal1linespace"/>
              <w:widowControl w:val="0"/>
              <w:jc w:val="left"/>
            </w:pPr>
          </w:p>
        </w:tc>
        <w:tc>
          <w:tcPr>
            <w:tcW w:w="5989" w:type="dxa"/>
            <w:shd w:val="clear" w:color="auto" w:fill="auto"/>
          </w:tcPr>
          <w:p w:rsidR="0051777B" w:rsidRDefault="0051777B" w:rsidP="00FE1321">
            <w:pPr>
              <w:pStyle w:val="Normal1linespace"/>
              <w:widowControl w:val="0"/>
              <w:jc w:val="left"/>
            </w:pPr>
          </w:p>
        </w:tc>
      </w:tr>
      <w:tr w:rsidR="00A5328A" w:rsidTr="00FB18D5">
        <w:tc>
          <w:tcPr>
            <w:tcW w:w="3085" w:type="dxa"/>
            <w:shd w:val="clear" w:color="auto" w:fill="auto"/>
          </w:tcPr>
          <w:p w:rsidR="00A5328A" w:rsidRPr="00FB18D5" w:rsidRDefault="00A5328A" w:rsidP="00E72FB4">
            <w:pPr>
              <w:pStyle w:val="Normal1linespace"/>
              <w:jc w:val="left"/>
            </w:pPr>
            <w:r>
              <w:t>Date of publication of reasons:</w:t>
            </w:r>
          </w:p>
        </w:tc>
        <w:tc>
          <w:tcPr>
            <w:tcW w:w="5989" w:type="dxa"/>
            <w:shd w:val="clear" w:color="auto" w:fill="auto"/>
          </w:tcPr>
          <w:p w:rsidR="00A5328A" w:rsidRDefault="00A5328A" w:rsidP="00E72FB4">
            <w:pPr>
              <w:pStyle w:val="Normal1linespace"/>
              <w:jc w:val="left"/>
            </w:pPr>
            <w:r>
              <w:t>13 December 2016</w:t>
            </w:r>
          </w:p>
        </w:tc>
      </w:tr>
      <w:tr w:rsidR="00A5328A" w:rsidTr="00FB18D5">
        <w:tc>
          <w:tcPr>
            <w:tcW w:w="3085" w:type="dxa"/>
            <w:shd w:val="clear" w:color="auto" w:fill="auto"/>
          </w:tcPr>
          <w:p w:rsidR="00A5328A" w:rsidRDefault="00A5328A" w:rsidP="00663878">
            <w:pPr>
              <w:pStyle w:val="Normal1linespace"/>
              <w:widowControl w:val="0"/>
              <w:jc w:val="left"/>
            </w:pPr>
          </w:p>
        </w:tc>
        <w:tc>
          <w:tcPr>
            <w:tcW w:w="5989" w:type="dxa"/>
            <w:shd w:val="clear" w:color="auto" w:fill="auto"/>
          </w:tcPr>
          <w:p w:rsidR="00A5328A" w:rsidRDefault="00A5328A" w:rsidP="00663878">
            <w:pPr>
              <w:pStyle w:val="Normal1linespace"/>
              <w:widowControl w:val="0"/>
              <w:jc w:val="left"/>
            </w:pPr>
          </w:p>
        </w:tc>
      </w:tr>
      <w:tr w:rsidR="00C13EAF" w:rsidTr="00C13EAF">
        <w:tc>
          <w:tcPr>
            <w:tcW w:w="3085" w:type="dxa"/>
            <w:shd w:val="clear" w:color="auto" w:fill="auto"/>
          </w:tcPr>
          <w:p w:rsidR="00C13EAF" w:rsidRDefault="00C13EAF">
            <w:pPr>
              <w:pStyle w:val="Normal1linespace"/>
              <w:widowControl w:val="0"/>
              <w:jc w:val="left"/>
            </w:pPr>
            <w:r>
              <w:t>Catchwords:</w:t>
            </w:r>
          </w:p>
        </w:tc>
        <w:tc>
          <w:tcPr>
            <w:tcW w:w="5989" w:type="dxa"/>
            <w:shd w:val="clear" w:color="auto" w:fill="auto"/>
          </w:tcPr>
          <w:p w:rsidR="00C13EAF" w:rsidRDefault="00C13EAF" w:rsidP="0051777B">
            <w:pPr>
              <w:pStyle w:val="Normal1linespace"/>
              <w:widowControl w:val="0"/>
              <w:jc w:val="left"/>
            </w:pPr>
            <w:bookmarkStart w:id="2" w:name="Catchwords"/>
            <w:r w:rsidRPr="00C13EAF">
              <w:rPr>
                <w:b/>
              </w:rPr>
              <w:t>INSURANCE</w:t>
            </w:r>
            <w:r w:rsidR="0051777B">
              <w:rPr>
                <w:b/>
              </w:rPr>
              <w:t xml:space="preserve"> – </w:t>
            </w:r>
            <w:r>
              <w:t>transfer</w:t>
            </w:r>
            <w:r w:rsidR="0051777B">
              <w:t xml:space="preserve"> </w:t>
            </w:r>
            <w:r>
              <w:t>of insurance scheme between general insurers</w:t>
            </w:r>
            <w:r w:rsidR="0051777B">
              <w:t xml:space="preserve"> – </w:t>
            </w:r>
            <w:r>
              <w:t>intra-group transfer</w:t>
            </w:r>
            <w:r w:rsidR="0051777B">
              <w:t xml:space="preserve"> – </w:t>
            </w:r>
            <w:r>
              <w:t>where</w:t>
            </w:r>
            <w:r w:rsidR="0051777B">
              <w:t xml:space="preserve"> </w:t>
            </w:r>
            <w:r>
              <w:t>both transferor and transferee are Australian branches of foreign insurers</w:t>
            </w:r>
            <w:r w:rsidR="0051777B">
              <w:t xml:space="preserve"> – </w:t>
            </w:r>
            <w:r>
              <w:t>reinsurance</w:t>
            </w:r>
            <w:r w:rsidR="0051777B">
              <w:t xml:space="preserve"> </w:t>
            </w:r>
            <w:r>
              <w:t>orders made</w:t>
            </w:r>
            <w:r w:rsidR="0051777B">
              <w:t xml:space="preserve"> – </w:t>
            </w:r>
            <w:r>
              <w:t>scheme</w:t>
            </w:r>
            <w:r w:rsidR="0051777B">
              <w:t xml:space="preserve"> </w:t>
            </w:r>
            <w:r>
              <w:t xml:space="preserve">confirmed without modification </w:t>
            </w:r>
            <w:bookmarkEnd w:id="2"/>
          </w:p>
        </w:tc>
      </w:tr>
      <w:tr w:rsidR="00C13EAF" w:rsidTr="00FB18D5">
        <w:tc>
          <w:tcPr>
            <w:tcW w:w="3085" w:type="dxa"/>
            <w:shd w:val="clear" w:color="auto" w:fill="auto"/>
          </w:tcPr>
          <w:p w:rsidR="00C13EAF" w:rsidRDefault="00C13EAF" w:rsidP="00663878">
            <w:pPr>
              <w:pStyle w:val="Normal1linespace"/>
              <w:widowControl w:val="0"/>
              <w:jc w:val="left"/>
            </w:pPr>
          </w:p>
        </w:tc>
        <w:tc>
          <w:tcPr>
            <w:tcW w:w="5989" w:type="dxa"/>
            <w:shd w:val="clear" w:color="auto" w:fill="auto"/>
          </w:tcPr>
          <w:p w:rsidR="00C13EAF" w:rsidRDefault="00C13EAF" w:rsidP="00663878">
            <w:pPr>
              <w:pStyle w:val="Normal1linespace"/>
              <w:widowControl w:val="0"/>
              <w:jc w:val="left"/>
            </w:pPr>
          </w:p>
        </w:tc>
      </w:tr>
      <w:tr w:rsidR="00A5328A" w:rsidTr="00FB18D5">
        <w:tc>
          <w:tcPr>
            <w:tcW w:w="3085" w:type="dxa"/>
            <w:shd w:val="clear" w:color="auto" w:fill="auto"/>
          </w:tcPr>
          <w:p w:rsidR="00A5328A" w:rsidRDefault="00A5328A" w:rsidP="00663878">
            <w:pPr>
              <w:pStyle w:val="Normal1linespace"/>
              <w:widowControl w:val="0"/>
              <w:jc w:val="left"/>
            </w:pPr>
            <w:r>
              <w:t>Legislation:</w:t>
            </w:r>
          </w:p>
        </w:tc>
        <w:tc>
          <w:tcPr>
            <w:tcW w:w="5989" w:type="dxa"/>
            <w:shd w:val="clear" w:color="auto" w:fill="auto"/>
          </w:tcPr>
          <w:p w:rsidR="00A5328A" w:rsidRDefault="00A5328A" w:rsidP="00D82620">
            <w:pPr>
              <w:pStyle w:val="CasesLegislationAppealFrom"/>
              <w:spacing w:after="60"/>
            </w:pPr>
            <w:bookmarkStart w:id="3" w:name="Legislation"/>
            <w:r w:rsidRPr="00FB18D5">
              <w:rPr>
                <w:i/>
              </w:rPr>
              <w:t>Insurance Act 1973</w:t>
            </w:r>
            <w:r w:rsidRPr="00FB18D5">
              <w:t xml:space="preserve"> (Cth) s</w:t>
            </w:r>
            <w:r>
              <w:t xml:space="preserve">s 12, 17B, </w:t>
            </w:r>
            <w:r w:rsidRPr="00FB18D5">
              <w:t>17C</w:t>
            </w:r>
            <w:r>
              <w:t xml:space="preserve">, 17F, 28, 116, 116A </w:t>
            </w:r>
            <w:bookmarkEnd w:id="3"/>
          </w:p>
        </w:tc>
      </w:tr>
      <w:tr w:rsidR="00A5328A" w:rsidTr="00FB18D5">
        <w:tc>
          <w:tcPr>
            <w:tcW w:w="3085" w:type="dxa"/>
            <w:shd w:val="clear" w:color="auto" w:fill="auto"/>
          </w:tcPr>
          <w:p w:rsidR="00A5328A" w:rsidRDefault="00A5328A" w:rsidP="00663878">
            <w:pPr>
              <w:pStyle w:val="Normal1linespace"/>
              <w:widowControl w:val="0"/>
              <w:jc w:val="left"/>
            </w:pPr>
          </w:p>
        </w:tc>
        <w:tc>
          <w:tcPr>
            <w:tcW w:w="5989" w:type="dxa"/>
            <w:shd w:val="clear" w:color="auto" w:fill="auto"/>
          </w:tcPr>
          <w:p w:rsidR="00A5328A" w:rsidRDefault="00A5328A" w:rsidP="00663878">
            <w:pPr>
              <w:pStyle w:val="Normal1linespace"/>
              <w:widowControl w:val="0"/>
              <w:jc w:val="left"/>
            </w:pPr>
          </w:p>
        </w:tc>
      </w:tr>
      <w:tr w:rsidR="00A5328A" w:rsidTr="00FB18D5">
        <w:tc>
          <w:tcPr>
            <w:tcW w:w="3085" w:type="dxa"/>
            <w:shd w:val="clear" w:color="auto" w:fill="auto"/>
          </w:tcPr>
          <w:p w:rsidR="00A5328A" w:rsidRDefault="00A5328A" w:rsidP="00663878">
            <w:pPr>
              <w:pStyle w:val="Normal1linespace"/>
              <w:widowControl w:val="0"/>
              <w:jc w:val="left"/>
            </w:pPr>
            <w:r>
              <w:t>Cases cited:</w:t>
            </w:r>
          </w:p>
        </w:tc>
        <w:tc>
          <w:tcPr>
            <w:tcW w:w="5989" w:type="dxa"/>
            <w:shd w:val="clear" w:color="auto" w:fill="auto"/>
          </w:tcPr>
          <w:p w:rsidR="00A5328A" w:rsidRDefault="00A5328A" w:rsidP="00BA065D">
            <w:pPr>
              <w:pStyle w:val="Normal1linespace"/>
              <w:spacing w:after="60"/>
            </w:pPr>
            <w:bookmarkStart w:id="4" w:name="Cases_Cited"/>
            <w:r w:rsidRPr="003A4924">
              <w:rPr>
                <w:i/>
              </w:rPr>
              <w:t>American Home Assurance Company (No 2)</w:t>
            </w:r>
            <w:r w:rsidRPr="003A4924">
              <w:t xml:space="preserve"> [2011] FCA 316</w:t>
            </w:r>
          </w:p>
          <w:p w:rsidR="00A5328A" w:rsidRDefault="00A5328A" w:rsidP="00BA065D">
            <w:pPr>
              <w:pStyle w:val="Normal1linespace"/>
              <w:spacing w:after="60"/>
            </w:pPr>
            <w:r w:rsidRPr="004771E1">
              <w:rPr>
                <w:i/>
              </w:rPr>
              <w:t>Application of Sompo Japan Insurance Inc. under the Insurance Act 1973 (Cth) (No 2)</w:t>
            </w:r>
            <w:r w:rsidRPr="004771E1">
              <w:t xml:space="preserve"> [2014] FCA 677</w:t>
            </w:r>
          </w:p>
          <w:p w:rsidR="00A5328A" w:rsidRDefault="00A5328A" w:rsidP="00BA065D">
            <w:pPr>
              <w:pStyle w:val="Normal1linespace"/>
              <w:spacing w:after="60"/>
              <w:rPr>
                <w:i/>
              </w:rPr>
            </w:pPr>
            <w:r w:rsidRPr="00B707FF">
              <w:rPr>
                <w:i/>
              </w:rPr>
              <w:t xml:space="preserve">Atradius Credit Insurance N.V., in the matter of Atradius Credit Insurance N.V. (No 2) </w:t>
            </w:r>
            <w:r w:rsidRPr="00B707FF">
              <w:t xml:space="preserve">[2016] FCA </w:t>
            </w:r>
            <w:r>
              <w:t>1495</w:t>
            </w:r>
          </w:p>
          <w:p w:rsidR="00A5328A" w:rsidRDefault="00A5328A" w:rsidP="00BA065D">
            <w:pPr>
              <w:pStyle w:val="Normal1linespace"/>
              <w:spacing w:after="60"/>
            </w:pPr>
            <w:r w:rsidRPr="003A4924">
              <w:rPr>
                <w:i/>
              </w:rPr>
              <w:t>Gordian RunOff Ltd (No 2)</w:t>
            </w:r>
            <w:r w:rsidRPr="003A4924">
              <w:t xml:space="preserve"> [2013] FCA 1329 </w:t>
            </w:r>
          </w:p>
          <w:p w:rsidR="00A5328A" w:rsidRDefault="00A5328A" w:rsidP="00BA065D">
            <w:pPr>
              <w:pStyle w:val="Normal1linespace"/>
              <w:spacing w:after="60"/>
            </w:pPr>
            <w:r w:rsidRPr="004771E1">
              <w:rPr>
                <w:i/>
              </w:rPr>
              <w:t>HDI-Gerling Australia Insurance Company Pty Limited, in the matter of HDI-Gerling Australia Insurance Company Pty Limited (ABN 16 069 085 196) (No 2)</w:t>
            </w:r>
            <w:r w:rsidRPr="004771E1">
              <w:t xml:space="preserve"> [2010] FCA 669</w:t>
            </w:r>
            <w:r w:rsidRPr="004771E1">
              <w:rPr>
                <w:i/>
              </w:rPr>
              <w:t xml:space="preserve"> </w:t>
            </w:r>
            <w:r w:rsidRPr="00750B56">
              <w:rPr>
                <w:i/>
              </w:rPr>
              <w:t>In the matter of Reward Insurance Ltd</w:t>
            </w:r>
            <w:r w:rsidRPr="00FA17D3">
              <w:t xml:space="preserve"> [2004] FCA 151</w:t>
            </w:r>
          </w:p>
          <w:p w:rsidR="00A5328A" w:rsidRDefault="00A5328A" w:rsidP="00BA065D">
            <w:pPr>
              <w:pStyle w:val="Normal1linespace"/>
              <w:spacing w:after="60"/>
            </w:pPr>
            <w:r w:rsidRPr="00750B56">
              <w:rPr>
                <w:i/>
              </w:rPr>
              <w:t>Mercantile &amp; General Reinsurance Company of Australia Ltd</w:t>
            </w:r>
            <w:r w:rsidRPr="00C55DF8">
              <w:t xml:space="preserve"> [2004] FCA 1773</w:t>
            </w:r>
          </w:p>
          <w:p w:rsidR="00A5328A" w:rsidRDefault="00A5328A" w:rsidP="00BA065D">
            <w:pPr>
              <w:pStyle w:val="Normal1linespace"/>
              <w:spacing w:after="60"/>
            </w:pPr>
            <w:r w:rsidRPr="003A4924">
              <w:rPr>
                <w:i/>
              </w:rPr>
              <w:t xml:space="preserve">SGIC General Insurance Ltd </w:t>
            </w:r>
            <w:r w:rsidRPr="003A4924">
              <w:t>[2004] FCA 1639</w:t>
            </w:r>
          </w:p>
          <w:p w:rsidR="00A5328A" w:rsidRDefault="00A5328A" w:rsidP="00BA065D">
            <w:pPr>
              <w:pStyle w:val="Normal1linespace"/>
              <w:spacing w:after="60"/>
            </w:pPr>
            <w:r w:rsidRPr="00750B56">
              <w:rPr>
                <w:i/>
              </w:rPr>
              <w:t>W.R. Berkley Insurance (Europe) Limited, in the matter of Division 3A of Part III of the Insurance Act (1973)</w:t>
            </w:r>
            <w:r w:rsidRPr="00F70F22">
              <w:t xml:space="preserve"> [2016] FCA </w:t>
            </w:r>
            <w:r>
              <w:t>374</w:t>
            </w:r>
          </w:p>
          <w:p w:rsidR="00A5328A" w:rsidRDefault="00A5328A" w:rsidP="00BA065D">
            <w:pPr>
              <w:pStyle w:val="Normal1linespace"/>
              <w:spacing w:after="60"/>
            </w:pPr>
            <w:r w:rsidRPr="00750B56">
              <w:rPr>
                <w:i/>
              </w:rPr>
              <w:t>W.R. Berkley Insurance (Europe) Limited, in the matter of Division 3A of Part III of the Insurance Act (1973) (No 2)</w:t>
            </w:r>
            <w:r>
              <w:t xml:space="preserve"> </w:t>
            </w:r>
            <w:r w:rsidRPr="00F70F22">
              <w:t>[2016] FCA 3</w:t>
            </w:r>
            <w:r>
              <w:t xml:space="preserve">93 </w:t>
            </w:r>
          </w:p>
          <w:p w:rsidR="00A5328A" w:rsidRDefault="00A5328A" w:rsidP="00BA065D">
            <w:pPr>
              <w:pStyle w:val="Normal1linespace"/>
              <w:spacing w:after="60"/>
            </w:pPr>
            <w:r w:rsidRPr="00BD3084">
              <w:rPr>
                <w:i/>
              </w:rPr>
              <w:t xml:space="preserve">QBE Insurance (Australia) Ltd, in the matter of Division 3A of Part III of the Insurance Act 1973 (Cth) &amp; QBE Insurance (Australia) Ltd (No 2) </w:t>
            </w:r>
            <w:r w:rsidRPr="00BD3084">
              <w:t>[2016] FCA 288</w:t>
            </w:r>
            <w:bookmarkEnd w:id="4"/>
          </w:p>
        </w:tc>
      </w:tr>
      <w:tr w:rsidR="00A5328A" w:rsidRPr="00FB18D5" w:rsidTr="00FB18D5">
        <w:tc>
          <w:tcPr>
            <w:tcW w:w="3085" w:type="dxa"/>
            <w:shd w:val="clear" w:color="auto" w:fill="auto"/>
          </w:tcPr>
          <w:p w:rsidR="00A5328A" w:rsidRPr="00FB18D5" w:rsidRDefault="00A5328A" w:rsidP="00FB18D5">
            <w:pPr>
              <w:pStyle w:val="Normal1linespace"/>
              <w:jc w:val="left"/>
            </w:pPr>
          </w:p>
        </w:tc>
        <w:tc>
          <w:tcPr>
            <w:tcW w:w="5989" w:type="dxa"/>
            <w:shd w:val="clear" w:color="auto" w:fill="auto"/>
          </w:tcPr>
          <w:p w:rsidR="00A5328A" w:rsidRPr="00FB18D5" w:rsidRDefault="00A5328A" w:rsidP="00FB18D5">
            <w:pPr>
              <w:pStyle w:val="Normal1linespace"/>
              <w:jc w:val="left"/>
            </w:pPr>
          </w:p>
        </w:tc>
      </w:tr>
      <w:tr w:rsidR="00A5328A" w:rsidRPr="00FB18D5" w:rsidTr="00FB18D5">
        <w:tc>
          <w:tcPr>
            <w:tcW w:w="3085" w:type="dxa"/>
            <w:shd w:val="clear" w:color="auto" w:fill="auto"/>
          </w:tcPr>
          <w:p w:rsidR="00A5328A" w:rsidRPr="00FB18D5" w:rsidRDefault="00A5328A" w:rsidP="00FB18D5">
            <w:pPr>
              <w:pStyle w:val="Normal1linespace"/>
              <w:jc w:val="left"/>
            </w:pPr>
            <w:bookmarkStart w:id="5" w:name="CounselDate" w:colFirst="0" w:colLast="2"/>
            <w:r w:rsidRPr="00FB18D5">
              <w:t>Date of hearing:</w:t>
            </w:r>
          </w:p>
        </w:tc>
        <w:tc>
          <w:tcPr>
            <w:tcW w:w="5989" w:type="dxa"/>
            <w:shd w:val="clear" w:color="auto" w:fill="auto"/>
          </w:tcPr>
          <w:p w:rsidR="00A5328A" w:rsidRPr="00FB18D5" w:rsidRDefault="00A5328A" w:rsidP="00FB18D5">
            <w:pPr>
              <w:pStyle w:val="Normal1linespace"/>
              <w:jc w:val="left"/>
            </w:pPr>
            <w:bookmarkStart w:id="6" w:name="HearingDate"/>
            <w:r>
              <w:t>25 October 2016</w:t>
            </w:r>
            <w:bookmarkEnd w:id="6"/>
          </w:p>
        </w:tc>
      </w:tr>
      <w:tr w:rsidR="00A5328A" w:rsidRPr="00FB18D5" w:rsidTr="00A5328A">
        <w:trPr>
          <w:trHeight w:val="142"/>
        </w:trPr>
        <w:tc>
          <w:tcPr>
            <w:tcW w:w="3085" w:type="dxa"/>
            <w:shd w:val="clear" w:color="auto" w:fill="auto"/>
          </w:tcPr>
          <w:p w:rsidR="00A5328A" w:rsidRPr="00FB18D5" w:rsidRDefault="00A5328A" w:rsidP="00FB18D5">
            <w:pPr>
              <w:pStyle w:val="Normal1linespace"/>
              <w:jc w:val="left"/>
            </w:pPr>
          </w:p>
        </w:tc>
        <w:tc>
          <w:tcPr>
            <w:tcW w:w="5989" w:type="dxa"/>
            <w:shd w:val="clear" w:color="auto" w:fill="auto"/>
          </w:tcPr>
          <w:p w:rsidR="00A5328A" w:rsidRDefault="00A5328A" w:rsidP="00FB18D5">
            <w:pPr>
              <w:pStyle w:val="Normal1linespace"/>
              <w:jc w:val="left"/>
            </w:pPr>
          </w:p>
        </w:tc>
      </w:tr>
      <w:bookmarkEnd w:id="5"/>
      <w:tr w:rsidR="00A5328A" w:rsidTr="00FB18D5">
        <w:tc>
          <w:tcPr>
            <w:tcW w:w="3085" w:type="dxa"/>
            <w:shd w:val="clear" w:color="auto" w:fill="auto"/>
          </w:tcPr>
          <w:p w:rsidR="00A5328A" w:rsidRDefault="00A5328A" w:rsidP="00FB18D5">
            <w:pPr>
              <w:pStyle w:val="Normal1linespace"/>
              <w:widowControl w:val="0"/>
              <w:jc w:val="left"/>
            </w:pPr>
            <w:r>
              <w:t>Registry:</w:t>
            </w:r>
          </w:p>
        </w:tc>
        <w:tc>
          <w:tcPr>
            <w:tcW w:w="5989" w:type="dxa"/>
            <w:shd w:val="clear" w:color="auto" w:fill="auto"/>
          </w:tcPr>
          <w:p w:rsidR="00A5328A" w:rsidRPr="00F17599" w:rsidRDefault="0063017F" w:rsidP="00FB18D5">
            <w:pPr>
              <w:pStyle w:val="Normal1linespace"/>
              <w:widowControl w:val="0"/>
              <w:jc w:val="left"/>
            </w:pPr>
            <w:r>
              <w:fldChar w:fldCharType="begin"/>
            </w:r>
            <w:r>
              <w:instrText xml:space="preserve"> DOCPROPERTY  Registry </w:instrText>
            </w:r>
            <w:r>
              <w:fldChar w:fldCharType="separate"/>
            </w:r>
            <w:r w:rsidR="00A5328A">
              <w:t>New South Wales</w:t>
            </w:r>
            <w:r>
              <w:fldChar w:fldCharType="end"/>
            </w:r>
          </w:p>
        </w:tc>
      </w:tr>
      <w:tr w:rsidR="00A5328A" w:rsidTr="00FB18D5">
        <w:tc>
          <w:tcPr>
            <w:tcW w:w="3085" w:type="dxa"/>
            <w:shd w:val="clear" w:color="auto" w:fill="auto"/>
          </w:tcPr>
          <w:p w:rsidR="00A5328A" w:rsidRDefault="00A5328A" w:rsidP="00FB18D5">
            <w:pPr>
              <w:pStyle w:val="Normal1linespace"/>
              <w:widowControl w:val="0"/>
              <w:jc w:val="left"/>
            </w:pPr>
          </w:p>
        </w:tc>
        <w:tc>
          <w:tcPr>
            <w:tcW w:w="5989" w:type="dxa"/>
            <w:shd w:val="clear" w:color="auto" w:fill="auto"/>
          </w:tcPr>
          <w:p w:rsidR="00A5328A" w:rsidRDefault="00A5328A" w:rsidP="00FB18D5">
            <w:pPr>
              <w:pStyle w:val="Normal1linespace"/>
              <w:widowControl w:val="0"/>
              <w:jc w:val="left"/>
            </w:pPr>
          </w:p>
        </w:tc>
      </w:tr>
      <w:tr w:rsidR="00A5328A" w:rsidTr="00FB18D5">
        <w:tc>
          <w:tcPr>
            <w:tcW w:w="3085" w:type="dxa"/>
            <w:shd w:val="clear" w:color="auto" w:fill="auto"/>
          </w:tcPr>
          <w:p w:rsidR="00A5328A" w:rsidRDefault="00A5328A" w:rsidP="00FB18D5">
            <w:pPr>
              <w:pStyle w:val="Normal1linespace"/>
              <w:widowControl w:val="0"/>
              <w:jc w:val="left"/>
            </w:pPr>
            <w:r>
              <w:t>Division:</w:t>
            </w:r>
          </w:p>
        </w:tc>
        <w:tc>
          <w:tcPr>
            <w:tcW w:w="5989" w:type="dxa"/>
            <w:shd w:val="clear" w:color="auto" w:fill="auto"/>
          </w:tcPr>
          <w:p w:rsidR="00A5328A" w:rsidRPr="00F17599" w:rsidRDefault="0063017F" w:rsidP="00FB18D5">
            <w:pPr>
              <w:pStyle w:val="Normal1linespace"/>
              <w:widowControl w:val="0"/>
              <w:jc w:val="left"/>
            </w:pPr>
            <w:r>
              <w:fldChar w:fldCharType="begin"/>
            </w:r>
            <w:r>
              <w:instrText xml:space="preserve"> DOCPROPERTY  Division </w:instrText>
            </w:r>
            <w:r>
              <w:fldChar w:fldCharType="separate"/>
            </w:r>
            <w:r w:rsidR="00A5328A">
              <w:t>General Division</w:t>
            </w:r>
            <w:r>
              <w:fldChar w:fldCharType="end"/>
            </w:r>
          </w:p>
        </w:tc>
      </w:tr>
      <w:tr w:rsidR="00A5328A" w:rsidTr="00FB18D5">
        <w:tc>
          <w:tcPr>
            <w:tcW w:w="3085" w:type="dxa"/>
            <w:shd w:val="clear" w:color="auto" w:fill="auto"/>
          </w:tcPr>
          <w:p w:rsidR="00A5328A" w:rsidRDefault="00A5328A" w:rsidP="00FB18D5">
            <w:pPr>
              <w:pStyle w:val="Normal1linespace"/>
              <w:widowControl w:val="0"/>
              <w:jc w:val="left"/>
            </w:pPr>
          </w:p>
        </w:tc>
        <w:tc>
          <w:tcPr>
            <w:tcW w:w="5989" w:type="dxa"/>
            <w:shd w:val="clear" w:color="auto" w:fill="auto"/>
          </w:tcPr>
          <w:p w:rsidR="00A5328A" w:rsidRPr="00F17599" w:rsidRDefault="00A5328A" w:rsidP="00FB18D5">
            <w:pPr>
              <w:pStyle w:val="Normal1linespace"/>
              <w:widowControl w:val="0"/>
              <w:jc w:val="left"/>
              <w:rPr>
                <w:b/>
              </w:rPr>
            </w:pPr>
          </w:p>
        </w:tc>
      </w:tr>
      <w:tr w:rsidR="00A5328A" w:rsidTr="00FB18D5">
        <w:tc>
          <w:tcPr>
            <w:tcW w:w="3085" w:type="dxa"/>
            <w:shd w:val="clear" w:color="auto" w:fill="auto"/>
          </w:tcPr>
          <w:p w:rsidR="00A5328A" w:rsidRDefault="00A5328A" w:rsidP="00FB18D5">
            <w:pPr>
              <w:pStyle w:val="Normal1linespace"/>
              <w:widowControl w:val="0"/>
              <w:jc w:val="left"/>
            </w:pPr>
            <w:r>
              <w:t>National Practice Area:</w:t>
            </w:r>
          </w:p>
        </w:tc>
        <w:tc>
          <w:tcPr>
            <w:tcW w:w="5989" w:type="dxa"/>
            <w:shd w:val="clear" w:color="auto" w:fill="auto"/>
          </w:tcPr>
          <w:p w:rsidR="00A5328A" w:rsidRPr="00F17599" w:rsidRDefault="0063017F" w:rsidP="00FB18D5">
            <w:pPr>
              <w:pStyle w:val="Normal1linespace"/>
              <w:widowControl w:val="0"/>
              <w:jc w:val="left"/>
              <w:rPr>
                <w:b/>
              </w:rPr>
            </w:pPr>
            <w:r>
              <w:fldChar w:fldCharType="begin"/>
            </w:r>
            <w:r>
              <w:instrText xml:space="preserve"> DOCPROPERTY  "Practice Area"  \* MERGEFORMAT </w:instrText>
            </w:r>
            <w:r>
              <w:fldChar w:fldCharType="separate"/>
            </w:r>
            <w:r w:rsidR="00A5328A">
              <w:t>Commercial and Corporations</w:t>
            </w:r>
            <w:r>
              <w:fldChar w:fldCharType="end"/>
            </w:r>
          </w:p>
        </w:tc>
      </w:tr>
      <w:tr w:rsidR="00A5328A" w:rsidTr="00FB18D5">
        <w:tc>
          <w:tcPr>
            <w:tcW w:w="3085" w:type="dxa"/>
            <w:shd w:val="clear" w:color="auto" w:fill="auto"/>
          </w:tcPr>
          <w:p w:rsidR="00A5328A" w:rsidRDefault="00A5328A" w:rsidP="00FB18D5">
            <w:pPr>
              <w:pStyle w:val="Normal1linespace"/>
              <w:widowControl w:val="0"/>
              <w:jc w:val="left"/>
            </w:pPr>
          </w:p>
        </w:tc>
        <w:tc>
          <w:tcPr>
            <w:tcW w:w="5989" w:type="dxa"/>
            <w:shd w:val="clear" w:color="auto" w:fill="auto"/>
          </w:tcPr>
          <w:p w:rsidR="00A5328A" w:rsidRDefault="00A5328A" w:rsidP="00FB18D5">
            <w:pPr>
              <w:pStyle w:val="Normal1linespace"/>
              <w:widowControl w:val="0"/>
              <w:jc w:val="left"/>
            </w:pPr>
          </w:p>
        </w:tc>
      </w:tr>
      <w:tr w:rsidR="00A5328A" w:rsidTr="00FB18D5">
        <w:tc>
          <w:tcPr>
            <w:tcW w:w="3085" w:type="dxa"/>
            <w:shd w:val="clear" w:color="auto" w:fill="auto"/>
          </w:tcPr>
          <w:p w:rsidR="00A5328A" w:rsidRDefault="00A5328A" w:rsidP="00FB18D5">
            <w:pPr>
              <w:pStyle w:val="Normal1linespace"/>
              <w:widowControl w:val="0"/>
              <w:jc w:val="left"/>
            </w:pPr>
            <w:r>
              <w:t>Sub-area:</w:t>
            </w:r>
          </w:p>
        </w:tc>
        <w:tc>
          <w:tcPr>
            <w:tcW w:w="5989" w:type="dxa"/>
            <w:shd w:val="clear" w:color="auto" w:fill="auto"/>
          </w:tcPr>
          <w:p w:rsidR="00A5328A" w:rsidRDefault="0063017F" w:rsidP="00FB18D5">
            <w:pPr>
              <w:pStyle w:val="Normal1linespace"/>
              <w:widowControl w:val="0"/>
              <w:jc w:val="left"/>
            </w:pPr>
            <w:r>
              <w:fldChar w:fldCharType="begin"/>
            </w:r>
            <w:r>
              <w:instrText xml:space="preserve"> DOCPROPERTY  "Sub Area"  \* MERGEFORMAT </w:instrText>
            </w:r>
            <w:r>
              <w:fldChar w:fldCharType="separate"/>
            </w:r>
            <w:r w:rsidR="00A5328A" w:rsidRPr="00FB18D5">
              <w:rPr>
                <w:bCs/>
                <w:lang w:val="en-US"/>
              </w:rPr>
              <w:t xml:space="preserve">Commercial Contracts, </w:t>
            </w:r>
            <w:r w:rsidR="00A5328A">
              <w:t>Banking, Finance and Insurance</w:t>
            </w:r>
            <w:r>
              <w:fldChar w:fldCharType="end"/>
            </w:r>
          </w:p>
          <w:p w:rsidR="00A5328A" w:rsidRPr="00435936" w:rsidRDefault="00A5328A" w:rsidP="00FB18D5">
            <w:pPr>
              <w:pStyle w:val="Normal1linespace"/>
              <w:widowControl w:val="0"/>
              <w:jc w:val="left"/>
            </w:pPr>
            <w:r>
              <w:t xml:space="preserve">Insurance List </w:t>
            </w:r>
          </w:p>
        </w:tc>
      </w:tr>
      <w:tr w:rsidR="00A5328A" w:rsidTr="00FB18D5">
        <w:tc>
          <w:tcPr>
            <w:tcW w:w="3085" w:type="dxa"/>
            <w:shd w:val="clear" w:color="auto" w:fill="auto"/>
          </w:tcPr>
          <w:p w:rsidR="00A5328A" w:rsidRDefault="00A5328A" w:rsidP="00FB18D5">
            <w:pPr>
              <w:pStyle w:val="Normal1linespace"/>
              <w:widowControl w:val="0"/>
              <w:jc w:val="left"/>
            </w:pPr>
          </w:p>
        </w:tc>
        <w:tc>
          <w:tcPr>
            <w:tcW w:w="5989" w:type="dxa"/>
            <w:shd w:val="clear" w:color="auto" w:fill="auto"/>
          </w:tcPr>
          <w:p w:rsidR="00A5328A" w:rsidRDefault="00A5328A" w:rsidP="00FB18D5">
            <w:pPr>
              <w:pStyle w:val="Normal1linespace"/>
              <w:widowControl w:val="0"/>
              <w:jc w:val="left"/>
              <w:rPr>
                <w:b/>
              </w:rPr>
            </w:pPr>
          </w:p>
        </w:tc>
      </w:tr>
      <w:tr w:rsidR="00A5328A" w:rsidTr="00FB18D5">
        <w:tc>
          <w:tcPr>
            <w:tcW w:w="3085" w:type="dxa"/>
            <w:shd w:val="clear" w:color="auto" w:fill="auto"/>
          </w:tcPr>
          <w:p w:rsidR="00A5328A" w:rsidRDefault="00A5328A" w:rsidP="00FB18D5">
            <w:pPr>
              <w:pStyle w:val="Normal1linespace"/>
              <w:widowControl w:val="0"/>
              <w:jc w:val="left"/>
            </w:pPr>
            <w:r>
              <w:t>Category:</w:t>
            </w:r>
          </w:p>
        </w:tc>
        <w:tc>
          <w:tcPr>
            <w:tcW w:w="5989" w:type="dxa"/>
            <w:shd w:val="clear" w:color="auto" w:fill="auto"/>
          </w:tcPr>
          <w:p w:rsidR="00A5328A" w:rsidRDefault="00A5328A" w:rsidP="00FB18D5">
            <w:pPr>
              <w:pStyle w:val="Normal1linespace"/>
              <w:widowControl w:val="0"/>
              <w:jc w:val="left"/>
            </w:pPr>
            <w:r>
              <w:t>Catchwords</w:t>
            </w:r>
          </w:p>
        </w:tc>
      </w:tr>
      <w:tr w:rsidR="00A5328A" w:rsidTr="00FB18D5">
        <w:tc>
          <w:tcPr>
            <w:tcW w:w="3085" w:type="dxa"/>
            <w:shd w:val="clear" w:color="auto" w:fill="auto"/>
          </w:tcPr>
          <w:p w:rsidR="00A5328A" w:rsidRDefault="00A5328A" w:rsidP="00FB18D5">
            <w:pPr>
              <w:pStyle w:val="Normal1linespace"/>
              <w:widowControl w:val="0"/>
              <w:jc w:val="left"/>
            </w:pPr>
          </w:p>
        </w:tc>
        <w:tc>
          <w:tcPr>
            <w:tcW w:w="5989" w:type="dxa"/>
            <w:shd w:val="clear" w:color="auto" w:fill="auto"/>
          </w:tcPr>
          <w:p w:rsidR="00A5328A" w:rsidRDefault="00A5328A" w:rsidP="00FB18D5">
            <w:pPr>
              <w:pStyle w:val="Normal1linespace"/>
              <w:widowControl w:val="0"/>
              <w:jc w:val="left"/>
            </w:pPr>
          </w:p>
        </w:tc>
      </w:tr>
      <w:tr w:rsidR="00A5328A" w:rsidTr="00FB18D5">
        <w:tc>
          <w:tcPr>
            <w:tcW w:w="3085" w:type="dxa"/>
            <w:shd w:val="clear" w:color="auto" w:fill="auto"/>
          </w:tcPr>
          <w:p w:rsidR="00A5328A" w:rsidRDefault="00A5328A" w:rsidP="00FB18D5">
            <w:pPr>
              <w:pStyle w:val="Normal1linespace"/>
              <w:widowControl w:val="0"/>
              <w:jc w:val="left"/>
            </w:pPr>
            <w:r>
              <w:t>Number of paragraphs:</w:t>
            </w:r>
          </w:p>
        </w:tc>
        <w:tc>
          <w:tcPr>
            <w:tcW w:w="5989" w:type="dxa"/>
            <w:shd w:val="clear" w:color="auto" w:fill="auto"/>
          </w:tcPr>
          <w:p w:rsidR="00A5328A" w:rsidRDefault="00A5328A" w:rsidP="00FB18D5">
            <w:pPr>
              <w:pStyle w:val="Normal1linespace"/>
              <w:widowControl w:val="0"/>
              <w:jc w:val="left"/>
            </w:pPr>
            <w:bookmarkStart w:id="7" w:name="PlaceCategoryParagraphs"/>
            <w:r>
              <w:t>60</w:t>
            </w:r>
            <w:bookmarkEnd w:id="7"/>
          </w:p>
        </w:tc>
      </w:tr>
      <w:tr w:rsidR="00A5328A" w:rsidTr="00FB18D5">
        <w:tc>
          <w:tcPr>
            <w:tcW w:w="3085" w:type="dxa"/>
            <w:shd w:val="clear" w:color="auto" w:fill="auto"/>
          </w:tcPr>
          <w:p w:rsidR="00A5328A" w:rsidRDefault="00A5328A" w:rsidP="00FB18D5">
            <w:pPr>
              <w:pStyle w:val="Normal1linespace"/>
              <w:widowControl w:val="0"/>
              <w:jc w:val="left"/>
            </w:pPr>
          </w:p>
        </w:tc>
        <w:tc>
          <w:tcPr>
            <w:tcW w:w="5989" w:type="dxa"/>
            <w:shd w:val="clear" w:color="auto" w:fill="auto"/>
          </w:tcPr>
          <w:p w:rsidR="00A5328A" w:rsidRDefault="00A5328A" w:rsidP="00FB18D5">
            <w:pPr>
              <w:pStyle w:val="Normal1linespace"/>
              <w:widowControl w:val="0"/>
              <w:jc w:val="left"/>
            </w:pPr>
          </w:p>
        </w:tc>
      </w:tr>
      <w:tr w:rsidR="00A5328A" w:rsidTr="00FB18D5">
        <w:tc>
          <w:tcPr>
            <w:tcW w:w="3085" w:type="dxa"/>
            <w:shd w:val="clear" w:color="auto" w:fill="auto"/>
          </w:tcPr>
          <w:p w:rsidR="00A5328A" w:rsidRDefault="00A5328A" w:rsidP="00750B56">
            <w:pPr>
              <w:pStyle w:val="Normal1linespace"/>
              <w:widowControl w:val="0"/>
              <w:jc w:val="left"/>
            </w:pPr>
            <w:bookmarkStart w:id="8" w:name="Counsel" w:colFirst="0" w:colLast="2"/>
            <w:r>
              <w:t>Counsel for the  Applicant:</w:t>
            </w:r>
          </w:p>
        </w:tc>
        <w:tc>
          <w:tcPr>
            <w:tcW w:w="5989" w:type="dxa"/>
            <w:shd w:val="clear" w:color="auto" w:fill="auto"/>
          </w:tcPr>
          <w:p w:rsidR="00A5328A" w:rsidRDefault="00A5328A" w:rsidP="00FB18D5">
            <w:pPr>
              <w:pStyle w:val="Normal1linespace"/>
              <w:widowControl w:val="0"/>
              <w:jc w:val="left"/>
            </w:pPr>
            <w:bookmarkStart w:id="9" w:name="AppCounsel"/>
            <w:bookmarkEnd w:id="9"/>
            <w:r w:rsidRPr="00750B56">
              <w:t>Mr N Owens SC</w:t>
            </w:r>
          </w:p>
        </w:tc>
      </w:tr>
      <w:tr w:rsidR="00A5328A" w:rsidTr="00FB18D5">
        <w:tc>
          <w:tcPr>
            <w:tcW w:w="3085" w:type="dxa"/>
            <w:shd w:val="clear" w:color="auto" w:fill="auto"/>
          </w:tcPr>
          <w:p w:rsidR="00A5328A" w:rsidRDefault="00A5328A" w:rsidP="00FB18D5">
            <w:pPr>
              <w:pStyle w:val="Normal1linespace"/>
              <w:widowControl w:val="0"/>
              <w:jc w:val="left"/>
            </w:pPr>
          </w:p>
        </w:tc>
        <w:tc>
          <w:tcPr>
            <w:tcW w:w="5989" w:type="dxa"/>
            <w:shd w:val="clear" w:color="auto" w:fill="auto"/>
          </w:tcPr>
          <w:p w:rsidR="00A5328A" w:rsidRDefault="00A5328A" w:rsidP="00FB18D5">
            <w:pPr>
              <w:pStyle w:val="Normal1linespace"/>
              <w:widowControl w:val="0"/>
              <w:jc w:val="left"/>
            </w:pPr>
          </w:p>
        </w:tc>
      </w:tr>
      <w:tr w:rsidR="00A5328A" w:rsidTr="00FB18D5">
        <w:tc>
          <w:tcPr>
            <w:tcW w:w="3085" w:type="dxa"/>
            <w:shd w:val="clear" w:color="auto" w:fill="auto"/>
          </w:tcPr>
          <w:p w:rsidR="00A5328A" w:rsidRDefault="00A5328A" w:rsidP="00FB18D5">
            <w:pPr>
              <w:pStyle w:val="Normal1linespace"/>
              <w:widowControl w:val="0"/>
              <w:jc w:val="left"/>
            </w:pPr>
            <w:r>
              <w:t>Solicitor for the Applicant:</w:t>
            </w:r>
          </w:p>
        </w:tc>
        <w:tc>
          <w:tcPr>
            <w:tcW w:w="5989" w:type="dxa"/>
            <w:shd w:val="clear" w:color="auto" w:fill="auto"/>
          </w:tcPr>
          <w:p w:rsidR="00A5328A" w:rsidRDefault="00A5328A" w:rsidP="00FB18D5">
            <w:pPr>
              <w:pStyle w:val="Normal1linespace"/>
              <w:widowControl w:val="0"/>
              <w:jc w:val="left"/>
            </w:pPr>
            <w:r>
              <w:t>Clyde &amp; Co</w:t>
            </w:r>
          </w:p>
        </w:tc>
      </w:tr>
      <w:tr w:rsidR="00A5328A" w:rsidTr="00FB18D5">
        <w:tc>
          <w:tcPr>
            <w:tcW w:w="3085" w:type="dxa"/>
            <w:shd w:val="clear" w:color="auto" w:fill="auto"/>
          </w:tcPr>
          <w:p w:rsidR="00A5328A" w:rsidRDefault="00A5328A" w:rsidP="00FB18D5">
            <w:pPr>
              <w:pStyle w:val="Normal1linespace"/>
              <w:widowControl w:val="0"/>
              <w:jc w:val="left"/>
            </w:pPr>
          </w:p>
        </w:tc>
        <w:tc>
          <w:tcPr>
            <w:tcW w:w="5989" w:type="dxa"/>
            <w:shd w:val="clear" w:color="auto" w:fill="auto"/>
          </w:tcPr>
          <w:p w:rsidR="00A5328A" w:rsidRDefault="00A5328A" w:rsidP="00FB18D5">
            <w:pPr>
              <w:pStyle w:val="Normal1linespace"/>
              <w:widowControl w:val="0"/>
              <w:jc w:val="left"/>
            </w:pPr>
          </w:p>
        </w:tc>
      </w:tr>
      <w:tr w:rsidR="00A5328A" w:rsidTr="00FB18D5">
        <w:tc>
          <w:tcPr>
            <w:tcW w:w="3085" w:type="dxa"/>
            <w:shd w:val="clear" w:color="auto" w:fill="auto"/>
          </w:tcPr>
          <w:p w:rsidR="00A5328A" w:rsidRDefault="00A5328A" w:rsidP="00FB18D5">
            <w:pPr>
              <w:pStyle w:val="Normal1linespace"/>
              <w:widowControl w:val="0"/>
              <w:jc w:val="left"/>
            </w:pPr>
            <w:r>
              <w:t>Solicitor for the Australian Prudential Regulation Authority (APRA):</w:t>
            </w:r>
          </w:p>
        </w:tc>
        <w:tc>
          <w:tcPr>
            <w:tcW w:w="5989" w:type="dxa"/>
            <w:shd w:val="clear" w:color="auto" w:fill="auto"/>
          </w:tcPr>
          <w:p w:rsidR="00A5328A" w:rsidRDefault="00A5328A" w:rsidP="00FB18D5">
            <w:pPr>
              <w:pStyle w:val="Normal1linespace"/>
              <w:widowControl w:val="0"/>
              <w:jc w:val="left"/>
            </w:pPr>
            <w:r>
              <w:t>Mr R Claxon, Australian Prudential Regulation Authority</w:t>
            </w:r>
          </w:p>
        </w:tc>
      </w:tr>
      <w:bookmarkEnd w:id="8"/>
    </w:tbl>
    <w:p w:rsidR="00395B24" w:rsidRDefault="00395B24">
      <w:pPr>
        <w:pStyle w:val="Normal1linespace"/>
      </w:pPr>
    </w:p>
    <w:p w:rsidR="0092590B" w:rsidRDefault="0092590B">
      <w:pPr>
        <w:pStyle w:val="Normal1linespace"/>
      </w:pPr>
    </w:p>
    <w:p w:rsidR="00395B24" w:rsidRDefault="00395B24">
      <w:pPr>
        <w:pStyle w:val="Normal1linespace"/>
        <w:sectPr w:rsidR="00395B24">
          <w:footerReference w:type="first" r:id="rId9"/>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FB18D5" w:rsidP="00F92355">
            <w:pPr>
              <w:pStyle w:val="NormalHeadings"/>
              <w:jc w:val="right"/>
            </w:pPr>
            <w:bookmarkStart w:id="10" w:name="FileNo"/>
            <w:r>
              <w:t>NSD 1201 of 2015</w:t>
            </w:r>
            <w:bookmarkEnd w:id="10"/>
          </w:p>
        </w:tc>
      </w:tr>
      <w:tr w:rsidR="00527578" w:rsidTr="00E81DA6">
        <w:tc>
          <w:tcPr>
            <w:tcW w:w="6912" w:type="dxa"/>
            <w:gridSpan w:val="2"/>
          </w:tcPr>
          <w:p w:rsidR="00527578" w:rsidRPr="001765E0" w:rsidRDefault="00527578" w:rsidP="00525A49">
            <w:pPr>
              <w:pStyle w:val="NormalHeadings"/>
            </w:pPr>
          </w:p>
        </w:tc>
        <w:tc>
          <w:tcPr>
            <w:tcW w:w="2330" w:type="dxa"/>
          </w:tcPr>
          <w:p w:rsidR="00527578" w:rsidRDefault="00527578" w:rsidP="00F92355">
            <w:pPr>
              <w:pStyle w:val="NormalHeadings"/>
              <w:jc w:val="right"/>
            </w:pPr>
          </w:p>
        </w:tc>
      </w:tr>
      <w:tr w:rsidR="00A76C13" w:rsidTr="00F461A4">
        <w:tc>
          <w:tcPr>
            <w:tcW w:w="9242" w:type="dxa"/>
            <w:gridSpan w:val="3"/>
          </w:tcPr>
          <w:p w:rsidR="00527578" w:rsidRPr="00527578" w:rsidRDefault="00527578" w:rsidP="00527578">
            <w:pPr>
              <w:pStyle w:val="Default"/>
              <w:rPr>
                <w:szCs w:val="23"/>
              </w:rPr>
            </w:pPr>
            <w:bookmarkStart w:id="11" w:name="InTheMatterOf"/>
            <w:r w:rsidRPr="00527578">
              <w:rPr>
                <w:b/>
                <w:bCs/>
                <w:szCs w:val="23"/>
              </w:rPr>
              <w:t>IN THE MATTER OF W.R. BERKLEY INSURANCE (EUROPE) LIMITED ABN 81 126 483 681, AN APPLICATION UNDER DIVISION 3A OF PART III</w:t>
            </w:r>
            <w:r>
              <w:rPr>
                <w:b/>
                <w:bCs/>
                <w:szCs w:val="23"/>
              </w:rPr>
              <w:t xml:space="preserve"> OF THE INSURANCE ACT 1973(CTH)</w:t>
            </w:r>
          </w:p>
          <w:bookmarkEnd w:id="11"/>
          <w:p w:rsidR="00A76C13" w:rsidRPr="00A76C13" w:rsidRDefault="00A76C13" w:rsidP="00FB18D5">
            <w:pPr>
              <w:pStyle w:val="NormalHeadings"/>
              <w:jc w:val="left"/>
            </w:pPr>
          </w:p>
        </w:tc>
      </w:tr>
      <w:tr w:rsidR="00A46CCC" w:rsidTr="005041F0">
        <w:trPr>
          <w:trHeight w:val="386"/>
        </w:trPr>
        <w:tc>
          <w:tcPr>
            <w:tcW w:w="2376" w:type="dxa"/>
          </w:tcPr>
          <w:p w:rsidR="00A46CCC" w:rsidRDefault="00A46CCC" w:rsidP="005041F0">
            <w:pPr>
              <w:pStyle w:val="NormalHeadings"/>
              <w:jc w:val="left"/>
              <w:rPr>
                <w:caps/>
                <w:szCs w:val="24"/>
              </w:rPr>
            </w:pPr>
            <w:bookmarkStart w:id="12" w:name="Parties"/>
          </w:p>
        </w:tc>
        <w:tc>
          <w:tcPr>
            <w:tcW w:w="6866" w:type="dxa"/>
            <w:gridSpan w:val="2"/>
          </w:tcPr>
          <w:p w:rsidR="00FB18D5" w:rsidRDefault="00FB18D5" w:rsidP="00FB18D5">
            <w:pPr>
              <w:pStyle w:val="NormalHeadings"/>
              <w:jc w:val="left"/>
            </w:pPr>
            <w:bookmarkStart w:id="13" w:name="Applicant"/>
            <w:r>
              <w:t>W</w:t>
            </w:r>
            <w:r w:rsidR="00DF3309">
              <w:t>.</w:t>
            </w:r>
            <w:r>
              <w:t xml:space="preserve"> R</w:t>
            </w:r>
            <w:r w:rsidR="00DF3309">
              <w:t>.</w:t>
            </w:r>
            <w:r>
              <w:t xml:space="preserve"> BERKLEY INSURANCE (EUROPE) LIMITED </w:t>
            </w:r>
            <w:r w:rsidR="00457688">
              <w:t>(ABN 81 126 483 68)</w:t>
            </w:r>
          </w:p>
          <w:p w:rsidR="00FB18D5" w:rsidRDefault="00FB18D5" w:rsidP="00FB18D5">
            <w:pPr>
              <w:pStyle w:val="PartyType"/>
            </w:pPr>
            <w:r>
              <w:t>Applicant</w:t>
            </w:r>
          </w:p>
          <w:bookmarkEnd w:id="13"/>
          <w:p w:rsidR="00A46CCC" w:rsidRPr="006555B4" w:rsidRDefault="00A46CCC" w:rsidP="005041F0">
            <w:pPr>
              <w:pStyle w:val="NormalHeadings"/>
              <w:jc w:val="left"/>
            </w:pPr>
          </w:p>
        </w:tc>
      </w:tr>
      <w:tr w:rsidR="00395B24">
        <w:tc>
          <w:tcPr>
            <w:tcW w:w="2376" w:type="dxa"/>
          </w:tcPr>
          <w:p w:rsidR="00395B24" w:rsidRDefault="00FB18D5">
            <w:pPr>
              <w:pStyle w:val="NormalHeadings"/>
              <w:spacing w:after="120"/>
              <w:jc w:val="left"/>
              <w:rPr>
                <w:caps/>
                <w:szCs w:val="24"/>
              </w:rPr>
            </w:pPr>
            <w:bookmarkStart w:id="14" w:name="JudgeText"/>
            <w:bookmarkEnd w:id="12"/>
            <w:r>
              <w:rPr>
                <w:caps/>
                <w:szCs w:val="24"/>
              </w:rPr>
              <w:t>JUDGE</w:t>
            </w:r>
            <w:bookmarkEnd w:id="14"/>
            <w:r w:rsidR="002C7385">
              <w:rPr>
                <w:caps/>
                <w:szCs w:val="24"/>
              </w:rPr>
              <w:t>:</w:t>
            </w:r>
          </w:p>
        </w:tc>
        <w:tc>
          <w:tcPr>
            <w:tcW w:w="6866" w:type="dxa"/>
            <w:gridSpan w:val="2"/>
          </w:tcPr>
          <w:p w:rsidR="00395B24" w:rsidRDefault="00FB18D5">
            <w:pPr>
              <w:pStyle w:val="NormalHeadings"/>
              <w:jc w:val="left"/>
              <w:rPr>
                <w:caps/>
                <w:szCs w:val="24"/>
              </w:rPr>
            </w:pPr>
            <w:bookmarkStart w:id="15" w:name="Judge"/>
            <w:r>
              <w:rPr>
                <w:caps/>
                <w:szCs w:val="24"/>
              </w:rPr>
              <w:t>ALLSOP  CJ</w:t>
            </w:r>
            <w:bookmarkEnd w:id="15"/>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gridSpan w:val="2"/>
          </w:tcPr>
          <w:p w:rsidR="00395B24" w:rsidRDefault="00682B74">
            <w:pPr>
              <w:pStyle w:val="NormalHeadings"/>
              <w:jc w:val="left"/>
              <w:rPr>
                <w:caps/>
                <w:szCs w:val="24"/>
              </w:rPr>
            </w:pPr>
            <w:bookmarkStart w:id="16" w:name="Judgment_Dated"/>
            <w:r>
              <w:rPr>
                <w:caps/>
                <w:szCs w:val="24"/>
              </w:rPr>
              <w:t>28 October 2016</w:t>
            </w:r>
            <w:bookmarkEnd w:id="16"/>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682B74" w:rsidRDefault="00682B74">
      <w:pPr>
        <w:pStyle w:val="NormalHeadings"/>
      </w:pPr>
    </w:p>
    <w:p w:rsidR="00682B74" w:rsidRDefault="00682B74" w:rsidP="00682B74">
      <w:pPr>
        <w:pStyle w:val="Order1"/>
        <w:numPr>
          <w:ilvl w:val="0"/>
          <w:numId w:val="0"/>
        </w:numPr>
      </w:pPr>
      <w:bookmarkStart w:id="17" w:name="Order_Start_Text"/>
      <w:bookmarkEnd w:id="17"/>
    </w:p>
    <w:p w:rsidR="00682B74" w:rsidRPr="00682B74" w:rsidRDefault="00682B74" w:rsidP="00682B74">
      <w:pPr>
        <w:pStyle w:val="Order1"/>
      </w:pPr>
      <w:r w:rsidRPr="00682B74">
        <w:t xml:space="preserve">Pursuant to s 17F of the Insurance Act 1973 (Cth) (the Act), the scheme for the transfer of all of the insurance business in Australia of the Applicant to Berkley Insurance Company (ABN 53 126 559 706) (the Scheme), in the form annexed to these orders and marked "A", be confirmed without modification. </w:t>
      </w:r>
    </w:p>
    <w:p w:rsidR="00682B74" w:rsidRPr="00682B74" w:rsidRDefault="00682B74" w:rsidP="00682B74">
      <w:pPr>
        <w:pStyle w:val="Order1"/>
      </w:pPr>
      <w:r w:rsidRPr="00682B74">
        <w:t xml:space="preserve">Pursuant to s 17F(2) of the Act, all outwards reinsurance responding to any contract transferred pursuant to the Scheme, and all rights attaching to it, be, by this order, transferred to Berkley Insurance Company (ABN 53 126 559 706). </w:t>
      </w:r>
    </w:p>
    <w:p w:rsidR="00682B74" w:rsidRPr="00682B74" w:rsidRDefault="00682B74" w:rsidP="00682B74">
      <w:pPr>
        <w:pStyle w:val="Order1"/>
      </w:pPr>
      <w:r w:rsidRPr="00682B74">
        <w:t xml:space="preserve">The Scheme shall take effect from 1 November 2016. </w:t>
      </w:r>
    </w:p>
    <w:p w:rsidR="00682B74" w:rsidRPr="00682B74" w:rsidRDefault="00682B74" w:rsidP="00682B74">
      <w:pPr>
        <w:pStyle w:val="Order1"/>
      </w:pPr>
      <w:r w:rsidRPr="00682B74">
        <w:t xml:space="preserve">The Applicant </w:t>
      </w:r>
      <w:proofErr w:type="gramStart"/>
      <w:r w:rsidRPr="00682B74">
        <w:t>pay</w:t>
      </w:r>
      <w:proofErr w:type="gramEnd"/>
      <w:r w:rsidRPr="00682B74">
        <w:t xml:space="preserve"> the costs of APRA as agreed, or if agreement cannot be reached, as taxed. </w:t>
      </w:r>
    </w:p>
    <w:p w:rsidR="00682B74" w:rsidRPr="00682B74" w:rsidRDefault="00682B74" w:rsidP="00682B74">
      <w:pPr>
        <w:pStyle w:val="Order1"/>
      </w:pPr>
      <w:r w:rsidRPr="00682B74">
        <w:t xml:space="preserve">The orders </w:t>
      </w:r>
      <w:proofErr w:type="gramStart"/>
      <w:r w:rsidRPr="00682B74">
        <w:t>be</w:t>
      </w:r>
      <w:proofErr w:type="gramEnd"/>
      <w:r w:rsidRPr="00682B74">
        <w:t xml:space="preserve"> entered forthwith. </w:t>
      </w:r>
    </w:p>
    <w:p w:rsidR="00682B74" w:rsidRPr="00682B74" w:rsidRDefault="00682B74" w:rsidP="00682B74">
      <w:pPr>
        <w:pStyle w:val="Order1"/>
      </w:pPr>
      <w:r w:rsidRPr="00682B74">
        <w:t xml:space="preserve">Reasons to be published. </w:t>
      </w:r>
    </w:p>
    <w:p w:rsidR="00395B24" w:rsidRDefault="00395B24" w:rsidP="00682B74">
      <w:pPr>
        <w:pStyle w:val="Order1"/>
        <w:numPr>
          <w:ilvl w:val="0"/>
          <w:numId w:val="0"/>
        </w:numPr>
        <w:ind w:left="720"/>
      </w:pP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682B74" w:rsidP="001F2DBC">
      <w:pPr>
        <w:pStyle w:val="BodyText"/>
      </w:pPr>
      <w:r>
        <w:rPr>
          <w:noProof/>
          <w:lang w:eastAsia="en-AU"/>
        </w:rPr>
        <w:lastRenderedPageBreak/>
        <w:drawing>
          <wp:inline distT="0" distB="0" distL="0" distR="0">
            <wp:extent cx="5732145" cy="81006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Pages from Short Minutes of Order encl Annexure A (2) (4)-2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lang w:eastAsia="en-AU"/>
        </w:rPr>
        <w:lastRenderedPageBreak/>
        <w:drawing>
          <wp:inline distT="0" distB="0" distL="0" distR="0">
            <wp:extent cx="5732145" cy="810069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Pages from Short Minutes of Order encl Annexure A (2) (4)-2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lang w:eastAsia="en-AU"/>
        </w:rPr>
        <w:lastRenderedPageBreak/>
        <w:drawing>
          <wp:inline distT="0" distB="0" distL="0" distR="0">
            <wp:extent cx="5732145" cy="810069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Pages from Short Minutes of Order encl Annexure A (2) (4)-2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lang w:eastAsia="en-AU"/>
        </w:rPr>
        <w:lastRenderedPageBreak/>
        <w:drawing>
          <wp:inline distT="0" distB="0" distL="0" distR="0">
            <wp:extent cx="5732145" cy="81006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Pages from Short Minutes of Order encl Annexure A (2) (4)-2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lang w:eastAsia="en-AU"/>
        </w:rPr>
        <w:lastRenderedPageBreak/>
        <w:drawing>
          <wp:inline distT="0" distB="0" distL="0" distR="0">
            <wp:extent cx="5732145" cy="810069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Pages from Short Minutes of Order encl Annexure A (2) (4)-2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15"/>
          <w:headerReference w:type="first" r:id="rId16"/>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18" w:name="ReasonsPage"/>
      <w:bookmarkEnd w:id="18"/>
      <w:r w:rsidRPr="00045BB7">
        <w:rPr>
          <w:sz w:val="28"/>
          <w:szCs w:val="28"/>
        </w:rPr>
        <w:lastRenderedPageBreak/>
        <w:t>REASONS FOR JUDGMENT</w:t>
      </w:r>
    </w:p>
    <w:p w:rsidR="00395B24" w:rsidRPr="00EA03CE" w:rsidRDefault="00FB18D5" w:rsidP="005E0510">
      <w:pPr>
        <w:pStyle w:val="NormalHeadings"/>
        <w:spacing w:line="360" w:lineRule="auto"/>
        <w:jc w:val="left"/>
        <w:rPr>
          <w:sz w:val="26"/>
          <w:szCs w:val="26"/>
        </w:rPr>
      </w:pPr>
      <w:r>
        <w:rPr>
          <w:sz w:val="26"/>
          <w:szCs w:val="26"/>
        </w:rPr>
        <w:t>ALLSOP CJ</w:t>
      </w:r>
      <w:r w:rsidR="00484F6D" w:rsidRPr="00EA03CE">
        <w:rPr>
          <w:sz w:val="26"/>
          <w:szCs w:val="26"/>
        </w:rPr>
        <w:t>:</w:t>
      </w:r>
    </w:p>
    <w:p w:rsidR="00104D74" w:rsidRDefault="008C78CE" w:rsidP="00DF3309">
      <w:pPr>
        <w:pStyle w:val="ParaNumbering"/>
      </w:pPr>
      <w:r w:rsidRPr="008C78CE">
        <w:t xml:space="preserve">On 28 October 2016, I made orders pursuant to s 17F of the </w:t>
      </w:r>
      <w:r w:rsidRPr="008C78CE">
        <w:rPr>
          <w:i/>
        </w:rPr>
        <w:t>Insurance Act 1973</w:t>
      </w:r>
      <w:r w:rsidRPr="008C78CE">
        <w:t xml:space="preserve"> (Cth) (</w:t>
      </w:r>
      <w:r w:rsidRPr="008C78CE">
        <w:rPr>
          <w:b/>
        </w:rPr>
        <w:t>the</w:t>
      </w:r>
      <w:r w:rsidRPr="008C78CE">
        <w:t xml:space="preserve"> </w:t>
      </w:r>
      <w:r w:rsidRPr="008C78CE">
        <w:rPr>
          <w:b/>
        </w:rPr>
        <w:t>Act</w:t>
      </w:r>
      <w:r w:rsidRPr="008C78CE">
        <w:t>) confirming a scheme</w:t>
      </w:r>
      <w:r>
        <w:t xml:space="preserve"> </w:t>
      </w:r>
      <w:r w:rsidR="00C304F7">
        <w:t xml:space="preserve">for the transfer of </w:t>
      </w:r>
      <w:r w:rsidR="00DF3309" w:rsidRPr="00DF3309">
        <w:t xml:space="preserve">all of the insurance business in Australia of the </w:t>
      </w:r>
      <w:r w:rsidR="00DF3309">
        <w:t>a</w:t>
      </w:r>
      <w:r w:rsidR="00DF3309" w:rsidRPr="00DF3309">
        <w:t>pplicant</w:t>
      </w:r>
      <w:r w:rsidR="00DF3309">
        <w:t>, W.</w:t>
      </w:r>
      <w:r w:rsidR="00C304F7">
        <w:t>R</w:t>
      </w:r>
      <w:r w:rsidR="00DF3309">
        <w:t>.</w:t>
      </w:r>
      <w:r w:rsidR="00C304F7">
        <w:t xml:space="preserve"> Berkely Insurance (Europe) Ltd </w:t>
      </w:r>
      <w:r w:rsidR="00C304F7" w:rsidRPr="008C78CE">
        <w:rPr>
          <w:b/>
        </w:rPr>
        <w:t>(WRBIEL</w:t>
      </w:r>
      <w:r w:rsidR="00C304F7">
        <w:t>)</w:t>
      </w:r>
      <w:r w:rsidR="00DF3309">
        <w:t>,</w:t>
      </w:r>
      <w:r w:rsidR="00C304F7">
        <w:t xml:space="preserve"> to the Australian branch of Berkley Insurance Company</w:t>
      </w:r>
      <w:r w:rsidR="00104D74">
        <w:t xml:space="preserve"> (</w:t>
      </w:r>
      <w:r w:rsidR="00104D74" w:rsidRPr="008C78CE">
        <w:rPr>
          <w:b/>
        </w:rPr>
        <w:t>BIC</w:t>
      </w:r>
      <w:r w:rsidR="00104D74">
        <w:t>).</w:t>
      </w:r>
      <w:r>
        <w:t xml:space="preserve"> These are </w:t>
      </w:r>
      <w:r w:rsidR="00DF3309">
        <w:t>the</w:t>
      </w:r>
      <w:r>
        <w:t xml:space="preserve"> reasons therefor.</w:t>
      </w:r>
    </w:p>
    <w:p w:rsidR="008C78CE" w:rsidRDefault="008C78CE" w:rsidP="008C78CE">
      <w:pPr>
        <w:pStyle w:val="Heading1"/>
      </w:pPr>
      <w:r>
        <w:t>background</w:t>
      </w:r>
      <w:r w:rsidR="00DE27CC">
        <w:t xml:space="preserve"> </w:t>
      </w:r>
      <w:r w:rsidR="00230F78">
        <w:t>to</w:t>
      </w:r>
      <w:r w:rsidR="00DE27CC">
        <w:t xml:space="preserve"> the scheme</w:t>
      </w:r>
    </w:p>
    <w:p w:rsidR="008C78CE" w:rsidRDefault="00DF3309" w:rsidP="00DE27CC">
      <w:pPr>
        <w:pStyle w:val="ParaNumbering"/>
      </w:pPr>
      <w:r>
        <w:t>The applicant</w:t>
      </w:r>
      <w:r w:rsidR="008C78CE" w:rsidRPr="008C78CE">
        <w:t xml:space="preserve"> and BIC</w:t>
      </w:r>
      <w:r w:rsidR="008C78CE">
        <w:t xml:space="preserve"> </w:t>
      </w:r>
      <w:r w:rsidR="008C78CE" w:rsidRPr="008C78CE">
        <w:t>are</w:t>
      </w:r>
      <w:r w:rsidR="008C78CE">
        <w:t xml:space="preserve"> both foreign corporations authorised </w:t>
      </w:r>
      <w:r>
        <w:t xml:space="preserve">under s 12 of the Act </w:t>
      </w:r>
      <w:r w:rsidR="008C78CE">
        <w:t xml:space="preserve">to carry on </w:t>
      </w:r>
      <w:r w:rsidR="00BF1A94">
        <w:t xml:space="preserve">general </w:t>
      </w:r>
      <w:r w:rsidR="008C78CE">
        <w:t>insurance business in Australia</w:t>
      </w:r>
      <w:r w:rsidRPr="00DF3309">
        <w:t xml:space="preserve"> through </w:t>
      </w:r>
      <w:r>
        <w:t>local branch operations</w:t>
      </w:r>
      <w:r w:rsidR="008C78CE">
        <w:t xml:space="preserve">. Both corporations are </w:t>
      </w:r>
      <w:r w:rsidR="008C78CE" w:rsidRPr="008C78CE">
        <w:t xml:space="preserve">subsidiaries of the </w:t>
      </w:r>
      <w:r w:rsidR="0088723E">
        <w:t xml:space="preserve">international </w:t>
      </w:r>
      <w:r w:rsidR="00DE27CC">
        <w:t>insurance holding company,</w:t>
      </w:r>
      <w:r w:rsidR="0088723E">
        <w:t xml:space="preserve"> </w:t>
      </w:r>
      <w:r w:rsidR="008C78CE" w:rsidRPr="008C78CE">
        <w:t>W</w:t>
      </w:r>
      <w:r w:rsidR="00DE27CC">
        <w:t>.</w:t>
      </w:r>
      <w:r w:rsidR="008C78CE" w:rsidRPr="008C78CE">
        <w:t>R</w:t>
      </w:r>
      <w:r w:rsidR="00DE27CC">
        <w:t>.</w:t>
      </w:r>
      <w:r w:rsidR="008C78CE" w:rsidRPr="008C78CE">
        <w:t xml:space="preserve"> Berkley Corporation</w:t>
      </w:r>
      <w:r w:rsidR="00CE31F3">
        <w:t xml:space="preserve"> (</w:t>
      </w:r>
      <w:r w:rsidR="00CE31F3">
        <w:rPr>
          <w:b/>
        </w:rPr>
        <w:t>WRBC</w:t>
      </w:r>
      <w:r w:rsidR="00CE31F3">
        <w:t>)</w:t>
      </w:r>
      <w:r w:rsidR="008C78CE" w:rsidRPr="008C78CE">
        <w:t>, which</w:t>
      </w:r>
      <w:r w:rsidR="00230F78">
        <w:t xml:space="preserve"> was founded in 1967</w:t>
      </w:r>
      <w:r w:rsidR="003B18BF">
        <w:t xml:space="preserve"> and</w:t>
      </w:r>
      <w:r w:rsidR="008C78CE" w:rsidRPr="008C78CE">
        <w:t xml:space="preserve"> is listed on the New York Stock Exchange.</w:t>
      </w:r>
    </w:p>
    <w:p w:rsidR="007E2125" w:rsidRDefault="00F600A2" w:rsidP="00F600A2">
      <w:pPr>
        <w:pStyle w:val="ParaNumbering"/>
      </w:pPr>
      <w:r w:rsidRPr="00F600A2">
        <w:t xml:space="preserve">WRBIEL </w:t>
      </w:r>
      <w:r w:rsidR="008C78CE">
        <w:t xml:space="preserve">has </w:t>
      </w:r>
      <w:r w:rsidR="00B64C7D">
        <w:t xml:space="preserve">been licensed to write </w:t>
      </w:r>
      <w:r w:rsidR="008C78CE">
        <w:t>insurance in Australia since</w:t>
      </w:r>
      <w:r>
        <w:t xml:space="preserve"> December</w:t>
      </w:r>
      <w:r w:rsidR="008C78CE">
        <w:t xml:space="preserve"> 2007 in the areas of professional indemnity, </w:t>
      </w:r>
      <w:r>
        <w:t xml:space="preserve">associations liability, IT liability, </w:t>
      </w:r>
      <w:r w:rsidR="008C78CE">
        <w:t xml:space="preserve">medical malpractice, </w:t>
      </w:r>
      <w:r w:rsidR="008C78CE" w:rsidRPr="008C78CE">
        <w:t>directors’ and officers’</w:t>
      </w:r>
      <w:r w:rsidR="008C78CE">
        <w:t xml:space="preserve"> liability</w:t>
      </w:r>
      <w:r w:rsidR="008C78CE" w:rsidRPr="008C78CE">
        <w:t xml:space="preserve">, public liability, general liability, personal accident and travel, </w:t>
      </w:r>
      <w:r w:rsidR="0010075A">
        <w:t xml:space="preserve">motor (commercial and fleet), </w:t>
      </w:r>
      <w:r w:rsidR="00DB71A2">
        <w:t>management liability and certain other portfolios of risk</w:t>
      </w:r>
      <w:r w:rsidR="008C78CE">
        <w:t>.</w:t>
      </w:r>
      <w:r w:rsidR="00A61136" w:rsidRPr="00A61136">
        <w:t xml:space="preserve"> </w:t>
      </w:r>
      <w:r w:rsidR="00340051">
        <w:t xml:space="preserve">It </w:t>
      </w:r>
      <w:r>
        <w:t xml:space="preserve">writes business primarily through </w:t>
      </w:r>
      <w:r w:rsidR="00340051">
        <w:t>agents and broker-sourced</w:t>
      </w:r>
      <w:r w:rsidR="00340051" w:rsidRPr="00340051">
        <w:t xml:space="preserve"> insurance markets</w:t>
      </w:r>
      <w:r w:rsidR="0010075A">
        <w:t>.</w:t>
      </w:r>
    </w:p>
    <w:p w:rsidR="0010075A" w:rsidRDefault="0010075A" w:rsidP="00F600A2">
      <w:pPr>
        <w:pStyle w:val="ParaNumbering"/>
      </w:pPr>
      <w:r>
        <w:t xml:space="preserve">BIC has also written insurance in Australia since 2007.  Its initial </w:t>
      </w:r>
      <w:r w:rsidR="00F600A2">
        <w:t>business was directed to</w:t>
      </w:r>
      <w:r w:rsidRPr="00116988">
        <w:t xml:space="preserve"> property and casualty reinsurance risks in Australia, </w:t>
      </w:r>
      <w:r>
        <w:t>in particular</w:t>
      </w:r>
      <w:r w:rsidRPr="00116988">
        <w:t xml:space="preserve"> excess of loss and select proportional business for casualty facultative and treaty business.</w:t>
      </w:r>
      <w:r>
        <w:t xml:space="preserve"> Since the transfer </w:t>
      </w:r>
      <w:r w:rsidR="00F600A2">
        <w:t xml:space="preserve">to BIC in October 2014 </w:t>
      </w:r>
      <w:r>
        <w:t xml:space="preserve">of </w:t>
      </w:r>
      <w:r w:rsidR="00F600A2">
        <w:t xml:space="preserve">all of </w:t>
      </w:r>
      <w:r>
        <w:t>WRBIEL’s renewal rights</w:t>
      </w:r>
      <w:r w:rsidR="00F600A2">
        <w:t xml:space="preserve"> for Australian-sourced business as well as a</w:t>
      </w:r>
      <w:r>
        <w:t xml:space="preserve"> </w:t>
      </w:r>
      <w:r w:rsidRPr="00340051">
        <w:t xml:space="preserve">restructure of both </w:t>
      </w:r>
      <w:r>
        <w:t xml:space="preserve">the </w:t>
      </w:r>
      <w:r w:rsidRPr="00340051">
        <w:t>WRBIEL and BIC businesses</w:t>
      </w:r>
      <w:r>
        <w:t xml:space="preserve">, however, it </w:t>
      </w:r>
      <w:r w:rsidR="00F600A2">
        <w:t xml:space="preserve">now </w:t>
      </w:r>
      <w:r w:rsidR="006A7275">
        <w:t>operates with both</w:t>
      </w:r>
      <w:r>
        <w:t xml:space="preserve"> </w:t>
      </w:r>
      <w:r w:rsidRPr="00116988">
        <w:t>direct and</w:t>
      </w:r>
      <w:r>
        <w:t xml:space="preserve"> reinsurance </w:t>
      </w:r>
      <w:r w:rsidR="006A7275">
        <w:t>risks</w:t>
      </w:r>
      <w:r>
        <w:t xml:space="preserve"> in broadly the same categories </w:t>
      </w:r>
      <w:r w:rsidR="006A7275">
        <w:t>as are</w:t>
      </w:r>
      <w:r>
        <w:t xml:space="preserve"> written by </w:t>
      </w:r>
      <w:r w:rsidR="00F600A2" w:rsidRPr="00F600A2">
        <w:t>WRBIEL</w:t>
      </w:r>
    </w:p>
    <w:p w:rsidR="008C78CE" w:rsidRDefault="00F600A2" w:rsidP="00573EC3">
      <w:pPr>
        <w:pStyle w:val="ParaNumbering"/>
      </w:pPr>
      <w:r>
        <w:t xml:space="preserve">The application for confirmation of scheme before the Court represents a further stage of </w:t>
      </w:r>
      <w:r w:rsidR="00573EC3">
        <w:t>the business reorganisation of the W.</w:t>
      </w:r>
      <w:r w:rsidR="00573EC3" w:rsidRPr="00573EC3">
        <w:t>R. Berkley group of companies</w:t>
      </w:r>
      <w:r w:rsidR="00573EC3">
        <w:t xml:space="preserve"> in Australia </w:t>
      </w:r>
      <w:r>
        <w:t xml:space="preserve">through the transfer of </w:t>
      </w:r>
      <w:r w:rsidR="0010075A" w:rsidRPr="0010075A">
        <w:t xml:space="preserve">insurance contracts </w:t>
      </w:r>
      <w:r w:rsidR="0010075A">
        <w:t xml:space="preserve">(including the rights, obligations and liabilities under the contracts) </w:t>
      </w:r>
      <w:r w:rsidR="008C78CE" w:rsidRPr="008C78CE">
        <w:t xml:space="preserve">of one Australian branch of the group </w:t>
      </w:r>
      <w:r w:rsidR="00192084">
        <w:t>to</w:t>
      </w:r>
      <w:r w:rsidR="0088723E">
        <w:t xml:space="preserve"> another Australian branch.</w:t>
      </w:r>
    </w:p>
    <w:p w:rsidR="00573F30" w:rsidRDefault="00573EC3" w:rsidP="00BE6A54">
      <w:pPr>
        <w:pStyle w:val="ParaNumbering"/>
      </w:pPr>
      <w:r>
        <w:t>In addition</w:t>
      </w:r>
      <w:r w:rsidR="004671F4">
        <w:t>, WRBIEL will</w:t>
      </w:r>
      <w:r w:rsidR="00873359">
        <w:t xml:space="preserve"> </w:t>
      </w:r>
      <w:r w:rsidR="0010075A">
        <w:t>transfer to</w:t>
      </w:r>
      <w:r w:rsidR="00573F30">
        <w:t xml:space="preserve"> BIC </w:t>
      </w:r>
      <w:r w:rsidR="00873359" w:rsidRPr="00873359">
        <w:t>as</w:t>
      </w:r>
      <w:r w:rsidR="004671F4">
        <w:t xml:space="preserve">sets equal to the value of the assumed </w:t>
      </w:r>
      <w:r w:rsidR="00873359" w:rsidRPr="00873359">
        <w:t>liabilities</w:t>
      </w:r>
      <w:r w:rsidR="007144CE">
        <w:t xml:space="preserve"> value </w:t>
      </w:r>
      <w:r w:rsidR="00873359" w:rsidRPr="00873359">
        <w:t xml:space="preserve">plus an additional </w:t>
      </w:r>
      <w:r w:rsidR="008F16E9">
        <w:t>A</w:t>
      </w:r>
      <w:r>
        <w:t>UD</w:t>
      </w:r>
      <w:r w:rsidR="008F16E9">
        <w:t>$</w:t>
      </w:r>
      <w:r w:rsidR="00873359" w:rsidRPr="00873359">
        <w:t>1,500,000.</w:t>
      </w:r>
      <w:r w:rsidR="006E6570">
        <w:t xml:space="preserve"> </w:t>
      </w:r>
      <w:r w:rsidR="00BE6A54">
        <w:t>F</w:t>
      </w:r>
      <w:r w:rsidR="00BE6A54" w:rsidRPr="00873359">
        <w:t>ollowing</w:t>
      </w:r>
      <w:r w:rsidR="00BE6A54">
        <w:t xml:space="preserve"> </w:t>
      </w:r>
      <w:r w:rsidR="0030266E">
        <w:t>implementation of the scheme, WRBIEL will apply to</w:t>
      </w:r>
      <w:r>
        <w:t xml:space="preserve"> the Australian Prudential Regulation Authority</w:t>
      </w:r>
      <w:r w:rsidR="0030266E">
        <w:t xml:space="preserve"> </w:t>
      </w:r>
      <w:r>
        <w:t>(</w:t>
      </w:r>
      <w:r w:rsidR="0030266E" w:rsidRPr="00573EC3">
        <w:rPr>
          <w:b/>
        </w:rPr>
        <w:t>APRA</w:t>
      </w:r>
      <w:r>
        <w:t>)</w:t>
      </w:r>
      <w:r w:rsidR="0030266E">
        <w:t xml:space="preserve"> to revoke its </w:t>
      </w:r>
      <w:r w:rsidR="0030266E">
        <w:lastRenderedPageBreak/>
        <w:t>licence to carry on insurance business in Australia, and</w:t>
      </w:r>
      <w:r w:rsidR="00BE6A54">
        <w:t xml:space="preserve"> the remaining capital of</w:t>
      </w:r>
      <w:r w:rsidR="0010075A">
        <w:t xml:space="preserve"> WRBIEL</w:t>
      </w:r>
      <w:r w:rsidR="00BE6A54">
        <w:t xml:space="preserve"> </w:t>
      </w:r>
      <w:r w:rsidR="0030266E">
        <w:t>will be</w:t>
      </w:r>
      <w:r w:rsidR="00BE6A54">
        <w:t xml:space="preserve"> repatriated to </w:t>
      </w:r>
      <w:r w:rsidR="0030266E">
        <w:t xml:space="preserve">its UK head office. </w:t>
      </w:r>
      <w:r w:rsidR="00BE6A54" w:rsidRPr="00BE6A54">
        <w:t xml:space="preserve"> </w:t>
      </w:r>
    </w:p>
    <w:p w:rsidR="007909BE" w:rsidRDefault="007909BE" w:rsidP="007909BE">
      <w:pPr>
        <w:pStyle w:val="Heading1"/>
      </w:pPr>
      <w:r>
        <w:t>legislative framework</w:t>
      </w:r>
    </w:p>
    <w:p w:rsidR="00AE6E68" w:rsidRPr="007909BE" w:rsidRDefault="007909BE" w:rsidP="00AE6E68">
      <w:pPr>
        <w:pStyle w:val="ParaNumbering"/>
      </w:pPr>
      <w:r w:rsidRPr="007909BE">
        <w:t>Section 17B(1) provides</w:t>
      </w:r>
      <w:r w:rsidR="00AE6E68">
        <w:t xml:space="preserve"> </w:t>
      </w:r>
      <w:r w:rsidRPr="007909BE">
        <w:t xml:space="preserve">that no part of the insurance business of a general </w:t>
      </w:r>
      <w:r w:rsidR="008F16E9">
        <w:t>insurer</w:t>
      </w:r>
      <w:r w:rsidRPr="007909BE">
        <w:t xml:space="preserve"> may be transferred to another general insurer or amalgamated with the business of another general insurer except under a scheme confirmed by th</w:t>
      </w:r>
      <w:r w:rsidR="00AE6E68">
        <w:t>e</w:t>
      </w:r>
      <w:r w:rsidRPr="007909BE">
        <w:t xml:space="preserve"> C</w:t>
      </w:r>
      <w:r w:rsidR="003777A7">
        <w:t xml:space="preserve">ourt.  Section </w:t>
      </w:r>
      <w:r w:rsidR="00AE6E68">
        <w:t>17B(</w:t>
      </w:r>
      <w:r w:rsidR="003777A7">
        <w:t>3) requires the</w:t>
      </w:r>
      <w:r w:rsidRPr="007909BE">
        <w:t xml:space="preserve"> scheme </w:t>
      </w:r>
      <w:r w:rsidR="00DF2143">
        <w:t xml:space="preserve">to </w:t>
      </w:r>
      <w:r w:rsidRPr="007909BE">
        <w:t xml:space="preserve">set out the terms of the agreement or deed under which the proposed transfer or amalgamation is </w:t>
      </w:r>
      <w:r w:rsidR="00AE6E68">
        <w:t xml:space="preserve">to be </w:t>
      </w:r>
      <w:r w:rsidRPr="007909BE">
        <w:t>carried out; and the particulars of any other arrangements necessary to give effect to the scheme.</w:t>
      </w:r>
    </w:p>
    <w:p w:rsidR="007909BE" w:rsidRDefault="007909BE" w:rsidP="007909BE">
      <w:pPr>
        <w:pStyle w:val="ParaNumbering"/>
        <w:keepNext/>
      </w:pPr>
      <w:r>
        <w:t xml:space="preserve">Section 17C sets out the procedural steps </w:t>
      </w:r>
      <w:r w:rsidR="003777A7">
        <w:t>relevant to the</w:t>
      </w:r>
      <w:r>
        <w:t xml:space="preserve"> making</w:t>
      </w:r>
      <w:r w:rsidR="003777A7">
        <w:t xml:space="preserve"> of</w:t>
      </w:r>
      <w:r>
        <w:t xml:space="preserve"> an application of this kind. It reads:</w:t>
      </w:r>
    </w:p>
    <w:p w:rsidR="007909BE" w:rsidRDefault="007909BE" w:rsidP="007909BE">
      <w:pPr>
        <w:pStyle w:val="Quote1"/>
        <w:widowControl/>
      </w:pPr>
      <w:r>
        <w:t>(1)</w:t>
      </w:r>
      <w:r>
        <w:tab/>
        <w:t xml:space="preserve">In this section: </w:t>
      </w:r>
    </w:p>
    <w:p w:rsidR="007909BE" w:rsidRDefault="007909BE" w:rsidP="007909BE">
      <w:pPr>
        <w:pStyle w:val="Quote1"/>
        <w:widowControl/>
      </w:pPr>
      <w:proofErr w:type="gramStart"/>
      <w:r>
        <w:rPr>
          <w:b/>
          <w:bCs/>
          <w:i/>
          <w:iCs/>
        </w:rPr>
        <w:t>affected</w:t>
      </w:r>
      <w:proofErr w:type="gramEnd"/>
      <w:r>
        <w:rPr>
          <w:b/>
          <w:bCs/>
          <w:i/>
          <w:iCs/>
        </w:rPr>
        <w:t xml:space="preserve"> policyholder </w:t>
      </w:r>
      <w:r>
        <w:t xml:space="preserve">means the holder of a policy affected by a scheme. </w:t>
      </w:r>
    </w:p>
    <w:p w:rsidR="007909BE" w:rsidRDefault="007909BE" w:rsidP="007909BE">
      <w:pPr>
        <w:pStyle w:val="Quote1"/>
        <w:widowControl/>
      </w:pPr>
      <w:proofErr w:type="gramStart"/>
      <w:r>
        <w:rPr>
          <w:b/>
          <w:bCs/>
          <w:i/>
          <w:iCs/>
        </w:rPr>
        <w:t>approved</w:t>
      </w:r>
      <w:proofErr w:type="gramEnd"/>
      <w:r>
        <w:rPr>
          <w:b/>
          <w:bCs/>
          <w:i/>
          <w:iCs/>
        </w:rPr>
        <w:t xml:space="preserve"> summary </w:t>
      </w:r>
      <w:r>
        <w:t xml:space="preserve">means a summary approved by APRA. </w:t>
      </w:r>
    </w:p>
    <w:p w:rsidR="007909BE" w:rsidRDefault="007909BE" w:rsidP="007909BE">
      <w:pPr>
        <w:pStyle w:val="Quote1"/>
        <w:widowControl/>
      </w:pPr>
      <w:r>
        <w:t>(2)</w:t>
      </w:r>
      <w:r>
        <w:tab/>
        <w:t xml:space="preserve">An application for confirmation of a scheme may not be made unless: </w:t>
      </w:r>
    </w:p>
    <w:p w:rsidR="007909BE" w:rsidRDefault="007909BE" w:rsidP="007909BE">
      <w:pPr>
        <w:pStyle w:val="Quote2"/>
        <w:widowControl/>
        <w:ind w:left="2160" w:hanging="720"/>
      </w:pPr>
      <w:r>
        <w:t>(a)</w:t>
      </w:r>
      <w:r>
        <w:tab/>
      </w:r>
      <w:proofErr w:type="gramStart"/>
      <w:r>
        <w:t>a</w:t>
      </w:r>
      <w:proofErr w:type="gramEnd"/>
      <w:r>
        <w:t xml:space="preserve"> copy of the scheme and any actuarial report on which the scheme is based have been given to APRA in accordance with the prudential standards; and </w:t>
      </w:r>
    </w:p>
    <w:p w:rsidR="007909BE" w:rsidRDefault="007909BE" w:rsidP="007909BE">
      <w:pPr>
        <w:pStyle w:val="Quote2"/>
        <w:widowControl/>
        <w:ind w:left="2160" w:hanging="720"/>
      </w:pPr>
      <w:r>
        <w:t>(b)</w:t>
      </w:r>
      <w:r>
        <w:tab/>
      </w:r>
      <w:proofErr w:type="gramStart"/>
      <w:r>
        <w:t>notice</w:t>
      </w:r>
      <w:proofErr w:type="gramEnd"/>
      <w:r>
        <w:t xml:space="preserve"> of intention to make the application has been published by the applicant in accordance with the prudential standards; and </w:t>
      </w:r>
    </w:p>
    <w:p w:rsidR="007909BE" w:rsidRDefault="007909BE" w:rsidP="007909BE">
      <w:pPr>
        <w:pStyle w:val="Quote2"/>
        <w:widowControl/>
        <w:ind w:left="2160" w:hanging="720"/>
      </w:pPr>
      <w:r>
        <w:t>(c)</w:t>
      </w:r>
      <w:r>
        <w:tab/>
      </w:r>
      <w:proofErr w:type="gramStart"/>
      <w:r>
        <w:t>an</w:t>
      </w:r>
      <w:proofErr w:type="gramEnd"/>
      <w:r>
        <w:t xml:space="preserve"> approved summary of the scheme has been given to every affected policyholder.</w:t>
      </w:r>
    </w:p>
    <w:p w:rsidR="007909BE" w:rsidRDefault="007909BE" w:rsidP="007909BE">
      <w:pPr>
        <w:pStyle w:val="Quote1"/>
        <w:widowControl/>
        <w:ind w:left="1440" w:hanging="703"/>
      </w:pPr>
      <w:r>
        <w:t>(3)</w:t>
      </w:r>
      <w:r>
        <w:tab/>
        <w:t xml:space="preserve">Without limiting the provision that may be made by the prudential standards for the purposes of paragraph (2)(b), the notice referred to in that paragraph must include, in relation to each body corporate affected by the scheme, details of the place and time at which an affected policyholder may obtain a copy of the scheme. </w:t>
      </w:r>
    </w:p>
    <w:p w:rsidR="007909BE" w:rsidRDefault="007909BE" w:rsidP="007909BE">
      <w:pPr>
        <w:pStyle w:val="Quote1"/>
        <w:widowControl/>
        <w:spacing w:after="240"/>
        <w:ind w:left="1440" w:hanging="703"/>
      </w:pPr>
      <w:r>
        <w:t>(4)</w:t>
      </w:r>
      <w:r>
        <w:tab/>
        <w:t xml:space="preserve">An affected policyholder is entitled, on the person’s request, to be provided by the company with one copy of the scheme free of charge. </w:t>
      </w:r>
    </w:p>
    <w:p w:rsidR="00C67D5E" w:rsidRDefault="00C67D5E" w:rsidP="007909BE">
      <w:pPr>
        <w:pStyle w:val="Quote1"/>
        <w:widowControl/>
        <w:spacing w:after="240"/>
        <w:ind w:left="1440" w:hanging="703"/>
      </w:pPr>
      <w:r w:rsidRPr="00C67D5E">
        <w:t xml:space="preserve">(5)  </w:t>
      </w:r>
      <w:r>
        <w:tab/>
      </w:r>
      <w:r w:rsidRPr="00C67D5E">
        <w:t>The Federal Court may dispense with the need for compliance with paragraph (2</w:t>
      </w:r>
      <w:proofErr w:type="gramStart"/>
      <w:r w:rsidRPr="00C67D5E">
        <w:t>)(</w:t>
      </w:r>
      <w:proofErr w:type="gramEnd"/>
      <w:r w:rsidRPr="00C67D5E">
        <w:t>c) in relation to a particular scheme if it is satisfied that, because of the nature of the scheme or the circumstances attending its preparation, it is not necessary that the paragraph be complied with.</w:t>
      </w:r>
    </w:p>
    <w:p w:rsidR="00237497" w:rsidRDefault="00237497" w:rsidP="006E4796">
      <w:pPr>
        <w:pStyle w:val="ParaNumbering"/>
      </w:pPr>
      <w:r>
        <w:t xml:space="preserve">The requirement for the applicant to provide every affected policyholder </w:t>
      </w:r>
      <w:r w:rsidR="003777A7">
        <w:t xml:space="preserve">with an approved summary of the scheme under s </w:t>
      </w:r>
      <w:proofErr w:type="gramStart"/>
      <w:r w:rsidR="003777A7">
        <w:t>17C(</w:t>
      </w:r>
      <w:proofErr w:type="gramEnd"/>
      <w:r w:rsidR="003777A7">
        <w:t xml:space="preserve">2)(c) </w:t>
      </w:r>
      <w:r>
        <w:t xml:space="preserve">was waived by </w:t>
      </w:r>
      <w:r w:rsidR="00AE6E68">
        <w:t>orders of the Court made on</w:t>
      </w:r>
      <w:r>
        <w:t xml:space="preserve"> 1</w:t>
      </w:r>
      <w:r w:rsidR="00AE6E68">
        <w:t>5</w:t>
      </w:r>
      <w:r>
        <w:t xml:space="preserve"> April 2016</w:t>
      </w:r>
      <w:r w:rsidR="00AE6E68">
        <w:t xml:space="preserve"> on account of the difficulty in identifying the</w:t>
      </w:r>
      <w:r w:rsidR="00AE6E68" w:rsidRPr="00AE6E68">
        <w:t xml:space="preserve"> identity </w:t>
      </w:r>
      <w:r w:rsidR="00DD13AC">
        <w:t>and/or address of every</w:t>
      </w:r>
      <w:r w:rsidR="00AE6E68" w:rsidRPr="00AE6E68">
        <w:t xml:space="preserve"> </w:t>
      </w:r>
      <w:r w:rsidR="00AE6E68" w:rsidRPr="00AE6E68">
        <w:lastRenderedPageBreak/>
        <w:t>po</w:t>
      </w:r>
      <w:r w:rsidR="008F16E9">
        <w:t>tentially affected policyholder</w:t>
      </w:r>
      <w:r w:rsidR="00DD13AC">
        <w:t xml:space="preserve">. Instead, orders were made requiring the applicant to bring the proposed scheme to the attention of those affected policyholders who could be identified </w:t>
      </w:r>
      <w:r w:rsidR="006E4796">
        <w:t>through the applicant’s databases and relevant searches</w:t>
      </w:r>
      <w:r w:rsidR="003777A7">
        <w:t xml:space="preserve">: </w:t>
      </w:r>
      <w:r w:rsidR="006E4796">
        <w:t>s</w:t>
      </w:r>
      <w:r w:rsidR="003777A7">
        <w:t>ee</w:t>
      </w:r>
      <w:r w:rsidR="00F70F22" w:rsidRPr="00F70F22">
        <w:t xml:space="preserve"> </w:t>
      </w:r>
      <w:r w:rsidR="00F70F22" w:rsidRPr="006E4796">
        <w:rPr>
          <w:i/>
        </w:rPr>
        <w:t>W.R. Berkley Insurance (Europe) Limited, in the matter of Division 3A of Part III of the Insurance Act (1973)</w:t>
      </w:r>
      <w:r w:rsidR="00F70F22" w:rsidRPr="00F70F22">
        <w:t xml:space="preserve"> [2016] FCA </w:t>
      </w:r>
      <w:r w:rsidR="00F70F22">
        <w:t xml:space="preserve">374 and </w:t>
      </w:r>
      <w:r w:rsidR="00F70F22" w:rsidRPr="006E4796">
        <w:rPr>
          <w:i/>
        </w:rPr>
        <w:t>W.R. Berkley Insurance (Europe) Limited, in the matter of Division 3A of Part III of the Insurance Act (1973) (No 2)</w:t>
      </w:r>
      <w:r w:rsidR="00F70F22">
        <w:t xml:space="preserve"> </w:t>
      </w:r>
      <w:r w:rsidR="00F70F22" w:rsidRPr="00F70F22">
        <w:t>[2016] FCA 3</w:t>
      </w:r>
      <w:r w:rsidR="00F70F22">
        <w:t>93.</w:t>
      </w:r>
    </w:p>
    <w:p w:rsidR="007909BE" w:rsidRDefault="007909BE" w:rsidP="007909BE">
      <w:pPr>
        <w:pStyle w:val="ParaNumbering"/>
      </w:pPr>
      <w:r>
        <w:t>Section 17F deals with the Court’s discretion to confirm a scheme. It provides:</w:t>
      </w:r>
    </w:p>
    <w:p w:rsidR="007909BE" w:rsidRDefault="007909BE" w:rsidP="007909BE">
      <w:pPr>
        <w:pStyle w:val="Quote1"/>
        <w:widowControl/>
      </w:pPr>
      <w:r>
        <w:t>(1)</w:t>
      </w:r>
      <w:r>
        <w:tab/>
        <w:t xml:space="preserve">The Federal Court may: </w:t>
      </w:r>
    </w:p>
    <w:p w:rsidR="007909BE" w:rsidRDefault="007909BE" w:rsidP="007909BE">
      <w:pPr>
        <w:pStyle w:val="Quote2"/>
        <w:widowControl/>
        <w:ind w:left="2160" w:hanging="720"/>
      </w:pPr>
      <w:r>
        <w:t>(a)</w:t>
      </w:r>
      <w:r>
        <w:tab/>
      </w:r>
      <w:proofErr w:type="gramStart"/>
      <w:r>
        <w:t>confirm</w:t>
      </w:r>
      <w:proofErr w:type="gramEnd"/>
      <w:r>
        <w:t xml:space="preserve"> a scheme without modification; or </w:t>
      </w:r>
    </w:p>
    <w:p w:rsidR="007909BE" w:rsidRDefault="007909BE" w:rsidP="007909BE">
      <w:pPr>
        <w:pStyle w:val="Quote2"/>
        <w:widowControl/>
        <w:ind w:left="2160" w:hanging="720"/>
      </w:pPr>
      <w:r>
        <w:t>(b)</w:t>
      </w:r>
      <w:r>
        <w:tab/>
      </w:r>
      <w:proofErr w:type="gramStart"/>
      <w:r>
        <w:t>confirm</w:t>
      </w:r>
      <w:proofErr w:type="gramEnd"/>
      <w:r>
        <w:t xml:space="preserve"> the scheme subject to such modifications as it thinks appropriate; or </w:t>
      </w:r>
    </w:p>
    <w:p w:rsidR="007909BE" w:rsidRDefault="007909BE" w:rsidP="007909BE">
      <w:pPr>
        <w:pStyle w:val="Quote2"/>
        <w:widowControl/>
        <w:ind w:left="2160" w:hanging="720"/>
      </w:pPr>
      <w:r>
        <w:t>(c)</w:t>
      </w:r>
      <w:r>
        <w:tab/>
      </w:r>
      <w:proofErr w:type="gramStart"/>
      <w:r>
        <w:t>refuse</w:t>
      </w:r>
      <w:proofErr w:type="gramEnd"/>
      <w:r>
        <w:t xml:space="preserve"> to confirm the scheme. </w:t>
      </w:r>
    </w:p>
    <w:p w:rsidR="007909BE" w:rsidRDefault="007909BE" w:rsidP="007909BE">
      <w:pPr>
        <w:pStyle w:val="Quote3"/>
        <w:widowControl/>
        <w:ind w:left="1440" w:hanging="720"/>
      </w:pPr>
      <w:r>
        <w:t>(1A)</w:t>
      </w:r>
      <w:r>
        <w:tab/>
      </w:r>
      <w:proofErr w:type="gramStart"/>
      <w:r>
        <w:t>In</w:t>
      </w:r>
      <w:proofErr w:type="gramEnd"/>
      <w:r>
        <w:t xml:space="preserve"> deciding whether to confirm a scheme (with or without modifications), the Federal Court must have regard to: </w:t>
      </w:r>
    </w:p>
    <w:p w:rsidR="007909BE" w:rsidRDefault="007909BE" w:rsidP="007909BE">
      <w:pPr>
        <w:pStyle w:val="Quote2"/>
        <w:widowControl/>
        <w:ind w:left="2160" w:hanging="720"/>
      </w:pPr>
      <w:r>
        <w:t>(a)</w:t>
      </w:r>
      <w:r>
        <w:tab/>
      </w:r>
      <w:proofErr w:type="gramStart"/>
      <w:r>
        <w:t>the</w:t>
      </w:r>
      <w:proofErr w:type="gramEnd"/>
      <w:r>
        <w:t xml:space="preserve"> interests of the policyholders of a body corporate affected by the scheme; and </w:t>
      </w:r>
    </w:p>
    <w:p w:rsidR="007909BE" w:rsidRDefault="007909BE" w:rsidP="007909BE">
      <w:pPr>
        <w:pStyle w:val="Quote2"/>
        <w:widowControl/>
        <w:ind w:left="2160" w:hanging="720"/>
      </w:pPr>
      <w:r>
        <w:t>(b)</w:t>
      </w:r>
      <w:r>
        <w:tab/>
      </w:r>
      <w:proofErr w:type="gramStart"/>
      <w:r>
        <w:t>if</w:t>
      </w:r>
      <w:proofErr w:type="gramEnd"/>
      <w:r>
        <w:t xml:space="preserve"> a report relevant to all or part of the scheme has been filed with the Court under section 62ZI—that report; and </w:t>
      </w:r>
    </w:p>
    <w:p w:rsidR="007909BE" w:rsidRDefault="007909BE" w:rsidP="007909BE">
      <w:pPr>
        <w:pStyle w:val="Quote2"/>
        <w:widowControl/>
        <w:ind w:left="2160" w:hanging="720"/>
      </w:pPr>
      <w:r>
        <w:t>(c)</w:t>
      </w:r>
      <w:r>
        <w:tab/>
      </w:r>
      <w:proofErr w:type="gramStart"/>
      <w:r>
        <w:t>any</w:t>
      </w:r>
      <w:proofErr w:type="gramEnd"/>
      <w:r>
        <w:t xml:space="preserve"> other matter the Court considers relevant. </w:t>
      </w:r>
    </w:p>
    <w:p w:rsidR="00573F30" w:rsidRDefault="00CE31F3" w:rsidP="00C645BE">
      <w:pPr>
        <w:pStyle w:val="Quote1"/>
        <w:ind w:left="1440" w:hanging="703"/>
      </w:pPr>
      <w:r>
        <w:t xml:space="preserve">(2) </w:t>
      </w:r>
      <w:r w:rsidR="00C645BE">
        <w:tab/>
      </w:r>
      <w:r w:rsidR="007909BE">
        <w:t>The Federal Court may make such orders as it thinks fit in relation to reinsurance</w:t>
      </w:r>
      <w:r w:rsidR="006E4796">
        <w:t>.</w:t>
      </w:r>
    </w:p>
    <w:p w:rsidR="006E4796" w:rsidRDefault="006E6570" w:rsidP="00FA17D3">
      <w:pPr>
        <w:pStyle w:val="ParaNumbering"/>
      </w:pPr>
      <w:r>
        <w:t xml:space="preserve">In </w:t>
      </w:r>
      <w:r w:rsidR="00C41C78">
        <w:t>relation to</w:t>
      </w:r>
      <w:r>
        <w:t xml:space="preserve"> </w:t>
      </w:r>
      <w:r w:rsidR="00C41C78">
        <w:t xml:space="preserve">the requirement in </w:t>
      </w:r>
      <w:r>
        <w:t>s</w:t>
      </w:r>
      <w:r w:rsidR="0068671A">
        <w:t xml:space="preserve"> </w:t>
      </w:r>
      <w:proofErr w:type="gramStart"/>
      <w:r>
        <w:t>17</w:t>
      </w:r>
      <w:r w:rsidR="0078651F">
        <w:t>F</w:t>
      </w:r>
      <w:r>
        <w:t>(</w:t>
      </w:r>
      <w:proofErr w:type="gramEnd"/>
      <w:r>
        <w:t xml:space="preserve">1A), the Court </w:t>
      </w:r>
      <w:r w:rsidR="00200481">
        <w:t xml:space="preserve">in exercising its general discretion </w:t>
      </w:r>
      <w:r>
        <w:t>will</w:t>
      </w:r>
      <w:r w:rsidR="00C41C78">
        <w:t xml:space="preserve"> consider the</w:t>
      </w:r>
      <w:r w:rsidR="00C41C78" w:rsidRPr="00C41C78">
        <w:t xml:space="preserve"> i</w:t>
      </w:r>
      <w:r w:rsidR="00C41C78">
        <w:t>nterests of the policyholders of</w:t>
      </w:r>
      <w:r w:rsidR="00C41C78" w:rsidRPr="00C41C78">
        <w:t xml:space="preserve"> both the transferor and transferee</w:t>
      </w:r>
      <w:r w:rsidR="00C41C78">
        <w:t xml:space="preserve"> </w:t>
      </w:r>
      <w:r w:rsidR="0078651F">
        <w:t>entities</w:t>
      </w:r>
      <w:r w:rsidR="00C41C78">
        <w:t xml:space="preserve">, in this case WRBIEL and BIC respectively, </w:t>
      </w:r>
      <w:r w:rsidR="00C41C78" w:rsidRPr="00C41C78">
        <w:t xml:space="preserve">and consider whether implementation of the scheme will </w:t>
      </w:r>
      <w:r w:rsidR="00DF5B6C">
        <w:t xml:space="preserve">materially </w:t>
      </w:r>
      <w:r w:rsidR="00C41C78" w:rsidRPr="00C41C78">
        <w:t xml:space="preserve">detrimentally affect </w:t>
      </w:r>
      <w:r w:rsidR="00C41C78">
        <w:t>the policyholders</w:t>
      </w:r>
      <w:r w:rsidR="00C41C78" w:rsidRPr="00C41C78">
        <w:t xml:space="preserve">: see </w:t>
      </w:r>
      <w:r w:rsidR="00C41C78" w:rsidRPr="00C41C78">
        <w:rPr>
          <w:i/>
        </w:rPr>
        <w:t>Re Westport Insurance Corporation (No 2)</w:t>
      </w:r>
      <w:r w:rsidR="00C41C78" w:rsidRPr="00C41C78">
        <w:t xml:space="preserve"> [2009] FCA 1598; 181 FCR 530 at</w:t>
      </w:r>
      <w:r w:rsidR="00C645BE">
        <w:t xml:space="preserve"> 535</w:t>
      </w:r>
      <w:r w:rsidR="00C41C78" w:rsidRPr="00C41C78">
        <w:t xml:space="preserve"> [32] per Lin</w:t>
      </w:r>
      <w:r w:rsidR="0078651F">
        <w:t>d</w:t>
      </w:r>
      <w:r w:rsidR="00C41C78" w:rsidRPr="00C41C78">
        <w:t>gren J.</w:t>
      </w:r>
      <w:r w:rsidR="00C41C78">
        <w:t xml:space="preserve"> </w:t>
      </w:r>
    </w:p>
    <w:p w:rsidR="006E6570" w:rsidRDefault="00C41C78" w:rsidP="00D24FA5">
      <w:pPr>
        <w:pStyle w:val="ParaNumbering"/>
      </w:pPr>
      <w:r>
        <w:t xml:space="preserve">This </w:t>
      </w:r>
      <w:r w:rsidR="006E4796">
        <w:t>involves the</w:t>
      </w:r>
      <w:r w:rsidR="00F70F22">
        <w:t xml:space="preserve"> applicant providing the Court with</w:t>
      </w:r>
      <w:r>
        <w:t xml:space="preserve"> actuarial evidence </w:t>
      </w:r>
      <w:r w:rsidR="00F70F22">
        <w:t>directed to explaining</w:t>
      </w:r>
      <w:r>
        <w:t xml:space="preserve"> any change in </w:t>
      </w:r>
      <w:r w:rsidR="006E4796">
        <w:t xml:space="preserve">the </w:t>
      </w:r>
      <w:r>
        <w:t>financial</w:t>
      </w:r>
      <w:r w:rsidR="006E4796">
        <w:t xml:space="preserve"> profile</w:t>
      </w:r>
      <w:r>
        <w:t xml:space="preserve"> or risk profile </w:t>
      </w:r>
      <w:r w:rsidR="006E4796">
        <w:t>projected to be experienced by</w:t>
      </w:r>
      <w:r>
        <w:t xml:space="preserve"> </w:t>
      </w:r>
      <w:r w:rsidR="002039A5">
        <w:t xml:space="preserve">transferring and existing </w:t>
      </w:r>
      <w:r>
        <w:t>policyholders.</w:t>
      </w:r>
      <w:r w:rsidR="00FA17D3">
        <w:t xml:space="preserve"> The Court should appreciate </w:t>
      </w:r>
      <w:r w:rsidR="0087511B">
        <w:t xml:space="preserve">from the evidence ‘the nature </w:t>
      </w:r>
      <w:r w:rsidR="00AF21B3">
        <w:t xml:space="preserve">of the </w:t>
      </w:r>
      <w:r w:rsidR="00FA17D3" w:rsidRPr="00FA17D3">
        <w:t xml:space="preserve">actual </w:t>
      </w:r>
      <w:r w:rsidR="00D24FA5" w:rsidRPr="00D24FA5">
        <w:t>or potential claims to which the transferor insurer is subject and the financial viability of the transferee insurer</w:t>
      </w:r>
      <w:r w:rsidR="00F70F22">
        <w:t>’</w:t>
      </w:r>
      <w:r w:rsidR="00FA17D3">
        <w:t xml:space="preserve">: </w:t>
      </w:r>
      <w:r w:rsidR="00FA17D3" w:rsidRPr="00FA17D3">
        <w:rPr>
          <w:i/>
        </w:rPr>
        <w:t>In the matter of Reward Insurance Ltd</w:t>
      </w:r>
      <w:r w:rsidR="00FA17D3" w:rsidRPr="00FA17D3">
        <w:t xml:space="preserve"> [2004] FCA 151</w:t>
      </w:r>
      <w:r w:rsidR="0087511B">
        <w:t xml:space="preserve"> </w:t>
      </w:r>
      <w:r w:rsidR="00F70F22">
        <w:t xml:space="preserve">J </w:t>
      </w:r>
      <w:r w:rsidR="0087511B">
        <w:t>at [3]</w:t>
      </w:r>
      <w:r w:rsidR="002039A5">
        <w:t xml:space="preserve"> </w:t>
      </w:r>
      <w:r w:rsidR="00AF21B3">
        <w:t>per Heerey</w:t>
      </w:r>
      <w:r w:rsidR="00DF5B6C">
        <w:t xml:space="preserve"> J.</w:t>
      </w:r>
    </w:p>
    <w:p w:rsidR="008F6E6B" w:rsidRDefault="00C41C78" w:rsidP="004538AA">
      <w:pPr>
        <w:pStyle w:val="ParaNumbering"/>
      </w:pPr>
      <w:r>
        <w:lastRenderedPageBreak/>
        <w:t xml:space="preserve">A further matter to note in relation to this scheme is the fact that it </w:t>
      </w:r>
      <w:r w:rsidR="00CE31F3">
        <w:t>involves a transfer between</w:t>
      </w:r>
      <w:r w:rsidR="00C55DF8">
        <w:t xml:space="preserve"> the Australian branches of</w:t>
      </w:r>
      <w:r w:rsidR="00CE31F3">
        <w:t xml:space="preserve"> </w:t>
      </w:r>
      <w:r w:rsidR="00AF21B3">
        <w:t>foreign corporations (albeit each belonging to</w:t>
      </w:r>
      <w:r w:rsidR="004538AA">
        <w:t xml:space="preserve"> </w:t>
      </w:r>
      <w:r w:rsidR="004538AA" w:rsidRPr="004538AA">
        <w:t>the</w:t>
      </w:r>
      <w:r w:rsidR="004538AA">
        <w:t xml:space="preserve"> </w:t>
      </w:r>
      <w:r w:rsidR="004538AA" w:rsidRPr="004538AA">
        <w:t>W. R. Berkley group of companies</w:t>
      </w:r>
      <w:r w:rsidR="00AF21B3">
        <w:t>)</w:t>
      </w:r>
      <w:r w:rsidR="00CE31F3">
        <w:t>.</w:t>
      </w:r>
      <w:r w:rsidR="008F6E6B">
        <w:t xml:space="preserve"> Lindgren J summaries the regulation of foreign insurers </w:t>
      </w:r>
      <w:r w:rsidR="00AF21B3">
        <w:t>by APRA</w:t>
      </w:r>
      <w:r w:rsidR="00C55DF8">
        <w:t xml:space="preserve"> in</w:t>
      </w:r>
      <w:r w:rsidR="008F6E6B">
        <w:t xml:space="preserve"> </w:t>
      </w:r>
      <w:r w:rsidR="008F6E6B" w:rsidRPr="00063145">
        <w:rPr>
          <w:i/>
        </w:rPr>
        <w:t>Westport</w:t>
      </w:r>
      <w:r w:rsidR="008F6E6B">
        <w:t xml:space="preserve"> </w:t>
      </w:r>
      <w:r w:rsidR="008F6E6B" w:rsidRPr="00B23E45">
        <w:t xml:space="preserve">181 FCR </w:t>
      </w:r>
      <w:r w:rsidR="008F6E6B">
        <w:t>at 532 [11]</w:t>
      </w:r>
      <w:r w:rsidR="004538AA">
        <w:t>-[12]</w:t>
      </w:r>
      <w:r w:rsidR="008F6E6B">
        <w:t>:</w:t>
      </w:r>
    </w:p>
    <w:p w:rsidR="008F6E6B" w:rsidRDefault="004538AA" w:rsidP="008F6E6B">
      <w:pPr>
        <w:pStyle w:val="Quote1"/>
      </w:pPr>
      <w:r>
        <w:t xml:space="preserve">[11] </w:t>
      </w:r>
      <w:r w:rsidR="008F6E6B" w:rsidRPr="00B23E45">
        <w:t>An Australian “branch” of a foreign gener</w:t>
      </w:r>
      <w:r w:rsidR="008F6E6B">
        <w:t xml:space="preserve">al insurer is a notional entity </w:t>
      </w:r>
      <w:r w:rsidR="008F6E6B" w:rsidRPr="00B23E45">
        <w:t>representing the assets and liabilities of that company in Australia. The branch</w:t>
      </w:r>
      <w:r w:rsidR="008F6E6B">
        <w:t xml:space="preserve"> </w:t>
      </w:r>
      <w:r w:rsidR="008F6E6B" w:rsidRPr="00B23E45">
        <w:t>is not a legal entity. However, the Australian Prudential Regulation Authority</w:t>
      </w:r>
      <w:r w:rsidR="008F6E6B">
        <w:t xml:space="preserve"> </w:t>
      </w:r>
      <w:r w:rsidR="008F6E6B" w:rsidRPr="00B23E45">
        <w:t>(APRA) is concerned only with the Australian br</w:t>
      </w:r>
      <w:r w:rsidR="008F6E6B">
        <w:t xml:space="preserve">anch and with the protection of </w:t>
      </w:r>
      <w:r w:rsidR="008F6E6B" w:rsidRPr="00B23E45">
        <w:t>the holders of policies issued by the Austra</w:t>
      </w:r>
      <w:r w:rsidR="008F6E6B">
        <w:t xml:space="preserve">lian branch. There is a general </w:t>
      </w:r>
      <w:r w:rsidR="008F6E6B" w:rsidRPr="00B23E45">
        <w:t>requirement under the Act (s 28) that general i</w:t>
      </w:r>
      <w:r w:rsidR="008F6E6B">
        <w:t xml:space="preserve">nsurers maintain “in Australia” </w:t>
      </w:r>
      <w:r w:rsidR="008F6E6B" w:rsidRPr="00B23E45">
        <w:t>assets of a value equal to or greater than the</w:t>
      </w:r>
      <w:r w:rsidR="008F6E6B">
        <w:t xml:space="preserve"> value of their liabilities “in </w:t>
      </w:r>
      <w:r w:rsidR="008F6E6B" w:rsidRPr="00B23E45">
        <w:t>Australia”. Other provisions of the Act also expres</w:t>
      </w:r>
      <w:r w:rsidR="008F6E6B">
        <w:t xml:space="preserve">s the test of ability to meet a </w:t>
      </w:r>
      <w:r w:rsidR="008F6E6B" w:rsidRPr="00B23E45">
        <w:t xml:space="preserve">general insurer’s liabilities in Australia from its </w:t>
      </w:r>
      <w:r w:rsidR="008F6E6B">
        <w:t xml:space="preserve">asset in Australia: see ss 62M, </w:t>
      </w:r>
      <w:r w:rsidR="008F6E6B" w:rsidRPr="00B23E45">
        <w:t>62ZZC, 62ZZE. The meaning of assets and liabilit</w:t>
      </w:r>
      <w:r w:rsidR="008F6E6B">
        <w:t xml:space="preserve">ies in Australia is refined and </w:t>
      </w:r>
      <w:r w:rsidR="008F6E6B" w:rsidRPr="00B23E45">
        <w:t>elaborated upon in s 116A of the Act. Prude</w:t>
      </w:r>
      <w:r w:rsidR="008F6E6B">
        <w:t xml:space="preserve">ntial Standards require foreign </w:t>
      </w:r>
      <w:r w:rsidR="008F6E6B" w:rsidRPr="00B23E45">
        <w:t>general insurers to maintain assets in Australia in</w:t>
      </w:r>
      <w:r w:rsidR="008F6E6B">
        <w:t xml:space="preserve"> excess of their liabilities in </w:t>
      </w:r>
      <w:r w:rsidR="008F6E6B" w:rsidRPr="00B23E45">
        <w:t>Australia in an amount at least equal to a varia</w:t>
      </w:r>
      <w:r w:rsidR="008F6E6B">
        <w:t xml:space="preserve">nt of a certain Minimum Capital </w:t>
      </w:r>
      <w:r w:rsidR="008F6E6B" w:rsidRPr="00B23E45">
        <w:t xml:space="preserve">Requirement (MCR) (see </w:t>
      </w:r>
      <w:r w:rsidR="008F6E6B" w:rsidRPr="00B23E45">
        <w:rPr>
          <w:i/>
          <w:iCs/>
        </w:rPr>
        <w:t>Prudential Standard GPS 110 Capital Adequacy</w:t>
      </w:r>
      <w:r w:rsidR="008F6E6B">
        <w:t xml:space="preserve">, </w:t>
      </w:r>
      <w:proofErr w:type="gramStart"/>
      <w:r w:rsidR="008F6E6B">
        <w:t>esp</w:t>
      </w:r>
      <w:proofErr w:type="gramEnd"/>
      <w:r w:rsidR="008F6E6B">
        <w:t xml:space="preserve"> </w:t>
      </w:r>
      <w:r w:rsidR="008F6E6B" w:rsidRPr="00B23E45">
        <w:t>para 11). Foreign general insurers must therefore mai</w:t>
      </w:r>
      <w:r w:rsidR="008F6E6B">
        <w:t xml:space="preserve">ntain a separate balance </w:t>
      </w:r>
      <w:r w:rsidR="008F6E6B" w:rsidRPr="00B23E45">
        <w:t>sheet in respect of their Australian operations i</w:t>
      </w:r>
      <w:r w:rsidR="008F6E6B">
        <w:t xml:space="preserve">n order to depict the financial </w:t>
      </w:r>
      <w:r w:rsidR="008F6E6B" w:rsidRPr="00B23E45">
        <w:t>condition of the Australian branch.</w:t>
      </w:r>
    </w:p>
    <w:p w:rsidR="008F6E6B" w:rsidRDefault="004538AA" w:rsidP="008F6E6B">
      <w:pPr>
        <w:pStyle w:val="Quote1"/>
      </w:pPr>
      <w:r>
        <w:t xml:space="preserve">[12] </w:t>
      </w:r>
      <w:r w:rsidR="008F6E6B" w:rsidRPr="00B23E45">
        <w:t>This notional division between a forei</w:t>
      </w:r>
      <w:r w:rsidR="008F6E6B">
        <w:t xml:space="preserve">gn general insurer’s Australian </w:t>
      </w:r>
      <w:r w:rsidR="008F6E6B" w:rsidRPr="00B23E45">
        <w:t>operations and its other operations is reinf</w:t>
      </w:r>
      <w:r w:rsidR="008F6E6B">
        <w:t xml:space="preserve">orced by restrictions that APRA </w:t>
      </w:r>
      <w:r w:rsidR="008F6E6B" w:rsidRPr="00B23E45">
        <w:t>places on a foreign general insurer’s liberty to deal w</w:t>
      </w:r>
      <w:r w:rsidR="008F6E6B">
        <w:t xml:space="preserve">ith its assets in Australia. It </w:t>
      </w:r>
      <w:r w:rsidR="008F6E6B" w:rsidRPr="00B23E45">
        <w:t>may not reduce its assets in Australia (save to t</w:t>
      </w:r>
      <w:r w:rsidR="008F6E6B">
        <w:t xml:space="preserve">he extent of repatriation, to a </w:t>
      </w:r>
      <w:r w:rsidR="008F6E6B" w:rsidRPr="00B23E45">
        <w:t>certain extent, of current year profits) without APRA’s approval.</w:t>
      </w:r>
    </w:p>
    <w:p w:rsidR="00F70F22" w:rsidRDefault="007C16A8" w:rsidP="00F70F22">
      <w:pPr>
        <w:pStyle w:val="ParaNumbering"/>
      </w:pPr>
      <w:r>
        <w:t xml:space="preserve">This passage remains a relevant introduction to APRA’s regulation of the Australian branches of foreign insurers, </w:t>
      </w:r>
      <w:r w:rsidR="00C55DF8">
        <w:t>save that the</w:t>
      </w:r>
      <w:r>
        <w:t xml:space="preserve"> </w:t>
      </w:r>
      <w:r w:rsidR="00C55DF8">
        <w:t>expression</w:t>
      </w:r>
      <w:r>
        <w:t xml:space="preserve"> ‘Minimum Capital Requirement’ has been </w:t>
      </w:r>
      <w:r w:rsidR="00C55DF8">
        <w:t xml:space="preserve">revised </w:t>
      </w:r>
      <w:r w:rsidR="0068296A">
        <w:t xml:space="preserve">to </w:t>
      </w:r>
      <w:r w:rsidRPr="007C16A8">
        <w:t>Prescribed Capital Requirement</w:t>
      </w:r>
      <w:r w:rsidR="0068296A">
        <w:t xml:space="preserve"> (</w:t>
      </w:r>
      <w:r w:rsidR="0068296A">
        <w:rPr>
          <w:b/>
        </w:rPr>
        <w:t>PCR</w:t>
      </w:r>
      <w:r w:rsidR="0068296A">
        <w:t>)</w:t>
      </w:r>
      <w:r w:rsidRPr="007C16A8">
        <w:t xml:space="preserve"> in line with the current </w:t>
      </w:r>
      <w:r w:rsidRPr="007C16A8">
        <w:rPr>
          <w:i/>
        </w:rPr>
        <w:t>Prudential Standard GPS 110 Capital Adequacy</w:t>
      </w:r>
      <w:r>
        <w:t xml:space="preserve"> (</w:t>
      </w:r>
      <w:r w:rsidRPr="004538AA">
        <w:rPr>
          <w:b/>
        </w:rPr>
        <w:t>GPS 110</w:t>
      </w:r>
      <w:r>
        <w:t xml:space="preserve">). </w:t>
      </w:r>
    </w:p>
    <w:p w:rsidR="005F4A55" w:rsidRPr="00BA065D" w:rsidRDefault="005F4A55" w:rsidP="00F92743">
      <w:pPr>
        <w:pStyle w:val="ParaNumbering"/>
      </w:pPr>
      <w:r w:rsidRPr="00BA065D">
        <w:t>In exercising its discretion, the Court will focus exclu</w:t>
      </w:r>
      <w:r w:rsidR="00841793" w:rsidRPr="00BA065D">
        <w:t xml:space="preserve">sively on the interests of the policyholders within the Australian branch as compared with any overseas branch of the transferor or transferee </w:t>
      </w:r>
      <w:r w:rsidR="0068296A" w:rsidRPr="00BA065D">
        <w:t>insurer</w:t>
      </w:r>
      <w:r w:rsidR="00841793" w:rsidRPr="00BA065D">
        <w:t>:</w:t>
      </w:r>
      <w:r w:rsidR="00841793" w:rsidRPr="00BA065D">
        <w:rPr>
          <w:i/>
        </w:rPr>
        <w:t xml:space="preserve"> Mercantile &amp; General Reinsurance Company of Australia Ltd</w:t>
      </w:r>
      <w:r w:rsidR="00841793" w:rsidRPr="00BA065D">
        <w:t xml:space="preserve"> [2004] FCA 1773</w:t>
      </w:r>
      <w:r w:rsidR="00F92743" w:rsidRPr="00BA065D">
        <w:t xml:space="preserve"> at [11]</w:t>
      </w:r>
      <w:r w:rsidR="00841793" w:rsidRPr="00BA065D">
        <w:t xml:space="preserve">. </w:t>
      </w:r>
      <w:r w:rsidR="00DE6FB3" w:rsidRPr="00BA065D">
        <w:t>In having regard to the interests of such Australian policyholders, however, it often</w:t>
      </w:r>
      <w:r w:rsidR="007568DD" w:rsidRPr="00BA065D">
        <w:t xml:space="preserve"> </w:t>
      </w:r>
      <w:r w:rsidR="004A31D4" w:rsidRPr="00BA065D">
        <w:t xml:space="preserve">provides meaningful context for the Court to gain a broad overview of </w:t>
      </w:r>
      <w:r w:rsidR="00DE6FB3" w:rsidRPr="00BA065D">
        <w:t xml:space="preserve">how </w:t>
      </w:r>
      <w:r w:rsidR="000E506B" w:rsidRPr="00BA065D">
        <w:t xml:space="preserve">the </w:t>
      </w:r>
      <w:r w:rsidR="00841793" w:rsidRPr="00BA065D">
        <w:t xml:space="preserve">balance sheet and risk profile of an Australian branch of a foreign insurer </w:t>
      </w:r>
      <w:r w:rsidR="000E506B" w:rsidRPr="00BA065D">
        <w:t>stand</w:t>
      </w:r>
      <w:r w:rsidR="00841793" w:rsidRPr="00BA065D">
        <w:t xml:space="preserve"> vis-à-vis the balance sheet and risk profile of the foreign corporation to which it belongs and/or to whi</w:t>
      </w:r>
      <w:r w:rsidR="007568DD" w:rsidRPr="00BA065D">
        <w:t>ch it will be transferred.</w:t>
      </w:r>
      <w:r w:rsidR="00FC5C2C" w:rsidRPr="00BA065D">
        <w:t xml:space="preserve"> </w:t>
      </w:r>
      <w:r w:rsidR="00F92743" w:rsidRPr="00BA065D">
        <w:t xml:space="preserve">I refer to my reasons in </w:t>
      </w:r>
      <w:r w:rsidR="00F92743" w:rsidRPr="00BA065D">
        <w:rPr>
          <w:i/>
        </w:rPr>
        <w:t>Atradius Credit Insurance N.V., in the matter of Atradius Credit Insurance N.V</w:t>
      </w:r>
      <w:r w:rsidR="00F92743" w:rsidRPr="00817981">
        <w:rPr>
          <w:i/>
        </w:rPr>
        <w:t xml:space="preserve">. (No 2) </w:t>
      </w:r>
      <w:r w:rsidR="00F92743" w:rsidRPr="00BA065D">
        <w:t xml:space="preserve">[2016] FCA </w:t>
      </w:r>
      <w:r w:rsidR="001356B5">
        <w:t>1495</w:t>
      </w:r>
      <w:r w:rsidR="00F92743" w:rsidRPr="00BA065D">
        <w:t xml:space="preserve"> at [17].</w:t>
      </w:r>
    </w:p>
    <w:p w:rsidR="00116988" w:rsidRDefault="00DE6FB3" w:rsidP="00C41C78">
      <w:pPr>
        <w:pStyle w:val="Heading1"/>
      </w:pPr>
      <w:r>
        <w:lastRenderedPageBreak/>
        <w:t>Evidence</w:t>
      </w:r>
    </w:p>
    <w:p w:rsidR="00DE6FB3" w:rsidRPr="00DE6FB3" w:rsidRDefault="00DE6FB3" w:rsidP="00DE6FB3">
      <w:pPr>
        <w:pStyle w:val="Heading2"/>
      </w:pPr>
      <w:r>
        <w:t>The Actuarial Report</w:t>
      </w:r>
    </w:p>
    <w:p w:rsidR="00076616" w:rsidRDefault="00973A42" w:rsidP="00973A42">
      <w:pPr>
        <w:pStyle w:val="ParaNumbering"/>
      </w:pPr>
      <w:r>
        <w:t xml:space="preserve">It is instructive to set out </w:t>
      </w:r>
      <w:r w:rsidR="008F16E9">
        <w:t>some of the high level</w:t>
      </w:r>
      <w:r>
        <w:t xml:space="preserve"> </w:t>
      </w:r>
      <w:r w:rsidR="008F16E9">
        <w:t>financial metrics</w:t>
      </w:r>
      <w:r>
        <w:t xml:space="preserve"> pertaining to both WRBIEL and BIC to gain an overview of the balance sheets of both companies</w:t>
      </w:r>
      <w:r w:rsidR="00DE6FB3">
        <w:t xml:space="preserve"> pre-transfer and post-</w:t>
      </w:r>
      <w:r w:rsidR="000E506B">
        <w:t>transfer</w:t>
      </w:r>
      <w:r>
        <w:t xml:space="preserve">. </w:t>
      </w:r>
      <w:r w:rsidR="00200481">
        <w:t>Th</w:t>
      </w:r>
      <w:r>
        <w:t xml:space="preserve">is information is contained in </w:t>
      </w:r>
      <w:r w:rsidR="00DE6FB3">
        <w:t xml:space="preserve">an actuarial report </w:t>
      </w:r>
      <w:r w:rsidR="00E40456">
        <w:t>dated 6 April</w:t>
      </w:r>
      <w:r w:rsidR="000E506B">
        <w:t xml:space="preserve"> 2016</w:t>
      </w:r>
      <w:r w:rsidR="00E40456">
        <w:t xml:space="preserve"> </w:t>
      </w:r>
      <w:r w:rsidR="00200481">
        <w:t xml:space="preserve">prepared by Mr Warrick Gard, a fellow </w:t>
      </w:r>
      <w:r w:rsidR="00F92743">
        <w:t xml:space="preserve">of the Institute of Actuaries </w:t>
      </w:r>
      <w:r w:rsidR="00076616">
        <w:t xml:space="preserve">in </w:t>
      </w:r>
      <w:r w:rsidR="00200481">
        <w:t>Australia and a partner of E</w:t>
      </w:r>
      <w:r w:rsidR="00DE6FB3">
        <w:t xml:space="preserve">rnst &amp; </w:t>
      </w:r>
      <w:r w:rsidR="00200481">
        <w:t>Y</w:t>
      </w:r>
      <w:r w:rsidR="00DE6FB3">
        <w:t>oung (</w:t>
      </w:r>
      <w:r w:rsidR="00DE6FB3">
        <w:rPr>
          <w:b/>
        </w:rPr>
        <w:t>the Actuarial Report</w:t>
      </w:r>
      <w:r w:rsidR="00DE6FB3">
        <w:t>)</w:t>
      </w:r>
      <w:r w:rsidR="00200481">
        <w:t xml:space="preserve">. </w:t>
      </w:r>
    </w:p>
    <w:p w:rsidR="009261A6" w:rsidRPr="009261A6" w:rsidRDefault="00E40456" w:rsidP="00973A42">
      <w:pPr>
        <w:pStyle w:val="ParaNumbering"/>
      </w:pPr>
      <w:r>
        <w:t xml:space="preserve">On </w:t>
      </w:r>
      <w:r w:rsidR="00F04576">
        <w:t xml:space="preserve">19 October 2016, Mr Gard swore </w:t>
      </w:r>
      <w:r w:rsidR="008F16E9">
        <w:t>an</w:t>
      </w:r>
      <w:r>
        <w:t xml:space="preserve"> affidavit setting out his </w:t>
      </w:r>
      <w:r w:rsidR="00076616">
        <w:t>view</w:t>
      </w:r>
      <w:r>
        <w:t xml:space="preserve"> as to whether any of the conclusions or </w:t>
      </w:r>
      <w:r w:rsidR="00076616">
        <w:t>opinions</w:t>
      </w:r>
      <w:r>
        <w:t xml:space="preserve"> expressed in the Actuarial Report should be changed in light of further financial information provided to him including the APRA </w:t>
      </w:r>
      <w:r w:rsidR="00B80419">
        <w:t xml:space="preserve">returns for WRBIEL and BIC for the period ending </w:t>
      </w:r>
      <w:r w:rsidR="000E506B">
        <w:t>3</w:t>
      </w:r>
      <w:r w:rsidR="00B80419">
        <w:t xml:space="preserve">0 June 2016; an income statement for WRBIEL and BIC for the three month period ending </w:t>
      </w:r>
      <w:r w:rsidR="000E506B">
        <w:t>3</w:t>
      </w:r>
      <w:r w:rsidR="00B80419">
        <w:t>0 September 2016 a</w:t>
      </w:r>
      <w:r w:rsidR="006F79A8">
        <w:t xml:space="preserve">nd a letter from Mr John Honan, the </w:t>
      </w:r>
      <w:r w:rsidR="000E506B">
        <w:t xml:space="preserve">Portfolio Manager of </w:t>
      </w:r>
      <w:r w:rsidR="00076616">
        <w:t>WRBIEL</w:t>
      </w:r>
      <w:r w:rsidR="000E506B">
        <w:t>,</w:t>
      </w:r>
      <w:r w:rsidR="006F79A8">
        <w:t xml:space="preserve"> advising that no changes had been made since 30 June 2016 to the overall </w:t>
      </w:r>
      <w:r w:rsidR="000E506B">
        <w:t xml:space="preserve">asset </w:t>
      </w:r>
      <w:r w:rsidR="006F79A8">
        <w:t>allocation of investments and to counterparty exposures. Having regard to this updated information, Mr Gard states that he had ‘not identified any matters that cause me to change the conclusions or opinions set out in the Actuarial Report’</w:t>
      </w:r>
      <w:r w:rsidR="00B907EF">
        <w:t>: see</w:t>
      </w:r>
      <w:r w:rsidR="00B074AF">
        <w:t xml:space="preserve"> </w:t>
      </w:r>
      <w:r w:rsidR="00076616">
        <w:t>a</w:t>
      </w:r>
      <w:r w:rsidR="00B074AF">
        <w:t>ffidavit of Warrick Evan Gard, sworn 19 October 2016 at</w:t>
      </w:r>
      <w:r w:rsidR="00B907EF">
        <w:t xml:space="preserve"> [</w:t>
      </w:r>
      <w:r w:rsidR="00B074AF">
        <w:t>8]</w:t>
      </w:r>
      <w:r w:rsidR="006F79A8">
        <w:t xml:space="preserve">. </w:t>
      </w:r>
    </w:p>
    <w:p w:rsidR="00340051" w:rsidRPr="0023559B" w:rsidRDefault="00873359" w:rsidP="00076616">
      <w:pPr>
        <w:pStyle w:val="Heading3"/>
      </w:pPr>
      <w:r>
        <w:t xml:space="preserve">The </w:t>
      </w:r>
      <w:r w:rsidR="00C0121D">
        <w:t>pre-transfer</w:t>
      </w:r>
      <w:r w:rsidR="00C41C78">
        <w:t xml:space="preserve"> position of</w:t>
      </w:r>
      <w:r>
        <w:t xml:space="preserve"> WRBIEL and BIC </w:t>
      </w:r>
    </w:p>
    <w:p w:rsidR="00873359" w:rsidRDefault="00873359" w:rsidP="00C41C78">
      <w:pPr>
        <w:pStyle w:val="ParaNumbering"/>
      </w:pPr>
      <w:r>
        <w:t xml:space="preserve">The submissions in this matter </w:t>
      </w:r>
      <w:r w:rsidR="00973A42">
        <w:t xml:space="preserve">set out </w:t>
      </w:r>
      <w:r w:rsidR="00C0121D">
        <w:t>the relevant financial information</w:t>
      </w:r>
      <w:r w:rsidR="00C41C78">
        <w:t xml:space="preserve"> as at 31 December 2015 </w:t>
      </w:r>
      <w:r w:rsidR="000E506B">
        <w:t xml:space="preserve">(the date of the accounts used for the preparation of the Actuarial Report) </w:t>
      </w:r>
      <w:r w:rsidR="00C41C78">
        <w:t>and as at 30 June 2016 (</w:t>
      </w:r>
      <w:r>
        <w:t>the date of the late</w:t>
      </w:r>
      <w:r w:rsidR="000E506B">
        <w:t>st APRA returns for</w:t>
      </w:r>
      <w:r w:rsidR="00C41C78">
        <w:t xml:space="preserve"> </w:t>
      </w:r>
      <w:r w:rsidR="00200481">
        <w:t>both companies</w:t>
      </w:r>
      <w:r w:rsidR="00C41C78">
        <w:t xml:space="preserve">). </w:t>
      </w:r>
    </w:p>
    <w:p w:rsidR="00C0121D" w:rsidRPr="00C0121D" w:rsidRDefault="00345EBF" w:rsidP="00076616">
      <w:pPr>
        <w:pStyle w:val="Heading4"/>
      </w:pPr>
      <w:r>
        <w:t>WBRIEL</w:t>
      </w:r>
    </w:p>
    <w:p w:rsidR="00873359" w:rsidRPr="00345EBF" w:rsidRDefault="00345EBF" w:rsidP="00345EBF">
      <w:pPr>
        <w:pStyle w:val="ParaNumbering"/>
      </w:pPr>
      <w:r>
        <w:t>As at 31 December</w:t>
      </w:r>
      <w:r w:rsidR="000E506B">
        <w:t xml:space="preserve"> 2015</w:t>
      </w:r>
      <w:r>
        <w:t xml:space="preserve">, </w:t>
      </w:r>
      <w:r w:rsidRPr="00345EBF">
        <w:t>WRBIEL held total assets of $179,6</w:t>
      </w:r>
      <w:r w:rsidR="00C0121D">
        <w:t>00,000</w:t>
      </w:r>
      <w:r>
        <w:t xml:space="preserve"> and had liabilities of </w:t>
      </w:r>
      <w:r w:rsidRPr="00345EBF">
        <w:rPr>
          <w:sz w:val="23"/>
          <w:szCs w:val="23"/>
        </w:rPr>
        <w:t xml:space="preserve">$116,100,000, </w:t>
      </w:r>
      <w:r>
        <w:rPr>
          <w:sz w:val="23"/>
          <w:szCs w:val="23"/>
        </w:rPr>
        <w:t>thereby amounting to a</w:t>
      </w:r>
      <w:r w:rsidRPr="00345EBF">
        <w:rPr>
          <w:sz w:val="23"/>
          <w:szCs w:val="23"/>
        </w:rPr>
        <w:t xml:space="preserve"> ne</w:t>
      </w:r>
      <w:r>
        <w:rPr>
          <w:sz w:val="23"/>
          <w:szCs w:val="23"/>
        </w:rPr>
        <w:t xml:space="preserve">t asset position of $63,500,000. Its capital base, calculated in accordance with the Prudential Standards, was </w:t>
      </w:r>
      <w:r w:rsidRPr="00345EBF">
        <w:rPr>
          <w:sz w:val="23"/>
          <w:szCs w:val="23"/>
        </w:rPr>
        <w:t>$</w:t>
      </w:r>
      <w:r>
        <w:rPr>
          <w:sz w:val="23"/>
          <w:szCs w:val="23"/>
        </w:rPr>
        <w:t xml:space="preserve">63,700,000. Its </w:t>
      </w:r>
      <w:r w:rsidRPr="00345EBF">
        <w:rPr>
          <w:sz w:val="23"/>
          <w:szCs w:val="23"/>
        </w:rPr>
        <w:t xml:space="preserve">prescribed capital requirement was $27,000,000, </w:t>
      </w:r>
      <w:r>
        <w:rPr>
          <w:sz w:val="23"/>
          <w:szCs w:val="23"/>
        </w:rPr>
        <w:t>giving it</w:t>
      </w:r>
      <w:r w:rsidRPr="00345EBF">
        <w:rPr>
          <w:sz w:val="23"/>
          <w:szCs w:val="23"/>
        </w:rPr>
        <w:t xml:space="preserve"> a solvency coverage ratio of 236%.</w:t>
      </w:r>
    </w:p>
    <w:p w:rsidR="00345EBF" w:rsidRDefault="00345EBF" w:rsidP="00345EBF">
      <w:pPr>
        <w:pStyle w:val="ParaNumbering"/>
      </w:pPr>
      <w:r>
        <w:t>As at 30 June 2016,</w:t>
      </w:r>
      <w:r w:rsidRPr="00345EBF">
        <w:t xml:space="preserve"> WRBIEL held</w:t>
      </w:r>
      <w:r w:rsidR="00E40456">
        <w:t xml:space="preserve"> </w:t>
      </w:r>
      <w:r w:rsidRPr="00345EBF">
        <w:t xml:space="preserve">total assets of $168,954,000, and had liabilities of </w:t>
      </w:r>
      <w:r w:rsidRPr="00E40456">
        <w:t>$105,608,000</w:t>
      </w:r>
      <w:r w:rsidRPr="00345EBF">
        <w:t xml:space="preserve">, thereby amounting to </w:t>
      </w:r>
      <w:r w:rsidR="000E506B">
        <w:t xml:space="preserve">a </w:t>
      </w:r>
      <w:r w:rsidRPr="00345EBF">
        <w:t xml:space="preserve">net asset position of $63,346,000. </w:t>
      </w:r>
      <w:r>
        <w:t>Its</w:t>
      </w:r>
      <w:r w:rsidRPr="00345EBF">
        <w:t xml:space="preserve"> prescribed capital requirement was $25,621,000, </w:t>
      </w:r>
      <w:r>
        <w:t>giving it</w:t>
      </w:r>
      <w:r w:rsidRPr="00345EBF">
        <w:t xml:space="preserve"> a solvency coverage ratio of 247%. </w:t>
      </w:r>
    </w:p>
    <w:p w:rsidR="00873359" w:rsidRDefault="00345EBF" w:rsidP="00572A39">
      <w:pPr>
        <w:pStyle w:val="ParaNumbering"/>
      </w:pPr>
      <w:r w:rsidRPr="00345EBF">
        <w:lastRenderedPageBreak/>
        <w:t>WRBIEL’s Internal Capital Ad</w:t>
      </w:r>
      <w:r>
        <w:t>equacy Assessment Process (</w:t>
      </w:r>
      <w:r w:rsidRPr="00E43E4C">
        <w:rPr>
          <w:b/>
        </w:rPr>
        <w:t>ICAAP</w:t>
      </w:r>
      <w:r w:rsidRPr="00345EBF">
        <w:t>)</w:t>
      </w:r>
      <w:r>
        <w:t xml:space="preserve"> </w:t>
      </w:r>
      <w:r w:rsidRPr="00345EBF">
        <w:t xml:space="preserve">has identified a target solvency coverage </w:t>
      </w:r>
      <w:r>
        <w:t xml:space="preserve">ratio of between 140% and 175%, with a </w:t>
      </w:r>
      <w:r w:rsidRPr="00345EBF">
        <w:t xml:space="preserve">solvency coverage ratio of 200% </w:t>
      </w:r>
      <w:r>
        <w:t>being</w:t>
      </w:r>
      <w:r w:rsidRPr="00345EBF">
        <w:t xml:space="preserve"> a trigger point for capital utilisation or repatriation.</w:t>
      </w:r>
    </w:p>
    <w:p w:rsidR="00345EBF" w:rsidRPr="00345EBF" w:rsidRDefault="00345EBF" w:rsidP="001C0F72">
      <w:pPr>
        <w:pStyle w:val="Heading4"/>
      </w:pPr>
      <w:r>
        <w:t>BIC</w:t>
      </w:r>
    </w:p>
    <w:p w:rsidR="00116988" w:rsidRDefault="00A736BB" w:rsidP="00345EBF">
      <w:pPr>
        <w:pStyle w:val="ParaNumbering"/>
      </w:pPr>
      <w:r>
        <w:t xml:space="preserve">At </w:t>
      </w:r>
      <w:r w:rsidR="00345EBF">
        <w:t xml:space="preserve">31 December 2015, </w:t>
      </w:r>
      <w:r>
        <w:t xml:space="preserve">BIC </w:t>
      </w:r>
      <w:r w:rsidR="00116988">
        <w:t>he</w:t>
      </w:r>
      <w:r w:rsidR="00F04576">
        <w:t>ld total assets of $485,700,000</w:t>
      </w:r>
      <w:r w:rsidR="00116988">
        <w:t xml:space="preserve"> and </w:t>
      </w:r>
      <w:r w:rsidR="00F04576">
        <w:t>had liabilities of $320,000,000</w:t>
      </w:r>
      <w:r w:rsidR="00E43E4C">
        <w:t>,</w:t>
      </w:r>
      <w:r w:rsidR="00572A39">
        <w:t xml:space="preserve"> thereby</w:t>
      </w:r>
      <w:r w:rsidR="00116988">
        <w:t xml:space="preserve"> </w:t>
      </w:r>
      <w:r>
        <w:t>amounting to a</w:t>
      </w:r>
      <w:r w:rsidR="00116988">
        <w:t xml:space="preserve"> net</w:t>
      </w:r>
      <w:r w:rsidR="00F04576">
        <w:t xml:space="preserve"> asset position of $165,700,000.</w:t>
      </w:r>
      <w:r>
        <w:t xml:space="preserve"> Its capital base </w:t>
      </w:r>
      <w:r w:rsidR="00F04576">
        <w:t xml:space="preserve">was </w:t>
      </w:r>
      <w:r w:rsidR="00E43E4C">
        <w:t xml:space="preserve">recorded </w:t>
      </w:r>
      <w:r>
        <w:t xml:space="preserve">at $162,200,000. </w:t>
      </w:r>
      <w:r w:rsidR="00572A39">
        <w:t>Its prescribed</w:t>
      </w:r>
      <w:r w:rsidR="00116988">
        <w:t xml:space="preserve"> capital requirement was $84,400,000, </w:t>
      </w:r>
      <w:r>
        <w:t>giving</w:t>
      </w:r>
      <w:r w:rsidR="00345EBF">
        <w:t xml:space="preserve"> it</w:t>
      </w:r>
      <w:r w:rsidR="00116988">
        <w:t xml:space="preserve"> a solvency coverage ratio of 192%. </w:t>
      </w:r>
    </w:p>
    <w:p w:rsidR="00116988" w:rsidRDefault="00116988" w:rsidP="00572A39">
      <w:pPr>
        <w:pStyle w:val="ParaNumbering"/>
      </w:pPr>
      <w:r>
        <w:t xml:space="preserve">As at 30 June 2016, </w:t>
      </w:r>
      <w:r w:rsidR="00F04576">
        <w:t xml:space="preserve">BIC </w:t>
      </w:r>
      <w:r>
        <w:t xml:space="preserve">held total assets of $507,022,000, and had liabilities of $336,013,000, </w:t>
      </w:r>
      <w:r w:rsidR="00572A39">
        <w:t xml:space="preserve">thereby </w:t>
      </w:r>
      <w:r w:rsidR="00A736BB">
        <w:t xml:space="preserve">amounting to a </w:t>
      </w:r>
      <w:r>
        <w:t xml:space="preserve">net asset position of $168,721,000. </w:t>
      </w:r>
      <w:r w:rsidR="00A736BB">
        <w:t>Its</w:t>
      </w:r>
      <w:r>
        <w:t xml:space="preserve"> prescribed capital requirement was $87,114,000, </w:t>
      </w:r>
      <w:r w:rsidR="00A736BB">
        <w:t>giving it a</w:t>
      </w:r>
      <w:r>
        <w:t xml:space="preserve"> solvency coverage ratio of 194</w:t>
      </w:r>
      <w:r w:rsidR="00572A39">
        <w:t xml:space="preserve">%, which falls </w:t>
      </w:r>
      <w:r w:rsidR="00F04576">
        <w:t xml:space="preserve">at the top of </w:t>
      </w:r>
      <w:r w:rsidR="00216DE2">
        <w:t xml:space="preserve">its </w:t>
      </w:r>
      <w:r w:rsidR="00572A39" w:rsidRPr="00572A39">
        <w:rPr>
          <w:sz w:val="23"/>
          <w:szCs w:val="23"/>
        </w:rPr>
        <w:t>target solvency coverage ratio of between 155% and 200%.</w:t>
      </w:r>
    </w:p>
    <w:p w:rsidR="00200481" w:rsidRPr="00200481" w:rsidRDefault="00F04576" w:rsidP="00F04576">
      <w:pPr>
        <w:pStyle w:val="Heading3"/>
      </w:pPr>
      <w:r>
        <w:t xml:space="preserve">Actuarial opinion on the impact of the transfer </w:t>
      </w:r>
    </w:p>
    <w:p w:rsidR="00BA5F01" w:rsidRDefault="00BA5F01" w:rsidP="00BA5F01">
      <w:pPr>
        <w:pStyle w:val="ParaNumbering"/>
      </w:pPr>
      <w:r>
        <w:t xml:space="preserve">The Court must have regard to the post-transfer solvency position of BIC to determine if it will have adequate capital relative </w:t>
      </w:r>
      <w:r w:rsidR="00E43E4C">
        <w:t>to satisfy the</w:t>
      </w:r>
      <w:r>
        <w:t xml:space="preserve"> claims of transferring policyholders from W</w:t>
      </w:r>
      <w:r w:rsidR="008E3C58">
        <w:t>R</w:t>
      </w:r>
      <w:r>
        <w:t xml:space="preserve">BIEL as well as the remaining policyholders of BIC. It is important for the Court to be attentive to any </w:t>
      </w:r>
      <w:r w:rsidR="0023559B">
        <w:t>meaningful</w:t>
      </w:r>
      <w:r>
        <w:t xml:space="preserve"> changes in solvency coverage for the </w:t>
      </w:r>
      <w:r w:rsidR="008E3C58">
        <w:t>transferring and remaining</w:t>
      </w:r>
      <w:r>
        <w:t xml:space="preserve"> policyholders in order to assess the impact that implementation of the scheme will have on them, and to ensure as far as possible that that impact will not be one of material detriment.</w:t>
      </w:r>
    </w:p>
    <w:p w:rsidR="00BA5F01" w:rsidRDefault="0097446A" w:rsidP="0097446A">
      <w:pPr>
        <w:pStyle w:val="ParaNumbering"/>
      </w:pPr>
      <w:r>
        <w:t>The</w:t>
      </w:r>
      <w:r w:rsidR="00DB2BB0">
        <w:t xml:space="preserve"> </w:t>
      </w:r>
      <w:r w:rsidR="00BA5F01">
        <w:t>solvency</w:t>
      </w:r>
      <w:r>
        <w:t xml:space="preserve"> coverage </w:t>
      </w:r>
      <w:proofErr w:type="gramStart"/>
      <w:r>
        <w:t>ratios</w:t>
      </w:r>
      <w:r w:rsidR="00BA5F01">
        <w:t xml:space="preserve"> as at 30 June 2016</w:t>
      </w:r>
      <w:r>
        <w:t xml:space="preserve"> for WRBIEL was</w:t>
      </w:r>
      <w:proofErr w:type="gramEnd"/>
      <w:r>
        <w:t xml:space="preserve"> 247% and for </w:t>
      </w:r>
      <w:r w:rsidR="00BA5F01">
        <w:t>BIC was 194%</w:t>
      </w:r>
      <w:r>
        <w:t>.</w:t>
      </w:r>
    </w:p>
    <w:p w:rsidR="00BA5F01" w:rsidRDefault="00BA5F01" w:rsidP="00AB2A88">
      <w:pPr>
        <w:pStyle w:val="ParaNumbering"/>
      </w:pPr>
      <w:r>
        <w:t>The post-transfer solvency coverage ratio for BIC (as at</w:t>
      </w:r>
      <w:r w:rsidR="00AB2A88">
        <w:t xml:space="preserve"> 30 June 2016) is calculated to be 173%. The solvency coverage ratio for </w:t>
      </w:r>
      <w:r w:rsidR="00AB2A88" w:rsidRPr="00AB2A88">
        <w:t>transferring WRBIEL policyholders</w:t>
      </w:r>
      <w:r w:rsidR="00AB2A88">
        <w:t xml:space="preserve"> will therefore fall from 247% to 173%, while existing BIC policyholders also will experience a fall in solvency coverage ratio from </w:t>
      </w:r>
      <w:r w:rsidR="00AB2A88" w:rsidRPr="00AB2A88">
        <w:t>194% to 173%.</w:t>
      </w:r>
    </w:p>
    <w:p w:rsidR="00F04576" w:rsidRDefault="001430E4" w:rsidP="00F04576">
      <w:pPr>
        <w:pStyle w:val="ParaNumbering"/>
      </w:pPr>
      <w:r>
        <w:t xml:space="preserve">As noted </w:t>
      </w:r>
      <w:r w:rsidR="0097446A">
        <w:t xml:space="preserve">at [6] </w:t>
      </w:r>
      <w:r w:rsidR="00F04576">
        <w:t xml:space="preserve">in the affidavit of </w:t>
      </w:r>
      <w:r w:rsidR="0097446A">
        <w:t>Mr</w:t>
      </w:r>
      <w:r w:rsidR="00F04576">
        <w:t xml:space="preserve"> Gard, sworn </w:t>
      </w:r>
      <w:r w:rsidR="00F04576" w:rsidRPr="00F04576">
        <w:t>19 October 2016,</w:t>
      </w:r>
      <w:r w:rsidR="0097446A">
        <w:t xml:space="preserve"> </w:t>
      </w:r>
      <w:r w:rsidR="00F04576">
        <w:t>the post</w:t>
      </w:r>
      <w:r w:rsidR="00216DE2">
        <w:t>-</w:t>
      </w:r>
      <w:r w:rsidR="00F04576">
        <w:t xml:space="preserve">transfer solvency coverage ratio of 173% falls within BIC’s target range of 155% to 200% and thereby offers policyholders substantial protection. </w:t>
      </w:r>
    </w:p>
    <w:p w:rsidR="00AB2A88" w:rsidRDefault="00BA0978" w:rsidP="00BA0978">
      <w:pPr>
        <w:pStyle w:val="ParaNumbering"/>
      </w:pPr>
      <w:r>
        <w:t>P</w:t>
      </w:r>
      <w:r w:rsidR="0023559B">
        <w:t xml:space="preserve">rior to the </w:t>
      </w:r>
      <w:r w:rsidR="00AB2A88">
        <w:t xml:space="preserve">transfer, the solvency coverage ratios of both WRBIEL and BIC were in the </w:t>
      </w:r>
      <w:r>
        <w:t>top end of the target solvency</w:t>
      </w:r>
      <w:r w:rsidR="00F550DB">
        <w:t xml:space="preserve"> coverage</w:t>
      </w:r>
      <w:r>
        <w:t xml:space="preserve"> ratio range, and as noted in the submissions of the </w:t>
      </w:r>
      <w:r>
        <w:lastRenderedPageBreak/>
        <w:t xml:space="preserve">applicant, </w:t>
      </w:r>
      <w:r w:rsidR="00AB2A88">
        <w:t>additional capital over the target solvency level does not</w:t>
      </w:r>
      <w:r w:rsidR="0097446A">
        <w:t xml:space="preserve"> necessarily</w:t>
      </w:r>
      <w:r w:rsidR="00AB2A88">
        <w:t xml:space="preserve"> </w:t>
      </w:r>
      <w:r w:rsidR="00200481">
        <w:t xml:space="preserve">represent </w:t>
      </w:r>
      <w:r w:rsidR="00AB2A88">
        <w:t xml:space="preserve">additional security to policyholders </w:t>
      </w:r>
      <w:r w:rsidR="00973A42">
        <w:t>given that</w:t>
      </w:r>
      <w:r w:rsidR="00AB2A88">
        <w:t xml:space="preserve"> </w:t>
      </w:r>
      <w:r w:rsidR="00973A42">
        <w:t>such</w:t>
      </w:r>
      <w:r w:rsidR="00AB2A88">
        <w:t xml:space="preserve"> capital is available, with approval from APRA, for distribution to shareholders.</w:t>
      </w:r>
    </w:p>
    <w:p w:rsidR="00340051" w:rsidRDefault="001430E4" w:rsidP="00923016">
      <w:pPr>
        <w:pStyle w:val="ParaNumbering"/>
      </w:pPr>
      <w:r>
        <w:t xml:space="preserve">The </w:t>
      </w:r>
      <w:r w:rsidR="00AD0111">
        <w:t>‘Conclusions’ on p</w:t>
      </w:r>
      <w:r w:rsidR="00923016">
        <w:t xml:space="preserve"> 23 of the </w:t>
      </w:r>
      <w:r w:rsidR="00BA0978">
        <w:t>Actuarial Report state</w:t>
      </w:r>
      <w:r>
        <w:t xml:space="preserve"> that</w:t>
      </w:r>
      <w:r w:rsidR="00AB2A88">
        <w:t xml:space="preserve"> the fact of the transferring </w:t>
      </w:r>
      <w:r w:rsidR="00AB2A88" w:rsidRPr="00AB2A88">
        <w:t>WRBIEL policyholders</w:t>
      </w:r>
      <w:r w:rsidR="00AB2A88">
        <w:t xml:space="preserve"> moving</w:t>
      </w:r>
      <w:r w:rsidR="00AB2A88" w:rsidRPr="00AB2A88">
        <w:t xml:space="preserve"> </w:t>
      </w:r>
      <w:r w:rsidR="00AB2A88">
        <w:t>to a</w:t>
      </w:r>
      <w:r w:rsidR="0097446A">
        <w:t>n</w:t>
      </w:r>
      <w:r w:rsidR="00AB2A88" w:rsidRPr="00AB2A88">
        <w:t xml:space="preserve"> </w:t>
      </w:r>
      <w:r w:rsidR="00AB2A88">
        <w:t xml:space="preserve"> insurer with </w:t>
      </w:r>
      <w:r w:rsidR="00BA0978">
        <w:t>higher net assets</w:t>
      </w:r>
      <w:r w:rsidR="00AB2A88">
        <w:t xml:space="preserve"> and a higher capital base brings with it additional advantages, particularly in circumstances of unusually large claims. </w:t>
      </w:r>
      <w:r w:rsidR="000B1992">
        <w:t xml:space="preserve">Mr Gard </w:t>
      </w:r>
      <w:r w:rsidR="008F0F34">
        <w:t xml:space="preserve">also notes being part of an insurer </w:t>
      </w:r>
      <w:r w:rsidR="008F0F34" w:rsidRPr="008F0F34">
        <w:t>with g</w:t>
      </w:r>
      <w:r w:rsidR="008F0F34">
        <w:t>reater diversification of risks</w:t>
      </w:r>
      <w:r w:rsidR="00923016">
        <w:t xml:space="preserve"> by virtue of having</w:t>
      </w:r>
      <w:r w:rsidR="00923016" w:rsidRPr="00923016">
        <w:t xml:space="preserve"> non correlated claims experience</w:t>
      </w:r>
      <w:r w:rsidR="00923016">
        <w:t xml:space="preserve"> means that BIC</w:t>
      </w:r>
      <w:r w:rsidR="008F0F34">
        <w:t xml:space="preserve"> may have a lower</w:t>
      </w:r>
      <w:r w:rsidR="008F0F34" w:rsidRPr="008F0F34">
        <w:t xml:space="preserve"> probability of breaching the target solvency coverage ratio</w:t>
      </w:r>
      <w:r w:rsidR="00E71457">
        <w:t>, this being so</w:t>
      </w:r>
      <w:r w:rsidR="00AB33C2">
        <w:t xml:space="preserve"> in spite of its lower solvency coverage ratio</w:t>
      </w:r>
      <w:r w:rsidR="0023559B">
        <w:t>.</w:t>
      </w:r>
      <w:r w:rsidR="00340051">
        <w:t xml:space="preserve"> </w:t>
      </w:r>
    </w:p>
    <w:p w:rsidR="00AB2A88" w:rsidRDefault="00340051" w:rsidP="00340051">
      <w:pPr>
        <w:pStyle w:val="ParaNumbering"/>
      </w:pPr>
      <w:r>
        <w:t>In respect of BIC’s existing policyholders, Mr Gard concluded that there is no</w:t>
      </w:r>
      <w:r w:rsidRPr="00340051">
        <w:t xml:space="preserve"> material detrimental impact </w:t>
      </w:r>
      <w:r w:rsidR="00817981">
        <w:t>upon</w:t>
      </w:r>
      <w:r>
        <w:t xml:space="preserve"> them</w:t>
      </w:r>
      <w:r w:rsidRPr="00340051">
        <w:t xml:space="preserve"> from a capital perspective </w:t>
      </w:r>
      <w:r>
        <w:t xml:space="preserve">on account </w:t>
      </w:r>
      <w:r w:rsidR="00AD0111">
        <w:t>of those policyholders being protected by an adequate capital base</w:t>
      </w:r>
      <w:r w:rsidR="000B1992">
        <w:t xml:space="preserve"> before and following the transfer</w:t>
      </w:r>
      <w:r w:rsidR="00AD0111">
        <w:t xml:space="preserve"> in line with</w:t>
      </w:r>
      <w:r w:rsidR="00E71457">
        <w:t xml:space="preserve"> BIC’s</w:t>
      </w:r>
      <w:r w:rsidR="00AD0111">
        <w:t xml:space="preserve"> capital management</w:t>
      </w:r>
      <w:r>
        <w:t>.</w:t>
      </w:r>
    </w:p>
    <w:p w:rsidR="00AB33C2" w:rsidRDefault="00AB33C2" w:rsidP="000B1992">
      <w:pPr>
        <w:pStyle w:val="Heading3"/>
      </w:pPr>
      <w:r>
        <w:t xml:space="preserve">Transferring </w:t>
      </w:r>
      <w:r w:rsidR="000B1992">
        <w:t xml:space="preserve">contracts </w:t>
      </w:r>
      <w:r>
        <w:t xml:space="preserve">and </w:t>
      </w:r>
      <w:r w:rsidR="000B1992">
        <w:t>claims management</w:t>
      </w:r>
    </w:p>
    <w:p w:rsidR="00340051" w:rsidRDefault="00AB33C2" w:rsidP="002039A5">
      <w:pPr>
        <w:pStyle w:val="ParaNumbering"/>
      </w:pPr>
      <w:r>
        <w:t>The evidence is that there will be no change to the</w:t>
      </w:r>
      <w:r w:rsidRPr="00AB33C2">
        <w:t xml:space="preserve"> t</w:t>
      </w:r>
      <w:r>
        <w:t xml:space="preserve">ransferring insurance contracts, except for </w:t>
      </w:r>
      <w:r w:rsidRPr="00AB33C2">
        <w:t>the substitutio</w:t>
      </w:r>
      <w:r>
        <w:t>n of BIC as insurer. Similarly, no changes will be experience</w:t>
      </w:r>
      <w:r w:rsidR="008F5A88">
        <w:t>d</w:t>
      </w:r>
      <w:r>
        <w:t xml:space="preserve"> in relation to claims management due to the nature of the intra-group transfer and </w:t>
      </w:r>
      <w:r w:rsidR="007C6EAF">
        <w:t xml:space="preserve">the </w:t>
      </w:r>
      <w:r>
        <w:t>fact that the</w:t>
      </w:r>
      <w:r w:rsidRPr="00AB33C2">
        <w:t xml:space="preserve"> operations of WRBIEL </w:t>
      </w:r>
      <w:r>
        <w:t xml:space="preserve">already </w:t>
      </w:r>
      <w:r w:rsidRPr="00AB33C2">
        <w:t xml:space="preserve">have been outsourced to BIC </w:t>
      </w:r>
      <w:r>
        <w:t xml:space="preserve">since October 2014 as the first stage </w:t>
      </w:r>
      <w:r w:rsidR="0037785E">
        <w:t>of the</w:t>
      </w:r>
      <w:r>
        <w:t xml:space="preserve"> business reorganisation </w:t>
      </w:r>
      <w:r w:rsidR="00340051">
        <w:t>strategy</w:t>
      </w:r>
      <w:r>
        <w:t xml:space="preserve">. </w:t>
      </w:r>
    </w:p>
    <w:p w:rsidR="0023559B" w:rsidRDefault="00A557FB" w:rsidP="00E06947">
      <w:pPr>
        <w:pStyle w:val="Heading3"/>
      </w:pPr>
      <w:r>
        <w:t xml:space="preserve">Further </w:t>
      </w:r>
      <w:r w:rsidR="005E35D3">
        <w:t xml:space="preserve">information </w:t>
      </w:r>
      <w:r w:rsidR="0023559B">
        <w:t>regarding WRBC</w:t>
      </w:r>
      <w:r>
        <w:t xml:space="preserve"> and BIC</w:t>
      </w:r>
    </w:p>
    <w:p w:rsidR="008F5A88" w:rsidRDefault="0023559B" w:rsidP="00BD3084">
      <w:pPr>
        <w:pStyle w:val="ParaNumbering"/>
      </w:pPr>
      <w:r>
        <w:t xml:space="preserve">In my view, it is important </w:t>
      </w:r>
      <w:r w:rsidR="0037785E">
        <w:t>in</w:t>
      </w:r>
      <w:r>
        <w:t xml:space="preserve"> transfers involving foreign</w:t>
      </w:r>
      <w:r w:rsidR="00750B56">
        <w:t xml:space="preserve"> insurers</w:t>
      </w:r>
      <w:r>
        <w:t xml:space="preserve"> to gain some </w:t>
      </w:r>
      <w:r w:rsidR="0037785E">
        <w:t>understanding</w:t>
      </w:r>
      <w:r>
        <w:t xml:space="preserve"> at a confirmation hearing</w:t>
      </w:r>
      <w:r w:rsidR="0037785E">
        <w:t xml:space="preserve"> of the financial and risk profile</w:t>
      </w:r>
      <w:r>
        <w:t xml:space="preserve"> </w:t>
      </w:r>
      <w:r w:rsidR="0037785E">
        <w:t>not only as they pertain to the</w:t>
      </w:r>
      <w:r w:rsidR="00750B56">
        <w:t xml:space="preserve"> </w:t>
      </w:r>
      <w:r>
        <w:t xml:space="preserve">Australian “branch” </w:t>
      </w:r>
      <w:r w:rsidR="008F5A88">
        <w:t>of a foreign insurer</w:t>
      </w:r>
      <w:r w:rsidR="0037785E">
        <w:t xml:space="preserve"> but also as </w:t>
      </w:r>
      <w:r w:rsidR="000944B4">
        <w:t>they pertain</w:t>
      </w:r>
      <w:r w:rsidR="00FE1321">
        <w:t xml:space="preserve"> to the foreign insurer itself: see</w:t>
      </w:r>
      <w:r w:rsidR="00FE1321" w:rsidRPr="00FE1321">
        <w:t xml:space="preserve"> </w:t>
      </w:r>
      <w:r w:rsidR="00FE1321" w:rsidRPr="00FE1321">
        <w:rPr>
          <w:i/>
        </w:rPr>
        <w:t xml:space="preserve">Atradius </w:t>
      </w:r>
      <w:r w:rsidR="00BD3084" w:rsidRPr="00BD3084">
        <w:t>[2016] FCA 1495</w:t>
      </w:r>
      <w:r w:rsidR="00BD3084">
        <w:t xml:space="preserve"> at [17].</w:t>
      </w:r>
    </w:p>
    <w:p w:rsidR="0023559B" w:rsidRDefault="008F5A88" w:rsidP="008F5A88">
      <w:pPr>
        <w:pStyle w:val="ParaNumbering"/>
      </w:pPr>
      <w:r>
        <w:t>In this matter, both the transferor and transferee are</w:t>
      </w:r>
      <w:r w:rsidR="0037785E">
        <w:t xml:space="preserve"> Australian branches of foreign insurers that are</w:t>
      </w:r>
      <w:r>
        <w:t xml:space="preserve"> subsidiaries of</w:t>
      </w:r>
      <w:r w:rsidRPr="008F5A88">
        <w:t xml:space="preserve"> </w:t>
      </w:r>
      <w:r>
        <w:t xml:space="preserve">the international insurance group </w:t>
      </w:r>
      <w:r w:rsidRPr="008F5A88">
        <w:t>WRBC</w:t>
      </w:r>
      <w:r w:rsidR="0037785E">
        <w:t>.</w:t>
      </w:r>
      <w:r>
        <w:t xml:space="preserve"> </w:t>
      </w:r>
      <w:r w:rsidR="002869C5">
        <w:t>M</w:t>
      </w:r>
      <w:r>
        <w:t xml:space="preserve">eaningful context </w:t>
      </w:r>
      <w:r w:rsidR="002869C5">
        <w:t xml:space="preserve">on </w:t>
      </w:r>
      <w:r w:rsidR="0037785E">
        <w:t xml:space="preserve">WRBC </w:t>
      </w:r>
      <w:r>
        <w:t xml:space="preserve">was provided </w:t>
      </w:r>
      <w:r w:rsidR="0023559B">
        <w:t>in the affidavit of</w:t>
      </w:r>
      <w:r w:rsidR="000E208B">
        <w:t xml:space="preserve"> Mr</w:t>
      </w:r>
      <w:r w:rsidR="0023559B">
        <w:t xml:space="preserve"> Kenneth Grant Robson, sworn 27 October 2016</w:t>
      </w:r>
      <w:r w:rsidR="000944B4">
        <w:t>.</w:t>
      </w:r>
    </w:p>
    <w:p w:rsidR="0023559B" w:rsidRDefault="0023559B" w:rsidP="0023559B">
      <w:pPr>
        <w:pStyle w:val="ParaNumbering"/>
      </w:pPr>
      <w:r>
        <w:lastRenderedPageBreak/>
        <w:t xml:space="preserve">WRBC is a listed entity on the New York Stock Exchange. Its market capitalisation was approximately USD7.03 billion as at 27 October 2016, and it had total assets of USD21.7 billion </w:t>
      </w:r>
      <w:r w:rsidR="00FE4DD4">
        <w:t>for the year ended 31 December 2015.</w:t>
      </w:r>
    </w:p>
    <w:p w:rsidR="0023559B" w:rsidRDefault="00FE4DD4" w:rsidP="0023559B">
      <w:pPr>
        <w:pStyle w:val="ParaNumbering"/>
      </w:pPr>
      <w:r>
        <w:rPr>
          <w:noProof/>
          <w:lang w:eastAsia="en-AU"/>
        </w:rPr>
        <w:t xml:space="preserve">It comprises domestic units </w:t>
      </w:r>
      <w:r w:rsidR="00A557FB">
        <w:rPr>
          <w:noProof/>
          <w:lang w:eastAsia="en-AU"/>
        </w:rPr>
        <w:t>that underwr</w:t>
      </w:r>
      <w:r w:rsidR="008F5A88">
        <w:rPr>
          <w:noProof/>
          <w:lang w:eastAsia="en-AU"/>
        </w:rPr>
        <w:t>ite</w:t>
      </w:r>
      <w:r>
        <w:rPr>
          <w:noProof/>
          <w:lang w:eastAsia="en-AU"/>
        </w:rPr>
        <w:t xml:space="preserve"> domestic commercial business </w:t>
      </w:r>
      <w:r w:rsidR="00A557FB">
        <w:rPr>
          <w:noProof/>
          <w:lang w:eastAsia="en-AU"/>
        </w:rPr>
        <w:t xml:space="preserve">primarily </w:t>
      </w:r>
      <w:r>
        <w:rPr>
          <w:noProof/>
          <w:lang w:eastAsia="en-AU"/>
        </w:rPr>
        <w:t>in the USA</w:t>
      </w:r>
      <w:r w:rsidR="00A557FB">
        <w:rPr>
          <w:noProof/>
          <w:lang w:eastAsia="en-AU"/>
        </w:rPr>
        <w:t xml:space="preserve"> with total revenues of USD5.1 billion for the year ended 31 December 2015</w:t>
      </w:r>
      <w:r>
        <w:rPr>
          <w:noProof/>
          <w:lang w:eastAsia="en-AU"/>
        </w:rPr>
        <w:t xml:space="preserve">; international units operating in the United Kingdom, </w:t>
      </w:r>
      <w:r w:rsidR="00A557FB">
        <w:rPr>
          <w:noProof/>
          <w:lang w:eastAsia="en-AU"/>
        </w:rPr>
        <w:t>Europe, South America, Canada, Scandinavia and Austra</w:t>
      </w:r>
      <w:r w:rsidR="000944B4">
        <w:rPr>
          <w:noProof/>
          <w:lang w:eastAsia="en-AU"/>
        </w:rPr>
        <w:t>lia, with total revenues of USD</w:t>
      </w:r>
      <w:r w:rsidR="00A557FB">
        <w:rPr>
          <w:noProof/>
          <w:lang w:eastAsia="en-AU"/>
        </w:rPr>
        <w:t>824 million for the year ended 31 December 2015. It also comprises global reinsurance units writing faculative and treaty business in the United States, United Kingdom, Europe, Australia, the Asia-Pacific and Sout</w:t>
      </w:r>
      <w:r w:rsidR="000944B4">
        <w:rPr>
          <w:noProof/>
          <w:lang w:eastAsia="en-AU"/>
        </w:rPr>
        <w:t>h</w:t>
      </w:r>
      <w:r w:rsidR="00A557FB">
        <w:rPr>
          <w:noProof/>
          <w:lang w:eastAsia="en-AU"/>
        </w:rPr>
        <w:t xml:space="preserve"> Africa with total revenues of USD683 million for the year ended 31 December 2015.</w:t>
      </w:r>
    </w:p>
    <w:p w:rsidR="00A557FB" w:rsidRDefault="00A557FB" w:rsidP="0023559B">
      <w:pPr>
        <w:pStyle w:val="ParaNumbering"/>
      </w:pPr>
      <w:r>
        <w:t xml:space="preserve">BIC is the largest underwriting entity of </w:t>
      </w:r>
      <w:r w:rsidR="002869C5">
        <w:t>the</w:t>
      </w:r>
      <w:r w:rsidR="00E06947">
        <w:t xml:space="preserve"> W.R. Berkley Insurance Group</w:t>
      </w:r>
      <w:r>
        <w:t xml:space="preserve">. Its financial strength has an A+ </w:t>
      </w:r>
      <w:r w:rsidR="00E06947">
        <w:t>(</w:t>
      </w:r>
      <w:r>
        <w:t>Superior</w:t>
      </w:r>
      <w:r w:rsidR="00E06947">
        <w:t>)</w:t>
      </w:r>
      <w:r>
        <w:t xml:space="preserve"> rating by A.M. Best and A+ </w:t>
      </w:r>
      <w:r w:rsidR="00E06947">
        <w:t>(</w:t>
      </w:r>
      <w:r>
        <w:t>Strong</w:t>
      </w:r>
      <w:r w:rsidR="00E06947">
        <w:t>)</w:t>
      </w:r>
      <w:r>
        <w:t xml:space="preserve"> by Standard &amp; Poor’s. </w:t>
      </w:r>
      <w:r w:rsidR="002B1699">
        <w:t>It operates under the laws of Delaware, and is regulated by the Delaware Department of Insurance.  Its annual statement for 2015 shows it has total assets of USD17 billion and premiums earned of USD5.1 billion for the year ended 31 December 2016.</w:t>
      </w:r>
    </w:p>
    <w:p w:rsidR="0023559B" w:rsidRDefault="00577E99" w:rsidP="00E06947">
      <w:pPr>
        <w:pStyle w:val="Heading3"/>
      </w:pPr>
      <w:r>
        <w:t>Conclusions</w:t>
      </w:r>
    </w:p>
    <w:p w:rsidR="00577E99" w:rsidRPr="00577E99" w:rsidRDefault="00577E99" w:rsidP="00577E99">
      <w:pPr>
        <w:pStyle w:val="ParaNumbering"/>
      </w:pPr>
      <w:r>
        <w:t xml:space="preserve">The independent </w:t>
      </w:r>
      <w:r w:rsidR="00E06947">
        <w:t xml:space="preserve">opinion </w:t>
      </w:r>
      <w:r>
        <w:t xml:space="preserve">of Mr Gard contained in the </w:t>
      </w:r>
      <w:r w:rsidR="000944B4">
        <w:t>A</w:t>
      </w:r>
      <w:r>
        <w:t xml:space="preserve">ctuarial </w:t>
      </w:r>
      <w:r w:rsidR="000944B4">
        <w:t>R</w:t>
      </w:r>
      <w:r>
        <w:t xml:space="preserve">eport coupled with the further financial information provided by the </w:t>
      </w:r>
      <w:r w:rsidR="000944B4">
        <w:t>a</w:t>
      </w:r>
      <w:r>
        <w:t xml:space="preserve">pplicant with regard to WRBC and BIC </w:t>
      </w:r>
      <w:r w:rsidR="000E208B">
        <w:t xml:space="preserve">satisfy </w:t>
      </w:r>
      <w:r>
        <w:t xml:space="preserve">me that </w:t>
      </w:r>
      <w:r w:rsidRPr="00577E99">
        <w:t>neither the policyholders of</w:t>
      </w:r>
      <w:r>
        <w:t xml:space="preserve"> </w:t>
      </w:r>
      <w:r w:rsidRPr="00577E99">
        <w:t xml:space="preserve">WRBIEL </w:t>
      </w:r>
      <w:r w:rsidR="00E06947">
        <w:t>or</w:t>
      </w:r>
      <w:r w:rsidR="00E06947" w:rsidRPr="00577E99">
        <w:t xml:space="preserve"> </w:t>
      </w:r>
      <w:r w:rsidRPr="00577E99">
        <w:t xml:space="preserve">BIC will experience a material detriment </w:t>
      </w:r>
      <w:r>
        <w:t>in terms of changes of security</w:t>
      </w:r>
      <w:r w:rsidR="008F5A88">
        <w:t>, regulatory environment</w:t>
      </w:r>
      <w:r>
        <w:t xml:space="preserve"> or risk profile as a result of the transfer. </w:t>
      </w:r>
    </w:p>
    <w:p w:rsidR="009A58A7" w:rsidRDefault="00AB33C2" w:rsidP="00AB33C2">
      <w:pPr>
        <w:pStyle w:val="Heading2"/>
      </w:pPr>
      <w:r>
        <w:t>Procedural</w:t>
      </w:r>
      <w:r w:rsidR="009A58A7">
        <w:t xml:space="preserve"> requirements</w:t>
      </w:r>
    </w:p>
    <w:p w:rsidR="009A58A7" w:rsidRDefault="00577E99" w:rsidP="009A58A7">
      <w:pPr>
        <w:pStyle w:val="ParaNumbering"/>
      </w:pPr>
      <w:r>
        <w:t>Specific</w:t>
      </w:r>
      <w:r w:rsidR="009A58A7">
        <w:t xml:space="preserve"> procedural requirements </w:t>
      </w:r>
      <w:r>
        <w:t>attend the</w:t>
      </w:r>
      <w:r w:rsidR="009A58A7">
        <w:t xml:space="preserve"> making</w:t>
      </w:r>
      <w:r w:rsidR="00E06947">
        <w:t xml:space="preserve"> of an application of this kind.</w:t>
      </w:r>
    </w:p>
    <w:p w:rsidR="00E06947" w:rsidRDefault="00E06947" w:rsidP="00E06947">
      <w:pPr>
        <w:pStyle w:val="Heading3"/>
      </w:pPr>
      <w:r>
        <w:t xml:space="preserve">Copy of Scheme documents </w:t>
      </w:r>
    </w:p>
    <w:p w:rsidR="00197D35" w:rsidRDefault="009A58A7" w:rsidP="000E208B">
      <w:pPr>
        <w:pStyle w:val="ParaNumbering"/>
      </w:pPr>
      <w:r w:rsidRPr="009A58A7">
        <w:t xml:space="preserve">The applicant </w:t>
      </w:r>
      <w:r>
        <w:t xml:space="preserve">provided a copy of the </w:t>
      </w:r>
      <w:r w:rsidR="002C3BDE">
        <w:t xml:space="preserve">scheme </w:t>
      </w:r>
      <w:r w:rsidR="00197D35">
        <w:t xml:space="preserve">and </w:t>
      </w:r>
      <w:r w:rsidR="002C3BDE">
        <w:t xml:space="preserve">actuarial report </w:t>
      </w:r>
      <w:r>
        <w:t xml:space="preserve">to APRA as required </w:t>
      </w:r>
      <w:r w:rsidR="00197D35">
        <w:t xml:space="preserve">by </w:t>
      </w:r>
      <w:proofErr w:type="gramStart"/>
      <w:r w:rsidR="00197D35">
        <w:t>s17C(</w:t>
      </w:r>
      <w:proofErr w:type="gramEnd"/>
      <w:r w:rsidR="00197D35">
        <w:t xml:space="preserve">2)(a) </w:t>
      </w:r>
      <w:r w:rsidR="000E208B" w:rsidRPr="000E208B">
        <w:t>in accordan</w:t>
      </w:r>
      <w:r w:rsidR="000E208B">
        <w:t>ce with the prudential standard</w:t>
      </w:r>
      <w:r w:rsidR="002C3BDE">
        <w:t>s</w:t>
      </w:r>
      <w:r w:rsidR="000E208B">
        <w:t xml:space="preserve"> </w:t>
      </w:r>
      <w:r w:rsidR="002C3BDE">
        <w:t xml:space="preserve">(see also </w:t>
      </w:r>
      <w:r w:rsidR="000E208B">
        <w:t>GPS 410 at [5]</w:t>
      </w:r>
      <w:r w:rsidR="002C3BDE">
        <w:t>)</w:t>
      </w:r>
      <w:r w:rsidRPr="009A58A7">
        <w:t xml:space="preserve">. </w:t>
      </w:r>
      <w:r w:rsidR="00197D35">
        <w:t>The affidavit of Christopher Richard Flanagan, sworn 3 August 2016</w:t>
      </w:r>
      <w:r w:rsidR="002D2215">
        <w:t>,</w:t>
      </w:r>
      <w:r w:rsidR="00197D35">
        <w:t xml:space="preserve"> </w:t>
      </w:r>
      <w:r w:rsidR="00E06947">
        <w:t>indicates</w:t>
      </w:r>
      <w:r w:rsidR="00197D35">
        <w:t xml:space="preserve"> that on 19 May 2016, the final drafts of the Notice of Intention, the Scheme and Scheme Summary and Actuarial Report dated 6 April 2016 were e-mailed to APRA in their finalised form. </w:t>
      </w:r>
      <w:r w:rsidR="00AC7FF0">
        <w:t xml:space="preserve">Approval by APRA of the Scheme Summary and Notice of Intention, as required by GPS 410 </w:t>
      </w:r>
      <w:r w:rsidR="00D57CC8">
        <w:t>at</w:t>
      </w:r>
      <w:r w:rsidR="00AC7FF0">
        <w:t xml:space="preserve"> [8] and [9] was obtained on </w:t>
      </w:r>
      <w:r w:rsidR="00197D35">
        <w:t>20 May 2016.</w:t>
      </w:r>
    </w:p>
    <w:p w:rsidR="00197D35" w:rsidRDefault="00AC7FF0" w:rsidP="00E06947">
      <w:pPr>
        <w:pStyle w:val="Heading3"/>
      </w:pPr>
      <w:r>
        <w:lastRenderedPageBreak/>
        <w:t>Publication of the Notice of Intention</w:t>
      </w:r>
    </w:p>
    <w:p w:rsidR="00AC7FF0" w:rsidRDefault="00AC7FF0" w:rsidP="00275B7F">
      <w:pPr>
        <w:pStyle w:val="ParaNumbering"/>
      </w:pPr>
      <w:r>
        <w:t>An applicant is required</w:t>
      </w:r>
      <w:r w:rsidRPr="00AC7FF0">
        <w:t xml:space="preserve"> </w:t>
      </w:r>
      <w:r>
        <w:t xml:space="preserve">by s </w:t>
      </w:r>
      <w:proofErr w:type="gramStart"/>
      <w:r>
        <w:t>17C(</w:t>
      </w:r>
      <w:proofErr w:type="gramEnd"/>
      <w:r>
        <w:t xml:space="preserve">2)(b) of the Act to publish a </w:t>
      </w:r>
      <w:r w:rsidRPr="00AC7FF0">
        <w:t>notice of</w:t>
      </w:r>
      <w:r w:rsidR="00D57CC8">
        <w:t xml:space="preserve"> intention</w:t>
      </w:r>
      <w:r w:rsidRPr="00AC7FF0">
        <w:t xml:space="preserve"> </w:t>
      </w:r>
      <w:r>
        <w:t xml:space="preserve">containing </w:t>
      </w:r>
      <w:r w:rsidRPr="00AC7FF0">
        <w:t xml:space="preserve">the information specified in Prudential Standard GPS 410 </w:t>
      </w:r>
      <w:r w:rsidR="00D57CC8">
        <w:t>at [10]</w:t>
      </w:r>
      <w:r w:rsidRPr="00AC7FF0">
        <w:t>. Th</w:t>
      </w:r>
      <w:r w:rsidR="00237497">
        <w:t xml:space="preserve">e </w:t>
      </w:r>
      <w:r w:rsidRPr="00AC7FF0">
        <w:t xml:space="preserve">notice must be published </w:t>
      </w:r>
      <w:r w:rsidR="00D57CC8">
        <w:t xml:space="preserve">in </w:t>
      </w:r>
      <w:r w:rsidRPr="00AC7FF0">
        <w:t>the Government Gazette and one or more newspapers, approved by APRA, circulating in each State and Territory in which an</w:t>
      </w:r>
      <w:r w:rsidR="00237497">
        <w:t xml:space="preserve"> affected policyholder resides (</w:t>
      </w:r>
      <w:r w:rsidRPr="00AC7FF0">
        <w:t>Prud</w:t>
      </w:r>
      <w:r w:rsidR="00237497">
        <w:t xml:space="preserve">ential Standard GPS 410 </w:t>
      </w:r>
      <w:r w:rsidR="00D57CC8">
        <w:t>at [9]</w:t>
      </w:r>
      <w:r w:rsidR="00237497">
        <w:t>). At the dispensation hearing, I made orders requiring the applicant to publish the Notice of Intention on two separate occasions (no less than one week apart) in the</w:t>
      </w:r>
      <w:r w:rsidR="00237497" w:rsidRPr="00D57CC8">
        <w:t xml:space="preserve"> Gazette</w:t>
      </w:r>
      <w:r w:rsidR="00237497">
        <w:t xml:space="preserve"> and certain newspaper</w:t>
      </w:r>
      <w:r w:rsidR="006703EE">
        <w:t>s</w:t>
      </w:r>
      <w:r w:rsidR="00237497">
        <w:t>. I am satisfied that the applicant complied with this order, as evidence</w:t>
      </w:r>
      <w:r w:rsidR="00D57CC8">
        <w:t>d</w:t>
      </w:r>
      <w:r w:rsidR="00237497">
        <w:t xml:space="preserve"> </w:t>
      </w:r>
      <w:r w:rsidR="00232005">
        <w:t xml:space="preserve">by the </w:t>
      </w:r>
      <w:r w:rsidR="00D165B4" w:rsidRPr="00D165B4">
        <w:t xml:space="preserve">affidavit of </w:t>
      </w:r>
      <w:r w:rsidR="00275B7F" w:rsidRPr="00275B7F">
        <w:t xml:space="preserve">Christopher Flanagan </w:t>
      </w:r>
      <w:r w:rsidR="00232005">
        <w:t>at [58] and [59] and its annexures. The notice was published on 24 May 2016 for the first time and 31 May 2016 for the second time</w:t>
      </w:r>
    </w:p>
    <w:p w:rsidR="00237497" w:rsidRDefault="00F21A14" w:rsidP="00E06947">
      <w:pPr>
        <w:pStyle w:val="Heading3"/>
      </w:pPr>
      <w:r>
        <w:t>Inspection Period</w:t>
      </w:r>
    </w:p>
    <w:p w:rsidR="00F21A14" w:rsidRDefault="00F21A14" w:rsidP="00F21A14">
      <w:pPr>
        <w:pStyle w:val="ParaNumbering"/>
      </w:pPr>
      <w:r>
        <w:t>With regard to the inspection period, I made the following order:</w:t>
      </w:r>
    </w:p>
    <w:p w:rsidR="00F21A14" w:rsidRDefault="00F21A14" w:rsidP="00F21A14">
      <w:pPr>
        <w:pStyle w:val="Quote1"/>
      </w:pPr>
      <w:r>
        <w:t>5. The Applicant make a copy of the Scheme, Scheme Summary and Actuarial Report available for inspection from 9.00am to 5.00pm (local time) everyday (except weekends and public holidays) for a period of at least 15 days (inclusive) at locations approved by APRA in each State and Territory in which an affected policyholder resides.</w:t>
      </w:r>
    </w:p>
    <w:p w:rsidR="00F21A14" w:rsidRDefault="00F21A14" w:rsidP="00275B7F">
      <w:pPr>
        <w:pStyle w:val="ParaNumbering"/>
      </w:pPr>
      <w:r>
        <w:rPr>
          <w:noProof/>
          <w:lang w:eastAsia="en-AU"/>
        </w:rPr>
        <w:t xml:space="preserve">The  affidavit of </w:t>
      </w:r>
      <w:r w:rsidR="00275B7F" w:rsidRPr="00275B7F">
        <w:rPr>
          <w:noProof/>
          <w:lang w:eastAsia="en-AU"/>
        </w:rPr>
        <w:t>Christopher Flanagan</w:t>
      </w:r>
      <w:r w:rsidR="00D82473">
        <w:rPr>
          <w:noProof/>
          <w:lang w:eastAsia="en-AU"/>
        </w:rPr>
        <w:t>, sworn 3 August 2016,</w:t>
      </w:r>
      <w:r>
        <w:rPr>
          <w:noProof/>
          <w:lang w:eastAsia="en-AU"/>
        </w:rPr>
        <w:t xml:space="preserve"> </w:t>
      </w:r>
      <w:r w:rsidR="00C15ADB">
        <w:rPr>
          <w:noProof/>
          <w:lang w:eastAsia="en-AU"/>
        </w:rPr>
        <w:t xml:space="preserve">at [60] to [68] </w:t>
      </w:r>
      <w:r>
        <w:rPr>
          <w:noProof/>
          <w:lang w:eastAsia="en-AU"/>
        </w:rPr>
        <w:t xml:space="preserve">and its annexures illustrate that this order was complied with by the applicant, and the inspection sites were staffed and copies of the relevant documents </w:t>
      </w:r>
      <w:r w:rsidR="00D57CC8">
        <w:rPr>
          <w:noProof/>
          <w:lang w:eastAsia="en-AU"/>
        </w:rPr>
        <w:t>m</w:t>
      </w:r>
      <w:r>
        <w:rPr>
          <w:noProof/>
          <w:lang w:eastAsia="en-AU"/>
        </w:rPr>
        <w:t xml:space="preserve">ade avaliable during the relevant period running from 25 May 2016 to </w:t>
      </w:r>
      <w:r w:rsidR="00D165B4">
        <w:rPr>
          <w:noProof/>
          <w:lang w:eastAsia="en-AU"/>
        </w:rPr>
        <w:t>1</w:t>
      </w:r>
      <w:r>
        <w:rPr>
          <w:noProof/>
          <w:lang w:eastAsia="en-AU"/>
        </w:rPr>
        <w:t>6 June 2016</w:t>
      </w:r>
      <w:r w:rsidR="00D165B4">
        <w:rPr>
          <w:noProof/>
          <w:lang w:eastAsia="en-AU"/>
        </w:rPr>
        <w:t xml:space="preserve"> (inclusive)</w:t>
      </w:r>
      <w:r>
        <w:rPr>
          <w:noProof/>
          <w:lang w:eastAsia="en-AU"/>
        </w:rPr>
        <w:t xml:space="preserve">. </w:t>
      </w:r>
      <w:r w:rsidR="00D165B4">
        <w:rPr>
          <w:noProof/>
          <w:lang w:eastAsia="en-AU"/>
        </w:rPr>
        <w:t xml:space="preserve"> The address of the inspection site in Victoria and the name of the </w:t>
      </w:r>
      <w:r w:rsidR="00D57CC8">
        <w:rPr>
          <w:noProof/>
          <w:lang w:eastAsia="en-AU"/>
        </w:rPr>
        <w:t>entity</w:t>
      </w:r>
      <w:r w:rsidR="00D165B4">
        <w:rPr>
          <w:noProof/>
          <w:lang w:eastAsia="en-AU"/>
        </w:rPr>
        <w:t xml:space="preserve"> for the Tasmanian inspection site changed after the date of the dispensation hearing. These updated details, however, were included in the Notice of Intention and Scheme Summary as published and circulated to policyholders. </w:t>
      </w:r>
      <w:r>
        <w:rPr>
          <w:noProof/>
          <w:lang w:eastAsia="en-AU"/>
        </w:rPr>
        <w:t>No person is recorded as attending the inspection s</w:t>
      </w:r>
      <w:r w:rsidR="00D165B4">
        <w:rPr>
          <w:noProof/>
          <w:lang w:eastAsia="en-AU"/>
        </w:rPr>
        <w:t xml:space="preserve">ites during the relevant period: see [68] of the </w:t>
      </w:r>
      <w:r w:rsidR="00C15ADB">
        <w:rPr>
          <w:noProof/>
          <w:lang w:eastAsia="en-AU"/>
        </w:rPr>
        <w:t xml:space="preserve">the affidavit of </w:t>
      </w:r>
      <w:r w:rsidR="00275B7F" w:rsidRPr="00275B7F">
        <w:rPr>
          <w:noProof/>
          <w:lang w:eastAsia="en-AU"/>
        </w:rPr>
        <w:t>Christopher Flanagan</w:t>
      </w:r>
      <w:r w:rsidR="00C15ADB">
        <w:rPr>
          <w:noProof/>
          <w:lang w:eastAsia="en-AU"/>
        </w:rPr>
        <w:t xml:space="preserve">. </w:t>
      </w:r>
    </w:p>
    <w:p w:rsidR="00F21A14" w:rsidRDefault="00F21A14" w:rsidP="00E06947">
      <w:pPr>
        <w:pStyle w:val="Heading3"/>
      </w:pPr>
      <w:r>
        <w:rPr>
          <w:noProof/>
          <w:lang w:eastAsia="en-AU"/>
        </w:rPr>
        <w:t xml:space="preserve">Distribution of </w:t>
      </w:r>
      <w:r w:rsidR="00E06947">
        <w:rPr>
          <w:noProof/>
          <w:lang w:eastAsia="en-AU"/>
        </w:rPr>
        <w:t>S</w:t>
      </w:r>
      <w:r>
        <w:rPr>
          <w:noProof/>
          <w:lang w:eastAsia="en-AU"/>
        </w:rPr>
        <w:t>cheme summary</w:t>
      </w:r>
    </w:p>
    <w:p w:rsidR="00F21A14" w:rsidRPr="0010075A" w:rsidRDefault="00BA5F01" w:rsidP="00F21A14">
      <w:pPr>
        <w:pStyle w:val="ParaNumbering"/>
      </w:pPr>
      <w:r w:rsidRPr="0010075A">
        <w:t xml:space="preserve">Order 2 made on </w:t>
      </w:r>
      <w:r w:rsidR="00CB1077">
        <w:t>15 April</w:t>
      </w:r>
      <w:r w:rsidRPr="0010075A">
        <w:t xml:space="preserve"> 2016 concerned the persons to whom the </w:t>
      </w:r>
      <w:r w:rsidR="00D57CC8">
        <w:t>S</w:t>
      </w:r>
      <w:r w:rsidRPr="0010075A">
        <w:t xml:space="preserve">cheme </w:t>
      </w:r>
      <w:r w:rsidR="00D57CC8">
        <w:t>S</w:t>
      </w:r>
      <w:r w:rsidRPr="0010075A">
        <w:t>ummary would be distributed. It read:</w:t>
      </w:r>
    </w:p>
    <w:p w:rsidR="00577E99" w:rsidRDefault="00950424" w:rsidP="00CB1077">
      <w:pPr>
        <w:pStyle w:val="Quote1"/>
      </w:pPr>
      <w:r>
        <w:t xml:space="preserve">2. </w:t>
      </w:r>
      <w:r w:rsidR="00577E99">
        <w:t xml:space="preserve">The Applicant causes a copy of the summary of the Scheme approved by the Australian Prudential Regulation Authority (Approved Summary) </w:t>
      </w:r>
      <w:r w:rsidR="00CB1077">
        <w:t>to be sent by pre-paid post to:</w:t>
      </w:r>
    </w:p>
    <w:p w:rsidR="00577E99" w:rsidRDefault="00577E99" w:rsidP="00950424">
      <w:pPr>
        <w:pStyle w:val="Quote2"/>
      </w:pPr>
      <w:r>
        <w:t xml:space="preserve">(a)    each of the policyholders identified in the Policyholder Register as described in the affidavit of Christopher Richard Flanagan sworn on 7 April </w:t>
      </w:r>
      <w:r>
        <w:lastRenderedPageBreak/>
        <w:t>2016 (Flanagan Affidavit) and the supplementary affidavit of Christopher Richard Flanagan sworn on 8 April 2016 (Flanagan Supplementary Affidavit);</w:t>
      </w:r>
    </w:p>
    <w:p w:rsidR="00577E99" w:rsidRDefault="00CB1077" w:rsidP="00950424">
      <w:pPr>
        <w:pStyle w:val="Quote20"/>
        <w:ind w:left="1440"/>
      </w:pPr>
      <w:r>
        <w:t xml:space="preserve">(b) </w:t>
      </w:r>
      <w:r w:rsidR="00577E99">
        <w:t>each of the brokers, coverholders, managing general agents and master policyholders as described in the Flanagan Affidavit, the Flanagan Supplementary Affidavit and the further supplementary affidavit of Christopher Richard Flanagan sworn on 14 April 2016 (F</w:t>
      </w:r>
      <w:r>
        <w:t>urther Flanagan Affidavit); and</w:t>
      </w:r>
    </w:p>
    <w:p w:rsidR="00BA5F01" w:rsidRDefault="00950424" w:rsidP="00950424">
      <w:pPr>
        <w:pStyle w:val="Quote2"/>
      </w:pPr>
      <w:r>
        <w:t xml:space="preserve">(c) </w:t>
      </w:r>
      <w:r w:rsidR="00CB1077">
        <w:t xml:space="preserve"> </w:t>
      </w:r>
      <w:proofErr w:type="gramStart"/>
      <w:r w:rsidR="00577E99">
        <w:t>the</w:t>
      </w:r>
      <w:proofErr w:type="gramEnd"/>
      <w:r w:rsidR="00577E99">
        <w:t xml:space="preserve"> National Insurance Brokers Association, Steadfast and Austbrokers.</w:t>
      </w:r>
    </w:p>
    <w:p w:rsidR="00B50C0B" w:rsidRDefault="00B50C0B" w:rsidP="00275B7F">
      <w:pPr>
        <w:pStyle w:val="ParaNumbering"/>
      </w:pPr>
      <w:r>
        <w:t xml:space="preserve">The reference to the affidavit of </w:t>
      </w:r>
      <w:r w:rsidRPr="00B50C0B">
        <w:t>Christopher Richard Flanagan</w:t>
      </w:r>
      <w:r w:rsidR="00E76689">
        <w:t>,</w:t>
      </w:r>
      <w:r w:rsidRPr="00B50C0B">
        <w:t xml:space="preserve"> sworn on 7 April 2016</w:t>
      </w:r>
      <w:r w:rsidR="00E76689">
        <w:t>,</w:t>
      </w:r>
      <w:r w:rsidRPr="00B50C0B">
        <w:t xml:space="preserve"> </w:t>
      </w:r>
      <w:r>
        <w:t xml:space="preserve">in fact referred to the information contained in </w:t>
      </w:r>
      <w:r w:rsidR="00275B7F" w:rsidRPr="00275B7F">
        <w:t>Christopher Flanagan</w:t>
      </w:r>
      <w:r>
        <w:t xml:space="preserve">’s affidavit sworn on 6 April 2016, and Mr Flanagan proceeded to comply with the Court’s order on that basis. </w:t>
      </w:r>
    </w:p>
    <w:p w:rsidR="00E638C0" w:rsidRDefault="00D165B4" w:rsidP="00ED05E0">
      <w:pPr>
        <w:pStyle w:val="ParaNumbering"/>
      </w:pPr>
      <w:r>
        <w:t xml:space="preserve">The </w:t>
      </w:r>
      <w:r w:rsidRPr="00D165B4">
        <w:t>affidavit of Christopher Flanagan</w:t>
      </w:r>
      <w:r w:rsidR="00275B7F">
        <w:t>, sworn 3 August 2016,</w:t>
      </w:r>
      <w:r>
        <w:t xml:space="preserve"> provides details of assembly and finalisation of the </w:t>
      </w:r>
      <w:r w:rsidR="002972AF">
        <w:t>Policyholder Register</w:t>
      </w:r>
      <w:r w:rsidR="00E638C0">
        <w:t xml:space="preserve"> and Broker List</w:t>
      </w:r>
      <w:r>
        <w:t xml:space="preserve"> (see [9] to [14]).</w:t>
      </w:r>
      <w:r w:rsidR="000002B3">
        <w:t xml:space="preserve"> </w:t>
      </w:r>
      <w:r w:rsidR="002972AF">
        <w:t>The completed Policyholder Register consisted of 28,069 entries</w:t>
      </w:r>
      <w:r w:rsidR="00782D52">
        <w:t>,</w:t>
      </w:r>
      <w:r w:rsidR="002972AF">
        <w:t xml:space="preserve"> as explained </w:t>
      </w:r>
      <w:r w:rsidR="00782D52">
        <w:t xml:space="preserve">at [5] </w:t>
      </w:r>
      <w:r w:rsidR="002972AF">
        <w:t xml:space="preserve">in the </w:t>
      </w:r>
      <w:r w:rsidR="000F1B4A">
        <w:t xml:space="preserve">affidavit of Christopher </w:t>
      </w:r>
      <w:r w:rsidR="002972AF" w:rsidRPr="000002B3">
        <w:t>Flanagan,</w:t>
      </w:r>
      <w:r w:rsidR="00E638C0">
        <w:t xml:space="preserve"> sworn</w:t>
      </w:r>
      <w:r w:rsidR="002972AF" w:rsidRPr="000002B3">
        <w:t xml:space="preserve"> </w:t>
      </w:r>
      <w:r w:rsidR="002972AF">
        <w:t xml:space="preserve">19 October 2016. </w:t>
      </w:r>
      <w:r w:rsidR="00ED05E0">
        <w:t xml:space="preserve">It provided a list of all Current claims for Segments A, B and C of the </w:t>
      </w:r>
      <w:r w:rsidR="000F1B4A">
        <w:t>a</w:t>
      </w:r>
      <w:r w:rsidR="00ED05E0">
        <w:t xml:space="preserve">pplicant’s business as these </w:t>
      </w:r>
      <w:r w:rsidR="003C5BA5">
        <w:t xml:space="preserve">segments </w:t>
      </w:r>
      <w:r w:rsidR="00ED05E0">
        <w:t xml:space="preserve">were explained at the dispensation hearing: see </w:t>
      </w:r>
      <w:r w:rsidR="00ED05E0" w:rsidRPr="00ED05E0">
        <w:rPr>
          <w:i/>
        </w:rPr>
        <w:t xml:space="preserve">W.R. Berkley Insurance (Europe) </w:t>
      </w:r>
      <w:proofErr w:type="gramStart"/>
      <w:r w:rsidR="00ED05E0" w:rsidRPr="00ED05E0">
        <w:rPr>
          <w:i/>
        </w:rPr>
        <w:t>Limited</w:t>
      </w:r>
      <w:proofErr w:type="gramEnd"/>
      <w:r w:rsidR="00ED05E0" w:rsidRPr="00ED05E0">
        <w:t xml:space="preserve"> [2016] FCA 374</w:t>
      </w:r>
      <w:r w:rsidR="00ED05E0">
        <w:t xml:space="preserve">. </w:t>
      </w:r>
      <w:r w:rsidR="008C65A5">
        <w:t xml:space="preserve">The completed Broker </w:t>
      </w:r>
      <w:r w:rsidR="003C5BA5">
        <w:t xml:space="preserve">List </w:t>
      </w:r>
      <w:r w:rsidR="008C65A5">
        <w:t>comprised a list of broker names and addresses held on the relevant database.</w:t>
      </w:r>
    </w:p>
    <w:p w:rsidR="00B50C0B" w:rsidRPr="00B50C0B" w:rsidRDefault="00E638C0" w:rsidP="00B50C0B">
      <w:pPr>
        <w:pStyle w:val="ParaNumbering"/>
      </w:pPr>
      <w:r>
        <w:t>The completed Policyholder Register and Broker List</w:t>
      </w:r>
      <w:r w:rsidR="008C65A5" w:rsidRPr="008C65A5">
        <w:t xml:space="preserve"> </w:t>
      </w:r>
      <w:r w:rsidR="00782D52">
        <w:t>w</w:t>
      </w:r>
      <w:r w:rsidR="006703EE">
        <w:t>ere</w:t>
      </w:r>
      <w:r w:rsidR="00782D52">
        <w:t xml:space="preserve"> </w:t>
      </w:r>
      <w:r w:rsidR="008C65A5">
        <w:t xml:space="preserve">sent to </w:t>
      </w:r>
      <w:r w:rsidR="00ED05E0">
        <w:t>representatives of</w:t>
      </w:r>
      <w:r w:rsidR="008C65A5">
        <w:t xml:space="preserve"> Senses Direct Pty Ltd, the company in charge of completing relevant checks</w:t>
      </w:r>
      <w:r w:rsidR="00782D52">
        <w:t xml:space="preserve"> </w:t>
      </w:r>
      <w:r w:rsidR="008C65A5">
        <w:t xml:space="preserve">and implementing the mail-out. </w:t>
      </w:r>
      <w:r w:rsidR="00B50C0B">
        <w:t>Mr Flanagan also took certain steps to identify the Australian address</w:t>
      </w:r>
      <w:r w:rsidR="00782D52">
        <w:t>es</w:t>
      </w:r>
      <w:r w:rsidR="00B50C0B">
        <w:t xml:space="preserve"> </w:t>
      </w:r>
      <w:r w:rsidR="00782D52">
        <w:t xml:space="preserve">in cases where only </w:t>
      </w:r>
      <w:r w:rsidR="00B50C0B">
        <w:t xml:space="preserve">overseas </w:t>
      </w:r>
      <w:r w:rsidR="00782D52">
        <w:t>addresses</w:t>
      </w:r>
      <w:r w:rsidR="00B50C0B">
        <w:t xml:space="preserve"> </w:t>
      </w:r>
      <w:r w:rsidR="00782D52">
        <w:t>appeared</w:t>
      </w:r>
      <w:r w:rsidR="00B50C0B">
        <w:t xml:space="preserve"> on the mailing list. In accordance with Order 2(c), Mr Flanagan also </w:t>
      </w:r>
      <w:r w:rsidR="00782D52">
        <w:t>s</w:t>
      </w:r>
      <w:r w:rsidR="006703EE">
        <w:t>ent</w:t>
      </w:r>
      <w:r w:rsidR="00782D52">
        <w:t xml:space="preserve"> the required documents</w:t>
      </w:r>
      <w:r w:rsidR="00B50C0B" w:rsidRPr="00B50C0B">
        <w:t xml:space="preserve"> to the National Insurance Brokers </w:t>
      </w:r>
      <w:r w:rsidR="00BD38EC" w:rsidRPr="00B50C0B">
        <w:t>Association,</w:t>
      </w:r>
      <w:r w:rsidR="00B50C0B" w:rsidRPr="00B50C0B">
        <w:t xml:space="preserve"> Steadfast and Austbrokers</w:t>
      </w:r>
      <w:r w:rsidR="00782D52">
        <w:t>.</w:t>
      </w:r>
    </w:p>
    <w:p w:rsidR="004B62D5" w:rsidRPr="004B62D5" w:rsidRDefault="00BD38EC" w:rsidP="004B62D5">
      <w:pPr>
        <w:pStyle w:val="ParaNumbering"/>
      </w:pPr>
      <w:r>
        <w:t xml:space="preserve">A spreadsheet annexed to the affidavit of Mr Flanagan shows the returned and redirected mail from the mail-out.  </w:t>
      </w:r>
      <w:r w:rsidR="006703EE">
        <w:t>The</w:t>
      </w:r>
      <w:r>
        <w:t xml:space="preserve"> return of </w:t>
      </w:r>
      <w:r w:rsidR="003034EB">
        <w:t>5</w:t>
      </w:r>
      <w:r>
        <w:t>455 letters</w:t>
      </w:r>
      <w:r w:rsidR="006703EE">
        <w:t xml:space="preserve"> was recorded</w:t>
      </w:r>
      <w:r>
        <w:t xml:space="preserve">. Attempts were made </w:t>
      </w:r>
      <w:r w:rsidR="006703EE">
        <w:t>with</w:t>
      </w:r>
      <w:r>
        <w:t xml:space="preserve"> regard to </w:t>
      </w:r>
      <w:r w:rsidR="006703EE">
        <w:t>Segment</w:t>
      </w:r>
      <w:r w:rsidRPr="00BD38EC">
        <w:t xml:space="preserve"> A and C </w:t>
      </w:r>
      <w:r>
        <w:t xml:space="preserve">business, the Broker List and </w:t>
      </w:r>
      <w:r w:rsidRPr="00BD38EC">
        <w:t xml:space="preserve">Segment </w:t>
      </w:r>
      <w:r w:rsidR="003034EB">
        <w:t>B</w:t>
      </w:r>
      <w:r w:rsidR="003034EB" w:rsidRPr="00BD38EC">
        <w:t xml:space="preserve"> </w:t>
      </w:r>
      <w:r w:rsidRPr="00BD38EC">
        <w:t>(including current claimants for this segment)</w:t>
      </w:r>
      <w:r w:rsidR="003034EB">
        <w:t>,</w:t>
      </w:r>
      <w:r w:rsidRPr="00BD38EC">
        <w:t xml:space="preserve"> with the exception of Queensland Underwriting Services (</w:t>
      </w:r>
      <w:r w:rsidRPr="004B62D5">
        <w:rPr>
          <w:b/>
        </w:rPr>
        <w:t>QUS</w:t>
      </w:r>
      <w:r w:rsidRPr="00BD38EC">
        <w:t xml:space="preserve">), </w:t>
      </w:r>
      <w:r>
        <w:t xml:space="preserve">to </w:t>
      </w:r>
      <w:r w:rsidR="004B62D5" w:rsidRPr="004B62D5">
        <w:t>determine updated addresses for these policyholders.</w:t>
      </w:r>
    </w:p>
    <w:p w:rsidR="004B62D5" w:rsidRPr="00BD38EC" w:rsidRDefault="004B62D5" w:rsidP="004B62D5">
      <w:pPr>
        <w:pStyle w:val="ParaNumbering"/>
        <w:tabs>
          <w:tab w:val="clear" w:pos="720"/>
        </w:tabs>
      </w:pPr>
      <w:r>
        <w:t xml:space="preserve">The </w:t>
      </w:r>
      <w:r w:rsidR="00BD38EC" w:rsidRPr="00BD38EC">
        <w:t>addresses used to send the Scheme Summary to policyholders</w:t>
      </w:r>
      <w:r w:rsidRPr="004B62D5">
        <w:t xml:space="preserve"> of </w:t>
      </w:r>
      <w:r w:rsidR="003034EB">
        <w:t>QUS</w:t>
      </w:r>
      <w:r>
        <w:t xml:space="preserve"> </w:t>
      </w:r>
      <w:r w:rsidRPr="00BD38EC">
        <w:t>represented</w:t>
      </w:r>
      <w:r w:rsidR="00BD38EC" w:rsidRPr="00BD38EC">
        <w:t xml:space="preserve"> risk locations of strata title properties that in some cases </w:t>
      </w:r>
      <w:r w:rsidR="006703EE">
        <w:t>did not</w:t>
      </w:r>
      <w:r w:rsidR="00BD38EC" w:rsidRPr="00BD38EC">
        <w:t xml:space="preserve"> necessarily equate to a postal address. </w:t>
      </w:r>
      <w:r w:rsidR="006703EE">
        <w:t>Further</w:t>
      </w:r>
      <w:r>
        <w:t xml:space="preserve"> internet</w:t>
      </w:r>
      <w:r w:rsidR="00BD38EC" w:rsidRPr="00BD38EC">
        <w:t xml:space="preserve"> searches of the publicly </w:t>
      </w:r>
      <w:r>
        <w:t>available</w:t>
      </w:r>
      <w:r w:rsidR="00BD38EC" w:rsidRPr="00BD38EC">
        <w:t xml:space="preserve"> records on the internet</w:t>
      </w:r>
      <w:r w:rsidR="006703EE">
        <w:t xml:space="preserve"> were made</w:t>
      </w:r>
      <w:r w:rsidR="00BD38EC" w:rsidRPr="00BD38EC">
        <w:t xml:space="preserve"> </w:t>
      </w:r>
      <w:r w:rsidR="00BD38EC" w:rsidRPr="00BD38EC">
        <w:lastRenderedPageBreak/>
        <w:t xml:space="preserve">to obtain updated information for the QUS component of returned mail, </w:t>
      </w:r>
      <w:r>
        <w:t>with the result that such searches did not</w:t>
      </w:r>
      <w:r w:rsidR="00BD38EC" w:rsidRPr="00BD38EC">
        <w:t xml:space="preserve"> yield any additional usable contact information. Accordingly it was decided not to pursue further internet searches for this category of policyholders</w:t>
      </w:r>
    </w:p>
    <w:p w:rsidR="00E638C0" w:rsidRDefault="004B62D5" w:rsidP="00300A22">
      <w:pPr>
        <w:pStyle w:val="ParaNumbering"/>
        <w:tabs>
          <w:tab w:val="clear" w:pos="720"/>
        </w:tabs>
      </w:pPr>
      <w:r>
        <w:t xml:space="preserve">The affidavit of Ian Robert Fulton, sworn 3 June 2016, deals with the practicalities of the mail-out itself. </w:t>
      </w:r>
      <w:r w:rsidR="00300A22">
        <w:t xml:space="preserve">I am satisfied from this evidence that the applicant complied with the mail-out to policyholders as required by the orders. </w:t>
      </w:r>
    </w:p>
    <w:p w:rsidR="003034EB" w:rsidRDefault="003034EB" w:rsidP="003034EB">
      <w:pPr>
        <w:pStyle w:val="ParaNumbering"/>
      </w:pPr>
      <w:r>
        <w:t xml:space="preserve">The affidavit of Christopher Flanagan, </w:t>
      </w:r>
      <w:r w:rsidRPr="003034EB">
        <w:t>sworn 3 August 2016,</w:t>
      </w:r>
      <w:r>
        <w:t xml:space="preserve"> also indicates that the Notice of Intention, the Scheme, the </w:t>
      </w:r>
      <w:r w:rsidRPr="003034EB">
        <w:t xml:space="preserve">Scheme Summary </w:t>
      </w:r>
      <w:r>
        <w:t xml:space="preserve">and the Actuarial Report were </w:t>
      </w:r>
      <w:r w:rsidRPr="003034EB">
        <w:t>available on the Berkley website</w:t>
      </w:r>
      <w:r>
        <w:t xml:space="preserve"> from 23 May 2016 to 16 June 2016 inclusive, as required by Order 3 made on 15 April 2016.   </w:t>
      </w:r>
    </w:p>
    <w:p w:rsidR="000F3B8F" w:rsidRDefault="000F3B8F" w:rsidP="00E06947">
      <w:pPr>
        <w:pStyle w:val="Heading1"/>
      </w:pPr>
      <w:r>
        <w:t xml:space="preserve">Views of APRA </w:t>
      </w:r>
    </w:p>
    <w:p w:rsidR="000F3B8F" w:rsidRDefault="000F3B8F" w:rsidP="000F3B8F">
      <w:pPr>
        <w:pStyle w:val="ParaNumbering"/>
      </w:pPr>
      <w:r>
        <w:t xml:space="preserve">Mr Claxton, who appeared on behalf of APRA, noted that APRA had supervised preparations of the Scheme and, on requiring some remediation to it, had received a high level of cooperation from the applicant. </w:t>
      </w:r>
      <w:r w:rsidR="002D7B4B">
        <w:t xml:space="preserve">Mr Claxton </w:t>
      </w:r>
      <w:r w:rsidR="00817981">
        <w:t>informed the Court</w:t>
      </w:r>
      <w:r w:rsidR="002D7B4B">
        <w:t xml:space="preserve"> that APRA was satisfied with the orders for implementation of the scheme as presented to the Court. </w:t>
      </w:r>
    </w:p>
    <w:p w:rsidR="000F3B8F" w:rsidRDefault="000F3B8F" w:rsidP="000F3B8F">
      <w:pPr>
        <w:pStyle w:val="ParaNumbering"/>
      </w:pPr>
      <w:r>
        <w:t>The Court accords significant weight to the views of APRA in confirming a scheme</w:t>
      </w:r>
      <w:r w:rsidR="00300A22">
        <w:t xml:space="preserve"> of this kind</w:t>
      </w:r>
      <w:r>
        <w:t xml:space="preserve"> </w:t>
      </w:r>
      <w:r w:rsidR="006703EE">
        <w:t>in light of the fact that it</w:t>
      </w:r>
      <w:r>
        <w:t xml:space="preserve"> </w:t>
      </w:r>
      <w:r w:rsidR="00300A22">
        <w:t xml:space="preserve">closely </w:t>
      </w:r>
      <w:r>
        <w:t>supervises the process and regulates insurance businesses with a view to managing risk and protecting the interests of policyholders.</w:t>
      </w:r>
    </w:p>
    <w:p w:rsidR="004B5A24" w:rsidRPr="000F3B8F" w:rsidRDefault="004B5A24" w:rsidP="00E06947">
      <w:pPr>
        <w:pStyle w:val="Heading1"/>
      </w:pPr>
      <w:r>
        <w:t>Reinsurance Orders</w:t>
      </w:r>
    </w:p>
    <w:p w:rsidR="009B696A" w:rsidRDefault="009B696A" w:rsidP="000D5DA0">
      <w:pPr>
        <w:pStyle w:val="ParaNumbering"/>
      </w:pPr>
      <w:r>
        <w:t xml:space="preserve">Section </w:t>
      </w:r>
      <w:proofErr w:type="gramStart"/>
      <w:r>
        <w:t>17F(</w:t>
      </w:r>
      <w:proofErr w:type="gramEnd"/>
      <w:r>
        <w:t>2) of the Act provides that the Court may make such orders as it thinks fit in relation to reinsurance.</w:t>
      </w:r>
    </w:p>
    <w:p w:rsidR="000D5DA0" w:rsidRDefault="000D5DA0" w:rsidP="000D5DA0">
      <w:pPr>
        <w:pStyle w:val="ParaNumbering"/>
      </w:pPr>
      <w:r>
        <w:t xml:space="preserve">The applicant also sought an order pursuant to s </w:t>
      </w:r>
      <w:proofErr w:type="gramStart"/>
      <w:r>
        <w:t>17F(</w:t>
      </w:r>
      <w:proofErr w:type="gramEnd"/>
      <w:r>
        <w:t xml:space="preserve">2) transferring the outwards reinsurance </w:t>
      </w:r>
      <w:r w:rsidRPr="004B5A24">
        <w:t xml:space="preserve">responding to any contract transferred pursuant to the Scheme, and all rights attaching to it, </w:t>
      </w:r>
      <w:r>
        <w:t xml:space="preserve">to BIC. The </w:t>
      </w:r>
      <w:r w:rsidR="002D7B4B">
        <w:t>affidavit of</w:t>
      </w:r>
      <w:r w:rsidRPr="000D5DA0">
        <w:t xml:space="preserve"> Christopher </w:t>
      </w:r>
      <w:r w:rsidR="002D7B4B" w:rsidRPr="000D5DA0">
        <w:t>Flanaga</w:t>
      </w:r>
      <w:r w:rsidR="002D7B4B">
        <w:t xml:space="preserve">n, sworn 3 August 2016, </w:t>
      </w:r>
      <w:r>
        <w:t xml:space="preserve">describes at [72] the two broad categories of protection pertaining to the </w:t>
      </w:r>
      <w:r w:rsidR="00A673B4">
        <w:t>a</w:t>
      </w:r>
      <w:r>
        <w:t>pplicant’s reinsurance arrangements. The first represents those reinsurance contract</w:t>
      </w:r>
      <w:r w:rsidR="002A37D4">
        <w:t>s</w:t>
      </w:r>
      <w:r>
        <w:t xml:space="preserve"> entered into by Berkely in Australia covering certain elements of its Australian risk. The second category is reinsurance contracts entered into by Berkley’s home office in the UK that cover insurance contracts written by </w:t>
      </w:r>
      <w:r w:rsidR="002A37D4">
        <w:t>Berkley’s</w:t>
      </w:r>
      <w:r>
        <w:t xml:space="preserve"> Australian branch and insurance contracts classified as liabilities under s 116A of the </w:t>
      </w:r>
      <w:r w:rsidR="002A37D4">
        <w:t>Act</w:t>
      </w:r>
      <w:r>
        <w:t xml:space="preserve"> representing the insurance business the subject of th</w:t>
      </w:r>
      <w:r w:rsidR="006703EE">
        <w:t xml:space="preserve">e </w:t>
      </w:r>
      <w:r>
        <w:t>application to the Court.</w:t>
      </w:r>
    </w:p>
    <w:p w:rsidR="000D5DA0" w:rsidRDefault="004B5A24" w:rsidP="000F3B8F">
      <w:pPr>
        <w:pStyle w:val="ParaNumbering"/>
      </w:pPr>
      <w:r>
        <w:lastRenderedPageBreak/>
        <w:t>As at 3 August 2016, all reinsurers ha</w:t>
      </w:r>
      <w:r w:rsidR="000D5DA0">
        <w:t>d</w:t>
      </w:r>
      <w:r>
        <w:t xml:space="preserve"> endorsed or novated reinsurance coverage to BIC</w:t>
      </w:r>
      <w:r w:rsidR="000D5DA0">
        <w:t xml:space="preserve"> in relation to both categories of protection detail</w:t>
      </w:r>
      <w:r w:rsidR="00300A22">
        <w:t>ed</w:t>
      </w:r>
      <w:r w:rsidR="000D5DA0">
        <w:t xml:space="preserve"> above i.e. the Australian and the UK reinsurance contracts</w:t>
      </w:r>
      <w:r>
        <w:t xml:space="preserve">. </w:t>
      </w:r>
    </w:p>
    <w:p w:rsidR="003043AE" w:rsidRDefault="000D5DA0" w:rsidP="003043AE">
      <w:pPr>
        <w:pStyle w:val="ParaNumbering"/>
      </w:pPr>
      <w:r>
        <w:t xml:space="preserve">As explained in the </w:t>
      </w:r>
      <w:r w:rsidR="002A37D4">
        <w:t>affidavit</w:t>
      </w:r>
      <w:r>
        <w:t xml:space="preserve"> of </w:t>
      </w:r>
      <w:r w:rsidRPr="000D5DA0">
        <w:t>Christopher Flanagan</w:t>
      </w:r>
      <w:r>
        <w:t>, sworn 19 October</w:t>
      </w:r>
      <w:r w:rsidR="002A37D4">
        <w:t xml:space="preserve"> 2016</w:t>
      </w:r>
      <w:r>
        <w:t xml:space="preserve">, </w:t>
      </w:r>
      <w:r w:rsidR="003043AE">
        <w:t>after the</w:t>
      </w:r>
      <w:r w:rsidR="004B5A24">
        <w:t xml:space="preserve"> endorsement process</w:t>
      </w:r>
      <w:r w:rsidR="003043AE">
        <w:t xml:space="preserve"> ha</w:t>
      </w:r>
      <w:r w:rsidR="00300A22">
        <w:t>d</w:t>
      </w:r>
      <w:r w:rsidR="003043AE">
        <w:t xml:space="preserve"> commenced, </w:t>
      </w:r>
      <w:r w:rsidR="003043AE" w:rsidRPr="003043AE">
        <w:t xml:space="preserve">the </w:t>
      </w:r>
      <w:r w:rsidR="007E0219">
        <w:t>a</w:t>
      </w:r>
      <w:r w:rsidR="007E0219" w:rsidRPr="003043AE">
        <w:t xml:space="preserve">pplicant </w:t>
      </w:r>
      <w:r w:rsidR="003043AE" w:rsidRPr="003043AE">
        <w:t xml:space="preserve">became aware that some of the reinsurance contracts </w:t>
      </w:r>
      <w:r w:rsidR="003043AE">
        <w:t>to be</w:t>
      </w:r>
      <w:r w:rsidR="003043AE" w:rsidRPr="003043AE">
        <w:t xml:space="preserve"> endors</w:t>
      </w:r>
      <w:r w:rsidR="003043AE">
        <w:t>ed</w:t>
      </w:r>
      <w:r w:rsidR="003043AE" w:rsidRPr="003043AE">
        <w:t xml:space="preserve"> </w:t>
      </w:r>
      <w:r w:rsidR="007E0219">
        <w:t>for BIC’s benefit</w:t>
      </w:r>
      <w:r w:rsidR="003043AE">
        <w:t>,</w:t>
      </w:r>
      <w:r w:rsidR="003043AE" w:rsidRPr="003043AE">
        <w:t xml:space="preserve"> were not compliant with </w:t>
      </w:r>
      <w:r w:rsidR="003043AE" w:rsidRPr="003043AE">
        <w:rPr>
          <w:i/>
        </w:rPr>
        <w:t xml:space="preserve">APRA Prudential Standard GPS 230 </w:t>
      </w:r>
      <w:r w:rsidR="003043AE" w:rsidRPr="00300A22">
        <w:rPr>
          <w:i/>
        </w:rPr>
        <w:t>Reinsurance</w:t>
      </w:r>
      <w:r w:rsidR="003043AE" w:rsidRPr="003043AE">
        <w:rPr>
          <w:i/>
        </w:rPr>
        <w:t xml:space="preserve"> Management</w:t>
      </w:r>
      <w:r w:rsidR="003043AE">
        <w:t xml:space="preserve"> </w:t>
      </w:r>
      <w:r w:rsidR="009B696A">
        <w:t>(</w:t>
      </w:r>
      <w:r w:rsidR="009B696A">
        <w:rPr>
          <w:b/>
        </w:rPr>
        <w:t xml:space="preserve">GPS </w:t>
      </w:r>
      <w:r w:rsidR="009B696A" w:rsidRPr="00300A22">
        <w:rPr>
          <w:b/>
        </w:rPr>
        <w:t>230</w:t>
      </w:r>
      <w:r w:rsidR="009B696A">
        <w:t xml:space="preserve">) </w:t>
      </w:r>
      <w:r w:rsidR="003043AE">
        <w:t>at [34] which provides:</w:t>
      </w:r>
    </w:p>
    <w:p w:rsidR="003043AE" w:rsidRDefault="003043AE" w:rsidP="003043AE">
      <w:pPr>
        <w:pStyle w:val="Quote1"/>
      </w:pPr>
      <w:r>
        <w:t>34. For any reinsurance contract entered into by a regulated institution incepting on or after 31 December 2008, the regulated institution must ensure that the reinsurance contract provides that:</w:t>
      </w:r>
    </w:p>
    <w:p w:rsidR="003043AE" w:rsidRDefault="003043AE" w:rsidP="003043AE">
      <w:pPr>
        <w:pStyle w:val="Quote1"/>
      </w:pPr>
      <w:r>
        <w:t xml:space="preserve">(a) </w:t>
      </w:r>
      <w:proofErr w:type="gramStart"/>
      <w:r>
        <w:t>the</w:t>
      </w:r>
      <w:proofErr w:type="gramEnd"/>
      <w:r>
        <w:t xml:space="preserve"> governing law of the reinsurance contract is Australian law; and</w:t>
      </w:r>
    </w:p>
    <w:p w:rsidR="003043AE" w:rsidRPr="003043AE" w:rsidRDefault="003043AE" w:rsidP="003043AE">
      <w:pPr>
        <w:pStyle w:val="Quote1"/>
      </w:pPr>
      <w:r>
        <w:t xml:space="preserve">(b) </w:t>
      </w:r>
      <w:proofErr w:type="gramStart"/>
      <w:r>
        <w:t>any</w:t>
      </w:r>
      <w:proofErr w:type="gramEnd"/>
      <w:r>
        <w:t xml:space="preserve"> disputes that fall to be determined by a court are to be heard in an Australian court.</w:t>
      </w:r>
    </w:p>
    <w:p w:rsidR="003043AE" w:rsidRDefault="00682B74" w:rsidP="00682B74">
      <w:pPr>
        <w:pStyle w:val="ParaNumbering"/>
      </w:pPr>
      <w:r w:rsidRPr="00682B74">
        <w:t>The novation and endorsement process contained a service of suit clause which was required by BI</w:t>
      </w:r>
      <w:r>
        <w:t>C</w:t>
      </w:r>
      <w:r w:rsidRPr="00682B74">
        <w:t xml:space="preserve">'s US regulator (the Delaware Department of Insurance), but was inconsistent with the requirements of </w:t>
      </w:r>
      <w:r w:rsidR="00300A22">
        <w:t>para</w:t>
      </w:r>
      <w:r w:rsidRPr="00682B74">
        <w:t xml:space="preserve"> 34 of GPS 230.</w:t>
      </w:r>
      <w:r>
        <w:t xml:space="preserve"> Following discussions a </w:t>
      </w:r>
      <w:r w:rsidR="007E0219">
        <w:t xml:space="preserve">revised suit of service </w:t>
      </w:r>
      <w:r>
        <w:t xml:space="preserve">clause was agreed between the </w:t>
      </w:r>
      <w:r w:rsidRPr="00682B74">
        <w:t>Applicant, BI</w:t>
      </w:r>
      <w:r w:rsidR="00300A22">
        <w:t>C</w:t>
      </w:r>
      <w:r w:rsidRPr="00682B74">
        <w:t>, APRA and the Delaware Department of Insurance</w:t>
      </w:r>
      <w:r>
        <w:t xml:space="preserve"> to overcome the </w:t>
      </w:r>
      <w:r w:rsidR="007E0219">
        <w:t xml:space="preserve">inconsistency </w:t>
      </w:r>
      <w:r>
        <w:t>with GPS 230 outline</w:t>
      </w:r>
      <w:r w:rsidR="007E0219">
        <w:t>d</w:t>
      </w:r>
      <w:r>
        <w:t xml:space="preserve"> above. </w:t>
      </w:r>
    </w:p>
    <w:p w:rsidR="004B5A24" w:rsidRDefault="00682B74" w:rsidP="00682B74">
      <w:pPr>
        <w:pStyle w:val="ParaNumbering"/>
      </w:pPr>
      <w:r>
        <w:t>The affidavit of Christopher Flanagan, sworn 21 October 2016</w:t>
      </w:r>
      <w:r w:rsidR="004B5A24">
        <w:t xml:space="preserve">, </w:t>
      </w:r>
      <w:r w:rsidR="00300A22">
        <w:t xml:space="preserve">states that </w:t>
      </w:r>
      <w:r w:rsidR="004B5A24">
        <w:t xml:space="preserve">all 205 of the further endorsements provided </w:t>
      </w:r>
      <w:r w:rsidR="007E0219">
        <w:t>to BIC and the applicant’s</w:t>
      </w:r>
      <w:r w:rsidR="004B5A24">
        <w:t xml:space="preserve"> reinsurers have been completed. </w:t>
      </w:r>
    </w:p>
    <w:p w:rsidR="004B5A24" w:rsidRPr="00BA065D" w:rsidRDefault="007F4C2E" w:rsidP="004771E1">
      <w:pPr>
        <w:pStyle w:val="ParaNumbering"/>
        <w:rPr>
          <w:sz w:val="28"/>
        </w:rPr>
      </w:pPr>
      <w:r w:rsidRPr="00BA065D">
        <w:t>In spite of the novation and endorsement process</w:t>
      </w:r>
      <w:r w:rsidR="004B5A24" w:rsidRPr="00BA065D">
        <w:t xml:space="preserve">, an order </w:t>
      </w:r>
      <w:r w:rsidRPr="00BA065D">
        <w:t xml:space="preserve">nevertheless </w:t>
      </w:r>
      <w:r w:rsidR="00300A22" w:rsidRPr="00BA065D">
        <w:t xml:space="preserve">was </w:t>
      </w:r>
      <w:r w:rsidR="004B5A24" w:rsidRPr="00BA065D">
        <w:t xml:space="preserve">sought to ensure that affected policyholders are not deprived of the benefit of reinsurance </w:t>
      </w:r>
      <w:r w:rsidR="007D4CF5" w:rsidRPr="00BA065D">
        <w:t>that attached to their</w:t>
      </w:r>
      <w:r w:rsidR="004B5A24" w:rsidRPr="00BA065D">
        <w:t xml:space="preserve"> liabilities</w:t>
      </w:r>
      <w:r w:rsidR="007D4CF5" w:rsidRPr="00BA065D">
        <w:t xml:space="preserve"> prior to the transfer</w:t>
      </w:r>
      <w:r w:rsidR="00300A22" w:rsidRPr="00BA065D">
        <w:t xml:space="preserve">: see </w:t>
      </w:r>
      <w:r w:rsidR="00BD3084" w:rsidRPr="00BD3084">
        <w:rPr>
          <w:i/>
          <w:iCs/>
          <w:szCs w:val="23"/>
        </w:rPr>
        <w:t xml:space="preserve">QBE Insurance (Australia) Ltd, in the matter of Division 3A of Part III of the Insurance Act 1973 (Cth) </w:t>
      </w:r>
      <w:r w:rsidR="00BD3084" w:rsidRPr="00BD3084">
        <w:rPr>
          <w:iCs/>
          <w:szCs w:val="23"/>
        </w:rPr>
        <w:t>[2016] FCA 288</w:t>
      </w:r>
      <w:r w:rsidR="00BD3084" w:rsidRPr="00BD3084">
        <w:t xml:space="preserve"> </w:t>
      </w:r>
      <w:r w:rsidR="004B5A24" w:rsidRPr="00BA065D">
        <w:t xml:space="preserve">at [75]-[83]; </w:t>
      </w:r>
      <w:r w:rsidR="004771E1" w:rsidRPr="004771E1">
        <w:rPr>
          <w:i/>
          <w:iCs/>
        </w:rPr>
        <w:t xml:space="preserve">Application of Sompo Japan Insurance Inc. under the Insurance Act 1973 (Cth) (No 2) </w:t>
      </w:r>
      <w:r w:rsidR="004771E1" w:rsidRPr="004771E1">
        <w:rPr>
          <w:iCs/>
        </w:rPr>
        <w:t>[2014] FCA 677</w:t>
      </w:r>
      <w:r w:rsidR="004771E1" w:rsidRPr="004771E1">
        <w:rPr>
          <w:i/>
          <w:iCs/>
        </w:rPr>
        <w:t xml:space="preserve"> </w:t>
      </w:r>
      <w:r w:rsidR="004B5A24" w:rsidRPr="00BA065D">
        <w:t xml:space="preserve">at [43]-[45]; </w:t>
      </w:r>
      <w:r w:rsidR="004B5A24" w:rsidRPr="00BA065D">
        <w:rPr>
          <w:i/>
          <w:iCs/>
        </w:rPr>
        <w:t xml:space="preserve">Gordian RunOff Ltd (No 2) </w:t>
      </w:r>
      <w:r w:rsidR="004B5A24" w:rsidRPr="00BA065D">
        <w:t xml:space="preserve">[2013] FCA 1329 at [25]-[28]; </w:t>
      </w:r>
      <w:r w:rsidR="004B5A24" w:rsidRPr="00BA065D">
        <w:rPr>
          <w:i/>
          <w:iCs/>
        </w:rPr>
        <w:t xml:space="preserve">American Home Assurance Company (No 2) </w:t>
      </w:r>
      <w:r w:rsidR="004B5A24" w:rsidRPr="00BA065D">
        <w:t xml:space="preserve">[2011] FCA 316 at [28]-[30]; </w:t>
      </w:r>
      <w:r w:rsidR="004771E1" w:rsidRPr="004771E1">
        <w:rPr>
          <w:i/>
          <w:iCs/>
        </w:rPr>
        <w:t xml:space="preserve">HDI-Gerling Australia Insurance Company Pty Limited, in the matter of HDI-Gerling Australia Insurance Company Pty Limited (ABN 16 069 085 196) (No 2) </w:t>
      </w:r>
      <w:r w:rsidR="004B5A24" w:rsidRPr="00BA065D">
        <w:t xml:space="preserve">[2010] FCA 669 at [58]-[59]; </w:t>
      </w:r>
      <w:r w:rsidR="004B5A24" w:rsidRPr="00BA065D">
        <w:rPr>
          <w:i/>
          <w:iCs/>
        </w:rPr>
        <w:t xml:space="preserve">SGIC General Insurance Ltd </w:t>
      </w:r>
      <w:r w:rsidR="004B5A24" w:rsidRPr="00BA065D">
        <w:t>[2004] FCA 1639 at [28]</w:t>
      </w:r>
      <w:r w:rsidR="007E0219" w:rsidRPr="00BA065D">
        <w:t>.</w:t>
      </w:r>
    </w:p>
    <w:p w:rsidR="007F4C2E" w:rsidRDefault="007D4CF5" w:rsidP="007D4CF5">
      <w:pPr>
        <w:pStyle w:val="Heading1"/>
      </w:pPr>
      <w:r>
        <w:lastRenderedPageBreak/>
        <w:t>Conclusion</w:t>
      </w:r>
    </w:p>
    <w:p w:rsidR="007D4CF5" w:rsidRPr="007D4CF5" w:rsidRDefault="007D4CF5" w:rsidP="006703EE">
      <w:pPr>
        <w:pStyle w:val="ParaNumbering"/>
      </w:pPr>
      <w:r>
        <w:t>On the basis of the actuarial evidence,</w:t>
      </w:r>
      <w:r w:rsidR="00FE1321">
        <w:t xml:space="preserve"> the evidence of the financial and risk profiles of the relevant foreign corporations,</w:t>
      </w:r>
      <w:r>
        <w:t xml:space="preserve"> APRA’s support of the scheme and the fact that the procedural requirements were complied with by the applicant, I was prepared to make orders confirming the scheme</w:t>
      </w:r>
      <w:r w:rsidR="006703EE">
        <w:t xml:space="preserve"> as well as the order regarding transfer of</w:t>
      </w:r>
      <w:r w:rsidR="006703EE" w:rsidRPr="006703EE">
        <w:t xml:space="preserve"> outwards reinsurance</w:t>
      </w:r>
      <w:r w:rsidR="003A4924">
        <w:t>.</w:t>
      </w:r>
    </w:p>
    <w:tbl>
      <w:tblPr>
        <w:tblW w:w="0" w:type="auto"/>
        <w:tblLook w:val="04A0" w:firstRow="1" w:lastRow="0" w:firstColumn="1" w:lastColumn="0" w:noHBand="0" w:noVBand="1"/>
      </w:tblPr>
      <w:tblGrid>
        <w:gridCol w:w="3794"/>
      </w:tblGrid>
      <w:tr w:rsidR="00FB18D5" w:rsidRPr="00FB18D5">
        <w:tc>
          <w:tcPr>
            <w:tcW w:w="3794" w:type="dxa"/>
            <w:shd w:val="clear" w:color="auto" w:fill="auto"/>
          </w:tcPr>
          <w:p w:rsidR="00FB18D5" w:rsidRPr="00FB18D5" w:rsidRDefault="00FB18D5" w:rsidP="00FB18D5">
            <w:pPr>
              <w:pStyle w:val="Normal1linespace"/>
            </w:pPr>
            <w:bookmarkStart w:id="19" w:name="Certification"/>
            <w:r w:rsidRPr="00FB18D5">
              <w:t xml:space="preserve">I certify that the preceding </w:t>
            </w:r>
            <w:bookmarkStart w:id="20" w:name="NumberWord"/>
            <w:r w:rsidR="00817981">
              <w:t>sixty</w:t>
            </w:r>
            <w:bookmarkEnd w:id="20"/>
            <w:r w:rsidRPr="00FB18D5">
              <w:t xml:space="preserve"> (</w:t>
            </w:r>
            <w:bookmarkStart w:id="21" w:name="NumberNumeral"/>
            <w:r w:rsidR="00817981">
              <w:t>60</w:t>
            </w:r>
            <w:bookmarkEnd w:id="21"/>
            <w:r w:rsidRPr="00FB18D5">
              <w:t xml:space="preserve">) numbered </w:t>
            </w:r>
            <w:bookmarkStart w:id="22" w:name="CertPara"/>
            <w:r w:rsidR="00817981">
              <w:t>paragraphs are</w:t>
            </w:r>
            <w:bookmarkEnd w:id="22"/>
            <w:r w:rsidRPr="00FB18D5">
              <w:t xml:space="preserve"> a true copy of the Reasons for Judgment herein of the Honourable </w:t>
            </w:r>
            <w:bookmarkStart w:id="23" w:name="Justice"/>
            <w:r w:rsidR="009A58A7">
              <w:t xml:space="preserve">Chief </w:t>
            </w:r>
            <w:r>
              <w:t>Justice Allsop</w:t>
            </w:r>
            <w:bookmarkEnd w:id="23"/>
            <w:r w:rsidRPr="00FB18D5">
              <w:t>.</w:t>
            </w:r>
          </w:p>
        </w:tc>
      </w:tr>
    </w:tbl>
    <w:p w:rsidR="00FB18D5" w:rsidRDefault="00FB18D5" w:rsidP="00815065">
      <w:pPr>
        <w:pStyle w:val="BodyText"/>
      </w:pPr>
    </w:p>
    <w:p w:rsidR="00FB18D5" w:rsidRDefault="00FB18D5" w:rsidP="00815065">
      <w:pPr>
        <w:pStyle w:val="BodyText"/>
      </w:pPr>
    </w:p>
    <w:p w:rsidR="00FB18D5" w:rsidRDefault="00FB18D5" w:rsidP="00815065">
      <w:pPr>
        <w:pStyle w:val="BodyText"/>
      </w:pPr>
      <w:r>
        <w:t>Associate:</w:t>
      </w:r>
      <w:bookmarkStart w:id="24" w:name="_GoBack"/>
      <w:bookmarkEnd w:id="24"/>
    </w:p>
    <w:p w:rsidR="00FB18D5" w:rsidRDefault="00FB18D5" w:rsidP="00815065">
      <w:pPr>
        <w:pStyle w:val="BodyText"/>
      </w:pPr>
    </w:p>
    <w:p w:rsidR="00FB18D5" w:rsidRDefault="00FB18D5" w:rsidP="00815065">
      <w:pPr>
        <w:pStyle w:val="BodyText"/>
        <w:tabs>
          <w:tab w:val="left" w:pos="1134"/>
        </w:tabs>
      </w:pPr>
      <w:r>
        <w:t>Dated:</w:t>
      </w:r>
      <w:r>
        <w:tab/>
      </w:r>
      <w:bookmarkStart w:id="25" w:name="CertifyDated"/>
      <w:r w:rsidR="00BA065D">
        <w:t>13 December 2016</w:t>
      </w:r>
      <w:bookmarkEnd w:id="25"/>
    </w:p>
    <w:p w:rsidR="00FB18D5" w:rsidRDefault="00FB18D5" w:rsidP="00815065">
      <w:pPr>
        <w:pStyle w:val="BodyText"/>
      </w:pPr>
    </w:p>
    <w:bookmarkEnd w:id="19"/>
    <w:p w:rsidR="00FB18D5" w:rsidRDefault="00FB18D5" w:rsidP="00FB18D5">
      <w:pPr>
        <w:pStyle w:val="BodyText"/>
      </w:pPr>
    </w:p>
    <w:sectPr w:rsidR="00FB18D5">
      <w:headerReference w:type="even" r:id="rId17"/>
      <w:headerReference w:type="default" r:id="rId18"/>
      <w:footerReference w:type="default" r:id="rId19"/>
      <w:headerReference w:type="first" r:id="rId20"/>
      <w:footerReference w:type="first" r:id="rId21"/>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E02" w:rsidRDefault="00151E02">
      <w:pPr>
        <w:spacing w:line="20" w:lineRule="exact"/>
      </w:pPr>
    </w:p>
    <w:p w:rsidR="00151E02" w:rsidRDefault="00151E02"/>
    <w:p w:rsidR="00151E02" w:rsidRDefault="00151E02"/>
  </w:endnote>
  <w:endnote w:type="continuationSeparator" w:id="0">
    <w:p w:rsidR="00151E02" w:rsidRDefault="00151E02">
      <w:r>
        <w:t xml:space="preserve"> </w:t>
      </w:r>
    </w:p>
    <w:p w:rsidR="00151E02" w:rsidRDefault="00151E02"/>
    <w:p w:rsidR="00151E02" w:rsidRDefault="00151E02"/>
  </w:endnote>
  <w:endnote w:type="continuationNotice" w:id="1">
    <w:p w:rsidR="00151E02" w:rsidRDefault="00151E02">
      <w:r>
        <w:t xml:space="preserve"> </w:t>
      </w:r>
    </w:p>
    <w:p w:rsidR="00151E02" w:rsidRDefault="00151E02"/>
    <w:p w:rsidR="00151E02" w:rsidRDefault="00151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24" w:rsidRDefault="00395B24">
    <w:pPr>
      <w:pStyle w:val="Footer"/>
      <w:jc w:val="center"/>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24" w:rsidRPr="00624520" w:rsidRDefault="00395B24" w:rsidP="00624520">
    <w:pPr>
      <w:pStyle w:val="Footer"/>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49" w:rsidRDefault="002F1E49" w:rsidP="002F1E49">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E02" w:rsidRDefault="00151E02"/>
    <w:p w:rsidR="00151E02" w:rsidRDefault="00151E02"/>
    <w:p w:rsidR="00151E02" w:rsidRDefault="00151E02"/>
  </w:footnote>
  <w:footnote w:type="continuationSeparator" w:id="0">
    <w:p w:rsidR="00151E02" w:rsidRDefault="00151E02">
      <w:r>
        <w:continuationSeparator/>
      </w:r>
    </w:p>
    <w:p w:rsidR="00151E02" w:rsidRDefault="00151E02"/>
    <w:p w:rsidR="00151E02" w:rsidRDefault="00151E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24" w:rsidRDefault="002C7385">
    <w:pPr>
      <w:tabs>
        <w:tab w:val="center" w:pos="4512"/>
      </w:tabs>
      <w:suppressAutoHyphens/>
    </w:pPr>
    <w:r>
      <w:tab/>
      <w:t xml:space="preserve">- </w:t>
    </w:r>
    <w:r w:rsidR="0092590B">
      <w:fldChar w:fldCharType="begin"/>
    </w:r>
    <w:r w:rsidR="0092590B">
      <w:instrText xml:space="preserve"> PAGE   \* MERGEFORMAT </w:instrText>
    </w:r>
    <w:r w:rsidR="0092590B">
      <w:fldChar w:fldCharType="separate"/>
    </w:r>
    <w:r w:rsidR="0063017F">
      <w:rPr>
        <w:noProof/>
      </w:rPr>
      <w:t>vi</w:t>
    </w:r>
    <w:r w:rsidR="0092590B">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24" w:rsidRDefault="00395B24">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24" w:rsidRDefault="00395B2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24" w:rsidRDefault="002C7385">
    <w:pPr>
      <w:tabs>
        <w:tab w:val="center" w:pos="4512"/>
      </w:tabs>
      <w:suppressAutoHyphens/>
    </w:pPr>
    <w:r>
      <w:tab/>
      <w:t xml:space="preserve">- </w:t>
    </w:r>
    <w:r>
      <w:fldChar w:fldCharType="begin"/>
    </w:r>
    <w:r>
      <w:instrText>page \* arabic</w:instrText>
    </w:r>
    <w:r>
      <w:fldChar w:fldCharType="separate"/>
    </w:r>
    <w:r w:rsidR="0063017F">
      <w:rPr>
        <w:noProof/>
      </w:rPr>
      <w:t>13</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24" w:rsidRDefault="00395B24">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79F4"/>
    <w:multiLevelType w:val="hybridMultilevel"/>
    <w:tmpl w:val="1E4E00A4"/>
    <w:lvl w:ilvl="0" w:tplc="B8F2B8A6">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nsid w:val="1EF9738D"/>
    <w:multiLevelType w:val="hybridMultilevel"/>
    <w:tmpl w:val="21C4D53A"/>
    <w:lvl w:ilvl="0" w:tplc="1A28D646">
      <w:start w:val="1"/>
      <w:numFmt w:val="decimal"/>
      <w:lvlText w:val="(%1)"/>
      <w:lvlJc w:val="left"/>
      <w:pPr>
        <w:ind w:left="3219" w:hanging="360"/>
      </w:pPr>
      <w:rPr>
        <w:rFonts w:hint="default"/>
      </w:rPr>
    </w:lvl>
    <w:lvl w:ilvl="1" w:tplc="0C090019" w:tentative="1">
      <w:start w:val="1"/>
      <w:numFmt w:val="lowerLetter"/>
      <w:lvlText w:val="%2."/>
      <w:lvlJc w:val="left"/>
      <w:pPr>
        <w:ind w:left="3939" w:hanging="360"/>
      </w:pPr>
    </w:lvl>
    <w:lvl w:ilvl="2" w:tplc="0C09001B" w:tentative="1">
      <w:start w:val="1"/>
      <w:numFmt w:val="lowerRoman"/>
      <w:lvlText w:val="%3."/>
      <w:lvlJc w:val="right"/>
      <w:pPr>
        <w:ind w:left="4659" w:hanging="180"/>
      </w:pPr>
    </w:lvl>
    <w:lvl w:ilvl="3" w:tplc="0C09000F" w:tentative="1">
      <w:start w:val="1"/>
      <w:numFmt w:val="decimal"/>
      <w:lvlText w:val="%4."/>
      <w:lvlJc w:val="left"/>
      <w:pPr>
        <w:ind w:left="5379" w:hanging="360"/>
      </w:pPr>
    </w:lvl>
    <w:lvl w:ilvl="4" w:tplc="0C090019" w:tentative="1">
      <w:start w:val="1"/>
      <w:numFmt w:val="lowerLetter"/>
      <w:lvlText w:val="%5."/>
      <w:lvlJc w:val="left"/>
      <w:pPr>
        <w:ind w:left="6099" w:hanging="360"/>
      </w:pPr>
    </w:lvl>
    <w:lvl w:ilvl="5" w:tplc="0C09001B" w:tentative="1">
      <w:start w:val="1"/>
      <w:numFmt w:val="lowerRoman"/>
      <w:lvlText w:val="%6."/>
      <w:lvlJc w:val="right"/>
      <w:pPr>
        <w:ind w:left="6819" w:hanging="180"/>
      </w:pPr>
    </w:lvl>
    <w:lvl w:ilvl="6" w:tplc="0C09000F" w:tentative="1">
      <w:start w:val="1"/>
      <w:numFmt w:val="decimal"/>
      <w:lvlText w:val="%7."/>
      <w:lvlJc w:val="left"/>
      <w:pPr>
        <w:ind w:left="7539" w:hanging="360"/>
      </w:pPr>
    </w:lvl>
    <w:lvl w:ilvl="7" w:tplc="0C090019" w:tentative="1">
      <w:start w:val="1"/>
      <w:numFmt w:val="lowerLetter"/>
      <w:lvlText w:val="%8."/>
      <w:lvlJc w:val="left"/>
      <w:pPr>
        <w:ind w:left="8259" w:hanging="360"/>
      </w:pPr>
    </w:lvl>
    <w:lvl w:ilvl="8" w:tplc="0C09001B" w:tentative="1">
      <w:start w:val="1"/>
      <w:numFmt w:val="lowerRoman"/>
      <w:lvlText w:val="%9."/>
      <w:lvlJc w:val="right"/>
      <w:pPr>
        <w:ind w:left="8979" w:hanging="180"/>
      </w:pPr>
    </w:lvl>
  </w:abstractNum>
  <w:abstractNum w:abstractNumId="16">
    <w:nsid w:val="27E40CA6"/>
    <w:multiLevelType w:val="hybridMultilevel"/>
    <w:tmpl w:val="AC248956"/>
    <w:lvl w:ilvl="0" w:tplc="2BC8ED2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29AE3DD1"/>
    <w:multiLevelType w:val="singleLevel"/>
    <w:tmpl w:val="83F6E5A4"/>
    <w:lvl w:ilvl="0">
      <w:start w:val="1"/>
      <w:numFmt w:val="decimal"/>
      <w:lvlRestart w:val="0"/>
      <w:pStyle w:val="ParaNumbering"/>
      <w:lvlText w:val="%1"/>
      <w:lvlJc w:val="left"/>
      <w:pPr>
        <w:tabs>
          <w:tab w:val="num" w:pos="720"/>
        </w:tabs>
        <w:ind w:left="0" w:hanging="720"/>
      </w:pPr>
      <w:rPr>
        <w:rFonts w:hint="default"/>
        <w:sz w:val="20"/>
      </w:rPr>
    </w:lvl>
  </w:abstractNum>
  <w:abstractNum w:abstractNumId="18">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nsid w:val="33630A1B"/>
    <w:multiLevelType w:val="multilevel"/>
    <w:tmpl w:val="D3AE416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1">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2">
    <w:nsid w:val="494817A7"/>
    <w:multiLevelType w:val="multilevel"/>
    <w:tmpl w:val="0F0EC90E"/>
    <w:numStyleLink w:val="FCListNo"/>
  </w:abstractNum>
  <w:abstractNum w:abstractNumId="23">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6">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8">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9">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2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1"/>
  </w:num>
  <w:num w:numId="16">
    <w:abstractNumId w:val="28"/>
  </w:num>
  <w:num w:numId="17">
    <w:abstractNumId w:val="20"/>
  </w:num>
  <w:num w:numId="18">
    <w:abstractNumId w:val="20"/>
  </w:num>
  <w:num w:numId="19">
    <w:abstractNumId w:val="26"/>
  </w:num>
  <w:num w:numId="20">
    <w:abstractNumId w:val="23"/>
  </w:num>
  <w:num w:numId="21">
    <w:abstractNumId w:val="24"/>
  </w:num>
  <w:num w:numId="22">
    <w:abstractNumId w:val="29"/>
  </w:num>
  <w:num w:numId="23">
    <w:abstractNumId w:val="29"/>
  </w:num>
  <w:num w:numId="24">
    <w:abstractNumId w:val="29"/>
  </w:num>
  <w:num w:numId="25">
    <w:abstractNumId w:val="29"/>
  </w:num>
  <w:num w:numId="26">
    <w:abstractNumId w:val="29"/>
  </w:num>
  <w:num w:numId="27">
    <w:abstractNumId w:val="15"/>
  </w:num>
  <w:num w:numId="28">
    <w:abstractNumId w:val="16"/>
  </w:num>
  <w:num w:numId="29">
    <w:abstractNumId w:val="10"/>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1"/>
  </w:num>
  <w:num w:numId="34">
    <w:abstractNumId w:val="19"/>
  </w:num>
  <w:num w:numId="35">
    <w:abstractNumId w:val="22"/>
  </w:num>
  <w:num w:numId="36">
    <w:abstractNumId w:val="22"/>
  </w:num>
  <w:num w:numId="37">
    <w:abstractNumId w:val="22"/>
  </w:num>
  <w:num w:numId="38">
    <w:abstractNumId w:val="14"/>
  </w:num>
  <w:num w:numId="39">
    <w:abstractNumId w:val="22"/>
  </w:num>
  <w:num w:numId="40">
    <w:abstractNumId w:val="22"/>
  </w:num>
  <w:num w:numId="41">
    <w:abstractNumId w:val="22"/>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4817"/>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W R BERKLEY INSURANCE (EUROPE) LIMITED ABN 81 126 483 681"/>
    <w:docVar w:name="CounselParties" w:val="Other"/>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NSD 1201 of 2015"/>
    <w:docVar w:name="HearingDate" w:val="25 October 2016"/>
    <w:docVar w:name="Initiators" w:val="(and another named in the Schedule)"/>
    <w:docVar w:name="Judgdate" w:val="##"/>
    <w:docVar w:name="Judge" w:val="Allsop "/>
    <w:docVar w:name="Justices" w:val="Justice"/>
    <w:docVar w:name="lstEntryList" w:val="-1"/>
    <w:docVar w:name="myEntryList" w:val="Counsel for the First Applicant=Mr N Owens SC|Solicitor for the Applicant=Clyde &amp; Co|Solicitor for the First Other=Ms S Neumueller, Australian Prudential Regulation Authority"/>
    <w:docVar w:name="NSD" w:val="NSD "/>
    <w:docVar w:name="NumApps" w:val="1"/>
    <w:docVar w:name="NumApps_" w:val="1"/>
    <w:docVar w:name="NumCrossResps" w:val="0"/>
    <w:docVar w:name="NumDefs" w:val="0"/>
    <w:docVar w:name="NumOthers" w:val="0"/>
    <w:docVar w:name="Other" w:val="Australian Prudential Regulation Authority (APRA)"/>
    <w:docVar w:name="OtherNum" w:val="1"/>
    <w:docVar w:name="Parties1" w:val="Applicant"/>
    <w:docVar w:name="Parties2" w:val="Defendant"/>
    <w:docVar w:name="Parties3" w:val="Cross-Appellant"/>
    <w:docVar w:name="Parties4" w:val="Cross-Defendant"/>
    <w:docVar w:name="Parties5" w:val="Other"/>
    <w:docVar w:name="PracticeArea" w:val="Commercial and Corporations"/>
    <w:docVar w:name="RESAndAnother" w:val="True"/>
    <w:docVar w:name="RESAndOthers" w:val="False"/>
    <w:docVar w:name="ResState" w:val="New South Wales"/>
    <w:docVar w:name="SubArea" w:val="Commercial Contracts, Banking, Finance and Insurance  (C &amp; C)"/>
  </w:docVars>
  <w:rsids>
    <w:rsidRoot w:val="00FB18D5"/>
    <w:rsid w:val="000002B3"/>
    <w:rsid w:val="0001469E"/>
    <w:rsid w:val="00015993"/>
    <w:rsid w:val="00022289"/>
    <w:rsid w:val="00032F9F"/>
    <w:rsid w:val="00041C07"/>
    <w:rsid w:val="00043106"/>
    <w:rsid w:val="00045BB7"/>
    <w:rsid w:val="00052A47"/>
    <w:rsid w:val="00055719"/>
    <w:rsid w:val="0005641B"/>
    <w:rsid w:val="00076616"/>
    <w:rsid w:val="00081497"/>
    <w:rsid w:val="000944B4"/>
    <w:rsid w:val="000A2E76"/>
    <w:rsid w:val="000A4807"/>
    <w:rsid w:val="000A4BE4"/>
    <w:rsid w:val="000B1992"/>
    <w:rsid w:val="000B603E"/>
    <w:rsid w:val="000C023E"/>
    <w:rsid w:val="000C5195"/>
    <w:rsid w:val="000C62EF"/>
    <w:rsid w:val="000D2137"/>
    <w:rsid w:val="000D3FD2"/>
    <w:rsid w:val="000D5DA0"/>
    <w:rsid w:val="000E208B"/>
    <w:rsid w:val="000E506B"/>
    <w:rsid w:val="000E7BAE"/>
    <w:rsid w:val="000F133D"/>
    <w:rsid w:val="000F1B4A"/>
    <w:rsid w:val="000F3B8F"/>
    <w:rsid w:val="0010075A"/>
    <w:rsid w:val="00104D74"/>
    <w:rsid w:val="0010536B"/>
    <w:rsid w:val="0011145C"/>
    <w:rsid w:val="001128BD"/>
    <w:rsid w:val="0011419D"/>
    <w:rsid w:val="00116988"/>
    <w:rsid w:val="00132054"/>
    <w:rsid w:val="001356B5"/>
    <w:rsid w:val="001430E4"/>
    <w:rsid w:val="00151E02"/>
    <w:rsid w:val="001727A4"/>
    <w:rsid w:val="0017376C"/>
    <w:rsid w:val="001738AB"/>
    <w:rsid w:val="001765E0"/>
    <w:rsid w:val="00177759"/>
    <w:rsid w:val="00185E6B"/>
    <w:rsid w:val="00187BBC"/>
    <w:rsid w:val="00192084"/>
    <w:rsid w:val="001932F3"/>
    <w:rsid w:val="00197D35"/>
    <w:rsid w:val="001A4309"/>
    <w:rsid w:val="001B0272"/>
    <w:rsid w:val="001B1053"/>
    <w:rsid w:val="001B14AC"/>
    <w:rsid w:val="001B551B"/>
    <w:rsid w:val="001B7940"/>
    <w:rsid w:val="001C0F72"/>
    <w:rsid w:val="001C37CA"/>
    <w:rsid w:val="001C42BD"/>
    <w:rsid w:val="001D3F0A"/>
    <w:rsid w:val="001D4303"/>
    <w:rsid w:val="001D6746"/>
    <w:rsid w:val="001E3B49"/>
    <w:rsid w:val="001E7388"/>
    <w:rsid w:val="001F13DD"/>
    <w:rsid w:val="001F2DBC"/>
    <w:rsid w:val="00200481"/>
    <w:rsid w:val="0020262C"/>
    <w:rsid w:val="002039A5"/>
    <w:rsid w:val="00216DE2"/>
    <w:rsid w:val="00224537"/>
    <w:rsid w:val="00230F78"/>
    <w:rsid w:val="00232005"/>
    <w:rsid w:val="0023559B"/>
    <w:rsid w:val="00235956"/>
    <w:rsid w:val="00237497"/>
    <w:rsid w:val="00247C9A"/>
    <w:rsid w:val="0025160C"/>
    <w:rsid w:val="002535D0"/>
    <w:rsid w:val="002539B3"/>
    <w:rsid w:val="00257C3E"/>
    <w:rsid w:val="002602C2"/>
    <w:rsid w:val="00261E2E"/>
    <w:rsid w:val="002666C9"/>
    <w:rsid w:val="00270136"/>
    <w:rsid w:val="00273378"/>
    <w:rsid w:val="00274F5B"/>
    <w:rsid w:val="00275B7F"/>
    <w:rsid w:val="00280836"/>
    <w:rsid w:val="00282E1A"/>
    <w:rsid w:val="002869C5"/>
    <w:rsid w:val="0029113B"/>
    <w:rsid w:val="002934C0"/>
    <w:rsid w:val="002972AF"/>
    <w:rsid w:val="002A1B50"/>
    <w:rsid w:val="002A37D4"/>
    <w:rsid w:val="002B0E91"/>
    <w:rsid w:val="002B1699"/>
    <w:rsid w:val="002B6779"/>
    <w:rsid w:val="002B71C0"/>
    <w:rsid w:val="002B7A34"/>
    <w:rsid w:val="002C31AD"/>
    <w:rsid w:val="002C3BDE"/>
    <w:rsid w:val="002C7385"/>
    <w:rsid w:val="002D2215"/>
    <w:rsid w:val="002D2DBB"/>
    <w:rsid w:val="002D54A6"/>
    <w:rsid w:val="002D7B4B"/>
    <w:rsid w:val="002E6A7A"/>
    <w:rsid w:val="002F1E49"/>
    <w:rsid w:val="002F2BDC"/>
    <w:rsid w:val="002F4E9C"/>
    <w:rsid w:val="00300A22"/>
    <w:rsid w:val="0030266E"/>
    <w:rsid w:val="003034EB"/>
    <w:rsid w:val="003043AE"/>
    <w:rsid w:val="0031256C"/>
    <w:rsid w:val="00314D6C"/>
    <w:rsid w:val="00316D2A"/>
    <w:rsid w:val="00322A7C"/>
    <w:rsid w:val="00340051"/>
    <w:rsid w:val="003402D3"/>
    <w:rsid w:val="00343ABC"/>
    <w:rsid w:val="00345EBF"/>
    <w:rsid w:val="003463FE"/>
    <w:rsid w:val="003520B6"/>
    <w:rsid w:val="003554B3"/>
    <w:rsid w:val="00356632"/>
    <w:rsid w:val="0037406D"/>
    <w:rsid w:val="003777A7"/>
    <w:rsid w:val="0037785E"/>
    <w:rsid w:val="003845A9"/>
    <w:rsid w:val="00390883"/>
    <w:rsid w:val="003922F8"/>
    <w:rsid w:val="00395B24"/>
    <w:rsid w:val="003A2D38"/>
    <w:rsid w:val="003A425A"/>
    <w:rsid w:val="003A4924"/>
    <w:rsid w:val="003A7ECC"/>
    <w:rsid w:val="003B18BF"/>
    <w:rsid w:val="003B2C72"/>
    <w:rsid w:val="003C1333"/>
    <w:rsid w:val="003C20FF"/>
    <w:rsid w:val="003C5BA5"/>
    <w:rsid w:val="003C76FF"/>
    <w:rsid w:val="003D2650"/>
    <w:rsid w:val="003D560C"/>
    <w:rsid w:val="003E5874"/>
    <w:rsid w:val="003F193E"/>
    <w:rsid w:val="003F34F1"/>
    <w:rsid w:val="003F4AC9"/>
    <w:rsid w:val="003F7A24"/>
    <w:rsid w:val="00401F3C"/>
    <w:rsid w:val="00411AE8"/>
    <w:rsid w:val="00413B74"/>
    <w:rsid w:val="00435C5F"/>
    <w:rsid w:val="00441E98"/>
    <w:rsid w:val="004532F7"/>
    <w:rsid w:val="004538AA"/>
    <w:rsid w:val="00457688"/>
    <w:rsid w:val="004671F4"/>
    <w:rsid w:val="00472027"/>
    <w:rsid w:val="004771E1"/>
    <w:rsid w:val="004804CF"/>
    <w:rsid w:val="00484962"/>
    <w:rsid w:val="00484F6D"/>
    <w:rsid w:val="0049338A"/>
    <w:rsid w:val="0049417F"/>
    <w:rsid w:val="004A2242"/>
    <w:rsid w:val="004A2559"/>
    <w:rsid w:val="004A31D4"/>
    <w:rsid w:val="004B3EFA"/>
    <w:rsid w:val="004B5A24"/>
    <w:rsid w:val="004B62D5"/>
    <w:rsid w:val="004C2A87"/>
    <w:rsid w:val="004C381C"/>
    <w:rsid w:val="004C4ED3"/>
    <w:rsid w:val="004D2EA5"/>
    <w:rsid w:val="004D32A6"/>
    <w:rsid w:val="004D53E5"/>
    <w:rsid w:val="00501A12"/>
    <w:rsid w:val="0051346D"/>
    <w:rsid w:val="00513EAE"/>
    <w:rsid w:val="00516806"/>
    <w:rsid w:val="0051777B"/>
    <w:rsid w:val="00525A49"/>
    <w:rsid w:val="00527578"/>
    <w:rsid w:val="00535613"/>
    <w:rsid w:val="005359EB"/>
    <w:rsid w:val="0054254A"/>
    <w:rsid w:val="00543A1E"/>
    <w:rsid w:val="005466B5"/>
    <w:rsid w:val="005629B3"/>
    <w:rsid w:val="00572A39"/>
    <w:rsid w:val="00573AC4"/>
    <w:rsid w:val="00573EC3"/>
    <w:rsid w:val="00573F30"/>
    <w:rsid w:val="00577E99"/>
    <w:rsid w:val="005801FC"/>
    <w:rsid w:val="00595016"/>
    <w:rsid w:val="00597AAE"/>
    <w:rsid w:val="005A222C"/>
    <w:rsid w:val="005A4DF8"/>
    <w:rsid w:val="005B1426"/>
    <w:rsid w:val="005C0A8E"/>
    <w:rsid w:val="005C1767"/>
    <w:rsid w:val="005C42EF"/>
    <w:rsid w:val="005E02F5"/>
    <w:rsid w:val="005E0510"/>
    <w:rsid w:val="005E176E"/>
    <w:rsid w:val="005E218E"/>
    <w:rsid w:val="005E35A0"/>
    <w:rsid w:val="005E35D3"/>
    <w:rsid w:val="005F0D1B"/>
    <w:rsid w:val="005F1865"/>
    <w:rsid w:val="005F4A55"/>
    <w:rsid w:val="006007BD"/>
    <w:rsid w:val="006013C8"/>
    <w:rsid w:val="0060270D"/>
    <w:rsid w:val="00604611"/>
    <w:rsid w:val="00611586"/>
    <w:rsid w:val="00613349"/>
    <w:rsid w:val="00621887"/>
    <w:rsid w:val="00624520"/>
    <w:rsid w:val="0063017F"/>
    <w:rsid w:val="00632BB7"/>
    <w:rsid w:val="00635B36"/>
    <w:rsid w:val="00636871"/>
    <w:rsid w:val="00640F4E"/>
    <w:rsid w:val="00643DE0"/>
    <w:rsid w:val="00644E85"/>
    <w:rsid w:val="0066063F"/>
    <w:rsid w:val="00662BB0"/>
    <w:rsid w:val="00663878"/>
    <w:rsid w:val="00667773"/>
    <w:rsid w:val="006703EE"/>
    <w:rsid w:val="00670743"/>
    <w:rsid w:val="0068296A"/>
    <w:rsid w:val="00682B74"/>
    <w:rsid w:val="0068671A"/>
    <w:rsid w:val="00690EE2"/>
    <w:rsid w:val="006A0E20"/>
    <w:rsid w:val="006A5695"/>
    <w:rsid w:val="006A6D0B"/>
    <w:rsid w:val="006A7275"/>
    <w:rsid w:val="006B3904"/>
    <w:rsid w:val="006B5B7D"/>
    <w:rsid w:val="006D0ECF"/>
    <w:rsid w:val="006D4C92"/>
    <w:rsid w:val="006D4EB6"/>
    <w:rsid w:val="006E35BF"/>
    <w:rsid w:val="006E4796"/>
    <w:rsid w:val="006E6570"/>
    <w:rsid w:val="006E7850"/>
    <w:rsid w:val="006F79A8"/>
    <w:rsid w:val="00701D02"/>
    <w:rsid w:val="007028D9"/>
    <w:rsid w:val="00707218"/>
    <w:rsid w:val="00712B1D"/>
    <w:rsid w:val="007144CE"/>
    <w:rsid w:val="007325D9"/>
    <w:rsid w:val="00733A89"/>
    <w:rsid w:val="007360CA"/>
    <w:rsid w:val="0073666B"/>
    <w:rsid w:val="00750B56"/>
    <w:rsid w:val="007568DD"/>
    <w:rsid w:val="00760F26"/>
    <w:rsid w:val="0078003A"/>
    <w:rsid w:val="00780771"/>
    <w:rsid w:val="00782D52"/>
    <w:rsid w:val="0078651F"/>
    <w:rsid w:val="007909BE"/>
    <w:rsid w:val="007929CF"/>
    <w:rsid w:val="007A6F15"/>
    <w:rsid w:val="007A6F28"/>
    <w:rsid w:val="007B03C6"/>
    <w:rsid w:val="007B0DB1"/>
    <w:rsid w:val="007C16A8"/>
    <w:rsid w:val="007C6EAF"/>
    <w:rsid w:val="007D2EF8"/>
    <w:rsid w:val="007D4CF5"/>
    <w:rsid w:val="007D561F"/>
    <w:rsid w:val="007D7FD2"/>
    <w:rsid w:val="007E0219"/>
    <w:rsid w:val="007E0968"/>
    <w:rsid w:val="007E13D9"/>
    <w:rsid w:val="007E2125"/>
    <w:rsid w:val="007E3223"/>
    <w:rsid w:val="007E4DB6"/>
    <w:rsid w:val="007E7CD4"/>
    <w:rsid w:val="007F4C2E"/>
    <w:rsid w:val="00801800"/>
    <w:rsid w:val="00801B5B"/>
    <w:rsid w:val="008041AA"/>
    <w:rsid w:val="00810C89"/>
    <w:rsid w:val="00817981"/>
    <w:rsid w:val="008276B4"/>
    <w:rsid w:val="00831927"/>
    <w:rsid w:val="00841793"/>
    <w:rsid w:val="00841BD3"/>
    <w:rsid w:val="0084273D"/>
    <w:rsid w:val="00844E3F"/>
    <w:rsid w:val="00845A83"/>
    <w:rsid w:val="0085093A"/>
    <w:rsid w:val="008712BB"/>
    <w:rsid w:val="00873359"/>
    <w:rsid w:val="0087511B"/>
    <w:rsid w:val="0088723E"/>
    <w:rsid w:val="008A06DD"/>
    <w:rsid w:val="008A2484"/>
    <w:rsid w:val="008C26D9"/>
    <w:rsid w:val="008C65A5"/>
    <w:rsid w:val="008C6D50"/>
    <w:rsid w:val="008C7167"/>
    <w:rsid w:val="008C7503"/>
    <w:rsid w:val="008C78CE"/>
    <w:rsid w:val="008D1617"/>
    <w:rsid w:val="008E3C58"/>
    <w:rsid w:val="008E6315"/>
    <w:rsid w:val="008F0F34"/>
    <w:rsid w:val="008F11E0"/>
    <w:rsid w:val="008F16E9"/>
    <w:rsid w:val="008F5A88"/>
    <w:rsid w:val="008F6E6B"/>
    <w:rsid w:val="008F78BC"/>
    <w:rsid w:val="008F7B63"/>
    <w:rsid w:val="008F7D6A"/>
    <w:rsid w:val="009054CB"/>
    <w:rsid w:val="00910543"/>
    <w:rsid w:val="00912F94"/>
    <w:rsid w:val="00923016"/>
    <w:rsid w:val="0092590B"/>
    <w:rsid w:val="00925E60"/>
    <w:rsid w:val="009261A6"/>
    <w:rsid w:val="009264B3"/>
    <w:rsid w:val="00942BA2"/>
    <w:rsid w:val="00944C86"/>
    <w:rsid w:val="00945F50"/>
    <w:rsid w:val="00950424"/>
    <w:rsid w:val="00957DE8"/>
    <w:rsid w:val="00960ECB"/>
    <w:rsid w:val="009615D6"/>
    <w:rsid w:val="0096576D"/>
    <w:rsid w:val="00967855"/>
    <w:rsid w:val="00973A42"/>
    <w:rsid w:val="0097446A"/>
    <w:rsid w:val="00980736"/>
    <w:rsid w:val="00981A39"/>
    <w:rsid w:val="00987097"/>
    <w:rsid w:val="009A58A7"/>
    <w:rsid w:val="009B046C"/>
    <w:rsid w:val="009B13FA"/>
    <w:rsid w:val="009B1E2D"/>
    <w:rsid w:val="009B696A"/>
    <w:rsid w:val="009C59FB"/>
    <w:rsid w:val="009C6F3B"/>
    <w:rsid w:val="009E4FA6"/>
    <w:rsid w:val="009E7D93"/>
    <w:rsid w:val="009F5C33"/>
    <w:rsid w:val="00A03EAC"/>
    <w:rsid w:val="00A11CA6"/>
    <w:rsid w:val="00A20C49"/>
    <w:rsid w:val="00A269CA"/>
    <w:rsid w:val="00A359AC"/>
    <w:rsid w:val="00A41413"/>
    <w:rsid w:val="00A45FB1"/>
    <w:rsid w:val="00A46CCC"/>
    <w:rsid w:val="00A51CFE"/>
    <w:rsid w:val="00A5328A"/>
    <w:rsid w:val="00A557FB"/>
    <w:rsid w:val="00A61136"/>
    <w:rsid w:val="00A673B4"/>
    <w:rsid w:val="00A736BB"/>
    <w:rsid w:val="00A76C13"/>
    <w:rsid w:val="00A92E79"/>
    <w:rsid w:val="00A950B6"/>
    <w:rsid w:val="00AB2A88"/>
    <w:rsid w:val="00AB33C2"/>
    <w:rsid w:val="00AB41C1"/>
    <w:rsid w:val="00AC7FF0"/>
    <w:rsid w:val="00AD0111"/>
    <w:rsid w:val="00AD12A8"/>
    <w:rsid w:val="00AE6E68"/>
    <w:rsid w:val="00AF21B3"/>
    <w:rsid w:val="00AF3577"/>
    <w:rsid w:val="00AF35F9"/>
    <w:rsid w:val="00B05C7D"/>
    <w:rsid w:val="00B074AF"/>
    <w:rsid w:val="00B346C3"/>
    <w:rsid w:val="00B4471C"/>
    <w:rsid w:val="00B451A6"/>
    <w:rsid w:val="00B50C0B"/>
    <w:rsid w:val="00B60A5C"/>
    <w:rsid w:val="00B64C7D"/>
    <w:rsid w:val="00B702CC"/>
    <w:rsid w:val="00B707FF"/>
    <w:rsid w:val="00B722DE"/>
    <w:rsid w:val="00B76C44"/>
    <w:rsid w:val="00B80419"/>
    <w:rsid w:val="00B83F87"/>
    <w:rsid w:val="00B907EF"/>
    <w:rsid w:val="00BA065D"/>
    <w:rsid w:val="00BA0978"/>
    <w:rsid w:val="00BA2EFA"/>
    <w:rsid w:val="00BA3DBC"/>
    <w:rsid w:val="00BA5F01"/>
    <w:rsid w:val="00BB2DA2"/>
    <w:rsid w:val="00BB3222"/>
    <w:rsid w:val="00BB56DC"/>
    <w:rsid w:val="00BD3084"/>
    <w:rsid w:val="00BD38EC"/>
    <w:rsid w:val="00BD4894"/>
    <w:rsid w:val="00BE183D"/>
    <w:rsid w:val="00BE6A54"/>
    <w:rsid w:val="00BF1A94"/>
    <w:rsid w:val="00BF5D7A"/>
    <w:rsid w:val="00C0121D"/>
    <w:rsid w:val="00C13B25"/>
    <w:rsid w:val="00C13EAF"/>
    <w:rsid w:val="00C15ADB"/>
    <w:rsid w:val="00C304F7"/>
    <w:rsid w:val="00C36442"/>
    <w:rsid w:val="00C400CE"/>
    <w:rsid w:val="00C410FD"/>
    <w:rsid w:val="00C41C78"/>
    <w:rsid w:val="00C539FB"/>
    <w:rsid w:val="00C55DF8"/>
    <w:rsid w:val="00C645BE"/>
    <w:rsid w:val="00C67D5E"/>
    <w:rsid w:val="00C67EF1"/>
    <w:rsid w:val="00CA246D"/>
    <w:rsid w:val="00CB1077"/>
    <w:rsid w:val="00CB5636"/>
    <w:rsid w:val="00CE31F3"/>
    <w:rsid w:val="00D10F21"/>
    <w:rsid w:val="00D165B4"/>
    <w:rsid w:val="00D24FA5"/>
    <w:rsid w:val="00D34040"/>
    <w:rsid w:val="00D34E69"/>
    <w:rsid w:val="00D375EE"/>
    <w:rsid w:val="00D57CC8"/>
    <w:rsid w:val="00D62699"/>
    <w:rsid w:val="00D82473"/>
    <w:rsid w:val="00D82620"/>
    <w:rsid w:val="00D84498"/>
    <w:rsid w:val="00D9725F"/>
    <w:rsid w:val="00DA01B1"/>
    <w:rsid w:val="00DA11A2"/>
    <w:rsid w:val="00DA14ED"/>
    <w:rsid w:val="00DB0E2D"/>
    <w:rsid w:val="00DB2BB0"/>
    <w:rsid w:val="00DB2EF1"/>
    <w:rsid w:val="00DB3DE1"/>
    <w:rsid w:val="00DB5DA0"/>
    <w:rsid w:val="00DB716C"/>
    <w:rsid w:val="00DB71A2"/>
    <w:rsid w:val="00DC220E"/>
    <w:rsid w:val="00DC5C85"/>
    <w:rsid w:val="00DD13AC"/>
    <w:rsid w:val="00DD4236"/>
    <w:rsid w:val="00DD44F1"/>
    <w:rsid w:val="00DE27CC"/>
    <w:rsid w:val="00DE3067"/>
    <w:rsid w:val="00DE6FB3"/>
    <w:rsid w:val="00DF2143"/>
    <w:rsid w:val="00DF3309"/>
    <w:rsid w:val="00DF5B6C"/>
    <w:rsid w:val="00E027BC"/>
    <w:rsid w:val="00E06947"/>
    <w:rsid w:val="00E14EA5"/>
    <w:rsid w:val="00E21133"/>
    <w:rsid w:val="00E2327E"/>
    <w:rsid w:val="00E266EF"/>
    <w:rsid w:val="00E40456"/>
    <w:rsid w:val="00E43E4C"/>
    <w:rsid w:val="00E47428"/>
    <w:rsid w:val="00E638C0"/>
    <w:rsid w:val="00E66B9F"/>
    <w:rsid w:val="00E70A3B"/>
    <w:rsid w:val="00E710D6"/>
    <w:rsid w:val="00E71457"/>
    <w:rsid w:val="00E76689"/>
    <w:rsid w:val="00E76E45"/>
    <w:rsid w:val="00E777C9"/>
    <w:rsid w:val="00E81DA6"/>
    <w:rsid w:val="00E84212"/>
    <w:rsid w:val="00E9086C"/>
    <w:rsid w:val="00E91A0F"/>
    <w:rsid w:val="00E91CD1"/>
    <w:rsid w:val="00E94A71"/>
    <w:rsid w:val="00EA03CE"/>
    <w:rsid w:val="00EA23E5"/>
    <w:rsid w:val="00EA4E2E"/>
    <w:rsid w:val="00EB2CCB"/>
    <w:rsid w:val="00EC57A7"/>
    <w:rsid w:val="00ED05E0"/>
    <w:rsid w:val="00ED0817"/>
    <w:rsid w:val="00ED561E"/>
    <w:rsid w:val="00ED7DD9"/>
    <w:rsid w:val="00EE43D3"/>
    <w:rsid w:val="00EF3113"/>
    <w:rsid w:val="00EF3F84"/>
    <w:rsid w:val="00F04576"/>
    <w:rsid w:val="00F176AC"/>
    <w:rsid w:val="00F21A14"/>
    <w:rsid w:val="00F21DC2"/>
    <w:rsid w:val="00F27714"/>
    <w:rsid w:val="00F3276E"/>
    <w:rsid w:val="00F33D3C"/>
    <w:rsid w:val="00F37A91"/>
    <w:rsid w:val="00F4442F"/>
    <w:rsid w:val="00F45CF5"/>
    <w:rsid w:val="00F47DB0"/>
    <w:rsid w:val="00F50E34"/>
    <w:rsid w:val="00F50E9A"/>
    <w:rsid w:val="00F53EF7"/>
    <w:rsid w:val="00F54BF2"/>
    <w:rsid w:val="00F550DB"/>
    <w:rsid w:val="00F600A2"/>
    <w:rsid w:val="00F70F22"/>
    <w:rsid w:val="00F92355"/>
    <w:rsid w:val="00F92743"/>
    <w:rsid w:val="00F93963"/>
    <w:rsid w:val="00F94291"/>
    <w:rsid w:val="00FA17D3"/>
    <w:rsid w:val="00FB18D5"/>
    <w:rsid w:val="00FB7982"/>
    <w:rsid w:val="00FC0734"/>
    <w:rsid w:val="00FC0FC5"/>
    <w:rsid w:val="00FC1EA0"/>
    <w:rsid w:val="00FC588F"/>
    <w:rsid w:val="00FC5C2C"/>
    <w:rsid w:val="00FE1321"/>
    <w:rsid w:val="00FE1B30"/>
    <w:rsid w:val="00FE4DD4"/>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4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30"/>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32"/>
      </w:numPr>
      <w:ind w:left="1440" w:hanging="720"/>
    </w:pPr>
  </w:style>
  <w:style w:type="paragraph" w:customStyle="1" w:styleId="Quote2Bullet">
    <w:name w:val="Quote2 Bullet"/>
    <w:basedOn w:val="Quote2"/>
    <w:rsid w:val="00EF3F84"/>
    <w:pPr>
      <w:numPr>
        <w:numId w:val="33"/>
      </w:numPr>
      <w:ind w:hanging="720"/>
    </w:pPr>
  </w:style>
  <w:style w:type="paragraph" w:customStyle="1" w:styleId="Quote3Bullet">
    <w:name w:val="Quote3 Bullet"/>
    <w:basedOn w:val="Quote3"/>
    <w:rsid w:val="00EF3F84"/>
    <w:pPr>
      <w:numPr>
        <w:numId w:val="34"/>
      </w:numPr>
      <w:ind w:hanging="720"/>
    </w:pPr>
  </w:style>
  <w:style w:type="paragraph" w:customStyle="1" w:styleId="Order1">
    <w:name w:val="Order 1"/>
    <w:basedOn w:val="Normal"/>
    <w:rsid w:val="00274F5B"/>
    <w:pPr>
      <w:numPr>
        <w:numId w:val="48"/>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4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Quote10">
    <w:name w:val="Quote 1"/>
    <w:basedOn w:val="ListNo1"/>
    <w:rsid w:val="00CE31F3"/>
  </w:style>
  <w:style w:type="paragraph" w:customStyle="1" w:styleId="Default">
    <w:name w:val="Default"/>
    <w:rsid w:val="00BA5F01"/>
    <w:pPr>
      <w:autoSpaceDE w:val="0"/>
      <w:autoSpaceDN w:val="0"/>
      <w:adjustRightInd w:val="0"/>
    </w:pPr>
    <w:rPr>
      <w:color w:val="000000"/>
      <w:sz w:val="24"/>
      <w:szCs w:val="24"/>
    </w:rPr>
  </w:style>
  <w:style w:type="paragraph" w:customStyle="1" w:styleId="subsection">
    <w:name w:val="subsection"/>
    <w:basedOn w:val="Normal"/>
    <w:rsid w:val="00AE6E68"/>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AE6E68"/>
    <w:pPr>
      <w:spacing w:before="100" w:beforeAutospacing="1" w:after="100" w:afterAutospacing="1" w:line="240" w:lineRule="auto"/>
      <w:jc w:val="left"/>
    </w:pPr>
    <w:rPr>
      <w:rFonts w:eastAsia="Times New Roman"/>
      <w:szCs w:val="24"/>
      <w:lang w:eastAsia="en-AU"/>
    </w:rPr>
  </w:style>
  <w:style w:type="paragraph" w:customStyle="1" w:styleId="Heading20">
    <w:name w:val="Heading2"/>
    <w:basedOn w:val="ParaNumbering"/>
    <w:rsid w:val="00DE6FB3"/>
  </w:style>
  <w:style w:type="paragraph" w:customStyle="1" w:styleId="Quote20">
    <w:name w:val="Quote 2"/>
    <w:basedOn w:val="Quote1"/>
    <w:rsid w:val="00950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4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30"/>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32"/>
      </w:numPr>
      <w:ind w:left="1440" w:hanging="720"/>
    </w:pPr>
  </w:style>
  <w:style w:type="paragraph" w:customStyle="1" w:styleId="Quote2Bullet">
    <w:name w:val="Quote2 Bullet"/>
    <w:basedOn w:val="Quote2"/>
    <w:rsid w:val="00EF3F84"/>
    <w:pPr>
      <w:numPr>
        <w:numId w:val="33"/>
      </w:numPr>
      <w:ind w:hanging="720"/>
    </w:pPr>
  </w:style>
  <w:style w:type="paragraph" w:customStyle="1" w:styleId="Quote3Bullet">
    <w:name w:val="Quote3 Bullet"/>
    <w:basedOn w:val="Quote3"/>
    <w:rsid w:val="00EF3F84"/>
    <w:pPr>
      <w:numPr>
        <w:numId w:val="34"/>
      </w:numPr>
      <w:ind w:hanging="720"/>
    </w:pPr>
  </w:style>
  <w:style w:type="paragraph" w:customStyle="1" w:styleId="Order1">
    <w:name w:val="Order 1"/>
    <w:basedOn w:val="Normal"/>
    <w:rsid w:val="00274F5B"/>
    <w:pPr>
      <w:numPr>
        <w:numId w:val="48"/>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4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Quote10">
    <w:name w:val="Quote 1"/>
    <w:basedOn w:val="ListNo1"/>
    <w:rsid w:val="00CE31F3"/>
  </w:style>
  <w:style w:type="paragraph" w:customStyle="1" w:styleId="Default">
    <w:name w:val="Default"/>
    <w:rsid w:val="00BA5F01"/>
    <w:pPr>
      <w:autoSpaceDE w:val="0"/>
      <w:autoSpaceDN w:val="0"/>
      <w:adjustRightInd w:val="0"/>
    </w:pPr>
    <w:rPr>
      <w:color w:val="000000"/>
      <w:sz w:val="24"/>
      <w:szCs w:val="24"/>
    </w:rPr>
  </w:style>
  <w:style w:type="paragraph" w:customStyle="1" w:styleId="subsection">
    <w:name w:val="subsection"/>
    <w:basedOn w:val="Normal"/>
    <w:rsid w:val="00AE6E68"/>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AE6E68"/>
    <w:pPr>
      <w:spacing w:before="100" w:beforeAutospacing="1" w:after="100" w:afterAutospacing="1" w:line="240" w:lineRule="auto"/>
      <w:jc w:val="left"/>
    </w:pPr>
    <w:rPr>
      <w:rFonts w:eastAsia="Times New Roman"/>
      <w:szCs w:val="24"/>
      <w:lang w:eastAsia="en-AU"/>
    </w:rPr>
  </w:style>
  <w:style w:type="paragraph" w:customStyle="1" w:styleId="Heading20">
    <w:name w:val="Heading2"/>
    <w:basedOn w:val="ParaNumbering"/>
    <w:rsid w:val="00DE6FB3"/>
  </w:style>
  <w:style w:type="paragraph" w:customStyle="1" w:styleId="Quote20">
    <w:name w:val="Quote 2"/>
    <w:basedOn w:val="Quote1"/>
    <w:rsid w:val="00950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542199">
      <w:bodyDiv w:val="1"/>
      <w:marLeft w:val="0"/>
      <w:marRight w:val="0"/>
      <w:marTop w:val="0"/>
      <w:marBottom w:val="0"/>
      <w:divBdr>
        <w:top w:val="none" w:sz="0" w:space="0" w:color="auto"/>
        <w:left w:val="none" w:sz="0" w:space="0" w:color="auto"/>
        <w:bottom w:val="none" w:sz="0" w:space="0" w:color="auto"/>
        <w:right w:val="none" w:sz="0" w:space="0" w:color="auto"/>
      </w:divBdr>
    </w:div>
    <w:div w:id="875239147">
      <w:bodyDiv w:val="1"/>
      <w:marLeft w:val="0"/>
      <w:marRight w:val="0"/>
      <w:marTop w:val="0"/>
      <w:marBottom w:val="0"/>
      <w:divBdr>
        <w:top w:val="none" w:sz="0" w:space="0" w:color="auto"/>
        <w:left w:val="none" w:sz="0" w:space="0" w:color="auto"/>
        <w:bottom w:val="none" w:sz="0" w:space="0" w:color="auto"/>
        <w:right w:val="none" w:sz="0" w:space="0" w:color="auto"/>
      </w:divBdr>
      <w:divsChild>
        <w:div w:id="1768188199">
          <w:marLeft w:val="0"/>
          <w:marRight w:val="0"/>
          <w:marTop w:val="0"/>
          <w:marBottom w:val="0"/>
          <w:divBdr>
            <w:top w:val="none" w:sz="0" w:space="0" w:color="auto"/>
            <w:left w:val="none" w:sz="0" w:space="0" w:color="auto"/>
            <w:bottom w:val="none" w:sz="0" w:space="0" w:color="auto"/>
            <w:right w:val="none" w:sz="0" w:space="0" w:color="auto"/>
          </w:divBdr>
          <w:divsChild>
            <w:div w:id="1417894687">
              <w:marLeft w:val="0"/>
              <w:marRight w:val="0"/>
              <w:marTop w:val="0"/>
              <w:marBottom w:val="0"/>
              <w:divBdr>
                <w:top w:val="none" w:sz="0" w:space="0" w:color="auto"/>
                <w:left w:val="none" w:sz="0" w:space="0" w:color="auto"/>
                <w:bottom w:val="none" w:sz="0" w:space="0" w:color="auto"/>
                <w:right w:val="none" w:sz="0" w:space="0" w:color="auto"/>
              </w:divBdr>
              <w:divsChild>
                <w:div w:id="475728325">
                  <w:marLeft w:val="0"/>
                  <w:marRight w:val="0"/>
                  <w:marTop w:val="0"/>
                  <w:marBottom w:val="0"/>
                  <w:divBdr>
                    <w:top w:val="none" w:sz="0" w:space="0" w:color="auto"/>
                    <w:left w:val="none" w:sz="0" w:space="0" w:color="auto"/>
                    <w:bottom w:val="none" w:sz="0" w:space="0" w:color="auto"/>
                    <w:right w:val="none" w:sz="0" w:space="0" w:color="auto"/>
                  </w:divBdr>
                  <w:divsChild>
                    <w:div w:id="1478956181">
                      <w:marLeft w:val="0"/>
                      <w:marRight w:val="0"/>
                      <w:marTop w:val="0"/>
                      <w:marBottom w:val="0"/>
                      <w:divBdr>
                        <w:top w:val="none" w:sz="0" w:space="0" w:color="auto"/>
                        <w:left w:val="none" w:sz="0" w:space="0" w:color="auto"/>
                        <w:bottom w:val="none" w:sz="0" w:space="0" w:color="auto"/>
                        <w:right w:val="none" w:sz="0" w:space="0" w:color="auto"/>
                      </w:divBdr>
                      <w:divsChild>
                        <w:div w:id="1728138675">
                          <w:marLeft w:val="0"/>
                          <w:marRight w:val="0"/>
                          <w:marTop w:val="0"/>
                          <w:marBottom w:val="0"/>
                          <w:divBdr>
                            <w:top w:val="none" w:sz="0" w:space="0" w:color="auto"/>
                            <w:left w:val="none" w:sz="0" w:space="0" w:color="auto"/>
                            <w:bottom w:val="none" w:sz="0" w:space="0" w:color="auto"/>
                            <w:right w:val="none" w:sz="0" w:space="0" w:color="auto"/>
                          </w:divBdr>
                          <w:divsChild>
                            <w:div w:id="497893246">
                              <w:marLeft w:val="0"/>
                              <w:marRight w:val="0"/>
                              <w:marTop w:val="0"/>
                              <w:marBottom w:val="0"/>
                              <w:divBdr>
                                <w:top w:val="none" w:sz="0" w:space="0" w:color="auto"/>
                                <w:left w:val="none" w:sz="0" w:space="0" w:color="auto"/>
                                <w:bottom w:val="none" w:sz="0" w:space="0" w:color="auto"/>
                                <w:right w:val="none" w:sz="0" w:space="0" w:color="auto"/>
                              </w:divBdr>
                              <w:divsChild>
                                <w:div w:id="1220242821">
                                  <w:marLeft w:val="0"/>
                                  <w:marRight w:val="0"/>
                                  <w:marTop w:val="0"/>
                                  <w:marBottom w:val="0"/>
                                  <w:divBdr>
                                    <w:top w:val="none" w:sz="0" w:space="0" w:color="auto"/>
                                    <w:left w:val="none" w:sz="0" w:space="0" w:color="auto"/>
                                    <w:bottom w:val="none" w:sz="0" w:space="0" w:color="auto"/>
                                    <w:right w:val="none" w:sz="0" w:space="0" w:color="auto"/>
                                  </w:divBdr>
                                  <w:divsChild>
                                    <w:div w:id="68814663">
                                      <w:marLeft w:val="0"/>
                                      <w:marRight w:val="0"/>
                                      <w:marTop w:val="0"/>
                                      <w:marBottom w:val="0"/>
                                      <w:divBdr>
                                        <w:top w:val="none" w:sz="0" w:space="0" w:color="auto"/>
                                        <w:left w:val="none" w:sz="0" w:space="0" w:color="auto"/>
                                        <w:bottom w:val="none" w:sz="0" w:space="0" w:color="auto"/>
                                        <w:right w:val="none" w:sz="0" w:space="0" w:color="auto"/>
                                      </w:divBdr>
                                      <w:divsChild>
                                        <w:div w:id="1861240890">
                                          <w:marLeft w:val="0"/>
                                          <w:marRight w:val="0"/>
                                          <w:marTop w:val="0"/>
                                          <w:marBottom w:val="0"/>
                                          <w:divBdr>
                                            <w:top w:val="none" w:sz="0" w:space="0" w:color="auto"/>
                                            <w:left w:val="none" w:sz="0" w:space="0" w:color="auto"/>
                                            <w:bottom w:val="none" w:sz="0" w:space="0" w:color="auto"/>
                                            <w:right w:val="none" w:sz="0" w:space="0" w:color="auto"/>
                                          </w:divBdr>
                                          <w:divsChild>
                                            <w:div w:id="2107117902">
                                              <w:marLeft w:val="0"/>
                                              <w:marRight w:val="0"/>
                                              <w:marTop w:val="0"/>
                                              <w:marBottom w:val="0"/>
                                              <w:divBdr>
                                                <w:top w:val="none" w:sz="0" w:space="0" w:color="auto"/>
                                                <w:left w:val="none" w:sz="0" w:space="0" w:color="auto"/>
                                                <w:bottom w:val="none" w:sz="0" w:space="0" w:color="auto"/>
                                                <w:right w:val="none" w:sz="0" w:space="0" w:color="auto"/>
                                              </w:divBdr>
                                              <w:divsChild>
                                                <w:div w:id="1180583407">
                                                  <w:marLeft w:val="0"/>
                                                  <w:marRight w:val="0"/>
                                                  <w:marTop w:val="0"/>
                                                  <w:marBottom w:val="0"/>
                                                  <w:divBdr>
                                                    <w:top w:val="none" w:sz="0" w:space="0" w:color="auto"/>
                                                    <w:left w:val="none" w:sz="0" w:space="0" w:color="auto"/>
                                                    <w:bottom w:val="none" w:sz="0" w:space="0" w:color="auto"/>
                                                    <w:right w:val="none" w:sz="0" w:space="0" w:color="auto"/>
                                                  </w:divBdr>
                                                  <w:divsChild>
                                                    <w:div w:id="2095972811">
                                                      <w:marLeft w:val="0"/>
                                                      <w:marRight w:val="0"/>
                                                      <w:marTop w:val="0"/>
                                                      <w:marBottom w:val="0"/>
                                                      <w:divBdr>
                                                        <w:top w:val="none" w:sz="0" w:space="0" w:color="auto"/>
                                                        <w:left w:val="none" w:sz="0" w:space="0" w:color="auto"/>
                                                        <w:bottom w:val="none" w:sz="0" w:space="0" w:color="auto"/>
                                                        <w:right w:val="none" w:sz="0" w:space="0" w:color="auto"/>
                                                      </w:divBdr>
                                                      <w:divsChild>
                                                        <w:div w:id="4479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9F6F0-AFCE-4279-A45C-B19F8829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21</Pages>
  <Words>5294</Words>
  <Characters>27673</Characters>
  <Application>Microsoft Office Word</Application>
  <DocSecurity>0</DocSecurity>
  <Lines>553</Lines>
  <Paragraphs>209</Paragraphs>
  <ScaleCrop>false</ScaleCrop>
  <HeadingPairs>
    <vt:vector size="2" baseType="variant">
      <vt:variant>
        <vt:lpstr>Title</vt:lpstr>
      </vt:variant>
      <vt:variant>
        <vt:i4>1</vt:i4>
      </vt:variant>
    </vt:vector>
  </HeadingPairs>
  <TitlesOfParts>
    <vt:vector size="1" baseType="lpstr">
      <vt:lpstr>W.R. Berkley Insurance (Europe) Limited, in the matter of Division 3A of Part III of the Insurance Act (1973) (No 3) [2016] FCA 1497</vt:lpstr>
    </vt:vector>
  </TitlesOfParts>
  <Company>Federal Court of Australia</Company>
  <LinksUpToDate>false</LinksUpToDate>
  <CharactersWithSpaces>32758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 Berkley Insurance (Europe) Limited, in the matter of Division 3A of Part III of the Insurance Act (1973) (No 3) [2016] FCA 1497</dc:title>
  <dc:creator>Sophie Bathurst</dc:creator>
  <cp:lastModifiedBy>Anna Masters</cp:lastModifiedBy>
  <cp:revision>3</cp:revision>
  <cp:lastPrinted>2016-12-12T21:48:00Z</cp:lastPrinted>
  <dcterms:created xsi:type="dcterms:W3CDTF">2016-12-13T03:35:00Z</dcterms:created>
  <dcterms:modified xsi:type="dcterms:W3CDTF">2016-12-13T03:35:00Z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ALLSOP  CJ</vt:lpwstr>
  </property>
  <property fmtid="{D5CDD505-2E9C-101B-9397-08002B2CF9AE}" pid="4" name="Judgment_dated" linkTarget="Judgment_dated">
    <vt:lpwstr>28 October 2016</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Commercial Contracts, Banking, Finance and Insurance</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