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3E648" w14:textId="77777777" w:rsidR="00395B24" w:rsidRDefault="006C486B" w:rsidP="00A22932">
      <w:pPr>
        <w:pStyle w:val="CourtTitle"/>
      </w:pPr>
      <w:r>
        <w:fldChar w:fldCharType="begin"/>
      </w:r>
      <w:r>
        <w:instrText xml:space="preserve"> DOCPROPERTY  Court  \* MERGEFORMAT </w:instrText>
      </w:r>
      <w:r>
        <w:fldChar w:fldCharType="separate"/>
      </w:r>
      <w:r w:rsidR="00757570">
        <w:t>Federal Court of Australia</w:t>
      </w:r>
      <w:r>
        <w:fldChar w:fldCharType="end"/>
      </w:r>
    </w:p>
    <w:p w14:paraId="1A162470" w14:textId="77777777" w:rsidR="004D7950" w:rsidRDefault="004D7950">
      <w:pPr>
        <w:pStyle w:val="NormalHeadings"/>
        <w:jc w:val="center"/>
        <w:rPr>
          <w:sz w:val="32"/>
        </w:rPr>
      </w:pPr>
    </w:p>
    <w:bookmarkStart w:id="0" w:name="MNC"/>
    <w:p w14:paraId="5E808CB7" w14:textId="77777777" w:rsidR="00374CC4" w:rsidRDefault="000E4CCC" w:rsidP="001A2B40">
      <w:pPr>
        <w:pStyle w:val="MNC"/>
      </w:pPr>
      <w:sdt>
        <w:sdtPr>
          <w:alias w:val="MNC"/>
          <w:tag w:val="MNC"/>
          <w:id w:val="343289786"/>
          <w:lock w:val="sdtLocked"/>
          <w:placeholder>
            <w:docPart w:val="D7B3F188E9774BC7AA9481F4DF4160FC"/>
          </w:placeholder>
          <w:dataBinding w:prefixMappings="xmlns:ns0='http://schemas.globalmacros.com/FCA'" w:xpath="/ns0:root[1]/ns0:Name[1]" w:storeItemID="{687E7CCB-4AA5-44E7-B148-17BA2B6F57C0}"/>
          <w:text w:multiLine="1"/>
        </w:sdtPr>
        <w:sdtEndPr/>
        <w:sdtContent>
          <w:r w:rsidR="00715751">
            <w:t xml:space="preserve"> </w:t>
          </w:r>
          <w:r w:rsidR="00524B34">
            <w:t>Pearson v Minister for Home Affairs [2022] FCAFC</w:t>
          </w:r>
          <w:r w:rsidR="007C3D8A">
            <w:t xml:space="preserve"> 203</w:t>
          </w:r>
          <w:r w:rsidR="00890EDE">
            <w:t xml:space="preserve"> </w:t>
          </w:r>
          <w:r w:rsidR="00693854">
            <w:t xml:space="preserve"> </w:t>
          </w:r>
        </w:sdtContent>
      </w:sdt>
      <w:bookmarkEnd w:id="0"/>
      <w:r w:rsidR="005C185C">
        <w:t xml:space="preserve"> </w:t>
      </w:r>
    </w:p>
    <w:tbl>
      <w:tblPr>
        <w:tblW w:w="9073" w:type="dxa"/>
        <w:tblLayout w:type="fixed"/>
        <w:tblLook w:val="01E0" w:firstRow="1" w:lastRow="1" w:firstColumn="1" w:lastColumn="1" w:noHBand="0" w:noVBand="0"/>
        <w:tblCaption w:val="Cover Table"/>
        <w:tblDescription w:val="Cover Table"/>
      </w:tblPr>
      <w:tblGrid>
        <w:gridCol w:w="3083"/>
        <w:gridCol w:w="5990"/>
      </w:tblGrid>
      <w:tr w:rsidR="00395B24" w14:paraId="52387318" w14:textId="77777777" w:rsidTr="003F546F">
        <w:tc>
          <w:tcPr>
            <w:tcW w:w="3083" w:type="dxa"/>
            <w:shd w:val="clear" w:color="auto" w:fill="auto"/>
          </w:tcPr>
          <w:p w14:paraId="04A332E2" w14:textId="134B6648" w:rsidR="00395B24" w:rsidRDefault="006C486B" w:rsidP="00663878">
            <w:pPr>
              <w:pStyle w:val="Normal1linespace"/>
              <w:widowControl w:val="0"/>
              <w:jc w:val="left"/>
            </w:pPr>
            <w:r>
              <w:t>File number</w:t>
            </w:r>
            <w:r w:rsidR="002C7385">
              <w:t>:</w:t>
            </w:r>
          </w:p>
        </w:tc>
        <w:tc>
          <w:tcPr>
            <w:tcW w:w="5990" w:type="dxa"/>
            <w:shd w:val="clear" w:color="auto" w:fill="auto"/>
          </w:tcPr>
          <w:p w14:paraId="03E3B8E2" w14:textId="77777777" w:rsidR="00395B24" w:rsidRPr="00757570" w:rsidRDefault="000E4CCC" w:rsidP="00757570">
            <w:pPr>
              <w:pStyle w:val="Normal1linespace"/>
              <w:jc w:val="left"/>
            </w:pPr>
            <w:r>
              <w:fldChar w:fldCharType="begin" w:fldLock="1"/>
            </w:r>
            <w:r>
              <w:instrText xml:space="preserve"> REF  FileNo  \* MERGEFORMAT </w:instrText>
            </w:r>
            <w:r>
              <w:fldChar w:fldCharType="separate"/>
            </w:r>
            <w:r w:rsidR="00757570" w:rsidRPr="00757570">
              <w:t>NSD 854 of 2022</w:t>
            </w:r>
            <w:r>
              <w:fldChar w:fldCharType="end"/>
            </w:r>
          </w:p>
        </w:tc>
      </w:tr>
      <w:tr w:rsidR="00395B24" w14:paraId="1B9AB53F" w14:textId="77777777" w:rsidTr="003F546F">
        <w:tc>
          <w:tcPr>
            <w:tcW w:w="3083" w:type="dxa"/>
            <w:shd w:val="clear" w:color="auto" w:fill="auto"/>
          </w:tcPr>
          <w:p w14:paraId="5AA43403" w14:textId="77777777" w:rsidR="00395B24" w:rsidRDefault="00395B24" w:rsidP="00663878">
            <w:pPr>
              <w:pStyle w:val="Normal1linespace"/>
              <w:widowControl w:val="0"/>
              <w:jc w:val="left"/>
            </w:pPr>
          </w:p>
        </w:tc>
        <w:tc>
          <w:tcPr>
            <w:tcW w:w="5990" w:type="dxa"/>
            <w:shd w:val="clear" w:color="auto" w:fill="auto"/>
          </w:tcPr>
          <w:p w14:paraId="686C3E30" w14:textId="77777777" w:rsidR="00395B24" w:rsidRDefault="00395B24" w:rsidP="00663878">
            <w:pPr>
              <w:pStyle w:val="Normal1linespace"/>
              <w:widowControl w:val="0"/>
              <w:jc w:val="left"/>
            </w:pPr>
          </w:p>
        </w:tc>
      </w:tr>
      <w:tr w:rsidR="00395B24" w14:paraId="624CEB50" w14:textId="77777777" w:rsidTr="003F546F">
        <w:tc>
          <w:tcPr>
            <w:tcW w:w="3083" w:type="dxa"/>
            <w:shd w:val="clear" w:color="auto" w:fill="auto"/>
          </w:tcPr>
          <w:p w14:paraId="1927E464" w14:textId="77777777" w:rsidR="00395B24" w:rsidRDefault="002C7385" w:rsidP="00663878">
            <w:pPr>
              <w:pStyle w:val="Normal1linespace"/>
              <w:widowControl w:val="0"/>
              <w:jc w:val="left"/>
            </w:pPr>
            <w:r>
              <w:t>Judg</w:t>
            </w:r>
            <w:r w:rsidR="005724F6">
              <w:t>ment of</w:t>
            </w:r>
            <w:r>
              <w:t>:</w:t>
            </w:r>
          </w:p>
        </w:tc>
        <w:tc>
          <w:tcPr>
            <w:tcW w:w="5990" w:type="dxa"/>
            <w:shd w:val="clear" w:color="auto" w:fill="auto"/>
          </w:tcPr>
          <w:p w14:paraId="2A719424" w14:textId="77777777" w:rsidR="00395B24" w:rsidRDefault="006F1F69" w:rsidP="00663878">
            <w:pPr>
              <w:pStyle w:val="Normal1linespace"/>
              <w:widowControl w:val="0"/>
              <w:jc w:val="left"/>
              <w:rPr>
                <w:b/>
              </w:rPr>
            </w:pPr>
            <w:r>
              <w:rPr>
                <w:b/>
              </w:rPr>
              <w:t xml:space="preserve">ALLSOP CJ, </w:t>
            </w:r>
            <w:r w:rsidR="006D3C0E">
              <w:rPr>
                <w:b/>
              </w:rPr>
              <w:t xml:space="preserve">RANGIAH AND </w:t>
            </w:r>
            <w:r w:rsidR="002C7385" w:rsidRPr="00757570">
              <w:rPr>
                <w:b/>
              </w:rPr>
              <w:fldChar w:fldCharType="begin" w:fldLock="1"/>
            </w:r>
            <w:r w:rsidR="002C7385" w:rsidRPr="00757570">
              <w:rPr>
                <w:b/>
              </w:rPr>
              <w:instrText xml:space="preserve"> REF  Judge  \* MERGEFORMAT </w:instrText>
            </w:r>
            <w:r w:rsidR="002C7385" w:rsidRPr="00757570">
              <w:rPr>
                <w:b/>
              </w:rPr>
              <w:fldChar w:fldCharType="separate"/>
            </w:r>
            <w:r w:rsidR="00757570" w:rsidRPr="00757570">
              <w:rPr>
                <w:b/>
                <w:caps/>
                <w:szCs w:val="24"/>
              </w:rPr>
              <w:t>SARAH C DERRINGTON J</w:t>
            </w:r>
            <w:r w:rsidR="002C7385" w:rsidRPr="00757570">
              <w:rPr>
                <w:b/>
              </w:rPr>
              <w:fldChar w:fldCharType="end"/>
            </w:r>
            <w:r w:rsidR="006D3C0E">
              <w:rPr>
                <w:b/>
              </w:rPr>
              <w:t>J</w:t>
            </w:r>
          </w:p>
        </w:tc>
      </w:tr>
      <w:tr w:rsidR="00395B24" w14:paraId="48C03251" w14:textId="77777777" w:rsidTr="003F546F">
        <w:tc>
          <w:tcPr>
            <w:tcW w:w="3083" w:type="dxa"/>
            <w:shd w:val="clear" w:color="auto" w:fill="auto"/>
          </w:tcPr>
          <w:p w14:paraId="3BEC4BC8" w14:textId="77777777" w:rsidR="00395B24" w:rsidRDefault="00395B24" w:rsidP="00663878">
            <w:pPr>
              <w:pStyle w:val="Normal1linespace"/>
              <w:widowControl w:val="0"/>
              <w:jc w:val="left"/>
            </w:pPr>
          </w:p>
        </w:tc>
        <w:tc>
          <w:tcPr>
            <w:tcW w:w="5990" w:type="dxa"/>
            <w:shd w:val="clear" w:color="auto" w:fill="auto"/>
          </w:tcPr>
          <w:p w14:paraId="73240AD3" w14:textId="77777777" w:rsidR="00395B24" w:rsidRDefault="00395B24" w:rsidP="00663878">
            <w:pPr>
              <w:pStyle w:val="Normal1linespace"/>
              <w:widowControl w:val="0"/>
              <w:jc w:val="left"/>
            </w:pPr>
          </w:p>
        </w:tc>
      </w:tr>
      <w:tr w:rsidR="00395B24" w14:paraId="1B8C3A6F" w14:textId="77777777" w:rsidTr="003F546F">
        <w:tc>
          <w:tcPr>
            <w:tcW w:w="3083" w:type="dxa"/>
            <w:shd w:val="clear" w:color="auto" w:fill="auto"/>
          </w:tcPr>
          <w:p w14:paraId="10573C66" w14:textId="77777777" w:rsidR="00395B24" w:rsidRDefault="002C7385" w:rsidP="00663878">
            <w:pPr>
              <w:pStyle w:val="Normal1linespace"/>
              <w:widowControl w:val="0"/>
              <w:jc w:val="left"/>
            </w:pPr>
            <w:r>
              <w:t>Date of judgment:</w:t>
            </w:r>
          </w:p>
        </w:tc>
        <w:tc>
          <w:tcPr>
            <w:tcW w:w="5990" w:type="dxa"/>
            <w:shd w:val="clear" w:color="auto" w:fill="auto"/>
          </w:tcPr>
          <w:p w14:paraId="7DB4C8E7" w14:textId="77777777" w:rsidR="00395B24" w:rsidRDefault="000764DF" w:rsidP="00663878">
            <w:pPr>
              <w:pStyle w:val="Normal1linespace"/>
              <w:widowControl w:val="0"/>
              <w:jc w:val="left"/>
            </w:pPr>
            <w:bookmarkStart w:id="1" w:name="JudgmentDate"/>
            <w:bookmarkEnd w:id="1"/>
            <w:r>
              <w:t>22 December 2022</w:t>
            </w:r>
          </w:p>
        </w:tc>
      </w:tr>
      <w:tr w:rsidR="00395B24" w14:paraId="22055C9E" w14:textId="77777777" w:rsidTr="003F546F">
        <w:tc>
          <w:tcPr>
            <w:tcW w:w="3083" w:type="dxa"/>
            <w:shd w:val="clear" w:color="auto" w:fill="auto"/>
          </w:tcPr>
          <w:p w14:paraId="6DAA792E" w14:textId="77777777" w:rsidR="00395B24" w:rsidRDefault="00395B24" w:rsidP="00663878">
            <w:pPr>
              <w:pStyle w:val="Normal1linespace"/>
              <w:widowControl w:val="0"/>
              <w:jc w:val="left"/>
            </w:pPr>
          </w:p>
        </w:tc>
        <w:tc>
          <w:tcPr>
            <w:tcW w:w="5990" w:type="dxa"/>
            <w:shd w:val="clear" w:color="auto" w:fill="auto"/>
          </w:tcPr>
          <w:p w14:paraId="3FF7D724" w14:textId="77777777" w:rsidR="00395B24" w:rsidRDefault="00395B24" w:rsidP="00663878">
            <w:pPr>
              <w:pStyle w:val="Normal1linespace"/>
              <w:widowControl w:val="0"/>
              <w:jc w:val="left"/>
            </w:pPr>
          </w:p>
        </w:tc>
      </w:tr>
      <w:tr w:rsidR="00395B24" w14:paraId="45F3DC7D" w14:textId="77777777" w:rsidTr="003F546F">
        <w:tc>
          <w:tcPr>
            <w:tcW w:w="3083" w:type="dxa"/>
            <w:shd w:val="clear" w:color="auto" w:fill="auto"/>
          </w:tcPr>
          <w:p w14:paraId="42BED963" w14:textId="77777777" w:rsidR="00395B24" w:rsidRDefault="002C7385" w:rsidP="00663878">
            <w:pPr>
              <w:pStyle w:val="Normal1linespace"/>
              <w:widowControl w:val="0"/>
              <w:jc w:val="left"/>
            </w:pPr>
            <w:r>
              <w:t>Catchwords:</w:t>
            </w:r>
          </w:p>
        </w:tc>
        <w:tc>
          <w:tcPr>
            <w:tcW w:w="5990" w:type="dxa"/>
            <w:shd w:val="clear" w:color="auto" w:fill="auto"/>
          </w:tcPr>
          <w:p w14:paraId="4FD2394F" w14:textId="1578F69D" w:rsidR="002D00B0" w:rsidRDefault="00C67EA0" w:rsidP="0035089E">
            <w:pPr>
              <w:pStyle w:val="Normal1linespace"/>
              <w:widowControl w:val="0"/>
              <w:jc w:val="left"/>
            </w:pPr>
            <w:r w:rsidRPr="002D00B0">
              <w:rPr>
                <w:b/>
                <w:bCs/>
              </w:rPr>
              <w:t>MIGRATION</w:t>
            </w:r>
            <w:r>
              <w:t xml:space="preserve"> </w:t>
            </w:r>
            <w:r w:rsidR="002D00B0">
              <w:t>– application for review of decision of Administrative Appeals Tribunal to affirm decision of delegate of Minister for Home Affairs to mandatorily cancel visa on character grounds – where invitation did not crystallise the time period to make representations for revocation – where representations nevertheless made within 28 days and were considered – whether invitation a nullity – whether Minister’s failure to comply with condition precedent to exercise of power material</w:t>
            </w:r>
          </w:p>
          <w:p w14:paraId="05404698" w14:textId="77777777" w:rsidR="002D00B0" w:rsidRDefault="002D00B0" w:rsidP="0035089E">
            <w:pPr>
              <w:pStyle w:val="Normal1linespace"/>
              <w:widowControl w:val="0"/>
              <w:jc w:val="left"/>
            </w:pPr>
          </w:p>
          <w:p w14:paraId="758CEB8E" w14:textId="77777777" w:rsidR="00395B24" w:rsidRDefault="002D00B0" w:rsidP="0035089E">
            <w:pPr>
              <w:pStyle w:val="Normal1linespace"/>
              <w:widowControl w:val="0"/>
              <w:jc w:val="left"/>
            </w:pPr>
            <w:r w:rsidRPr="002D00B0">
              <w:rPr>
                <w:b/>
                <w:bCs/>
              </w:rPr>
              <w:t xml:space="preserve">MIGRATION  </w:t>
            </w:r>
            <w:r>
              <w:t xml:space="preserve">– visa mandatorily cancelled pursuant to s 501(3A) of </w:t>
            </w:r>
            <w:r w:rsidRPr="002D00B0">
              <w:rPr>
                <w:i/>
                <w:iCs/>
              </w:rPr>
              <w:t>Migration Act 1958</w:t>
            </w:r>
            <w:r>
              <w:t xml:space="preserve"> (</w:t>
            </w:r>
            <w:proofErr w:type="spellStart"/>
            <w:r>
              <w:t>Cth</w:t>
            </w:r>
            <w:proofErr w:type="spellEnd"/>
            <w:r>
              <w:t>) on basis of aggregate sentence of 4 years and 3 months – whether aggregate sentence “a term of imprisonment of 12 months or more” within s 501(7)(c)</w:t>
            </w:r>
          </w:p>
          <w:p w14:paraId="3480A568" w14:textId="77777777" w:rsidR="002D00B0" w:rsidRDefault="002D00B0" w:rsidP="0035089E">
            <w:pPr>
              <w:pStyle w:val="Normal1linespace"/>
              <w:widowControl w:val="0"/>
              <w:jc w:val="left"/>
            </w:pPr>
          </w:p>
          <w:p w14:paraId="2EA68973" w14:textId="5646A1D0" w:rsidR="002D00B0" w:rsidRPr="002D00B0" w:rsidRDefault="002D00B0" w:rsidP="0035089E">
            <w:pPr>
              <w:pStyle w:val="Normal1linespace"/>
              <w:widowControl w:val="0"/>
              <w:jc w:val="left"/>
            </w:pPr>
            <w:r w:rsidRPr="00D978AF">
              <w:rPr>
                <w:b/>
                <w:bCs/>
              </w:rPr>
              <w:t>ESTOPPEL</w:t>
            </w:r>
            <w:r>
              <w:t xml:space="preserve"> – </w:t>
            </w:r>
            <w:proofErr w:type="spellStart"/>
            <w:r w:rsidR="00D978AF" w:rsidRPr="001B2921">
              <w:rPr>
                <w:i/>
              </w:rPr>
              <w:t>Anshun</w:t>
            </w:r>
            <w:proofErr w:type="spellEnd"/>
            <w:r w:rsidR="00D978AF">
              <w:t xml:space="preserve"> estoppel – where applicant previously sought judicial review of same decision and appealed to Full Court – whether applicant “should” have raised new grounds in previous application – where applicant could lose right ever to reside in Australia – whether “special circumstances”</w:t>
            </w:r>
          </w:p>
        </w:tc>
      </w:tr>
      <w:tr w:rsidR="00395B24" w14:paraId="2169C5C2" w14:textId="77777777" w:rsidTr="003F546F">
        <w:tc>
          <w:tcPr>
            <w:tcW w:w="3083" w:type="dxa"/>
            <w:shd w:val="clear" w:color="auto" w:fill="auto"/>
          </w:tcPr>
          <w:p w14:paraId="375E8DD7" w14:textId="77777777" w:rsidR="00395B24" w:rsidRDefault="00395B24" w:rsidP="00663878">
            <w:pPr>
              <w:pStyle w:val="Normal1linespace"/>
              <w:widowControl w:val="0"/>
              <w:jc w:val="left"/>
            </w:pPr>
          </w:p>
        </w:tc>
        <w:tc>
          <w:tcPr>
            <w:tcW w:w="5990" w:type="dxa"/>
            <w:shd w:val="clear" w:color="auto" w:fill="auto"/>
          </w:tcPr>
          <w:p w14:paraId="41743032" w14:textId="77777777" w:rsidR="00395B24" w:rsidRDefault="00395B24" w:rsidP="00663878">
            <w:pPr>
              <w:pStyle w:val="Normal1linespace"/>
              <w:widowControl w:val="0"/>
              <w:jc w:val="left"/>
            </w:pPr>
          </w:p>
        </w:tc>
      </w:tr>
      <w:tr w:rsidR="00395B24" w14:paraId="1B5195CE" w14:textId="77777777" w:rsidTr="003F546F">
        <w:tc>
          <w:tcPr>
            <w:tcW w:w="3083" w:type="dxa"/>
            <w:shd w:val="clear" w:color="auto" w:fill="auto"/>
          </w:tcPr>
          <w:p w14:paraId="71D463EA" w14:textId="77777777" w:rsidR="00395B24" w:rsidRDefault="002C7385" w:rsidP="00663878">
            <w:pPr>
              <w:pStyle w:val="Normal1linespace"/>
              <w:widowControl w:val="0"/>
              <w:jc w:val="left"/>
            </w:pPr>
            <w:r>
              <w:t>Legislation:</w:t>
            </w:r>
          </w:p>
        </w:tc>
        <w:tc>
          <w:tcPr>
            <w:tcW w:w="5990" w:type="dxa"/>
            <w:shd w:val="clear" w:color="auto" w:fill="auto"/>
          </w:tcPr>
          <w:p w14:paraId="7C09E9F0" w14:textId="410807DB" w:rsidR="000764DF" w:rsidRPr="000764DF" w:rsidRDefault="000764DF" w:rsidP="000764DF">
            <w:pPr>
              <w:pStyle w:val="CasesLegislationAppealFrom"/>
              <w:spacing w:after="60"/>
            </w:pPr>
            <w:bookmarkStart w:id="2" w:name="Legislation"/>
            <w:r w:rsidRPr="000764DF">
              <w:rPr>
                <w:i/>
                <w:iCs/>
              </w:rPr>
              <w:t xml:space="preserve">Acts Interpretation Act 1901 </w:t>
            </w:r>
            <w:r w:rsidRPr="000764DF">
              <w:t>(</w:t>
            </w:r>
            <w:proofErr w:type="spellStart"/>
            <w:r w:rsidRPr="000764DF">
              <w:t>Cth</w:t>
            </w:r>
            <w:proofErr w:type="spellEnd"/>
            <w:r w:rsidRPr="000764DF">
              <w:t>)</w:t>
            </w:r>
            <w:r w:rsidR="00D978AF">
              <w:t xml:space="preserve"> </w:t>
            </w:r>
            <w:proofErr w:type="spellStart"/>
            <w:r w:rsidR="00D978AF">
              <w:t>ss</w:t>
            </w:r>
            <w:proofErr w:type="spellEnd"/>
            <w:r w:rsidR="00D978AF">
              <w:t xml:space="preserve"> 2(2), 23(b)</w:t>
            </w:r>
          </w:p>
          <w:p w14:paraId="3077B7F9" w14:textId="557C0E05" w:rsidR="00D978AF" w:rsidRDefault="000764DF" w:rsidP="000764DF">
            <w:pPr>
              <w:pStyle w:val="CasesLegislationAppealFrom"/>
              <w:spacing w:after="60"/>
            </w:pPr>
            <w:r w:rsidRPr="000764DF">
              <w:rPr>
                <w:bCs/>
                <w:i/>
                <w:iCs/>
              </w:rPr>
              <w:t>Migration Act</w:t>
            </w:r>
            <w:r w:rsidRPr="000764DF">
              <w:rPr>
                <w:i/>
                <w:iCs/>
              </w:rPr>
              <w:t xml:space="preserve"> 1958</w:t>
            </w:r>
            <w:r w:rsidRPr="000764DF">
              <w:t xml:space="preserve"> (</w:t>
            </w:r>
            <w:proofErr w:type="spellStart"/>
            <w:r w:rsidRPr="000764DF">
              <w:t>Cth</w:t>
            </w:r>
            <w:proofErr w:type="spellEnd"/>
            <w:r w:rsidRPr="000764DF">
              <w:t>)</w:t>
            </w:r>
            <w:r w:rsidR="00D978AF">
              <w:t xml:space="preserve"> </w:t>
            </w:r>
            <w:proofErr w:type="spellStart"/>
            <w:r w:rsidR="00D978AF">
              <w:t>ss</w:t>
            </w:r>
            <w:proofErr w:type="spellEnd"/>
            <w:r w:rsidR="00D978AF">
              <w:t xml:space="preserve"> 441A, 441G, 501(3A), 501(6), 501(7), 501(7A), 501(12), 501CA(3), 501CA(4)</w:t>
            </w:r>
          </w:p>
          <w:p w14:paraId="1332C6BD" w14:textId="77777777" w:rsidR="00587487" w:rsidRPr="00587487" w:rsidRDefault="00587487" w:rsidP="000764DF">
            <w:pPr>
              <w:pStyle w:val="CasesLegislationAppealFrom"/>
              <w:spacing w:after="60"/>
            </w:pPr>
          </w:p>
          <w:p w14:paraId="098D0C3E" w14:textId="77777777" w:rsidR="000764DF" w:rsidRDefault="000764DF" w:rsidP="000764DF">
            <w:pPr>
              <w:pStyle w:val="CasesLegislationAppealFrom"/>
              <w:spacing w:after="60"/>
            </w:pPr>
            <w:r w:rsidRPr="000764DF">
              <w:rPr>
                <w:bCs/>
                <w:i/>
                <w:iCs/>
              </w:rPr>
              <w:t>Migration Regulations</w:t>
            </w:r>
            <w:r w:rsidRPr="000764DF">
              <w:rPr>
                <w:i/>
                <w:iCs/>
              </w:rPr>
              <w:t xml:space="preserve"> 1994</w:t>
            </w:r>
            <w:r w:rsidRPr="000764DF">
              <w:t xml:space="preserve"> (</w:t>
            </w:r>
            <w:proofErr w:type="spellStart"/>
            <w:r w:rsidRPr="000764DF">
              <w:t>Cth</w:t>
            </w:r>
            <w:proofErr w:type="spellEnd"/>
            <w:r w:rsidRPr="000764DF">
              <w:t>)</w:t>
            </w:r>
            <w:bookmarkEnd w:id="2"/>
            <w:r w:rsidR="00D978AF">
              <w:t xml:space="preserve"> </w:t>
            </w:r>
            <w:proofErr w:type="spellStart"/>
            <w:r w:rsidR="00D978AF">
              <w:t>rr</w:t>
            </w:r>
            <w:proofErr w:type="spellEnd"/>
            <w:r w:rsidR="00D978AF">
              <w:t xml:space="preserve"> 2.52(2)(b), 2.52(4)</w:t>
            </w:r>
          </w:p>
          <w:p w14:paraId="3349B2C7" w14:textId="77777777" w:rsidR="00587487" w:rsidRDefault="00587487" w:rsidP="000764DF">
            <w:pPr>
              <w:pStyle w:val="CasesLegislationAppealFrom"/>
              <w:spacing w:after="60"/>
            </w:pPr>
          </w:p>
          <w:p w14:paraId="1F264C80" w14:textId="6800B72C" w:rsidR="00587487" w:rsidRPr="000764DF" w:rsidRDefault="00587487" w:rsidP="000764DF">
            <w:pPr>
              <w:pStyle w:val="CasesLegislationAppealFrom"/>
              <w:spacing w:after="60"/>
            </w:pPr>
            <w:r w:rsidRPr="000764DF">
              <w:rPr>
                <w:i/>
              </w:rPr>
              <w:t>Crimes Sentencing Procedure Act 1999</w:t>
            </w:r>
            <w:r w:rsidRPr="000764DF">
              <w:t xml:space="preserve"> (NSW)</w:t>
            </w:r>
            <w:r>
              <w:t xml:space="preserve"> s 53A</w:t>
            </w:r>
          </w:p>
        </w:tc>
      </w:tr>
      <w:tr w:rsidR="00395B24" w14:paraId="2F09A1F7" w14:textId="77777777" w:rsidTr="003F546F">
        <w:tc>
          <w:tcPr>
            <w:tcW w:w="3083" w:type="dxa"/>
            <w:shd w:val="clear" w:color="auto" w:fill="auto"/>
          </w:tcPr>
          <w:p w14:paraId="23ECC85E" w14:textId="77777777" w:rsidR="00395B24" w:rsidRDefault="00395B24" w:rsidP="00663878">
            <w:pPr>
              <w:pStyle w:val="Normal1linespace"/>
              <w:widowControl w:val="0"/>
              <w:jc w:val="left"/>
            </w:pPr>
          </w:p>
        </w:tc>
        <w:tc>
          <w:tcPr>
            <w:tcW w:w="5990" w:type="dxa"/>
            <w:shd w:val="clear" w:color="auto" w:fill="auto"/>
          </w:tcPr>
          <w:p w14:paraId="4DCF9165" w14:textId="77777777" w:rsidR="00395B24" w:rsidRDefault="00395B24" w:rsidP="00663878">
            <w:pPr>
              <w:pStyle w:val="Normal1linespace"/>
              <w:widowControl w:val="0"/>
              <w:jc w:val="left"/>
            </w:pPr>
          </w:p>
        </w:tc>
      </w:tr>
      <w:tr w:rsidR="00395B24" w14:paraId="75C2EAC9" w14:textId="77777777" w:rsidTr="003F546F">
        <w:tc>
          <w:tcPr>
            <w:tcW w:w="3083" w:type="dxa"/>
            <w:shd w:val="clear" w:color="auto" w:fill="auto"/>
          </w:tcPr>
          <w:p w14:paraId="1F974524" w14:textId="77777777" w:rsidR="00395B24" w:rsidRDefault="002C7385" w:rsidP="00663878">
            <w:pPr>
              <w:pStyle w:val="Normal1linespace"/>
              <w:widowControl w:val="0"/>
              <w:jc w:val="left"/>
            </w:pPr>
            <w:r>
              <w:t>Cases cited:</w:t>
            </w:r>
          </w:p>
        </w:tc>
        <w:tc>
          <w:tcPr>
            <w:tcW w:w="5990" w:type="dxa"/>
            <w:shd w:val="clear" w:color="auto" w:fill="auto"/>
          </w:tcPr>
          <w:p w14:paraId="094449B4" w14:textId="77777777" w:rsidR="000764DF" w:rsidRPr="000764DF" w:rsidRDefault="000764DF" w:rsidP="000764DF">
            <w:pPr>
              <w:pStyle w:val="CasesLegislationAppealFrom"/>
              <w:spacing w:after="60"/>
            </w:pPr>
            <w:bookmarkStart w:id="3" w:name="Cases_Cited"/>
            <w:r w:rsidRPr="000764DF">
              <w:rPr>
                <w:bCs/>
                <w:i/>
                <w:iCs/>
              </w:rPr>
              <w:t>AIO21</w:t>
            </w:r>
            <w:r w:rsidRPr="000764DF">
              <w:rPr>
                <w:i/>
                <w:iCs/>
              </w:rPr>
              <w:t xml:space="preserve"> v Minister for Immigration, Citizenship, Migrant Services and Multicultural Affairs</w:t>
            </w:r>
            <w:r w:rsidRPr="000764DF">
              <w:t xml:space="preserve"> [2022] FCAFC 114</w:t>
            </w:r>
          </w:p>
          <w:p w14:paraId="1BCC26C8" w14:textId="77777777" w:rsidR="000764DF" w:rsidRPr="000764DF" w:rsidRDefault="000764DF" w:rsidP="000764DF">
            <w:pPr>
              <w:pStyle w:val="CasesLegislationAppealFrom"/>
              <w:spacing w:after="60"/>
            </w:pPr>
            <w:r w:rsidRPr="000764DF">
              <w:rPr>
                <w:i/>
                <w:iCs/>
              </w:rPr>
              <w:t>BC v Minister for Immigration and Multicultural and Indigenous Affairs</w:t>
            </w:r>
            <w:r w:rsidRPr="000764DF">
              <w:t xml:space="preserve"> [2001] FCA 1669; 67 ALD 60</w:t>
            </w:r>
          </w:p>
          <w:p w14:paraId="01F87677" w14:textId="77777777" w:rsidR="000764DF" w:rsidRPr="000764DF" w:rsidRDefault="000764DF" w:rsidP="000764DF">
            <w:pPr>
              <w:pStyle w:val="CasesLegislationAppealFrom"/>
              <w:spacing w:after="60"/>
            </w:pPr>
            <w:proofErr w:type="spellStart"/>
            <w:r w:rsidRPr="000764DF">
              <w:rPr>
                <w:i/>
                <w:iCs/>
              </w:rPr>
              <w:t>Champerslife</w:t>
            </w:r>
            <w:proofErr w:type="spellEnd"/>
            <w:r w:rsidRPr="000764DF">
              <w:rPr>
                <w:i/>
                <w:iCs/>
              </w:rPr>
              <w:t xml:space="preserve"> Pty Ltd v </w:t>
            </w:r>
            <w:proofErr w:type="spellStart"/>
            <w:r w:rsidRPr="000764DF">
              <w:rPr>
                <w:i/>
                <w:iCs/>
              </w:rPr>
              <w:t>Manojlovski</w:t>
            </w:r>
            <w:proofErr w:type="spellEnd"/>
            <w:r w:rsidRPr="000764DF">
              <w:t xml:space="preserve"> [2010] NSWCA 33; 75 </w:t>
            </w:r>
            <w:r w:rsidRPr="000764DF">
              <w:lastRenderedPageBreak/>
              <w:t>NSWLR 245</w:t>
            </w:r>
          </w:p>
          <w:p w14:paraId="33E5625D" w14:textId="77777777" w:rsidR="000764DF" w:rsidRPr="000764DF" w:rsidRDefault="000764DF" w:rsidP="000764DF">
            <w:pPr>
              <w:pStyle w:val="CasesLegislationAppealFrom"/>
              <w:spacing w:after="60"/>
            </w:pPr>
            <w:r w:rsidRPr="000764DF">
              <w:rPr>
                <w:i/>
                <w:iCs/>
              </w:rPr>
              <w:t>Clayton v Bant</w:t>
            </w:r>
            <w:r w:rsidRPr="000764DF">
              <w:t xml:space="preserve"> [2020] HCA 44; 272 CLR 1</w:t>
            </w:r>
          </w:p>
          <w:p w14:paraId="01FB46EF" w14:textId="77777777" w:rsidR="000764DF" w:rsidRPr="000764DF" w:rsidRDefault="000764DF" w:rsidP="000764DF">
            <w:pPr>
              <w:pStyle w:val="CasesLegislationAppealFrom"/>
              <w:spacing w:after="60"/>
            </w:pPr>
            <w:r w:rsidRPr="000764DF">
              <w:rPr>
                <w:bCs/>
                <w:i/>
                <w:iCs/>
              </w:rPr>
              <w:t>EPL20</w:t>
            </w:r>
            <w:r w:rsidRPr="000764DF">
              <w:rPr>
                <w:i/>
                <w:iCs/>
              </w:rPr>
              <w:t xml:space="preserve"> v Minister for Immigration, Citizenship</w:t>
            </w:r>
            <w:r w:rsidRPr="000764DF">
              <w:t xml:space="preserve">, </w:t>
            </w:r>
            <w:r w:rsidRPr="000764DF">
              <w:rPr>
                <w:i/>
                <w:iCs/>
              </w:rPr>
              <w:t>Migrant Services and Multicultural Affairs</w:t>
            </w:r>
            <w:r w:rsidRPr="000764DF">
              <w:t xml:space="preserve"> [2021] FCAFC 173; 288 FCR 158</w:t>
            </w:r>
          </w:p>
          <w:p w14:paraId="1FDCEB55" w14:textId="77777777" w:rsidR="000764DF" w:rsidRPr="000764DF" w:rsidRDefault="000764DF" w:rsidP="000764DF">
            <w:pPr>
              <w:pStyle w:val="CasesLegislationAppealFrom"/>
              <w:spacing w:after="60"/>
            </w:pPr>
            <w:r w:rsidRPr="000764DF">
              <w:rPr>
                <w:bCs/>
                <w:i/>
                <w:iCs/>
              </w:rPr>
              <w:t>EXT20</w:t>
            </w:r>
            <w:r w:rsidRPr="000764DF">
              <w:rPr>
                <w:i/>
                <w:iCs/>
              </w:rPr>
              <w:t xml:space="preserve"> v Minister for Home Affairs</w:t>
            </w:r>
            <w:r w:rsidRPr="000764DF">
              <w:t xml:space="preserve"> [2022] FCAFC 72</w:t>
            </w:r>
          </w:p>
          <w:p w14:paraId="793CF1AC" w14:textId="77777777" w:rsidR="000764DF" w:rsidRPr="000764DF" w:rsidRDefault="000764DF" w:rsidP="000764DF">
            <w:pPr>
              <w:pStyle w:val="CasesLegislationAppealFrom"/>
              <w:spacing w:after="60"/>
            </w:pPr>
            <w:r w:rsidRPr="000764DF">
              <w:rPr>
                <w:bCs/>
                <w:i/>
                <w:iCs/>
              </w:rPr>
              <w:t>Hossain</w:t>
            </w:r>
            <w:r w:rsidRPr="000764DF">
              <w:rPr>
                <w:i/>
                <w:iCs/>
              </w:rPr>
              <w:t xml:space="preserve"> v Minister for Immigration and Border Protection </w:t>
            </w:r>
            <w:r w:rsidRPr="000764DF">
              <w:t>[2018] HCA 34; 264 CLR 123</w:t>
            </w:r>
          </w:p>
          <w:p w14:paraId="32104381" w14:textId="77777777" w:rsidR="000764DF" w:rsidRPr="000764DF" w:rsidRDefault="000764DF" w:rsidP="000764DF">
            <w:pPr>
              <w:pStyle w:val="CasesLegislationAppealFrom"/>
              <w:spacing w:after="60"/>
              <w:rPr>
                <w:lang w:val="en-GB" w:eastAsia="en-AU"/>
              </w:rPr>
            </w:pPr>
            <w:r w:rsidRPr="000764DF">
              <w:rPr>
                <w:bCs/>
                <w:i/>
                <w:iCs/>
                <w:lang w:val="en-GB" w:eastAsia="en-AU"/>
              </w:rPr>
              <w:t>JM</w:t>
            </w:r>
            <w:r w:rsidRPr="000764DF">
              <w:rPr>
                <w:i/>
                <w:iCs/>
                <w:lang w:val="en-GB" w:eastAsia="en-AU"/>
              </w:rPr>
              <w:t> v R</w:t>
            </w:r>
            <w:r w:rsidRPr="000764DF">
              <w:rPr>
                <w:lang w:val="en-GB" w:eastAsia="en-AU"/>
              </w:rPr>
              <w:t> [2014] NSWCCA 297; 246 A Crim R 528</w:t>
            </w:r>
          </w:p>
          <w:p w14:paraId="34FA749F" w14:textId="3FC33247" w:rsidR="000764DF" w:rsidRPr="000764DF" w:rsidRDefault="000764DF" w:rsidP="000764DF">
            <w:pPr>
              <w:pStyle w:val="CasesLegislationAppealFrom"/>
              <w:spacing w:after="60"/>
            </w:pPr>
            <w:r w:rsidRPr="000764DF">
              <w:rPr>
                <w:i/>
                <w:iCs/>
              </w:rPr>
              <w:t xml:space="preserve">Minister for Immigration, Citizenship, Migrant Services and Multicultural Affairs v </w:t>
            </w:r>
            <w:proofErr w:type="spellStart"/>
            <w:r w:rsidRPr="000764DF">
              <w:rPr>
                <w:i/>
                <w:iCs/>
              </w:rPr>
              <w:t>Darnia</w:t>
            </w:r>
            <w:proofErr w:type="spellEnd"/>
            <w:r w:rsidRPr="000764DF">
              <w:rPr>
                <w:i/>
                <w:iCs/>
              </w:rPr>
              <w:t>-Wilson</w:t>
            </w:r>
            <w:r w:rsidRPr="000764DF">
              <w:t xml:space="preserve"> [2022] FCAFC 28</w:t>
            </w:r>
            <w:r w:rsidR="006C486B">
              <w:t>; 289 FCR 72</w:t>
            </w:r>
          </w:p>
          <w:p w14:paraId="0758B98D" w14:textId="77777777" w:rsidR="000764DF" w:rsidRPr="000764DF" w:rsidRDefault="000764DF" w:rsidP="000764DF">
            <w:pPr>
              <w:pStyle w:val="CasesLegislationAppealFrom"/>
              <w:spacing w:after="60"/>
            </w:pPr>
            <w:r w:rsidRPr="000764DF">
              <w:rPr>
                <w:i/>
                <w:iCs/>
              </w:rPr>
              <w:t xml:space="preserve">Minister for Immigration and Border Protection v </w:t>
            </w:r>
            <w:r w:rsidRPr="000764DF">
              <w:rPr>
                <w:bCs/>
                <w:i/>
                <w:iCs/>
              </w:rPr>
              <w:t>EFX17</w:t>
            </w:r>
            <w:r w:rsidRPr="000764DF">
              <w:t xml:space="preserve"> [2021] HCA 9; 271 CLR 112</w:t>
            </w:r>
          </w:p>
          <w:p w14:paraId="71D31C21" w14:textId="77777777" w:rsidR="000764DF" w:rsidRPr="000764DF" w:rsidRDefault="000764DF" w:rsidP="000764DF">
            <w:pPr>
              <w:pStyle w:val="CasesLegislationAppealFrom"/>
              <w:spacing w:after="60"/>
            </w:pPr>
            <w:r w:rsidRPr="000764DF">
              <w:rPr>
                <w:i/>
                <w:iCs/>
              </w:rPr>
              <w:t xml:space="preserve">Minister for Immigration and Citizenship v </w:t>
            </w:r>
            <w:r w:rsidRPr="000764DF">
              <w:rPr>
                <w:bCs/>
                <w:i/>
                <w:iCs/>
              </w:rPr>
              <w:t xml:space="preserve">SZIZO </w:t>
            </w:r>
            <w:r w:rsidRPr="000764DF">
              <w:t>[2009] HCA 37; 238 CLR 627</w:t>
            </w:r>
          </w:p>
          <w:p w14:paraId="4AEB09E2" w14:textId="77777777" w:rsidR="000764DF" w:rsidRPr="000764DF" w:rsidRDefault="000764DF" w:rsidP="000764DF">
            <w:pPr>
              <w:pStyle w:val="CasesLegislationAppealFrom"/>
              <w:spacing w:after="60"/>
            </w:pPr>
            <w:r w:rsidRPr="000764DF">
              <w:rPr>
                <w:i/>
                <w:iCs/>
              </w:rPr>
              <w:t xml:space="preserve">Minister for Immigration, Citizenship, Migrant Services and Multicultural Affairs v </w:t>
            </w:r>
            <w:r w:rsidRPr="000764DF">
              <w:rPr>
                <w:bCs/>
                <w:i/>
                <w:iCs/>
              </w:rPr>
              <w:t>Moorcroft</w:t>
            </w:r>
            <w:r w:rsidRPr="000764DF">
              <w:t xml:space="preserve"> [2021] HCA 19; 273 CLR 21</w:t>
            </w:r>
          </w:p>
          <w:p w14:paraId="35E71285" w14:textId="77777777" w:rsidR="000764DF" w:rsidRPr="000764DF" w:rsidRDefault="000764DF" w:rsidP="000764DF">
            <w:pPr>
              <w:pStyle w:val="CasesLegislationAppealFrom"/>
              <w:spacing w:after="60"/>
            </w:pPr>
            <w:r w:rsidRPr="000764DF">
              <w:rPr>
                <w:bCs/>
                <w:i/>
                <w:iCs/>
              </w:rPr>
              <w:t>Montgomery</w:t>
            </w:r>
            <w:r w:rsidRPr="000764DF">
              <w:rPr>
                <w:i/>
                <w:iCs/>
              </w:rPr>
              <w:t xml:space="preserve"> v Minister for Immigration, Citizenship, Migrant Services and Multicultural Affairs </w:t>
            </w:r>
            <w:r w:rsidRPr="000764DF">
              <w:t>[2021] FCA 1423</w:t>
            </w:r>
          </w:p>
          <w:p w14:paraId="7CBE55F9" w14:textId="77777777" w:rsidR="000764DF" w:rsidRPr="000764DF" w:rsidRDefault="000764DF" w:rsidP="000764DF">
            <w:pPr>
              <w:pStyle w:val="CasesLegislationAppealFrom"/>
              <w:spacing w:after="60"/>
            </w:pPr>
            <w:r w:rsidRPr="000764DF">
              <w:rPr>
                <w:i/>
                <w:iCs/>
              </w:rPr>
              <w:t xml:space="preserve">New South Wales v </w:t>
            </w:r>
            <w:proofErr w:type="spellStart"/>
            <w:r w:rsidRPr="000764DF">
              <w:rPr>
                <w:bCs/>
                <w:i/>
                <w:iCs/>
              </w:rPr>
              <w:t>Kable</w:t>
            </w:r>
            <w:proofErr w:type="spellEnd"/>
            <w:r w:rsidRPr="000764DF">
              <w:t xml:space="preserve"> [2013] HCA 26; 252 CLR 118</w:t>
            </w:r>
          </w:p>
          <w:p w14:paraId="2CF5339C" w14:textId="77777777" w:rsidR="000764DF" w:rsidRPr="000764DF" w:rsidRDefault="000764DF" w:rsidP="000764DF">
            <w:pPr>
              <w:pStyle w:val="CasesLegislationAppealFrom"/>
              <w:spacing w:after="60"/>
            </w:pPr>
            <w:r w:rsidRPr="000764DF">
              <w:rPr>
                <w:i/>
                <w:iCs/>
              </w:rPr>
              <w:t xml:space="preserve">Pearson v Minister for Immigration, Citizenship, Migrant Services and Multicultural Affairs </w:t>
            </w:r>
            <w:r w:rsidRPr="000764DF">
              <w:t>[2021] FCA 825</w:t>
            </w:r>
          </w:p>
          <w:p w14:paraId="55C9AEC7" w14:textId="77777777" w:rsidR="000764DF" w:rsidRPr="000764DF" w:rsidRDefault="000764DF" w:rsidP="000764DF">
            <w:pPr>
              <w:pStyle w:val="CasesLegislationAppealFrom"/>
              <w:spacing w:after="60"/>
            </w:pPr>
            <w:r w:rsidRPr="000764DF">
              <w:rPr>
                <w:i/>
                <w:iCs/>
              </w:rPr>
              <w:t xml:space="preserve">Pearson v Minister for Immigration, Citizenship, Migrant Services and Multicultural Affairs </w:t>
            </w:r>
            <w:r w:rsidRPr="000764DF">
              <w:t>[2022] FCAFC 22</w:t>
            </w:r>
          </w:p>
          <w:p w14:paraId="3542F098" w14:textId="77777777" w:rsidR="000764DF" w:rsidRPr="000764DF" w:rsidRDefault="000764DF" w:rsidP="000764DF">
            <w:pPr>
              <w:pStyle w:val="CasesLegislationAppealFrom"/>
              <w:spacing w:after="60"/>
            </w:pPr>
            <w:r w:rsidRPr="000764DF">
              <w:rPr>
                <w:i/>
                <w:iCs/>
              </w:rPr>
              <w:t xml:space="preserve">Port of Melbourne Authority v </w:t>
            </w:r>
            <w:proofErr w:type="spellStart"/>
            <w:r w:rsidRPr="000764DF">
              <w:rPr>
                <w:i/>
                <w:iCs/>
              </w:rPr>
              <w:t>Anshun</w:t>
            </w:r>
            <w:proofErr w:type="spellEnd"/>
            <w:r w:rsidRPr="000764DF">
              <w:rPr>
                <w:i/>
                <w:iCs/>
              </w:rPr>
              <w:t xml:space="preserve"> Pty Ltd</w:t>
            </w:r>
            <w:r w:rsidRPr="000764DF">
              <w:t xml:space="preserve"> (1981) 147 CLR 589</w:t>
            </w:r>
          </w:p>
          <w:p w14:paraId="6414CB10" w14:textId="77777777" w:rsidR="000764DF" w:rsidRPr="000764DF" w:rsidRDefault="000764DF" w:rsidP="000764DF">
            <w:pPr>
              <w:pStyle w:val="CasesLegislationAppealFrom"/>
              <w:spacing w:after="60"/>
            </w:pPr>
            <w:r w:rsidRPr="000764DF">
              <w:rPr>
                <w:bCs/>
                <w:i/>
                <w:iCs/>
              </w:rPr>
              <w:t xml:space="preserve">Project Blue Sky </w:t>
            </w:r>
            <w:proofErr w:type="spellStart"/>
            <w:r w:rsidRPr="000764DF">
              <w:rPr>
                <w:i/>
                <w:iCs/>
              </w:rPr>
              <w:t>Inc</w:t>
            </w:r>
            <w:proofErr w:type="spellEnd"/>
            <w:r w:rsidRPr="000764DF">
              <w:rPr>
                <w:i/>
                <w:iCs/>
              </w:rPr>
              <w:t xml:space="preserve"> v Australian Broadcasting Authority</w:t>
            </w:r>
            <w:r w:rsidRPr="000764DF">
              <w:t xml:space="preserve"> [1998] HCA 28; 194 CLR 355</w:t>
            </w:r>
          </w:p>
          <w:p w14:paraId="0CBF0878" w14:textId="77777777" w:rsidR="000764DF" w:rsidRPr="000764DF" w:rsidRDefault="000764DF" w:rsidP="000764DF">
            <w:pPr>
              <w:pStyle w:val="CasesLegislationAppealFrom"/>
              <w:spacing w:after="60"/>
            </w:pPr>
            <w:proofErr w:type="spellStart"/>
            <w:r w:rsidRPr="000764DF">
              <w:rPr>
                <w:bCs/>
                <w:i/>
                <w:iCs/>
              </w:rPr>
              <w:t>Sillars</w:t>
            </w:r>
            <w:proofErr w:type="spellEnd"/>
            <w:r w:rsidRPr="000764DF">
              <w:rPr>
                <w:bCs/>
                <w:i/>
                <w:iCs/>
              </w:rPr>
              <w:t xml:space="preserve"> </w:t>
            </w:r>
            <w:r w:rsidRPr="000764DF">
              <w:rPr>
                <w:i/>
                <w:iCs/>
              </w:rPr>
              <w:t>v Minister for Immigration, Citizenship</w:t>
            </w:r>
            <w:r w:rsidRPr="000764DF">
              <w:t xml:space="preserve">, </w:t>
            </w:r>
            <w:r w:rsidRPr="000764DF">
              <w:rPr>
                <w:i/>
                <w:iCs/>
              </w:rPr>
              <w:t>Migrant Services and Multicultural Affairs</w:t>
            </w:r>
            <w:r w:rsidRPr="000764DF">
              <w:t xml:space="preserve"> [2021] FCAFC 174; 288 FCR 180</w:t>
            </w:r>
          </w:p>
          <w:p w14:paraId="17B4AD67" w14:textId="77777777" w:rsidR="000764DF" w:rsidRPr="000764DF" w:rsidRDefault="000764DF" w:rsidP="000764DF">
            <w:pPr>
              <w:pStyle w:val="CasesLegislationAppealFrom"/>
              <w:spacing w:after="60"/>
            </w:pPr>
            <w:r w:rsidRPr="000764DF">
              <w:rPr>
                <w:bCs/>
                <w:i/>
                <w:iCs/>
              </w:rPr>
              <w:t>Stewart</w:t>
            </w:r>
            <w:r w:rsidRPr="000764DF">
              <w:rPr>
                <w:i/>
                <w:iCs/>
              </w:rPr>
              <w:t xml:space="preserve"> v Minister for Immigration, Citizenship</w:t>
            </w:r>
            <w:r w:rsidRPr="000764DF">
              <w:t xml:space="preserve">, </w:t>
            </w:r>
            <w:r w:rsidRPr="000764DF">
              <w:rPr>
                <w:i/>
                <w:iCs/>
              </w:rPr>
              <w:t>Migrant Services and Multicultural Affairs</w:t>
            </w:r>
            <w:r w:rsidRPr="000764DF">
              <w:t xml:space="preserve"> [2020] FCAFC 196; 281 FCR 578</w:t>
            </w:r>
          </w:p>
          <w:p w14:paraId="096CF8AD" w14:textId="77777777" w:rsidR="000764DF" w:rsidRPr="000764DF" w:rsidRDefault="000764DF" w:rsidP="000764DF">
            <w:pPr>
              <w:pStyle w:val="CasesLegislationAppealFrom"/>
              <w:spacing w:after="60"/>
            </w:pPr>
            <w:proofErr w:type="spellStart"/>
            <w:r w:rsidRPr="000764DF">
              <w:rPr>
                <w:i/>
                <w:iCs/>
              </w:rPr>
              <w:t>Tapiki</w:t>
            </w:r>
            <w:proofErr w:type="spellEnd"/>
            <w:r w:rsidRPr="000764DF">
              <w:rPr>
                <w:i/>
                <w:iCs/>
              </w:rPr>
              <w:t xml:space="preserve"> v Minister for Immigration, Citizenship, Migrant Services and Multicultural Affairs</w:t>
            </w:r>
            <w:r w:rsidRPr="000764DF">
              <w:t xml:space="preserve"> [2022] FCA 391</w:t>
            </w:r>
          </w:p>
          <w:p w14:paraId="348CB76D" w14:textId="77777777" w:rsidR="000764DF" w:rsidRPr="000764DF" w:rsidRDefault="000764DF" w:rsidP="000764DF">
            <w:pPr>
              <w:pStyle w:val="CasesLegislationAppealFrom"/>
              <w:spacing w:after="60"/>
            </w:pPr>
            <w:proofErr w:type="spellStart"/>
            <w:r w:rsidRPr="000764DF">
              <w:rPr>
                <w:i/>
                <w:iCs/>
              </w:rPr>
              <w:t>Timbercorp</w:t>
            </w:r>
            <w:proofErr w:type="spellEnd"/>
            <w:r w:rsidRPr="000764DF">
              <w:rPr>
                <w:i/>
                <w:iCs/>
              </w:rPr>
              <w:t xml:space="preserve"> Finance Pty Ltd (in </w:t>
            </w:r>
            <w:proofErr w:type="spellStart"/>
            <w:r w:rsidRPr="000764DF">
              <w:rPr>
                <w:i/>
                <w:iCs/>
              </w:rPr>
              <w:t>liq</w:t>
            </w:r>
            <w:proofErr w:type="spellEnd"/>
            <w:r w:rsidRPr="000764DF">
              <w:rPr>
                <w:i/>
                <w:iCs/>
              </w:rPr>
              <w:t>) v Collins</w:t>
            </w:r>
            <w:r w:rsidRPr="000764DF">
              <w:t xml:space="preserve"> [2016] HCA 44 ; 259 CLR 212</w:t>
            </w:r>
          </w:p>
          <w:p w14:paraId="15659B61" w14:textId="77777777" w:rsidR="000764DF" w:rsidRPr="000764DF" w:rsidRDefault="000764DF" w:rsidP="000764DF">
            <w:pPr>
              <w:pStyle w:val="CasesLegislationAppealFrom"/>
              <w:spacing w:after="60"/>
            </w:pPr>
            <w:r w:rsidRPr="000764DF">
              <w:rPr>
                <w:i/>
                <w:iCs/>
              </w:rPr>
              <w:t>Vaughan v The Queen</w:t>
            </w:r>
            <w:r w:rsidRPr="000764DF">
              <w:t xml:space="preserve"> [2020] NSWCCA 3</w:t>
            </w:r>
          </w:p>
          <w:p w14:paraId="7606965A" w14:textId="77777777" w:rsidR="000764DF" w:rsidRPr="000764DF" w:rsidRDefault="000764DF" w:rsidP="000764DF">
            <w:pPr>
              <w:pStyle w:val="CasesLegislationAppealFrom"/>
              <w:spacing w:after="60"/>
            </w:pPr>
            <w:r w:rsidRPr="000764DF">
              <w:rPr>
                <w:i/>
              </w:rPr>
              <w:t xml:space="preserve">XJLR v Minister for Immigration, Citizenship, Migrant Service and Multicultural Affairs </w:t>
            </w:r>
            <w:r w:rsidRPr="000764DF">
              <w:t>[2022] FCAFC 6; 289 FCR 256</w:t>
            </w:r>
            <w:bookmarkEnd w:id="3"/>
          </w:p>
        </w:tc>
      </w:tr>
      <w:tr w:rsidR="00757570" w14:paraId="457D565E" w14:textId="77777777" w:rsidTr="003F546F">
        <w:tc>
          <w:tcPr>
            <w:tcW w:w="3083" w:type="dxa"/>
            <w:shd w:val="clear" w:color="auto" w:fill="auto"/>
          </w:tcPr>
          <w:p w14:paraId="51B61708" w14:textId="77777777" w:rsidR="00757570" w:rsidRDefault="00757570" w:rsidP="00E43B55">
            <w:pPr>
              <w:pStyle w:val="Normal1linespace"/>
              <w:widowControl w:val="0"/>
            </w:pPr>
          </w:p>
        </w:tc>
        <w:tc>
          <w:tcPr>
            <w:tcW w:w="5990" w:type="dxa"/>
            <w:shd w:val="clear" w:color="auto" w:fill="auto"/>
          </w:tcPr>
          <w:p w14:paraId="519E6B0B" w14:textId="77777777" w:rsidR="00757570" w:rsidRDefault="00757570" w:rsidP="00E43B55">
            <w:pPr>
              <w:pStyle w:val="Normal1linespace"/>
              <w:widowControl w:val="0"/>
              <w:jc w:val="left"/>
            </w:pPr>
          </w:p>
        </w:tc>
      </w:tr>
      <w:tr w:rsidR="00757570" w14:paraId="6169DEDE" w14:textId="77777777" w:rsidTr="003F546F">
        <w:tc>
          <w:tcPr>
            <w:tcW w:w="3083" w:type="dxa"/>
            <w:shd w:val="clear" w:color="auto" w:fill="auto"/>
          </w:tcPr>
          <w:p w14:paraId="74673806" w14:textId="77777777" w:rsidR="00757570" w:rsidRDefault="00757570" w:rsidP="00501A12">
            <w:pPr>
              <w:pStyle w:val="Normal1linespace"/>
              <w:widowControl w:val="0"/>
            </w:pPr>
            <w:r>
              <w:t>Division:</w:t>
            </w:r>
          </w:p>
        </w:tc>
        <w:tc>
          <w:tcPr>
            <w:tcW w:w="5990" w:type="dxa"/>
            <w:shd w:val="clear" w:color="auto" w:fill="auto"/>
          </w:tcPr>
          <w:p w14:paraId="36DD4341" w14:textId="77777777" w:rsidR="00757570" w:rsidRPr="00F17599" w:rsidRDefault="000E4CCC" w:rsidP="00501A12">
            <w:pPr>
              <w:pStyle w:val="Normal1linespace"/>
              <w:widowControl w:val="0"/>
              <w:jc w:val="left"/>
            </w:pPr>
            <w:r>
              <w:fldChar w:fldCharType="begin"/>
            </w:r>
            <w:r>
              <w:instrText xml:space="preserve"> DOCPROPERTY  Division </w:instrText>
            </w:r>
            <w:r>
              <w:fldChar w:fldCharType="separate"/>
            </w:r>
            <w:r w:rsidR="00757570">
              <w:t>General Division</w:t>
            </w:r>
            <w:r>
              <w:fldChar w:fldCharType="end"/>
            </w:r>
          </w:p>
        </w:tc>
      </w:tr>
      <w:tr w:rsidR="00757570" w14:paraId="4B2459B1" w14:textId="77777777" w:rsidTr="003F546F">
        <w:tc>
          <w:tcPr>
            <w:tcW w:w="3083" w:type="dxa"/>
            <w:shd w:val="clear" w:color="auto" w:fill="auto"/>
          </w:tcPr>
          <w:p w14:paraId="3597C4B7" w14:textId="77777777" w:rsidR="00757570" w:rsidRDefault="00757570" w:rsidP="00501A12">
            <w:pPr>
              <w:pStyle w:val="Normal1linespace"/>
              <w:widowControl w:val="0"/>
            </w:pPr>
            <w:bookmarkStart w:id="4" w:name="Registry_rows" w:colFirst="0" w:colLast="1"/>
          </w:p>
        </w:tc>
        <w:tc>
          <w:tcPr>
            <w:tcW w:w="5990" w:type="dxa"/>
            <w:shd w:val="clear" w:color="auto" w:fill="auto"/>
          </w:tcPr>
          <w:p w14:paraId="1A6260B2" w14:textId="77777777" w:rsidR="00757570" w:rsidRDefault="00757570" w:rsidP="00501A12">
            <w:pPr>
              <w:pStyle w:val="Normal1linespace"/>
              <w:widowControl w:val="0"/>
              <w:jc w:val="left"/>
            </w:pPr>
          </w:p>
        </w:tc>
      </w:tr>
      <w:tr w:rsidR="00757570" w14:paraId="12517173" w14:textId="77777777" w:rsidTr="003F546F">
        <w:tc>
          <w:tcPr>
            <w:tcW w:w="3083" w:type="dxa"/>
            <w:shd w:val="clear" w:color="auto" w:fill="auto"/>
          </w:tcPr>
          <w:p w14:paraId="4C91AAA6" w14:textId="77777777" w:rsidR="00757570" w:rsidRDefault="00757570" w:rsidP="00501A12">
            <w:pPr>
              <w:pStyle w:val="Normal1linespace"/>
              <w:widowControl w:val="0"/>
            </w:pPr>
            <w:r>
              <w:t>Registry:</w:t>
            </w:r>
          </w:p>
        </w:tc>
        <w:tc>
          <w:tcPr>
            <w:tcW w:w="5990" w:type="dxa"/>
            <w:shd w:val="clear" w:color="auto" w:fill="auto"/>
          </w:tcPr>
          <w:p w14:paraId="0B4C89DC" w14:textId="77777777" w:rsidR="00757570" w:rsidRPr="00F17599" w:rsidRDefault="000E4CCC" w:rsidP="00501A12">
            <w:pPr>
              <w:pStyle w:val="Normal1linespace"/>
              <w:widowControl w:val="0"/>
              <w:jc w:val="left"/>
            </w:pPr>
            <w:r>
              <w:fldChar w:fldCharType="begin"/>
            </w:r>
            <w:r>
              <w:instrText xml:space="preserve"> DOCPROPERTY  Registry </w:instrText>
            </w:r>
            <w:r>
              <w:fldChar w:fldCharType="separate"/>
            </w:r>
            <w:r w:rsidR="00757570">
              <w:t>New South Wales</w:t>
            </w:r>
            <w:r>
              <w:fldChar w:fldCharType="end"/>
            </w:r>
          </w:p>
        </w:tc>
      </w:tr>
      <w:tr w:rsidR="00757570" w14:paraId="6BD2806E" w14:textId="77777777" w:rsidTr="003F546F">
        <w:tc>
          <w:tcPr>
            <w:tcW w:w="3083" w:type="dxa"/>
            <w:shd w:val="clear" w:color="auto" w:fill="auto"/>
          </w:tcPr>
          <w:p w14:paraId="597A08EA" w14:textId="77777777" w:rsidR="00757570" w:rsidRDefault="00757570" w:rsidP="00501A12">
            <w:pPr>
              <w:pStyle w:val="Normal1linespace"/>
              <w:widowControl w:val="0"/>
            </w:pPr>
            <w:bookmarkStart w:id="5" w:name="NPARow" w:colFirst="0" w:colLast="1"/>
            <w:bookmarkEnd w:id="4"/>
          </w:p>
        </w:tc>
        <w:tc>
          <w:tcPr>
            <w:tcW w:w="5990" w:type="dxa"/>
            <w:shd w:val="clear" w:color="auto" w:fill="auto"/>
          </w:tcPr>
          <w:p w14:paraId="39B4E56E" w14:textId="77777777" w:rsidR="00757570" w:rsidRPr="00F17599" w:rsidRDefault="00757570" w:rsidP="00501A12">
            <w:pPr>
              <w:pStyle w:val="Normal1linespace"/>
              <w:widowControl w:val="0"/>
              <w:jc w:val="left"/>
              <w:rPr>
                <w:b/>
              </w:rPr>
            </w:pPr>
          </w:p>
        </w:tc>
      </w:tr>
      <w:tr w:rsidR="00757570" w14:paraId="093D443E" w14:textId="77777777" w:rsidTr="003F546F">
        <w:tc>
          <w:tcPr>
            <w:tcW w:w="3083" w:type="dxa"/>
            <w:shd w:val="clear" w:color="auto" w:fill="auto"/>
          </w:tcPr>
          <w:p w14:paraId="0595E324" w14:textId="77777777" w:rsidR="00757570" w:rsidRDefault="00757570" w:rsidP="00501A12">
            <w:pPr>
              <w:pStyle w:val="Normal1linespace"/>
              <w:widowControl w:val="0"/>
            </w:pPr>
            <w:r>
              <w:t>National Practice Area:</w:t>
            </w:r>
          </w:p>
        </w:tc>
        <w:tc>
          <w:tcPr>
            <w:tcW w:w="5990" w:type="dxa"/>
            <w:shd w:val="clear" w:color="auto" w:fill="auto"/>
          </w:tcPr>
          <w:p w14:paraId="62379433" w14:textId="77777777" w:rsidR="00757570" w:rsidRPr="00F17599" w:rsidRDefault="000E4CCC" w:rsidP="00E43B55">
            <w:pPr>
              <w:pStyle w:val="Normal1linespace"/>
              <w:widowControl w:val="0"/>
              <w:jc w:val="left"/>
              <w:rPr>
                <w:b/>
              </w:rPr>
            </w:pPr>
            <w:r>
              <w:fldChar w:fldCharType="begin"/>
            </w:r>
            <w:r>
              <w:instrText xml:space="preserve"> DOCPROPERTY  "Practice Area"  \* MERGEFORMAT </w:instrText>
            </w:r>
            <w:r>
              <w:fldChar w:fldCharType="separate"/>
            </w:r>
            <w:r w:rsidR="00757570">
              <w:t>Administrative and Constitutional Law and Human Rights</w:t>
            </w:r>
            <w:r>
              <w:fldChar w:fldCharType="end"/>
            </w:r>
          </w:p>
        </w:tc>
      </w:tr>
      <w:bookmarkEnd w:id="5"/>
      <w:tr w:rsidR="00757570" w14:paraId="4E26CC81" w14:textId="77777777" w:rsidTr="003F546F">
        <w:tc>
          <w:tcPr>
            <w:tcW w:w="3083" w:type="dxa"/>
            <w:shd w:val="clear" w:color="auto" w:fill="auto"/>
          </w:tcPr>
          <w:p w14:paraId="0E6FBE97" w14:textId="77777777" w:rsidR="00757570" w:rsidRDefault="00757570" w:rsidP="00501A12">
            <w:pPr>
              <w:pStyle w:val="Normal1linespace"/>
              <w:widowControl w:val="0"/>
            </w:pPr>
          </w:p>
        </w:tc>
        <w:tc>
          <w:tcPr>
            <w:tcW w:w="5990" w:type="dxa"/>
            <w:shd w:val="clear" w:color="auto" w:fill="auto"/>
          </w:tcPr>
          <w:p w14:paraId="6FEF65F1" w14:textId="77777777" w:rsidR="00757570" w:rsidRDefault="00757570" w:rsidP="00501A12">
            <w:pPr>
              <w:pStyle w:val="Normal1linespace"/>
              <w:widowControl w:val="0"/>
              <w:jc w:val="left"/>
            </w:pPr>
          </w:p>
        </w:tc>
      </w:tr>
      <w:tr w:rsidR="00757570" w14:paraId="2EDE112E" w14:textId="77777777" w:rsidTr="003F546F">
        <w:tc>
          <w:tcPr>
            <w:tcW w:w="3083" w:type="dxa"/>
            <w:shd w:val="clear" w:color="auto" w:fill="auto"/>
          </w:tcPr>
          <w:p w14:paraId="418057BD" w14:textId="77777777" w:rsidR="00757570" w:rsidRDefault="00757570" w:rsidP="00501A12">
            <w:pPr>
              <w:pStyle w:val="Normal1linespace"/>
              <w:widowControl w:val="0"/>
            </w:pPr>
            <w:r>
              <w:t>Number of paragraphs:</w:t>
            </w:r>
          </w:p>
        </w:tc>
        <w:tc>
          <w:tcPr>
            <w:tcW w:w="5990" w:type="dxa"/>
            <w:shd w:val="clear" w:color="auto" w:fill="auto"/>
          </w:tcPr>
          <w:p w14:paraId="73B2D68F" w14:textId="77777777" w:rsidR="00757570" w:rsidRDefault="003F546F" w:rsidP="00501A12">
            <w:pPr>
              <w:pStyle w:val="Normal1linespace"/>
              <w:widowControl w:val="0"/>
              <w:jc w:val="left"/>
            </w:pPr>
            <w:bookmarkStart w:id="6" w:name="PlaceCategoryParagraphs"/>
            <w:r>
              <w:t>58</w:t>
            </w:r>
            <w:bookmarkEnd w:id="6"/>
          </w:p>
        </w:tc>
      </w:tr>
      <w:tr w:rsidR="00757570" w14:paraId="561D3141" w14:textId="77777777" w:rsidTr="003F546F">
        <w:tc>
          <w:tcPr>
            <w:tcW w:w="3083" w:type="dxa"/>
            <w:shd w:val="clear" w:color="auto" w:fill="auto"/>
          </w:tcPr>
          <w:p w14:paraId="1845D47A" w14:textId="77777777" w:rsidR="00757570" w:rsidRDefault="00757570" w:rsidP="00757570">
            <w:pPr>
              <w:pStyle w:val="Normal1linespace"/>
              <w:widowControl w:val="0"/>
              <w:jc w:val="left"/>
            </w:pPr>
          </w:p>
        </w:tc>
        <w:tc>
          <w:tcPr>
            <w:tcW w:w="5990" w:type="dxa"/>
            <w:shd w:val="clear" w:color="auto" w:fill="auto"/>
          </w:tcPr>
          <w:p w14:paraId="49F4F9BA" w14:textId="77777777" w:rsidR="00757570" w:rsidRDefault="00757570" w:rsidP="00757570">
            <w:pPr>
              <w:pStyle w:val="Normal1linespace"/>
              <w:widowControl w:val="0"/>
              <w:jc w:val="left"/>
            </w:pPr>
          </w:p>
        </w:tc>
      </w:tr>
      <w:tr w:rsidR="00757570" w14:paraId="7AE0135A" w14:textId="77777777" w:rsidTr="003F546F">
        <w:tc>
          <w:tcPr>
            <w:tcW w:w="3083" w:type="dxa"/>
            <w:shd w:val="clear" w:color="auto" w:fill="auto"/>
          </w:tcPr>
          <w:p w14:paraId="38F77EE7" w14:textId="77777777" w:rsidR="00757570" w:rsidRDefault="000764DF" w:rsidP="00757570">
            <w:pPr>
              <w:pStyle w:val="Normal1linespace"/>
              <w:widowControl w:val="0"/>
              <w:jc w:val="left"/>
            </w:pPr>
            <w:r>
              <w:t>Date of last submission</w:t>
            </w:r>
            <w:r w:rsidR="00757570">
              <w:t>s:</w:t>
            </w:r>
          </w:p>
        </w:tc>
        <w:tc>
          <w:tcPr>
            <w:tcW w:w="5990" w:type="dxa"/>
            <w:shd w:val="clear" w:color="auto" w:fill="auto"/>
          </w:tcPr>
          <w:p w14:paraId="09CC3A2A" w14:textId="77777777" w:rsidR="00757570" w:rsidRDefault="000764DF" w:rsidP="00757570">
            <w:pPr>
              <w:pStyle w:val="Normal1linespace"/>
              <w:widowControl w:val="0"/>
              <w:jc w:val="left"/>
            </w:pPr>
            <w:r>
              <w:t>2 December 2022</w:t>
            </w:r>
          </w:p>
        </w:tc>
      </w:tr>
      <w:tr w:rsidR="00757570" w14:paraId="5806463D" w14:textId="77777777" w:rsidTr="003F546F">
        <w:tc>
          <w:tcPr>
            <w:tcW w:w="3083" w:type="dxa"/>
            <w:shd w:val="clear" w:color="auto" w:fill="auto"/>
          </w:tcPr>
          <w:p w14:paraId="01536972" w14:textId="77777777" w:rsidR="00757570" w:rsidRDefault="00757570" w:rsidP="00757570">
            <w:pPr>
              <w:pStyle w:val="Normal1linespace"/>
              <w:widowControl w:val="0"/>
              <w:jc w:val="left"/>
            </w:pPr>
          </w:p>
        </w:tc>
        <w:tc>
          <w:tcPr>
            <w:tcW w:w="5990" w:type="dxa"/>
            <w:shd w:val="clear" w:color="auto" w:fill="auto"/>
          </w:tcPr>
          <w:p w14:paraId="7800F6BA" w14:textId="77777777" w:rsidR="00757570" w:rsidRDefault="00757570" w:rsidP="00757570">
            <w:pPr>
              <w:pStyle w:val="Normal1linespace"/>
              <w:widowControl w:val="0"/>
              <w:jc w:val="left"/>
            </w:pPr>
          </w:p>
        </w:tc>
      </w:tr>
      <w:tr w:rsidR="00757570" w14:paraId="6BCC3A8A" w14:textId="77777777" w:rsidTr="003F546F">
        <w:tc>
          <w:tcPr>
            <w:tcW w:w="3083" w:type="dxa"/>
            <w:shd w:val="clear" w:color="auto" w:fill="auto"/>
          </w:tcPr>
          <w:p w14:paraId="03C18388" w14:textId="77777777" w:rsidR="00757570" w:rsidRDefault="00757570" w:rsidP="00757570">
            <w:pPr>
              <w:pStyle w:val="Normal1linespace"/>
              <w:widowControl w:val="0"/>
              <w:jc w:val="left"/>
            </w:pPr>
            <w:bookmarkStart w:id="7" w:name="CounselDate" w:colFirst="0" w:colLast="2"/>
            <w:r w:rsidRPr="006A24E3">
              <w:t>Date of hearing:</w:t>
            </w:r>
          </w:p>
        </w:tc>
        <w:tc>
          <w:tcPr>
            <w:tcW w:w="5990" w:type="dxa"/>
            <w:shd w:val="clear" w:color="auto" w:fill="auto"/>
          </w:tcPr>
          <w:p w14:paraId="31DFA511" w14:textId="77777777" w:rsidR="00757570" w:rsidRDefault="000764DF" w:rsidP="00757570">
            <w:pPr>
              <w:pStyle w:val="Normal1linespace"/>
              <w:widowControl w:val="0"/>
              <w:jc w:val="left"/>
            </w:pPr>
            <w:r>
              <w:t>25 November 2022</w:t>
            </w:r>
          </w:p>
        </w:tc>
      </w:tr>
      <w:tr w:rsidR="00757570" w14:paraId="1830C15F" w14:textId="77777777" w:rsidTr="003F546F">
        <w:tc>
          <w:tcPr>
            <w:tcW w:w="3083" w:type="dxa"/>
            <w:shd w:val="clear" w:color="auto" w:fill="auto"/>
          </w:tcPr>
          <w:p w14:paraId="14EEB746" w14:textId="77777777" w:rsidR="00757570" w:rsidRDefault="00757570" w:rsidP="00757570">
            <w:pPr>
              <w:pStyle w:val="Normal1linespace"/>
              <w:widowControl w:val="0"/>
              <w:jc w:val="left"/>
            </w:pPr>
          </w:p>
        </w:tc>
        <w:tc>
          <w:tcPr>
            <w:tcW w:w="5990" w:type="dxa"/>
            <w:shd w:val="clear" w:color="auto" w:fill="auto"/>
          </w:tcPr>
          <w:p w14:paraId="24F9A4B7" w14:textId="77777777" w:rsidR="00757570" w:rsidRDefault="00757570" w:rsidP="00757570">
            <w:pPr>
              <w:pStyle w:val="Normal1linespace"/>
              <w:widowControl w:val="0"/>
              <w:jc w:val="left"/>
            </w:pPr>
          </w:p>
        </w:tc>
      </w:tr>
      <w:tr w:rsidR="003F546F" w14:paraId="79033BAD" w14:textId="77777777" w:rsidTr="003F546F">
        <w:tc>
          <w:tcPr>
            <w:tcW w:w="3083" w:type="dxa"/>
            <w:shd w:val="clear" w:color="auto" w:fill="auto"/>
          </w:tcPr>
          <w:p w14:paraId="21771887" w14:textId="77777777" w:rsidR="003F546F" w:rsidRDefault="003F546F" w:rsidP="003F546F">
            <w:pPr>
              <w:pStyle w:val="Normal1linespace"/>
              <w:widowControl w:val="0"/>
              <w:jc w:val="left"/>
            </w:pPr>
            <w:bookmarkStart w:id="8" w:name="Counsel" w:colFirst="0" w:colLast="2"/>
            <w:bookmarkEnd w:id="7"/>
            <w:r>
              <w:t>Counsel for the Applicant:</w:t>
            </w:r>
          </w:p>
        </w:tc>
        <w:tc>
          <w:tcPr>
            <w:tcW w:w="5990" w:type="dxa"/>
            <w:shd w:val="clear" w:color="auto" w:fill="auto"/>
          </w:tcPr>
          <w:p w14:paraId="70F4C3AA" w14:textId="77777777" w:rsidR="003F546F" w:rsidRDefault="003F546F" w:rsidP="003F546F">
            <w:pPr>
              <w:pStyle w:val="Normal1linespace"/>
              <w:widowControl w:val="0"/>
              <w:jc w:val="left"/>
            </w:pPr>
            <w:bookmarkStart w:id="9" w:name="AppCounsel"/>
            <w:bookmarkEnd w:id="9"/>
            <w:r>
              <w:t>Mr P Knowles SC</w:t>
            </w:r>
          </w:p>
        </w:tc>
      </w:tr>
      <w:tr w:rsidR="003F546F" w14:paraId="52E05094" w14:textId="77777777" w:rsidTr="003F546F">
        <w:tc>
          <w:tcPr>
            <w:tcW w:w="3083" w:type="dxa"/>
            <w:shd w:val="clear" w:color="auto" w:fill="auto"/>
          </w:tcPr>
          <w:p w14:paraId="0C1563D9" w14:textId="77777777" w:rsidR="003F546F" w:rsidRDefault="003F546F" w:rsidP="003F546F">
            <w:pPr>
              <w:pStyle w:val="Normal1linespace"/>
              <w:widowControl w:val="0"/>
              <w:jc w:val="left"/>
            </w:pPr>
          </w:p>
        </w:tc>
        <w:tc>
          <w:tcPr>
            <w:tcW w:w="5990" w:type="dxa"/>
            <w:shd w:val="clear" w:color="auto" w:fill="auto"/>
          </w:tcPr>
          <w:p w14:paraId="2BA42305" w14:textId="77777777" w:rsidR="003F546F" w:rsidRDefault="003F546F" w:rsidP="003F546F">
            <w:pPr>
              <w:pStyle w:val="Normal1linespace"/>
              <w:widowControl w:val="0"/>
              <w:jc w:val="left"/>
            </w:pPr>
          </w:p>
        </w:tc>
      </w:tr>
      <w:tr w:rsidR="003F546F" w14:paraId="0ABDBEAF" w14:textId="77777777" w:rsidTr="003F546F">
        <w:tc>
          <w:tcPr>
            <w:tcW w:w="3083" w:type="dxa"/>
            <w:shd w:val="clear" w:color="auto" w:fill="auto"/>
          </w:tcPr>
          <w:p w14:paraId="02802ED6" w14:textId="77777777" w:rsidR="003F546F" w:rsidRDefault="003F546F" w:rsidP="003F546F">
            <w:pPr>
              <w:pStyle w:val="Normal1linespace"/>
              <w:widowControl w:val="0"/>
              <w:jc w:val="left"/>
            </w:pPr>
            <w:r>
              <w:t>Counsel for the First Respondent:</w:t>
            </w:r>
          </w:p>
        </w:tc>
        <w:tc>
          <w:tcPr>
            <w:tcW w:w="5989" w:type="dxa"/>
            <w:shd w:val="clear" w:color="auto" w:fill="auto"/>
          </w:tcPr>
          <w:p w14:paraId="0A917EE5" w14:textId="77777777" w:rsidR="003F546F" w:rsidRDefault="003F546F" w:rsidP="003F546F">
            <w:pPr>
              <w:pStyle w:val="Normal1linespace"/>
              <w:widowControl w:val="0"/>
              <w:jc w:val="left"/>
            </w:pPr>
            <w:r>
              <w:t xml:space="preserve">Mr C </w:t>
            </w:r>
            <w:proofErr w:type="spellStart"/>
            <w:r>
              <w:t>Lenehan</w:t>
            </w:r>
            <w:proofErr w:type="spellEnd"/>
            <w:r>
              <w:t xml:space="preserve"> SC and Mr J </w:t>
            </w:r>
            <w:proofErr w:type="spellStart"/>
            <w:r>
              <w:t>Wherrett</w:t>
            </w:r>
            <w:proofErr w:type="spellEnd"/>
          </w:p>
        </w:tc>
      </w:tr>
      <w:tr w:rsidR="003F546F" w14:paraId="021ED7B5" w14:textId="77777777" w:rsidTr="003F546F">
        <w:tc>
          <w:tcPr>
            <w:tcW w:w="3083" w:type="dxa"/>
            <w:shd w:val="clear" w:color="auto" w:fill="auto"/>
          </w:tcPr>
          <w:p w14:paraId="2C48FF7B" w14:textId="77777777" w:rsidR="003F546F" w:rsidRDefault="003F546F" w:rsidP="003F546F">
            <w:pPr>
              <w:pStyle w:val="Normal1linespace"/>
              <w:widowControl w:val="0"/>
              <w:jc w:val="left"/>
            </w:pPr>
          </w:p>
        </w:tc>
        <w:tc>
          <w:tcPr>
            <w:tcW w:w="5989" w:type="dxa"/>
            <w:shd w:val="clear" w:color="auto" w:fill="auto"/>
          </w:tcPr>
          <w:p w14:paraId="077DD9F2" w14:textId="77777777" w:rsidR="003F546F" w:rsidRDefault="003F546F" w:rsidP="003F546F">
            <w:pPr>
              <w:pStyle w:val="Normal1linespace"/>
              <w:widowControl w:val="0"/>
              <w:jc w:val="left"/>
            </w:pPr>
          </w:p>
        </w:tc>
      </w:tr>
      <w:tr w:rsidR="003F546F" w14:paraId="08E4BF41" w14:textId="77777777" w:rsidTr="003F546F">
        <w:tc>
          <w:tcPr>
            <w:tcW w:w="3083" w:type="dxa"/>
            <w:shd w:val="clear" w:color="auto" w:fill="auto"/>
          </w:tcPr>
          <w:p w14:paraId="7445F678" w14:textId="77777777" w:rsidR="003F546F" w:rsidRDefault="003F546F" w:rsidP="003F546F">
            <w:pPr>
              <w:pStyle w:val="Normal1linespace"/>
              <w:widowControl w:val="0"/>
              <w:jc w:val="left"/>
            </w:pPr>
            <w:r>
              <w:t>Solicitor for the First Respondent:</w:t>
            </w:r>
          </w:p>
        </w:tc>
        <w:tc>
          <w:tcPr>
            <w:tcW w:w="5989" w:type="dxa"/>
            <w:shd w:val="clear" w:color="auto" w:fill="auto"/>
          </w:tcPr>
          <w:p w14:paraId="3B0D50E2" w14:textId="77777777" w:rsidR="003F546F" w:rsidRDefault="003F546F" w:rsidP="003F546F">
            <w:pPr>
              <w:pStyle w:val="Normal1linespace"/>
              <w:widowControl w:val="0"/>
              <w:jc w:val="left"/>
            </w:pPr>
            <w:r>
              <w:t>Australian Government Solicitor</w:t>
            </w:r>
          </w:p>
        </w:tc>
      </w:tr>
      <w:bookmarkEnd w:id="8"/>
    </w:tbl>
    <w:p w14:paraId="4A89C939" w14:textId="77777777" w:rsidR="007470BD" w:rsidRDefault="007470BD">
      <w:pPr>
        <w:pStyle w:val="Normal1linespace"/>
      </w:pPr>
    </w:p>
    <w:p w14:paraId="22F97AC8" w14:textId="77777777" w:rsidR="00E94CBF" w:rsidRDefault="00E94CBF">
      <w:pPr>
        <w:pStyle w:val="Normal1linespace"/>
      </w:pPr>
    </w:p>
    <w:p w14:paraId="57E813C9" w14:textId="77777777" w:rsidR="00395B24" w:rsidRDefault="00395B24">
      <w:pPr>
        <w:pStyle w:val="Normal1linespace"/>
        <w:sectPr w:rsidR="00395B24" w:rsidSect="001F2473">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7" w:h="16840" w:code="9"/>
          <w:pgMar w:top="1440" w:right="1440" w:bottom="1440" w:left="1440" w:header="851" w:footer="768" w:gutter="0"/>
          <w:pgNumType w:start="1"/>
          <w:cols w:space="720"/>
          <w:noEndnote/>
          <w:titlePg/>
        </w:sectPr>
      </w:pPr>
    </w:p>
    <w:p w14:paraId="7D4BEAA5"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3CD357D6" w14:textId="77777777" w:rsidTr="00E81DA6">
        <w:tc>
          <w:tcPr>
            <w:tcW w:w="6912" w:type="dxa"/>
            <w:gridSpan w:val="2"/>
          </w:tcPr>
          <w:p w14:paraId="6475B9F8" w14:textId="77777777" w:rsidR="00A46CCC" w:rsidRPr="001765E0" w:rsidRDefault="00A46CCC" w:rsidP="00525A49">
            <w:pPr>
              <w:pStyle w:val="NormalHeadings"/>
            </w:pPr>
          </w:p>
        </w:tc>
        <w:tc>
          <w:tcPr>
            <w:tcW w:w="2330" w:type="dxa"/>
          </w:tcPr>
          <w:p w14:paraId="136C4D04" w14:textId="77777777" w:rsidR="00A46CCC" w:rsidRDefault="00757570" w:rsidP="00F92355">
            <w:pPr>
              <w:pStyle w:val="NormalHeadings"/>
              <w:jc w:val="right"/>
            </w:pPr>
            <w:bookmarkStart w:id="10" w:name="FileNo"/>
            <w:r>
              <w:t>NSD 854 of 2022</w:t>
            </w:r>
            <w:bookmarkEnd w:id="10"/>
          </w:p>
        </w:tc>
      </w:tr>
      <w:tr w:rsidR="00A76C13" w14:paraId="58A6069C" w14:textId="77777777" w:rsidTr="00E43B55">
        <w:tc>
          <w:tcPr>
            <w:tcW w:w="9242" w:type="dxa"/>
            <w:gridSpan w:val="3"/>
          </w:tcPr>
          <w:p w14:paraId="12DD8E3A" w14:textId="245F1262" w:rsidR="00A76C13" w:rsidRPr="00A76C13" w:rsidRDefault="00A76C13" w:rsidP="000E4CCC">
            <w:pPr>
              <w:pStyle w:val="NormalHeadings"/>
              <w:jc w:val="left"/>
            </w:pPr>
          </w:p>
        </w:tc>
      </w:tr>
      <w:tr w:rsidR="00A46CCC" w14:paraId="0F0B8035" w14:textId="77777777" w:rsidTr="00E43B55">
        <w:trPr>
          <w:trHeight w:val="386"/>
        </w:trPr>
        <w:tc>
          <w:tcPr>
            <w:tcW w:w="2376" w:type="dxa"/>
          </w:tcPr>
          <w:p w14:paraId="745869B5" w14:textId="77777777" w:rsidR="00A46CCC" w:rsidRDefault="00A46CCC" w:rsidP="00E43B55">
            <w:pPr>
              <w:pStyle w:val="NormalHeadings"/>
              <w:jc w:val="left"/>
              <w:rPr>
                <w:caps/>
                <w:szCs w:val="24"/>
              </w:rPr>
            </w:pPr>
            <w:bookmarkStart w:id="11" w:name="Parties"/>
            <w:r>
              <w:rPr>
                <w:caps/>
                <w:szCs w:val="24"/>
              </w:rPr>
              <w:t>BETWEEN:</w:t>
            </w:r>
          </w:p>
        </w:tc>
        <w:tc>
          <w:tcPr>
            <w:tcW w:w="6866" w:type="dxa"/>
            <w:gridSpan w:val="2"/>
          </w:tcPr>
          <w:p w14:paraId="7EDC3930" w14:textId="77777777" w:rsidR="00757570" w:rsidRDefault="00757570" w:rsidP="00757570">
            <w:pPr>
              <w:pStyle w:val="NormalHeadings"/>
              <w:jc w:val="left"/>
            </w:pPr>
            <w:bookmarkStart w:id="12" w:name="Applicant"/>
            <w:r>
              <w:t>KATE PEARSON</w:t>
            </w:r>
          </w:p>
          <w:p w14:paraId="618AF121" w14:textId="77777777" w:rsidR="00757570" w:rsidRDefault="00757570" w:rsidP="00757570">
            <w:pPr>
              <w:pStyle w:val="PartyType"/>
            </w:pPr>
            <w:r>
              <w:t>Applicant</w:t>
            </w:r>
          </w:p>
          <w:bookmarkEnd w:id="12"/>
          <w:p w14:paraId="2A516139" w14:textId="77777777" w:rsidR="00A46CCC" w:rsidRPr="006555B4" w:rsidRDefault="00A46CCC" w:rsidP="00E43B55">
            <w:pPr>
              <w:pStyle w:val="NormalHeadings"/>
              <w:jc w:val="left"/>
            </w:pPr>
          </w:p>
        </w:tc>
      </w:tr>
      <w:tr w:rsidR="00A46CCC" w14:paraId="7D431645" w14:textId="77777777" w:rsidTr="00E43B55">
        <w:trPr>
          <w:trHeight w:val="386"/>
        </w:trPr>
        <w:tc>
          <w:tcPr>
            <w:tcW w:w="2376" w:type="dxa"/>
          </w:tcPr>
          <w:p w14:paraId="47422315" w14:textId="77777777" w:rsidR="00A46CCC" w:rsidRDefault="00A46CCC" w:rsidP="00E43B55">
            <w:pPr>
              <w:pStyle w:val="NormalHeadings"/>
              <w:jc w:val="left"/>
              <w:rPr>
                <w:caps/>
                <w:szCs w:val="24"/>
              </w:rPr>
            </w:pPr>
            <w:r>
              <w:rPr>
                <w:caps/>
                <w:szCs w:val="24"/>
              </w:rPr>
              <w:t>AND:</w:t>
            </w:r>
          </w:p>
        </w:tc>
        <w:tc>
          <w:tcPr>
            <w:tcW w:w="6866" w:type="dxa"/>
            <w:gridSpan w:val="2"/>
          </w:tcPr>
          <w:p w14:paraId="4F48AE73" w14:textId="77777777" w:rsidR="00757570" w:rsidRDefault="00757570" w:rsidP="00757570">
            <w:pPr>
              <w:pStyle w:val="NormalHeadings"/>
              <w:jc w:val="left"/>
            </w:pPr>
            <w:bookmarkStart w:id="13" w:name="Respondent"/>
            <w:r>
              <w:t>MINISTER FOR HOME AFFAIRS</w:t>
            </w:r>
          </w:p>
          <w:p w14:paraId="3259591B" w14:textId="77777777" w:rsidR="00757570" w:rsidRDefault="00757570" w:rsidP="00757570">
            <w:pPr>
              <w:pStyle w:val="PartyType"/>
            </w:pPr>
            <w:r>
              <w:t>First Respondent</w:t>
            </w:r>
          </w:p>
          <w:p w14:paraId="28BC26CB" w14:textId="77777777" w:rsidR="00757570" w:rsidRDefault="00757570" w:rsidP="00E43B55">
            <w:pPr>
              <w:pStyle w:val="NormalHeadings"/>
              <w:jc w:val="left"/>
              <w:rPr>
                <w:szCs w:val="24"/>
              </w:rPr>
            </w:pPr>
          </w:p>
          <w:p w14:paraId="5529063F" w14:textId="77777777" w:rsidR="00757570" w:rsidRDefault="00757570" w:rsidP="00757570">
            <w:pPr>
              <w:pStyle w:val="NormalHeadings"/>
              <w:jc w:val="left"/>
            </w:pPr>
            <w:r>
              <w:t>SECRETARY, DEPARTMENT OF HOME AFFAIRS</w:t>
            </w:r>
          </w:p>
          <w:p w14:paraId="21E18A30" w14:textId="77777777" w:rsidR="00757570" w:rsidRDefault="00757570" w:rsidP="00757570">
            <w:pPr>
              <w:pStyle w:val="PartyType"/>
            </w:pPr>
            <w:r>
              <w:t>Second Respondent</w:t>
            </w:r>
          </w:p>
          <w:p w14:paraId="647F0B1B" w14:textId="77777777" w:rsidR="00757570" w:rsidRDefault="00757570" w:rsidP="00E43B55">
            <w:pPr>
              <w:pStyle w:val="NormalHeadings"/>
              <w:jc w:val="left"/>
              <w:rPr>
                <w:szCs w:val="24"/>
              </w:rPr>
            </w:pPr>
          </w:p>
          <w:p w14:paraId="78DA096F" w14:textId="77777777" w:rsidR="00757570" w:rsidRDefault="00757570" w:rsidP="00757570">
            <w:pPr>
              <w:pStyle w:val="NormalHeadings"/>
              <w:jc w:val="left"/>
            </w:pPr>
            <w:r>
              <w:t>ADMINISTRATIVE APPEALS TRIBUNAL</w:t>
            </w:r>
          </w:p>
          <w:p w14:paraId="5FA8E67A" w14:textId="77777777" w:rsidR="00757570" w:rsidRDefault="00757570" w:rsidP="00757570">
            <w:pPr>
              <w:pStyle w:val="PartyType"/>
            </w:pPr>
            <w:r>
              <w:t>Third Respondent</w:t>
            </w:r>
          </w:p>
          <w:bookmarkEnd w:id="13"/>
          <w:p w14:paraId="6D9EB999" w14:textId="77777777" w:rsidR="00A46CCC" w:rsidRPr="006555B4" w:rsidRDefault="00A46CCC" w:rsidP="00E43B55">
            <w:pPr>
              <w:pStyle w:val="NormalHeadings"/>
              <w:jc w:val="left"/>
            </w:pPr>
          </w:p>
        </w:tc>
      </w:tr>
    </w:tbl>
    <w:p w14:paraId="11BA404B" w14:textId="77777777" w:rsidR="00395B24" w:rsidRDefault="00395B24">
      <w:pPr>
        <w:pStyle w:val="NormalHeadings"/>
      </w:pPr>
      <w:bookmarkStart w:id="14" w:name="CrossClaimPosition"/>
      <w:bookmarkEnd w:id="11"/>
      <w:bookmarkEnd w:id="14"/>
    </w:p>
    <w:tbl>
      <w:tblPr>
        <w:tblW w:w="0" w:type="auto"/>
        <w:tblLayout w:type="fixed"/>
        <w:tblLook w:val="0000" w:firstRow="0" w:lastRow="0" w:firstColumn="0" w:lastColumn="0" w:noHBand="0" w:noVBand="0"/>
        <w:tblCaption w:val="Judge"/>
        <w:tblDescription w:val="Judge"/>
      </w:tblPr>
      <w:tblGrid>
        <w:gridCol w:w="2376"/>
        <w:gridCol w:w="6866"/>
      </w:tblGrid>
      <w:tr w:rsidR="00395B24" w14:paraId="181C7F11" w14:textId="77777777">
        <w:tc>
          <w:tcPr>
            <w:tcW w:w="2376" w:type="dxa"/>
          </w:tcPr>
          <w:p w14:paraId="31412E07" w14:textId="77777777" w:rsidR="00395B24" w:rsidRDefault="00974709">
            <w:pPr>
              <w:pStyle w:val="NormalHeadings"/>
              <w:spacing w:after="120"/>
              <w:jc w:val="left"/>
              <w:rPr>
                <w:caps/>
                <w:szCs w:val="24"/>
              </w:rPr>
            </w:pPr>
            <w:bookmarkStart w:id="15" w:name="JudgeText"/>
            <w:r>
              <w:rPr>
                <w:caps/>
                <w:szCs w:val="24"/>
              </w:rPr>
              <w:t>order made by</w:t>
            </w:r>
            <w:bookmarkEnd w:id="15"/>
            <w:r w:rsidR="002C7385">
              <w:rPr>
                <w:caps/>
                <w:szCs w:val="24"/>
              </w:rPr>
              <w:t>:</w:t>
            </w:r>
          </w:p>
        </w:tc>
        <w:tc>
          <w:tcPr>
            <w:tcW w:w="6866" w:type="dxa"/>
          </w:tcPr>
          <w:p w14:paraId="2C8F7F89" w14:textId="77777777" w:rsidR="00395B24" w:rsidRDefault="00985C7B">
            <w:pPr>
              <w:pStyle w:val="NormalHeadings"/>
              <w:jc w:val="left"/>
              <w:rPr>
                <w:caps/>
                <w:szCs w:val="24"/>
              </w:rPr>
            </w:pPr>
            <w:bookmarkStart w:id="16" w:name="Judge"/>
            <w:r>
              <w:rPr>
                <w:caps/>
                <w:szCs w:val="24"/>
              </w:rPr>
              <w:t xml:space="preserve">ALLSOP CJ, </w:t>
            </w:r>
            <w:r w:rsidR="006D3C0E">
              <w:rPr>
                <w:caps/>
                <w:szCs w:val="24"/>
              </w:rPr>
              <w:t xml:space="preserve">RANGIAH AND </w:t>
            </w:r>
            <w:r w:rsidR="00757570">
              <w:rPr>
                <w:caps/>
                <w:szCs w:val="24"/>
              </w:rPr>
              <w:t xml:space="preserve">SARAH C DERRINGTON </w:t>
            </w:r>
            <w:r w:rsidR="006D3C0E">
              <w:rPr>
                <w:caps/>
                <w:szCs w:val="24"/>
              </w:rPr>
              <w:t>J</w:t>
            </w:r>
            <w:r w:rsidR="00757570">
              <w:rPr>
                <w:caps/>
                <w:szCs w:val="24"/>
              </w:rPr>
              <w:t>J</w:t>
            </w:r>
            <w:bookmarkEnd w:id="16"/>
          </w:p>
        </w:tc>
      </w:tr>
      <w:tr w:rsidR="00395B24" w14:paraId="3EDA83A5" w14:textId="77777777">
        <w:tc>
          <w:tcPr>
            <w:tcW w:w="2376" w:type="dxa"/>
          </w:tcPr>
          <w:p w14:paraId="18436FEB" w14:textId="77777777" w:rsidR="00395B24" w:rsidRDefault="002C7385">
            <w:pPr>
              <w:pStyle w:val="NormalHeadings"/>
              <w:spacing w:after="120"/>
              <w:jc w:val="left"/>
              <w:rPr>
                <w:caps/>
                <w:szCs w:val="24"/>
              </w:rPr>
            </w:pPr>
            <w:r>
              <w:rPr>
                <w:caps/>
                <w:szCs w:val="24"/>
              </w:rPr>
              <w:t>DATE OF ORDER:</w:t>
            </w:r>
          </w:p>
        </w:tc>
        <w:tc>
          <w:tcPr>
            <w:tcW w:w="6866" w:type="dxa"/>
          </w:tcPr>
          <w:p w14:paraId="6E293B72" w14:textId="77777777" w:rsidR="00395B24" w:rsidRDefault="007C3D8A">
            <w:pPr>
              <w:pStyle w:val="NormalHeadings"/>
              <w:jc w:val="left"/>
              <w:rPr>
                <w:caps/>
                <w:szCs w:val="24"/>
              </w:rPr>
            </w:pPr>
            <w:bookmarkStart w:id="17" w:name="Judgment_Dated"/>
            <w:bookmarkEnd w:id="17"/>
            <w:r>
              <w:rPr>
                <w:caps/>
                <w:szCs w:val="24"/>
              </w:rPr>
              <w:t>22 December 2022</w:t>
            </w:r>
          </w:p>
        </w:tc>
      </w:tr>
    </w:tbl>
    <w:p w14:paraId="5FF914E6" w14:textId="77777777" w:rsidR="00395B24" w:rsidRDefault="00395B24">
      <w:pPr>
        <w:pStyle w:val="NormalHeadings"/>
        <w:rPr>
          <w:b w:val="0"/>
        </w:rPr>
      </w:pPr>
    </w:p>
    <w:p w14:paraId="71A3B217" w14:textId="77777777" w:rsidR="008D1617" w:rsidRDefault="008D1617">
      <w:pPr>
        <w:pStyle w:val="NormalHeadings"/>
        <w:rPr>
          <w:b w:val="0"/>
        </w:rPr>
      </w:pPr>
    </w:p>
    <w:p w14:paraId="2FF403D5" w14:textId="77777777" w:rsidR="00395B24" w:rsidRDefault="002C7385">
      <w:pPr>
        <w:pStyle w:val="NormalHeadings"/>
      </w:pPr>
      <w:r>
        <w:t>THE COURT ORDERS THAT:</w:t>
      </w:r>
    </w:p>
    <w:p w14:paraId="3F43D660" w14:textId="77777777" w:rsidR="007F60DF" w:rsidRDefault="007F60DF" w:rsidP="00243E5E">
      <w:pPr>
        <w:pStyle w:val="NormalHeadings"/>
      </w:pPr>
    </w:p>
    <w:p w14:paraId="2883EC1B" w14:textId="697CE2CD" w:rsidR="001A6C52" w:rsidRDefault="00841D80" w:rsidP="001A6C52">
      <w:pPr>
        <w:pStyle w:val="Order1"/>
      </w:pPr>
      <w:r>
        <w:t>Within 7 days, the parties provide the Full Court with proposed short minutes of order, including as to costs, reflecting the substance of these reasons.</w:t>
      </w:r>
    </w:p>
    <w:p w14:paraId="33569FFF" w14:textId="77777777" w:rsidR="00C67EA0" w:rsidRPr="00C67EA0" w:rsidRDefault="00C67EA0" w:rsidP="001A6C52">
      <w:pPr>
        <w:pStyle w:val="BodyText"/>
        <w:rPr>
          <w:b/>
          <w:bCs/>
        </w:rPr>
      </w:pPr>
    </w:p>
    <w:p w14:paraId="3773D8E1" w14:textId="77777777" w:rsidR="00A431E6" w:rsidRDefault="00A431E6" w:rsidP="001A6C52">
      <w:pPr>
        <w:pStyle w:val="BodyText"/>
      </w:pPr>
    </w:p>
    <w:p w14:paraId="725401A2" w14:textId="77777777" w:rsidR="0050309C" w:rsidRDefault="00757570" w:rsidP="004D53E5">
      <w:pPr>
        <w:pStyle w:val="SingleSpace"/>
      </w:pPr>
      <w:bookmarkStart w:id="18" w:name="OrdersStatement"/>
      <w:r>
        <w:t>Note:</w:t>
      </w:r>
      <w:r>
        <w:tab/>
        <w:t xml:space="preserve">Entry of orders is dealt with in Rule 39.32 of the </w:t>
      </w:r>
      <w:r>
        <w:rPr>
          <w:i/>
        </w:rPr>
        <w:t>Federal Court Rules 2011</w:t>
      </w:r>
      <w:r>
        <w:t>.</w:t>
      </w:r>
      <w:bookmarkEnd w:id="18"/>
    </w:p>
    <w:p w14:paraId="1BCF9226" w14:textId="77777777" w:rsidR="00E23577" w:rsidRDefault="00E23577" w:rsidP="002B0E91">
      <w:pPr>
        <w:pStyle w:val="BodyText"/>
      </w:pPr>
    </w:p>
    <w:p w14:paraId="05267DAC" w14:textId="77777777" w:rsidR="00395B24" w:rsidRDefault="00395B24">
      <w:pPr>
        <w:pStyle w:val="NormalHeadings"/>
        <w:spacing w:before="240" w:after="120"/>
        <w:rPr>
          <w:b w:val="0"/>
        </w:rPr>
        <w:sectPr w:rsidR="00395B24" w:rsidSect="0092590B">
          <w:headerReference w:type="default" r:id="rId18"/>
          <w:footerReference w:type="default" r:id="rId19"/>
          <w:headerReference w:type="first" r:id="rId20"/>
          <w:footerReference w:type="first" r:id="rId21"/>
          <w:endnotePr>
            <w:numFmt w:val="decimal"/>
          </w:endnotePr>
          <w:pgSz w:w="11907" w:h="16840" w:code="9"/>
          <w:pgMar w:top="1440" w:right="1440" w:bottom="1440" w:left="1440" w:header="851" w:footer="851" w:gutter="0"/>
          <w:pgNumType w:fmt="lowerRoman" w:start="1"/>
          <w:cols w:space="720"/>
          <w:noEndnote/>
          <w:titlePg/>
        </w:sectPr>
      </w:pPr>
    </w:p>
    <w:p w14:paraId="30AFD600" w14:textId="77777777" w:rsidR="00484F6D" w:rsidRPr="00045BB7" w:rsidRDefault="00484F6D" w:rsidP="00045BB7">
      <w:pPr>
        <w:pStyle w:val="NormalHeadings"/>
        <w:spacing w:line="480" w:lineRule="auto"/>
        <w:jc w:val="center"/>
        <w:rPr>
          <w:sz w:val="28"/>
          <w:szCs w:val="28"/>
        </w:rPr>
      </w:pPr>
      <w:bookmarkStart w:id="19" w:name="ReasonsPage"/>
      <w:bookmarkEnd w:id="19"/>
      <w:r w:rsidRPr="00045BB7">
        <w:rPr>
          <w:sz w:val="28"/>
          <w:szCs w:val="28"/>
        </w:rPr>
        <w:lastRenderedPageBreak/>
        <w:t>REASONS FOR JUDGMENT</w:t>
      </w:r>
    </w:p>
    <w:p w14:paraId="64B17F69" w14:textId="77777777" w:rsidR="000319D4" w:rsidRPr="00E56CDF" w:rsidRDefault="006D3C0E" w:rsidP="00E56CDF">
      <w:pPr>
        <w:pStyle w:val="NormalHeadings"/>
        <w:spacing w:line="360" w:lineRule="auto"/>
        <w:jc w:val="left"/>
        <w:rPr>
          <w:sz w:val="26"/>
          <w:szCs w:val="26"/>
        </w:rPr>
      </w:pPr>
      <w:r>
        <w:rPr>
          <w:sz w:val="26"/>
          <w:szCs w:val="26"/>
        </w:rPr>
        <w:t>THE COURT</w:t>
      </w:r>
      <w:r w:rsidR="00985C7B">
        <w:rPr>
          <w:sz w:val="26"/>
          <w:szCs w:val="26"/>
        </w:rPr>
        <w:t>:</w:t>
      </w:r>
    </w:p>
    <w:p w14:paraId="0871CEF1" w14:textId="77777777" w:rsidR="00891AFE" w:rsidRDefault="00891AFE" w:rsidP="00891AFE">
      <w:pPr>
        <w:pStyle w:val="Heading2"/>
      </w:pPr>
      <w:r>
        <w:t>Introduction</w:t>
      </w:r>
    </w:p>
    <w:p w14:paraId="111CA754" w14:textId="3FD6B9C6" w:rsidR="00CD1346" w:rsidRDefault="00B450C3" w:rsidP="00CD1346">
      <w:pPr>
        <w:pStyle w:val="ParaNumbering"/>
      </w:pPr>
      <w:r>
        <w:t xml:space="preserve">Ms Pearson’s </w:t>
      </w:r>
      <w:r w:rsidR="004A1476">
        <w:t xml:space="preserve">application for judicial </w:t>
      </w:r>
      <w:r w:rsidR="00310BD6">
        <w:t xml:space="preserve">review </w:t>
      </w:r>
      <w:r>
        <w:t xml:space="preserve">raises two questions of some importance to the </w:t>
      </w:r>
      <w:r w:rsidR="003B05A6">
        <w:t xml:space="preserve">construction and application of the </w:t>
      </w:r>
      <w:r w:rsidR="003B05A6" w:rsidRPr="000764DF">
        <w:rPr>
          <w:b/>
          <w:bCs/>
          <w:i/>
          <w:iCs/>
        </w:rPr>
        <w:t>Migration Act</w:t>
      </w:r>
      <w:r w:rsidR="003B05A6" w:rsidRPr="000764DF">
        <w:rPr>
          <w:i/>
          <w:iCs/>
        </w:rPr>
        <w:t xml:space="preserve"> 1958</w:t>
      </w:r>
      <w:r w:rsidR="003B05A6" w:rsidRPr="000764DF">
        <w:t xml:space="preserve"> (</w:t>
      </w:r>
      <w:proofErr w:type="spellStart"/>
      <w:r w:rsidR="003B05A6" w:rsidRPr="000764DF">
        <w:t>Cth</w:t>
      </w:r>
      <w:proofErr w:type="spellEnd"/>
      <w:r w:rsidR="003B05A6" w:rsidRPr="000764DF">
        <w:t>)</w:t>
      </w:r>
      <w:r w:rsidR="003B05A6">
        <w:t xml:space="preserve"> in circumstances where a person</w:t>
      </w:r>
      <w:r w:rsidR="008E7C16">
        <w:t xml:space="preserve">’s visa has been mandatorily cancelled </w:t>
      </w:r>
      <w:r w:rsidR="009C6B40">
        <w:t xml:space="preserve">under s 501(3A) of the </w:t>
      </w:r>
      <w:r w:rsidR="009C6B40" w:rsidRPr="00BB02C3">
        <w:rPr>
          <w:i/>
          <w:iCs/>
        </w:rPr>
        <w:t>Migration Act</w:t>
      </w:r>
      <w:r w:rsidR="009C6B40">
        <w:t xml:space="preserve"> because </w:t>
      </w:r>
      <w:r w:rsidR="00B80652">
        <w:t xml:space="preserve">the person has </w:t>
      </w:r>
      <w:r w:rsidR="009C6B40">
        <w:t>been sentenced to a term of imprisonment of 12 months or more</w:t>
      </w:r>
      <w:r w:rsidR="00B80652">
        <w:t>.</w:t>
      </w:r>
      <w:r w:rsidR="001045AF">
        <w:t xml:space="preserve"> T</w:t>
      </w:r>
      <w:r w:rsidR="0093582A">
        <w:t>h</w:t>
      </w:r>
      <w:r w:rsidR="00BD0297">
        <w:t>e first</w:t>
      </w:r>
      <w:r w:rsidR="009C6B40">
        <w:t xml:space="preserve"> </w:t>
      </w:r>
      <w:r w:rsidR="00C774BA">
        <w:t xml:space="preserve">is whether the notice </w:t>
      </w:r>
      <w:r w:rsidR="00780838">
        <w:t xml:space="preserve">given to </w:t>
      </w:r>
      <w:r w:rsidR="00846EDE">
        <w:t>Ms Pearson</w:t>
      </w:r>
      <w:r w:rsidR="00741A1E">
        <w:t xml:space="preserve"> of the cancellation of her visa </w:t>
      </w:r>
      <w:r w:rsidR="008E7DD4">
        <w:t xml:space="preserve">was invalid because it failed to comply with the requirements of s </w:t>
      </w:r>
      <w:proofErr w:type="gramStart"/>
      <w:r w:rsidR="008E7DD4">
        <w:t>501CA(</w:t>
      </w:r>
      <w:proofErr w:type="gramEnd"/>
      <w:r w:rsidR="008E7DD4">
        <w:t>3</w:t>
      </w:r>
      <w:r w:rsidR="0060511D">
        <w:t>)(</w:t>
      </w:r>
      <w:r w:rsidR="008E7DD4">
        <w:t xml:space="preserve">b) of the </w:t>
      </w:r>
      <w:r w:rsidR="008E7DD4" w:rsidRPr="0031680C">
        <w:rPr>
          <w:i/>
          <w:iCs/>
        </w:rPr>
        <w:t>Migration Act</w:t>
      </w:r>
      <w:r w:rsidR="008E7DD4" w:rsidRPr="00E519B4">
        <w:rPr>
          <w:i/>
          <w:iCs/>
        </w:rPr>
        <w:t xml:space="preserve"> </w:t>
      </w:r>
      <w:r w:rsidR="008E7DD4">
        <w:t>an</w:t>
      </w:r>
      <w:r w:rsidR="00D23C03">
        <w:t xml:space="preserve">d </w:t>
      </w:r>
      <w:proofErr w:type="spellStart"/>
      <w:r w:rsidR="008E7DD4" w:rsidRPr="001B2921">
        <w:t>r</w:t>
      </w:r>
      <w:r w:rsidR="000A2965" w:rsidRPr="001B2921">
        <w:t>eg</w:t>
      </w:r>
      <w:proofErr w:type="spellEnd"/>
      <w:r w:rsidR="008E7DD4">
        <w:t xml:space="preserve"> 2.52(2)(b) of the </w:t>
      </w:r>
      <w:r w:rsidR="008E7DD4" w:rsidRPr="000764DF">
        <w:rPr>
          <w:b/>
          <w:bCs/>
          <w:i/>
          <w:iCs/>
        </w:rPr>
        <w:t>Migration Regulations</w:t>
      </w:r>
      <w:r w:rsidR="008E7DD4" w:rsidRPr="000764DF">
        <w:rPr>
          <w:i/>
          <w:iCs/>
        </w:rPr>
        <w:t xml:space="preserve"> 1994</w:t>
      </w:r>
      <w:r w:rsidR="00E519B4" w:rsidRPr="000764DF">
        <w:t xml:space="preserve"> (</w:t>
      </w:r>
      <w:proofErr w:type="spellStart"/>
      <w:r w:rsidR="00E519B4" w:rsidRPr="000764DF">
        <w:t>Cth</w:t>
      </w:r>
      <w:proofErr w:type="spellEnd"/>
      <w:r w:rsidR="00E519B4" w:rsidRPr="000764DF">
        <w:t>)</w:t>
      </w:r>
      <w:r w:rsidR="004E71EF">
        <w:t xml:space="preserve">. The second is </w:t>
      </w:r>
      <w:r w:rsidR="00BB5892">
        <w:t>whether</w:t>
      </w:r>
      <w:r w:rsidR="004130E0">
        <w:t>, for the purposes of s 501</w:t>
      </w:r>
      <w:r w:rsidR="00FA33BA">
        <w:t xml:space="preserve"> of the </w:t>
      </w:r>
      <w:r w:rsidR="00FA33BA" w:rsidRPr="00FA33BA">
        <w:rPr>
          <w:i/>
          <w:iCs/>
        </w:rPr>
        <w:t>Migration Act</w:t>
      </w:r>
      <w:r w:rsidR="00632EFB">
        <w:t xml:space="preserve">, </w:t>
      </w:r>
      <w:r w:rsidR="0027402C">
        <w:t>an aggregate sentence of imprisonment</w:t>
      </w:r>
      <w:r w:rsidR="0060511D">
        <w:t>, under a provision such as s</w:t>
      </w:r>
      <w:r w:rsidR="00985C7B">
        <w:t xml:space="preserve"> </w:t>
      </w:r>
      <w:r w:rsidR="0060511D">
        <w:t xml:space="preserve">53A of the </w:t>
      </w:r>
      <w:r w:rsidR="0060511D" w:rsidRPr="000764DF">
        <w:rPr>
          <w:b/>
          <w:i/>
        </w:rPr>
        <w:t xml:space="preserve">Crimes </w:t>
      </w:r>
      <w:r w:rsidR="000A2965" w:rsidRPr="001B2921">
        <w:rPr>
          <w:b/>
          <w:i/>
        </w:rPr>
        <w:t>(</w:t>
      </w:r>
      <w:r w:rsidR="0060511D" w:rsidRPr="001B2921">
        <w:rPr>
          <w:b/>
          <w:i/>
        </w:rPr>
        <w:t>Sentencing Procedure</w:t>
      </w:r>
      <w:r w:rsidR="000A2965" w:rsidRPr="001B2921">
        <w:rPr>
          <w:b/>
          <w:i/>
        </w:rPr>
        <w:t>)</w:t>
      </w:r>
      <w:r w:rsidR="0060511D" w:rsidRPr="000764DF">
        <w:rPr>
          <w:b/>
          <w:i/>
        </w:rPr>
        <w:t xml:space="preserve"> Act</w:t>
      </w:r>
      <w:r w:rsidR="0060511D" w:rsidRPr="000764DF">
        <w:rPr>
          <w:i/>
        </w:rPr>
        <w:t xml:space="preserve"> 1999</w:t>
      </w:r>
      <w:r w:rsidR="0060511D" w:rsidRPr="000764DF">
        <w:t xml:space="preserve"> (NSW)</w:t>
      </w:r>
      <w:r w:rsidR="0060511D">
        <w:t>,</w:t>
      </w:r>
      <w:r w:rsidR="001D2FD8">
        <w:t xml:space="preserve"> is a single sentence to a term of imprisonment or a sentence to “2 or more” terms of impris</w:t>
      </w:r>
      <w:r w:rsidR="00953B60">
        <w:t>onment</w:t>
      </w:r>
      <w:r w:rsidR="003260BD">
        <w:t>, or is neither</w:t>
      </w:r>
      <w:r w:rsidR="0060511D">
        <w:t>.</w:t>
      </w:r>
    </w:p>
    <w:p w14:paraId="134C08B3" w14:textId="019C7FE6" w:rsidR="00C22750" w:rsidRDefault="00742408" w:rsidP="00CD1346">
      <w:pPr>
        <w:pStyle w:val="ParaNumbering"/>
      </w:pPr>
      <w:r>
        <w:t xml:space="preserve">Ms Pearson sought leave to raise the </w:t>
      </w:r>
      <w:r w:rsidR="00163AE6">
        <w:t xml:space="preserve">second question </w:t>
      </w:r>
      <w:r>
        <w:t>as a new ground in her Seco</w:t>
      </w:r>
      <w:r w:rsidR="001B2921">
        <w:t>nd Further Amended Originating A</w:t>
      </w:r>
      <w:r>
        <w:t>pplication for review of a migration decision</w:t>
      </w:r>
      <w:r w:rsidR="00124D7D">
        <w:t xml:space="preserve"> (</w:t>
      </w:r>
      <w:r w:rsidR="00124D7D" w:rsidRPr="00C22750">
        <w:rPr>
          <w:b/>
          <w:bCs/>
        </w:rPr>
        <w:t>SFAO</w:t>
      </w:r>
      <w:r w:rsidR="001B2921">
        <w:rPr>
          <w:b/>
          <w:bCs/>
        </w:rPr>
        <w:t>A</w:t>
      </w:r>
      <w:r w:rsidR="00124D7D">
        <w:t>)</w:t>
      </w:r>
      <w:r>
        <w:t xml:space="preserve"> </w:t>
      </w:r>
      <w:r w:rsidR="00D314E5">
        <w:t xml:space="preserve">annexed to her outline of submissions </w:t>
      </w:r>
      <w:r w:rsidR="00D82D04">
        <w:t xml:space="preserve">filed on </w:t>
      </w:r>
      <w:r w:rsidR="00985C7B">
        <w:t xml:space="preserve">15 </w:t>
      </w:r>
      <w:r w:rsidR="00D82D04">
        <w:t xml:space="preserve">November 2022. </w:t>
      </w:r>
      <w:r w:rsidR="00D42D1D">
        <w:t xml:space="preserve">The Minister opposed the grant of leave </w:t>
      </w:r>
      <w:r w:rsidR="00A6102C">
        <w:t xml:space="preserve">relying, </w:t>
      </w:r>
      <w:r w:rsidR="00544B8B">
        <w:t xml:space="preserve">ultimately rather </w:t>
      </w:r>
      <w:r w:rsidR="00A6102C">
        <w:t>weakly</w:t>
      </w:r>
      <w:r w:rsidR="00D90819">
        <w:t xml:space="preserve">, on the principle in </w:t>
      </w:r>
      <w:r w:rsidR="00D90819" w:rsidRPr="000764DF">
        <w:rPr>
          <w:i/>
          <w:iCs/>
        </w:rPr>
        <w:t xml:space="preserve">Port of Melbourne Authority v </w:t>
      </w:r>
      <w:proofErr w:type="spellStart"/>
      <w:r w:rsidR="00D90819" w:rsidRPr="000764DF">
        <w:rPr>
          <w:i/>
          <w:iCs/>
        </w:rPr>
        <w:t>Anshun</w:t>
      </w:r>
      <w:proofErr w:type="spellEnd"/>
      <w:r w:rsidR="00D90819" w:rsidRPr="000764DF">
        <w:rPr>
          <w:i/>
          <w:iCs/>
        </w:rPr>
        <w:t xml:space="preserve"> Pty Ltd</w:t>
      </w:r>
      <w:r w:rsidR="00D90819" w:rsidRPr="000764DF">
        <w:t xml:space="preserve"> (1981) 147 CLR 589</w:t>
      </w:r>
      <w:r w:rsidR="00D90819">
        <w:t xml:space="preserve"> (</w:t>
      </w:r>
      <w:proofErr w:type="spellStart"/>
      <w:r w:rsidR="00D90819" w:rsidRPr="00544B8B">
        <w:rPr>
          <w:b/>
          <w:bCs/>
          <w:i/>
          <w:iCs/>
        </w:rPr>
        <w:t>Anshun</w:t>
      </w:r>
      <w:proofErr w:type="spellEnd"/>
      <w:r w:rsidR="00D90819" w:rsidRPr="00544B8B">
        <w:rPr>
          <w:b/>
          <w:bCs/>
          <w:i/>
          <w:iCs/>
        </w:rPr>
        <w:t xml:space="preserve"> </w:t>
      </w:r>
      <w:r w:rsidR="00D90819" w:rsidRPr="001B2921">
        <w:rPr>
          <w:b/>
          <w:bCs/>
          <w:iCs/>
        </w:rPr>
        <w:t>estoppel</w:t>
      </w:r>
      <w:r w:rsidR="00D90819">
        <w:t xml:space="preserve">). </w:t>
      </w:r>
      <w:r w:rsidR="00FA24EB">
        <w:t xml:space="preserve">As </w:t>
      </w:r>
      <w:r w:rsidR="00544B8B">
        <w:t xml:space="preserve">is </w:t>
      </w:r>
      <w:r w:rsidR="00FA24EB">
        <w:t xml:space="preserve">discussed below, </w:t>
      </w:r>
      <w:r w:rsidR="00B85D16">
        <w:t xml:space="preserve">the principle was not engaged in the present case and </w:t>
      </w:r>
      <w:r w:rsidR="00617B63">
        <w:t xml:space="preserve">leave should be </w:t>
      </w:r>
      <w:r w:rsidR="00A24CA6">
        <w:t>granted</w:t>
      </w:r>
      <w:r w:rsidR="00617B63">
        <w:t xml:space="preserve"> to Ms Pearson to rely on the </w:t>
      </w:r>
      <w:r w:rsidR="00C22750">
        <w:t>SFAO</w:t>
      </w:r>
      <w:r w:rsidR="001B2921">
        <w:t>A</w:t>
      </w:r>
      <w:r w:rsidR="00C22750">
        <w:t>.</w:t>
      </w:r>
    </w:p>
    <w:p w14:paraId="66F683EE" w14:textId="7037D94E" w:rsidR="001C220D" w:rsidRDefault="001C220D" w:rsidP="00CD1346">
      <w:pPr>
        <w:pStyle w:val="ParaNumbering"/>
      </w:pPr>
      <w:r>
        <w:t>For the reasons that follow</w:t>
      </w:r>
      <w:r w:rsidR="003B5632">
        <w:t>,</w:t>
      </w:r>
      <w:r w:rsidR="0060511D">
        <w:t xml:space="preserve"> the first </w:t>
      </w:r>
      <w:r w:rsidR="003B5632">
        <w:t xml:space="preserve">question </w:t>
      </w:r>
      <w:r w:rsidR="00C22750">
        <w:t>raised in the SFAO</w:t>
      </w:r>
      <w:r w:rsidR="001B2921">
        <w:t>A</w:t>
      </w:r>
      <w:r w:rsidR="00C22750">
        <w:t xml:space="preserve"> </w:t>
      </w:r>
      <w:r w:rsidR="0060511D">
        <w:t>should</w:t>
      </w:r>
      <w:r w:rsidR="00493C3B">
        <w:t xml:space="preserve"> be answered “No”</w:t>
      </w:r>
      <w:r w:rsidR="0060511D">
        <w:t>, and the second that it is neither a single sentence to a term of imprisonment nor a sentence to two or more terms of imprisonment</w:t>
      </w:r>
      <w:r w:rsidR="00493C3B">
        <w:t xml:space="preserve">. </w:t>
      </w:r>
      <w:r w:rsidR="003C2BFC">
        <w:t>Consequently, Ms Pearson</w:t>
      </w:r>
      <w:r w:rsidR="00136F13">
        <w:t xml:space="preserve">’s first </w:t>
      </w:r>
      <w:r w:rsidR="00742A69">
        <w:t>and second grounds of appeal</w:t>
      </w:r>
      <w:r w:rsidR="00870338">
        <w:t xml:space="preserve"> </w:t>
      </w:r>
      <w:r w:rsidR="00687802">
        <w:t xml:space="preserve">(which reflect the first question) </w:t>
      </w:r>
      <w:r w:rsidR="00D245A3">
        <w:t xml:space="preserve">must be dismissed. Ground </w:t>
      </w:r>
      <w:r w:rsidR="005D00B4">
        <w:t>three</w:t>
      </w:r>
      <w:r w:rsidR="00B816B3">
        <w:t xml:space="preserve"> (which reflects the second question)</w:t>
      </w:r>
      <w:r w:rsidR="005D00B4">
        <w:t xml:space="preserve"> </w:t>
      </w:r>
      <w:r w:rsidR="00C22750">
        <w:t>must be upheld</w:t>
      </w:r>
      <w:r w:rsidR="00705A89">
        <w:t>.</w:t>
      </w:r>
    </w:p>
    <w:p w14:paraId="1A30378D" w14:textId="77777777" w:rsidR="00705A89" w:rsidRDefault="00705A89" w:rsidP="00487082">
      <w:pPr>
        <w:pStyle w:val="Heading2"/>
      </w:pPr>
      <w:r>
        <w:t>Back</w:t>
      </w:r>
      <w:r w:rsidR="00487082">
        <w:t>ground</w:t>
      </w:r>
    </w:p>
    <w:p w14:paraId="46CFD9E3" w14:textId="208FD73F" w:rsidR="0007595C" w:rsidRDefault="007221EA" w:rsidP="00CD1346">
      <w:pPr>
        <w:pStyle w:val="ParaNumbering"/>
      </w:pPr>
      <w:r>
        <w:t xml:space="preserve">On 17 July 2019, Ms Pearson was notified that </w:t>
      </w:r>
      <w:r w:rsidR="00EC27C2">
        <w:t xml:space="preserve">a delegate of the </w:t>
      </w:r>
      <w:r w:rsidR="00EC27C2" w:rsidRPr="00EC27C2">
        <w:rPr>
          <w:b/>
          <w:bCs/>
        </w:rPr>
        <w:t>Minister</w:t>
      </w:r>
      <w:r w:rsidR="00EC27C2">
        <w:t xml:space="preserve"> for</w:t>
      </w:r>
      <w:r w:rsidR="00727D1D">
        <w:t xml:space="preserve"> the</w:t>
      </w:r>
      <w:r w:rsidR="00EC27C2">
        <w:t xml:space="preserve"> </w:t>
      </w:r>
      <w:r w:rsidR="0020154F" w:rsidRPr="00FB2648">
        <w:rPr>
          <w:b/>
        </w:rPr>
        <w:t>Department</w:t>
      </w:r>
      <w:r w:rsidR="0020154F">
        <w:t xml:space="preserve"> of </w:t>
      </w:r>
      <w:r w:rsidR="00EC27C2">
        <w:t>Home Affairs had cancelled her</w:t>
      </w:r>
      <w:r w:rsidR="006031DF">
        <w:t xml:space="preserve"> class TY subclass 444 Special Category (Temporary) </w:t>
      </w:r>
      <w:r w:rsidR="006031DF" w:rsidRPr="00BB02C3">
        <w:rPr>
          <w:b/>
          <w:bCs/>
        </w:rPr>
        <w:t>visa</w:t>
      </w:r>
      <w:r w:rsidR="00E960DD">
        <w:t xml:space="preserve"> under s 501(3A</w:t>
      </w:r>
      <w:r w:rsidR="00BB02C3">
        <w:t>)</w:t>
      </w:r>
      <w:r w:rsidR="00E960DD">
        <w:t xml:space="preserve"> of the </w:t>
      </w:r>
      <w:r w:rsidR="00E960DD" w:rsidRPr="00BB02C3">
        <w:rPr>
          <w:i/>
          <w:iCs/>
        </w:rPr>
        <w:t>Migration Act</w:t>
      </w:r>
      <w:r w:rsidR="00BB02C3">
        <w:t xml:space="preserve"> because she had been sentenced to a term of imprisonment</w:t>
      </w:r>
      <w:r w:rsidR="00954462">
        <w:t xml:space="preserve"> of 12 months or more (</w:t>
      </w:r>
      <w:r w:rsidR="00954462" w:rsidRPr="00954462">
        <w:rPr>
          <w:b/>
          <w:bCs/>
        </w:rPr>
        <w:t>Cancellation decision</w:t>
      </w:r>
      <w:r w:rsidR="00954462">
        <w:t>).</w:t>
      </w:r>
      <w:r w:rsidR="00FC0E0B">
        <w:t xml:space="preserve"> Ms Pearson was informed of </w:t>
      </w:r>
      <w:r w:rsidR="004469E0">
        <w:t>that decision by letter dated 17 July 2019</w:t>
      </w:r>
      <w:r w:rsidR="001C1885">
        <w:t xml:space="preserve"> and was </w:t>
      </w:r>
      <w:r w:rsidR="00915DC0">
        <w:t xml:space="preserve">invited to make representations </w:t>
      </w:r>
      <w:r w:rsidR="00735AE0">
        <w:t xml:space="preserve">to the Minister </w:t>
      </w:r>
      <w:r w:rsidR="00735AE0">
        <w:lastRenderedPageBreak/>
        <w:t>about revoking the decision to cancel her visa</w:t>
      </w:r>
      <w:r w:rsidR="00D4553A">
        <w:t>. The letter informed Ms Pearson that the representations</w:t>
      </w:r>
      <w:r w:rsidR="005C7836">
        <w:t>:</w:t>
      </w:r>
    </w:p>
    <w:p w14:paraId="2EE6C61D" w14:textId="5890A95D" w:rsidR="00B45613" w:rsidRPr="000E62A2" w:rsidRDefault="00D4553A" w:rsidP="007C3D8A">
      <w:pPr>
        <w:pStyle w:val="Quote1"/>
      </w:pPr>
      <w:proofErr w:type="gramStart"/>
      <w:r w:rsidRPr="000E62A2">
        <w:t>must</w:t>
      </w:r>
      <w:proofErr w:type="gramEnd"/>
      <w:r w:rsidRPr="000E62A2">
        <w:t xml:space="preserve"> be made in accordance wit</w:t>
      </w:r>
      <w:r w:rsidR="00675BE7" w:rsidRPr="000E62A2">
        <w:t>h the instructions outlined below</w:t>
      </w:r>
      <w:r w:rsidR="0007595C" w:rsidRPr="000E62A2">
        <w:t xml:space="preserve">, under the headings ‘How to make </w:t>
      </w:r>
      <w:r w:rsidR="000E62A2" w:rsidRPr="000E62A2">
        <w:t>representations about revocation of the original decision’ and ‘Timeframe to make representations about revocation’.</w:t>
      </w:r>
    </w:p>
    <w:p w14:paraId="664B088C" w14:textId="77777777" w:rsidR="001C1885" w:rsidRDefault="001C1885" w:rsidP="001C1885">
      <w:pPr>
        <w:pStyle w:val="ParaNumbering"/>
      </w:pPr>
      <w:r>
        <w:t xml:space="preserve">The </w:t>
      </w:r>
      <w:r w:rsidR="009B4482">
        <w:t xml:space="preserve">letter </w:t>
      </w:r>
      <w:r>
        <w:t xml:space="preserve">made </w:t>
      </w:r>
      <w:r w:rsidR="00D546D2">
        <w:t>four</w:t>
      </w:r>
      <w:r w:rsidR="004D5CD1">
        <w:t xml:space="preserve"> </w:t>
      </w:r>
      <w:r>
        <w:t xml:space="preserve">claims </w:t>
      </w:r>
      <w:r w:rsidR="00D546D2">
        <w:t xml:space="preserve">relevant to </w:t>
      </w:r>
      <w:r>
        <w:t xml:space="preserve">the period in which </w:t>
      </w:r>
      <w:r w:rsidR="009B4482">
        <w:t>she was required to</w:t>
      </w:r>
      <w:r>
        <w:t xml:space="preserve"> make h</w:t>
      </w:r>
      <w:r w:rsidR="009B4482">
        <w:t xml:space="preserve">er </w:t>
      </w:r>
      <w:r>
        <w:t>representations:</w:t>
      </w:r>
    </w:p>
    <w:p w14:paraId="6793BDAC" w14:textId="4F6AEBF4" w:rsidR="001C1885" w:rsidRDefault="003105A6" w:rsidP="001C1885">
      <w:pPr>
        <w:pStyle w:val="FCBullets"/>
      </w:pPr>
      <w:proofErr w:type="gramStart"/>
      <w:r>
        <w:t>a</w:t>
      </w:r>
      <w:r w:rsidR="001C1885">
        <w:t>ny</w:t>
      </w:r>
      <w:proofErr w:type="gramEnd"/>
      <w:r w:rsidR="001C1885">
        <w:t xml:space="preserve"> representations </w:t>
      </w:r>
      <w:r w:rsidR="00B22391">
        <w:t>“</w:t>
      </w:r>
      <w:r w:rsidR="001C1885" w:rsidRPr="00314447">
        <w:rPr>
          <w:i/>
          <w:iCs/>
        </w:rPr>
        <w:t>must be made within 28 days</w:t>
      </w:r>
      <w:r w:rsidR="001C1885">
        <w:t xml:space="preserve"> after </w:t>
      </w:r>
      <w:r>
        <w:t xml:space="preserve">you are given </w:t>
      </w:r>
      <w:r w:rsidR="001C1885">
        <w:t>th</w:t>
      </w:r>
      <w:r>
        <w:t>is</w:t>
      </w:r>
      <w:r w:rsidR="001C1885">
        <w:t xml:space="preserve"> notice</w:t>
      </w:r>
      <w:r w:rsidR="00B22391">
        <w:t>”</w:t>
      </w:r>
      <w:r w:rsidR="00727D1D">
        <w:t>.</w:t>
      </w:r>
    </w:p>
    <w:p w14:paraId="29E04F05" w14:textId="4B0A874C" w:rsidR="004D5CD1" w:rsidRDefault="005D409E" w:rsidP="008B00F4">
      <w:pPr>
        <w:pStyle w:val="FCBullets"/>
      </w:pPr>
      <w:proofErr w:type="gramStart"/>
      <w:r>
        <w:t>the</w:t>
      </w:r>
      <w:proofErr w:type="gramEnd"/>
      <w:r>
        <w:t xml:space="preserve"> </w:t>
      </w:r>
      <w:r w:rsidR="00B22391">
        <w:t>“</w:t>
      </w:r>
      <w:r w:rsidR="001C1885">
        <w:t>R</w:t>
      </w:r>
      <w:r>
        <w:t>equired Information</w:t>
      </w:r>
      <w:r w:rsidR="00B22391">
        <w:t xml:space="preserve">” </w:t>
      </w:r>
      <w:r>
        <w:t>(which was defined to include</w:t>
      </w:r>
      <w:r w:rsidR="00265A28">
        <w:t xml:space="preserve"> the information specified in </w:t>
      </w:r>
      <w:proofErr w:type="spellStart"/>
      <w:r w:rsidR="00314447">
        <w:t>reg</w:t>
      </w:r>
      <w:proofErr w:type="spellEnd"/>
      <w:r w:rsidR="00314447">
        <w:t xml:space="preserve"> 2.52(4)) </w:t>
      </w:r>
      <w:r w:rsidR="00B22391">
        <w:t>“</w:t>
      </w:r>
      <w:r w:rsidR="001A489D" w:rsidRPr="00F569A1">
        <w:rPr>
          <w:b/>
          <w:bCs/>
          <w:i/>
          <w:iCs/>
        </w:rPr>
        <w:t>MUST</w:t>
      </w:r>
      <w:r w:rsidR="001A489D" w:rsidRPr="00F569A1">
        <w:rPr>
          <w:i/>
          <w:iCs/>
        </w:rPr>
        <w:t xml:space="preserve"> be </w:t>
      </w:r>
      <w:r w:rsidR="001C1885" w:rsidRPr="00F569A1">
        <w:rPr>
          <w:i/>
          <w:iCs/>
        </w:rPr>
        <w:t xml:space="preserve">received </w:t>
      </w:r>
      <w:r w:rsidR="00F569A1" w:rsidRPr="00F569A1">
        <w:rPr>
          <w:i/>
          <w:iCs/>
        </w:rPr>
        <w:t>by the Department within 28 days</w:t>
      </w:r>
      <w:r w:rsidR="00F569A1">
        <w:t xml:space="preserve"> after you are taken to have received this notice</w:t>
      </w:r>
      <w:r w:rsidR="00B22391">
        <w:t>”</w:t>
      </w:r>
      <w:r w:rsidR="008B00F4">
        <w:t>.</w:t>
      </w:r>
      <w:r w:rsidR="005B4FF7">
        <w:t xml:space="preserve"> </w:t>
      </w:r>
    </w:p>
    <w:p w14:paraId="1D443CFF" w14:textId="77777777" w:rsidR="00D546D2" w:rsidRDefault="00917640" w:rsidP="008B00F4">
      <w:pPr>
        <w:pStyle w:val="FCBullets"/>
      </w:pPr>
      <w:r>
        <w:t>“</w:t>
      </w:r>
      <w:r w:rsidR="00D546D2">
        <w:t>As this notice was sent by mail from a place in Australia to an address in Australia, you are taken to have received it seven (7) working days after the date of this notice</w:t>
      </w:r>
      <w:r>
        <w:t>”</w:t>
      </w:r>
      <w:r w:rsidR="00D546D2">
        <w:t>.</w:t>
      </w:r>
    </w:p>
    <w:p w14:paraId="5DE4D5BB" w14:textId="77777777" w:rsidR="001C1885" w:rsidRDefault="00917640" w:rsidP="005A29A1">
      <w:pPr>
        <w:pStyle w:val="FCBullets"/>
      </w:pPr>
      <w:r>
        <w:t>“</w:t>
      </w:r>
      <w:r w:rsidR="005B4FF7">
        <w:t>If the</w:t>
      </w:r>
      <w:r w:rsidR="000D1C0E">
        <w:t xml:space="preserve"> Required Information is received outside the prescribed timeframe of 28 days, the Minister or his/her delegate is not able to consider your representations because they would not have been made in accordance</w:t>
      </w:r>
      <w:r w:rsidR="00D63E2A">
        <w:t xml:space="preserve"> with the invitation (as set out in this notice), as required by s 501CA(4)(a) of the Act</w:t>
      </w:r>
      <w:r w:rsidR="005A29A1">
        <w:t>”.</w:t>
      </w:r>
    </w:p>
    <w:p w14:paraId="2EE851A2" w14:textId="6DF552A3" w:rsidR="005A29A1" w:rsidRDefault="005A29A1" w:rsidP="005A29A1">
      <w:pPr>
        <w:pStyle w:val="FCBullets"/>
        <w:numPr>
          <w:ilvl w:val="0"/>
          <w:numId w:val="0"/>
        </w:numPr>
      </w:pPr>
      <w:r>
        <w:t>(</w:t>
      </w:r>
      <w:r w:rsidR="00DB5646">
        <w:t>E</w:t>
      </w:r>
      <w:r>
        <w:t>mphasis added)</w:t>
      </w:r>
    </w:p>
    <w:p w14:paraId="21908081" w14:textId="77777777" w:rsidR="00747DAF" w:rsidRDefault="005C5554" w:rsidP="00180974">
      <w:pPr>
        <w:pStyle w:val="ParaNumbering"/>
      </w:pPr>
      <w:r>
        <w:t xml:space="preserve">Ms Pearson </w:t>
      </w:r>
      <w:r w:rsidR="0070396F">
        <w:t>was also informed th</w:t>
      </w:r>
      <w:r w:rsidR="00467408">
        <w:t xml:space="preserve">at once the Required Information had been received by the Department within the 28-day period, she was at liberty to provide any </w:t>
      </w:r>
      <w:r w:rsidR="00DF2D13">
        <w:t>additional information</w:t>
      </w:r>
      <w:r w:rsidR="00966061">
        <w:t xml:space="preserve"> which would be considered if received before the </w:t>
      </w:r>
      <w:r w:rsidR="003E54B8">
        <w:t>revocation decision was made.</w:t>
      </w:r>
      <w:r w:rsidR="00180974">
        <w:t xml:space="preserve"> </w:t>
      </w:r>
      <w:r w:rsidR="00747DAF">
        <w:t xml:space="preserve">Ms Pearson was deemed to have received the invitation to make representations on </w:t>
      </w:r>
      <w:r w:rsidR="006D1C8A">
        <w:t>26 July 2019.</w:t>
      </w:r>
    </w:p>
    <w:p w14:paraId="3F9EA7BC" w14:textId="77777777" w:rsidR="0072436D" w:rsidRDefault="00CB5305" w:rsidP="00CD1346">
      <w:pPr>
        <w:pStyle w:val="ParaNumbering"/>
      </w:pPr>
      <w:r>
        <w:t>By email on 22 August 20</w:t>
      </w:r>
      <w:r w:rsidR="00361EA8">
        <w:t>19 at 4:18:27 pm</w:t>
      </w:r>
      <w:r w:rsidR="0060511D">
        <w:t xml:space="preserve"> (being sent by Ms Pearson and received by the Department within 28 days of receipt</w:t>
      </w:r>
      <w:r w:rsidR="005C7836">
        <w:t xml:space="preserve"> of the invitation by Ms Pearson)</w:t>
      </w:r>
      <w:r w:rsidR="00361EA8">
        <w:t xml:space="preserve"> </w:t>
      </w:r>
      <w:r w:rsidR="00526DD8">
        <w:t>Ms Pearson</w:t>
      </w:r>
      <w:r w:rsidR="00361EA8">
        <w:t xml:space="preserve">’s legal representatives </w:t>
      </w:r>
      <w:r w:rsidR="00526DD8">
        <w:t xml:space="preserve">made representations </w:t>
      </w:r>
      <w:r w:rsidR="00361EA8">
        <w:t xml:space="preserve">on her behalf </w:t>
      </w:r>
      <w:r w:rsidR="00290366">
        <w:t>to support her request for revocation of the Cancellation decision</w:t>
      </w:r>
      <w:r w:rsidR="00361EA8">
        <w:t>.</w:t>
      </w:r>
      <w:r w:rsidR="007649CA">
        <w:t xml:space="preserve"> </w:t>
      </w:r>
    </w:p>
    <w:p w14:paraId="4495AD17" w14:textId="77777777" w:rsidR="00155A03" w:rsidRDefault="00453F51" w:rsidP="00CD1346">
      <w:pPr>
        <w:pStyle w:val="ParaNumbering"/>
      </w:pPr>
      <w:r>
        <w:t>The Dep</w:t>
      </w:r>
      <w:r w:rsidR="00306691">
        <w:t>a</w:t>
      </w:r>
      <w:r>
        <w:t xml:space="preserve">rtment acknowledged receipt of Ms Pearson’s representations </w:t>
      </w:r>
      <w:r w:rsidR="00830358">
        <w:t>by email on</w:t>
      </w:r>
      <w:r>
        <w:t xml:space="preserve"> 23 August 2019 </w:t>
      </w:r>
      <w:r w:rsidR="00306691">
        <w:t>which also said the Department “will consider them in due course”.</w:t>
      </w:r>
    </w:p>
    <w:p w14:paraId="3D1E245F" w14:textId="77777777" w:rsidR="009D0FBD" w:rsidRDefault="009D0FBD" w:rsidP="00CD1346">
      <w:pPr>
        <w:pStyle w:val="ParaNumbering"/>
      </w:pPr>
      <w:r>
        <w:t xml:space="preserve">Further </w:t>
      </w:r>
      <w:r w:rsidR="003E54B8">
        <w:t xml:space="preserve">information was provided to the Department </w:t>
      </w:r>
      <w:r w:rsidR="005E183D">
        <w:t xml:space="preserve">by Ms Pearson’s legal representatives </w:t>
      </w:r>
      <w:r w:rsidR="008151AE">
        <w:t>on 15 October 2019, 20 November 2019,</w:t>
      </w:r>
      <w:r w:rsidR="000C0D27">
        <w:t xml:space="preserve"> 22 November 2019, and 25 November 2019</w:t>
      </w:r>
      <w:r w:rsidR="00E20C34">
        <w:t>.</w:t>
      </w:r>
    </w:p>
    <w:p w14:paraId="48662242" w14:textId="77777777" w:rsidR="000F6342" w:rsidRPr="0072436D" w:rsidRDefault="00DA4F39" w:rsidP="00CD1346">
      <w:pPr>
        <w:pStyle w:val="ParaNumbering"/>
      </w:pPr>
      <w:r>
        <w:lastRenderedPageBreak/>
        <w:t>By letter dated 30 March 2020, t</w:t>
      </w:r>
      <w:r w:rsidR="000F6342">
        <w:t xml:space="preserve">he Department </w:t>
      </w:r>
      <w:r>
        <w:t xml:space="preserve">invited Ms Pearson to comment </w:t>
      </w:r>
      <w:r w:rsidR="00CA7969">
        <w:t>on information it had received relating to the sentencing remarks of the District Court of NSW on 28 February 2019 and a media article dated 13 September 2017.</w:t>
      </w:r>
      <w:r w:rsidR="00E74EEC" w:rsidRPr="00E74EEC">
        <w:t xml:space="preserve"> </w:t>
      </w:r>
      <w:r w:rsidR="00E74EEC">
        <w:t xml:space="preserve">A </w:t>
      </w:r>
      <w:r w:rsidR="001E403D">
        <w:t>“</w:t>
      </w:r>
      <w:r w:rsidR="00E74EEC">
        <w:t>procedural fairness</w:t>
      </w:r>
      <w:r w:rsidR="001E403D">
        <w:t>”</w:t>
      </w:r>
      <w:r w:rsidR="00E74EEC">
        <w:t xml:space="preserve"> notice</w:t>
      </w:r>
      <w:r w:rsidR="00CD54BD">
        <w:t>, as this letter was,</w:t>
      </w:r>
      <w:r w:rsidR="00E74EEC">
        <w:t xml:space="preserve"> </w:t>
      </w:r>
      <w:r w:rsidR="00CD54BD">
        <w:t>is</w:t>
      </w:r>
      <w:r w:rsidR="00E74EEC">
        <w:t xml:space="preserve"> not </w:t>
      </w:r>
      <w:r w:rsidR="001E403D">
        <w:t>“</w:t>
      </w:r>
      <w:r w:rsidR="00E74EEC">
        <w:t xml:space="preserve">a representation under paragraph </w:t>
      </w:r>
      <w:proofErr w:type="gramStart"/>
      <w:r w:rsidR="00E74EEC">
        <w:t>501CA(</w:t>
      </w:r>
      <w:proofErr w:type="gramEnd"/>
      <w:r w:rsidR="00E74EEC">
        <w:t>3)(b)</w:t>
      </w:r>
      <w:r w:rsidR="001E403D">
        <w:t>”</w:t>
      </w:r>
      <w:r w:rsidR="00E74EEC">
        <w:t xml:space="preserve"> and so the time period prescribed by </w:t>
      </w:r>
      <w:proofErr w:type="spellStart"/>
      <w:r w:rsidR="00E74EEC">
        <w:t>reg</w:t>
      </w:r>
      <w:proofErr w:type="spellEnd"/>
      <w:r w:rsidR="00E74EEC">
        <w:t xml:space="preserve"> 2.52(2)(b) </w:t>
      </w:r>
      <w:r w:rsidR="00CD54BD">
        <w:t>was</w:t>
      </w:r>
      <w:r w:rsidR="00E74EEC">
        <w:t xml:space="preserve"> of no application to th</w:t>
      </w:r>
      <w:r w:rsidR="00CD54BD">
        <w:t>at</w:t>
      </w:r>
      <w:r w:rsidR="00E74EEC">
        <w:t xml:space="preserve"> request.</w:t>
      </w:r>
    </w:p>
    <w:p w14:paraId="113D1E56" w14:textId="241C9773" w:rsidR="0046251B" w:rsidRDefault="0046251B" w:rsidP="00B95D8B">
      <w:pPr>
        <w:pStyle w:val="ParaNumbering"/>
      </w:pPr>
      <w:r>
        <w:t xml:space="preserve">On 24 June </w:t>
      </w:r>
      <w:r w:rsidR="0020154F">
        <w:t>2020</w:t>
      </w:r>
      <w:r w:rsidR="00DD3723">
        <w:t>, Ms Pearson was notified that the Minister’s delegate had decide</w:t>
      </w:r>
      <w:r w:rsidR="004918BB">
        <w:t>d not to revoke the Cancellation decision (</w:t>
      </w:r>
      <w:r w:rsidR="004918BB" w:rsidRPr="004918BB">
        <w:rPr>
          <w:b/>
          <w:bCs/>
        </w:rPr>
        <w:t>Non-Revocation Decision</w:t>
      </w:r>
      <w:r w:rsidR="004918BB">
        <w:t>).</w:t>
      </w:r>
    </w:p>
    <w:p w14:paraId="70C19358" w14:textId="77777777" w:rsidR="00663A9D" w:rsidRDefault="00663A9D" w:rsidP="00B95D8B">
      <w:pPr>
        <w:pStyle w:val="ParaNumbering"/>
      </w:pPr>
      <w:r>
        <w:t xml:space="preserve">Ms Pearson </w:t>
      </w:r>
      <w:r w:rsidR="00B31116">
        <w:t xml:space="preserve">sought review of the </w:t>
      </w:r>
      <w:r w:rsidR="00A0106D">
        <w:t xml:space="preserve">Non-Revocation Decision by the </w:t>
      </w:r>
      <w:r w:rsidR="00D316BA">
        <w:t>Administrative Appeal</w:t>
      </w:r>
      <w:r w:rsidR="003260BD">
        <w:t>s</w:t>
      </w:r>
      <w:r w:rsidR="00D316BA">
        <w:t xml:space="preserve"> </w:t>
      </w:r>
      <w:r w:rsidR="00D316BA" w:rsidRPr="00D316BA">
        <w:rPr>
          <w:b/>
          <w:bCs/>
        </w:rPr>
        <w:t>Tribunal</w:t>
      </w:r>
      <w:r w:rsidR="00D316BA">
        <w:rPr>
          <w:b/>
          <w:bCs/>
        </w:rPr>
        <w:t xml:space="preserve"> </w:t>
      </w:r>
      <w:r w:rsidR="00D316BA">
        <w:t xml:space="preserve">which, on </w:t>
      </w:r>
      <w:r w:rsidR="000334EB">
        <w:t>15 September 2020, affirmed the decision</w:t>
      </w:r>
      <w:r w:rsidR="008B2654">
        <w:t xml:space="preserve">. </w:t>
      </w:r>
      <w:r w:rsidR="00331CFB">
        <w:t>On</w:t>
      </w:r>
      <w:r w:rsidR="00E604D1">
        <w:t xml:space="preserve"> 22 July 2021, </w:t>
      </w:r>
      <w:r w:rsidR="005C7836">
        <w:t>a judge of the Court</w:t>
      </w:r>
      <w:r w:rsidR="00E604D1">
        <w:t xml:space="preserve"> </w:t>
      </w:r>
      <w:r w:rsidR="00331CFB">
        <w:t xml:space="preserve">dismissed an application for </w:t>
      </w:r>
      <w:r w:rsidR="00E604D1">
        <w:t xml:space="preserve">judicial </w:t>
      </w:r>
      <w:r w:rsidR="00331CFB">
        <w:t>review of the T</w:t>
      </w:r>
      <w:r w:rsidR="00E604D1">
        <w:t>ribunal’s decision</w:t>
      </w:r>
      <w:r w:rsidR="00D46761">
        <w:t xml:space="preserve"> (</w:t>
      </w:r>
      <w:r w:rsidR="00D46761" w:rsidRPr="000764DF">
        <w:rPr>
          <w:i/>
          <w:iCs/>
        </w:rPr>
        <w:t xml:space="preserve">Pearson v Minister for Immigration, Citizenship, Migrant Services and Multicultural Affairs </w:t>
      </w:r>
      <w:r w:rsidR="00D46761" w:rsidRPr="000764DF">
        <w:t>[2021] FCA 825</w:t>
      </w:r>
      <w:r w:rsidR="00D46761">
        <w:t>)</w:t>
      </w:r>
      <w:r w:rsidR="00C4419E">
        <w:t>. That decision</w:t>
      </w:r>
      <w:r w:rsidR="00E604D1">
        <w:t xml:space="preserve"> was upheld by the Full Court</w:t>
      </w:r>
      <w:r w:rsidR="00E74661">
        <w:t xml:space="preserve"> </w:t>
      </w:r>
      <w:r w:rsidR="001A0B1E">
        <w:t>on 1 March 2022</w:t>
      </w:r>
      <w:r w:rsidR="00D46761">
        <w:t xml:space="preserve"> (</w:t>
      </w:r>
      <w:r w:rsidR="00813734" w:rsidRPr="000764DF">
        <w:rPr>
          <w:i/>
          <w:iCs/>
        </w:rPr>
        <w:t xml:space="preserve">Pearson v Minister for Immigration, Citizenship, Migrant Services and Multicultural Affairs </w:t>
      </w:r>
      <w:r w:rsidR="00813734" w:rsidRPr="000764DF">
        <w:t>[2022] FCAFC 22</w:t>
      </w:r>
      <w:r w:rsidR="0020154F">
        <w:t>)</w:t>
      </w:r>
      <w:r w:rsidR="001A0B1E">
        <w:t>.</w:t>
      </w:r>
      <w:r w:rsidR="00625B4F">
        <w:t xml:space="preserve"> These proceedings were commenced on </w:t>
      </w:r>
      <w:r w:rsidR="008B6F7F">
        <w:t>10 October 2022 subsequent to Ms Pearson’s being served with a notice of intended removal from Australia</w:t>
      </w:r>
      <w:r w:rsidR="00C2286E">
        <w:t xml:space="preserve"> five days earlier.</w:t>
      </w:r>
    </w:p>
    <w:p w14:paraId="4D3E8975" w14:textId="77777777" w:rsidR="00537E36" w:rsidRDefault="00537E36" w:rsidP="00537E36">
      <w:pPr>
        <w:pStyle w:val="Heading2"/>
      </w:pPr>
      <w:r>
        <w:t>Section 501CA of the Migration Act</w:t>
      </w:r>
    </w:p>
    <w:p w14:paraId="732C3C52" w14:textId="77777777" w:rsidR="00C80202" w:rsidRDefault="0020154F" w:rsidP="00C80202">
      <w:pPr>
        <w:pStyle w:val="ParaNumbering"/>
      </w:pPr>
      <w:r>
        <w:t xml:space="preserve">Section </w:t>
      </w:r>
      <w:r w:rsidR="00631D46">
        <w:t xml:space="preserve">501CA(3) requires the Minister, as soon as practicable after making a decision to cancel under s 501(3A), to: </w:t>
      </w:r>
    </w:p>
    <w:p w14:paraId="0313086F" w14:textId="77777777" w:rsidR="00631D46" w:rsidRPr="00710964" w:rsidRDefault="00631D46" w:rsidP="005F2008">
      <w:pPr>
        <w:pStyle w:val="Quote1"/>
        <w:ind w:left="1440" w:hanging="703"/>
      </w:pPr>
      <w:r w:rsidRPr="00710964">
        <w:t xml:space="preserve">(a) </w:t>
      </w:r>
      <w:r w:rsidR="00C80202" w:rsidRPr="00710964">
        <w:tab/>
      </w:r>
      <w:proofErr w:type="gramStart"/>
      <w:r w:rsidRPr="00710964">
        <w:t>give</w:t>
      </w:r>
      <w:proofErr w:type="gramEnd"/>
      <w:r w:rsidRPr="00710964">
        <w:t xml:space="preserve"> the person, in the way that the Minister considers appropriate in th</w:t>
      </w:r>
      <w:r w:rsidR="00C80202" w:rsidRPr="00710964">
        <w:t xml:space="preserve">e </w:t>
      </w:r>
      <w:r w:rsidRPr="00710964">
        <w:t>circumstances:</w:t>
      </w:r>
    </w:p>
    <w:p w14:paraId="0C373A82" w14:textId="77777777" w:rsidR="00631D46" w:rsidRPr="00710964" w:rsidRDefault="00631D46" w:rsidP="000E4CCC">
      <w:pPr>
        <w:pStyle w:val="Quote2"/>
        <w:ind w:left="2160" w:hanging="720"/>
      </w:pPr>
      <w:r w:rsidRPr="00710964">
        <w:t>(</w:t>
      </w:r>
      <w:proofErr w:type="spellStart"/>
      <w:r w:rsidRPr="00710964">
        <w:t>i</w:t>
      </w:r>
      <w:proofErr w:type="spellEnd"/>
      <w:r w:rsidRPr="00710964">
        <w:t xml:space="preserve">) </w:t>
      </w:r>
      <w:r w:rsidR="007869AE" w:rsidRPr="00710964">
        <w:tab/>
      </w:r>
      <w:proofErr w:type="gramStart"/>
      <w:r w:rsidRPr="00710964">
        <w:t>a</w:t>
      </w:r>
      <w:proofErr w:type="gramEnd"/>
      <w:r w:rsidRPr="00710964">
        <w:t xml:space="preserve"> written notice that sets out the original decision; and </w:t>
      </w:r>
    </w:p>
    <w:p w14:paraId="3DCC38D6" w14:textId="77EAD93C" w:rsidR="00631D46" w:rsidRPr="00710964" w:rsidRDefault="00631D46" w:rsidP="000E4CCC">
      <w:pPr>
        <w:pStyle w:val="Quote2"/>
        <w:ind w:left="2160" w:hanging="720"/>
      </w:pPr>
      <w:r w:rsidRPr="00710964">
        <w:t xml:space="preserve">(ii) </w:t>
      </w:r>
      <w:r w:rsidR="00792EEA" w:rsidRPr="00710964">
        <w:tab/>
      </w:r>
      <w:proofErr w:type="gramStart"/>
      <w:r w:rsidRPr="00710964">
        <w:t>particulars</w:t>
      </w:r>
      <w:proofErr w:type="gramEnd"/>
      <w:r w:rsidRPr="00710964">
        <w:t xml:space="preserve"> of the relevant information; and</w:t>
      </w:r>
    </w:p>
    <w:p w14:paraId="5EAD4FA2" w14:textId="429E243A" w:rsidR="00537E36" w:rsidRPr="00682B7C" w:rsidRDefault="006C486B" w:rsidP="006C486B">
      <w:pPr>
        <w:pStyle w:val="Quote1"/>
        <w:ind w:left="1440" w:hanging="703"/>
      </w:pPr>
      <w:r>
        <w:t xml:space="preserve">(b) </w:t>
      </w:r>
      <w:r>
        <w:tab/>
      </w:r>
      <w:proofErr w:type="gramStart"/>
      <w:r w:rsidR="00992696" w:rsidRPr="00682B7C">
        <w:t>invite</w:t>
      </w:r>
      <w:proofErr w:type="gramEnd"/>
      <w:r w:rsidR="00992696" w:rsidRPr="00682B7C">
        <w:t xml:space="preserve"> the person to make representations to the Minister, within the period and in</w:t>
      </w:r>
      <w:r w:rsidR="008F2483" w:rsidRPr="00682B7C">
        <w:t xml:space="preserve"> </w:t>
      </w:r>
      <w:r w:rsidR="00992696" w:rsidRPr="00682B7C">
        <w:t>the manner ascertained in accordance with the regulations, about revocation of the original decision</w:t>
      </w:r>
      <w:r w:rsidR="006021D8" w:rsidRPr="00682B7C">
        <w:t>.</w:t>
      </w:r>
    </w:p>
    <w:p w14:paraId="39D4EBF8" w14:textId="77777777" w:rsidR="006021D8" w:rsidRDefault="006021D8" w:rsidP="006021D8">
      <w:pPr>
        <w:pStyle w:val="ParaNumbering"/>
      </w:pPr>
      <w:r>
        <w:t xml:space="preserve">Regulation 2.52(2) sets out the time period in which representations must be made: </w:t>
      </w:r>
    </w:p>
    <w:p w14:paraId="386D5512" w14:textId="77777777" w:rsidR="006021D8" w:rsidRPr="00710964" w:rsidRDefault="006021D8" w:rsidP="00FB2648">
      <w:pPr>
        <w:pStyle w:val="Quote1"/>
      </w:pPr>
      <w:r w:rsidRPr="00710964">
        <w:t xml:space="preserve">(2) </w:t>
      </w:r>
      <w:r w:rsidRPr="00710964">
        <w:tab/>
        <w:t>The representations must be made:</w:t>
      </w:r>
    </w:p>
    <w:p w14:paraId="5565746C" w14:textId="77777777" w:rsidR="006021D8" w:rsidRPr="00710964" w:rsidRDefault="006021D8" w:rsidP="000E4CCC">
      <w:pPr>
        <w:pStyle w:val="Quote2"/>
        <w:ind w:left="2160" w:hanging="720"/>
      </w:pPr>
      <w:r w:rsidRPr="00710964">
        <w:t xml:space="preserve">(a) </w:t>
      </w:r>
      <w:r w:rsidRPr="00710964">
        <w:tab/>
      </w:r>
      <w:proofErr w:type="gramStart"/>
      <w:r w:rsidRPr="00710964">
        <w:t>for</w:t>
      </w:r>
      <w:proofErr w:type="gramEnd"/>
      <w:r w:rsidRPr="00710964">
        <w:t xml:space="preserve"> a representation under paragraph 501C(3)(b) of the Act—within 7 days after the person is given the notice under subparagraph 501C(3)(a)(</w:t>
      </w:r>
      <w:proofErr w:type="spellStart"/>
      <w:r w:rsidRPr="00710964">
        <w:t>i</w:t>
      </w:r>
      <w:proofErr w:type="spellEnd"/>
      <w:r w:rsidRPr="00710964">
        <w:t>) of the Act; and</w:t>
      </w:r>
    </w:p>
    <w:p w14:paraId="303027C1" w14:textId="77777777" w:rsidR="006021D8" w:rsidRPr="00710964" w:rsidRDefault="006021D8" w:rsidP="000E4CCC">
      <w:pPr>
        <w:pStyle w:val="Quote2"/>
        <w:ind w:left="2160" w:hanging="720"/>
      </w:pPr>
      <w:r w:rsidRPr="00710964">
        <w:t xml:space="preserve">(b) </w:t>
      </w:r>
      <w:r w:rsidRPr="00710964">
        <w:tab/>
      </w:r>
      <w:proofErr w:type="gramStart"/>
      <w:r w:rsidRPr="00710964">
        <w:t>for</w:t>
      </w:r>
      <w:proofErr w:type="gramEnd"/>
      <w:r w:rsidRPr="00710964">
        <w:t xml:space="preserve"> a representation under paragraph 501CA(3)(b) of the Act—within 28 days after the person is given the notice and the particulars of relevant information under paragraph 501CA(3)(a) of the Act.</w:t>
      </w:r>
    </w:p>
    <w:p w14:paraId="4271ECC2" w14:textId="77777777" w:rsidR="00AF4252" w:rsidRDefault="00076B24" w:rsidP="00710964">
      <w:pPr>
        <w:pStyle w:val="ParaNumbering"/>
      </w:pPr>
      <w:r>
        <w:lastRenderedPageBreak/>
        <w:t>The Minister’s authority to revoke the original decision is contained in s 501CA(4), which provides:</w:t>
      </w:r>
    </w:p>
    <w:p w14:paraId="2794998E" w14:textId="77777777" w:rsidR="00076B24" w:rsidRPr="002F1E4E" w:rsidRDefault="00505951" w:rsidP="007C3D8A">
      <w:pPr>
        <w:pStyle w:val="Quote1"/>
      </w:pPr>
      <w:r w:rsidRPr="002F1E4E">
        <w:t>(4)</w:t>
      </w:r>
      <w:r w:rsidRPr="002F1E4E">
        <w:tab/>
        <w:t xml:space="preserve">The Minister </w:t>
      </w:r>
      <w:r w:rsidR="002F1E4E" w:rsidRPr="002F1E4E">
        <w:t>ma</w:t>
      </w:r>
      <w:r w:rsidR="003260BD">
        <w:t>y</w:t>
      </w:r>
      <w:r w:rsidR="002F1E4E" w:rsidRPr="002F1E4E">
        <w:t xml:space="preserve"> revoke the original decision if:</w:t>
      </w:r>
    </w:p>
    <w:p w14:paraId="0AD3B694" w14:textId="77777777" w:rsidR="002F1E4E" w:rsidRPr="002F1E4E" w:rsidRDefault="002F1E4E" w:rsidP="000E4CCC">
      <w:pPr>
        <w:pStyle w:val="Quote2"/>
        <w:ind w:left="2160" w:hanging="720"/>
      </w:pPr>
      <w:r w:rsidRPr="002F1E4E">
        <w:t>(a)</w:t>
      </w:r>
      <w:r w:rsidRPr="002F1E4E">
        <w:tab/>
      </w:r>
      <w:proofErr w:type="gramStart"/>
      <w:r w:rsidRPr="002F1E4E">
        <w:t>the</w:t>
      </w:r>
      <w:proofErr w:type="gramEnd"/>
      <w:r w:rsidRPr="002F1E4E">
        <w:t xml:space="preserve"> person makes representations in accordance with the invitation; and</w:t>
      </w:r>
    </w:p>
    <w:p w14:paraId="77100502" w14:textId="732841CF" w:rsidR="002F1E4E" w:rsidRPr="002F1E4E" w:rsidRDefault="002F1E4E" w:rsidP="000E4CCC">
      <w:pPr>
        <w:pStyle w:val="Quote2"/>
        <w:ind w:left="2160" w:hanging="720"/>
      </w:pPr>
      <w:r w:rsidRPr="002F1E4E">
        <w:t>(b)</w:t>
      </w:r>
      <w:r w:rsidRPr="002F1E4E">
        <w:tab/>
      </w:r>
      <w:proofErr w:type="gramStart"/>
      <w:r w:rsidRPr="002F1E4E">
        <w:t>the</w:t>
      </w:r>
      <w:proofErr w:type="gramEnd"/>
      <w:r w:rsidRPr="002F1E4E">
        <w:t xml:space="preserve"> Minister is satisfied:</w:t>
      </w:r>
    </w:p>
    <w:p w14:paraId="3C9D153D" w14:textId="77777777" w:rsidR="002F1E4E" w:rsidRPr="002F1E4E" w:rsidRDefault="002F1E4E" w:rsidP="000E4CCC">
      <w:pPr>
        <w:pStyle w:val="Quote3"/>
        <w:ind w:left="2880" w:hanging="720"/>
      </w:pPr>
      <w:r w:rsidRPr="002F1E4E">
        <w:t>(</w:t>
      </w:r>
      <w:proofErr w:type="spellStart"/>
      <w:r w:rsidRPr="002F1E4E">
        <w:t>i</w:t>
      </w:r>
      <w:proofErr w:type="spellEnd"/>
      <w:r w:rsidRPr="002F1E4E">
        <w:t>)</w:t>
      </w:r>
      <w:r w:rsidRPr="002F1E4E">
        <w:tab/>
      </w:r>
      <w:proofErr w:type="gramStart"/>
      <w:r w:rsidRPr="002F1E4E">
        <w:t>that</w:t>
      </w:r>
      <w:proofErr w:type="gramEnd"/>
      <w:r w:rsidRPr="002F1E4E">
        <w:t xml:space="preserve"> the person passes the character test (as defined by section 501); or</w:t>
      </w:r>
    </w:p>
    <w:p w14:paraId="71449435" w14:textId="77777777" w:rsidR="002F1E4E" w:rsidRPr="002F1E4E" w:rsidRDefault="002F1E4E" w:rsidP="000E4CCC">
      <w:pPr>
        <w:pStyle w:val="Quote3"/>
        <w:ind w:left="2880" w:hanging="720"/>
      </w:pPr>
      <w:r w:rsidRPr="002F1E4E">
        <w:t>(ii)</w:t>
      </w:r>
      <w:r w:rsidRPr="002F1E4E">
        <w:tab/>
      </w:r>
      <w:proofErr w:type="gramStart"/>
      <w:r w:rsidRPr="002F1E4E">
        <w:t>that</w:t>
      </w:r>
      <w:proofErr w:type="gramEnd"/>
      <w:r w:rsidRPr="002F1E4E">
        <w:t xml:space="preserve"> there is another reason why the original decision should be revoked.</w:t>
      </w:r>
    </w:p>
    <w:p w14:paraId="6EF6A74B" w14:textId="079CD76C" w:rsidR="00AF4252" w:rsidRDefault="00A7331F" w:rsidP="00710964">
      <w:pPr>
        <w:pStyle w:val="ParaNumbering"/>
      </w:pPr>
      <w:r>
        <w:t xml:space="preserve">Section </w:t>
      </w:r>
      <w:r w:rsidR="00834182">
        <w:t>501CA(3)</w:t>
      </w:r>
      <w:r w:rsidR="00606AD9">
        <w:t xml:space="preserve"> requires the Minister to do two things </w:t>
      </w:r>
      <w:r w:rsidR="00466944">
        <w:t>before reaching the requisite state of satisfaction to</w:t>
      </w:r>
      <w:r w:rsidR="00A40887">
        <w:t xml:space="preserve"> revoke, or not to revoke, the original decision</w:t>
      </w:r>
      <w:r w:rsidR="00606AD9">
        <w:t xml:space="preserve"> </w:t>
      </w:r>
      <w:r w:rsidR="00A40887">
        <w:t>–</w:t>
      </w:r>
      <w:r w:rsidR="00606AD9">
        <w:t xml:space="preserve"> </w:t>
      </w:r>
      <w:r w:rsidR="00A40887">
        <w:t xml:space="preserve">to give a </w:t>
      </w:r>
      <w:r w:rsidR="006D15E4">
        <w:t>written notice to the person concerned, and to invite</w:t>
      </w:r>
      <w:r w:rsidR="005C51B9">
        <w:t xml:space="preserve"> the person to make representations within a period of time and in a manner</w:t>
      </w:r>
      <w:r w:rsidR="001813EF">
        <w:t xml:space="preserve"> ascertained in accordance with the </w:t>
      </w:r>
      <w:r w:rsidR="00F225E0" w:rsidRPr="00F225E0">
        <w:rPr>
          <w:i/>
          <w:iCs/>
        </w:rPr>
        <w:t xml:space="preserve">Migration </w:t>
      </w:r>
      <w:r w:rsidR="001813EF" w:rsidRPr="00F225E0">
        <w:rPr>
          <w:i/>
          <w:iCs/>
        </w:rPr>
        <w:t>Regulations</w:t>
      </w:r>
      <w:r w:rsidR="005C51B9">
        <w:t>.</w:t>
      </w:r>
      <w:r w:rsidR="004F4C67">
        <w:t xml:space="preserve"> </w:t>
      </w:r>
      <w:r w:rsidR="003F414B">
        <w:t xml:space="preserve">The verbs “give” and “invite” bear their common </w:t>
      </w:r>
      <w:r w:rsidR="00B466FB">
        <w:t xml:space="preserve">or ordinary meanings of “to deliver or hand over” and “to request politely or formally”: </w:t>
      </w:r>
      <w:r w:rsidR="00B466FB" w:rsidRPr="000764DF">
        <w:rPr>
          <w:i/>
          <w:iCs/>
        </w:rPr>
        <w:t xml:space="preserve">Minister for Immigration and Border Protection v </w:t>
      </w:r>
      <w:r w:rsidR="00B466FB" w:rsidRPr="000764DF">
        <w:rPr>
          <w:b/>
          <w:bCs/>
          <w:i/>
          <w:iCs/>
        </w:rPr>
        <w:t>EFX17</w:t>
      </w:r>
      <w:r w:rsidR="00B466FB" w:rsidRPr="000764DF">
        <w:t xml:space="preserve"> [2021] HCA 9; </w:t>
      </w:r>
      <w:r w:rsidR="00522271" w:rsidRPr="000764DF">
        <w:t>271 CLR 112</w:t>
      </w:r>
      <w:r w:rsidR="0034461E">
        <w:t xml:space="preserve"> at [23]. The High Court </w:t>
      </w:r>
      <w:r w:rsidR="00EC75C2">
        <w:t>held that</w:t>
      </w:r>
      <w:r w:rsidR="003D32FC">
        <w:t>,</w:t>
      </w:r>
      <w:r w:rsidR="00EC75C2">
        <w:t xml:space="preserve"> “</w:t>
      </w:r>
      <w:r w:rsidR="003D32FC">
        <w:t>T</w:t>
      </w:r>
      <w:r w:rsidR="00EC75C2">
        <w:t xml:space="preserve">he verbs </w:t>
      </w:r>
      <w:r w:rsidR="003D32FC">
        <w:t>‘</w:t>
      </w:r>
      <w:r w:rsidR="00EC75C2">
        <w:t>give</w:t>
      </w:r>
      <w:r w:rsidR="003D32FC">
        <w:t>’</w:t>
      </w:r>
      <w:r w:rsidR="00EC75C2">
        <w:t xml:space="preserve"> and </w:t>
      </w:r>
      <w:r w:rsidR="003D32FC">
        <w:t>‘</w:t>
      </w:r>
      <w:r w:rsidR="00EC75C2">
        <w:t>invite</w:t>
      </w:r>
      <w:r w:rsidR="003D32FC">
        <w:t>’</w:t>
      </w:r>
      <w:r w:rsidR="00EC75C2">
        <w:t xml:space="preserve"> connote only the performance of an act rather than the consequences of that performance</w:t>
      </w:r>
      <w:r w:rsidR="003D32FC">
        <w:t>…”</w:t>
      </w:r>
      <w:r w:rsidR="00EC75C2">
        <w:t>: at</w:t>
      </w:r>
      <w:r w:rsidR="003D32FC">
        <w:t xml:space="preserve"> </w:t>
      </w:r>
      <w:r w:rsidR="00EC75C2">
        <w:t>[23]</w:t>
      </w:r>
      <w:r w:rsidR="003D32FC">
        <w:t>.</w:t>
      </w:r>
    </w:p>
    <w:p w14:paraId="077CD3C6" w14:textId="77777777" w:rsidR="000B2D72" w:rsidRDefault="000B2D72" w:rsidP="00710964">
      <w:pPr>
        <w:pStyle w:val="ParaNumbering"/>
      </w:pPr>
      <w:r>
        <w:t xml:space="preserve">There was no dispute that the Minister gave </w:t>
      </w:r>
      <w:r w:rsidR="00815A6C">
        <w:t xml:space="preserve">Ms Pearson a written notice, nor that the Minister invited Ms Pearson to make representations. </w:t>
      </w:r>
      <w:r w:rsidR="00B67657">
        <w:t>Equally, there was no dispute that the invitation di</w:t>
      </w:r>
      <w:r w:rsidR="00DE0128">
        <w:t xml:space="preserve">d not invite her to make those representations “within the period” </w:t>
      </w:r>
      <w:r w:rsidR="00924F68">
        <w:t xml:space="preserve">ascertained in accordance </w:t>
      </w:r>
      <w:r w:rsidR="00B21E53">
        <w:t xml:space="preserve">with the </w:t>
      </w:r>
      <w:r w:rsidR="00B21E53" w:rsidRPr="00B21E53">
        <w:rPr>
          <w:i/>
          <w:iCs/>
        </w:rPr>
        <w:t>Migration Regulations</w:t>
      </w:r>
      <w:r w:rsidR="00B21E53">
        <w:t>.</w:t>
      </w:r>
    </w:p>
    <w:p w14:paraId="5AD4F937" w14:textId="77777777" w:rsidR="00AF4252" w:rsidRDefault="00AF4252" w:rsidP="004F5A1A">
      <w:pPr>
        <w:pStyle w:val="Heading2"/>
      </w:pPr>
      <w:r>
        <w:t xml:space="preserve">The effect of the </w:t>
      </w:r>
      <w:r w:rsidR="002107A0">
        <w:t>invitation</w:t>
      </w:r>
    </w:p>
    <w:p w14:paraId="3769AC37" w14:textId="23B0171E" w:rsidR="00710964" w:rsidRDefault="00710964" w:rsidP="00710964">
      <w:pPr>
        <w:pStyle w:val="ParaNumbering"/>
      </w:pPr>
      <w:r>
        <w:t xml:space="preserve">Ms Pearson submitted that the invitation was invalid and ineffective because the period for representations was improperly crystallised. This was because the prescribed period was incorrectly identified as referable to when any representation was received by, or lodged with, the Department rather than by a period referable to when any representations were made or dispatched to the Minister. In </w:t>
      </w:r>
      <w:r w:rsidRPr="001A102F">
        <w:rPr>
          <w:i/>
          <w:iCs/>
        </w:rPr>
        <w:t>EFX17</w:t>
      </w:r>
      <w:r>
        <w:t xml:space="preserve"> the High Court held</w:t>
      </w:r>
      <w:r w:rsidR="001A102F">
        <w:t xml:space="preserve">, </w:t>
      </w:r>
      <w:r>
        <w:t>at [42], that “an invitation to make representation</w:t>
      </w:r>
      <w:r w:rsidR="00522271">
        <w:t>s</w:t>
      </w:r>
      <w:r>
        <w:t xml:space="preserve"> ‘within the period… ascertained in accordance with the regulations’ must crystallise the period either expressly or by reference to correct objective facts from which the period can be ascertained on the face of the invitation</w:t>
      </w:r>
      <w:r w:rsidR="00522271">
        <w:t>…</w:t>
      </w:r>
      <w:r>
        <w:t xml:space="preserve">” The </w:t>
      </w:r>
      <w:r w:rsidR="000A2965" w:rsidRPr="001B2921">
        <w:t>High</w:t>
      </w:r>
      <w:r w:rsidR="000A2965">
        <w:t xml:space="preserve"> </w:t>
      </w:r>
      <w:r>
        <w:t>Court said, at [41]:</w:t>
      </w:r>
    </w:p>
    <w:p w14:paraId="6C008FC5" w14:textId="77777777" w:rsidR="000D158C" w:rsidRDefault="00710964" w:rsidP="007D6773">
      <w:pPr>
        <w:pStyle w:val="Quote1"/>
      </w:pPr>
      <w:r w:rsidRPr="000D4255">
        <w:t xml:space="preserve">It can hardly be supposed that Parliament intended that a person whose visa had been cancelled would not be given the information that would reveal the date by which </w:t>
      </w:r>
      <w:r w:rsidRPr="000D4255">
        <w:lastRenderedPageBreak/>
        <w:t>representations m</w:t>
      </w:r>
      <w:r w:rsidRPr="002030A1">
        <w:t>u</w:t>
      </w:r>
      <w:r>
        <w:t>s</w:t>
      </w:r>
      <w:r w:rsidRPr="002030A1">
        <w:t>t be made if the person is to avoid the strict consequences of failing to make representations.</w:t>
      </w:r>
    </w:p>
    <w:p w14:paraId="6C9877F1" w14:textId="77777777" w:rsidR="00B95D8B" w:rsidRDefault="00B95D8B" w:rsidP="00B95D8B">
      <w:pPr>
        <w:pStyle w:val="ParaNumbering"/>
      </w:pPr>
      <w:r>
        <w:t xml:space="preserve">In </w:t>
      </w:r>
      <w:r w:rsidRPr="00D41471">
        <w:rPr>
          <w:i/>
          <w:iCs/>
        </w:rPr>
        <w:t>EFX17</w:t>
      </w:r>
      <w:r>
        <w:t xml:space="preserve">, the respondent was instructed that any representations must be made within the prescribed time period which was said to be </w:t>
      </w:r>
      <w:r w:rsidR="007D6773">
        <w:t>“</w:t>
      </w:r>
      <w:r>
        <w:t>within 28 days after you are taken to have received this notice</w:t>
      </w:r>
      <w:r w:rsidR="007D6773">
        <w:t>”</w:t>
      </w:r>
      <w:r>
        <w:t xml:space="preserve">. The instructions also said, </w:t>
      </w:r>
      <w:r w:rsidR="007D6773">
        <w:t>“</w:t>
      </w:r>
      <w:r>
        <w:t>As this notice was transmitted to you by email, you are taken to have received it at the end of the day it was transmitted</w:t>
      </w:r>
      <w:r w:rsidR="007D6773">
        <w:t>”</w:t>
      </w:r>
      <w:r>
        <w:t xml:space="preserve">. The email was transmitted to the Brisbane Correctional Centre on 3 January 2017 but the letter and its enclosures were handed to the respondent by a Corrective Services Officer the following day, 4 January 2017. If the letter and enclosures </w:t>
      </w:r>
      <w:r w:rsidR="007A1657">
        <w:t xml:space="preserve">had </w:t>
      </w:r>
      <w:r>
        <w:t xml:space="preserve">complied with s </w:t>
      </w:r>
      <w:proofErr w:type="gramStart"/>
      <w:r>
        <w:t>501CA(</w:t>
      </w:r>
      <w:proofErr w:type="gramEnd"/>
      <w:r>
        <w:t>3)</w:t>
      </w:r>
      <w:r w:rsidR="007A1657">
        <w:t>,</w:t>
      </w:r>
      <w:r>
        <w:t xml:space="preserve"> then the 28-day period would have started to run from 4 January 2017. The High Court held, at [40], that in the absence of any manner of ascertaining the 28-day period, and by incorrectly saying that the respondent was </w:t>
      </w:r>
      <w:r w:rsidR="007A1657">
        <w:t>“</w:t>
      </w:r>
      <w:r>
        <w:t>taken to have received [the letter] at the end of the day it was transmitted [by email]</w:t>
      </w:r>
      <w:r w:rsidR="007A1657">
        <w:t>”</w:t>
      </w:r>
      <w:r>
        <w:t xml:space="preserve"> (which was 3 January 2017), the letter did not invite representations </w:t>
      </w:r>
      <w:r w:rsidR="007A1657">
        <w:t>“</w:t>
      </w:r>
      <w:r>
        <w:t>within the period</w:t>
      </w:r>
      <w:r w:rsidR="00522271">
        <w:t xml:space="preserve"> </w:t>
      </w:r>
      <w:r>
        <w:t>…</w:t>
      </w:r>
      <w:r w:rsidR="00522271">
        <w:t xml:space="preserve"> </w:t>
      </w:r>
      <w:r>
        <w:t>ascertained in accordance with the regulations</w:t>
      </w:r>
      <w:r w:rsidR="007A1657">
        <w:t>”</w:t>
      </w:r>
      <w:r>
        <w:t xml:space="preserve">. The High Court gave as an example, an invitation to make representations within </w:t>
      </w:r>
      <w:r w:rsidR="007A1657">
        <w:t>“</w:t>
      </w:r>
      <w:r>
        <w:t>28 days from the date that you were handed this document</w:t>
      </w:r>
      <w:r w:rsidR="007A1657">
        <w:t>”</w:t>
      </w:r>
      <w:r>
        <w:t>: at [42].</w:t>
      </w:r>
    </w:p>
    <w:p w14:paraId="303E50AA" w14:textId="77777777" w:rsidR="00B95D8B" w:rsidRDefault="00B95D8B" w:rsidP="00B95D8B">
      <w:pPr>
        <w:pStyle w:val="ParaNumbering"/>
      </w:pPr>
      <w:r>
        <w:t>As can be discerned from the High Court’s reasoning, the Court was concerned with circumstances where the person would be held to the strict consequences of failing to make representations because the correct period had not been accurately crystallised in the invitation and so the representations were made one day beyond the requisite 28-day period.</w:t>
      </w:r>
    </w:p>
    <w:p w14:paraId="61A943D3" w14:textId="2B4B3C12" w:rsidR="00B95D8B" w:rsidRDefault="00B95D8B" w:rsidP="00B95D8B">
      <w:pPr>
        <w:pStyle w:val="ParaNumbering"/>
      </w:pPr>
      <w:r>
        <w:t xml:space="preserve">This was a similar feature </w:t>
      </w:r>
      <w:r w:rsidR="00682B7C">
        <w:t xml:space="preserve">of </w:t>
      </w:r>
      <w:r>
        <w:t xml:space="preserve">each of the Full Court decisions </w:t>
      </w:r>
      <w:r w:rsidR="00C71F7F">
        <w:t xml:space="preserve">of this Court </w:t>
      </w:r>
      <w:r>
        <w:t>relied upon by M</w:t>
      </w:r>
      <w:r w:rsidR="00E83789">
        <w:t>s Pearson</w:t>
      </w:r>
      <w:r>
        <w:t xml:space="preserve">. In </w:t>
      </w:r>
      <w:r w:rsidRPr="000764DF">
        <w:rPr>
          <w:b/>
          <w:bCs/>
          <w:i/>
          <w:iCs/>
        </w:rPr>
        <w:t>Stewart</w:t>
      </w:r>
      <w:r w:rsidR="009E0EA0" w:rsidRPr="000764DF">
        <w:rPr>
          <w:i/>
          <w:iCs/>
        </w:rPr>
        <w:t xml:space="preserve"> v Minister for Immigration, Citizenship</w:t>
      </w:r>
      <w:r w:rsidRPr="000764DF">
        <w:t>,</w:t>
      </w:r>
      <w:r w:rsidR="009E0EA0" w:rsidRPr="000764DF">
        <w:t xml:space="preserve"> </w:t>
      </w:r>
      <w:r w:rsidR="009E0EA0" w:rsidRPr="000764DF">
        <w:rPr>
          <w:i/>
          <w:iCs/>
        </w:rPr>
        <w:t>Migrant Services and Multicultural Affairs</w:t>
      </w:r>
      <w:r w:rsidR="009E0EA0" w:rsidRPr="000764DF">
        <w:t xml:space="preserve"> [2020] FCAFC 196</w:t>
      </w:r>
      <w:r w:rsidR="00522271" w:rsidRPr="000764DF">
        <w:t>; 281 FCR 578</w:t>
      </w:r>
      <w:r w:rsidR="00E10025">
        <w:t>,</w:t>
      </w:r>
      <w:r>
        <w:t xml:space="preserve"> the Minister contended that the representations had been made outside the 28-day period. The Full Court held that the word </w:t>
      </w:r>
      <w:r w:rsidR="00E10025">
        <w:t>“</w:t>
      </w:r>
      <w:r>
        <w:t>made</w:t>
      </w:r>
      <w:r w:rsidR="00E10025">
        <w:t>”</w:t>
      </w:r>
      <w:r>
        <w:t xml:space="preserve"> does not mean </w:t>
      </w:r>
      <w:r w:rsidR="00E10025">
        <w:t>“</w:t>
      </w:r>
      <w:r>
        <w:t>received</w:t>
      </w:r>
      <w:r w:rsidR="00E10025">
        <w:t>”</w:t>
      </w:r>
      <w:r>
        <w:t xml:space="preserve"> but rather </w:t>
      </w:r>
      <w:r w:rsidR="00E10025">
        <w:t>“</w:t>
      </w:r>
      <w:r>
        <w:t>dispatched</w:t>
      </w:r>
      <w:r w:rsidR="00E10025">
        <w:t>”</w:t>
      </w:r>
      <w:r>
        <w:t xml:space="preserve"> and so it was sufficient in that case for the prisoner to have given the representations to the prison authorities within the 28-day period to dispatch because the prisoner </w:t>
      </w:r>
      <w:r w:rsidR="006F1F69">
        <w:t xml:space="preserve">then </w:t>
      </w:r>
      <w:r>
        <w:t>does not know whether or not they have been received in time: at [47].</w:t>
      </w:r>
    </w:p>
    <w:p w14:paraId="359BED17" w14:textId="77777777" w:rsidR="00B95D8B" w:rsidRDefault="00B95D8B" w:rsidP="000772FB">
      <w:pPr>
        <w:pStyle w:val="ParaNumbering"/>
      </w:pPr>
      <w:r>
        <w:t xml:space="preserve">In </w:t>
      </w:r>
      <w:r w:rsidRPr="000764DF">
        <w:rPr>
          <w:b/>
          <w:bCs/>
          <w:i/>
          <w:iCs/>
        </w:rPr>
        <w:t>EPL20</w:t>
      </w:r>
      <w:r w:rsidR="00E10025" w:rsidRPr="000764DF">
        <w:rPr>
          <w:i/>
          <w:iCs/>
        </w:rPr>
        <w:t xml:space="preserve"> v Minister for Immigration, Citizenship</w:t>
      </w:r>
      <w:r w:rsidR="00E10025" w:rsidRPr="000764DF">
        <w:t xml:space="preserve">, </w:t>
      </w:r>
      <w:r w:rsidR="00E10025" w:rsidRPr="000764DF">
        <w:rPr>
          <w:i/>
          <w:iCs/>
        </w:rPr>
        <w:t>Migrant Services and Multicultural Affairs</w:t>
      </w:r>
      <w:r w:rsidR="00E10025" w:rsidRPr="000764DF">
        <w:t xml:space="preserve"> [2</w:t>
      </w:r>
      <w:r w:rsidR="00690006" w:rsidRPr="000764DF">
        <w:t>021] FCAFC 173; 288 FCR 158</w:t>
      </w:r>
      <w:r w:rsidR="00690006">
        <w:t xml:space="preserve">, </w:t>
      </w:r>
      <w:r>
        <w:t xml:space="preserve">the representations were received by the Minister on 4 October 2019 which was one day outside the 28-day period. The Minister’s delegate did not take any point about the timing of the representations but, on review to the </w:t>
      </w:r>
      <w:r w:rsidRPr="003260BD">
        <w:rPr>
          <w:bCs/>
        </w:rPr>
        <w:t>Tribunal</w:t>
      </w:r>
      <w:r>
        <w:t xml:space="preserve">, the Tribunal held that it lacked jurisdiction because the applicant’s representations had to be </w:t>
      </w:r>
      <w:r>
        <w:lastRenderedPageBreak/>
        <w:t>received no later than 3 October 2019. The Full Court observed that the High Court</w:t>
      </w:r>
      <w:r w:rsidR="006F1F69">
        <w:t xml:space="preserve"> in </w:t>
      </w:r>
      <w:r w:rsidR="006F1F69">
        <w:rPr>
          <w:i/>
        </w:rPr>
        <w:t>EFX17</w:t>
      </w:r>
      <w:r>
        <w:t xml:space="preserve"> had accepted that an error by one day in crystallising the period for making representations was sufficient to invalidate the invitation without any consideration of the extent or consequences of departure: at [40].</w:t>
      </w:r>
      <w:r w:rsidR="000772FB">
        <w:t xml:space="preserve"> </w:t>
      </w:r>
      <w:r>
        <w:t xml:space="preserve">The Full Court held that it should follow and apply </w:t>
      </w:r>
      <w:r w:rsidRPr="000772FB">
        <w:rPr>
          <w:i/>
          <w:iCs/>
        </w:rPr>
        <w:t xml:space="preserve">Stewart </w:t>
      </w:r>
      <w:r>
        <w:t xml:space="preserve">and that there was no sound basis for distinguishing </w:t>
      </w:r>
      <w:r w:rsidRPr="000772FB">
        <w:rPr>
          <w:i/>
          <w:iCs/>
        </w:rPr>
        <w:t xml:space="preserve">Stewart </w:t>
      </w:r>
      <w:r>
        <w:t xml:space="preserve">or </w:t>
      </w:r>
      <w:r w:rsidRPr="000772FB">
        <w:rPr>
          <w:i/>
          <w:iCs/>
        </w:rPr>
        <w:t>EFX17</w:t>
      </w:r>
      <w:r>
        <w:t xml:space="preserve"> in that context: at [41].</w:t>
      </w:r>
    </w:p>
    <w:p w14:paraId="39E3535D" w14:textId="77777777" w:rsidR="00B95D8B" w:rsidRDefault="00B95D8B" w:rsidP="00B95D8B">
      <w:pPr>
        <w:pStyle w:val="ParaNumbering"/>
      </w:pPr>
      <w:proofErr w:type="spellStart"/>
      <w:r w:rsidRPr="000764DF">
        <w:rPr>
          <w:b/>
          <w:bCs/>
          <w:i/>
          <w:iCs/>
        </w:rPr>
        <w:t>Sillars</w:t>
      </w:r>
      <w:proofErr w:type="spellEnd"/>
      <w:r w:rsidR="00D448AB" w:rsidRPr="000764DF">
        <w:rPr>
          <w:b/>
          <w:bCs/>
          <w:i/>
          <w:iCs/>
        </w:rPr>
        <w:t xml:space="preserve"> </w:t>
      </w:r>
      <w:r w:rsidR="00D448AB" w:rsidRPr="000764DF">
        <w:rPr>
          <w:i/>
          <w:iCs/>
        </w:rPr>
        <w:t>v Minister for Immigration, Citizenship</w:t>
      </w:r>
      <w:r w:rsidR="00D448AB" w:rsidRPr="000764DF">
        <w:t xml:space="preserve">, </w:t>
      </w:r>
      <w:r w:rsidR="00D448AB" w:rsidRPr="000764DF">
        <w:rPr>
          <w:i/>
          <w:iCs/>
        </w:rPr>
        <w:t>Migrant Services and Multicultural Affairs</w:t>
      </w:r>
      <w:r w:rsidR="00D448AB" w:rsidRPr="000764DF">
        <w:t xml:space="preserve"> [</w:t>
      </w:r>
      <w:r w:rsidR="00690CD6" w:rsidRPr="000764DF">
        <w:t>2021] FCAFC 174</w:t>
      </w:r>
      <w:r w:rsidR="006F1F69" w:rsidRPr="000764DF">
        <w:t>; 288 FCR 180</w:t>
      </w:r>
      <w:r w:rsidR="00690CD6">
        <w:t>,</w:t>
      </w:r>
      <w:r>
        <w:t xml:space="preserve"> which was heard concurrently with </w:t>
      </w:r>
      <w:r w:rsidRPr="00D95A05">
        <w:rPr>
          <w:i/>
          <w:iCs/>
        </w:rPr>
        <w:t>EPL20</w:t>
      </w:r>
      <w:r>
        <w:t xml:space="preserve">, also concerned circumstances in which the representations were received outside the 28-day time period (10 days later) and where no issue as to the timing of the representations was raised by the delegate. The Tribunal, however, accepted a submission by the Minister that the Tribunal had no power to revoke the cancellation decision because the representations had been made outside the prescribed period.  </w:t>
      </w:r>
    </w:p>
    <w:p w14:paraId="6101DF9D" w14:textId="77777777" w:rsidR="00B95D8B" w:rsidRDefault="00B95D8B" w:rsidP="00B95D8B">
      <w:pPr>
        <w:pStyle w:val="ParaNumbering"/>
      </w:pPr>
      <w:r>
        <w:t xml:space="preserve">On their face, the decisions in </w:t>
      </w:r>
      <w:r w:rsidRPr="00245D83">
        <w:rPr>
          <w:i/>
          <w:iCs/>
        </w:rPr>
        <w:t>Stewart</w:t>
      </w:r>
      <w:r>
        <w:t xml:space="preserve">, </w:t>
      </w:r>
      <w:r w:rsidRPr="00245D83">
        <w:rPr>
          <w:i/>
          <w:iCs/>
        </w:rPr>
        <w:t>EFX17</w:t>
      </w:r>
      <w:r>
        <w:t xml:space="preserve">, </w:t>
      </w:r>
      <w:r w:rsidRPr="00245D83">
        <w:rPr>
          <w:i/>
          <w:iCs/>
        </w:rPr>
        <w:t>EPL20</w:t>
      </w:r>
      <w:r>
        <w:t xml:space="preserve">, and </w:t>
      </w:r>
      <w:proofErr w:type="spellStart"/>
      <w:r w:rsidRPr="00245D83">
        <w:rPr>
          <w:i/>
          <w:iCs/>
        </w:rPr>
        <w:t>Sillars</w:t>
      </w:r>
      <w:proofErr w:type="spellEnd"/>
      <w:r>
        <w:t xml:space="preserve"> are authority for the proposition that the failure of an invitation to crystallise the period in which representations must be made makes the invitation ineffectual. The reasoning of the Full Court in </w:t>
      </w:r>
      <w:r w:rsidRPr="00B20C6C">
        <w:rPr>
          <w:i/>
          <w:iCs/>
        </w:rPr>
        <w:t xml:space="preserve">Stewart </w:t>
      </w:r>
      <w:r>
        <w:t>emphasi</w:t>
      </w:r>
      <w:r w:rsidR="00BD1941">
        <w:t>s</w:t>
      </w:r>
      <w:r>
        <w:t>ed, at [50], that:</w:t>
      </w:r>
    </w:p>
    <w:p w14:paraId="1FEC7928" w14:textId="77777777" w:rsidR="00B95D8B" w:rsidRPr="002F3C54" w:rsidRDefault="00B95D8B" w:rsidP="00B95D8B">
      <w:pPr>
        <w:pStyle w:val="Quote1"/>
      </w:pPr>
      <w:r w:rsidRPr="000D4255">
        <w:t>the legislative expressions “makes” and “made” in s 501C</w:t>
      </w:r>
      <w:r w:rsidRPr="002030A1">
        <w:t xml:space="preserve">A and </w:t>
      </w:r>
      <w:proofErr w:type="spellStart"/>
      <w:r w:rsidRPr="002030A1">
        <w:t>reg</w:t>
      </w:r>
      <w:proofErr w:type="spellEnd"/>
      <w:r w:rsidRPr="002030A1">
        <w:t xml:space="preserve"> 2.52 </w:t>
      </w:r>
      <w:r w:rsidRPr="002030A1">
        <w:rPr>
          <w:i/>
          <w:iCs/>
        </w:rPr>
        <w:t>focus on the act of the prisoner, not the position of the Minister</w:t>
      </w:r>
      <w:r w:rsidRPr="00576DAD">
        <w:t xml:space="preserve"> as the intended recipient of the representations. It can readily</w:t>
      </w:r>
      <w:r w:rsidR="00BD1941" w:rsidRPr="00BD1941">
        <w:t xml:space="preserve"> </w:t>
      </w:r>
      <w:r w:rsidR="00BD1941" w:rsidRPr="00576DAD">
        <w:t>be</w:t>
      </w:r>
      <w:r w:rsidRPr="00576DAD">
        <w:t xml:space="preserve"> inferred that, in such a context, the statutory language contemplated and intended that the prisoner only </w:t>
      </w:r>
      <w:r w:rsidRPr="00B3567D">
        <w:t>do all that was reasonably necessary in their power to “make” the representations within the prescribed period of 28 days after being given the notice of revocation.</w:t>
      </w:r>
    </w:p>
    <w:p w14:paraId="4DF0B551" w14:textId="6EFD5F29" w:rsidR="00B95D8B" w:rsidRPr="00576DAD" w:rsidRDefault="00B95D8B" w:rsidP="00B95D8B">
      <w:pPr>
        <w:pStyle w:val="Quote1"/>
      </w:pPr>
      <w:r w:rsidRPr="009C715E">
        <w:t>(</w:t>
      </w:r>
      <w:r w:rsidR="00DB5646">
        <w:t>E</w:t>
      </w:r>
      <w:r w:rsidRPr="009C715E">
        <w:t>mphasis added)</w:t>
      </w:r>
    </w:p>
    <w:p w14:paraId="2668D0B3" w14:textId="24FD2762" w:rsidR="00BB487B" w:rsidRDefault="00B95D8B" w:rsidP="00FB2648">
      <w:pPr>
        <w:pStyle w:val="ParaNumbering"/>
      </w:pPr>
      <w:r>
        <w:t>Nevertheless,</w:t>
      </w:r>
      <w:r w:rsidR="0077625F">
        <w:t xml:space="preserve"> as was the case in </w:t>
      </w:r>
      <w:r w:rsidR="00F445DE" w:rsidRPr="000764DF">
        <w:rPr>
          <w:b/>
          <w:bCs/>
          <w:i/>
          <w:iCs/>
        </w:rPr>
        <w:t>Montgomery</w:t>
      </w:r>
      <w:r w:rsidR="00F445DE" w:rsidRPr="000764DF">
        <w:rPr>
          <w:i/>
          <w:iCs/>
        </w:rPr>
        <w:t xml:space="preserve"> v Minister for </w:t>
      </w:r>
      <w:r w:rsidR="002361BA" w:rsidRPr="000764DF">
        <w:rPr>
          <w:i/>
          <w:iCs/>
        </w:rPr>
        <w:t xml:space="preserve">Immigration, Citizenship, Migrant Services and </w:t>
      </w:r>
      <w:r w:rsidR="00F445DE" w:rsidRPr="000764DF">
        <w:rPr>
          <w:i/>
          <w:iCs/>
        </w:rPr>
        <w:t>Multicultural Affairs</w:t>
      </w:r>
      <w:r w:rsidR="002361BA" w:rsidRPr="000764DF">
        <w:rPr>
          <w:i/>
          <w:iCs/>
        </w:rPr>
        <w:t xml:space="preserve"> </w:t>
      </w:r>
      <w:r w:rsidR="002361BA" w:rsidRPr="000764DF">
        <w:t>[2021] FCA 1423</w:t>
      </w:r>
      <w:r w:rsidR="002361BA">
        <w:t xml:space="preserve">, </w:t>
      </w:r>
      <w:r>
        <w:t>there is a distinguishing feature in the present case, namely that M</w:t>
      </w:r>
      <w:r w:rsidR="00BB487B">
        <w:t>s Pearson’s</w:t>
      </w:r>
      <w:r>
        <w:t xml:space="preserve"> representations were incontrovertibly received </w:t>
      </w:r>
      <w:r w:rsidR="0032745C">
        <w:t xml:space="preserve">by the Minister 27 days </w:t>
      </w:r>
      <w:r w:rsidR="00F74E6E">
        <w:t xml:space="preserve">after the date on which she was deemed to have received the invitation. </w:t>
      </w:r>
      <w:r w:rsidR="006C5618">
        <w:t xml:space="preserve">Further, subsequent </w:t>
      </w:r>
      <w:r w:rsidR="00A00CC5">
        <w:t xml:space="preserve">to the Minister’s receipt of the representations, Ms Pearson </w:t>
      </w:r>
      <w:r w:rsidR="00D01C8C">
        <w:t xml:space="preserve">sent four </w:t>
      </w:r>
      <w:r w:rsidR="00F74E6E">
        <w:t xml:space="preserve">additional </w:t>
      </w:r>
      <w:r w:rsidR="00D01C8C">
        <w:t>sets of representations, through her legal representative</w:t>
      </w:r>
      <w:r w:rsidR="00EC051E">
        <w:t xml:space="preserve">. She was also </w:t>
      </w:r>
      <w:r w:rsidR="00A00CC5">
        <w:t xml:space="preserve">sent a request to comment or provide information on </w:t>
      </w:r>
      <w:r w:rsidR="00BC5405">
        <w:t xml:space="preserve">two </w:t>
      </w:r>
      <w:r w:rsidR="00A00CC5">
        <w:t xml:space="preserve">matters that had been brought to the Minister’s attention. These </w:t>
      </w:r>
      <w:r w:rsidR="00BD1941">
        <w:t>“</w:t>
      </w:r>
      <w:r w:rsidR="00A00CC5">
        <w:t>procedural fairness</w:t>
      </w:r>
      <w:r w:rsidR="00BD1941">
        <w:t>”</w:t>
      </w:r>
      <w:r w:rsidR="00A00CC5">
        <w:t xml:space="preserve"> notices are not </w:t>
      </w:r>
      <w:r w:rsidR="00BD1941">
        <w:t>“</w:t>
      </w:r>
      <w:r w:rsidR="00A00CC5">
        <w:t xml:space="preserve">a representation under paragraph </w:t>
      </w:r>
      <w:proofErr w:type="gramStart"/>
      <w:r w:rsidR="00A00CC5">
        <w:t>501CA(</w:t>
      </w:r>
      <w:proofErr w:type="gramEnd"/>
      <w:r w:rsidR="00A00CC5">
        <w:t>3)(b)</w:t>
      </w:r>
      <w:r w:rsidR="00BD1941">
        <w:t>”</w:t>
      </w:r>
      <w:r w:rsidR="00A00CC5">
        <w:t xml:space="preserve"> and so the time period prescribed by </w:t>
      </w:r>
      <w:proofErr w:type="spellStart"/>
      <w:r w:rsidR="00A00CC5">
        <w:t>reg</w:t>
      </w:r>
      <w:proofErr w:type="spellEnd"/>
      <w:r w:rsidR="00A00CC5">
        <w:t xml:space="preserve"> 2.52(2)(b) is of no application to these requests.</w:t>
      </w:r>
      <w:r w:rsidR="00BC5405">
        <w:t xml:space="preserve"> There was no dispute that </w:t>
      </w:r>
      <w:r w:rsidR="00481C0D">
        <w:t xml:space="preserve">all of </w:t>
      </w:r>
      <w:r w:rsidR="00BC5405">
        <w:t xml:space="preserve">Ms Pearson’s </w:t>
      </w:r>
      <w:r w:rsidR="00481C0D">
        <w:t>r</w:t>
      </w:r>
      <w:r w:rsidR="00BC5405">
        <w:t>epresentations were considered by the Minister</w:t>
      </w:r>
      <w:r w:rsidR="004E0839">
        <w:t>.</w:t>
      </w:r>
    </w:p>
    <w:p w14:paraId="1E1B2890" w14:textId="77777777" w:rsidR="00C762FA" w:rsidRDefault="00BB487B" w:rsidP="00CD1346">
      <w:pPr>
        <w:pStyle w:val="ParaNumbering"/>
      </w:pPr>
      <w:r>
        <w:lastRenderedPageBreak/>
        <w:t xml:space="preserve">The question which arises is whether the </w:t>
      </w:r>
      <w:r w:rsidR="00B92680">
        <w:t xml:space="preserve">failure to crystallise the period within </w:t>
      </w:r>
      <w:r w:rsidR="0061203E">
        <w:t xml:space="preserve">which </w:t>
      </w:r>
      <w:r w:rsidR="00B92680">
        <w:t xml:space="preserve">representations are to be despatched invalidates the </w:t>
      </w:r>
      <w:r w:rsidR="005C3D20">
        <w:t>invitation for all purpose</w:t>
      </w:r>
      <w:r w:rsidR="00C762FA">
        <w:t xml:space="preserve">s. </w:t>
      </w:r>
      <w:r w:rsidR="0056469A">
        <w:t xml:space="preserve">The </w:t>
      </w:r>
      <w:r w:rsidR="00367C11">
        <w:t xml:space="preserve">answer to this question is to be arrived at </w:t>
      </w:r>
      <w:r w:rsidR="009A1BDB">
        <w:t xml:space="preserve">by </w:t>
      </w:r>
      <w:r w:rsidR="00B4409F">
        <w:t>proper construction of the statute</w:t>
      </w:r>
      <w:r w:rsidR="00D93160">
        <w:t>,</w:t>
      </w:r>
      <w:r w:rsidR="00B4409F">
        <w:t xml:space="preserve"> and</w:t>
      </w:r>
      <w:r w:rsidR="00573114">
        <w:t xml:space="preserve"> through that process</w:t>
      </w:r>
      <w:r w:rsidR="00D8122C">
        <w:t>,</w:t>
      </w:r>
      <w:r w:rsidR="00B4409F">
        <w:t xml:space="preserve"> </w:t>
      </w:r>
      <w:r w:rsidR="00012D5E">
        <w:t>“</w:t>
      </w:r>
      <w:r w:rsidR="00B4409F">
        <w:t xml:space="preserve">discernment of the extent of non-compliance which will result in an otherwise compliant decision lacking the </w:t>
      </w:r>
      <w:r w:rsidR="00AF07AB">
        <w:t>characteristics necessary to be given force and effect by the s</w:t>
      </w:r>
      <w:r w:rsidR="00332373">
        <w:t>tatute”</w:t>
      </w:r>
      <w:r w:rsidR="006A3D0F">
        <w:t xml:space="preserve">: </w:t>
      </w:r>
      <w:r w:rsidR="006A3D0F" w:rsidRPr="000764DF">
        <w:rPr>
          <w:b/>
          <w:bCs/>
          <w:i/>
          <w:iCs/>
        </w:rPr>
        <w:t>H</w:t>
      </w:r>
      <w:r w:rsidR="00EA1273" w:rsidRPr="000764DF">
        <w:rPr>
          <w:b/>
          <w:bCs/>
          <w:i/>
          <w:iCs/>
        </w:rPr>
        <w:t>o</w:t>
      </w:r>
      <w:r w:rsidR="006A3D0F" w:rsidRPr="000764DF">
        <w:rPr>
          <w:b/>
          <w:bCs/>
          <w:i/>
          <w:iCs/>
        </w:rPr>
        <w:t>ssain</w:t>
      </w:r>
      <w:r w:rsidR="006A3D0F" w:rsidRPr="000764DF">
        <w:rPr>
          <w:i/>
          <w:iCs/>
        </w:rPr>
        <w:t xml:space="preserve"> v Minister for </w:t>
      </w:r>
      <w:r w:rsidR="00AA2537" w:rsidRPr="000764DF">
        <w:rPr>
          <w:i/>
          <w:iCs/>
        </w:rPr>
        <w:t xml:space="preserve">Immigration </w:t>
      </w:r>
      <w:r w:rsidR="00301E4C" w:rsidRPr="000764DF">
        <w:rPr>
          <w:i/>
          <w:iCs/>
        </w:rPr>
        <w:t xml:space="preserve">and Border Protection </w:t>
      </w:r>
      <w:r w:rsidR="00301E4C" w:rsidRPr="000764DF">
        <w:t>[2018] HCA 34; 264 CLR 123</w:t>
      </w:r>
      <w:r w:rsidR="00301E4C">
        <w:t xml:space="preserve"> at</w:t>
      </w:r>
      <w:r w:rsidR="009A274B">
        <w:t xml:space="preserve"> [27] per </w:t>
      </w:r>
      <w:proofErr w:type="spellStart"/>
      <w:r w:rsidR="009A274B">
        <w:t>K</w:t>
      </w:r>
      <w:r w:rsidR="00A37D91">
        <w:t>iefel</w:t>
      </w:r>
      <w:proofErr w:type="spellEnd"/>
      <w:r w:rsidR="009A274B">
        <w:t xml:space="preserve"> CJ, </w:t>
      </w:r>
      <w:proofErr w:type="spellStart"/>
      <w:r w:rsidR="009A274B">
        <w:t>Gageler</w:t>
      </w:r>
      <w:proofErr w:type="spellEnd"/>
      <w:r w:rsidR="009A274B">
        <w:t xml:space="preserve"> and Keane JJ.</w:t>
      </w:r>
    </w:p>
    <w:p w14:paraId="12EFE55F" w14:textId="77777777" w:rsidR="006657F6" w:rsidRDefault="00A37D91" w:rsidP="00CD1346">
      <w:pPr>
        <w:pStyle w:val="ParaNumbering"/>
      </w:pPr>
      <w:r>
        <w:t xml:space="preserve">As the plurality observed in </w:t>
      </w:r>
      <w:r w:rsidRPr="00BD6C09">
        <w:rPr>
          <w:i/>
          <w:iCs/>
        </w:rPr>
        <w:t>Hossain</w:t>
      </w:r>
      <w:r>
        <w:t xml:space="preserve"> at [28]</w:t>
      </w:r>
      <w:r w:rsidR="006657F6">
        <w:t>:</w:t>
      </w:r>
    </w:p>
    <w:p w14:paraId="183F24D0" w14:textId="1D534318" w:rsidR="00A37D91" w:rsidRPr="00F86C93" w:rsidRDefault="006657F6" w:rsidP="00DB5646">
      <w:pPr>
        <w:pStyle w:val="Quote1"/>
      </w:pPr>
      <w:r w:rsidRPr="00F86C93">
        <w:t xml:space="preserve">The common law principles which inform the </w:t>
      </w:r>
      <w:r w:rsidR="00BE6DF8" w:rsidRPr="00F86C93">
        <w:t>construction of statutes conferring decision-making authority reflect longstanding qualitative judgments about the appropriate limits of an exercise of administrative power</w:t>
      </w:r>
      <w:r w:rsidR="007630D3" w:rsidRPr="00F86C93">
        <w:t xml:space="preserve"> to which a legislature can be taken to adhere in defining the bounds of such authority as it chooses to confer on a repository in the abs</w:t>
      </w:r>
      <w:r w:rsidR="007B00F9" w:rsidRPr="00F86C93">
        <w:t>ence of affirmative indication of a legislative intention to the contrary. Those common law pr</w:t>
      </w:r>
      <w:r w:rsidR="001A4AFD" w:rsidRPr="00F86C93">
        <w:t xml:space="preserve">inciples are not derived by logic alone and cannot be treated as abstractions disconnected from the </w:t>
      </w:r>
      <w:r w:rsidR="00CA1A48" w:rsidRPr="00F86C93">
        <w:t>subject matter to which th</w:t>
      </w:r>
      <w:r w:rsidR="00682B7C">
        <w:t>ey</w:t>
      </w:r>
      <w:r w:rsidR="00CA1A48" w:rsidRPr="00F86C93">
        <w:t xml:space="preserve"> are to be applied. </w:t>
      </w:r>
      <w:r w:rsidR="00CA1A48" w:rsidRPr="00F86C93">
        <w:rPr>
          <w:i/>
          <w:iCs/>
        </w:rPr>
        <w:t xml:space="preserve">They are not so delicate or refined </w:t>
      </w:r>
      <w:r w:rsidR="00727FDE" w:rsidRPr="00F86C93">
        <w:rPr>
          <w:i/>
          <w:iCs/>
        </w:rPr>
        <w:t xml:space="preserve">in their operation </w:t>
      </w:r>
      <w:r w:rsidR="00CA1A48" w:rsidRPr="00F86C93">
        <w:rPr>
          <w:i/>
          <w:iCs/>
        </w:rPr>
        <w:t>that</w:t>
      </w:r>
      <w:r w:rsidR="00BF78CF" w:rsidRPr="00F86C93">
        <w:rPr>
          <w:i/>
          <w:iCs/>
        </w:rPr>
        <w:t xml:space="preserve"> sight is </w:t>
      </w:r>
      <w:proofErr w:type="spellStart"/>
      <w:r w:rsidR="00BF78CF" w:rsidRPr="00F86C93">
        <w:rPr>
          <w:i/>
          <w:iCs/>
        </w:rPr>
        <w:t>lost</w:t>
      </w:r>
      <w:proofErr w:type="spellEnd"/>
      <w:r w:rsidR="00BF78CF" w:rsidRPr="00F86C93">
        <w:rPr>
          <w:i/>
          <w:iCs/>
        </w:rPr>
        <w:t xml:space="preserve"> of the fact that</w:t>
      </w:r>
      <w:r w:rsidR="00CA1A48" w:rsidRPr="00F86C93">
        <w:rPr>
          <w:i/>
          <w:iCs/>
        </w:rPr>
        <w:t xml:space="preserve"> “[d]</w:t>
      </w:r>
      <w:proofErr w:type="spellStart"/>
      <w:r w:rsidR="00CA1A48" w:rsidRPr="00F86C93">
        <w:rPr>
          <w:i/>
          <w:iCs/>
        </w:rPr>
        <w:t>ecision</w:t>
      </w:r>
      <w:proofErr w:type="spellEnd"/>
      <w:r w:rsidR="00CA1A48" w:rsidRPr="00F86C93">
        <w:rPr>
          <w:i/>
          <w:iCs/>
        </w:rPr>
        <w:t xml:space="preserve">-making </w:t>
      </w:r>
      <w:r w:rsidR="00BF78CF" w:rsidRPr="00F86C93">
        <w:rPr>
          <w:i/>
          <w:iCs/>
        </w:rPr>
        <w:t>is a function of the real world”</w:t>
      </w:r>
      <w:r w:rsidR="00BF78CF" w:rsidRPr="00F86C93">
        <w:t>.</w:t>
      </w:r>
    </w:p>
    <w:p w14:paraId="4973F4FC" w14:textId="77777777" w:rsidR="00E602FB" w:rsidRDefault="00BF78CF" w:rsidP="00DB5646">
      <w:pPr>
        <w:pStyle w:val="Quote1"/>
      </w:pPr>
      <w:r>
        <w:t>(Emphasis added)</w:t>
      </w:r>
    </w:p>
    <w:p w14:paraId="008A54F2" w14:textId="77777777" w:rsidR="00D5084F" w:rsidRDefault="00D5084F" w:rsidP="00CD1346">
      <w:pPr>
        <w:pStyle w:val="ParaNumbering"/>
      </w:pPr>
      <w:r>
        <w:t xml:space="preserve">How this translates </w:t>
      </w:r>
      <w:r w:rsidR="007C2A35">
        <w:t>to circumstances such as the present is that a statute is ordinarily to be interpreted as incorporating a threshold of materiality in the event of non-compliance with a condition to be observed in the course of a decision-making process</w:t>
      </w:r>
      <w:r w:rsidR="00381137">
        <w:t xml:space="preserve">. A failure to observe such a condition is not to be </w:t>
      </w:r>
      <w:r w:rsidR="000D479C">
        <w:t>interpreted as denying legal force and effect to every decision that might be made in breach</w:t>
      </w:r>
      <w:r w:rsidR="00A856E4">
        <w:t xml:space="preserve"> of the condition: </w:t>
      </w:r>
      <w:r w:rsidR="00A856E4" w:rsidRPr="00BD6C09">
        <w:rPr>
          <w:i/>
          <w:iCs/>
        </w:rPr>
        <w:t>Hossain</w:t>
      </w:r>
      <w:r w:rsidR="00A856E4">
        <w:t xml:space="preserve"> at [29].</w:t>
      </w:r>
    </w:p>
    <w:p w14:paraId="55E982E2" w14:textId="77777777" w:rsidR="004A2A6F" w:rsidRDefault="004A2A6F" w:rsidP="00CD1346">
      <w:pPr>
        <w:pStyle w:val="ParaNumbering"/>
      </w:pPr>
      <w:r>
        <w:t>The broad test for determining whether an</w:t>
      </w:r>
      <w:r w:rsidR="00454BA5">
        <w:t xml:space="preserve"> implied legislative condition is jurisdictional, such that it would deny</w:t>
      </w:r>
      <w:r w:rsidR="00E62D84">
        <w:t xml:space="preserve"> legal force and effect to a subsequent decision is that set out by McHugh, </w:t>
      </w:r>
      <w:proofErr w:type="spellStart"/>
      <w:r w:rsidR="00E62D84">
        <w:t>Gummow</w:t>
      </w:r>
      <w:proofErr w:type="spellEnd"/>
      <w:r w:rsidR="00E62D84">
        <w:t>, Kirby</w:t>
      </w:r>
      <w:r w:rsidR="009A219E">
        <w:t xml:space="preserve">, and Hayne JJ in </w:t>
      </w:r>
      <w:r w:rsidR="009A219E" w:rsidRPr="000764DF">
        <w:rPr>
          <w:b/>
          <w:bCs/>
          <w:i/>
          <w:iCs/>
        </w:rPr>
        <w:t xml:space="preserve">Project Blue Sky </w:t>
      </w:r>
      <w:proofErr w:type="spellStart"/>
      <w:r w:rsidR="009A219E" w:rsidRPr="000764DF">
        <w:rPr>
          <w:i/>
          <w:iCs/>
        </w:rPr>
        <w:t>Inc</w:t>
      </w:r>
      <w:proofErr w:type="spellEnd"/>
      <w:r w:rsidR="009A219E" w:rsidRPr="000764DF">
        <w:rPr>
          <w:i/>
          <w:iCs/>
        </w:rPr>
        <w:t xml:space="preserve"> v Australian Broadcasting Authority</w:t>
      </w:r>
      <w:r w:rsidR="009A219E" w:rsidRPr="000764DF">
        <w:t xml:space="preserve"> </w:t>
      </w:r>
      <w:r w:rsidR="00BD1941" w:rsidRPr="000764DF">
        <w:t xml:space="preserve">[1998] HCA 28; </w:t>
      </w:r>
      <w:r w:rsidR="009A219E" w:rsidRPr="000764DF">
        <w:t>194 CLR 355</w:t>
      </w:r>
      <w:r w:rsidR="009A219E">
        <w:t xml:space="preserve"> at [93]</w:t>
      </w:r>
      <w:r w:rsidR="006474E2">
        <w:t>, “whether it was a purpose of the legislation that an act done in breach of the provision should be invalid</w:t>
      </w:r>
      <w:r w:rsidR="00991AF0">
        <w:t>”.</w:t>
      </w:r>
    </w:p>
    <w:p w14:paraId="7A4EF011" w14:textId="77777777" w:rsidR="00C762FA" w:rsidRDefault="00C762FA" w:rsidP="00CD1346">
      <w:pPr>
        <w:pStyle w:val="ParaNumbering"/>
      </w:pPr>
      <w:r>
        <w:t xml:space="preserve">As </w:t>
      </w:r>
      <w:proofErr w:type="spellStart"/>
      <w:r>
        <w:t>Gageler</w:t>
      </w:r>
      <w:proofErr w:type="spellEnd"/>
      <w:r>
        <w:t xml:space="preserve"> J explained in </w:t>
      </w:r>
      <w:r w:rsidRPr="000764DF">
        <w:rPr>
          <w:i/>
          <w:iCs/>
        </w:rPr>
        <w:t xml:space="preserve">New South Wales v </w:t>
      </w:r>
      <w:proofErr w:type="spellStart"/>
      <w:r w:rsidRPr="000764DF">
        <w:rPr>
          <w:b/>
          <w:bCs/>
          <w:i/>
          <w:iCs/>
        </w:rPr>
        <w:t>Kable</w:t>
      </w:r>
      <w:proofErr w:type="spellEnd"/>
      <w:r w:rsidR="00D40E4F" w:rsidRPr="000764DF">
        <w:t xml:space="preserve"> [2013] HCA 26; </w:t>
      </w:r>
      <w:r w:rsidR="006C7D25" w:rsidRPr="000764DF">
        <w:t>252 CLR 118</w:t>
      </w:r>
      <w:r w:rsidR="006C7D25">
        <w:t xml:space="preserve"> at [52], and </w:t>
      </w:r>
      <w:r w:rsidR="00BD04E9">
        <w:t xml:space="preserve">as was adopted by the High Court in </w:t>
      </w:r>
      <w:r w:rsidR="00BD04E9" w:rsidRPr="000764DF">
        <w:rPr>
          <w:i/>
          <w:iCs/>
        </w:rPr>
        <w:t>Minister for Immigration, Citizenship, M</w:t>
      </w:r>
      <w:r w:rsidR="004D3718" w:rsidRPr="000764DF">
        <w:rPr>
          <w:i/>
          <w:iCs/>
        </w:rPr>
        <w:t xml:space="preserve">igrant Services and Multicultural </w:t>
      </w:r>
      <w:r w:rsidR="0086346A" w:rsidRPr="000764DF">
        <w:rPr>
          <w:i/>
          <w:iCs/>
        </w:rPr>
        <w:t>Affairs</w:t>
      </w:r>
      <w:r w:rsidR="004D3718" w:rsidRPr="000764DF">
        <w:rPr>
          <w:i/>
          <w:iCs/>
        </w:rPr>
        <w:t xml:space="preserve"> v </w:t>
      </w:r>
      <w:r w:rsidR="004D3718" w:rsidRPr="000764DF">
        <w:rPr>
          <w:b/>
          <w:bCs/>
          <w:i/>
          <w:iCs/>
        </w:rPr>
        <w:t>Moorcroft</w:t>
      </w:r>
      <w:r w:rsidR="00B437A1" w:rsidRPr="000764DF">
        <w:t xml:space="preserve"> [2021] HCA 19</w:t>
      </w:r>
      <w:r w:rsidR="00BD1941" w:rsidRPr="000764DF">
        <w:t>; 273 CLR 21</w:t>
      </w:r>
      <w:r w:rsidR="00B437A1">
        <w:t xml:space="preserve"> at [20]:</w:t>
      </w:r>
    </w:p>
    <w:p w14:paraId="415CAAEC" w14:textId="7AE447AD" w:rsidR="00B437A1" w:rsidRPr="006C1F3F" w:rsidRDefault="009169B0" w:rsidP="00DB5646">
      <w:pPr>
        <w:pStyle w:val="Quote1"/>
      </w:pPr>
      <w:r w:rsidRPr="006C1F3F">
        <w:t xml:space="preserve">[A] </w:t>
      </w:r>
      <w:proofErr w:type="gramStart"/>
      <w:r w:rsidRPr="006C1F3F">
        <w:t>thing</w:t>
      </w:r>
      <w:proofErr w:type="gramEnd"/>
      <w:r w:rsidRPr="006C1F3F">
        <w:t xml:space="preserve"> done in </w:t>
      </w:r>
      <w:r w:rsidR="000A2965" w:rsidRPr="001B2921">
        <w:t>the</w:t>
      </w:r>
      <w:r w:rsidR="000A2965">
        <w:t xml:space="preserve"> </w:t>
      </w:r>
      <w:r w:rsidRPr="006C1F3F">
        <w:t xml:space="preserve">purported but invalid exercise of a power conferred by law…remains at all times a thing in fact. That is so whether or not it has been judicially determined to be </w:t>
      </w:r>
      <w:r w:rsidR="00B17D70" w:rsidRPr="006C1F3F">
        <w:t>invalid. The thing is, as is sometimes said, a ‘nulli</w:t>
      </w:r>
      <w:r w:rsidR="00E041E4">
        <w:t>t</w:t>
      </w:r>
      <w:r w:rsidR="00B17D70" w:rsidRPr="006C1F3F">
        <w:t>y’ in the sense that it lacks the legal force it purports to have. But the thing is not a nulli</w:t>
      </w:r>
      <w:r w:rsidR="00E041E4">
        <w:t>t</w:t>
      </w:r>
      <w:r w:rsidR="00B17D70" w:rsidRPr="006C1F3F">
        <w:t xml:space="preserve">y in the sense that it has no existence at all or that it is incapable of having legal consequences. The factual </w:t>
      </w:r>
      <w:r w:rsidR="00B17D70" w:rsidRPr="006C1F3F">
        <w:lastRenderedPageBreak/>
        <w:t>existence of the thing</w:t>
      </w:r>
      <w:r w:rsidR="002A775E" w:rsidRPr="006C1F3F">
        <w:t xml:space="preserve"> might be the foundation of rights or duties that arise by force of another, valid law. The factual</w:t>
      </w:r>
      <w:r w:rsidR="00D3525C" w:rsidRPr="006C1F3F">
        <w:t xml:space="preserve"> existence of the thing might have led to the taking of some other action in fact. The action so taken might then have consequences for the creation or extinguishment or alteration of </w:t>
      </w:r>
      <w:r w:rsidR="005B42C6" w:rsidRPr="006C1F3F">
        <w:t xml:space="preserve">legal rights or legal obligations, which consequences do not depend on the legal force of the thing itself. For example, money might be paid in </w:t>
      </w:r>
      <w:r w:rsidR="000A2965" w:rsidRPr="001B2921">
        <w:t>the</w:t>
      </w:r>
      <w:r w:rsidR="000A2965">
        <w:t xml:space="preserve"> </w:t>
      </w:r>
      <w:r w:rsidR="005B42C6" w:rsidRPr="006C1F3F">
        <w:t>purported discharge of an invalid statutory obligation in circumstances which make that money irrecoverable, or the exercise of a statutory power might in some circumstances be authorised by statute, even if the repository of the power acted in the mistaken belief that some other, purported but invalid exercise of the power is valid</w:t>
      </w:r>
      <w:r w:rsidR="00F532BE" w:rsidRPr="006C1F3F">
        <w:t>.</w:t>
      </w:r>
      <w:r w:rsidRPr="006C1F3F">
        <w:t xml:space="preserve"> </w:t>
      </w:r>
    </w:p>
    <w:p w14:paraId="1B15E532" w14:textId="77777777" w:rsidR="00180B70" w:rsidRDefault="00542F30" w:rsidP="00CD1346">
      <w:pPr>
        <w:pStyle w:val="ParaNumbering"/>
      </w:pPr>
      <w:r>
        <w:t>A</w:t>
      </w:r>
      <w:r w:rsidR="002948AD">
        <w:t xml:space="preserve">cceptance </w:t>
      </w:r>
      <w:r w:rsidR="00304686">
        <w:t>of th</w:t>
      </w:r>
      <w:r w:rsidR="00F622D9">
        <w:t xml:space="preserve">e </w:t>
      </w:r>
      <w:r>
        <w:t>factual existence of</w:t>
      </w:r>
      <w:r w:rsidR="007B7891">
        <w:t xml:space="preserve"> the consequence of an unauthorised exercise of statutory power </w:t>
      </w:r>
      <w:r w:rsidR="00304686">
        <w:t xml:space="preserve">is </w:t>
      </w:r>
      <w:r w:rsidR="007B7891">
        <w:t xml:space="preserve">implicit in the </w:t>
      </w:r>
      <w:r w:rsidR="008606F8">
        <w:t>High Court</w:t>
      </w:r>
      <w:r w:rsidR="007B7891">
        <w:t xml:space="preserve">’s </w:t>
      </w:r>
      <w:r w:rsidR="00204145">
        <w:t>analysis of the words “give</w:t>
      </w:r>
      <w:r w:rsidR="0067531D">
        <w:t>”</w:t>
      </w:r>
      <w:r w:rsidR="00204145">
        <w:t xml:space="preserve"> and “invite” in s 501CA(3</w:t>
      </w:r>
      <w:r w:rsidR="00A318BB">
        <w:t>)(</w:t>
      </w:r>
      <w:r w:rsidR="00204145">
        <w:t>b)</w:t>
      </w:r>
      <w:r w:rsidR="008606F8">
        <w:t xml:space="preserve"> </w:t>
      </w:r>
      <w:r w:rsidR="00204145">
        <w:t xml:space="preserve">as connoting only the </w:t>
      </w:r>
      <w:r w:rsidR="00204145" w:rsidRPr="00204145">
        <w:rPr>
          <w:i/>
          <w:iCs/>
        </w:rPr>
        <w:t>performance</w:t>
      </w:r>
      <w:r w:rsidR="00204145">
        <w:t xml:space="preserve"> of an act, </w:t>
      </w:r>
      <w:r w:rsidR="00204145" w:rsidRPr="00204145">
        <w:rPr>
          <w:i/>
          <w:iCs/>
        </w:rPr>
        <w:t>rather than the consequences</w:t>
      </w:r>
      <w:r w:rsidR="00204145">
        <w:t xml:space="preserve"> of that performance: </w:t>
      </w:r>
      <w:r w:rsidR="00204145" w:rsidRPr="00FB2648">
        <w:rPr>
          <w:i/>
        </w:rPr>
        <w:t>E</w:t>
      </w:r>
      <w:r w:rsidR="00A318BB">
        <w:rPr>
          <w:i/>
        </w:rPr>
        <w:t>F</w:t>
      </w:r>
      <w:r w:rsidR="00204145" w:rsidRPr="00FB2648">
        <w:rPr>
          <w:i/>
        </w:rPr>
        <w:t>X17</w:t>
      </w:r>
      <w:r w:rsidR="00204145">
        <w:t xml:space="preserve"> at [23].</w:t>
      </w:r>
      <w:r w:rsidR="00F52008">
        <w:t xml:space="preserve"> </w:t>
      </w:r>
      <w:r w:rsidR="0067531D">
        <w:t xml:space="preserve">This invites attention </w:t>
      </w:r>
      <w:r w:rsidR="00762C42">
        <w:t>to whether, properly construed, the statute incorporates</w:t>
      </w:r>
      <w:r w:rsidR="005B066E">
        <w:t xml:space="preserve"> a threshold of materiality and what that threshold is: </w:t>
      </w:r>
      <w:r w:rsidR="00616258" w:rsidRPr="00616258">
        <w:rPr>
          <w:i/>
          <w:iCs/>
        </w:rPr>
        <w:t>Hossain</w:t>
      </w:r>
      <w:r w:rsidR="00616258">
        <w:t xml:space="preserve"> at [29]-[30].</w:t>
      </w:r>
    </w:p>
    <w:p w14:paraId="32067141" w14:textId="77777777" w:rsidR="00AE447A" w:rsidRDefault="00AE447A" w:rsidP="00CD1346">
      <w:pPr>
        <w:pStyle w:val="ParaNumbering"/>
      </w:pPr>
      <w:r>
        <w:t xml:space="preserve">In </w:t>
      </w:r>
      <w:r w:rsidRPr="00066D1A">
        <w:rPr>
          <w:i/>
          <w:iCs/>
        </w:rPr>
        <w:t>Hossain</w:t>
      </w:r>
      <w:r>
        <w:t>, th</w:t>
      </w:r>
      <w:r w:rsidR="005072D4">
        <w:t>e High Court said,</w:t>
      </w:r>
      <w:r w:rsidR="00066D1A">
        <w:t xml:space="preserve"> at [30]:</w:t>
      </w:r>
    </w:p>
    <w:p w14:paraId="3C338608" w14:textId="77777777" w:rsidR="00066D1A" w:rsidRPr="00ED01B6" w:rsidRDefault="00066D1A" w:rsidP="00DB5646">
      <w:pPr>
        <w:pStyle w:val="Quote1"/>
      </w:pPr>
      <w:r w:rsidRPr="00ED01B6">
        <w:t xml:space="preserve">…the threshold of materiality would not ordinarily be met in the event of a failure to comply with a condition if complying with the condition could have made no </w:t>
      </w:r>
      <w:r w:rsidR="00506F1F" w:rsidRPr="00ED01B6">
        <w:t>difference to the decision that was made in the circumstances in which the decision was made</w:t>
      </w:r>
      <w:r w:rsidR="00ED01B6" w:rsidRPr="00ED01B6">
        <w:t>.</w:t>
      </w:r>
    </w:p>
    <w:p w14:paraId="1FA9BC52" w14:textId="50814CDF" w:rsidR="00B95D8B" w:rsidRDefault="00ED01B6" w:rsidP="00CD1346">
      <w:pPr>
        <w:pStyle w:val="ParaNumbering"/>
      </w:pPr>
      <w:r>
        <w:t xml:space="preserve">Similarly, </w:t>
      </w:r>
      <w:r w:rsidR="005A5CA9">
        <w:t>Edelman J</w:t>
      </w:r>
      <w:r w:rsidR="009538B3">
        <w:t xml:space="preserve"> </w:t>
      </w:r>
      <w:r w:rsidR="00DB07A3">
        <w:t>(</w:t>
      </w:r>
      <w:r w:rsidR="009538B3">
        <w:t xml:space="preserve">with whom </w:t>
      </w:r>
      <w:r w:rsidR="000A2965" w:rsidRPr="001B2921">
        <w:t>Nettle J</w:t>
      </w:r>
      <w:r w:rsidR="000A2965">
        <w:t xml:space="preserve"> </w:t>
      </w:r>
      <w:r w:rsidR="009538B3">
        <w:t>agreed</w:t>
      </w:r>
      <w:r w:rsidR="00DB07A3">
        <w:t>, at [39])</w:t>
      </w:r>
      <w:r w:rsidR="005A5CA9">
        <w:t xml:space="preserve"> observed in </w:t>
      </w:r>
      <w:r w:rsidR="005A5CA9" w:rsidRPr="00BD6C09">
        <w:rPr>
          <w:i/>
          <w:iCs/>
        </w:rPr>
        <w:t>Hossain</w:t>
      </w:r>
      <w:r w:rsidR="005A5CA9">
        <w:t xml:space="preserve"> at [67],</w:t>
      </w:r>
      <w:r w:rsidR="00210AFB">
        <w:t xml:space="preserve"> that</w:t>
      </w:r>
      <w:r w:rsidR="005A5CA9">
        <w:t xml:space="preserve"> </w:t>
      </w:r>
      <w:r w:rsidR="00A318BB">
        <w:t>“[</w:t>
      </w:r>
      <w:r w:rsidR="005A5CA9">
        <w:t>a</w:t>
      </w:r>
      <w:r w:rsidR="00A318BB">
        <w:t>]</w:t>
      </w:r>
      <w:r w:rsidR="005A5CA9">
        <w:t xml:space="preserve"> close examination of legislation will usually have the effect that not every express or implied condition must be construed in a </w:t>
      </w:r>
      <w:r w:rsidR="003516AE">
        <w:t>binary way … Just as it is unlikely to be concluded that Parliament intended to authorise an unreasonable exercise of power, so too it is unlikely to be an</w:t>
      </w:r>
      <w:r w:rsidR="00B95D8B">
        <w:t xml:space="preserve"> </w:t>
      </w:r>
      <w:r w:rsidR="001C6D8E">
        <w:t>intention that the legislature is taken to have that</w:t>
      </w:r>
      <w:r w:rsidR="00BD6C09">
        <w:t xml:space="preserve"> a decision be rendered invalid by an immaterial error”.</w:t>
      </w:r>
    </w:p>
    <w:p w14:paraId="4DAA6058" w14:textId="13BD7FE5" w:rsidR="005C5628" w:rsidRDefault="00BD6C09" w:rsidP="00CD1346">
      <w:pPr>
        <w:pStyle w:val="ParaNumbering"/>
      </w:pPr>
      <w:r>
        <w:t>In the present case,</w:t>
      </w:r>
      <w:r w:rsidR="00CB6398">
        <w:t xml:space="preserve"> although the Minister did not comply with the condition precedent in that there was a failure to crystallise the period within which Ms Pearson’s representations were to be despatched, that failure was not material. </w:t>
      </w:r>
      <w:r w:rsidR="002D0A32">
        <w:t xml:space="preserve">It was argued, albeit faintly, that </w:t>
      </w:r>
      <w:r w:rsidR="00602A39">
        <w:t xml:space="preserve">the failure was material in that </w:t>
      </w:r>
      <w:r w:rsidR="002D0A32">
        <w:t>Ms Pearson may have had more time to make more fulsome representations in her first response to the invitation.</w:t>
      </w:r>
      <w:r w:rsidR="00602A39">
        <w:t xml:space="preserve"> That proposition cannot be accepted on the facts. </w:t>
      </w:r>
      <w:r w:rsidR="00CB6398">
        <w:t xml:space="preserve">Ms Pearson’s representations </w:t>
      </w:r>
      <w:r w:rsidR="00CB6398" w:rsidRPr="00C646B3">
        <w:rPr>
          <w:i/>
          <w:iCs/>
        </w:rPr>
        <w:t xml:space="preserve">were </w:t>
      </w:r>
      <w:r w:rsidR="00320D62">
        <w:t xml:space="preserve">made within the relevant time period and, together with her subsequent representations made over the ensuing </w:t>
      </w:r>
      <w:r w:rsidR="00202491">
        <w:t>three months</w:t>
      </w:r>
      <w:r w:rsidR="00A92710">
        <w:t>,</w:t>
      </w:r>
      <w:r w:rsidR="00202491">
        <w:t xml:space="preserve"> were taken into account by the </w:t>
      </w:r>
      <w:r w:rsidR="00A318BB">
        <w:t>Minister’s d</w:t>
      </w:r>
      <w:r w:rsidR="00202491">
        <w:t xml:space="preserve">elegate in making his decision </w:t>
      </w:r>
      <w:r w:rsidR="00955DB6">
        <w:t xml:space="preserve">almost </w:t>
      </w:r>
      <w:r w:rsidR="00202491">
        <w:t xml:space="preserve">12 months after the </w:t>
      </w:r>
      <w:r w:rsidR="00F357C2">
        <w:t>C</w:t>
      </w:r>
      <w:r w:rsidR="00955DB6">
        <w:t xml:space="preserve">ancellation decision. </w:t>
      </w:r>
      <w:r w:rsidR="00DC1BF0">
        <w:t xml:space="preserve">There is no suggestion </w:t>
      </w:r>
      <w:r w:rsidR="000D712C">
        <w:t xml:space="preserve">in the </w:t>
      </w:r>
      <w:r w:rsidR="00A318BB">
        <w:t>d</w:t>
      </w:r>
      <w:r w:rsidR="000D712C">
        <w:t xml:space="preserve">elegate’s reasons that the timing of the receipt of the more detailed representations impacted in any way on the weight accorded to those representations. </w:t>
      </w:r>
      <w:r w:rsidR="000F0BB9">
        <w:t>The factual and legal consequences generated by the</w:t>
      </w:r>
      <w:r w:rsidR="00BB4B75">
        <w:t xml:space="preserve"> </w:t>
      </w:r>
      <w:r w:rsidR="00FA1DB2">
        <w:t xml:space="preserve">admittedly invalid </w:t>
      </w:r>
      <w:r w:rsidR="00BB4B75">
        <w:lastRenderedPageBreak/>
        <w:t xml:space="preserve">invitation are that </w:t>
      </w:r>
      <w:r w:rsidR="003612FF">
        <w:t xml:space="preserve">Ms Pearson </w:t>
      </w:r>
      <w:r w:rsidR="00526F0E">
        <w:t xml:space="preserve">made representations </w:t>
      </w:r>
      <w:r w:rsidR="00FA1DB2">
        <w:t>in accordance with that invitation</w:t>
      </w:r>
      <w:r w:rsidR="003C23B2">
        <w:t xml:space="preserve">, </w:t>
      </w:r>
      <w:r w:rsidR="00FA1DB2">
        <w:t xml:space="preserve">as required by s </w:t>
      </w:r>
      <w:r w:rsidR="003C23B2">
        <w:t>501CA(4)</w:t>
      </w:r>
      <w:r w:rsidR="000F6760">
        <w:t>(a)</w:t>
      </w:r>
      <w:r w:rsidR="003C23B2">
        <w:t xml:space="preserve"> of the </w:t>
      </w:r>
      <w:r w:rsidR="003C23B2" w:rsidRPr="000F6760">
        <w:rPr>
          <w:i/>
          <w:iCs/>
        </w:rPr>
        <w:t>Migration Act</w:t>
      </w:r>
      <w:r w:rsidR="003C23B2">
        <w:t>, enabling the Minister to reach the requisite satisfaction, or not</w:t>
      </w:r>
      <w:r w:rsidR="000F6760">
        <w:t>, pursuant to s 501CA(4)(b).</w:t>
      </w:r>
      <w:r w:rsidR="00DD2635">
        <w:t xml:space="preserve"> </w:t>
      </w:r>
    </w:p>
    <w:p w14:paraId="1C3EDF8C" w14:textId="448E3E6B" w:rsidR="003B51B7" w:rsidRDefault="0042311C" w:rsidP="00CD1346">
      <w:pPr>
        <w:pStyle w:val="ParaNumbering"/>
      </w:pPr>
      <w:r>
        <w:t xml:space="preserve">Had </w:t>
      </w:r>
      <w:r w:rsidR="00D3107C">
        <w:t xml:space="preserve">Ms Pearson’s representations been made </w:t>
      </w:r>
      <w:r w:rsidR="00683859">
        <w:t xml:space="preserve">beyond the period incorrectly </w:t>
      </w:r>
      <w:r w:rsidR="00C33A75">
        <w:t xml:space="preserve">specified in the invitation, </w:t>
      </w:r>
      <w:r w:rsidR="00D3107C">
        <w:t xml:space="preserve">the Minister </w:t>
      </w:r>
      <w:r w:rsidR="00C13F96">
        <w:t xml:space="preserve">could </w:t>
      </w:r>
      <w:r w:rsidR="00D3107C">
        <w:t xml:space="preserve">not </w:t>
      </w:r>
      <w:r w:rsidR="00C13F96">
        <w:t xml:space="preserve">have refused to </w:t>
      </w:r>
      <w:r w:rsidR="00D3107C">
        <w:t>consider</w:t>
      </w:r>
      <w:r w:rsidR="006969D2">
        <w:t xml:space="preserve"> </w:t>
      </w:r>
      <w:r w:rsidR="00C13F96">
        <w:t xml:space="preserve">the </w:t>
      </w:r>
      <w:r>
        <w:t xml:space="preserve">representations </w:t>
      </w:r>
      <w:r w:rsidR="007B3762">
        <w:t>on the basis that they were late</w:t>
      </w:r>
      <w:r w:rsidR="004E2506">
        <w:t xml:space="preserve"> because</w:t>
      </w:r>
      <w:r w:rsidR="003B6EB1">
        <w:t xml:space="preserve"> the exercise of power in s </w:t>
      </w:r>
      <w:proofErr w:type="gramStart"/>
      <w:r w:rsidR="003B6EB1">
        <w:t>501CA(</w:t>
      </w:r>
      <w:proofErr w:type="gramEnd"/>
      <w:r w:rsidR="003B6EB1">
        <w:t>4) would have miscarried</w:t>
      </w:r>
      <w:r w:rsidR="00826BE3">
        <w:t>.</w:t>
      </w:r>
      <w:r w:rsidR="001D3347">
        <w:t xml:space="preserve"> It would miscarry </w:t>
      </w:r>
      <w:r w:rsidR="00950557">
        <w:t>“</w:t>
      </w:r>
      <w:r w:rsidR="001D3347">
        <w:t>because there</w:t>
      </w:r>
      <w:r w:rsidR="00950557">
        <w:t xml:space="preserve"> is a </w:t>
      </w:r>
      <w:r w:rsidR="00950557" w:rsidRPr="00134466">
        <w:rPr>
          <w:i/>
        </w:rPr>
        <w:t>refusal</w:t>
      </w:r>
      <w:r w:rsidR="00950557">
        <w:t xml:space="preserve"> to exercise the power…on the misconceived basis that there the person affected had been given an invitation to make representations</w:t>
      </w:r>
      <w:r w:rsidR="007577FF">
        <w:t xml:space="preserve"> that was ‘in accordance with</w:t>
      </w:r>
      <w:r w:rsidR="00F357C2">
        <w:t>’</w:t>
      </w:r>
      <w:r w:rsidR="007577FF">
        <w:t xml:space="preserve"> the Act, when they had not”:</w:t>
      </w:r>
      <w:r w:rsidR="00A7653D">
        <w:t xml:space="preserve"> </w:t>
      </w:r>
      <w:r w:rsidR="00EA6382" w:rsidRPr="000764DF">
        <w:rPr>
          <w:b/>
          <w:bCs/>
          <w:i/>
          <w:iCs/>
        </w:rPr>
        <w:t>EXT20</w:t>
      </w:r>
      <w:r w:rsidR="00EA6382" w:rsidRPr="000764DF">
        <w:rPr>
          <w:i/>
          <w:iCs/>
        </w:rPr>
        <w:t xml:space="preserve"> v </w:t>
      </w:r>
      <w:r w:rsidR="007D6F75" w:rsidRPr="000764DF">
        <w:rPr>
          <w:i/>
          <w:iCs/>
        </w:rPr>
        <w:t>Minister for Home Affairs</w:t>
      </w:r>
      <w:r w:rsidR="007D6F75" w:rsidRPr="000764DF">
        <w:t xml:space="preserve"> [2022] FCAFC 72</w:t>
      </w:r>
      <w:r w:rsidR="007D6F75">
        <w:t xml:space="preserve"> at </w:t>
      </w:r>
      <w:r w:rsidR="00281E2B">
        <w:t>[102]</w:t>
      </w:r>
      <w:r w:rsidR="00A318BB">
        <w:t xml:space="preserve"> (emphasis original)</w:t>
      </w:r>
      <w:r w:rsidR="00281E2B">
        <w:t xml:space="preserve">. </w:t>
      </w:r>
    </w:p>
    <w:p w14:paraId="3312AD97" w14:textId="77777777" w:rsidR="0042311C" w:rsidRDefault="00FE7FD7" w:rsidP="00CD1346">
      <w:pPr>
        <w:pStyle w:val="ParaNumbering"/>
      </w:pPr>
      <w:r>
        <w:t xml:space="preserve">In such circumstances, the </w:t>
      </w:r>
      <w:r w:rsidR="00B04868">
        <w:t>factual and legal consequ</w:t>
      </w:r>
      <w:r w:rsidR="00B73B32">
        <w:t>e</w:t>
      </w:r>
      <w:r w:rsidR="00B04868">
        <w:t xml:space="preserve">nces generated by </w:t>
      </w:r>
      <w:r w:rsidR="001A74A5">
        <w:t xml:space="preserve">the failure to specify the correct time limit means that the </w:t>
      </w:r>
      <w:r w:rsidR="00B04868">
        <w:t xml:space="preserve">invitation </w:t>
      </w:r>
      <w:r w:rsidR="001A74A5">
        <w:t xml:space="preserve">is invalid to the extent that it purports to prescribe a time period, </w:t>
      </w:r>
      <w:r w:rsidR="00A41E5D">
        <w:t xml:space="preserve">in which case time ceases to run until the Minister considers the representations, </w:t>
      </w:r>
      <w:r w:rsidR="001A74A5">
        <w:t>but the invitation</w:t>
      </w:r>
      <w:r w:rsidR="00E95A26">
        <w:t xml:space="preserve"> is otherwise valid to the extent that it is a document that invites representations.</w:t>
      </w:r>
      <w:r w:rsidR="00B04868">
        <w:t xml:space="preserve"> </w:t>
      </w:r>
      <w:r w:rsidR="00CD2744">
        <w:t xml:space="preserve">That is because the power </w:t>
      </w:r>
      <w:r w:rsidR="00A95AC2">
        <w:t xml:space="preserve">conferred by s </w:t>
      </w:r>
      <w:proofErr w:type="gramStart"/>
      <w:r w:rsidR="00A95AC2">
        <w:t>501CA(</w:t>
      </w:r>
      <w:proofErr w:type="gramEnd"/>
      <w:r w:rsidR="00A95AC2">
        <w:t>4)</w:t>
      </w:r>
      <w:r w:rsidR="00BB71DC">
        <w:t>, either to revoke</w:t>
      </w:r>
      <w:r w:rsidR="00E44A8D">
        <w:t xml:space="preserve"> a visa cancellation,</w:t>
      </w:r>
      <w:r w:rsidR="00BB71DC">
        <w:t xml:space="preserve"> or not</w:t>
      </w:r>
      <w:r w:rsidR="00E44A8D">
        <w:t>,</w:t>
      </w:r>
      <w:r w:rsidR="00A95AC2">
        <w:t xml:space="preserve"> </w:t>
      </w:r>
      <w:r w:rsidR="00E26797">
        <w:t xml:space="preserve">is preconditioned on </w:t>
      </w:r>
      <w:r w:rsidR="00AB215E">
        <w:t xml:space="preserve">the Minister’s satisfaction that there is a reason why the original decision should be </w:t>
      </w:r>
      <w:r w:rsidR="00EE4324">
        <w:t>revoked, after representations have been made.</w:t>
      </w:r>
      <w:r w:rsidR="00EE4553">
        <w:t xml:space="preserve"> </w:t>
      </w:r>
      <w:r w:rsidR="00F20486">
        <w:t xml:space="preserve">This </w:t>
      </w:r>
      <w:r w:rsidR="006E74E7">
        <w:t xml:space="preserve">is not to depart </w:t>
      </w:r>
      <w:r w:rsidR="0071082D">
        <w:t xml:space="preserve">from the decisions of the Full Court in </w:t>
      </w:r>
      <w:r w:rsidR="00DF3567" w:rsidRPr="00DF3567">
        <w:rPr>
          <w:i/>
          <w:iCs/>
        </w:rPr>
        <w:t>Stewart</w:t>
      </w:r>
      <w:r w:rsidR="00DF3567">
        <w:t xml:space="preserve">, </w:t>
      </w:r>
      <w:r w:rsidR="0071082D" w:rsidRPr="00516FB5">
        <w:rPr>
          <w:i/>
          <w:iCs/>
        </w:rPr>
        <w:t xml:space="preserve">EPL20 </w:t>
      </w:r>
      <w:r w:rsidR="0071082D">
        <w:t xml:space="preserve">or </w:t>
      </w:r>
      <w:proofErr w:type="spellStart"/>
      <w:r w:rsidR="0071082D" w:rsidRPr="00516FB5">
        <w:rPr>
          <w:i/>
          <w:iCs/>
        </w:rPr>
        <w:t>Sillars</w:t>
      </w:r>
      <w:proofErr w:type="spellEnd"/>
      <w:r w:rsidR="005E2060">
        <w:t xml:space="preserve"> in which the recipients of the invalid notice did not make representations within the </w:t>
      </w:r>
      <w:r w:rsidR="0086346A">
        <w:t>prescribed</w:t>
      </w:r>
      <w:r w:rsidR="00516FB5">
        <w:t xml:space="preserve"> period. Those cases were concerned with different substrata of facts.</w:t>
      </w:r>
    </w:p>
    <w:p w14:paraId="6E9A4861" w14:textId="3A917D59" w:rsidR="00F920F1" w:rsidRPr="00F920F1" w:rsidRDefault="00336899" w:rsidP="00CD1346">
      <w:pPr>
        <w:pStyle w:val="ParaNumbering"/>
      </w:pPr>
      <w:r>
        <w:t xml:space="preserve">In this regard, the matter is not dissimilar to </w:t>
      </w:r>
      <w:r w:rsidRPr="000764DF">
        <w:rPr>
          <w:i/>
          <w:iCs/>
        </w:rPr>
        <w:t xml:space="preserve">Minister for Immigration and Citizenship v </w:t>
      </w:r>
      <w:r w:rsidRPr="000764DF">
        <w:rPr>
          <w:b/>
          <w:bCs/>
          <w:i/>
          <w:iCs/>
        </w:rPr>
        <w:t>SZIZO</w:t>
      </w:r>
      <w:r w:rsidR="0094031B" w:rsidRPr="000764DF">
        <w:rPr>
          <w:b/>
          <w:bCs/>
          <w:i/>
          <w:iCs/>
        </w:rPr>
        <w:t xml:space="preserve"> </w:t>
      </w:r>
      <w:r w:rsidR="00A318BB" w:rsidRPr="000764DF">
        <w:t>[2009] HCA 37;</w:t>
      </w:r>
      <w:r w:rsidR="0094031B" w:rsidRPr="000764DF">
        <w:t xml:space="preserve"> 238 CLR 627</w:t>
      </w:r>
      <w:r w:rsidR="0094031B">
        <w:t xml:space="preserve"> where the Refugee Review Tribunal </w:t>
      </w:r>
      <w:r w:rsidR="00C776F5">
        <w:t>(</w:t>
      </w:r>
      <w:r w:rsidR="00C776F5" w:rsidRPr="00C776F5">
        <w:rPr>
          <w:b/>
          <w:bCs/>
        </w:rPr>
        <w:t>RRT</w:t>
      </w:r>
      <w:r w:rsidR="00C776F5">
        <w:t xml:space="preserve">) </w:t>
      </w:r>
      <w:r w:rsidR="0094031B">
        <w:t xml:space="preserve">failed to comply with the requirements of </w:t>
      </w:r>
      <w:proofErr w:type="spellStart"/>
      <w:r w:rsidR="0094031B">
        <w:t>ss</w:t>
      </w:r>
      <w:proofErr w:type="spellEnd"/>
      <w:r w:rsidR="0094031B">
        <w:t xml:space="preserve"> 441A and 441G of the </w:t>
      </w:r>
      <w:r w:rsidR="0094031B" w:rsidRPr="00C776F5">
        <w:rPr>
          <w:i/>
          <w:iCs/>
        </w:rPr>
        <w:t>Migration Act</w:t>
      </w:r>
      <w:r w:rsidR="0094031B">
        <w:t>.</w:t>
      </w:r>
      <w:r w:rsidR="00C776F5">
        <w:t xml:space="preserve"> The RRT sent notice of the hearing to the first applicant only, instructing him to inform the other applicants of the hearing. All of the applicants</w:t>
      </w:r>
      <w:r w:rsidR="006A5E99">
        <w:t xml:space="preserve"> attended the hearing and had the opportunity to participate in the hearing. </w:t>
      </w:r>
      <w:r w:rsidR="00A6327C">
        <w:t>The High Court said</w:t>
      </w:r>
      <w:r w:rsidR="00CF74C0">
        <w:t>, at [35],</w:t>
      </w:r>
      <w:r w:rsidR="00A6327C">
        <w:t xml:space="preserve"> that the “admitted </w:t>
      </w:r>
      <w:r w:rsidR="00F8238D">
        <w:t xml:space="preserve">absurdity of the outcome is against acceptance of the conclusion </w:t>
      </w:r>
      <w:r w:rsidR="001937B0">
        <w:t>that the le</w:t>
      </w:r>
      <w:r w:rsidR="009159DC">
        <w:t xml:space="preserve">gislature intended that invalidity be the consequence of departure from </w:t>
      </w:r>
      <w:r w:rsidR="009159DC" w:rsidRPr="00C530E8">
        <w:rPr>
          <w:i/>
          <w:iCs/>
        </w:rPr>
        <w:t>any</w:t>
      </w:r>
      <w:r w:rsidR="009159DC">
        <w:t xml:space="preserve"> of the procedural steps leading up to the hearing</w:t>
      </w:r>
      <w:r w:rsidR="00CF74C0" w:rsidRPr="001B2921">
        <w:t>”</w:t>
      </w:r>
      <w:r w:rsidR="0085174D" w:rsidRPr="001B2921">
        <w:t>,</w:t>
      </w:r>
      <w:r w:rsidR="00CF74C0" w:rsidRPr="001B2921">
        <w:t>(</w:t>
      </w:r>
      <w:r w:rsidR="0085174D" w:rsidRPr="001B2921">
        <w:t>e</w:t>
      </w:r>
      <w:r w:rsidR="00CF74C0" w:rsidRPr="001B2921">
        <w:t>mphasis added)</w:t>
      </w:r>
      <w:r w:rsidR="0085174D" w:rsidRPr="001B2921">
        <w:t>.</w:t>
      </w:r>
    </w:p>
    <w:p w14:paraId="2FD798DE" w14:textId="5F76E0C8" w:rsidR="00E94C9D" w:rsidRDefault="00A41E5D" w:rsidP="00F56E66">
      <w:pPr>
        <w:pStyle w:val="ParaNumbering"/>
      </w:pPr>
      <w:r>
        <w:t xml:space="preserve">Similarly, </w:t>
      </w:r>
      <w:r w:rsidR="00F56E66">
        <w:t xml:space="preserve">it cannot be supposed that </w:t>
      </w:r>
      <w:r w:rsidR="00D538B0">
        <w:t xml:space="preserve">the legislature intended that a person who has made representations </w:t>
      </w:r>
      <w:r w:rsidR="00A44811">
        <w:t xml:space="preserve">which have been </w:t>
      </w:r>
      <w:r w:rsidR="005F0112">
        <w:t>considered</w:t>
      </w:r>
      <w:r w:rsidR="00A44811">
        <w:t xml:space="preserve"> by the Minister</w:t>
      </w:r>
      <w:r w:rsidR="00F56E66">
        <w:t xml:space="preserve">, </w:t>
      </w:r>
      <w:r w:rsidR="00A44811">
        <w:t xml:space="preserve">whether </w:t>
      </w:r>
      <w:r w:rsidR="00F56E66">
        <w:t xml:space="preserve">the cancellation decision </w:t>
      </w:r>
      <w:r w:rsidR="00A44811">
        <w:t xml:space="preserve">is </w:t>
      </w:r>
      <w:r w:rsidR="00F56E66">
        <w:t>revoked</w:t>
      </w:r>
      <w:r w:rsidR="00A44811">
        <w:t xml:space="preserve"> or not</w:t>
      </w:r>
      <w:r w:rsidR="00F56E66">
        <w:t>,</w:t>
      </w:r>
      <w:r w:rsidR="005F0112">
        <w:t xml:space="preserve"> should be required to remain in immigration limbo whilst the process commences again when there could not be a materially different outcome</w:t>
      </w:r>
      <w:r w:rsidR="00E71177">
        <w:t xml:space="preserve">: </w:t>
      </w:r>
      <w:r w:rsidR="00E71177" w:rsidRPr="00427A56">
        <w:rPr>
          <w:i/>
          <w:iCs/>
        </w:rPr>
        <w:t>Montgomery</w:t>
      </w:r>
      <w:r w:rsidR="00427A56">
        <w:t>,</w:t>
      </w:r>
      <w:r w:rsidR="00E71177">
        <w:t xml:space="preserve"> at </w:t>
      </w:r>
      <w:r w:rsidR="00427A56">
        <w:lastRenderedPageBreak/>
        <w:t>[101].</w:t>
      </w:r>
      <w:r w:rsidR="005A7B13">
        <w:t xml:space="preserve"> Were it </w:t>
      </w:r>
      <w:r w:rsidR="005F7435">
        <w:t xml:space="preserve">otherwise, the protective mechanism that Parliament has provided for </w:t>
      </w:r>
      <w:r w:rsidR="002820C6">
        <w:t>in s</w:t>
      </w:r>
      <w:r w:rsidR="0085174D">
        <w:t> </w:t>
      </w:r>
      <w:proofErr w:type="gramStart"/>
      <w:r w:rsidR="002820C6">
        <w:t>501CA(</w:t>
      </w:r>
      <w:proofErr w:type="gramEnd"/>
      <w:r w:rsidR="002820C6">
        <w:t>4) would be significantly diminished.</w:t>
      </w:r>
    </w:p>
    <w:p w14:paraId="7D103837" w14:textId="77777777" w:rsidR="00CB5329" w:rsidRDefault="00CB5329" w:rsidP="00F56E66">
      <w:pPr>
        <w:pStyle w:val="ParaNumbering"/>
      </w:pPr>
      <w:r>
        <w:t>For these reasons, grounds one and two cannot succeed.</w:t>
      </w:r>
    </w:p>
    <w:p w14:paraId="72497F54" w14:textId="77777777" w:rsidR="00075BA3" w:rsidRDefault="00847121" w:rsidP="004E7A3C">
      <w:pPr>
        <w:pStyle w:val="Heading2"/>
      </w:pPr>
      <w:r>
        <w:t>The effect of an aggregate sentence</w:t>
      </w:r>
    </w:p>
    <w:p w14:paraId="08A6A258" w14:textId="196DE169" w:rsidR="00847121" w:rsidRDefault="00847121" w:rsidP="00F56E66">
      <w:pPr>
        <w:pStyle w:val="ParaNumbering"/>
      </w:pPr>
      <w:r>
        <w:t>T</w:t>
      </w:r>
      <w:r w:rsidR="00F67BFE">
        <w:t xml:space="preserve">he proposed new ground of review is concerned with whether Ms Pearson’s </w:t>
      </w:r>
      <w:r w:rsidR="004D3FB1">
        <w:t xml:space="preserve">sentence to an aggregate maximum term of imprisonment of 4 years and 3 months in respect of 10 offences </w:t>
      </w:r>
      <w:r w:rsidR="000F1EA3">
        <w:t xml:space="preserve">engages s 501(3A) of the </w:t>
      </w:r>
      <w:r w:rsidR="000F1EA3" w:rsidRPr="000F1EA3">
        <w:rPr>
          <w:i/>
          <w:iCs/>
        </w:rPr>
        <w:t>Migration Act</w:t>
      </w:r>
      <w:r w:rsidR="004E29AB">
        <w:t xml:space="preserve"> because of the operation of the character test, parti</w:t>
      </w:r>
      <w:r w:rsidR="00093CA6">
        <w:t>c</w:t>
      </w:r>
      <w:r w:rsidR="004E29AB">
        <w:t>ularly as provided for in s</w:t>
      </w:r>
      <w:r w:rsidR="008425F4">
        <w:t xml:space="preserve"> </w:t>
      </w:r>
      <w:r w:rsidR="004E29AB">
        <w:t>501(</w:t>
      </w:r>
      <w:r w:rsidR="008425F4">
        <w:t>7)(c).</w:t>
      </w:r>
      <w:r w:rsidR="000F1EA3">
        <w:t xml:space="preserve"> </w:t>
      </w:r>
      <w:r w:rsidR="00BF48A6">
        <w:t>Ms Pearson submits that, notwithstanding the lateness of the</w:t>
      </w:r>
      <w:r w:rsidR="001B2921">
        <w:t xml:space="preserve"> SFAOA</w:t>
      </w:r>
      <w:r w:rsidR="002B5BA0">
        <w:t>, the issue that arises is one of law only and the Minister cannot be taken by surprise since the</w:t>
      </w:r>
      <w:r w:rsidR="00974558">
        <w:t xml:space="preserve"> same issue is presently reserved before another Full Court: </w:t>
      </w:r>
      <w:r w:rsidR="00823D6B">
        <w:t xml:space="preserve">NSD 296 of 2022 on appeal from </w:t>
      </w:r>
      <w:proofErr w:type="spellStart"/>
      <w:r w:rsidR="00823D6B" w:rsidRPr="000764DF">
        <w:rPr>
          <w:i/>
          <w:iCs/>
        </w:rPr>
        <w:t>Tapiki</w:t>
      </w:r>
      <w:proofErr w:type="spellEnd"/>
      <w:r w:rsidR="00823D6B" w:rsidRPr="000764DF">
        <w:rPr>
          <w:i/>
          <w:iCs/>
        </w:rPr>
        <w:t xml:space="preserve"> v Minister for Immigration, Citizenship</w:t>
      </w:r>
      <w:r w:rsidR="00484BD6" w:rsidRPr="000764DF">
        <w:rPr>
          <w:i/>
          <w:iCs/>
        </w:rPr>
        <w:t>, Migrant Services</w:t>
      </w:r>
      <w:r w:rsidR="00823D6B" w:rsidRPr="000764DF">
        <w:rPr>
          <w:i/>
          <w:iCs/>
        </w:rPr>
        <w:t xml:space="preserve"> and Multicultural Affairs</w:t>
      </w:r>
      <w:r w:rsidR="00823D6B" w:rsidRPr="000764DF">
        <w:t xml:space="preserve"> [2022] FCA 391</w:t>
      </w:r>
      <w:r w:rsidR="00823D6B">
        <w:t xml:space="preserve">. </w:t>
      </w:r>
      <w:r w:rsidR="004E7A3C">
        <w:t>Relevantly, t</w:t>
      </w:r>
      <w:r w:rsidR="008425F4">
        <w:t>he character test is as follows</w:t>
      </w:r>
      <w:r w:rsidR="000F1EA3">
        <w:t>:</w:t>
      </w:r>
    </w:p>
    <w:p w14:paraId="7BAEC1F0" w14:textId="77777777" w:rsidR="004E29AB" w:rsidRPr="00DB5646" w:rsidRDefault="004E29AB" w:rsidP="00DB5646">
      <w:pPr>
        <w:pStyle w:val="Quote1"/>
        <w:rPr>
          <w:i/>
        </w:rPr>
      </w:pPr>
      <w:r w:rsidRPr="00DB5646">
        <w:rPr>
          <w:i/>
        </w:rPr>
        <w:t>Character test</w:t>
      </w:r>
    </w:p>
    <w:p w14:paraId="7A530853" w14:textId="77777777" w:rsidR="004E29AB" w:rsidRPr="004C1496" w:rsidRDefault="004E29AB" w:rsidP="00DB5646">
      <w:pPr>
        <w:pStyle w:val="Quote1"/>
      </w:pPr>
      <w:r w:rsidRPr="004C1496">
        <w:t>(6)</w:t>
      </w:r>
      <w:r w:rsidRPr="004C1496">
        <w:tab/>
        <w:t xml:space="preserve">For the purposes of this section, a person does not pass the </w:t>
      </w:r>
      <w:r w:rsidRPr="004C1496">
        <w:rPr>
          <w:b/>
          <w:i/>
        </w:rPr>
        <w:t>character test</w:t>
      </w:r>
      <w:r w:rsidRPr="004C1496">
        <w:t xml:space="preserve"> if:</w:t>
      </w:r>
    </w:p>
    <w:p w14:paraId="5E7346F8" w14:textId="77777777" w:rsidR="008425F4" w:rsidRPr="004C1496" w:rsidRDefault="004E29AB" w:rsidP="000E4CCC">
      <w:pPr>
        <w:pStyle w:val="Quote2"/>
        <w:ind w:left="2160" w:hanging="720"/>
      </w:pPr>
      <w:r w:rsidRPr="004C1496">
        <w:t>(a)</w:t>
      </w:r>
      <w:r w:rsidRPr="004C1496">
        <w:tab/>
      </w:r>
      <w:proofErr w:type="gramStart"/>
      <w:r w:rsidRPr="004C1496">
        <w:t>the</w:t>
      </w:r>
      <w:proofErr w:type="gramEnd"/>
      <w:r w:rsidRPr="004C1496">
        <w:t xml:space="preserve"> person has a substantial criminal record (as defined by subsection (7)); or</w:t>
      </w:r>
    </w:p>
    <w:p w14:paraId="07768AD0" w14:textId="77777777" w:rsidR="004E29AB" w:rsidRPr="004C1496" w:rsidRDefault="004E29AB" w:rsidP="000E4CCC">
      <w:pPr>
        <w:pStyle w:val="Quote2"/>
        <w:ind w:left="2160" w:hanging="720"/>
      </w:pPr>
      <w:r w:rsidRPr="004C1496">
        <w:t>(</w:t>
      </w:r>
      <w:proofErr w:type="gramStart"/>
      <w:r w:rsidRPr="004C1496">
        <w:t>aa</w:t>
      </w:r>
      <w:proofErr w:type="gramEnd"/>
      <w:r w:rsidRPr="004C1496">
        <w:t>)</w:t>
      </w:r>
      <w:r w:rsidRPr="004C1496">
        <w:tab/>
        <w:t>the person has been convicted of an offence that was committed:</w:t>
      </w:r>
    </w:p>
    <w:p w14:paraId="69B8048F" w14:textId="140247F3" w:rsidR="004E29AB" w:rsidRPr="004C1496" w:rsidRDefault="004E29AB" w:rsidP="000E4CCC">
      <w:pPr>
        <w:pStyle w:val="Quote3"/>
        <w:ind w:left="2880" w:hanging="720"/>
      </w:pPr>
      <w:r w:rsidRPr="004C1496">
        <w:t>(</w:t>
      </w:r>
      <w:proofErr w:type="spellStart"/>
      <w:r w:rsidRPr="004C1496">
        <w:t>i</w:t>
      </w:r>
      <w:proofErr w:type="spellEnd"/>
      <w:r w:rsidRPr="004C1496">
        <w:t>)</w:t>
      </w:r>
      <w:r w:rsidRPr="004C1496">
        <w:tab/>
      </w:r>
      <w:proofErr w:type="gramStart"/>
      <w:r w:rsidRPr="004C1496">
        <w:t>while</w:t>
      </w:r>
      <w:proofErr w:type="gramEnd"/>
      <w:r w:rsidRPr="004C1496">
        <w:t xml:space="preserve"> the person was in immigration detention; or</w:t>
      </w:r>
    </w:p>
    <w:p w14:paraId="5393C83A" w14:textId="77777777" w:rsidR="008425F4" w:rsidRPr="004C1496" w:rsidRDefault="004E29AB" w:rsidP="000E4CCC">
      <w:pPr>
        <w:pStyle w:val="Quote3"/>
        <w:ind w:left="2880" w:hanging="720"/>
      </w:pPr>
      <w:r w:rsidRPr="004C1496">
        <w:t>(ii)</w:t>
      </w:r>
      <w:r w:rsidRPr="004C1496">
        <w:tab/>
      </w:r>
      <w:proofErr w:type="gramStart"/>
      <w:r w:rsidRPr="004C1496">
        <w:t>during</w:t>
      </w:r>
      <w:proofErr w:type="gramEnd"/>
      <w:r w:rsidRPr="004C1496">
        <w:t xml:space="preserve"> an escape by the person from immigration detention; or</w:t>
      </w:r>
    </w:p>
    <w:p w14:paraId="67753096" w14:textId="77777777" w:rsidR="004E29AB" w:rsidRPr="004C1496" w:rsidRDefault="004E29AB" w:rsidP="000E4CCC">
      <w:pPr>
        <w:pStyle w:val="Quote3"/>
        <w:ind w:left="2880" w:hanging="720"/>
      </w:pPr>
      <w:r w:rsidRPr="004C1496">
        <w:t>(iii)</w:t>
      </w:r>
      <w:r w:rsidRPr="004C1496">
        <w:tab/>
      </w:r>
      <w:proofErr w:type="gramStart"/>
      <w:r w:rsidRPr="004C1496">
        <w:t>after</w:t>
      </w:r>
      <w:proofErr w:type="gramEnd"/>
      <w:r w:rsidRPr="004C1496">
        <w:t xml:space="preserve"> the person escaped from immigration detention but before the person was taken into immigration detention again; or</w:t>
      </w:r>
    </w:p>
    <w:p w14:paraId="15D5CA54" w14:textId="5042C60D" w:rsidR="004E29AB" w:rsidRPr="004C1496" w:rsidRDefault="004E29AB" w:rsidP="000E4CCC">
      <w:pPr>
        <w:pStyle w:val="Quote2"/>
        <w:ind w:left="2160" w:hanging="720"/>
      </w:pPr>
      <w:r w:rsidRPr="004C1496">
        <w:t>(</w:t>
      </w:r>
      <w:proofErr w:type="gramStart"/>
      <w:r w:rsidRPr="004C1496">
        <w:t>ab</w:t>
      </w:r>
      <w:proofErr w:type="gramEnd"/>
      <w:r w:rsidRPr="004C1496">
        <w:t>)</w:t>
      </w:r>
      <w:r w:rsidRPr="004C1496">
        <w:tab/>
        <w:t>the person has been convicted of an offence against section 197A; or</w:t>
      </w:r>
    </w:p>
    <w:p w14:paraId="45BFB834" w14:textId="447F8B43" w:rsidR="004E29AB" w:rsidRPr="004C1496" w:rsidRDefault="004E29AB" w:rsidP="000E4CCC">
      <w:pPr>
        <w:pStyle w:val="Quote2"/>
        <w:ind w:left="2160" w:hanging="720"/>
      </w:pPr>
      <w:r w:rsidRPr="004C1496">
        <w:t>(b)</w:t>
      </w:r>
      <w:r w:rsidRPr="004C1496">
        <w:tab/>
      </w:r>
      <w:proofErr w:type="gramStart"/>
      <w:r w:rsidRPr="004C1496">
        <w:t>the</w:t>
      </w:r>
      <w:proofErr w:type="gramEnd"/>
      <w:r w:rsidRPr="004C1496">
        <w:t xml:space="preserve"> Minister reasonably suspects:</w:t>
      </w:r>
    </w:p>
    <w:p w14:paraId="670A8BDD" w14:textId="77777777" w:rsidR="004C1496" w:rsidRDefault="004E29AB" w:rsidP="000E4CCC">
      <w:pPr>
        <w:pStyle w:val="Quote3"/>
        <w:ind w:left="2880" w:hanging="720"/>
      </w:pPr>
      <w:r w:rsidRPr="004C1496">
        <w:t>(</w:t>
      </w:r>
      <w:proofErr w:type="spellStart"/>
      <w:r w:rsidRPr="004C1496">
        <w:t>i</w:t>
      </w:r>
      <w:proofErr w:type="spellEnd"/>
      <w:r w:rsidRPr="004C1496">
        <w:t>)</w:t>
      </w:r>
      <w:r w:rsidRPr="004C1496">
        <w:tab/>
      </w:r>
      <w:proofErr w:type="gramStart"/>
      <w:r w:rsidRPr="004C1496">
        <w:t>that</w:t>
      </w:r>
      <w:proofErr w:type="gramEnd"/>
      <w:r w:rsidRPr="004C1496">
        <w:t xml:space="preserve"> the person has been or is a member of a group or organisation, or has had or has an association with a group,</w:t>
      </w:r>
      <w:r w:rsidR="004C1496" w:rsidRPr="004C1496">
        <w:t xml:space="preserve"> </w:t>
      </w:r>
      <w:r w:rsidRPr="004C1496">
        <w:t>organisation or person; and</w:t>
      </w:r>
    </w:p>
    <w:p w14:paraId="1AA4897C" w14:textId="77777777" w:rsidR="004C1496" w:rsidRDefault="004E29AB" w:rsidP="000E4CCC">
      <w:pPr>
        <w:pStyle w:val="Quote3"/>
        <w:ind w:left="2880" w:hanging="720"/>
      </w:pPr>
      <w:r w:rsidRPr="004C1496">
        <w:t>(ii)</w:t>
      </w:r>
      <w:r w:rsidRPr="004C1496">
        <w:tab/>
      </w:r>
      <w:proofErr w:type="gramStart"/>
      <w:r w:rsidRPr="004C1496">
        <w:t>that</w:t>
      </w:r>
      <w:proofErr w:type="gramEnd"/>
      <w:r w:rsidRPr="004C1496">
        <w:t xml:space="preserve"> the group, organisation or person has been or is involved in criminal conduct; or</w:t>
      </w:r>
    </w:p>
    <w:p w14:paraId="353B189D" w14:textId="77777777" w:rsidR="004E29AB" w:rsidRPr="004C1496" w:rsidRDefault="004E29AB" w:rsidP="006125D0">
      <w:pPr>
        <w:pStyle w:val="Quote2"/>
        <w:ind w:left="2143" w:hanging="703"/>
      </w:pPr>
      <w:r w:rsidRPr="004C1496">
        <w:t>(</w:t>
      </w:r>
      <w:proofErr w:type="spellStart"/>
      <w:proofErr w:type="gramStart"/>
      <w:r w:rsidRPr="004C1496">
        <w:t>ba</w:t>
      </w:r>
      <w:proofErr w:type="spellEnd"/>
      <w:proofErr w:type="gramEnd"/>
      <w:r w:rsidRPr="004C1496">
        <w:t>)</w:t>
      </w:r>
      <w:r w:rsidRPr="004C1496">
        <w:tab/>
        <w:t>the Minister reasonably suspects that the person has been or is involved in conduct constituting one or more of the following:</w:t>
      </w:r>
    </w:p>
    <w:p w14:paraId="372C0C36" w14:textId="77777777" w:rsidR="004C1496" w:rsidRDefault="00DB5646" w:rsidP="000E4CCC">
      <w:pPr>
        <w:pStyle w:val="Quote3"/>
        <w:ind w:left="2880" w:hanging="720"/>
      </w:pPr>
      <w:r>
        <w:t>(</w:t>
      </w:r>
      <w:proofErr w:type="spellStart"/>
      <w:r>
        <w:t>i</w:t>
      </w:r>
      <w:proofErr w:type="spellEnd"/>
      <w:r>
        <w:t xml:space="preserve">) </w:t>
      </w:r>
      <w:r>
        <w:tab/>
      </w:r>
      <w:proofErr w:type="gramStart"/>
      <w:r w:rsidR="004E29AB" w:rsidRPr="004C1496">
        <w:t>an</w:t>
      </w:r>
      <w:proofErr w:type="gramEnd"/>
      <w:r w:rsidR="004E29AB" w:rsidRPr="004C1496">
        <w:t xml:space="preserve"> offence under one or more of sections 233A to 234A (people smuggling);</w:t>
      </w:r>
    </w:p>
    <w:p w14:paraId="2FDD50E7" w14:textId="77777777" w:rsidR="004C1496" w:rsidRDefault="00DB5646" w:rsidP="000E4CCC">
      <w:pPr>
        <w:pStyle w:val="Quote3"/>
        <w:ind w:left="2880" w:hanging="720"/>
      </w:pPr>
      <w:r>
        <w:t xml:space="preserve">(ii) </w:t>
      </w:r>
      <w:r>
        <w:tab/>
      </w:r>
      <w:proofErr w:type="gramStart"/>
      <w:r w:rsidR="004E29AB" w:rsidRPr="004C1496">
        <w:t>an</w:t>
      </w:r>
      <w:proofErr w:type="gramEnd"/>
      <w:r w:rsidR="004E29AB" w:rsidRPr="004C1496">
        <w:t xml:space="preserve"> offence of trafficking in persons</w:t>
      </w:r>
      <w:r w:rsidR="004C1496">
        <w:t>;</w:t>
      </w:r>
    </w:p>
    <w:p w14:paraId="58758D3A" w14:textId="77777777" w:rsidR="004E29AB" w:rsidRPr="004C1496" w:rsidRDefault="00DB5646" w:rsidP="000E4CCC">
      <w:pPr>
        <w:pStyle w:val="Quote3"/>
        <w:ind w:left="2880" w:hanging="720"/>
      </w:pPr>
      <w:r>
        <w:lastRenderedPageBreak/>
        <w:t xml:space="preserve">(iii) </w:t>
      </w:r>
      <w:r>
        <w:tab/>
      </w:r>
      <w:r w:rsidR="004E29AB" w:rsidRPr="004C1496">
        <w:t>the crime of genocide, a crime against humanity, a war crime, a crime involving torture or slavery or a crime that is otherwise of serious international concern;</w:t>
      </w:r>
    </w:p>
    <w:p w14:paraId="30B7C5B5" w14:textId="77777777" w:rsidR="004E29AB" w:rsidRPr="004C1496" w:rsidRDefault="004E29AB" w:rsidP="006125D0">
      <w:pPr>
        <w:pStyle w:val="Quote3"/>
      </w:pPr>
      <w:proofErr w:type="gramStart"/>
      <w:r w:rsidRPr="004C1496">
        <w:t>whether</w:t>
      </w:r>
      <w:proofErr w:type="gramEnd"/>
      <w:r w:rsidRPr="004C1496">
        <w:t xml:space="preserve"> or not the person, or another person, has been convicted of an offence constituted by the conduct; or</w:t>
      </w:r>
    </w:p>
    <w:p w14:paraId="15289037" w14:textId="1EFBDE66" w:rsidR="004E29AB" w:rsidRPr="004C1496" w:rsidRDefault="004E29AB" w:rsidP="006125D0">
      <w:pPr>
        <w:pStyle w:val="Quote2"/>
      </w:pPr>
      <w:r w:rsidRPr="004C1496">
        <w:t>(c)</w:t>
      </w:r>
      <w:r w:rsidRPr="004C1496">
        <w:tab/>
      </w:r>
      <w:proofErr w:type="gramStart"/>
      <w:r w:rsidRPr="004C1496">
        <w:t>having</w:t>
      </w:r>
      <w:proofErr w:type="gramEnd"/>
      <w:r w:rsidRPr="004C1496">
        <w:t xml:space="preserve"> regard to either or both of the following:</w:t>
      </w:r>
    </w:p>
    <w:p w14:paraId="50315131" w14:textId="38E0E3F0" w:rsidR="004C1496" w:rsidRDefault="004E29AB" w:rsidP="000E4CCC">
      <w:pPr>
        <w:pStyle w:val="Quote3"/>
      </w:pPr>
      <w:r w:rsidRPr="004C1496">
        <w:t>(</w:t>
      </w:r>
      <w:proofErr w:type="spellStart"/>
      <w:r w:rsidRPr="004C1496">
        <w:t>i</w:t>
      </w:r>
      <w:proofErr w:type="spellEnd"/>
      <w:r w:rsidRPr="004C1496">
        <w:t>)</w:t>
      </w:r>
      <w:r w:rsidRPr="004C1496">
        <w:tab/>
      </w:r>
      <w:proofErr w:type="gramStart"/>
      <w:r w:rsidRPr="004C1496">
        <w:t>the</w:t>
      </w:r>
      <w:proofErr w:type="gramEnd"/>
      <w:r w:rsidRPr="004C1496">
        <w:t xml:space="preserve"> person’s past and present criminal conduct;</w:t>
      </w:r>
    </w:p>
    <w:p w14:paraId="0F049C05" w14:textId="77777777" w:rsidR="004E29AB" w:rsidRPr="004C1496" w:rsidRDefault="004E29AB" w:rsidP="000E4CCC">
      <w:pPr>
        <w:pStyle w:val="Quote3"/>
      </w:pPr>
      <w:r w:rsidRPr="004C1496">
        <w:t>(ii)</w:t>
      </w:r>
      <w:r w:rsidRPr="004C1496">
        <w:tab/>
      </w:r>
      <w:proofErr w:type="gramStart"/>
      <w:r w:rsidRPr="004C1496">
        <w:t>the</w:t>
      </w:r>
      <w:proofErr w:type="gramEnd"/>
      <w:r w:rsidRPr="004C1496">
        <w:t xml:space="preserve"> person’s past and present general conduct;</w:t>
      </w:r>
    </w:p>
    <w:p w14:paraId="3EE22FC7" w14:textId="5CEEF16F" w:rsidR="004E29AB" w:rsidRPr="004C1496" w:rsidRDefault="004E29AB" w:rsidP="000E4CCC">
      <w:pPr>
        <w:pStyle w:val="Quote3"/>
      </w:pPr>
      <w:proofErr w:type="gramStart"/>
      <w:r w:rsidRPr="004C1496">
        <w:t>the</w:t>
      </w:r>
      <w:proofErr w:type="gramEnd"/>
      <w:r w:rsidRPr="004C1496">
        <w:t xml:space="preserve"> person is not of good character; or</w:t>
      </w:r>
    </w:p>
    <w:p w14:paraId="064FB578" w14:textId="77777777" w:rsidR="004E29AB" w:rsidRPr="004C1496" w:rsidRDefault="004E29AB" w:rsidP="006125D0">
      <w:pPr>
        <w:pStyle w:val="Quote2"/>
        <w:ind w:left="2160" w:hanging="720"/>
      </w:pPr>
      <w:r w:rsidRPr="004C1496">
        <w:t>(d)</w:t>
      </w:r>
      <w:r w:rsidRPr="004C1496">
        <w:tab/>
      </w:r>
      <w:proofErr w:type="gramStart"/>
      <w:r w:rsidRPr="004C1496">
        <w:t>in</w:t>
      </w:r>
      <w:proofErr w:type="gramEnd"/>
      <w:r w:rsidRPr="004C1496">
        <w:t xml:space="preserve"> the event the person were allowed to enter or to remain in Australia, there is a risk that the person would:</w:t>
      </w:r>
    </w:p>
    <w:p w14:paraId="3AF17DB5" w14:textId="5CBE9F8C" w:rsidR="004C1496" w:rsidRDefault="004E29AB" w:rsidP="000E4CCC">
      <w:pPr>
        <w:pStyle w:val="Quote3"/>
        <w:ind w:left="2880" w:hanging="720"/>
      </w:pPr>
      <w:r w:rsidRPr="004C1496">
        <w:t>(</w:t>
      </w:r>
      <w:proofErr w:type="spellStart"/>
      <w:r w:rsidRPr="004C1496">
        <w:t>i</w:t>
      </w:r>
      <w:proofErr w:type="spellEnd"/>
      <w:r w:rsidRPr="004C1496">
        <w:t>)</w:t>
      </w:r>
      <w:r w:rsidRPr="004C1496">
        <w:tab/>
      </w:r>
      <w:proofErr w:type="gramStart"/>
      <w:r w:rsidRPr="004C1496">
        <w:t>engage</w:t>
      </w:r>
      <w:proofErr w:type="gramEnd"/>
      <w:r w:rsidRPr="004C1496">
        <w:t xml:space="preserve"> in criminal conduct in Australia; or</w:t>
      </w:r>
    </w:p>
    <w:p w14:paraId="5D705CAC" w14:textId="77777777" w:rsidR="004C1496" w:rsidRDefault="004E29AB" w:rsidP="000E4CCC">
      <w:pPr>
        <w:pStyle w:val="Quote3"/>
        <w:ind w:left="2880" w:hanging="720"/>
      </w:pPr>
      <w:r w:rsidRPr="004C1496">
        <w:t>(ii)</w:t>
      </w:r>
      <w:r w:rsidRPr="004C1496">
        <w:tab/>
      </w:r>
      <w:proofErr w:type="gramStart"/>
      <w:r w:rsidRPr="004C1496">
        <w:t>harass</w:t>
      </w:r>
      <w:proofErr w:type="gramEnd"/>
      <w:r w:rsidRPr="004C1496">
        <w:t>, molest, intimidate or stalk another person in Australia; or</w:t>
      </w:r>
    </w:p>
    <w:p w14:paraId="3AA01D1C" w14:textId="77777777" w:rsidR="004C1496" w:rsidRDefault="004E29AB" w:rsidP="000E4CCC">
      <w:pPr>
        <w:pStyle w:val="Quote3"/>
        <w:ind w:left="2880" w:hanging="720"/>
      </w:pPr>
      <w:r w:rsidRPr="004C1496">
        <w:t>(iii)</w:t>
      </w:r>
      <w:r w:rsidRPr="004C1496">
        <w:tab/>
      </w:r>
      <w:proofErr w:type="gramStart"/>
      <w:r w:rsidRPr="004C1496">
        <w:t>vilify</w:t>
      </w:r>
      <w:proofErr w:type="gramEnd"/>
      <w:r w:rsidRPr="004C1496">
        <w:t xml:space="preserve"> a segment of the Australian community; or</w:t>
      </w:r>
    </w:p>
    <w:p w14:paraId="2B8980DB" w14:textId="77777777" w:rsidR="004C1496" w:rsidRDefault="004E29AB" w:rsidP="000E4CCC">
      <w:pPr>
        <w:pStyle w:val="Quote3"/>
        <w:ind w:left="2880" w:hanging="720"/>
      </w:pPr>
      <w:r w:rsidRPr="004C1496">
        <w:t>(iv)</w:t>
      </w:r>
      <w:r w:rsidRPr="004C1496">
        <w:tab/>
      </w:r>
      <w:proofErr w:type="gramStart"/>
      <w:r w:rsidRPr="004C1496">
        <w:t>incite</w:t>
      </w:r>
      <w:proofErr w:type="gramEnd"/>
      <w:r w:rsidRPr="004C1496">
        <w:t xml:space="preserve"> discord in the Australian community or in a segment of that community; or</w:t>
      </w:r>
    </w:p>
    <w:p w14:paraId="5521288D" w14:textId="77777777" w:rsidR="004E29AB" w:rsidRPr="004C1496" w:rsidRDefault="004E29AB" w:rsidP="000E4CCC">
      <w:pPr>
        <w:pStyle w:val="Quote3"/>
        <w:ind w:left="2880" w:hanging="720"/>
      </w:pPr>
      <w:r w:rsidRPr="004C1496">
        <w:t>(v)</w:t>
      </w:r>
      <w:r w:rsidRPr="004C1496">
        <w:tab/>
        <w:t>represent a danger to the Australian community or to a segment of that community, whether by way of being liable to become involved in activities that are disruptive to, or in violence threatening harm to, that community or segment, or in any other way; or</w:t>
      </w:r>
    </w:p>
    <w:p w14:paraId="741D7EA3" w14:textId="77777777" w:rsidR="004E29AB" w:rsidRPr="004C1496" w:rsidRDefault="004E29AB" w:rsidP="006125D0">
      <w:pPr>
        <w:pStyle w:val="Quote2"/>
      </w:pPr>
      <w:r w:rsidRPr="004C1496">
        <w:t>(e)</w:t>
      </w:r>
      <w:r w:rsidRPr="004C1496">
        <w:tab/>
      </w:r>
      <w:proofErr w:type="gramStart"/>
      <w:r w:rsidRPr="004C1496">
        <w:t>a</w:t>
      </w:r>
      <w:proofErr w:type="gramEnd"/>
      <w:r w:rsidRPr="004C1496">
        <w:t xml:space="preserve"> court in Australia or a foreign country has:</w:t>
      </w:r>
    </w:p>
    <w:p w14:paraId="2A90361E" w14:textId="77777777" w:rsidR="004E29AB" w:rsidRPr="004C1496" w:rsidRDefault="004E29AB" w:rsidP="000E4CCC">
      <w:pPr>
        <w:pStyle w:val="Quote3"/>
        <w:ind w:left="2880" w:hanging="720"/>
      </w:pPr>
      <w:r w:rsidRPr="004C1496">
        <w:t>(</w:t>
      </w:r>
      <w:proofErr w:type="spellStart"/>
      <w:r w:rsidRPr="004C1496">
        <w:t>i</w:t>
      </w:r>
      <w:proofErr w:type="spellEnd"/>
      <w:r w:rsidRPr="004C1496">
        <w:t>)</w:t>
      </w:r>
      <w:r w:rsidRPr="004C1496">
        <w:tab/>
      </w:r>
      <w:proofErr w:type="gramStart"/>
      <w:r w:rsidRPr="004C1496">
        <w:t>convicted</w:t>
      </w:r>
      <w:proofErr w:type="gramEnd"/>
      <w:r w:rsidRPr="004C1496">
        <w:t xml:space="preserve"> the person of one or more sexually based offences involving a child; or</w:t>
      </w:r>
    </w:p>
    <w:p w14:paraId="7978DCF5" w14:textId="77777777" w:rsidR="00F16273" w:rsidRPr="004C1496" w:rsidRDefault="004E29AB" w:rsidP="000E4CCC">
      <w:pPr>
        <w:pStyle w:val="Quote3"/>
        <w:ind w:left="2880" w:hanging="720"/>
      </w:pPr>
      <w:r w:rsidRPr="004C1496">
        <w:t>(ii)</w:t>
      </w:r>
      <w:r w:rsidRPr="004C1496">
        <w:tab/>
      </w:r>
      <w:proofErr w:type="gramStart"/>
      <w:r w:rsidRPr="004C1496">
        <w:t>found</w:t>
      </w:r>
      <w:proofErr w:type="gramEnd"/>
      <w:r w:rsidRPr="004C1496">
        <w:t xml:space="preserve"> the person guilty of such an offence, or found a charge against the person proved for such an offence, even if the person was discharged without a conviction; or</w:t>
      </w:r>
    </w:p>
    <w:p w14:paraId="2CC1AED2" w14:textId="4C8BE83F" w:rsidR="004E29AB" w:rsidRPr="004C1496" w:rsidRDefault="004E29AB" w:rsidP="006125D0">
      <w:pPr>
        <w:pStyle w:val="Quote2"/>
      </w:pPr>
      <w:r w:rsidRPr="004C1496">
        <w:t>(f)</w:t>
      </w:r>
      <w:r w:rsidRPr="004C1496">
        <w:tab/>
      </w:r>
      <w:proofErr w:type="gramStart"/>
      <w:r w:rsidRPr="004C1496">
        <w:t>the</w:t>
      </w:r>
      <w:proofErr w:type="gramEnd"/>
      <w:r w:rsidRPr="004C1496">
        <w:t xml:space="preserve"> person has, in Australia or a foreign country, been charged with </w:t>
      </w:r>
      <w:r w:rsidR="006125D0">
        <w:tab/>
      </w:r>
      <w:r w:rsidRPr="004C1496">
        <w:t>or indicted for one or more of the following:</w:t>
      </w:r>
    </w:p>
    <w:p w14:paraId="1D5C8608" w14:textId="77777777" w:rsidR="004E29AB" w:rsidRPr="004C1496" w:rsidRDefault="004E29AB" w:rsidP="000E4CCC">
      <w:pPr>
        <w:pStyle w:val="Quote3"/>
      </w:pPr>
      <w:r w:rsidRPr="004C1496">
        <w:t>(</w:t>
      </w:r>
      <w:proofErr w:type="spellStart"/>
      <w:r w:rsidRPr="004C1496">
        <w:t>i</w:t>
      </w:r>
      <w:proofErr w:type="spellEnd"/>
      <w:r w:rsidRPr="004C1496">
        <w:t>)</w:t>
      </w:r>
      <w:r w:rsidRPr="004C1496">
        <w:tab/>
      </w:r>
      <w:proofErr w:type="gramStart"/>
      <w:r w:rsidRPr="004C1496">
        <w:t>the</w:t>
      </w:r>
      <w:proofErr w:type="gramEnd"/>
      <w:r w:rsidRPr="004C1496">
        <w:t xml:space="preserve"> crime of genocide;</w:t>
      </w:r>
    </w:p>
    <w:p w14:paraId="018EAF49" w14:textId="77777777" w:rsidR="004E29AB" w:rsidRPr="004C1496" w:rsidRDefault="004E29AB" w:rsidP="000E4CCC">
      <w:pPr>
        <w:pStyle w:val="Quote3"/>
      </w:pPr>
      <w:r w:rsidRPr="004C1496">
        <w:t>(ii)</w:t>
      </w:r>
      <w:r w:rsidRPr="004C1496">
        <w:tab/>
      </w:r>
      <w:proofErr w:type="gramStart"/>
      <w:r w:rsidRPr="004C1496">
        <w:t>a</w:t>
      </w:r>
      <w:proofErr w:type="gramEnd"/>
      <w:r w:rsidRPr="004C1496">
        <w:t xml:space="preserve"> crime against humanity;</w:t>
      </w:r>
    </w:p>
    <w:p w14:paraId="59E736D8" w14:textId="77777777" w:rsidR="004E29AB" w:rsidRPr="004C1496" w:rsidRDefault="004E29AB" w:rsidP="000E4CCC">
      <w:pPr>
        <w:pStyle w:val="Quote3"/>
      </w:pPr>
      <w:r w:rsidRPr="004C1496">
        <w:t>(iii)</w:t>
      </w:r>
      <w:r w:rsidRPr="004C1496">
        <w:tab/>
      </w:r>
      <w:proofErr w:type="gramStart"/>
      <w:r w:rsidRPr="004C1496">
        <w:t>a</w:t>
      </w:r>
      <w:proofErr w:type="gramEnd"/>
      <w:r w:rsidRPr="004C1496">
        <w:t xml:space="preserve"> war crime;</w:t>
      </w:r>
    </w:p>
    <w:p w14:paraId="162FE692" w14:textId="77777777" w:rsidR="004E29AB" w:rsidRPr="004C1496" w:rsidRDefault="004E29AB" w:rsidP="000E4CCC">
      <w:pPr>
        <w:pStyle w:val="Quote3"/>
      </w:pPr>
      <w:r w:rsidRPr="004C1496">
        <w:t>(iv)</w:t>
      </w:r>
      <w:r w:rsidRPr="004C1496">
        <w:tab/>
      </w:r>
      <w:proofErr w:type="gramStart"/>
      <w:r w:rsidRPr="004C1496">
        <w:t>a</w:t>
      </w:r>
      <w:proofErr w:type="gramEnd"/>
      <w:r w:rsidRPr="004C1496">
        <w:t xml:space="preserve"> crime involving torture or slavery;</w:t>
      </w:r>
    </w:p>
    <w:p w14:paraId="46AD35C5" w14:textId="77777777" w:rsidR="004E29AB" w:rsidRPr="004C1496" w:rsidRDefault="004E29AB" w:rsidP="000E4CCC">
      <w:pPr>
        <w:pStyle w:val="Quote3"/>
      </w:pPr>
      <w:r w:rsidRPr="004C1496">
        <w:t>(v)</w:t>
      </w:r>
      <w:r w:rsidRPr="004C1496">
        <w:tab/>
      </w:r>
      <w:proofErr w:type="gramStart"/>
      <w:r w:rsidRPr="004C1496">
        <w:t>a</w:t>
      </w:r>
      <w:proofErr w:type="gramEnd"/>
      <w:r w:rsidRPr="004C1496">
        <w:t xml:space="preserve"> crime that is otherwise of serious international concern; or</w:t>
      </w:r>
    </w:p>
    <w:p w14:paraId="7DF4B262" w14:textId="77777777" w:rsidR="004E29AB" w:rsidRPr="004C1496" w:rsidRDefault="004E29AB" w:rsidP="006125D0">
      <w:pPr>
        <w:pStyle w:val="Quote2"/>
        <w:ind w:left="2160" w:hanging="720"/>
      </w:pPr>
      <w:r w:rsidRPr="004C1496">
        <w:t>(g)</w:t>
      </w:r>
      <w:r w:rsidRPr="004C1496">
        <w:tab/>
      </w:r>
      <w:proofErr w:type="gramStart"/>
      <w:r w:rsidRPr="004C1496">
        <w:t>the</w:t>
      </w:r>
      <w:proofErr w:type="gramEnd"/>
      <w:r w:rsidRPr="004C1496">
        <w:t xml:space="preserve"> person has been assessed by the Australian Security Intelligence Organisation to be directly or indirectly a risk to security (within the meaning of section 4 of the </w:t>
      </w:r>
      <w:r w:rsidRPr="004C1496">
        <w:rPr>
          <w:i/>
        </w:rPr>
        <w:t>Australian Security Intelligence Organisation Act 1979</w:t>
      </w:r>
      <w:r w:rsidRPr="004C1496">
        <w:t>); or</w:t>
      </w:r>
    </w:p>
    <w:p w14:paraId="2F6C686B" w14:textId="77777777" w:rsidR="004E29AB" w:rsidRPr="004C1496" w:rsidRDefault="004E29AB" w:rsidP="006125D0">
      <w:pPr>
        <w:pStyle w:val="Quote2"/>
        <w:ind w:left="2160" w:hanging="720"/>
      </w:pPr>
      <w:r w:rsidRPr="004C1496">
        <w:lastRenderedPageBreak/>
        <w:t>(h)</w:t>
      </w:r>
      <w:r w:rsidRPr="004C1496">
        <w:tab/>
      </w:r>
      <w:proofErr w:type="gramStart"/>
      <w:r w:rsidRPr="004C1496">
        <w:t>an</w:t>
      </w:r>
      <w:proofErr w:type="gramEnd"/>
      <w:r w:rsidRPr="004C1496">
        <w:t xml:space="preserve"> Interpol notice in relation to the person, from which it is reasonable to infer that the person would present a risk to the Australian community or a segment of that community, is in force.</w:t>
      </w:r>
    </w:p>
    <w:p w14:paraId="6CEE8C70" w14:textId="33E6393D" w:rsidR="004E29AB" w:rsidRDefault="004E29AB" w:rsidP="006125D0">
      <w:pPr>
        <w:pStyle w:val="Quote2"/>
      </w:pPr>
      <w:r w:rsidRPr="004C1496">
        <w:t xml:space="preserve">Otherwise, the person passes the </w:t>
      </w:r>
      <w:r w:rsidRPr="004C1496">
        <w:rPr>
          <w:b/>
          <w:i/>
        </w:rPr>
        <w:t>character test</w:t>
      </w:r>
      <w:r w:rsidRPr="004C1496">
        <w:t>.</w:t>
      </w:r>
    </w:p>
    <w:p w14:paraId="222EAA32" w14:textId="33AAF651" w:rsidR="0085174D" w:rsidRPr="0085174D" w:rsidRDefault="0085174D" w:rsidP="0085174D">
      <w:pPr>
        <w:pStyle w:val="Quote1"/>
        <w:rPr>
          <w:i/>
        </w:rPr>
      </w:pPr>
      <w:r w:rsidRPr="001B2921">
        <w:rPr>
          <w:i/>
        </w:rPr>
        <w:t>Substantial criminal record</w:t>
      </w:r>
    </w:p>
    <w:p w14:paraId="168E8E0A" w14:textId="77777777" w:rsidR="00AF092A" w:rsidRPr="00D64D14" w:rsidRDefault="00AF092A" w:rsidP="00DB5646">
      <w:pPr>
        <w:pStyle w:val="Quote1"/>
        <w:ind w:left="1440" w:hanging="703"/>
      </w:pPr>
      <w:r w:rsidRPr="00D64D14">
        <w:t>(7)</w:t>
      </w:r>
      <w:r w:rsidRPr="00D64D14">
        <w:tab/>
        <w:t xml:space="preserve">For the purposes of the character test, a person has a </w:t>
      </w:r>
      <w:r w:rsidRPr="00D64D14">
        <w:rPr>
          <w:b/>
          <w:i/>
        </w:rPr>
        <w:t>substantial criminal record</w:t>
      </w:r>
      <w:r w:rsidRPr="00D64D14">
        <w:t xml:space="preserve"> if:</w:t>
      </w:r>
    </w:p>
    <w:p w14:paraId="75EBD817" w14:textId="06F18758" w:rsidR="00AF092A" w:rsidRPr="00D64D14" w:rsidRDefault="00AF092A" w:rsidP="006125D0">
      <w:pPr>
        <w:pStyle w:val="Quote2"/>
      </w:pPr>
      <w:r w:rsidRPr="00D64D14">
        <w:t>(a)</w:t>
      </w:r>
      <w:r w:rsidRPr="00D64D14">
        <w:tab/>
      </w:r>
      <w:proofErr w:type="gramStart"/>
      <w:r w:rsidRPr="00D64D14">
        <w:t>the</w:t>
      </w:r>
      <w:proofErr w:type="gramEnd"/>
      <w:r w:rsidRPr="00D64D14">
        <w:t xml:space="preserve"> person has been sentenced to death; or</w:t>
      </w:r>
    </w:p>
    <w:p w14:paraId="73CDEEFA" w14:textId="33DDF65E" w:rsidR="00AF092A" w:rsidRPr="00D64D14" w:rsidRDefault="00AF092A" w:rsidP="006125D0">
      <w:pPr>
        <w:pStyle w:val="Quote2"/>
      </w:pPr>
      <w:r w:rsidRPr="00D64D14">
        <w:t>(b)</w:t>
      </w:r>
      <w:r w:rsidRPr="00D64D14">
        <w:tab/>
      </w:r>
      <w:proofErr w:type="gramStart"/>
      <w:r w:rsidRPr="00D64D14">
        <w:t>the</w:t>
      </w:r>
      <w:proofErr w:type="gramEnd"/>
      <w:r w:rsidRPr="00D64D14">
        <w:t xml:space="preserve"> person has been sentenced to imprisonment for life; or</w:t>
      </w:r>
    </w:p>
    <w:p w14:paraId="3E55DA24" w14:textId="77777777" w:rsidR="00AF092A" w:rsidRPr="00D64D14" w:rsidRDefault="00AF092A" w:rsidP="006125D0">
      <w:pPr>
        <w:pStyle w:val="Quote2"/>
        <w:ind w:left="2160" w:hanging="720"/>
      </w:pPr>
      <w:r w:rsidRPr="004C087C">
        <w:rPr>
          <w:u w:val="single"/>
        </w:rPr>
        <w:t>(c)</w:t>
      </w:r>
      <w:r w:rsidRPr="004C087C">
        <w:rPr>
          <w:u w:val="single"/>
        </w:rPr>
        <w:tab/>
      </w:r>
      <w:proofErr w:type="gramStart"/>
      <w:r w:rsidRPr="004C087C">
        <w:rPr>
          <w:u w:val="single"/>
        </w:rPr>
        <w:t>the</w:t>
      </w:r>
      <w:proofErr w:type="gramEnd"/>
      <w:r w:rsidRPr="004C087C">
        <w:rPr>
          <w:u w:val="single"/>
        </w:rPr>
        <w:t xml:space="preserve"> person has been sentenced to a term of imprisonment of 12 months or more</w:t>
      </w:r>
      <w:r w:rsidRPr="00D64D14">
        <w:t>; or</w:t>
      </w:r>
    </w:p>
    <w:p w14:paraId="7E9E7183" w14:textId="77777777" w:rsidR="00AF092A" w:rsidRPr="00D64D14" w:rsidRDefault="00AF092A" w:rsidP="006125D0">
      <w:pPr>
        <w:pStyle w:val="Quote2"/>
        <w:ind w:left="2160" w:hanging="720"/>
      </w:pPr>
      <w:r w:rsidRPr="00D64D14">
        <w:t>(d)</w:t>
      </w:r>
      <w:r w:rsidRPr="00D64D14">
        <w:tab/>
      </w:r>
      <w:proofErr w:type="gramStart"/>
      <w:r w:rsidRPr="00D64D14">
        <w:t>the</w:t>
      </w:r>
      <w:proofErr w:type="gramEnd"/>
      <w:r w:rsidRPr="00D64D14">
        <w:t xml:space="preserve"> person has been sentenced to 2 or more terms of imprisonment, where the total of those terms is 12 months or more; or</w:t>
      </w:r>
    </w:p>
    <w:p w14:paraId="1F75B803" w14:textId="77777777" w:rsidR="00AF092A" w:rsidRPr="00D64D14" w:rsidRDefault="00AF092A" w:rsidP="006125D0">
      <w:pPr>
        <w:pStyle w:val="Quote2"/>
        <w:ind w:left="2160" w:hanging="720"/>
      </w:pPr>
      <w:r w:rsidRPr="00D64D14">
        <w:t>(e)</w:t>
      </w:r>
      <w:r w:rsidRPr="00D64D14">
        <w:tab/>
      </w:r>
      <w:proofErr w:type="gramStart"/>
      <w:r w:rsidRPr="00D64D14">
        <w:t>the</w:t>
      </w:r>
      <w:proofErr w:type="gramEnd"/>
      <w:r w:rsidRPr="00D64D14">
        <w:t xml:space="preserve"> person has been acquitted of an offence on the grounds of unsoundness of mind or insanity, and as a result the person has been detained in a facility or institution; or</w:t>
      </w:r>
    </w:p>
    <w:p w14:paraId="022103AA" w14:textId="57E662F1" w:rsidR="00AF092A" w:rsidRPr="00D64D14" w:rsidRDefault="00DB5646" w:rsidP="006125D0">
      <w:pPr>
        <w:pStyle w:val="Quote2"/>
      </w:pPr>
      <w:r>
        <w:t>(f)</w:t>
      </w:r>
      <w:r>
        <w:tab/>
      </w:r>
      <w:proofErr w:type="gramStart"/>
      <w:r w:rsidR="00AF092A" w:rsidRPr="00D64D14">
        <w:t>the</w:t>
      </w:r>
      <w:proofErr w:type="gramEnd"/>
      <w:r w:rsidR="00AF092A" w:rsidRPr="00D64D14">
        <w:t xml:space="preserve"> person has:</w:t>
      </w:r>
    </w:p>
    <w:p w14:paraId="4796498E" w14:textId="77777777" w:rsidR="00AF092A" w:rsidRPr="00D64D14" w:rsidRDefault="00AF092A" w:rsidP="000E4CCC">
      <w:pPr>
        <w:pStyle w:val="Quote3"/>
        <w:ind w:left="2880" w:hanging="720"/>
      </w:pPr>
      <w:r w:rsidRPr="00D64D14">
        <w:t>(</w:t>
      </w:r>
      <w:proofErr w:type="spellStart"/>
      <w:r w:rsidRPr="00D64D14">
        <w:t>i</w:t>
      </w:r>
      <w:proofErr w:type="spellEnd"/>
      <w:r w:rsidRPr="00D64D14">
        <w:t>)</w:t>
      </w:r>
      <w:r w:rsidRPr="00D64D14">
        <w:tab/>
      </w:r>
      <w:proofErr w:type="gramStart"/>
      <w:r w:rsidRPr="00D64D14">
        <w:t>been</w:t>
      </w:r>
      <w:proofErr w:type="gramEnd"/>
      <w:r w:rsidRPr="00D64D14">
        <w:t xml:space="preserve"> found by a court to not be fit to plead, in relation to an offence; and</w:t>
      </w:r>
    </w:p>
    <w:p w14:paraId="6B909A49" w14:textId="77777777" w:rsidR="00AF092A" w:rsidRPr="00D64D14" w:rsidRDefault="00AF092A" w:rsidP="000E4CCC">
      <w:pPr>
        <w:pStyle w:val="Quote3"/>
        <w:ind w:left="2880" w:hanging="720"/>
      </w:pPr>
      <w:r w:rsidRPr="00D64D14">
        <w:t>(ii)</w:t>
      </w:r>
      <w:r w:rsidRPr="00D64D14">
        <w:tab/>
      </w:r>
      <w:proofErr w:type="gramStart"/>
      <w:r w:rsidRPr="00D64D14">
        <w:t>the</w:t>
      </w:r>
      <w:proofErr w:type="gramEnd"/>
      <w:r w:rsidRPr="00D64D14">
        <w:t xml:space="preserve"> court has nonetheless found that on the evidence available the person committed the offence; and</w:t>
      </w:r>
    </w:p>
    <w:p w14:paraId="257BE13A" w14:textId="77777777" w:rsidR="00AF092A" w:rsidRPr="00D64D14" w:rsidRDefault="00AF092A" w:rsidP="000E4CCC">
      <w:pPr>
        <w:pStyle w:val="Quote3"/>
        <w:ind w:left="2880" w:hanging="720"/>
      </w:pPr>
      <w:r w:rsidRPr="00D64D14">
        <w:t>(iii)</w:t>
      </w:r>
      <w:r w:rsidRPr="00D64D14">
        <w:tab/>
      </w:r>
      <w:proofErr w:type="gramStart"/>
      <w:r w:rsidRPr="00D64D14">
        <w:t>as</w:t>
      </w:r>
      <w:proofErr w:type="gramEnd"/>
      <w:r w:rsidRPr="00D64D14">
        <w:t xml:space="preserve"> a result, the person has been detained in a facility or institution.</w:t>
      </w:r>
    </w:p>
    <w:p w14:paraId="1C7C278B" w14:textId="77777777" w:rsidR="00AF092A" w:rsidRPr="00DB5646" w:rsidRDefault="00AF092A" w:rsidP="00DB5646">
      <w:pPr>
        <w:pStyle w:val="Quote1"/>
        <w:rPr>
          <w:i/>
        </w:rPr>
      </w:pPr>
      <w:r w:rsidRPr="00DB5646">
        <w:rPr>
          <w:i/>
        </w:rPr>
        <w:t>Concurrent sentences</w:t>
      </w:r>
    </w:p>
    <w:p w14:paraId="6205BF2F" w14:textId="77777777" w:rsidR="00AF092A" w:rsidRPr="00D64D14" w:rsidRDefault="00AF092A" w:rsidP="00DB5646">
      <w:pPr>
        <w:pStyle w:val="Quote1"/>
        <w:ind w:left="1440" w:hanging="703"/>
      </w:pPr>
      <w:r w:rsidRPr="00D64D14">
        <w:t>(7A)</w:t>
      </w:r>
      <w:r w:rsidRPr="00D64D14">
        <w:tab/>
      </w:r>
      <w:proofErr w:type="gramStart"/>
      <w:r w:rsidRPr="00D64D14">
        <w:t>For</w:t>
      </w:r>
      <w:proofErr w:type="gramEnd"/>
      <w:r w:rsidRPr="00D64D14">
        <w:t xml:space="preserve"> the purposes of the character test, if a person has been sentenced to 2 or more terms of imprisonment to be served concurrently (whether in whole or in part), the whole of each term is to be counted in working out the total of the terms.</w:t>
      </w:r>
    </w:p>
    <w:p w14:paraId="1184570D" w14:textId="77777777" w:rsidR="00D24979" w:rsidRPr="00DB5646" w:rsidRDefault="00AF092A" w:rsidP="00DB5646">
      <w:pPr>
        <w:pStyle w:val="Quote1"/>
        <w:ind w:left="2880" w:hanging="1440"/>
        <w:rPr>
          <w:sz w:val="20"/>
        </w:rPr>
      </w:pPr>
      <w:r w:rsidRPr="00DB5646">
        <w:rPr>
          <w:sz w:val="20"/>
        </w:rPr>
        <w:t>Example:</w:t>
      </w:r>
      <w:r w:rsidRPr="00DB5646">
        <w:rPr>
          <w:sz w:val="20"/>
        </w:rPr>
        <w:tab/>
        <w:t>A person is sentenced to 2 terms of 3 months imprisonment for 2 offences, to be served concurrently. For the purposes of the character test, the total of those terms is 6 months.</w:t>
      </w:r>
    </w:p>
    <w:p w14:paraId="1D0C538F" w14:textId="77777777" w:rsidR="00D24979" w:rsidRDefault="00D24979" w:rsidP="00DB5646">
      <w:pPr>
        <w:pStyle w:val="Quote1"/>
      </w:pPr>
      <w:r>
        <w:t>…</w:t>
      </w:r>
    </w:p>
    <w:p w14:paraId="7CEE5383" w14:textId="77777777" w:rsidR="00D24979" w:rsidRDefault="00484BD6" w:rsidP="00DB5646">
      <w:pPr>
        <w:pStyle w:val="Quote1"/>
        <w:ind w:left="0" w:firstLine="720"/>
      </w:pPr>
      <w:r>
        <w:t xml:space="preserve">(12)    </w:t>
      </w:r>
      <w:r w:rsidR="00DB5646">
        <w:tab/>
      </w:r>
      <w:r>
        <w:t>…</w:t>
      </w:r>
    </w:p>
    <w:p w14:paraId="5E06BC21" w14:textId="77777777" w:rsidR="00C708BC" w:rsidRPr="00D07174" w:rsidRDefault="00C708BC" w:rsidP="00DB5646">
      <w:pPr>
        <w:pStyle w:val="Quote1"/>
      </w:pPr>
      <w:r>
        <w:tab/>
      </w:r>
      <w:proofErr w:type="gramStart"/>
      <w:r w:rsidRPr="00D07174">
        <w:rPr>
          <w:b/>
          <w:i/>
        </w:rPr>
        <w:t>sentence</w:t>
      </w:r>
      <w:proofErr w:type="gramEnd"/>
      <w:r w:rsidRPr="00D07174">
        <w:t xml:space="preserve"> includes any form of determination of the punishment for an offence.</w:t>
      </w:r>
    </w:p>
    <w:p w14:paraId="436C1B6D" w14:textId="77777777" w:rsidR="00C708BC" w:rsidRPr="00851F11" w:rsidRDefault="00851F11" w:rsidP="00DB5646">
      <w:pPr>
        <w:pStyle w:val="Quote1"/>
      </w:pPr>
      <w:r>
        <w:t>(Emphasis</w:t>
      </w:r>
      <w:r w:rsidR="00B816B3">
        <w:t xml:space="preserve"> in</w:t>
      </w:r>
      <w:r w:rsidR="00484BD6">
        <w:t xml:space="preserve"> </w:t>
      </w:r>
      <w:r w:rsidR="00B816B3">
        <w:t>(7</w:t>
      </w:r>
      <w:proofErr w:type="gramStart"/>
      <w:r w:rsidR="00B816B3">
        <w:t>)(</w:t>
      </w:r>
      <w:proofErr w:type="gramEnd"/>
      <w:r w:rsidR="00B816B3">
        <w:t>c)</w:t>
      </w:r>
      <w:r>
        <w:t xml:space="preserve"> added)</w:t>
      </w:r>
    </w:p>
    <w:p w14:paraId="2564EB7B" w14:textId="742E27A8" w:rsidR="000F1EA3" w:rsidRDefault="00F6640B" w:rsidP="00F56E66">
      <w:pPr>
        <w:pStyle w:val="ParaNumbering"/>
      </w:pPr>
      <w:r>
        <w:t>The significance of the proper construction of the character</w:t>
      </w:r>
      <w:r w:rsidR="0085174D">
        <w:t xml:space="preserve"> test stems from the terms of s </w:t>
      </w:r>
      <w:r>
        <w:t xml:space="preserve">501(3A) which </w:t>
      </w:r>
      <w:r w:rsidRPr="00F6640B">
        <w:rPr>
          <w:i/>
          <w:iCs/>
        </w:rPr>
        <w:t>require</w:t>
      </w:r>
      <w:r>
        <w:t xml:space="preserve"> the Minister to cancel a visa held by </w:t>
      </w:r>
      <w:r w:rsidR="00A76A35">
        <w:t>a person if the Minister reasonably suspects that the person does not pass the test</w:t>
      </w:r>
      <w:r w:rsidR="00C44E4B">
        <w:t xml:space="preserve"> because </w:t>
      </w:r>
      <w:r w:rsidR="001B7708">
        <w:t>o</w:t>
      </w:r>
      <w:r w:rsidR="00C44E4B">
        <w:t>f</w:t>
      </w:r>
      <w:r w:rsidR="001B7708">
        <w:t xml:space="preserve"> the person’s having a “substantial criminal record” (s</w:t>
      </w:r>
      <w:r w:rsidR="001F7DDE">
        <w:t xml:space="preserve"> 501(6)) because the </w:t>
      </w:r>
      <w:r w:rsidR="00394053">
        <w:t xml:space="preserve">person satisfies the conditions in </w:t>
      </w:r>
      <w:r w:rsidR="00C44E4B">
        <w:t xml:space="preserve">one of </w:t>
      </w:r>
      <w:proofErr w:type="spellStart"/>
      <w:r w:rsidR="006C486B">
        <w:lastRenderedPageBreak/>
        <w:t>ss</w:t>
      </w:r>
      <w:proofErr w:type="spellEnd"/>
      <w:r w:rsidR="006C486B">
        <w:t> 501(7</w:t>
      </w:r>
      <w:proofErr w:type="gramStart"/>
      <w:r w:rsidR="006C486B">
        <w:t>)(</w:t>
      </w:r>
      <w:proofErr w:type="gramEnd"/>
      <w:r w:rsidR="006C486B">
        <w:t xml:space="preserve">a), (b), (c) or 501(6)(e). </w:t>
      </w:r>
      <w:r w:rsidR="00130754">
        <w:t xml:space="preserve">That is, the person has </w:t>
      </w:r>
      <w:r w:rsidR="00AD7B7C">
        <w:t>been sentenced to death, sentenced to imprisonment for life,</w:t>
      </w:r>
      <w:r w:rsidR="009C4DE9">
        <w:t xml:space="preserve"> </w:t>
      </w:r>
      <w:r w:rsidR="00DC1122">
        <w:t xml:space="preserve">sentenced to a term of imprisonment of 12 months or more, or </w:t>
      </w:r>
      <w:r w:rsidR="009C4DE9">
        <w:t>convicted of a sexual offence involving a child</w:t>
      </w:r>
      <w:r w:rsidR="00DC1122">
        <w:t>.</w:t>
      </w:r>
      <w:r w:rsidR="00F339F5">
        <w:t xml:space="preserve"> In all other </w:t>
      </w:r>
      <w:r w:rsidR="00B55865">
        <w:t xml:space="preserve">circumstances where a person does not meet the character test because of s 501(6), the Minister retains a discretion to cancel </w:t>
      </w:r>
      <w:r w:rsidR="00F339F5">
        <w:t>the person</w:t>
      </w:r>
      <w:r w:rsidR="006B1974">
        <w:t>’s visa</w:t>
      </w:r>
      <w:r w:rsidR="005B027E">
        <w:t xml:space="preserve"> (s 501(3)).</w:t>
      </w:r>
    </w:p>
    <w:p w14:paraId="2BAAA115" w14:textId="77777777" w:rsidR="000F1EA3" w:rsidRDefault="007E61E1" w:rsidP="00F56E66">
      <w:pPr>
        <w:pStyle w:val="ParaNumbering"/>
      </w:pPr>
      <w:r>
        <w:t xml:space="preserve">It is clear from the text </w:t>
      </w:r>
      <w:r w:rsidR="00175694">
        <w:t>of s 501 that mandatory cancellation of a person’s visa on character grounds is reserved for the most serious offences – those attracting the death penalty, life imprisonment, a term of imprisonment of 12 months or more, and sexual offence</w:t>
      </w:r>
      <w:r w:rsidR="004B6A06">
        <w:t>s</w:t>
      </w:r>
      <w:r w:rsidR="00175694">
        <w:t xml:space="preserve"> involving children. It is </w:t>
      </w:r>
      <w:r w:rsidR="00062365">
        <w:t xml:space="preserve">in </w:t>
      </w:r>
      <w:r w:rsidR="00175694">
        <w:t xml:space="preserve">that context the </w:t>
      </w:r>
      <w:r w:rsidR="00390587">
        <w:t xml:space="preserve">question of whether an aggregate sentence can be considered to be </w:t>
      </w:r>
      <w:r w:rsidR="00390587" w:rsidRPr="000904CD">
        <w:rPr>
          <w:u w:val="single"/>
        </w:rPr>
        <w:t>a</w:t>
      </w:r>
      <w:r w:rsidR="000904CD" w:rsidRPr="000904CD">
        <w:rPr>
          <w:u w:val="single"/>
        </w:rPr>
        <w:t xml:space="preserve"> term of imprisonment of 12 months or more</w:t>
      </w:r>
      <w:r w:rsidR="00062365">
        <w:t xml:space="preserve"> is asked</w:t>
      </w:r>
      <w:r w:rsidR="000904CD">
        <w:t xml:space="preserve">. </w:t>
      </w:r>
    </w:p>
    <w:p w14:paraId="4BF25C79" w14:textId="5B42A342" w:rsidR="007E4600" w:rsidRDefault="007E4600" w:rsidP="00F56E66">
      <w:pPr>
        <w:pStyle w:val="ParaNumbering"/>
      </w:pPr>
      <w:r>
        <w:t>The Minister submit</w:t>
      </w:r>
      <w:r w:rsidR="00350033">
        <w:t xml:space="preserve">ted that the definition of </w:t>
      </w:r>
      <w:r w:rsidR="003F610E">
        <w:t>“</w:t>
      </w:r>
      <w:r w:rsidR="00350033">
        <w:t>sent</w:t>
      </w:r>
      <w:r w:rsidR="003F610E">
        <w:t xml:space="preserve">ence” in s 501(12) </w:t>
      </w:r>
      <w:r w:rsidR="00CC24BB">
        <w:t xml:space="preserve">being punishment for “an offence” does not assist the construction </w:t>
      </w:r>
      <w:r w:rsidR="005A738E">
        <w:t>of s 501(7</w:t>
      </w:r>
      <w:proofErr w:type="gramStart"/>
      <w:r w:rsidR="005A738E">
        <w:t>)(</w:t>
      </w:r>
      <w:proofErr w:type="gramEnd"/>
      <w:r w:rsidR="005A738E">
        <w:t xml:space="preserve">c) because </w:t>
      </w:r>
      <w:r w:rsidR="00147B2B">
        <w:t xml:space="preserve">s 23(b) of the </w:t>
      </w:r>
      <w:r w:rsidR="00147B2B" w:rsidRPr="001B2921">
        <w:rPr>
          <w:b/>
          <w:i/>
          <w:iCs/>
        </w:rPr>
        <w:t>Acts Interpretation Act</w:t>
      </w:r>
      <w:r w:rsidR="00147B2B" w:rsidRPr="000764DF">
        <w:rPr>
          <w:i/>
          <w:iCs/>
        </w:rPr>
        <w:t xml:space="preserve"> 1901 </w:t>
      </w:r>
      <w:r w:rsidR="00147B2B" w:rsidRPr="000764DF">
        <w:t>(</w:t>
      </w:r>
      <w:proofErr w:type="spellStart"/>
      <w:r w:rsidR="00147B2B" w:rsidRPr="000764DF">
        <w:t>Cth</w:t>
      </w:r>
      <w:proofErr w:type="spellEnd"/>
      <w:r w:rsidR="00147B2B" w:rsidRPr="000764DF">
        <w:t xml:space="preserve">) </w:t>
      </w:r>
      <w:r w:rsidR="00147B2B">
        <w:t>compels the singular t</w:t>
      </w:r>
      <w:r w:rsidR="004C2BB7">
        <w:t>o include the plural.</w:t>
      </w:r>
      <w:r w:rsidR="00147B2B">
        <w:t xml:space="preserve"> </w:t>
      </w:r>
      <w:r w:rsidR="0085174D">
        <w:t>The operation of s </w:t>
      </w:r>
      <w:r w:rsidR="004C2BB7">
        <w:t>23(b) is of course constrained by s 2</w:t>
      </w:r>
      <w:r w:rsidR="004E64BD">
        <w:t>(2) which make</w:t>
      </w:r>
      <w:r w:rsidR="005C7836">
        <w:t>s the application of</w:t>
      </w:r>
      <w:r w:rsidR="004E64BD">
        <w:t xml:space="preserve"> any provision of the </w:t>
      </w:r>
      <w:r w:rsidR="005C7836" w:rsidRPr="00985C7B">
        <w:rPr>
          <w:i/>
        </w:rPr>
        <w:t>Acts Interpretation</w:t>
      </w:r>
      <w:r w:rsidR="005C7836">
        <w:t xml:space="preserve"> </w:t>
      </w:r>
      <w:r w:rsidR="004E64BD" w:rsidRPr="00985C7B">
        <w:rPr>
          <w:i/>
        </w:rPr>
        <w:t>Act</w:t>
      </w:r>
      <w:r w:rsidR="004E64BD">
        <w:t xml:space="preserve"> </w:t>
      </w:r>
      <w:r w:rsidR="005C7836">
        <w:t xml:space="preserve">to an Act or provision of an Act </w:t>
      </w:r>
      <w:r w:rsidR="004E64BD">
        <w:t>subject to a contrary intention.</w:t>
      </w:r>
      <w:r w:rsidR="002251D8">
        <w:t xml:space="preserve"> A close examination </w:t>
      </w:r>
      <w:r w:rsidR="00363749">
        <w:t xml:space="preserve">of the provisions relating to the character test </w:t>
      </w:r>
      <w:r w:rsidR="005358EC">
        <w:t>reveals that Parliament has made a conscious choice about the use of the singular or the plural</w:t>
      </w:r>
      <w:r w:rsidR="00CF7BC6">
        <w:t xml:space="preserve"> through</w:t>
      </w:r>
      <w:r w:rsidR="00C9192B">
        <w:t>ou</w:t>
      </w:r>
      <w:r w:rsidR="00CF7BC6">
        <w:t xml:space="preserve">t </w:t>
      </w:r>
      <w:proofErr w:type="spellStart"/>
      <w:r w:rsidR="00CF7BC6">
        <w:t>s</w:t>
      </w:r>
      <w:r w:rsidR="00062365">
        <w:t>s</w:t>
      </w:r>
      <w:proofErr w:type="spellEnd"/>
      <w:r w:rsidR="00CF7BC6">
        <w:t xml:space="preserve"> 501(6) and (7) that </w:t>
      </w:r>
      <w:r w:rsidR="0039312B">
        <w:t>manifests a contrary intention to that expressed in s 23(b).</w:t>
      </w:r>
      <w:r w:rsidR="00387181">
        <w:t xml:space="preserve"> </w:t>
      </w:r>
      <w:r w:rsidR="009C1C90">
        <w:t>For example, s 501(6)(aa) speaks in terms of “an offence” committed while in immigration detention, during an escape from immigration detention</w:t>
      </w:r>
      <w:r w:rsidR="00710F62">
        <w:t>, and after escap</w:t>
      </w:r>
      <w:r w:rsidR="00010B56">
        <w:t>e as being sufficient to fail the character test.</w:t>
      </w:r>
      <w:r w:rsidR="00953AE2">
        <w:t xml:space="preserve"> Where multiple offences are relevant to be considered, Parliament has used the phrase “one or more”; s</w:t>
      </w:r>
      <w:r w:rsidR="00A37DCE">
        <w:t xml:space="preserve"> 501(6</w:t>
      </w:r>
      <w:proofErr w:type="gramStart"/>
      <w:r w:rsidR="00A37DCE">
        <w:t>)(</w:t>
      </w:r>
      <w:proofErr w:type="spellStart"/>
      <w:proofErr w:type="gramEnd"/>
      <w:r w:rsidR="00A37DCE">
        <w:t>ba</w:t>
      </w:r>
      <w:proofErr w:type="spellEnd"/>
      <w:r w:rsidR="00A37DCE">
        <w:t>), (e)</w:t>
      </w:r>
      <w:r w:rsidR="00D11ED7">
        <w:t>, (f)</w:t>
      </w:r>
      <w:r w:rsidR="00C7401D">
        <w:t>.</w:t>
      </w:r>
      <w:r w:rsidR="00FB7EAA">
        <w:t xml:space="preserve"> In the context of s 501(</w:t>
      </w:r>
      <w:r w:rsidR="00464314">
        <w:t xml:space="preserve">7), it is apparent that Parliament has made a distinct choice about the </w:t>
      </w:r>
      <w:r w:rsidR="00D761A0">
        <w:t xml:space="preserve">nature of </w:t>
      </w:r>
      <w:r w:rsidR="00EC0638">
        <w:t xml:space="preserve">the sentence for </w:t>
      </w:r>
      <w:r w:rsidR="00D761A0">
        <w:t>an offence</w:t>
      </w:r>
      <w:r w:rsidR="006326E0">
        <w:t xml:space="preserve"> that was to be used as an objective proxy for a “substantial criminal record”</w:t>
      </w:r>
      <w:r w:rsidR="00EC0638">
        <w:t xml:space="preserve"> </w:t>
      </w:r>
      <w:r w:rsidR="00464314">
        <w:t xml:space="preserve">that will lead to mandatory cancellation </w:t>
      </w:r>
      <w:r w:rsidR="00950A55">
        <w:t>–</w:t>
      </w:r>
      <w:r w:rsidR="00464314">
        <w:t xml:space="preserve"> </w:t>
      </w:r>
      <w:r w:rsidR="006033E2">
        <w:t xml:space="preserve">that being an offence punishable by </w:t>
      </w:r>
      <w:r w:rsidR="00950A55">
        <w:t xml:space="preserve">death, life imprisonment, or </w:t>
      </w:r>
      <w:r w:rsidR="00950A55" w:rsidRPr="00950A55">
        <w:rPr>
          <w:u w:val="single"/>
        </w:rPr>
        <w:t>a</w:t>
      </w:r>
      <w:r w:rsidR="00950A55">
        <w:t xml:space="preserve"> term of 12 months.</w:t>
      </w:r>
    </w:p>
    <w:p w14:paraId="2BD2707D" w14:textId="768ACEEF" w:rsidR="00FE42D6" w:rsidRDefault="00536DB1" w:rsidP="00FE42D6">
      <w:pPr>
        <w:pStyle w:val="ParaNumbering"/>
        <w:rPr>
          <w:lang w:val="en-GB" w:eastAsia="en-AU"/>
        </w:rPr>
      </w:pPr>
      <w:r>
        <w:rPr>
          <w:lang w:val="en-GB" w:eastAsia="en-AU"/>
        </w:rPr>
        <w:t>Ms Pearson was</w:t>
      </w:r>
      <w:r w:rsidR="00E642A8">
        <w:rPr>
          <w:lang w:val="en-GB" w:eastAsia="en-AU"/>
        </w:rPr>
        <w:t xml:space="preserve"> sentenced </w:t>
      </w:r>
      <w:r w:rsidR="00C9192B">
        <w:rPr>
          <w:lang w:val="en-GB" w:eastAsia="en-AU"/>
        </w:rPr>
        <w:t>pursuant</w:t>
      </w:r>
      <w:r w:rsidR="00D20FF4">
        <w:rPr>
          <w:lang w:val="en-GB" w:eastAsia="en-AU"/>
        </w:rPr>
        <w:t xml:space="preserve"> to s 53A of the </w:t>
      </w:r>
      <w:r w:rsidR="00D20FF4" w:rsidRPr="00D20FF4">
        <w:rPr>
          <w:i/>
          <w:iCs/>
          <w:lang w:val="en-GB" w:eastAsia="en-AU"/>
        </w:rPr>
        <w:t xml:space="preserve">Crimes </w:t>
      </w:r>
      <w:r w:rsidR="0085174D" w:rsidRPr="001B2921">
        <w:rPr>
          <w:i/>
          <w:iCs/>
          <w:lang w:val="en-GB" w:eastAsia="en-AU"/>
        </w:rPr>
        <w:t>(</w:t>
      </w:r>
      <w:r w:rsidR="00D20FF4" w:rsidRPr="001B2921">
        <w:rPr>
          <w:i/>
          <w:iCs/>
          <w:lang w:val="en-GB" w:eastAsia="en-AU"/>
        </w:rPr>
        <w:t>Sentencing Procedure</w:t>
      </w:r>
      <w:r w:rsidR="0085174D" w:rsidRPr="001B2921">
        <w:rPr>
          <w:i/>
          <w:iCs/>
          <w:lang w:val="en-GB" w:eastAsia="en-AU"/>
        </w:rPr>
        <w:t>)</w:t>
      </w:r>
      <w:r w:rsidR="00D20FF4" w:rsidRPr="00D20FF4">
        <w:rPr>
          <w:i/>
          <w:iCs/>
          <w:lang w:val="en-GB" w:eastAsia="en-AU"/>
        </w:rPr>
        <w:t xml:space="preserve"> Act </w:t>
      </w:r>
      <w:r w:rsidR="00E642A8">
        <w:rPr>
          <w:lang w:val="en-GB" w:eastAsia="en-AU"/>
        </w:rPr>
        <w:t xml:space="preserve">to an aggregate maximum term of imprisonment of 4 years and 3 months in </w:t>
      </w:r>
      <w:r w:rsidR="00C9192B">
        <w:rPr>
          <w:lang w:val="en-GB" w:eastAsia="en-AU"/>
        </w:rPr>
        <w:t>respect</w:t>
      </w:r>
      <w:r w:rsidR="00E642A8">
        <w:rPr>
          <w:lang w:val="en-GB" w:eastAsia="en-AU"/>
        </w:rPr>
        <w:t xml:space="preserve"> of 10 offences</w:t>
      </w:r>
      <w:r w:rsidR="002C7FDD">
        <w:rPr>
          <w:lang w:val="en-GB" w:eastAsia="en-AU"/>
        </w:rPr>
        <w:t xml:space="preserve">. As is required by </w:t>
      </w:r>
      <w:r w:rsidR="00A514BD">
        <w:rPr>
          <w:lang w:val="en-GB" w:eastAsia="en-AU"/>
        </w:rPr>
        <w:t xml:space="preserve">s </w:t>
      </w:r>
      <w:proofErr w:type="gramStart"/>
      <w:r w:rsidR="00A514BD">
        <w:rPr>
          <w:lang w:val="en-GB" w:eastAsia="en-AU"/>
        </w:rPr>
        <w:t>53A(</w:t>
      </w:r>
      <w:proofErr w:type="gramEnd"/>
      <w:r w:rsidR="00A514BD">
        <w:rPr>
          <w:lang w:val="en-GB" w:eastAsia="en-AU"/>
        </w:rPr>
        <w:t>2)</w:t>
      </w:r>
      <w:r w:rsidR="005913AE">
        <w:rPr>
          <w:lang w:val="en-GB" w:eastAsia="en-AU"/>
        </w:rPr>
        <w:t xml:space="preserve"> </w:t>
      </w:r>
      <w:r w:rsidR="00B525E2">
        <w:rPr>
          <w:lang w:val="en-GB" w:eastAsia="en-AU"/>
        </w:rPr>
        <w:t>of th</w:t>
      </w:r>
      <w:r w:rsidR="005C7836">
        <w:rPr>
          <w:lang w:val="en-GB" w:eastAsia="en-AU"/>
        </w:rPr>
        <w:t>at</w:t>
      </w:r>
      <w:r w:rsidR="00B525E2">
        <w:rPr>
          <w:lang w:val="en-GB" w:eastAsia="en-AU"/>
        </w:rPr>
        <w:t xml:space="preserve"> Act, </w:t>
      </w:r>
      <w:r w:rsidR="005913AE">
        <w:rPr>
          <w:lang w:val="en-GB" w:eastAsia="en-AU"/>
        </w:rPr>
        <w:t xml:space="preserve">indicative sentences were recorded in </w:t>
      </w:r>
      <w:r w:rsidR="00C9192B">
        <w:rPr>
          <w:lang w:val="en-GB" w:eastAsia="en-AU"/>
        </w:rPr>
        <w:t>respect</w:t>
      </w:r>
      <w:r w:rsidR="005913AE">
        <w:rPr>
          <w:lang w:val="en-GB" w:eastAsia="en-AU"/>
        </w:rPr>
        <w:t xml:space="preserve"> of each offence, one of which </w:t>
      </w:r>
      <w:r w:rsidR="00B525E2">
        <w:rPr>
          <w:lang w:val="en-GB" w:eastAsia="en-AU"/>
        </w:rPr>
        <w:t>was for a term of 18 months.</w:t>
      </w:r>
      <w:r>
        <w:rPr>
          <w:lang w:val="en-GB" w:eastAsia="en-AU"/>
        </w:rPr>
        <w:t xml:space="preserve"> </w:t>
      </w:r>
      <w:r w:rsidR="00B525E2">
        <w:rPr>
          <w:lang w:val="en-GB" w:eastAsia="en-AU"/>
        </w:rPr>
        <w:t xml:space="preserve">The approach to aggregate sentencing </w:t>
      </w:r>
      <w:r w:rsidR="00065671">
        <w:rPr>
          <w:lang w:val="en-GB" w:eastAsia="en-AU"/>
        </w:rPr>
        <w:t>utilising s 53A was explained by the NSW Court of Criminal Appeal i</w:t>
      </w:r>
      <w:r w:rsidR="00FE42D6">
        <w:rPr>
          <w:lang w:val="en-GB" w:eastAsia="en-AU"/>
        </w:rPr>
        <w:t>n </w:t>
      </w:r>
      <w:r w:rsidR="00FE42D6" w:rsidRPr="000764DF">
        <w:rPr>
          <w:b/>
          <w:bCs/>
          <w:i/>
          <w:iCs/>
          <w:lang w:val="en-GB" w:eastAsia="en-AU"/>
        </w:rPr>
        <w:t>JM</w:t>
      </w:r>
      <w:r w:rsidR="00FE42D6" w:rsidRPr="000764DF">
        <w:rPr>
          <w:i/>
          <w:iCs/>
          <w:lang w:val="en-GB" w:eastAsia="en-AU"/>
        </w:rPr>
        <w:t> v R</w:t>
      </w:r>
      <w:r w:rsidR="00FE42D6" w:rsidRPr="000764DF">
        <w:rPr>
          <w:lang w:val="en-GB" w:eastAsia="en-AU"/>
        </w:rPr>
        <w:t> [2014] NSWCCA 297</w:t>
      </w:r>
      <w:r w:rsidR="00062365" w:rsidRPr="000764DF">
        <w:rPr>
          <w:lang w:val="en-GB" w:eastAsia="en-AU"/>
        </w:rPr>
        <w:t>; 246 A Crim R 528</w:t>
      </w:r>
      <w:r w:rsidR="00065671">
        <w:rPr>
          <w:lang w:val="en-GB" w:eastAsia="en-AU"/>
        </w:rPr>
        <w:t xml:space="preserve"> per </w:t>
      </w:r>
      <w:r w:rsidR="00FE42D6">
        <w:rPr>
          <w:lang w:val="en-GB" w:eastAsia="en-AU"/>
        </w:rPr>
        <w:t>RA Hulme J (</w:t>
      </w:r>
      <w:proofErr w:type="spellStart"/>
      <w:r w:rsidR="00FE42D6">
        <w:rPr>
          <w:lang w:val="en-GB" w:eastAsia="en-AU"/>
        </w:rPr>
        <w:t>Hoeben</w:t>
      </w:r>
      <w:proofErr w:type="spellEnd"/>
      <w:r w:rsidR="00FE42D6">
        <w:rPr>
          <w:lang w:val="en-GB" w:eastAsia="en-AU"/>
        </w:rPr>
        <w:t> CJ at CL and Adamson J agreeing) at [39]</w:t>
      </w:r>
      <w:r w:rsidR="00292AE7">
        <w:rPr>
          <w:lang w:val="en-GB" w:eastAsia="en-AU"/>
        </w:rPr>
        <w:t>:</w:t>
      </w:r>
    </w:p>
    <w:p w14:paraId="43323FC8" w14:textId="77777777" w:rsidR="00FE42D6" w:rsidRPr="00FA728B" w:rsidRDefault="00FE42D6" w:rsidP="00DB5646">
      <w:pPr>
        <w:pStyle w:val="Quote1"/>
        <w:ind w:left="1440" w:hanging="703"/>
        <w:rPr>
          <w:lang w:val="en-GB" w:eastAsia="en-AU"/>
        </w:rPr>
      </w:pPr>
      <w:r>
        <w:rPr>
          <w:lang w:val="en-GB" w:eastAsia="en-AU"/>
        </w:rPr>
        <w:lastRenderedPageBreak/>
        <w:t xml:space="preserve">[39] </w:t>
      </w:r>
      <w:r w:rsidR="00292AE7">
        <w:rPr>
          <w:lang w:val="en-GB" w:eastAsia="en-AU"/>
        </w:rPr>
        <w:tab/>
      </w:r>
      <w:r>
        <w:rPr>
          <w:lang w:val="en-GB" w:eastAsia="en-AU"/>
        </w:rPr>
        <w:t xml:space="preserve">A number of propositions </w:t>
      </w:r>
      <w:r w:rsidRPr="00FA728B">
        <w:rPr>
          <w:lang w:val="en-GB" w:eastAsia="en-AU"/>
        </w:rPr>
        <w:t>emerge from the above legislative provisions [</w:t>
      </w:r>
      <w:proofErr w:type="spellStart"/>
      <w:r w:rsidRPr="00FA728B">
        <w:rPr>
          <w:lang w:val="en-GB" w:eastAsia="en-AU"/>
        </w:rPr>
        <w:t>ss</w:t>
      </w:r>
      <w:proofErr w:type="spellEnd"/>
      <w:r w:rsidRPr="00FA728B">
        <w:rPr>
          <w:lang w:val="en-GB" w:eastAsia="en-AU"/>
        </w:rPr>
        <w:t xml:space="preserve"> 44(2C), 53A, </w:t>
      </w:r>
      <w:proofErr w:type="gramStart"/>
      <w:r w:rsidRPr="00FA728B">
        <w:rPr>
          <w:lang w:val="en-GB" w:eastAsia="en-AU"/>
        </w:rPr>
        <w:t>54A(</w:t>
      </w:r>
      <w:proofErr w:type="gramEnd"/>
      <w:r w:rsidRPr="00FA728B">
        <w:rPr>
          <w:lang w:val="en-GB" w:eastAsia="en-AU"/>
        </w:rPr>
        <w:t>2) and 54B] and the cases that have considered aggregate sentencing:</w:t>
      </w:r>
    </w:p>
    <w:p w14:paraId="79C5A35C" w14:textId="55822328" w:rsidR="00FA728B" w:rsidRDefault="00FE42D6" w:rsidP="00DB5646">
      <w:pPr>
        <w:pStyle w:val="Quote1"/>
        <w:ind w:left="2160" w:hanging="720"/>
        <w:rPr>
          <w:lang w:val="en-GB" w:eastAsia="en-AU"/>
        </w:rPr>
      </w:pPr>
      <w:r w:rsidRPr="00FA728B">
        <w:rPr>
          <w:lang w:val="en-GB" w:eastAsia="en-AU"/>
        </w:rPr>
        <w:t>1. </w:t>
      </w:r>
      <w:r w:rsidR="00FA728B" w:rsidRPr="00FA728B">
        <w:rPr>
          <w:lang w:val="en-GB" w:eastAsia="en-AU"/>
        </w:rPr>
        <w:tab/>
      </w:r>
      <w:r w:rsidRPr="00FA728B">
        <w:rPr>
          <w:lang w:val="en-GB" w:eastAsia="en-AU"/>
        </w:rPr>
        <w:t>Section 53A was introduced in order to ameliorate the difficulties of applying the decision in </w:t>
      </w:r>
      <w:r w:rsidRPr="00FA728B">
        <w:rPr>
          <w:i/>
          <w:iCs/>
          <w:lang w:val="en-GB" w:eastAsia="en-AU"/>
        </w:rPr>
        <w:t>Pearce v The Queen</w:t>
      </w:r>
      <w:r w:rsidRPr="00FA728B">
        <w:rPr>
          <w:lang w:val="en-GB" w:eastAsia="en-AU"/>
        </w:rPr>
        <w:t> [1998] HCA 57; 194 CLR 610 in sentencing for multiple offences: </w:t>
      </w:r>
      <w:r w:rsidRPr="00FA728B">
        <w:rPr>
          <w:i/>
          <w:iCs/>
          <w:lang w:val="en-GB" w:eastAsia="en-AU"/>
        </w:rPr>
        <w:t>R v </w:t>
      </w:r>
      <w:proofErr w:type="spellStart"/>
      <w:r w:rsidRPr="00FA728B">
        <w:rPr>
          <w:i/>
          <w:iCs/>
          <w:lang w:val="en-GB" w:eastAsia="en-AU"/>
        </w:rPr>
        <w:t>Nykolyn</w:t>
      </w:r>
      <w:proofErr w:type="spellEnd"/>
      <w:r w:rsidRPr="00FA728B">
        <w:rPr>
          <w:lang w:val="en-GB" w:eastAsia="en-AU"/>
        </w:rPr>
        <w:t> [2012] NSWCCA 219 at [31]. It offers the benefit when sentencing for multiple offences of obviating the need to engage in the laborious and sometimes complicated task of creating a “cascading or ‘stairway’ sentencing structure” when the principle of totality requires some accumulation of sentences: </w:t>
      </w:r>
      <w:r w:rsidRPr="00FA728B">
        <w:rPr>
          <w:i/>
          <w:iCs/>
          <w:lang w:val="en-GB" w:eastAsia="en-AU"/>
        </w:rPr>
        <w:t>R v Rae</w:t>
      </w:r>
      <w:r w:rsidRPr="00FA728B">
        <w:rPr>
          <w:lang w:val="en-GB" w:eastAsia="en-AU"/>
        </w:rPr>
        <w:t> [2013] NSWCCA 9 at [43]; </w:t>
      </w:r>
      <w:r w:rsidRPr="00FA728B">
        <w:rPr>
          <w:i/>
          <w:iCs/>
          <w:lang w:val="en-GB" w:eastAsia="en-AU"/>
        </w:rPr>
        <w:t>Truong v R</w:t>
      </w:r>
      <w:r w:rsidRPr="00FA728B">
        <w:rPr>
          <w:lang w:val="en-GB" w:eastAsia="en-AU"/>
        </w:rPr>
        <w:t>; </w:t>
      </w:r>
      <w:r w:rsidRPr="00FA728B">
        <w:rPr>
          <w:i/>
          <w:iCs/>
          <w:lang w:val="en-GB" w:eastAsia="en-AU"/>
        </w:rPr>
        <w:t>R v Le</w:t>
      </w:r>
      <w:r w:rsidRPr="00FA728B">
        <w:rPr>
          <w:lang w:val="en-GB" w:eastAsia="en-AU"/>
        </w:rPr>
        <w:t>; </w:t>
      </w:r>
      <w:r w:rsidRPr="00FA728B">
        <w:rPr>
          <w:i/>
          <w:iCs/>
          <w:lang w:val="en-GB" w:eastAsia="en-AU"/>
        </w:rPr>
        <w:t>Nguyen v R</w:t>
      </w:r>
      <w:r w:rsidRPr="00FA728B">
        <w:rPr>
          <w:lang w:val="en-GB" w:eastAsia="en-AU"/>
        </w:rPr>
        <w:t>; </w:t>
      </w:r>
      <w:r w:rsidRPr="00FA728B">
        <w:rPr>
          <w:i/>
          <w:iCs/>
          <w:lang w:val="en-GB" w:eastAsia="en-AU"/>
        </w:rPr>
        <w:t>R v</w:t>
      </w:r>
      <w:r w:rsidR="00134466">
        <w:rPr>
          <w:i/>
          <w:iCs/>
          <w:lang w:val="en-GB" w:eastAsia="en-AU"/>
        </w:rPr>
        <w:t xml:space="preserve"> </w:t>
      </w:r>
      <w:r w:rsidRPr="00FA728B">
        <w:rPr>
          <w:i/>
          <w:iCs/>
          <w:lang w:val="en-GB" w:eastAsia="en-AU"/>
        </w:rPr>
        <w:t>Nguyen</w:t>
      </w:r>
      <w:r w:rsidRPr="00FA728B">
        <w:rPr>
          <w:lang w:val="en-GB" w:eastAsia="en-AU"/>
        </w:rPr>
        <w:t> [2013]</w:t>
      </w:r>
      <w:r w:rsidR="00134466">
        <w:rPr>
          <w:lang w:val="en-GB" w:eastAsia="en-AU"/>
        </w:rPr>
        <w:t xml:space="preserve"> </w:t>
      </w:r>
      <w:r w:rsidRPr="00FA728B">
        <w:rPr>
          <w:lang w:val="en-GB" w:eastAsia="en-AU"/>
        </w:rPr>
        <w:t>NSWCCA</w:t>
      </w:r>
      <w:r w:rsidR="00FA728B">
        <w:rPr>
          <w:lang w:val="en-GB" w:eastAsia="en-AU"/>
        </w:rPr>
        <w:t xml:space="preserve"> </w:t>
      </w:r>
      <w:r w:rsidR="0085174D">
        <w:rPr>
          <w:lang w:val="en-GB" w:eastAsia="en-AU"/>
        </w:rPr>
        <w:t xml:space="preserve">36 </w:t>
      </w:r>
      <w:r w:rsidRPr="00FA728B">
        <w:rPr>
          <w:lang w:val="en-GB" w:eastAsia="en-AU"/>
        </w:rPr>
        <w:t>at [231]; </w:t>
      </w:r>
      <w:proofErr w:type="spellStart"/>
      <w:r w:rsidRPr="00FA728B">
        <w:rPr>
          <w:i/>
          <w:iCs/>
          <w:lang w:val="en-GB" w:eastAsia="en-AU"/>
        </w:rPr>
        <w:t>Behman</w:t>
      </w:r>
      <w:proofErr w:type="spellEnd"/>
      <w:r w:rsidRPr="00FA728B">
        <w:rPr>
          <w:i/>
          <w:iCs/>
          <w:lang w:val="en-GB" w:eastAsia="en-AU"/>
        </w:rPr>
        <w:t> v R</w:t>
      </w:r>
      <w:r w:rsidRPr="00FA728B">
        <w:rPr>
          <w:lang w:val="en-GB" w:eastAsia="en-AU"/>
        </w:rPr>
        <w:t> [2014] NSWCCA 239; </w:t>
      </w:r>
      <w:r w:rsidRPr="00FA728B">
        <w:rPr>
          <w:i/>
          <w:iCs/>
          <w:lang w:val="en-GB" w:eastAsia="en-AU"/>
        </w:rPr>
        <w:t>R v MJB</w:t>
      </w:r>
      <w:r w:rsidRPr="00FA728B">
        <w:rPr>
          <w:lang w:val="en-GB" w:eastAsia="en-AU"/>
        </w:rPr>
        <w:t> [2014] NSWCCA 195 at [55]–[57].</w:t>
      </w:r>
    </w:p>
    <w:p w14:paraId="2E18FA1B" w14:textId="77777777" w:rsidR="00FA728B" w:rsidRDefault="00FA728B" w:rsidP="00DB5646">
      <w:pPr>
        <w:pStyle w:val="Quote1"/>
        <w:ind w:left="2160" w:hanging="720"/>
        <w:rPr>
          <w:lang w:val="en-GB" w:eastAsia="en-AU"/>
        </w:rPr>
      </w:pPr>
      <w:r>
        <w:rPr>
          <w:lang w:val="en-GB" w:eastAsia="en-AU"/>
        </w:rPr>
        <w:t>2.</w:t>
      </w:r>
      <w:r>
        <w:rPr>
          <w:lang w:val="en-GB" w:eastAsia="en-AU"/>
        </w:rPr>
        <w:tab/>
      </w:r>
      <w:r w:rsidR="00FE42D6" w:rsidRPr="00FA728B">
        <w:rPr>
          <w:lang w:val="en-GB" w:eastAsia="en-AU"/>
        </w:rPr>
        <w:t>When imposing an aggregate sentence a court is required to indicate to the offender and make a written record of the fact that an aggregate sentence is being imposed and also indicate the sentences that would have been imposed if separate sentences had been imposed instead (the indicative sentences): s 53A(2). The indicative sentences themselves should not be expressed as a separate sentencing order: </w:t>
      </w:r>
      <w:r w:rsidR="00FE42D6" w:rsidRPr="00FA728B">
        <w:rPr>
          <w:i/>
          <w:iCs/>
          <w:lang w:val="en-GB" w:eastAsia="en-AU"/>
        </w:rPr>
        <w:t>R v Clarke</w:t>
      </w:r>
      <w:r w:rsidR="00FE42D6" w:rsidRPr="00FA728B">
        <w:rPr>
          <w:lang w:val="en-GB" w:eastAsia="en-AU"/>
        </w:rPr>
        <w:t> [2013] NSWCCA 260 at [50]–[52]. See also </w:t>
      </w:r>
      <w:r w:rsidR="00FE42D6" w:rsidRPr="00FA728B">
        <w:rPr>
          <w:i/>
          <w:iCs/>
          <w:lang w:val="en-GB" w:eastAsia="en-AU"/>
        </w:rPr>
        <w:t>Cullen v R</w:t>
      </w:r>
      <w:r w:rsidR="00FE42D6" w:rsidRPr="00FA728B">
        <w:rPr>
          <w:lang w:val="en-GB" w:eastAsia="en-AU"/>
        </w:rPr>
        <w:t> [2014] NSWCCA 162 at [25]–[40].</w:t>
      </w:r>
    </w:p>
    <w:p w14:paraId="0F3FB70D" w14:textId="77777777" w:rsidR="00FA728B" w:rsidRDefault="00FA728B" w:rsidP="00DB5646">
      <w:pPr>
        <w:pStyle w:val="Quote1"/>
        <w:ind w:left="2160" w:hanging="720"/>
        <w:rPr>
          <w:lang w:val="en-GB" w:eastAsia="en-AU"/>
        </w:rPr>
      </w:pPr>
      <w:r>
        <w:rPr>
          <w:lang w:val="en-GB" w:eastAsia="en-AU"/>
        </w:rPr>
        <w:t>3.</w:t>
      </w:r>
      <w:r>
        <w:rPr>
          <w:lang w:val="en-GB" w:eastAsia="en-AU"/>
        </w:rPr>
        <w:tab/>
      </w:r>
      <w:r w:rsidR="00FE42D6" w:rsidRPr="00FA728B">
        <w:rPr>
          <w:lang w:val="en-GB" w:eastAsia="en-AU"/>
        </w:rPr>
        <w:t>The indicative sentences must be assessed by taking into account such matters in Part 3 or elsewhere in the </w:t>
      </w:r>
      <w:r w:rsidR="00FE42D6" w:rsidRPr="00FA728B">
        <w:rPr>
          <w:i/>
          <w:iCs/>
          <w:lang w:val="en-GB" w:eastAsia="en-AU"/>
        </w:rPr>
        <w:t>Crimes (Sentencing Procedure) Act</w:t>
      </w:r>
      <w:r w:rsidR="00FE42D6" w:rsidRPr="00FA728B">
        <w:rPr>
          <w:lang w:val="en-GB" w:eastAsia="en-AU"/>
        </w:rPr>
        <w:t> as are relevant: s 53A(2)(b).</w:t>
      </w:r>
    </w:p>
    <w:p w14:paraId="1A5E2E04" w14:textId="77777777" w:rsidR="00AB39EA" w:rsidRDefault="00FE42D6" w:rsidP="00DB5646">
      <w:pPr>
        <w:pStyle w:val="Quote1"/>
        <w:ind w:left="2160"/>
        <w:rPr>
          <w:lang w:val="en-GB" w:eastAsia="en-AU"/>
        </w:rPr>
      </w:pPr>
      <w:r w:rsidRPr="00FA728B">
        <w:rPr>
          <w:lang w:val="en-GB" w:eastAsia="en-AU"/>
        </w:rPr>
        <w:t>There is no need to list such matters exhaustively, but commonly encountered ones in Part 3 include aggravating, mitigating and other factors (s 21A); reductions for guilty pleas, facilitation of the administration of justice and assistance to law enforcement authorities (</w:t>
      </w:r>
      <w:proofErr w:type="spellStart"/>
      <w:r w:rsidRPr="00FA728B">
        <w:rPr>
          <w:lang w:val="en-GB" w:eastAsia="en-AU"/>
        </w:rPr>
        <w:t>ss</w:t>
      </w:r>
      <w:proofErr w:type="spellEnd"/>
      <w:r w:rsidRPr="00FA728B">
        <w:rPr>
          <w:lang w:val="en-GB" w:eastAsia="en-AU"/>
        </w:rPr>
        <w:t xml:space="preserve"> 22, 22A and 23); and offences on a Form 1 taken into account (Pt 3 </w:t>
      </w:r>
      <w:proofErr w:type="spellStart"/>
      <w:r w:rsidRPr="00FA728B">
        <w:rPr>
          <w:lang w:val="en-GB" w:eastAsia="en-AU"/>
        </w:rPr>
        <w:t>Div</w:t>
      </w:r>
      <w:proofErr w:type="spellEnd"/>
      <w:r w:rsidRPr="00FA728B">
        <w:rPr>
          <w:lang w:val="en-GB" w:eastAsia="en-AU"/>
        </w:rPr>
        <w:t> 3). Commonly encountered matters elsewhere in the Act are the purposes of sentencing in s 3A, and the requirements of s 5 as to not imposing a sentence of imprisonment unless a court is satisfied that there is no alternative and giving a further explanation for the imposition of any sentence of 6 months or less.</w:t>
      </w:r>
    </w:p>
    <w:p w14:paraId="2A17FD16" w14:textId="1F1F0A69" w:rsidR="00AB39EA" w:rsidRDefault="00FE42D6" w:rsidP="00DB5646">
      <w:pPr>
        <w:pStyle w:val="Quote1"/>
        <w:ind w:left="2160"/>
        <w:rPr>
          <w:lang w:val="en-GB" w:eastAsia="en-AU"/>
        </w:rPr>
      </w:pPr>
      <w:r w:rsidRPr="00FA728B">
        <w:rPr>
          <w:i/>
          <w:iCs/>
          <w:lang w:val="en-GB" w:eastAsia="en-AU"/>
        </w:rPr>
        <w:t>SHR v R</w:t>
      </w:r>
      <w:r w:rsidRPr="00FA728B">
        <w:rPr>
          <w:lang w:val="en-GB" w:eastAsia="en-AU"/>
        </w:rPr>
        <w:t> [2014] NSWCCA 94 is an example of a case where a sentencing judge took pleas of guilty into account only in relation to the aggregate sentence, and not in relation to the indicative sentence. This was held (at [</w:t>
      </w:r>
      <w:r w:rsidR="00CC4607">
        <w:rPr>
          <w:lang w:val="en-GB" w:eastAsia="en-AU"/>
        </w:rPr>
        <w:t>35</w:t>
      </w:r>
      <w:r w:rsidR="0085174D" w:rsidRPr="001B2921">
        <w:rPr>
          <w:lang w:val="en-GB" w:eastAsia="en-AU"/>
        </w:rPr>
        <w:t>]</w:t>
      </w:r>
      <w:r w:rsidR="009E33D0">
        <w:rPr>
          <w:lang w:val="en-GB" w:eastAsia="en-AU"/>
        </w:rPr>
        <w:t>-[43</w:t>
      </w:r>
      <w:r w:rsidRPr="00FA728B">
        <w:rPr>
          <w:lang w:val="en-GB" w:eastAsia="en-AU"/>
        </w:rPr>
        <w:t>]) to be in breach of the requirement in s </w:t>
      </w:r>
      <w:proofErr w:type="gramStart"/>
      <w:r w:rsidRPr="00FA728B">
        <w:rPr>
          <w:lang w:val="en-GB" w:eastAsia="en-AU"/>
        </w:rPr>
        <w:t>53A(</w:t>
      </w:r>
      <w:proofErr w:type="gramEnd"/>
      <w:r w:rsidRPr="00FA728B">
        <w:rPr>
          <w:lang w:val="en-GB" w:eastAsia="en-AU"/>
        </w:rPr>
        <w:t>2)(b)</w:t>
      </w:r>
      <w:r w:rsidR="00DB5646">
        <w:rPr>
          <w:lang w:val="en-GB" w:eastAsia="en-AU"/>
        </w:rPr>
        <w:t xml:space="preserve"> </w:t>
      </w:r>
      <w:r w:rsidR="00142A3E">
        <w:rPr>
          <w:lang w:val="en-GB" w:eastAsia="en-AU"/>
        </w:rPr>
        <w:t>…</w:t>
      </w:r>
    </w:p>
    <w:p w14:paraId="75550038" w14:textId="77777777" w:rsidR="00142A3E" w:rsidRDefault="00142A3E" w:rsidP="00DB5646">
      <w:pPr>
        <w:pStyle w:val="Quote1"/>
        <w:ind w:left="2160" w:hanging="720"/>
        <w:rPr>
          <w:lang w:val="en-GB" w:eastAsia="en-AU"/>
        </w:rPr>
      </w:pPr>
      <w:r>
        <w:rPr>
          <w:lang w:val="en-GB" w:eastAsia="en-AU"/>
        </w:rPr>
        <w:t>4</w:t>
      </w:r>
      <w:r w:rsidR="00AB39EA">
        <w:rPr>
          <w:lang w:val="en-GB" w:eastAsia="en-AU"/>
        </w:rPr>
        <w:t>.</w:t>
      </w:r>
      <w:r w:rsidR="00AB39EA">
        <w:rPr>
          <w:lang w:val="en-GB" w:eastAsia="en-AU"/>
        </w:rPr>
        <w:tab/>
      </w:r>
      <w:r w:rsidR="00FE42D6" w:rsidRPr="00AB39EA">
        <w:rPr>
          <w:lang w:val="en-GB" w:eastAsia="en-AU"/>
        </w:rPr>
        <w:t>It is still necessary in assessing the indicative sentences to have regard to the requirements of </w:t>
      </w:r>
      <w:r w:rsidR="00FE42D6" w:rsidRPr="00AB39EA">
        <w:rPr>
          <w:i/>
          <w:iCs/>
          <w:lang w:val="en-GB" w:eastAsia="en-AU"/>
        </w:rPr>
        <w:t>Pearce v The Queen</w:t>
      </w:r>
      <w:r w:rsidR="00FE42D6" w:rsidRPr="00AB39EA">
        <w:rPr>
          <w:lang w:val="en-GB" w:eastAsia="en-AU"/>
        </w:rPr>
        <w:t xml:space="preserve"> [1998] HCA 57; 194 CLR 610. </w:t>
      </w:r>
      <w:r w:rsidR="00FE42D6" w:rsidRPr="00956BD7">
        <w:rPr>
          <w:b/>
          <w:bCs/>
          <w:i/>
          <w:iCs/>
          <w:lang w:val="en-GB" w:eastAsia="en-AU"/>
        </w:rPr>
        <w:t>The criminality involved in each offence needs to be assessed individually.</w:t>
      </w:r>
      <w:r w:rsidR="00FE42D6" w:rsidRPr="00AB39EA">
        <w:rPr>
          <w:lang w:val="en-GB" w:eastAsia="en-AU"/>
        </w:rPr>
        <w:t xml:space="preserve"> To adopt an approach of making a “blanket assessment” by simply indicating the same sentence for a number of offences is erroneous: </w:t>
      </w:r>
      <w:r w:rsidR="00FE42D6" w:rsidRPr="00AB39EA">
        <w:rPr>
          <w:i/>
          <w:iCs/>
          <w:lang w:val="en-GB" w:eastAsia="en-AU"/>
        </w:rPr>
        <w:t>R v Brown</w:t>
      </w:r>
      <w:r w:rsidR="00FE42D6" w:rsidRPr="00AB39EA">
        <w:rPr>
          <w:lang w:val="en-GB" w:eastAsia="en-AU"/>
        </w:rPr>
        <w:t> [2012] NSWCCA 199 at [17], [26]; </w:t>
      </w:r>
      <w:proofErr w:type="spellStart"/>
      <w:r w:rsidR="00FE42D6" w:rsidRPr="00AB39EA">
        <w:rPr>
          <w:i/>
          <w:iCs/>
          <w:lang w:val="en-GB" w:eastAsia="en-AU"/>
        </w:rPr>
        <w:t>Nykolyn</w:t>
      </w:r>
      <w:proofErr w:type="spellEnd"/>
      <w:r w:rsidR="00FE42D6" w:rsidRPr="00AB39EA">
        <w:rPr>
          <w:i/>
          <w:iCs/>
          <w:lang w:val="en-GB" w:eastAsia="en-AU"/>
        </w:rPr>
        <w:t xml:space="preserve"> v R</w:t>
      </w:r>
      <w:r w:rsidR="00FE42D6" w:rsidRPr="00AB39EA">
        <w:rPr>
          <w:lang w:val="en-GB" w:eastAsia="en-AU"/>
        </w:rPr>
        <w:t>, supra, at [32]; [56]–[57]; </w:t>
      </w:r>
      <w:proofErr w:type="spellStart"/>
      <w:r w:rsidR="00FE42D6" w:rsidRPr="00AB39EA">
        <w:rPr>
          <w:i/>
          <w:iCs/>
          <w:lang w:val="en-GB" w:eastAsia="en-AU"/>
        </w:rPr>
        <w:t>Subramaniam</w:t>
      </w:r>
      <w:proofErr w:type="spellEnd"/>
      <w:r w:rsidR="00FE42D6" w:rsidRPr="00AB39EA">
        <w:rPr>
          <w:i/>
          <w:iCs/>
          <w:lang w:val="en-GB" w:eastAsia="en-AU"/>
        </w:rPr>
        <w:t> v R</w:t>
      </w:r>
      <w:r w:rsidR="00FE42D6" w:rsidRPr="00AB39EA">
        <w:rPr>
          <w:lang w:val="en-GB" w:eastAsia="en-AU"/>
        </w:rPr>
        <w:t> [2013] NSWCCA 159 at [27]–[29]; </w:t>
      </w:r>
      <w:r w:rsidR="00FE42D6" w:rsidRPr="00AB39EA">
        <w:rPr>
          <w:i/>
          <w:iCs/>
          <w:lang w:val="en-GB" w:eastAsia="en-AU"/>
        </w:rPr>
        <w:t>SHR v R</w:t>
      </w:r>
      <w:r w:rsidR="00FE42D6" w:rsidRPr="00AB39EA">
        <w:rPr>
          <w:lang w:val="en-GB" w:eastAsia="en-AU"/>
        </w:rPr>
        <w:t>, supra, at [40]; </w:t>
      </w:r>
      <w:r w:rsidR="00FE42D6" w:rsidRPr="00AB39EA">
        <w:rPr>
          <w:i/>
          <w:iCs/>
          <w:lang w:val="en-GB" w:eastAsia="en-AU"/>
        </w:rPr>
        <w:t>R v </w:t>
      </w:r>
      <w:proofErr w:type="spellStart"/>
      <w:r w:rsidR="00FE42D6" w:rsidRPr="00AB39EA">
        <w:rPr>
          <w:i/>
          <w:iCs/>
          <w:lang w:val="en-GB" w:eastAsia="en-AU"/>
        </w:rPr>
        <w:t>Lolesio</w:t>
      </w:r>
      <w:proofErr w:type="spellEnd"/>
      <w:r w:rsidR="00FE42D6" w:rsidRPr="00AB39EA">
        <w:rPr>
          <w:lang w:val="en-GB" w:eastAsia="en-AU"/>
        </w:rPr>
        <w:t> [2014] NSWCCA 219 at [88]–[89]. It has been said that s </w:t>
      </w:r>
      <w:proofErr w:type="gramStart"/>
      <w:r w:rsidR="00FE42D6" w:rsidRPr="00AB39EA">
        <w:rPr>
          <w:lang w:val="en-GB" w:eastAsia="en-AU"/>
        </w:rPr>
        <w:t>53A(</w:t>
      </w:r>
      <w:proofErr w:type="gramEnd"/>
      <w:r w:rsidR="00FE42D6" w:rsidRPr="00AB39EA">
        <w:rPr>
          <w:lang w:val="en-GB" w:eastAsia="en-AU"/>
        </w:rPr>
        <w:t xml:space="preserve">2) is “clearly directed to ensuring transparency in the process of imposing an aggregate </w:t>
      </w:r>
      <w:r w:rsidR="00FE42D6" w:rsidRPr="00AB39EA">
        <w:rPr>
          <w:lang w:val="en-GB" w:eastAsia="en-AU"/>
        </w:rPr>
        <w:lastRenderedPageBreak/>
        <w:t>sentence and in that connection, imposing a discipline on sentencing judges”: [</w:t>
      </w:r>
      <w:r w:rsidR="00FE42D6" w:rsidRPr="00AB39EA">
        <w:rPr>
          <w:i/>
          <w:iCs/>
          <w:lang w:val="en-GB" w:eastAsia="en-AU"/>
        </w:rPr>
        <w:t>Khawaja v R</w:t>
      </w:r>
      <w:r w:rsidR="00FE42D6" w:rsidRPr="00AB39EA">
        <w:rPr>
          <w:lang w:val="en-GB" w:eastAsia="en-AU"/>
        </w:rPr>
        <w:t>, [2014] NSWCCA 80] at [18]</w:t>
      </w:r>
      <w:r>
        <w:rPr>
          <w:lang w:val="en-GB" w:eastAsia="en-AU"/>
        </w:rPr>
        <w:t>.</w:t>
      </w:r>
    </w:p>
    <w:p w14:paraId="58F64C45" w14:textId="77777777" w:rsidR="00142A3E" w:rsidRDefault="00142A3E" w:rsidP="00DB5646">
      <w:pPr>
        <w:pStyle w:val="Quote1"/>
        <w:ind w:left="2160" w:hanging="720"/>
        <w:rPr>
          <w:lang w:val="en-GB" w:eastAsia="en-AU"/>
        </w:rPr>
      </w:pPr>
      <w:r>
        <w:rPr>
          <w:lang w:val="en-GB" w:eastAsia="en-AU"/>
        </w:rPr>
        <w:t>5.</w:t>
      </w:r>
      <w:r>
        <w:rPr>
          <w:lang w:val="en-GB" w:eastAsia="en-AU"/>
        </w:rPr>
        <w:tab/>
      </w:r>
      <w:r w:rsidR="00FE42D6" w:rsidRPr="00FA728B">
        <w:rPr>
          <w:lang w:val="en-GB" w:eastAsia="en-AU"/>
        </w:rPr>
        <w:t xml:space="preserve">The imposition of an </w:t>
      </w:r>
      <w:r w:rsidR="00FE42D6" w:rsidRPr="00DB5646">
        <w:rPr>
          <w:b/>
          <w:i/>
          <w:lang w:val="en-GB" w:eastAsia="en-AU"/>
        </w:rPr>
        <w:t>aggregate sentence is not to be used to minimise the offending conduct</w:t>
      </w:r>
      <w:r w:rsidR="00FE42D6" w:rsidRPr="00C140D8">
        <w:rPr>
          <w:lang w:val="en-GB" w:eastAsia="en-AU"/>
        </w:rPr>
        <w:t>, or obscure or obliterate the range of offending conduct</w:t>
      </w:r>
      <w:r w:rsidR="00FE42D6" w:rsidRPr="00FA728B">
        <w:rPr>
          <w:lang w:val="en-GB" w:eastAsia="en-AU"/>
        </w:rPr>
        <w:t xml:space="preserve"> or its totality: </w:t>
      </w:r>
      <w:r w:rsidR="00FE42D6" w:rsidRPr="001B2921">
        <w:rPr>
          <w:i/>
          <w:lang w:val="en-GB" w:eastAsia="en-AU"/>
        </w:rPr>
        <w:t>R v MJB</w:t>
      </w:r>
      <w:r w:rsidR="00FE42D6" w:rsidRPr="00FA728B">
        <w:rPr>
          <w:lang w:val="en-GB" w:eastAsia="en-AU"/>
        </w:rPr>
        <w:t>, supra, at [58]–[60].</w:t>
      </w:r>
    </w:p>
    <w:p w14:paraId="7BD8CA81" w14:textId="77777777" w:rsidR="004B1E53" w:rsidRDefault="00142A3E" w:rsidP="00DB5646">
      <w:pPr>
        <w:pStyle w:val="Quote1"/>
        <w:ind w:left="2160" w:hanging="720"/>
        <w:rPr>
          <w:lang w:val="en-GB" w:eastAsia="en-AU"/>
        </w:rPr>
      </w:pPr>
      <w:r>
        <w:rPr>
          <w:lang w:val="en-GB" w:eastAsia="en-AU"/>
        </w:rPr>
        <w:t>6.</w:t>
      </w:r>
      <w:r>
        <w:rPr>
          <w:lang w:val="en-GB" w:eastAsia="en-AU"/>
        </w:rPr>
        <w:tab/>
      </w:r>
      <w:r w:rsidR="00FE42D6" w:rsidRPr="00142A3E">
        <w:rPr>
          <w:lang w:val="en-GB" w:eastAsia="en-AU"/>
        </w:rPr>
        <w:t xml:space="preserve">One reason </w:t>
      </w:r>
      <w:r w:rsidR="00FE42D6" w:rsidRPr="00DB5646">
        <w:rPr>
          <w:b/>
          <w:i/>
          <w:lang w:val="en-GB" w:eastAsia="en-AU"/>
        </w:rPr>
        <w:t>why it is important to assess individually the indicative sentences is that</w:t>
      </w:r>
      <w:r w:rsidR="00FE42D6" w:rsidRPr="00142A3E">
        <w:rPr>
          <w:lang w:val="en-GB" w:eastAsia="en-AU"/>
        </w:rPr>
        <w:t xml:space="preserve"> it assists in the application of the principle of totality. Another is that </w:t>
      </w:r>
      <w:r w:rsidR="00FE42D6" w:rsidRPr="00DB5646">
        <w:rPr>
          <w:b/>
          <w:i/>
          <w:lang w:val="en-GB" w:eastAsia="en-AU"/>
        </w:rPr>
        <w:t>it allows victims of crime and the public at large to understand the level of seriousness</w:t>
      </w:r>
      <w:r w:rsidR="00FE42D6" w:rsidRPr="00142A3E">
        <w:rPr>
          <w:lang w:val="en-GB" w:eastAsia="en-AU"/>
        </w:rPr>
        <w:t xml:space="preserve"> with which a court has regarded an individual offence: </w:t>
      </w:r>
      <w:proofErr w:type="spellStart"/>
      <w:r w:rsidR="00FE42D6" w:rsidRPr="001B2921">
        <w:rPr>
          <w:i/>
          <w:lang w:val="en-GB" w:eastAsia="en-AU"/>
        </w:rPr>
        <w:t>Nykolyn</w:t>
      </w:r>
      <w:proofErr w:type="spellEnd"/>
      <w:r w:rsidR="00FE42D6" w:rsidRPr="001B2921">
        <w:rPr>
          <w:i/>
          <w:lang w:val="en-GB" w:eastAsia="en-AU"/>
        </w:rPr>
        <w:t> v R,</w:t>
      </w:r>
      <w:r w:rsidR="00FE42D6" w:rsidRPr="00142A3E">
        <w:rPr>
          <w:lang w:val="en-GB" w:eastAsia="en-AU"/>
        </w:rPr>
        <w:t xml:space="preserve"> supra, at [58]; </w:t>
      </w:r>
      <w:proofErr w:type="spellStart"/>
      <w:r w:rsidR="00FE42D6" w:rsidRPr="001B2921">
        <w:rPr>
          <w:i/>
          <w:lang w:val="en-GB" w:eastAsia="en-AU"/>
        </w:rPr>
        <w:t>Subramaniam</w:t>
      </w:r>
      <w:proofErr w:type="spellEnd"/>
      <w:r w:rsidR="00FE42D6" w:rsidRPr="001B2921">
        <w:rPr>
          <w:i/>
          <w:lang w:val="en-GB" w:eastAsia="en-AU"/>
        </w:rPr>
        <w:t xml:space="preserve"> v R, </w:t>
      </w:r>
      <w:r w:rsidR="00FE42D6" w:rsidRPr="00142A3E">
        <w:rPr>
          <w:lang w:val="en-GB" w:eastAsia="en-AU"/>
        </w:rPr>
        <w:t>supra, at [28]. A further advantage is that it assists when questions of parity of sentencing as between co-offenders arise:</w:t>
      </w:r>
      <w:r w:rsidR="00FE42D6" w:rsidRPr="001B2921">
        <w:rPr>
          <w:i/>
          <w:lang w:val="en-GB" w:eastAsia="en-AU"/>
        </w:rPr>
        <w:t> R v Clarke,</w:t>
      </w:r>
      <w:r w:rsidR="00FE42D6" w:rsidRPr="00142A3E">
        <w:rPr>
          <w:lang w:val="en-GB" w:eastAsia="en-AU"/>
        </w:rPr>
        <w:t xml:space="preserve"> supra, at [68], [75].</w:t>
      </w:r>
    </w:p>
    <w:p w14:paraId="46DDB617" w14:textId="77777777" w:rsidR="004B1E53" w:rsidRDefault="004B1E53" w:rsidP="00DB5646">
      <w:pPr>
        <w:pStyle w:val="Quote1"/>
        <w:ind w:left="2160" w:hanging="720"/>
        <w:rPr>
          <w:lang w:val="en-GB" w:eastAsia="en-AU"/>
        </w:rPr>
      </w:pPr>
      <w:r>
        <w:rPr>
          <w:lang w:val="en-GB" w:eastAsia="en-AU"/>
        </w:rPr>
        <w:t>7.</w:t>
      </w:r>
      <w:r>
        <w:rPr>
          <w:lang w:val="en-GB" w:eastAsia="en-AU"/>
        </w:rPr>
        <w:tab/>
      </w:r>
      <w:r w:rsidR="00FE42D6" w:rsidRPr="004B1E53">
        <w:rPr>
          <w:lang w:val="en-GB" w:eastAsia="en-AU"/>
        </w:rPr>
        <w:t xml:space="preserve">Non-parole periods need not be specified in relation to indicative sentences except if they relate to an offence for which a standard non-parole period is prescribed: </w:t>
      </w:r>
      <w:proofErr w:type="spellStart"/>
      <w:r w:rsidR="00FE42D6" w:rsidRPr="004B1E53">
        <w:rPr>
          <w:lang w:val="en-GB" w:eastAsia="en-AU"/>
        </w:rPr>
        <w:t>ss</w:t>
      </w:r>
      <w:proofErr w:type="spellEnd"/>
      <w:r w:rsidR="00FE42D6" w:rsidRPr="004B1E53">
        <w:rPr>
          <w:lang w:val="en-GB" w:eastAsia="en-AU"/>
        </w:rPr>
        <w:t> 44(2C) and s </w:t>
      </w:r>
      <w:proofErr w:type="gramStart"/>
      <w:r w:rsidR="00FE42D6" w:rsidRPr="004B1E53">
        <w:rPr>
          <w:lang w:val="en-GB" w:eastAsia="en-AU"/>
        </w:rPr>
        <w:t>54B(</w:t>
      </w:r>
      <w:proofErr w:type="gramEnd"/>
      <w:r w:rsidR="00FE42D6" w:rsidRPr="004B1E53">
        <w:rPr>
          <w:lang w:val="en-GB" w:eastAsia="en-AU"/>
        </w:rPr>
        <w:t>4); </w:t>
      </w:r>
      <w:r w:rsidR="00FE42D6" w:rsidRPr="004B1E53">
        <w:rPr>
          <w:i/>
          <w:iCs/>
          <w:lang w:val="en-GB" w:eastAsia="en-AU"/>
        </w:rPr>
        <w:t>AB v R</w:t>
      </w:r>
      <w:r w:rsidR="00FE42D6" w:rsidRPr="004B1E53">
        <w:rPr>
          <w:lang w:val="en-GB" w:eastAsia="en-AU"/>
        </w:rPr>
        <w:t> [2014] NSWCCA 31 at [9].</w:t>
      </w:r>
    </w:p>
    <w:p w14:paraId="429F7AAE" w14:textId="77777777" w:rsidR="00FD6EE2" w:rsidRDefault="004B1E53" w:rsidP="00DB5646">
      <w:pPr>
        <w:pStyle w:val="Quote1"/>
        <w:ind w:left="2160" w:hanging="720"/>
        <w:rPr>
          <w:lang w:val="en-GB" w:eastAsia="en-AU"/>
        </w:rPr>
      </w:pPr>
      <w:r>
        <w:rPr>
          <w:lang w:val="en-GB" w:eastAsia="en-AU"/>
        </w:rPr>
        <w:t>8.</w:t>
      </w:r>
      <w:r>
        <w:rPr>
          <w:lang w:val="en-GB" w:eastAsia="en-AU"/>
        </w:rPr>
        <w:tab/>
      </w:r>
      <w:r w:rsidR="00FE42D6" w:rsidRPr="004B1E53">
        <w:rPr>
          <w:lang w:val="en-GB" w:eastAsia="en-AU"/>
        </w:rPr>
        <w:t>Specification of commencement dates for indicative sentences is unnecessary and is contrary to the benefits conferred by the aggregate sentencing provisions: </w:t>
      </w:r>
      <w:r w:rsidR="00FE42D6" w:rsidRPr="004B1E53">
        <w:rPr>
          <w:i/>
          <w:iCs/>
          <w:lang w:val="en-GB" w:eastAsia="en-AU"/>
        </w:rPr>
        <w:t>AB v R</w:t>
      </w:r>
      <w:r w:rsidR="00FE42D6" w:rsidRPr="004B1E53">
        <w:rPr>
          <w:lang w:val="en-GB" w:eastAsia="en-AU"/>
        </w:rPr>
        <w:t>, supra, at [10]. Doing so defeats the purpose of a court availing itself of the power to impose an aggregate sentence: </w:t>
      </w:r>
      <w:proofErr w:type="spellStart"/>
      <w:r w:rsidR="00FE42D6" w:rsidRPr="004B1E53">
        <w:rPr>
          <w:i/>
          <w:iCs/>
          <w:lang w:val="en-GB" w:eastAsia="en-AU"/>
        </w:rPr>
        <w:t>Behman</w:t>
      </w:r>
      <w:proofErr w:type="spellEnd"/>
      <w:r w:rsidR="00FE42D6" w:rsidRPr="004B1E53">
        <w:rPr>
          <w:i/>
          <w:iCs/>
          <w:lang w:val="en-GB" w:eastAsia="en-AU"/>
        </w:rPr>
        <w:t> v R</w:t>
      </w:r>
      <w:r w:rsidR="00FE42D6" w:rsidRPr="004B1E53">
        <w:rPr>
          <w:lang w:val="en-GB" w:eastAsia="en-AU"/>
        </w:rPr>
        <w:t> [2014] NSWCCA 239 at [26]. See also </w:t>
      </w:r>
      <w:r w:rsidR="00FE42D6" w:rsidRPr="004B1E53">
        <w:rPr>
          <w:i/>
          <w:iCs/>
          <w:lang w:val="en-GB" w:eastAsia="en-AU"/>
        </w:rPr>
        <w:t>Cullen v R</w:t>
      </w:r>
      <w:r w:rsidR="00FE42D6" w:rsidRPr="004B1E53">
        <w:rPr>
          <w:lang w:val="en-GB" w:eastAsia="en-AU"/>
        </w:rPr>
        <w:t>, supra, at [25]–[26].</w:t>
      </w:r>
    </w:p>
    <w:p w14:paraId="7B323562" w14:textId="77777777" w:rsidR="00FE42D6" w:rsidRDefault="00FD6EE2" w:rsidP="00DB5646">
      <w:pPr>
        <w:pStyle w:val="Quote1"/>
        <w:ind w:left="2160" w:hanging="720"/>
        <w:rPr>
          <w:lang w:val="en-GB" w:eastAsia="en-AU"/>
        </w:rPr>
      </w:pPr>
      <w:r>
        <w:rPr>
          <w:lang w:val="en-GB" w:eastAsia="en-AU"/>
        </w:rPr>
        <w:t>9.</w:t>
      </w:r>
      <w:r>
        <w:rPr>
          <w:lang w:val="en-GB" w:eastAsia="en-AU"/>
        </w:rPr>
        <w:tab/>
      </w:r>
      <w:r w:rsidR="00FE42D6" w:rsidRPr="00FD6EE2">
        <w:rPr>
          <w:lang w:val="en-GB" w:eastAsia="en-AU"/>
        </w:rPr>
        <w:t>If a non-custodial sentence is appropriate for an offence that is the subject of the multiple offence sentencing task, it should be separately imposed as was done in </w:t>
      </w:r>
      <w:proofErr w:type="spellStart"/>
      <w:r w:rsidR="00FE42D6" w:rsidRPr="00FD6EE2">
        <w:rPr>
          <w:i/>
          <w:iCs/>
          <w:lang w:val="en-GB" w:eastAsia="en-AU"/>
        </w:rPr>
        <w:t>Grealish</w:t>
      </w:r>
      <w:proofErr w:type="spellEnd"/>
      <w:r w:rsidR="00FE42D6" w:rsidRPr="00FD6EE2">
        <w:rPr>
          <w:i/>
          <w:iCs/>
          <w:lang w:val="en-GB" w:eastAsia="en-AU"/>
        </w:rPr>
        <w:t> v R</w:t>
      </w:r>
      <w:r w:rsidR="00FE42D6" w:rsidRPr="00FD6EE2">
        <w:rPr>
          <w:lang w:val="en-GB" w:eastAsia="en-AU"/>
        </w:rPr>
        <w:t> [2013] NSWCCA 336. In my respectful view, there was error involved in </w:t>
      </w:r>
      <w:proofErr w:type="spellStart"/>
      <w:r w:rsidR="00FE42D6" w:rsidRPr="00FD6EE2">
        <w:rPr>
          <w:i/>
          <w:iCs/>
          <w:lang w:val="en-GB" w:eastAsia="en-AU"/>
        </w:rPr>
        <w:t>Behman</w:t>
      </w:r>
      <w:proofErr w:type="spellEnd"/>
      <w:r w:rsidR="00FE42D6" w:rsidRPr="00FD6EE2">
        <w:rPr>
          <w:i/>
          <w:iCs/>
          <w:lang w:val="en-GB" w:eastAsia="en-AU"/>
        </w:rPr>
        <w:t> v R</w:t>
      </w:r>
      <w:r w:rsidR="00FE42D6" w:rsidRPr="00FD6EE2">
        <w:rPr>
          <w:lang w:val="en-GB" w:eastAsia="en-AU"/>
        </w:rPr>
        <w:t> [2014] NSWCCA 239 where an offence with an indicative, but unspecified, non-custodial sentence was included in an aggregate sentence imposed by this Court. The provision for imposing an aggregate sentence in s 53A appears within Part 4 of the </w:t>
      </w:r>
      <w:r w:rsidR="00FE42D6" w:rsidRPr="00FD6EE2">
        <w:rPr>
          <w:i/>
          <w:iCs/>
          <w:lang w:val="en-GB" w:eastAsia="en-AU"/>
        </w:rPr>
        <w:t>Crimes (Sentencing Procedure) Act</w:t>
      </w:r>
      <w:r w:rsidR="00FE42D6" w:rsidRPr="00FD6EE2">
        <w:rPr>
          <w:lang w:val="en-GB" w:eastAsia="en-AU"/>
        </w:rPr>
        <w:t> which is headed “Sentencing procedures for imprisonment”, and within Division 1 of that Part which is headed “Setting terms of imprisonment”.</w:t>
      </w:r>
    </w:p>
    <w:p w14:paraId="5036D814" w14:textId="77777777" w:rsidR="00956BD7" w:rsidRPr="00FD6EE2" w:rsidRDefault="00993608" w:rsidP="00DB5646">
      <w:pPr>
        <w:pStyle w:val="Quote1"/>
        <w:rPr>
          <w:lang w:val="en-GB" w:eastAsia="en-AU"/>
        </w:rPr>
      </w:pPr>
      <w:r>
        <w:rPr>
          <w:lang w:val="en-GB" w:eastAsia="en-AU"/>
        </w:rPr>
        <w:t>(</w:t>
      </w:r>
      <w:r w:rsidR="00DB5646">
        <w:rPr>
          <w:lang w:val="en-GB" w:eastAsia="en-AU"/>
        </w:rPr>
        <w:t>E</w:t>
      </w:r>
      <w:r>
        <w:rPr>
          <w:lang w:val="en-GB" w:eastAsia="en-AU"/>
        </w:rPr>
        <w:t>mphasis added)</w:t>
      </w:r>
    </w:p>
    <w:p w14:paraId="630C4B42" w14:textId="562159B1" w:rsidR="00DC2EA0" w:rsidRDefault="003D05C2" w:rsidP="00513E10">
      <w:pPr>
        <w:pStyle w:val="ParaNumbering"/>
      </w:pPr>
      <w:r>
        <w:t>Importantly for present purposes, the Court of Criminal Appeal also explained that “The indicative sentences</w:t>
      </w:r>
      <w:r w:rsidR="0099286D">
        <w:t xml:space="preserve"> recorded in accordance with s </w:t>
      </w:r>
      <w:proofErr w:type="gramStart"/>
      <w:r w:rsidR="0099286D">
        <w:t>53A(</w:t>
      </w:r>
      <w:proofErr w:type="gramEnd"/>
      <w:r w:rsidR="0099286D">
        <w:t>2) are not themselves amenable to appeal, although they may be a guide to whether error is established in relation to the aggregate sentence</w:t>
      </w:r>
      <w:r w:rsidR="005B18F6">
        <w:t>”</w:t>
      </w:r>
      <w:r w:rsidR="0099286D">
        <w:t xml:space="preserve">: </w:t>
      </w:r>
      <w:r w:rsidR="0099286D" w:rsidRPr="005B18F6">
        <w:rPr>
          <w:i/>
          <w:iCs/>
        </w:rPr>
        <w:t>J</w:t>
      </w:r>
      <w:r w:rsidR="005B18F6" w:rsidRPr="005B18F6">
        <w:rPr>
          <w:i/>
          <w:iCs/>
        </w:rPr>
        <w:t xml:space="preserve">M </w:t>
      </w:r>
      <w:r w:rsidR="005B18F6">
        <w:t>at [40].</w:t>
      </w:r>
      <w:r w:rsidR="00993608">
        <w:t xml:space="preserve"> This is consistent with the observations of the Cou</w:t>
      </w:r>
      <w:r w:rsidR="00593B99">
        <w:t xml:space="preserve">rt of Criminal Appeal in </w:t>
      </w:r>
      <w:r w:rsidR="00593B99" w:rsidRPr="000764DF">
        <w:rPr>
          <w:i/>
          <w:iCs/>
        </w:rPr>
        <w:t>Vaughan v The Queen</w:t>
      </w:r>
      <w:r w:rsidR="00593B99" w:rsidRPr="000764DF">
        <w:t xml:space="preserve"> [2020] NSW</w:t>
      </w:r>
      <w:r w:rsidR="008478AC" w:rsidRPr="000764DF">
        <w:t>CCA 3</w:t>
      </w:r>
      <w:r w:rsidR="008478AC">
        <w:t xml:space="preserve"> at [90] per Johnson J (</w:t>
      </w:r>
      <w:proofErr w:type="spellStart"/>
      <w:r w:rsidR="008478AC">
        <w:t>Macfarlan</w:t>
      </w:r>
      <w:proofErr w:type="spellEnd"/>
      <w:r w:rsidR="008478AC">
        <w:t xml:space="preserve"> JA and RA </w:t>
      </w:r>
      <w:proofErr w:type="spellStart"/>
      <w:r w:rsidR="008478AC">
        <w:t>Hulme</w:t>
      </w:r>
      <w:proofErr w:type="spellEnd"/>
      <w:r w:rsidR="008478AC">
        <w:t xml:space="preserve"> J agreeing)</w:t>
      </w:r>
      <w:r w:rsidR="00F67433">
        <w:t xml:space="preserve">, that </w:t>
      </w:r>
      <w:r w:rsidR="00840D70">
        <w:t>“</w:t>
      </w:r>
      <w:r w:rsidR="00D5687B">
        <w:t>T</w:t>
      </w:r>
      <w:r w:rsidR="00F67433">
        <w:t>he only operative sentence</w:t>
      </w:r>
      <w:r w:rsidR="00840D70">
        <w:t xml:space="preserve"> imposed by the Court is the aggregate sentence under this statutory scheme</w:t>
      </w:r>
      <w:r w:rsidR="00D5687B">
        <w:t xml:space="preserve"> </w:t>
      </w:r>
      <w:r w:rsidR="001E00C9">
        <w:t>…</w:t>
      </w:r>
      <w:r w:rsidR="00D5687B">
        <w:t xml:space="preserve"> T</w:t>
      </w:r>
      <w:r w:rsidR="001E00C9">
        <w:t>he periods indicated by the sentencing Court have no practical operation at all”.</w:t>
      </w:r>
      <w:r w:rsidR="00CB7035">
        <w:t xml:space="preserve"> Contrary to the Minister’s submissions, those observations tend to support the construction contended for by Ms Pear</w:t>
      </w:r>
      <w:r w:rsidR="00D5687B">
        <w:t>son</w:t>
      </w:r>
      <w:r w:rsidR="007C32B1">
        <w:t xml:space="preserve">. The aggregate sentence of itself will </w:t>
      </w:r>
      <w:r w:rsidR="007C32B1">
        <w:lastRenderedPageBreak/>
        <w:t xml:space="preserve">say little to nothing about the seriousness of the individual </w:t>
      </w:r>
      <w:r w:rsidR="00C5684A">
        <w:t xml:space="preserve">offences for which indicative sentences have been given. Further, in the case where a sentencing judge fails to provide indicative sentences for individual offences, an aggregate sentence of imprisonment is not invalidated (s </w:t>
      </w:r>
      <w:proofErr w:type="gramStart"/>
      <w:r w:rsidR="00C5684A">
        <w:t>53</w:t>
      </w:r>
      <w:r w:rsidR="00E76402">
        <w:t>A(</w:t>
      </w:r>
      <w:proofErr w:type="gramEnd"/>
      <w:r w:rsidR="00E76402">
        <w:t>5)). In such circumstances, there could be no objective means by which the Minister could reach any reasonable suspicion, on the basis of s 501</w:t>
      </w:r>
      <w:r w:rsidR="0091297F">
        <w:t>(7</w:t>
      </w:r>
      <w:proofErr w:type="gramStart"/>
      <w:r w:rsidR="0091297F">
        <w:t>)(</w:t>
      </w:r>
      <w:proofErr w:type="gramEnd"/>
      <w:r w:rsidR="0091297F">
        <w:t xml:space="preserve">c), as to whether a person’s visa ought </w:t>
      </w:r>
      <w:r w:rsidR="00035D0D">
        <w:t xml:space="preserve">to </w:t>
      </w:r>
      <w:r w:rsidR="0091297F">
        <w:t>be mandatorily cancelled.</w:t>
      </w:r>
    </w:p>
    <w:p w14:paraId="69B01491" w14:textId="6A5D0C86" w:rsidR="00D021B4" w:rsidRDefault="00D021B4" w:rsidP="00D021B4">
      <w:pPr>
        <w:pStyle w:val="ParaNumbering"/>
      </w:pPr>
      <w:r>
        <w:t xml:space="preserve">In </w:t>
      </w:r>
      <w:r w:rsidR="00485082">
        <w:rPr>
          <w:i/>
          <w:iCs/>
        </w:rPr>
        <w:t>Minister for Immigration</w:t>
      </w:r>
      <w:r w:rsidRPr="000764DF">
        <w:rPr>
          <w:i/>
          <w:iCs/>
        </w:rPr>
        <w:t xml:space="preserve">, Citizenship, Migrant Services and Multicultural Affairs v </w:t>
      </w:r>
      <w:proofErr w:type="spellStart"/>
      <w:r w:rsidRPr="000764DF">
        <w:rPr>
          <w:i/>
          <w:iCs/>
        </w:rPr>
        <w:t>Darnia</w:t>
      </w:r>
      <w:proofErr w:type="spellEnd"/>
      <w:r w:rsidRPr="000764DF">
        <w:rPr>
          <w:i/>
          <w:iCs/>
        </w:rPr>
        <w:t>-Wilson</w:t>
      </w:r>
      <w:r w:rsidRPr="000764DF">
        <w:t xml:space="preserve"> [2022] FCAFC 28</w:t>
      </w:r>
      <w:r w:rsidR="0085174D">
        <w:t xml:space="preserve">; </w:t>
      </w:r>
      <w:r w:rsidR="0085174D" w:rsidRPr="001B2921">
        <w:t>289 FCR 72</w:t>
      </w:r>
      <w:r>
        <w:t xml:space="preserve"> at [26], the Full Court said:</w:t>
      </w:r>
    </w:p>
    <w:p w14:paraId="2311E69A" w14:textId="15278FFF" w:rsidR="00D021B4" w:rsidRDefault="00D021B4" w:rsidP="003B4804">
      <w:pPr>
        <w:pStyle w:val="Quote1"/>
      </w:pPr>
      <w:r>
        <w:t>The natural and ordinary meaning of the unqualified expression</w:t>
      </w:r>
      <w:r w:rsidR="0085174D" w:rsidRPr="001B2921">
        <w:t>,</w:t>
      </w:r>
      <w:r>
        <w:t xml:space="preserve"> “sentenced to a term of imprisonment”, as it is used within the definition of a substantial criminal record in s 501(7</w:t>
      </w:r>
      <w:proofErr w:type="gramStart"/>
      <w:r>
        <w:t>)(</w:t>
      </w:r>
      <w:proofErr w:type="gramEnd"/>
      <w:r>
        <w:t>c), describes an objective state of affairs. That unqualified expression contrasts, for example, with the qualified expression of the nature of the sentence on which s 501(3A</w:t>
      </w:r>
      <w:proofErr w:type="gramStart"/>
      <w:r>
        <w:t>)(</w:t>
      </w:r>
      <w:proofErr w:type="gramEnd"/>
      <w:r>
        <w:t>b) operates.</w:t>
      </w:r>
    </w:p>
    <w:p w14:paraId="00C87951" w14:textId="27DDED2F" w:rsidR="00D021B4" w:rsidRDefault="00D021B4" w:rsidP="00D021B4">
      <w:pPr>
        <w:pStyle w:val="ParaNumbering"/>
      </w:pPr>
      <w:r>
        <w:t xml:space="preserve">Similarly, the unqualified expression can be contrasted with that in s 501(7)(d) – “sentenced to 2 or more terms of imprisonment, where the total of those terms is 12 months or more” – and with the explanation in respect of concurrent sentences in </w:t>
      </w:r>
      <w:r w:rsidR="0085174D" w:rsidRPr="001B2921">
        <w:t>s</w:t>
      </w:r>
      <w:r w:rsidR="0085174D">
        <w:t xml:space="preserve"> </w:t>
      </w:r>
      <w:r>
        <w:t xml:space="preserve">501(7A). Had Parliament intended that an aggregate sentence of 12 months or more should be subject to mandatory cancellation of a person’s visa, it would have been a straightforward matter to say so. That it did not do so is consistent with the apparent purpose of s 501(3A), namely that only the most serious offending subjects a person to mandatory cancellation of a visa. Self-evidently, an aggregate sentence may be arrived </w:t>
      </w:r>
      <w:r w:rsidR="00D33F7C">
        <w:t xml:space="preserve">at </w:t>
      </w:r>
      <w:r>
        <w:t>after conviction of a series of lesser offences, none of which on their own could render a person liable to have his or her visa mandatorily cancelled.</w:t>
      </w:r>
    </w:p>
    <w:p w14:paraId="25E2C3F6" w14:textId="77777777" w:rsidR="0004366A" w:rsidRDefault="00513E10" w:rsidP="00F56E66">
      <w:pPr>
        <w:pStyle w:val="ParaNumbering"/>
      </w:pPr>
      <w:r>
        <w:t xml:space="preserve">Ms Pearson was not sentenced </w:t>
      </w:r>
      <w:r w:rsidR="0008285B">
        <w:t xml:space="preserve">(for an offence) to a term of imprisonment of 12 months or more. </w:t>
      </w:r>
      <w:r w:rsidR="003F5F76">
        <w:t>Consequently, h</w:t>
      </w:r>
      <w:r w:rsidR="0008285B">
        <w:t>er visa was not</w:t>
      </w:r>
      <w:r w:rsidR="003F5F76">
        <w:t xml:space="preserve"> amenable to mandatory cancellation under s 501(3A). Of course, nothing would have prevented the Minister from exercising his discretion </w:t>
      </w:r>
      <w:r w:rsidR="00C9192B">
        <w:t>pursuant</w:t>
      </w:r>
      <w:r w:rsidR="002E35DD">
        <w:t xml:space="preserve"> to s 501</w:t>
      </w:r>
      <w:r w:rsidR="006D3C0E">
        <w:t xml:space="preserve">(2) or </w:t>
      </w:r>
      <w:r w:rsidR="002E35DD">
        <w:t xml:space="preserve">(3) </w:t>
      </w:r>
      <w:r w:rsidR="003F5F76">
        <w:t>to cancel her visa</w:t>
      </w:r>
      <w:r w:rsidR="00C90037">
        <w:t xml:space="preserve"> </w:t>
      </w:r>
      <w:r w:rsidR="006060C1">
        <w:t xml:space="preserve">should he </w:t>
      </w:r>
      <w:r w:rsidR="006D3C0E">
        <w:t xml:space="preserve">have </w:t>
      </w:r>
      <w:r w:rsidR="006060C1">
        <w:t>be</w:t>
      </w:r>
      <w:r w:rsidR="006D3C0E">
        <w:t>en</w:t>
      </w:r>
      <w:r w:rsidR="006060C1">
        <w:t xml:space="preserve"> satisfied of the matters in that subsecti</w:t>
      </w:r>
      <w:r w:rsidR="00C90037">
        <w:t>o</w:t>
      </w:r>
      <w:r w:rsidR="000574F2">
        <w:t xml:space="preserve">n. </w:t>
      </w:r>
    </w:p>
    <w:p w14:paraId="07847C4E" w14:textId="77777777" w:rsidR="005C11AD" w:rsidRDefault="005C11AD" w:rsidP="00F56E66">
      <w:pPr>
        <w:pStyle w:val="ParaNumbering"/>
      </w:pPr>
      <w:r>
        <w:t>Ground three is upheld and leave to rely on it should be granted.</w:t>
      </w:r>
    </w:p>
    <w:p w14:paraId="00A16357" w14:textId="77777777" w:rsidR="00F81EBA" w:rsidRDefault="00F81EBA" w:rsidP="00F81EBA">
      <w:pPr>
        <w:pStyle w:val="Heading2"/>
      </w:pPr>
      <w:proofErr w:type="spellStart"/>
      <w:r w:rsidRPr="001B2921">
        <w:rPr>
          <w:i/>
        </w:rPr>
        <w:t>Anshun</w:t>
      </w:r>
      <w:proofErr w:type="spellEnd"/>
      <w:r>
        <w:t xml:space="preserve"> estoppel</w:t>
      </w:r>
    </w:p>
    <w:p w14:paraId="4A6CB5C4" w14:textId="77777777" w:rsidR="00295484" w:rsidRDefault="00874C29" w:rsidP="00F56E66">
      <w:pPr>
        <w:pStyle w:val="ParaNumbering"/>
      </w:pPr>
      <w:r>
        <w:t>The Minister</w:t>
      </w:r>
      <w:r w:rsidR="003A2EA9">
        <w:t xml:space="preserve">, quite rightly, observed that Ms </w:t>
      </w:r>
      <w:r w:rsidR="00F81EBA">
        <w:t>Pea</w:t>
      </w:r>
      <w:r w:rsidR="003A2EA9">
        <w:t xml:space="preserve">rson has already unsuccessfully sought judicial review </w:t>
      </w:r>
      <w:r w:rsidR="00EA4E1C">
        <w:t xml:space="preserve">of the decision of the Tribunal, which application was dismissed at first instance and on appeal to the Full Court. In those circumstances, the Minister submitted that the </w:t>
      </w:r>
      <w:r w:rsidR="0086346A">
        <w:lastRenderedPageBreak/>
        <w:t>principles</w:t>
      </w:r>
      <w:r w:rsidR="00EA4E1C">
        <w:t xml:space="preserve"> of </w:t>
      </w:r>
      <w:proofErr w:type="spellStart"/>
      <w:r w:rsidR="00EA4E1C" w:rsidRPr="001B2921">
        <w:rPr>
          <w:i/>
        </w:rPr>
        <w:t>Anshun</w:t>
      </w:r>
      <w:proofErr w:type="spellEnd"/>
      <w:r w:rsidR="00EA4E1C">
        <w:t xml:space="preserve"> estoppel should preclude t</w:t>
      </w:r>
      <w:r w:rsidR="00E844FF">
        <w:t>he applicant from raising the three grounds she now raises in this Court.</w:t>
      </w:r>
    </w:p>
    <w:p w14:paraId="47860864" w14:textId="4E16561F" w:rsidR="00CA3239" w:rsidRDefault="00E565C7" w:rsidP="00F56E66">
      <w:pPr>
        <w:pStyle w:val="ParaNumbering"/>
      </w:pPr>
      <w:r>
        <w:t xml:space="preserve">As was held by the High Court in </w:t>
      </w:r>
      <w:r w:rsidRPr="000764DF">
        <w:rPr>
          <w:b/>
          <w:i/>
          <w:iCs/>
        </w:rPr>
        <w:t>Clayton</w:t>
      </w:r>
      <w:r w:rsidRPr="000764DF">
        <w:rPr>
          <w:i/>
          <w:iCs/>
        </w:rPr>
        <w:t xml:space="preserve"> v Bant</w:t>
      </w:r>
      <w:r w:rsidR="00550981" w:rsidRPr="000764DF">
        <w:t xml:space="preserve"> [2020] HCA 44</w:t>
      </w:r>
      <w:r w:rsidR="006D3C0E" w:rsidRPr="000764DF">
        <w:t>; 272 CLR 1</w:t>
      </w:r>
      <w:r w:rsidR="001F3C81">
        <w:t xml:space="preserve"> at </w:t>
      </w:r>
      <w:r w:rsidR="006D3C0E">
        <w:t xml:space="preserve">[32] and </w:t>
      </w:r>
      <w:r w:rsidR="001F3C81">
        <w:t>[37]</w:t>
      </w:r>
      <w:r>
        <w:t xml:space="preserve">, </w:t>
      </w:r>
      <w:r w:rsidR="001F3C81">
        <w:t>t</w:t>
      </w:r>
      <w:r w:rsidR="00CA3239">
        <w:t xml:space="preserve">he question </w:t>
      </w:r>
      <w:r w:rsidR="00403105">
        <w:t xml:space="preserve">of whether </w:t>
      </w:r>
      <w:r w:rsidR="005C43B6">
        <w:t>a common law estoppel arises (encompassing bot</w:t>
      </w:r>
      <w:r w:rsidR="009B1EB6">
        <w:t xml:space="preserve">h “claim estoppel” </w:t>
      </w:r>
      <w:r w:rsidR="00403105">
        <w:t>an</w:t>
      </w:r>
      <w:r w:rsidR="009B1EB6">
        <w:t>d</w:t>
      </w:r>
      <w:r w:rsidR="00403105">
        <w:t xml:space="preserve"> </w:t>
      </w:r>
      <w:proofErr w:type="spellStart"/>
      <w:r w:rsidR="00403105" w:rsidRPr="001B2921">
        <w:rPr>
          <w:i/>
        </w:rPr>
        <w:t>Anshun</w:t>
      </w:r>
      <w:proofErr w:type="spellEnd"/>
      <w:r w:rsidR="00403105">
        <w:t xml:space="preserve"> estoppe</w:t>
      </w:r>
      <w:r w:rsidR="009B1EB6">
        <w:t xml:space="preserve">l) </w:t>
      </w:r>
      <w:r w:rsidR="00403105">
        <w:t>requires</w:t>
      </w:r>
      <w:r w:rsidR="009B1EB6">
        <w:t>:</w:t>
      </w:r>
      <w:r w:rsidR="001F3C81">
        <w:t xml:space="preserve"> first, </w:t>
      </w:r>
      <w:r w:rsidR="008F0F37">
        <w:t xml:space="preserve">identification of the actual rights, the existence or non-existence of which were or might have been asserted and finally determined in the earlier proceedings; and secondly, determination of whether there is “correspondence between those rights and the </w:t>
      </w:r>
      <w:r w:rsidR="006D3C0E">
        <w:t xml:space="preserve">statutory right </w:t>
      </w:r>
      <w:r w:rsidR="008F0F37">
        <w:t xml:space="preserve">asserted </w:t>
      </w:r>
      <w:r w:rsidR="006D3C0E">
        <w:t>[</w:t>
      </w:r>
      <w:r w:rsidR="008F0F37">
        <w:t>in the later proceedings</w:t>
      </w:r>
      <w:r w:rsidR="006D3C0E">
        <w:t>]”</w:t>
      </w:r>
      <w:r w:rsidR="00CB594D">
        <w:t xml:space="preserve">. In </w:t>
      </w:r>
      <w:r w:rsidR="00CB594D" w:rsidRPr="000764DF">
        <w:rPr>
          <w:b/>
          <w:bCs/>
          <w:i/>
          <w:iCs/>
        </w:rPr>
        <w:t>AIO21</w:t>
      </w:r>
      <w:r w:rsidR="00CB594D" w:rsidRPr="000764DF">
        <w:rPr>
          <w:i/>
          <w:iCs/>
        </w:rPr>
        <w:t xml:space="preserve"> v Minister </w:t>
      </w:r>
      <w:r w:rsidR="00CB6D40" w:rsidRPr="000764DF">
        <w:rPr>
          <w:i/>
          <w:iCs/>
        </w:rPr>
        <w:t>for Immigration, Citizenship, Migrant Services and Multicultural Affairs</w:t>
      </w:r>
      <w:r w:rsidR="00DC3B0A" w:rsidRPr="000764DF">
        <w:t xml:space="preserve"> [2022] FCAFC </w:t>
      </w:r>
      <w:r w:rsidR="00F81EBA" w:rsidRPr="000764DF">
        <w:t>114</w:t>
      </w:r>
      <w:r w:rsidR="006D3C0E" w:rsidRPr="000764DF">
        <w:t xml:space="preserve"> </w:t>
      </w:r>
      <w:r w:rsidR="006D3C0E">
        <w:t>at [65]</w:t>
      </w:r>
      <w:r w:rsidR="0013259E">
        <w:t xml:space="preserve">, the Full Court </w:t>
      </w:r>
      <w:r w:rsidR="000C2A60">
        <w:t>said</w:t>
      </w:r>
      <w:r w:rsidR="00EA58B7">
        <w:t xml:space="preserve"> that so far as concerns “claim estoppel”, the question in judicial review proceedings</w:t>
      </w:r>
      <w:r w:rsidR="00340C08">
        <w:t xml:space="preserve"> of the present kind is whether:</w:t>
      </w:r>
    </w:p>
    <w:p w14:paraId="7BFCCC66" w14:textId="59935146" w:rsidR="00340C08" w:rsidRPr="001B2921" w:rsidRDefault="00753112" w:rsidP="00F06FEA">
      <w:pPr>
        <w:pStyle w:val="ListNo1alt"/>
        <w:spacing w:line="240" w:lineRule="auto"/>
        <w:ind w:right="737"/>
        <w:rPr>
          <w:sz w:val="22"/>
          <w:szCs w:val="22"/>
        </w:rPr>
      </w:pPr>
      <w:r w:rsidRPr="001B2921">
        <w:rPr>
          <w:sz w:val="22"/>
          <w:szCs w:val="22"/>
        </w:rPr>
        <w:t>t</w:t>
      </w:r>
      <w:r w:rsidR="007C4974" w:rsidRPr="001B2921">
        <w:rPr>
          <w:sz w:val="22"/>
          <w:szCs w:val="22"/>
        </w:rPr>
        <w:t>he “cause of action” or “claim</w:t>
      </w:r>
      <w:r w:rsidR="0085174D" w:rsidRPr="001B2921">
        <w:rPr>
          <w:sz w:val="22"/>
          <w:szCs w:val="22"/>
        </w:rPr>
        <w:t>”</w:t>
      </w:r>
      <w:r w:rsidR="007C4974" w:rsidRPr="001B2921">
        <w:rPr>
          <w:sz w:val="22"/>
          <w:szCs w:val="22"/>
        </w:rPr>
        <w:t xml:space="preserve"> (Clayton at [28]) should be viewed as a claim for relief for jurisdictional </w:t>
      </w:r>
      <w:r w:rsidR="00F36A9C" w:rsidRPr="001B2921">
        <w:rPr>
          <w:sz w:val="22"/>
          <w:szCs w:val="22"/>
        </w:rPr>
        <w:t xml:space="preserve">error in </w:t>
      </w:r>
      <w:r w:rsidR="006D3C0E" w:rsidRPr="001B2921">
        <w:rPr>
          <w:sz w:val="22"/>
          <w:szCs w:val="22"/>
        </w:rPr>
        <w:t xml:space="preserve">relation </w:t>
      </w:r>
      <w:r w:rsidR="00F36A9C" w:rsidRPr="001B2921">
        <w:rPr>
          <w:sz w:val="22"/>
          <w:szCs w:val="22"/>
        </w:rPr>
        <w:t>to the impugned decision, with the result that the doctrine would operate to prevent a second application</w:t>
      </w:r>
      <w:r w:rsidRPr="001B2921">
        <w:rPr>
          <w:sz w:val="22"/>
          <w:szCs w:val="22"/>
        </w:rPr>
        <w:t xml:space="preserve"> even on a ground of judicial review which had not been advanced or determined; or</w:t>
      </w:r>
    </w:p>
    <w:p w14:paraId="2C3A70B9" w14:textId="5A70A3DB" w:rsidR="00753112" w:rsidRPr="001B2921" w:rsidRDefault="00753112" w:rsidP="00F06FEA">
      <w:pPr>
        <w:pStyle w:val="ListNo1alt"/>
        <w:spacing w:line="240" w:lineRule="auto"/>
        <w:ind w:right="737"/>
        <w:rPr>
          <w:sz w:val="22"/>
          <w:szCs w:val="22"/>
        </w:rPr>
      </w:pPr>
      <w:proofErr w:type="gramStart"/>
      <w:r w:rsidRPr="001B2921">
        <w:rPr>
          <w:sz w:val="22"/>
          <w:szCs w:val="22"/>
        </w:rPr>
        <w:t>different</w:t>
      </w:r>
      <w:proofErr w:type="gramEnd"/>
      <w:r w:rsidRPr="001B2921">
        <w:rPr>
          <w:sz w:val="22"/>
          <w:szCs w:val="22"/>
        </w:rPr>
        <w:t xml:space="preserve"> grounds of jurisdictional error can be seen as separate causes of action.</w:t>
      </w:r>
    </w:p>
    <w:p w14:paraId="590332DC" w14:textId="77777777" w:rsidR="000C2A60" w:rsidRDefault="000C2A60" w:rsidP="00F56E66">
      <w:pPr>
        <w:pStyle w:val="ParaNumbering"/>
      </w:pPr>
      <w:r>
        <w:t>The Full Court</w:t>
      </w:r>
      <w:r w:rsidR="009012BD">
        <w:t xml:space="preserve"> said, at [66]:</w:t>
      </w:r>
    </w:p>
    <w:p w14:paraId="6AC310F7" w14:textId="77777777" w:rsidR="009012BD" w:rsidRDefault="009012BD" w:rsidP="003B4804">
      <w:pPr>
        <w:pStyle w:val="Quote1"/>
      </w:pPr>
      <w:r w:rsidRPr="005D58E7">
        <w:t xml:space="preserve">We consider </w:t>
      </w:r>
      <w:r w:rsidR="004B37F9">
        <w:t xml:space="preserve">that </w:t>
      </w:r>
      <w:r w:rsidRPr="005D58E7">
        <w:t>the latter i</w:t>
      </w:r>
      <w:r w:rsidR="004B37F9">
        <w:t>s</w:t>
      </w:r>
      <w:r w:rsidRPr="005D58E7">
        <w:t xml:space="preserve"> the better view. </w:t>
      </w:r>
      <w:r w:rsidR="00DC3B0A">
        <w:t>I</w:t>
      </w:r>
      <w:r w:rsidR="005D58E7" w:rsidRPr="005D58E7">
        <w:rPr>
          <w:shd w:val="clear" w:color="auto" w:fill="FFFFFF"/>
        </w:rPr>
        <w:t>f, in a subsequent judicial review application concerning a decision previously the subject of an unsuccessful judicial review application, an applicant asserts that the decision-maker exceeded the jurisdiction conferred by the statute (</w:t>
      </w:r>
      <w:r w:rsidR="005D58E7" w:rsidRPr="005D58E7">
        <w:rPr>
          <w:i/>
          <w:iCs/>
          <w:shd w:val="clear" w:color="auto" w:fill="FFFFFF"/>
        </w:rPr>
        <w:t>MZAPC v Minister for Immigration and Border Protection</w:t>
      </w:r>
      <w:r w:rsidR="005D58E7">
        <w:rPr>
          <w:i/>
          <w:iCs/>
          <w:shd w:val="clear" w:color="auto" w:fill="FFFFFF"/>
        </w:rPr>
        <w:t xml:space="preserve"> </w:t>
      </w:r>
      <w:r w:rsidR="005D58E7" w:rsidRPr="005D58E7">
        <w:rPr>
          <w:shd w:val="clear" w:color="auto" w:fill="FFFFFF"/>
        </w:rPr>
        <w:t>[2021</w:t>
      </w:r>
      <w:r w:rsidR="004B37F9">
        <w:rPr>
          <w:shd w:val="clear" w:color="auto" w:fill="FFFFFF"/>
        </w:rPr>
        <w:t>]</w:t>
      </w:r>
      <w:r w:rsidR="005D58E7" w:rsidRPr="005D58E7">
        <w:rPr>
          <w:shd w:val="clear" w:color="auto" w:fill="FFFFFF"/>
        </w:rPr>
        <w:t xml:space="preserve"> HCA 17; 95 ALJR 441 at [29]) on a ground which, as a matter of substance, has not previously been determined, then the subsequent application is not barred by “claim” estoppel. As </w:t>
      </w:r>
      <w:proofErr w:type="spellStart"/>
      <w:r w:rsidR="005D58E7" w:rsidRPr="005D58E7">
        <w:rPr>
          <w:shd w:val="clear" w:color="auto" w:fill="FFFFFF"/>
        </w:rPr>
        <w:t>Heerey</w:t>
      </w:r>
      <w:proofErr w:type="spellEnd"/>
      <w:r w:rsidR="005D58E7" w:rsidRPr="005D58E7">
        <w:rPr>
          <w:shd w:val="clear" w:color="auto" w:fill="FFFFFF"/>
        </w:rPr>
        <w:t xml:space="preserve"> J stated in </w:t>
      </w:r>
      <w:r w:rsidR="005D58E7" w:rsidRPr="005D58E7">
        <w:rPr>
          <w:i/>
          <w:iCs/>
          <w:shd w:val="clear" w:color="auto" w:fill="FFFFFF"/>
        </w:rPr>
        <w:t>Re Ruddock </w:t>
      </w:r>
      <w:r w:rsidR="005D58E7" w:rsidRPr="005D58E7">
        <w:rPr>
          <w:shd w:val="clear" w:color="auto" w:fill="FFFFFF"/>
        </w:rPr>
        <w:t>at [48], referring to the decision of Merkel J in </w:t>
      </w:r>
      <w:proofErr w:type="spellStart"/>
      <w:r w:rsidR="005D58E7" w:rsidRPr="005D58E7">
        <w:rPr>
          <w:i/>
          <w:iCs/>
          <w:shd w:val="clear" w:color="auto" w:fill="FFFFFF"/>
        </w:rPr>
        <w:t>Somanader</w:t>
      </w:r>
      <w:proofErr w:type="spellEnd"/>
      <w:r w:rsidR="005D58E7" w:rsidRPr="005D58E7">
        <w:rPr>
          <w:i/>
          <w:iCs/>
          <w:shd w:val="clear" w:color="auto" w:fill="FFFFFF"/>
        </w:rPr>
        <w:t> </w:t>
      </w:r>
      <w:r w:rsidR="005D58E7" w:rsidRPr="005D58E7">
        <w:rPr>
          <w:shd w:val="clear" w:color="auto" w:fill="FFFFFF"/>
        </w:rPr>
        <w:t>at [52], “the question whether there is identity between the earlier cause of action and the ones raised in the proceeding said to be the subject of the plea is to be determined by matters of substance rather than the form of the particular proceeding or the way in which it is pleaded”.</w:t>
      </w:r>
    </w:p>
    <w:p w14:paraId="586EB4E9" w14:textId="77777777" w:rsidR="00090D95" w:rsidRDefault="0085334B" w:rsidP="00090D95">
      <w:pPr>
        <w:pStyle w:val="ParaNumbering"/>
      </w:pPr>
      <w:r>
        <w:t>The question th</w:t>
      </w:r>
      <w:r w:rsidR="006F43EC">
        <w:t>en</w:t>
      </w:r>
      <w:r>
        <w:t xml:space="preserve"> becomes whether </w:t>
      </w:r>
      <w:r w:rsidR="00961577">
        <w:t xml:space="preserve">Ms Pearson’s </w:t>
      </w:r>
      <w:r w:rsidR="006F43EC">
        <w:t xml:space="preserve">grounds </w:t>
      </w:r>
      <w:r w:rsidR="00961577">
        <w:t xml:space="preserve">for judicial review </w:t>
      </w:r>
      <w:r w:rsidR="006F43EC">
        <w:t xml:space="preserve">of the decision which </w:t>
      </w:r>
      <w:r w:rsidR="005B3BB7">
        <w:t>ha</w:t>
      </w:r>
      <w:r w:rsidR="003B4804">
        <w:t>ve</w:t>
      </w:r>
      <w:r w:rsidR="005B3BB7">
        <w:t xml:space="preserve"> already been the subject of judicial revie</w:t>
      </w:r>
      <w:r w:rsidR="006F43EC">
        <w:t>w</w:t>
      </w:r>
      <w:r w:rsidR="00F236B6">
        <w:t xml:space="preserve"> </w:t>
      </w:r>
      <w:r w:rsidR="00F236B6" w:rsidRPr="00F236B6">
        <w:rPr>
          <w:i/>
          <w:iCs/>
        </w:rPr>
        <w:t xml:space="preserve">could </w:t>
      </w:r>
      <w:r w:rsidR="00F236B6">
        <w:t xml:space="preserve">and </w:t>
      </w:r>
      <w:r w:rsidR="00F236B6" w:rsidRPr="00F236B6">
        <w:rPr>
          <w:i/>
          <w:iCs/>
        </w:rPr>
        <w:t xml:space="preserve">should </w:t>
      </w:r>
      <w:r w:rsidR="00F236B6">
        <w:t xml:space="preserve">have been raised in the first proceeding such that </w:t>
      </w:r>
      <w:proofErr w:type="spellStart"/>
      <w:r w:rsidR="00F236B6" w:rsidRPr="001B2921">
        <w:rPr>
          <w:i/>
        </w:rPr>
        <w:t>Anshun</w:t>
      </w:r>
      <w:proofErr w:type="spellEnd"/>
      <w:r w:rsidR="00F236B6">
        <w:t xml:space="preserve"> principles apply: </w:t>
      </w:r>
      <w:proofErr w:type="spellStart"/>
      <w:r w:rsidR="00F236B6" w:rsidRPr="000764DF">
        <w:rPr>
          <w:i/>
          <w:iCs/>
        </w:rPr>
        <w:t>Champerslife</w:t>
      </w:r>
      <w:proofErr w:type="spellEnd"/>
      <w:r w:rsidR="00F236B6" w:rsidRPr="000764DF">
        <w:rPr>
          <w:i/>
          <w:iCs/>
        </w:rPr>
        <w:t xml:space="preserve"> Pty Ltd v </w:t>
      </w:r>
      <w:proofErr w:type="spellStart"/>
      <w:r w:rsidR="00F236B6" w:rsidRPr="000764DF">
        <w:rPr>
          <w:i/>
          <w:iCs/>
        </w:rPr>
        <w:t>Manojlovski</w:t>
      </w:r>
      <w:proofErr w:type="spellEnd"/>
      <w:r w:rsidR="00F236B6" w:rsidRPr="000764DF">
        <w:t xml:space="preserve"> [2010] NSWCA 33; 75 NSWLR 245</w:t>
      </w:r>
      <w:r w:rsidR="00F236B6">
        <w:t xml:space="preserve"> at [3] per Allsop P</w:t>
      </w:r>
      <w:r w:rsidR="00686E75">
        <w:t xml:space="preserve">; </w:t>
      </w:r>
      <w:r w:rsidR="00686E75" w:rsidRPr="00686E75">
        <w:rPr>
          <w:i/>
          <w:iCs/>
        </w:rPr>
        <w:t>AIO21</w:t>
      </w:r>
      <w:r w:rsidR="00686E75">
        <w:t xml:space="preserve"> at [71].</w:t>
      </w:r>
    </w:p>
    <w:p w14:paraId="2A1F3F0A" w14:textId="79DD4507" w:rsidR="00ED400F" w:rsidRDefault="009225EB" w:rsidP="00A318BB">
      <w:pPr>
        <w:pStyle w:val="ParaNumbering"/>
        <w:rPr>
          <w:rFonts w:ascii="Arial" w:hAnsi="Arial" w:cs="Arial"/>
          <w:color w:val="000000"/>
          <w:sz w:val="27"/>
          <w:szCs w:val="27"/>
        </w:rPr>
      </w:pPr>
      <w:r>
        <w:t xml:space="preserve">It is within the statutory context that </w:t>
      </w:r>
      <w:r w:rsidR="00426D52">
        <w:t xml:space="preserve">the question of unreasonableness for the purposes of </w:t>
      </w:r>
      <w:proofErr w:type="spellStart"/>
      <w:r w:rsidR="00426D52" w:rsidRPr="001B2921">
        <w:rPr>
          <w:i/>
        </w:rPr>
        <w:t>Anshun</w:t>
      </w:r>
      <w:proofErr w:type="spellEnd"/>
      <w:r w:rsidR="00426D52">
        <w:t xml:space="preserve"> estoppel falls to be considered. Consequently, whether</w:t>
      </w:r>
      <w:r w:rsidR="00087C6A">
        <w:t xml:space="preserve"> an </w:t>
      </w:r>
      <w:proofErr w:type="spellStart"/>
      <w:r w:rsidR="00087C6A" w:rsidRPr="001B2921">
        <w:rPr>
          <w:i/>
        </w:rPr>
        <w:t>Anshun</w:t>
      </w:r>
      <w:proofErr w:type="spellEnd"/>
      <w:r w:rsidR="00087C6A">
        <w:t xml:space="preserve"> estoppel arises depends on the particular circumstances of the case: </w:t>
      </w:r>
      <w:proofErr w:type="spellStart"/>
      <w:r w:rsidR="00E43B84" w:rsidRPr="000764DF">
        <w:rPr>
          <w:i/>
          <w:iCs/>
        </w:rPr>
        <w:t>Timbercorp</w:t>
      </w:r>
      <w:proofErr w:type="spellEnd"/>
      <w:r w:rsidR="00E43B84" w:rsidRPr="000764DF">
        <w:rPr>
          <w:i/>
          <w:iCs/>
        </w:rPr>
        <w:t xml:space="preserve"> Finance Pty Ltd (in </w:t>
      </w:r>
      <w:proofErr w:type="spellStart"/>
      <w:r w:rsidR="00E43B84" w:rsidRPr="000764DF">
        <w:rPr>
          <w:i/>
          <w:iCs/>
        </w:rPr>
        <w:t>liq</w:t>
      </w:r>
      <w:proofErr w:type="spellEnd"/>
      <w:r w:rsidR="00E43B84" w:rsidRPr="000764DF">
        <w:rPr>
          <w:i/>
          <w:iCs/>
        </w:rPr>
        <w:t>) v Collins</w:t>
      </w:r>
      <w:r w:rsidR="006C486B">
        <w:t xml:space="preserve"> [2016] HCA 44</w:t>
      </w:r>
      <w:r w:rsidR="007D57CC" w:rsidRPr="000764DF">
        <w:t xml:space="preserve">; 259 </w:t>
      </w:r>
      <w:r w:rsidR="00E419A6" w:rsidRPr="000764DF">
        <w:t>CLR 212</w:t>
      </w:r>
      <w:r w:rsidR="00E419A6">
        <w:t xml:space="preserve"> </w:t>
      </w:r>
      <w:r w:rsidR="007D57CC">
        <w:t>at</w:t>
      </w:r>
      <w:r w:rsidR="00087C6A">
        <w:t xml:space="preserve"> [111] per Gordon J</w:t>
      </w:r>
      <w:r w:rsidR="003511B9">
        <w:t xml:space="preserve">. </w:t>
      </w:r>
      <w:r w:rsidR="00090D95">
        <w:t xml:space="preserve">In </w:t>
      </w:r>
      <w:r w:rsidR="00090D95" w:rsidRPr="000764DF">
        <w:rPr>
          <w:i/>
          <w:iCs/>
        </w:rPr>
        <w:t xml:space="preserve">BC v Minister for Immigration </w:t>
      </w:r>
      <w:r w:rsidR="00090D95" w:rsidRPr="000764DF">
        <w:rPr>
          <w:i/>
          <w:iCs/>
        </w:rPr>
        <w:lastRenderedPageBreak/>
        <w:t xml:space="preserve">and </w:t>
      </w:r>
      <w:r w:rsidR="00ED400F" w:rsidRPr="000764DF">
        <w:rPr>
          <w:i/>
          <w:iCs/>
        </w:rPr>
        <w:t>Multicultural and Indigenous Affairs</w:t>
      </w:r>
      <w:r w:rsidR="00ED400F" w:rsidRPr="000764DF">
        <w:t xml:space="preserve"> [</w:t>
      </w:r>
      <w:r w:rsidR="004B37F9" w:rsidRPr="000764DF">
        <w:t>2001</w:t>
      </w:r>
      <w:r w:rsidR="00ED400F" w:rsidRPr="000764DF">
        <w:t xml:space="preserve">] FCA </w:t>
      </w:r>
      <w:r w:rsidR="004B37F9" w:rsidRPr="000764DF">
        <w:t>1669; 67 ALD 60</w:t>
      </w:r>
      <w:r w:rsidR="00ED400F">
        <w:t>, Sackville J said, at [26]:</w:t>
      </w:r>
    </w:p>
    <w:p w14:paraId="0BC227CC" w14:textId="77777777" w:rsidR="003511B9" w:rsidRPr="00ED400F" w:rsidRDefault="003511B9" w:rsidP="003B4804">
      <w:pPr>
        <w:pStyle w:val="Quote1"/>
      </w:pPr>
      <w:r w:rsidRPr="00ED400F">
        <w:t>The authorities emphasise that the </w:t>
      </w:r>
      <w:proofErr w:type="spellStart"/>
      <w:r w:rsidRPr="00ED400F">
        <w:rPr>
          <w:i/>
          <w:iCs/>
        </w:rPr>
        <w:t>Anshun</w:t>
      </w:r>
      <w:proofErr w:type="spellEnd"/>
      <w:r w:rsidRPr="00ED400F">
        <w:t> principle, since it shuts out a litigant from pursuing a cause of action, should be applied only after a “scrupulous examination of all the circumstances”: </w:t>
      </w:r>
      <w:r w:rsidRPr="00ED400F">
        <w:rPr>
          <w:i/>
          <w:iCs/>
        </w:rPr>
        <w:t>Bryant v Commonwealth Bank</w:t>
      </w:r>
      <w:r w:rsidRPr="00ED400F">
        <w:t> at FCR</w:t>
      </w:r>
      <w:r w:rsidR="00F171AA">
        <w:t xml:space="preserve"> 296; ALR 138, </w:t>
      </w:r>
      <w:r w:rsidRPr="00ED400F">
        <w:t>citing </w:t>
      </w:r>
      <w:proofErr w:type="spellStart"/>
      <w:r w:rsidRPr="00ED400F">
        <w:rPr>
          <w:i/>
          <w:iCs/>
        </w:rPr>
        <w:t>Yat</w:t>
      </w:r>
      <w:proofErr w:type="spellEnd"/>
      <w:r w:rsidRPr="00ED400F">
        <w:rPr>
          <w:i/>
          <w:iCs/>
        </w:rPr>
        <w:t xml:space="preserve"> Tung Investment Co Ltd v Dao </w:t>
      </w:r>
      <w:proofErr w:type="spellStart"/>
      <w:r w:rsidRPr="00ED400F">
        <w:rPr>
          <w:i/>
          <w:iCs/>
        </w:rPr>
        <w:t>Heng</w:t>
      </w:r>
      <w:proofErr w:type="spellEnd"/>
      <w:r w:rsidRPr="00ED400F">
        <w:rPr>
          <w:i/>
          <w:iCs/>
        </w:rPr>
        <w:t xml:space="preserve"> Bank Ltd</w:t>
      </w:r>
      <w:r w:rsidRPr="00ED400F">
        <w:t> </w:t>
      </w:r>
      <w:r w:rsidR="00F171AA">
        <w:t xml:space="preserve">[1975] AC 581 </w:t>
      </w:r>
      <w:r w:rsidRPr="00ED400F">
        <w:t>at 590; </w:t>
      </w:r>
      <w:r w:rsidRPr="00ED400F">
        <w:rPr>
          <w:i/>
          <w:iCs/>
        </w:rPr>
        <w:t>Ling v Commonwealth</w:t>
      </w:r>
      <w:r w:rsidR="00F171AA">
        <w:t xml:space="preserve"> (1996) 68 FCR 180</w:t>
      </w:r>
      <w:proofErr w:type="gramStart"/>
      <w:r w:rsidRPr="00ED400F">
        <w:t>  at</w:t>
      </w:r>
      <w:proofErr w:type="gramEnd"/>
      <w:r w:rsidRPr="00ED400F">
        <w:t xml:space="preserve"> 182;</w:t>
      </w:r>
      <w:r w:rsidR="00A91390" w:rsidRPr="00A91390">
        <w:t xml:space="preserve"> </w:t>
      </w:r>
      <w:r w:rsidR="006375C2">
        <w:t xml:space="preserve">139 ALR 159 </w:t>
      </w:r>
      <w:r w:rsidRPr="00ED400F">
        <w:t>at 160, per Wilcox J; </w:t>
      </w:r>
      <w:r w:rsidRPr="00ED400F">
        <w:rPr>
          <w:i/>
          <w:iCs/>
        </w:rPr>
        <w:t xml:space="preserve">Gibbs v </w:t>
      </w:r>
      <w:proofErr w:type="spellStart"/>
      <w:r w:rsidRPr="00ED400F">
        <w:rPr>
          <w:i/>
          <w:iCs/>
        </w:rPr>
        <w:t>Kinna</w:t>
      </w:r>
      <w:proofErr w:type="spellEnd"/>
      <w:r w:rsidRPr="00ED400F">
        <w:t> at 29, per Kenny JA. Moreover, the </w:t>
      </w:r>
      <w:proofErr w:type="spellStart"/>
      <w:r w:rsidRPr="00ED400F">
        <w:rPr>
          <w:i/>
          <w:iCs/>
        </w:rPr>
        <w:t>Anshun</w:t>
      </w:r>
      <w:proofErr w:type="spellEnd"/>
      <w:r w:rsidRPr="00ED400F">
        <w:t> principle is subject to the “special circumstances” exception. In </w:t>
      </w:r>
      <w:r w:rsidRPr="00ED400F">
        <w:rPr>
          <w:i/>
          <w:iCs/>
        </w:rPr>
        <w:t>Bryant v Commonwealth Bank</w:t>
      </w:r>
      <w:r w:rsidRPr="00ED400F">
        <w:t>, the Full Court seemed to accept (at FCR 296, 298</w:t>
      </w:r>
      <w:r w:rsidR="006375C2">
        <w:t>-9; ALR 138</w:t>
      </w:r>
      <w:r w:rsidRPr="00ED400F">
        <w:t>, 140–1) that the exception:</w:t>
      </w:r>
    </w:p>
    <w:p w14:paraId="327D6353" w14:textId="77777777" w:rsidR="004B37F9" w:rsidRPr="00ED400F" w:rsidRDefault="003511B9" w:rsidP="004B37F9">
      <w:pPr>
        <w:pStyle w:val="Quote2"/>
      </w:pPr>
      <w:r w:rsidRPr="00ED400F">
        <w:t xml:space="preserve">... </w:t>
      </w:r>
      <w:proofErr w:type="gramStart"/>
      <w:r w:rsidRPr="00ED400F">
        <w:t>comprehend[</w:t>
      </w:r>
      <w:proofErr w:type="gramEnd"/>
      <w:r w:rsidRPr="00ED400F">
        <w:t>s] situations where, for broad discretionary considerations related to notions of justice, [the principle] should not be applied with full rigour.</w:t>
      </w:r>
    </w:p>
    <w:p w14:paraId="0F58330F" w14:textId="77777777" w:rsidR="009225EB" w:rsidRPr="00950DCF" w:rsidRDefault="006375C2" w:rsidP="00F56E66">
      <w:pPr>
        <w:pStyle w:val="ParaNumbering"/>
        <w:rPr>
          <w:i/>
          <w:iCs/>
        </w:rPr>
      </w:pPr>
      <w:r>
        <w:t xml:space="preserve">In the present circumstances </w:t>
      </w:r>
      <w:r w:rsidR="00A77582">
        <w:t xml:space="preserve">such as those facing Ms Pearson where she is facing deportation and the possibility </w:t>
      </w:r>
      <w:r w:rsidR="00A62A8F">
        <w:t>of being prevented from</w:t>
      </w:r>
      <w:r w:rsidR="00B816B3">
        <w:t xml:space="preserve"> ever</w:t>
      </w:r>
      <w:r w:rsidR="00A62A8F">
        <w:t xml:space="preserve"> returning to Australia in the future</w:t>
      </w:r>
      <w:r w:rsidR="007B7967">
        <w:t xml:space="preserve">, a conclusion that she </w:t>
      </w:r>
      <w:r w:rsidR="007B7967" w:rsidRPr="007B7967">
        <w:rPr>
          <w:i/>
          <w:iCs/>
        </w:rPr>
        <w:t>should</w:t>
      </w:r>
      <w:r w:rsidR="007B7967">
        <w:t xml:space="preserve"> have raised </w:t>
      </w:r>
      <w:r w:rsidR="007F5500">
        <w:t xml:space="preserve">the new grounds of judicial review in her previous application is not one that should be lightly drawn. </w:t>
      </w:r>
      <w:r w:rsidR="003B4804">
        <w:t>There was</w:t>
      </w:r>
      <w:r w:rsidR="00B816B3">
        <w:t>,</w:t>
      </w:r>
      <w:r w:rsidR="003B4804">
        <w:t xml:space="preserve"> at some point</w:t>
      </w:r>
      <w:r w:rsidR="00B816B3">
        <w:t>,</w:t>
      </w:r>
      <w:r w:rsidR="003B4804">
        <w:t xml:space="preserve"> knowledge available as to the arguments raised and questions decided in </w:t>
      </w:r>
      <w:r w:rsidR="003B4804" w:rsidRPr="003B4804">
        <w:rPr>
          <w:i/>
        </w:rPr>
        <w:t>Stewart</w:t>
      </w:r>
      <w:r w:rsidR="003B4804">
        <w:t xml:space="preserve">, </w:t>
      </w:r>
      <w:r w:rsidR="003B4804" w:rsidRPr="003B4804">
        <w:rPr>
          <w:i/>
        </w:rPr>
        <w:t>EPL20</w:t>
      </w:r>
      <w:r w:rsidR="003B4804">
        <w:t xml:space="preserve">, </w:t>
      </w:r>
      <w:r w:rsidR="003B4804" w:rsidRPr="003B4804">
        <w:rPr>
          <w:i/>
        </w:rPr>
        <w:t>EFX17</w:t>
      </w:r>
      <w:r w:rsidR="003B4804">
        <w:t xml:space="preserve"> and </w:t>
      </w:r>
      <w:proofErr w:type="spellStart"/>
      <w:r w:rsidR="003B4804" w:rsidRPr="003B4804">
        <w:rPr>
          <w:i/>
        </w:rPr>
        <w:t>Sillars</w:t>
      </w:r>
      <w:proofErr w:type="spellEnd"/>
      <w:r w:rsidR="003B4804">
        <w:t xml:space="preserve"> when Ms Pearson’s case was being argued. If the matter were not of the character this is: the loss of a right to reside (likely forever) in this country, of such human importance to Ms Pearson, it may be that “should” would encompass such oversight by pro bono counsel as there was. But the matter </w:t>
      </w:r>
      <w:r w:rsidR="00B816B3">
        <w:t>does have</w:t>
      </w:r>
      <w:r w:rsidR="003B4804">
        <w:t xml:space="preserve"> that character. The notions of vindication of justice derived from the interpretation of a complex</w:t>
      </w:r>
      <w:r w:rsidR="00472294">
        <w:t>ly worded</w:t>
      </w:r>
      <w:r w:rsidR="003B4804">
        <w:t xml:space="preserve"> statute </w:t>
      </w:r>
      <w:r w:rsidR="00B816B3">
        <w:t xml:space="preserve">may </w:t>
      </w:r>
      <w:r w:rsidR="003B4804">
        <w:t xml:space="preserve">make this, in the circumstances, a case within the “special circumstances” exception to the principle. In any event, </w:t>
      </w:r>
      <w:r w:rsidR="00B816B3">
        <w:t xml:space="preserve">there has been no investigation of the circumstances that might explain why the point was not raised. There has been no scrupulous examination of all the circumstances. </w:t>
      </w:r>
      <w:r w:rsidR="005C7836">
        <w:t>In these circumstances t</w:t>
      </w:r>
      <w:r w:rsidR="005C71AB" w:rsidRPr="003B4804">
        <w:t>he</w:t>
      </w:r>
      <w:r w:rsidR="005C71AB">
        <w:t xml:space="preserve"> Minister has not discharged the </w:t>
      </w:r>
      <w:proofErr w:type="gramStart"/>
      <w:r w:rsidR="005C71AB">
        <w:t>onus, that</w:t>
      </w:r>
      <w:proofErr w:type="gramEnd"/>
      <w:r w:rsidR="005C71AB">
        <w:t xml:space="preserve"> was on him, of establishing the factual basis</w:t>
      </w:r>
      <w:r w:rsidR="00950DCF">
        <w:t xml:space="preserve"> for the operation of the </w:t>
      </w:r>
      <w:proofErr w:type="spellStart"/>
      <w:r w:rsidR="00950DCF" w:rsidRPr="001B2921">
        <w:rPr>
          <w:i/>
        </w:rPr>
        <w:t>Anshun</w:t>
      </w:r>
      <w:proofErr w:type="spellEnd"/>
      <w:r w:rsidR="00950DCF">
        <w:t xml:space="preserve"> estoppel.</w:t>
      </w:r>
    </w:p>
    <w:p w14:paraId="45AB7A00" w14:textId="77777777" w:rsidR="00950DCF" w:rsidRPr="007B7967" w:rsidRDefault="003E2A07" w:rsidP="003E2A07">
      <w:pPr>
        <w:pStyle w:val="Heading2"/>
        <w:rPr>
          <w:i/>
          <w:iCs/>
        </w:rPr>
      </w:pPr>
      <w:r>
        <w:t>Disposition</w:t>
      </w:r>
      <w:r w:rsidR="00B816B3">
        <w:t xml:space="preserve"> and orders</w:t>
      </w:r>
    </w:p>
    <w:p w14:paraId="5E742AA3" w14:textId="77777777" w:rsidR="00295484" w:rsidRPr="00B816B3" w:rsidRDefault="0028583D" w:rsidP="00F56E66">
      <w:pPr>
        <w:pStyle w:val="ParaNumbering"/>
      </w:pPr>
      <w:r>
        <w:t xml:space="preserve">For these reasons, Ms Pearson’s application </w:t>
      </w:r>
      <w:r w:rsidR="00B300A7">
        <w:t>succeeds on ground three. Grounds one and two must be dismissed.</w:t>
      </w:r>
    </w:p>
    <w:p w14:paraId="2994AAD9" w14:textId="77777777" w:rsidR="00B816B3" w:rsidRPr="006D51A4" w:rsidRDefault="00B816B3" w:rsidP="00F56E66">
      <w:pPr>
        <w:pStyle w:val="ParaNumbering"/>
        <w:rPr>
          <w:i/>
          <w:iCs/>
        </w:rPr>
      </w:pPr>
      <w:r>
        <w:t xml:space="preserve">The Minister accepts that the Court has jurisdiction to make a declaration as to the delegate’s decision notwithstanding the terms of s 476 of the </w:t>
      </w:r>
      <w:r>
        <w:rPr>
          <w:i/>
        </w:rPr>
        <w:t>Migration Act</w:t>
      </w:r>
      <w:r>
        <w:t xml:space="preserve">. That acceptance was based on </w:t>
      </w:r>
      <w:r w:rsidRPr="000764DF">
        <w:rPr>
          <w:i/>
        </w:rPr>
        <w:t xml:space="preserve">XJLR v Minister for Immigration, Citizenship, Migrant Service and Multicultural Affairs </w:t>
      </w:r>
      <w:r w:rsidR="00226B52" w:rsidRPr="000764DF">
        <w:t>[2022] FCAFC 6</w:t>
      </w:r>
      <w:r w:rsidR="00126CA0" w:rsidRPr="000764DF">
        <w:t>; 289 FCR 256</w:t>
      </w:r>
      <w:r w:rsidR="00226B52">
        <w:t xml:space="preserve"> at [79]-[87] (Rares J) and [95]-[96] (Yates J), to which no </w:t>
      </w:r>
      <w:r w:rsidR="00226B52">
        <w:lastRenderedPageBreak/>
        <w:t>challenge was made.</w:t>
      </w:r>
      <w:r w:rsidR="005C7836">
        <w:t xml:space="preserve"> In these circumstances, the first duty of the Court to satisfy itself of its jurisdiction is satisfied by following a decision of a Full Court not on its face doubtful and not said by the Minister through experienced counsel to be wrong.</w:t>
      </w:r>
    </w:p>
    <w:p w14:paraId="476B156F" w14:textId="77777777" w:rsidR="006D51A4" w:rsidRPr="003057E8" w:rsidRDefault="00B816B3" w:rsidP="00F56E66">
      <w:pPr>
        <w:pStyle w:val="ParaNumbering"/>
        <w:rPr>
          <w:i/>
          <w:iCs/>
        </w:rPr>
      </w:pPr>
      <w:r>
        <w:t xml:space="preserve">As to orders, the parties should bring in short minutes as to orders, including as to costs in the light of the fact that </w:t>
      </w:r>
      <w:r w:rsidR="006D51A4">
        <w:t>both parties have had some success.</w:t>
      </w:r>
    </w:p>
    <w:p w14:paraId="72220B8D" w14:textId="77777777" w:rsidR="00D46F6E" w:rsidRDefault="00D46F6E" w:rsidP="00815065">
      <w:pPr>
        <w:pStyle w:val="BodyText"/>
      </w:pPr>
      <w:bookmarkStart w:id="20" w:name="Certification"/>
    </w:p>
    <w:tbl>
      <w:tblPr>
        <w:tblW w:w="0" w:type="auto"/>
        <w:tblLook w:val="04A0" w:firstRow="1" w:lastRow="0" w:firstColumn="1" w:lastColumn="0" w:noHBand="0" w:noVBand="1"/>
      </w:tblPr>
      <w:tblGrid>
        <w:gridCol w:w="3794"/>
      </w:tblGrid>
      <w:tr w:rsidR="00D46F6E" w:rsidRPr="00D46F6E" w14:paraId="7BD8409E" w14:textId="77777777">
        <w:tc>
          <w:tcPr>
            <w:tcW w:w="3794" w:type="dxa"/>
            <w:shd w:val="clear" w:color="auto" w:fill="auto"/>
          </w:tcPr>
          <w:p w14:paraId="1F222453" w14:textId="77777777" w:rsidR="00D46F6E" w:rsidRPr="00D46F6E" w:rsidRDefault="00D46F6E" w:rsidP="00D46F6E">
            <w:pPr>
              <w:pStyle w:val="Normal1linespace"/>
            </w:pPr>
            <w:r w:rsidRPr="00D46F6E">
              <w:t xml:space="preserve">I certify that the preceding </w:t>
            </w:r>
            <w:bookmarkStart w:id="21" w:name="NumberWord"/>
            <w:r>
              <w:t>fifty-eight</w:t>
            </w:r>
            <w:bookmarkEnd w:id="21"/>
            <w:r w:rsidRPr="00D46F6E">
              <w:t xml:space="preserve"> (</w:t>
            </w:r>
            <w:bookmarkStart w:id="22" w:name="NumberNumeral"/>
            <w:r>
              <w:t>58</w:t>
            </w:r>
            <w:bookmarkEnd w:id="22"/>
            <w:r w:rsidRPr="00D46F6E">
              <w:t xml:space="preserve">) numbered </w:t>
            </w:r>
            <w:bookmarkStart w:id="23" w:name="CertPara"/>
            <w:r>
              <w:t>paragraphs are</w:t>
            </w:r>
            <w:bookmarkEnd w:id="23"/>
            <w:r w:rsidRPr="00D46F6E">
              <w:t xml:space="preserve"> a true copy of the Reasons for Judgment of </w:t>
            </w:r>
            <w:bookmarkStart w:id="24" w:name="bkHonourable"/>
            <w:r w:rsidRPr="00D46F6E">
              <w:t>the Honourable</w:t>
            </w:r>
            <w:r>
              <w:t xml:space="preserve"> Chief Justice Allsop and</w:t>
            </w:r>
            <w:r w:rsidRPr="00D46F6E">
              <w:t xml:space="preserve"> </w:t>
            </w:r>
            <w:bookmarkStart w:id="25" w:name="Justice"/>
            <w:bookmarkEnd w:id="24"/>
            <w:r>
              <w:t>Justices Rangiah and Sarah C Derrington</w:t>
            </w:r>
            <w:bookmarkEnd w:id="25"/>
            <w:r w:rsidRPr="00D46F6E">
              <w:t>.</w:t>
            </w:r>
          </w:p>
        </w:tc>
      </w:tr>
    </w:tbl>
    <w:p w14:paraId="3233DDA4" w14:textId="77777777" w:rsidR="00D46F6E" w:rsidRDefault="00D46F6E" w:rsidP="00815065">
      <w:pPr>
        <w:pStyle w:val="BodyText"/>
      </w:pPr>
    </w:p>
    <w:p w14:paraId="0ACABA51" w14:textId="77777777" w:rsidR="00D46F6E" w:rsidRDefault="00D46F6E" w:rsidP="00815065">
      <w:pPr>
        <w:pStyle w:val="BodyText"/>
      </w:pPr>
    </w:p>
    <w:p w14:paraId="1E5A71D2" w14:textId="77777777" w:rsidR="00D46F6E" w:rsidRDefault="00D46F6E" w:rsidP="00815065">
      <w:pPr>
        <w:pStyle w:val="BodyText"/>
      </w:pPr>
    </w:p>
    <w:p w14:paraId="0ECD4834" w14:textId="264A0432" w:rsidR="00D46F6E" w:rsidRDefault="00D46F6E" w:rsidP="00815065">
      <w:pPr>
        <w:pStyle w:val="BodyText"/>
      </w:pPr>
      <w:r>
        <w:t>Associate:</w:t>
      </w:r>
      <w:r w:rsidR="00E05A2B">
        <w:t xml:space="preserve"> </w:t>
      </w:r>
      <w:bookmarkStart w:id="26" w:name="_GoBack"/>
      <w:bookmarkEnd w:id="26"/>
    </w:p>
    <w:p w14:paraId="7457AE3B" w14:textId="77777777" w:rsidR="00D46F6E" w:rsidRDefault="00D46F6E" w:rsidP="00815065">
      <w:pPr>
        <w:pStyle w:val="BodyText"/>
      </w:pPr>
    </w:p>
    <w:p w14:paraId="62C4083D" w14:textId="77777777" w:rsidR="00D46F6E" w:rsidRDefault="00D46F6E" w:rsidP="00815065">
      <w:pPr>
        <w:pStyle w:val="BodyText"/>
        <w:tabs>
          <w:tab w:val="left" w:pos="1134"/>
        </w:tabs>
      </w:pPr>
      <w:r>
        <w:t>Dated:</w:t>
      </w:r>
      <w:r>
        <w:tab/>
      </w:r>
      <w:bookmarkStart w:id="27" w:name="CertifyDated"/>
      <w:r>
        <w:t>22 December 2022</w:t>
      </w:r>
      <w:bookmarkEnd w:id="27"/>
    </w:p>
    <w:p w14:paraId="157D0147" w14:textId="77777777" w:rsidR="00D46F6E" w:rsidRDefault="00D46F6E" w:rsidP="00815065">
      <w:pPr>
        <w:pStyle w:val="BodyText"/>
      </w:pPr>
    </w:p>
    <w:bookmarkEnd w:id="20"/>
    <w:p w14:paraId="77A6B098" w14:textId="77777777" w:rsidR="003057E8" w:rsidRPr="007B7967" w:rsidRDefault="003057E8" w:rsidP="00D46F6E">
      <w:pPr>
        <w:pStyle w:val="BodyText"/>
      </w:pPr>
    </w:p>
    <w:sectPr w:rsidR="003057E8" w:rsidRPr="007B7967" w:rsidSect="00A84FD0">
      <w:headerReference w:type="even" r:id="rId22"/>
      <w:headerReference w:type="default" r:id="rId23"/>
      <w:footerReference w:type="default" r:id="rId24"/>
      <w:headerReference w:type="first" r:id="rId25"/>
      <w:footerReference w:type="first" r:id="rId26"/>
      <w:endnotePr>
        <w:numFmt w:val="decimal"/>
      </w:endnotePr>
      <w:pgSz w:w="11907" w:h="16840" w:code="9"/>
      <w:pgMar w:top="1440" w:right="1440" w:bottom="1440" w:left="1440" w:header="851" w:footer="851" w:gutter="0"/>
      <w:pgNumType w:start="1"/>
      <w:cols w:space="720"/>
      <w:noEndnote/>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DA8FD" w16cex:dateUtc="2022-12-21T05:47:00Z"/>
  <w16cex:commentExtensible w16cex:durableId="274DA857" w16cex:dateUtc="2022-12-21T05: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8E452D" w16cid:durableId="274DA8FD"/>
  <w16cid:commentId w16cid:paraId="52244EE2" w16cid:durableId="274DA782"/>
  <w16cid:commentId w16cid:paraId="4475334F" w16cid:durableId="274DA857"/>
  <w16cid:commentId w16cid:paraId="54BBF4FF" w16cid:durableId="274DA78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B476A" w14:textId="77777777" w:rsidR="0092634B" w:rsidRDefault="0092634B">
      <w:pPr>
        <w:spacing w:line="20" w:lineRule="exact"/>
      </w:pPr>
    </w:p>
    <w:p w14:paraId="0CEF8DA5" w14:textId="77777777" w:rsidR="0092634B" w:rsidRDefault="0092634B"/>
    <w:p w14:paraId="5D19A824" w14:textId="77777777" w:rsidR="0092634B" w:rsidRDefault="0092634B"/>
  </w:endnote>
  <w:endnote w:type="continuationSeparator" w:id="0">
    <w:p w14:paraId="07FDB960" w14:textId="77777777" w:rsidR="0092634B" w:rsidRDefault="0092634B">
      <w:r>
        <w:t xml:space="preserve"> </w:t>
      </w:r>
    </w:p>
    <w:p w14:paraId="2BBD485B" w14:textId="77777777" w:rsidR="0092634B" w:rsidRDefault="0092634B"/>
    <w:p w14:paraId="178D928B" w14:textId="77777777" w:rsidR="0092634B" w:rsidRDefault="0092634B"/>
  </w:endnote>
  <w:endnote w:type="continuationNotice" w:id="1">
    <w:p w14:paraId="62FF7C3F" w14:textId="77777777" w:rsidR="0092634B" w:rsidRDefault="0092634B">
      <w:r>
        <w:t xml:space="preserve"> </w:t>
      </w:r>
    </w:p>
    <w:p w14:paraId="7E4E6269" w14:textId="77777777" w:rsidR="0092634B" w:rsidRDefault="0092634B"/>
    <w:p w14:paraId="20225B12" w14:textId="77777777" w:rsidR="0092634B" w:rsidRDefault="009263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Malgun Gothic Semilight"/>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3A9E0" w14:textId="77777777" w:rsidR="000764DF" w:rsidRDefault="000764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A7022" w14:textId="77777777" w:rsidR="00A318BB" w:rsidRPr="00C47B9D" w:rsidRDefault="00A318BB"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8240" behindDoc="0" locked="0" layoutInCell="1" allowOverlap="1" wp14:anchorId="371D3635" wp14:editId="76B550D0">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34344BD" id="Straight Connector 5"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sidR="007C3D8A">
          <w:rPr>
            <w:bCs/>
            <w:sz w:val="18"/>
            <w:szCs w:val="18"/>
          </w:rPr>
          <w:t xml:space="preserve"> Pearson v Minister for Home Affairs [2022] FCAFC 203  </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300BC" w14:textId="77777777" w:rsidR="00A318BB" w:rsidRPr="000764DF" w:rsidRDefault="00A318BB" w:rsidP="000764D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2BF2F" w14:textId="77777777" w:rsidR="00A318BB" w:rsidRPr="00C47B9D" w:rsidRDefault="00A318BB"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8242" behindDoc="0" locked="0" layoutInCell="1" allowOverlap="1" wp14:anchorId="24EA394B" wp14:editId="48A4C44B">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CCF7C30" id="Straight Connector 6"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4D47C0B8F1C84AF2A52E230F3F3BBA59"/>
        </w:placeholder>
        <w:dataBinding w:prefixMappings="xmlns:ns0='http://schemas.globalmacros.com/FCA'" w:xpath="/ns0:root[1]/ns0:Name[1]" w:storeItemID="{687E7CCB-4AA5-44E7-B148-17BA2B6F57C0}"/>
        <w:text w:multiLine="1"/>
      </w:sdtPr>
      <w:sdtEndPr/>
      <w:sdtContent>
        <w:r w:rsidR="007C3D8A">
          <w:rPr>
            <w:bCs/>
            <w:sz w:val="18"/>
            <w:szCs w:val="18"/>
          </w:rPr>
          <w:t xml:space="preserve"> Pearson v Minister for Home Affairs [2022] FCAFC 203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sz w:val="20"/>
      </w:rPr>
      <w:t>ii</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742BC" w14:textId="219E7A7F" w:rsidR="00A318BB" w:rsidRPr="00C47B9D" w:rsidRDefault="00A318BB"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8241" behindDoc="0" locked="0" layoutInCell="1" allowOverlap="1" wp14:anchorId="740B471C" wp14:editId="6FB40384">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39DD0D" id="Straight Connector 2"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242143D9DAAD49C7AF39E3BAA2480D8A"/>
        </w:placeholder>
        <w:dataBinding w:prefixMappings="xmlns:ns0='http://schemas.globalmacros.com/FCA'" w:xpath="/ns0:root[1]/ns0:Name[1]" w:storeItemID="{687E7CCB-4AA5-44E7-B148-17BA2B6F57C0}"/>
        <w:text w:multiLine="1"/>
      </w:sdtPr>
      <w:sdtEndPr/>
      <w:sdtContent>
        <w:r w:rsidR="007C3D8A">
          <w:rPr>
            <w:bCs/>
            <w:sz w:val="18"/>
            <w:szCs w:val="18"/>
          </w:rPr>
          <w:t xml:space="preserve"> Pearson v Minister for Home Affairs [2022] FCAFC 203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0E4CCC">
      <w:rPr>
        <w:bCs/>
        <w:noProof/>
        <w:sz w:val="20"/>
      </w:rPr>
      <w:t>i</w:t>
    </w:r>
    <w:r w:rsidRPr="00EA7F6D">
      <w:rPr>
        <w:bCs/>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13C73" w14:textId="772DC52C" w:rsidR="00A318BB" w:rsidRPr="00C47B9D" w:rsidRDefault="00A318BB"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8244" behindDoc="0" locked="0" layoutInCell="1" allowOverlap="1" wp14:anchorId="67F7D304" wp14:editId="2967283B">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1826771" id="Straight Connector 7" o:spid="_x0000_s1026" style="position:absolute;z-index:251658244;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9394D8C303744764A29A2FC83B0348A5"/>
        </w:placeholder>
        <w:dataBinding w:prefixMappings="xmlns:ns0='http://schemas.globalmacros.com/FCA'" w:xpath="/ns0:root[1]/ns0:Name[1]" w:storeItemID="{687E7CCB-4AA5-44E7-B148-17BA2B6F57C0}"/>
        <w:text w:multiLine="1"/>
      </w:sdtPr>
      <w:sdtEndPr/>
      <w:sdtContent>
        <w:r w:rsidR="007C3D8A">
          <w:rPr>
            <w:bCs/>
            <w:sz w:val="18"/>
            <w:szCs w:val="18"/>
          </w:rPr>
          <w:t xml:space="preserve"> Pearson v Minister for Home Affairs [2022] FCAFC 203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0E4CCC">
      <w:rPr>
        <w:bCs/>
        <w:noProof/>
        <w:sz w:val="20"/>
      </w:rPr>
      <w:t>17</w:t>
    </w:r>
    <w:r w:rsidRPr="00EA7F6D">
      <w:rPr>
        <w:bCs/>
        <w:noProof/>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0C87F" w14:textId="7134430E" w:rsidR="00A318BB" w:rsidRPr="00C47B9D" w:rsidRDefault="00A318BB"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8243" behindDoc="0" locked="0" layoutInCell="1" allowOverlap="1" wp14:anchorId="757F28DC" wp14:editId="2A4F806D">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B71F3C5" id="Straight Connector 3" o:spid="_x0000_s1026" style="position:absolute;z-index:251658243;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25AC61586B7A42978AF437155292A16A"/>
        </w:placeholder>
        <w:dataBinding w:prefixMappings="xmlns:ns0='http://schemas.globalmacros.com/FCA'" w:xpath="/ns0:root[1]/ns0:Name[1]" w:storeItemID="{687E7CCB-4AA5-44E7-B148-17BA2B6F57C0}"/>
        <w:text w:multiLine="1"/>
      </w:sdtPr>
      <w:sdtEndPr/>
      <w:sdtContent>
        <w:r w:rsidR="007C3D8A">
          <w:rPr>
            <w:bCs/>
            <w:sz w:val="18"/>
            <w:szCs w:val="18"/>
          </w:rPr>
          <w:t xml:space="preserve"> Pearson v Minister for Home Affairs [2022] FCAFC 203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0E4CCC">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434A6" w14:textId="77777777" w:rsidR="0092634B" w:rsidRDefault="0092634B"/>
  </w:footnote>
  <w:footnote w:type="continuationSeparator" w:id="0">
    <w:p w14:paraId="45EA9251" w14:textId="77777777" w:rsidR="0092634B" w:rsidRDefault="0092634B">
      <w:r>
        <w:continuationSeparator/>
      </w:r>
    </w:p>
    <w:p w14:paraId="52FC0EE8" w14:textId="77777777" w:rsidR="0092634B" w:rsidRDefault="0092634B"/>
    <w:p w14:paraId="2AD4C02F" w14:textId="77777777" w:rsidR="0092634B" w:rsidRDefault="0092634B"/>
  </w:footnote>
  <w:footnote w:type="continuationNotice" w:id="1">
    <w:p w14:paraId="583A749C" w14:textId="77777777" w:rsidR="0092634B" w:rsidRDefault="0092634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53857" w14:textId="77777777" w:rsidR="000764DF" w:rsidRDefault="000764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2B58D" w14:textId="77777777" w:rsidR="000764DF" w:rsidRDefault="000764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2F92F" w14:textId="77777777" w:rsidR="000764DF" w:rsidRDefault="000764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3DEFB" w14:textId="77777777" w:rsidR="00A318BB" w:rsidRDefault="00A318BB">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37AFB" w14:textId="77777777" w:rsidR="00A318BB" w:rsidRDefault="00A318BB">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03DDB" w14:textId="77777777" w:rsidR="00A318BB" w:rsidRDefault="00A318BB"/>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9EAD4" w14:textId="77777777" w:rsidR="00A318BB" w:rsidRDefault="00A318BB">
    <w:pPr>
      <w:tabs>
        <w:tab w:val="center" w:pos="4512"/>
      </w:tabs>
      <w:suppressAutoHyphens/>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56058" w14:textId="77777777" w:rsidR="00A318BB" w:rsidRDefault="00A318BB"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1440"/>
        </w:tabs>
        <w:ind w:left="1440" w:hanging="720"/>
      </w:pPr>
      <w:rPr>
        <w:rFonts w:ascii="Times New Roman" w:hAnsi="Times New Roman" w:hint="default"/>
      </w:rPr>
    </w:lvl>
    <w:lvl w:ilvl="1">
      <w:start w:val="1"/>
      <w:numFmt w:val="lowerRoman"/>
      <w:pStyle w:val="ListNo2alt"/>
      <w:lvlText w:val="(%2)"/>
      <w:lvlJc w:val="left"/>
      <w:pPr>
        <w:tabs>
          <w:tab w:val="num" w:pos="2160"/>
        </w:tabs>
        <w:ind w:left="2160" w:hanging="720"/>
      </w:pPr>
      <w:rPr>
        <w:rFonts w:hint="default"/>
      </w:rPr>
    </w:lvl>
    <w:lvl w:ilvl="2">
      <w:start w:val="1"/>
      <w:numFmt w:val="upperLetter"/>
      <w:pStyle w:val="ListNo3alt"/>
      <w:lvlText w:val="(%3)"/>
      <w:lvlJc w:val="left"/>
      <w:pPr>
        <w:tabs>
          <w:tab w:val="num" w:pos="2880"/>
        </w:tabs>
        <w:ind w:left="2880" w:hanging="720"/>
      </w:pPr>
      <w:rPr>
        <w:rFonts w:hint="default"/>
      </w:rPr>
    </w:lvl>
    <w:lvl w:ilvl="3">
      <w:numFmt w:val="none"/>
      <w:lvlRestart w:val="0"/>
      <w:suff w:val="nothing"/>
      <w:lvlText w:val=""/>
      <w:lvlJc w:val="left"/>
      <w:pPr>
        <w:ind w:left="-32047" w:firstLine="0"/>
      </w:pPr>
      <w:rPr>
        <w:rFonts w:hint="default"/>
      </w:rPr>
    </w:lvl>
    <w:lvl w:ilvl="4">
      <w:start w:val="1"/>
      <w:numFmt w:val="none"/>
      <w:lvlRestart w:val="0"/>
      <w:suff w:val="nothing"/>
      <w:lvlText w:val=""/>
      <w:lvlJc w:val="left"/>
      <w:pPr>
        <w:ind w:left="-32047" w:firstLine="0"/>
      </w:pPr>
      <w:rPr>
        <w:rFonts w:hint="default"/>
      </w:rPr>
    </w:lvl>
    <w:lvl w:ilvl="5">
      <w:start w:val="1"/>
      <w:numFmt w:val="none"/>
      <w:lvlRestart w:val="0"/>
      <w:suff w:val="nothing"/>
      <w:lvlText w:val=""/>
      <w:lvlJc w:val="left"/>
      <w:pPr>
        <w:ind w:left="-32047" w:firstLine="0"/>
      </w:pPr>
      <w:rPr>
        <w:rFonts w:hint="default"/>
      </w:rPr>
    </w:lvl>
    <w:lvl w:ilvl="6">
      <w:start w:val="1"/>
      <w:numFmt w:val="none"/>
      <w:lvlRestart w:val="0"/>
      <w:suff w:val="nothing"/>
      <w:lvlText w:val=""/>
      <w:lvlJc w:val="left"/>
      <w:pPr>
        <w:ind w:left="-32047" w:firstLine="0"/>
      </w:pPr>
      <w:rPr>
        <w:rFonts w:hint="default"/>
      </w:rPr>
    </w:lvl>
    <w:lvl w:ilvl="7">
      <w:start w:val="1"/>
      <w:numFmt w:val="none"/>
      <w:lvlRestart w:val="0"/>
      <w:suff w:val="nothing"/>
      <w:lvlText w:val=""/>
      <w:lvlJc w:val="left"/>
      <w:pPr>
        <w:ind w:left="-32047" w:firstLine="0"/>
      </w:pPr>
      <w:rPr>
        <w:rFonts w:hint="default"/>
      </w:rPr>
    </w:lvl>
    <w:lvl w:ilvl="8">
      <w:start w:val="1"/>
      <w:numFmt w:val="none"/>
      <w:lvlRestart w:val="0"/>
      <w:suff w:val="nothing"/>
      <w:lvlText w:val=""/>
      <w:lvlJc w:val="left"/>
      <w:pPr>
        <w:ind w:left="-32047" w:firstLine="0"/>
      </w:pPr>
      <w:rPr>
        <w:rFonts w:hint="default"/>
      </w:r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15:restartNumberingAfterBreak="0">
    <w:nsid w:val="168F28D0"/>
    <w:multiLevelType w:val="multilevel"/>
    <w:tmpl w:val="D26E5E56"/>
    <w:lvl w:ilvl="0">
      <w:start w:val="1"/>
      <w:numFmt w:val="bullet"/>
      <w:pStyle w:val="FCBullets"/>
      <w:lvlText w:val=""/>
      <w:lvlJc w:val="left"/>
      <w:pPr>
        <w:tabs>
          <w:tab w:val="num" w:pos="720"/>
        </w:tabs>
        <w:ind w:left="720" w:hanging="720"/>
      </w:pPr>
      <w:rPr>
        <w:rFonts w:ascii="Symbol" w:hAnsi="Symbol" w:hint="default"/>
      </w:rPr>
    </w:lvl>
    <w:lvl w:ilvl="1">
      <w:start w:val="1"/>
      <w:numFmt w:val="bullet"/>
      <w:pStyle w:val="FCBullets2"/>
      <w:lvlText w:val=""/>
      <w:lvlJc w:val="left"/>
      <w:pPr>
        <w:tabs>
          <w:tab w:val="num" w:pos="1440"/>
        </w:tabs>
        <w:ind w:left="1440" w:hanging="720"/>
      </w:pPr>
      <w:rPr>
        <w:rFonts w:ascii="Symbol" w:hAnsi="Symbol" w:hint="default"/>
        <w:sz w:val="24"/>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15:restartNumberingAfterBreak="0">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C1468D3"/>
    <w:multiLevelType w:val="multilevel"/>
    <w:tmpl w:val="0F0EC90E"/>
    <w:styleLink w:val="FCListNo"/>
    <w:lvl w:ilvl="0">
      <w:start w:val="1"/>
      <w:numFmt w:val="decimal"/>
      <w:lvlRestart w:val="0"/>
      <w:lvlText w:val="(%1)"/>
      <w:lvlJc w:val="left"/>
      <w:pPr>
        <w:tabs>
          <w:tab w:val="num" w:pos="720"/>
        </w:tabs>
        <w:ind w:left="720" w:hanging="720"/>
      </w:pPr>
      <w:rPr>
        <w:rFonts w:ascii="Times New Roman" w:hAnsi="Times New Roman"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6" w15:restartNumberingAfterBreak="0">
    <w:nsid w:val="29AE3DD1"/>
    <w:multiLevelType w:val="singleLevel"/>
    <w:tmpl w:val="57442FD4"/>
    <w:lvl w:ilvl="0">
      <w:start w:val="1"/>
      <w:numFmt w:val="decimal"/>
      <w:lvlRestart w:val="0"/>
      <w:pStyle w:val="ParaNumbering"/>
      <w:lvlText w:val="%1"/>
      <w:lvlJc w:val="left"/>
      <w:pPr>
        <w:tabs>
          <w:tab w:val="num" w:pos="720"/>
        </w:tabs>
        <w:ind w:left="0" w:hanging="720"/>
      </w:pPr>
      <w:rPr>
        <w:rFonts w:ascii="Times New Roman" w:hAnsi="Times New Roman" w:cs="Times New Roman" w:hint="default"/>
        <w:i w:val="0"/>
        <w:iCs w:val="0"/>
        <w:sz w:val="20"/>
      </w:rPr>
    </w:lvl>
  </w:abstractNum>
  <w:abstractNum w:abstractNumId="17"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8"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9" w15:restartNumberingAfterBreak="0">
    <w:nsid w:val="32D95B3D"/>
    <w:multiLevelType w:val="multilevel"/>
    <w:tmpl w:val="253A8338"/>
    <w:styleLink w:val="FCNotes"/>
    <w:lvl w:ilvl="0">
      <w:start w:val="1"/>
      <w:numFmt w:val="upperLetter"/>
      <w:pStyle w:val="Not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1" w15:restartNumberingAfterBreak="0">
    <w:nsid w:val="365E6D4E"/>
    <w:multiLevelType w:val="multilevel"/>
    <w:tmpl w:val="22E88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94817A7"/>
    <w:multiLevelType w:val="multilevel"/>
    <w:tmpl w:val="451473AC"/>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2"/>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23"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7"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23"/>
  </w:num>
  <w:num w:numId="14">
    <w:abstractNumId w:val="24"/>
  </w:num>
  <w:num w:numId="15">
    <w:abstractNumId w:val="27"/>
  </w:num>
  <w:num w:numId="16">
    <w:abstractNumId w:val="15"/>
  </w:num>
  <w:num w:numId="17">
    <w:abstractNumId w:val="26"/>
  </w:num>
  <w:num w:numId="18">
    <w:abstractNumId w:val="12"/>
  </w:num>
  <w:num w:numId="19">
    <w:abstractNumId w:val="20"/>
  </w:num>
  <w:num w:numId="20">
    <w:abstractNumId w:val="17"/>
  </w:num>
  <w:num w:numId="21">
    <w:abstractNumId w:val="18"/>
  </w:num>
  <w:num w:numId="22">
    <w:abstractNumId w:val="22"/>
  </w:num>
  <w:num w:numId="23">
    <w:abstractNumId w:val="10"/>
  </w:num>
  <w:num w:numId="24">
    <w:abstractNumId w:val="10"/>
  </w:num>
  <w:num w:numId="25">
    <w:abstractNumId w:val="13"/>
  </w:num>
  <w:num w:numId="26">
    <w:abstractNumId w:val="19"/>
  </w:num>
  <w:num w:numId="27">
    <w:abstractNumId w:val="19"/>
  </w:num>
  <w:num w:numId="28">
    <w:abstractNumId w:val="19"/>
  </w:num>
  <w:num w:numId="29">
    <w:abstractNumId w:val="14"/>
  </w:num>
  <w:num w:numId="30">
    <w:abstractNumId w:val="11"/>
  </w:num>
  <w:num w:numId="31">
    <w:abstractNumId w:val="21"/>
    <w:lvlOverride w:ilvl="0">
      <w:startOverride w:val="76"/>
    </w:lvlOverride>
  </w:num>
  <w:num w:numId="32">
    <w:abstractNumId w:val="16"/>
  </w:num>
  <w:num w:numId="33">
    <w:abstractNumId w:val="17"/>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4">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GB" w:vendorID="64" w:dllVersion="6" w:nlCheck="1" w:checkStyle="1"/>
  <w:activeWritingStyle w:appName="MSWord" w:lang="en-AU" w:vendorID="64" w:dllVersion="131078" w:nlCheck="1" w:checkStyle="1"/>
  <w:activeWritingStyle w:appName="MSWord" w:lang="en-GB"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Kate Pearson"/>
    <w:docVar w:name="CounselParties" w:val="Respondent"/>
    <w:docVar w:name="CounselType" w:val="Solicitor for the "/>
    <w:docVar w:name="Court" w:val="Federal Court of Australia (FCA)"/>
    <w:docVar w:name="Cross1AndAnother" w:val="True"/>
    <w:docVar w:name="Cross1AndOthers" w:val="False"/>
    <w:docVar w:name="Cross2AndAnother" w:val="True"/>
    <w:docVar w:name="Cross2AndOthers" w:val="False"/>
    <w:docVar w:name="Defenders" w:val="(and another named in the Schedule)"/>
    <w:docVar w:name="Division" w:val="FCA General Division"/>
    <w:docVar w:name="DocCreated" w:val="True"/>
    <w:docVar w:name="FileNumbers" w:val="NSD 854 of 2022"/>
    <w:docVar w:name="Initiators" w:val="(and another named in the Schedule)"/>
    <w:docVar w:name="InTheMatterOf" w:val="Kate Pearson"/>
    <w:docVar w:name="Judgdate" w:val="22 December 2022"/>
    <w:docVar w:name="Judge" w:val="Allsop, Rangiah and Sarah C Derrington"/>
    <w:docVar w:name="JudgeType" w:val="Justices"/>
    <w:docVar w:name="lstEntryList" w:val="-1"/>
    <w:docVar w:name="myEntryList" w:val="Counsel for the Applicant=Mr P Knowles SC|Counsel for the First Respondent=Mr C Lenehan SC and Mr J Wherrett|Solicitor for the First Respondent=Australian Government Solicitor"/>
    <w:docVar w:name="NSD" w:val="NSD "/>
    <w:docVar w:name="NumApps" w:val="1"/>
    <w:docVar w:name="NumApps_" w:val="3"/>
    <w:docVar w:name="NumCrossResps" w:val="0"/>
    <w:docVar w:name="NumDefs" w:val="3"/>
    <w:docVar w:name="NumOthers" w:val="0"/>
    <w:docVar w:name="OtherNum" w:val="0"/>
    <w:docVar w:name="Parties1" w:val="Applicant"/>
    <w:docVar w:name="Parties2" w:val="Respondent"/>
    <w:docVar w:name="Parties3" w:val="Cross-Appellant"/>
    <w:docVar w:name="Parties4" w:val="Cross-Defendant"/>
    <w:docVar w:name="Parties5" w:val="Intervener"/>
    <w:docVar w:name="Place" w:val="N/A FCA"/>
    <w:docVar w:name="PracticeArea" w:val="Administrative and Constitutional Law and Human Rights"/>
    <w:docVar w:name="RESAndAnother" w:val="True"/>
    <w:docVar w:name="RESAndOthers" w:val="False"/>
    <w:docVar w:name="Respondent" w:val="Minister for Home Affairs|Secretary, Department of Home Affairs|Administrative Appeals Tribunal"/>
    <w:docVar w:name="ResState" w:val="New South Wales"/>
    <w:docVar w:name="SubArea" w:val="(none)"/>
  </w:docVars>
  <w:rsids>
    <w:rsidRoot w:val="00757570"/>
    <w:rsid w:val="00000747"/>
    <w:rsid w:val="00001684"/>
    <w:rsid w:val="00001937"/>
    <w:rsid w:val="0000425A"/>
    <w:rsid w:val="0000744A"/>
    <w:rsid w:val="00010B56"/>
    <w:rsid w:val="00010FFE"/>
    <w:rsid w:val="000115C5"/>
    <w:rsid w:val="00012D5E"/>
    <w:rsid w:val="0001469E"/>
    <w:rsid w:val="00015993"/>
    <w:rsid w:val="000164EE"/>
    <w:rsid w:val="00016A92"/>
    <w:rsid w:val="00021CCB"/>
    <w:rsid w:val="00022289"/>
    <w:rsid w:val="00022F77"/>
    <w:rsid w:val="000237E9"/>
    <w:rsid w:val="00027398"/>
    <w:rsid w:val="000302F3"/>
    <w:rsid w:val="00031998"/>
    <w:rsid w:val="000319D4"/>
    <w:rsid w:val="0003201A"/>
    <w:rsid w:val="0003207A"/>
    <w:rsid w:val="00032C3C"/>
    <w:rsid w:val="00032F9F"/>
    <w:rsid w:val="000334EB"/>
    <w:rsid w:val="000334FC"/>
    <w:rsid w:val="00034CF5"/>
    <w:rsid w:val="00035D0D"/>
    <w:rsid w:val="000369AE"/>
    <w:rsid w:val="00036FC6"/>
    <w:rsid w:val="00040610"/>
    <w:rsid w:val="00041C07"/>
    <w:rsid w:val="0004366A"/>
    <w:rsid w:val="000442A3"/>
    <w:rsid w:val="00045BB7"/>
    <w:rsid w:val="0005211A"/>
    <w:rsid w:val="0005229E"/>
    <w:rsid w:val="00055719"/>
    <w:rsid w:val="0005641B"/>
    <w:rsid w:val="000574F2"/>
    <w:rsid w:val="0006196A"/>
    <w:rsid w:val="00062365"/>
    <w:rsid w:val="000650F0"/>
    <w:rsid w:val="00065671"/>
    <w:rsid w:val="00066351"/>
    <w:rsid w:val="00066D1A"/>
    <w:rsid w:val="00067D0D"/>
    <w:rsid w:val="00071FB3"/>
    <w:rsid w:val="000737A1"/>
    <w:rsid w:val="0007459F"/>
    <w:rsid w:val="0007595C"/>
    <w:rsid w:val="00075BA3"/>
    <w:rsid w:val="00075E3F"/>
    <w:rsid w:val="000764DF"/>
    <w:rsid w:val="00076B24"/>
    <w:rsid w:val="000772FB"/>
    <w:rsid w:val="00077768"/>
    <w:rsid w:val="00081497"/>
    <w:rsid w:val="00081B39"/>
    <w:rsid w:val="0008285B"/>
    <w:rsid w:val="000831EC"/>
    <w:rsid w:val="00084126"/>
    <w:rsid w:val="00085255"/>
    <w:rsid w:val="0008609C"/>
    <w:rsid w:val="0008625F"/>
    <w:rsid w:val="0008797C"/>
    <w:rsid w:val="00087C6A"/>
    <w:rsid w:val="000904CD"/>
    <w:rsid w:val="00090D95"/>
    <w:rsid w:val="00092730"/>
    <w:rsid w:val="0009313E"/>
    <w:rsid w:val="00093CA6"/>
    <w:rsid w:val="000A2965"/>
    <w:rsid w:val="000A2E76"/>
    <w:rsid w:val="000A4807"/>
    <w:rsid w:val="000A4BE4"/>
    <w:rsid w:val="000A4BEB"/>
    <w:rsid w:val="000A6BDA"/>
    <w:rsid w:val="000B0C05"/>
    <w:rsid w:val="000B2D72"/>
    <w:rsid w:val="000C023E"/>
    <w:rsid w:val="000C0D27"/>
    <w:rsid w:val="000C2704"/>
    <w:rsid w:val="000C2A60"/>
    <w:rsid w:val="000C35F8"/>
    <w:rsid w:val="000C38ED"/>
    <w:rsid w:val="000C405D"/>
    <w:rsid w:val="000C5195"/>
    <w:rsid w:val="000C62EF"/>
    <w:rsid w:val="000D158C"/>
    <w:rsid w:val="000D1C0E"/>
    <w:rsid w:val="000D2137"/>
    <w:rsid w:val="000D35FA"/>
    <w:rsid w:val="000D3FD2"/>
    <w:rsid w:val="000D479C"/>
    <w:rsid w:val="000D4B2E"/>
    <w:rsid w:val="000D5965"/>
    <w:rsid w:val="000D712C"/>
    <w:rsid w:val="000E3FC8"/>
    <w:rsid w:val="000E4CCC"/>
    <w:rsid w:val="000E62A2"/>
    <w:rsid w:val="000E7BAE"/>
    <w:rsid w:val="000F0BB9"/>
    <w:rsid w:val="000F133D"/>
    <w:rsid w:val="000F1EA3"/>
    <w:rsid w:val="000F49B2"/>
    <w:rsid w:val="000F5D6B"/>
    <w:rsid w:val="000F6342"/>
    <w:rsid w:val="000F6760"/>
    <w:rsid w:val="001045AF"/>
    <w:rsid w:val="0010536B"/>
    <w:rsid w:val="00107A08"/>
    <w:rsid w:val="00110B9A"/>
    <w:rsid w:val="0011145C"/>
    <w:rsid w:val="001128BD"/>
    <w:rsid w:val="001140E0"/>
    <w:rsid w:val="0011419D"/>
    <w:rsid w:val="00114B02"/>
    <w:rsid w:val="00115952"/>
    <w:rsid w:val="001226C0"/>
    <w:rsid w:val="00124A7A"/>
    <w:rsid w:val="00124D7D"/>
    <w:rsid w:val="00126AAE"/>
    <w:rsid w:val="00126AE7"/>
    <w:rsid w:val="00126CA0"/>
    <w:rsid w:val="00126EC8"/>
    <w:rsid w:val="0012731C"/>
    <w:rsid w:val="00130459"/>
    <w:rsid w:val="00130754"/>
    <w:rsid w:val="00132054"/>
    <w:rsid w:val="0013259E"/>
    <w:rsid w:val="00133429"/>
    <w:rsid w:val="00134466"/>
    <w:rsid w:val="00134964"/>
    <w:rsid w:val="001351B9"/>
    <w:rsid w:val="00136F13"/>
    <w:rsid w:val="0014292E"/>
    <w:rsid w:val="00142A3E"/>
    <w:rsid w:val="00147AF6"/>
    <w:rsid w:val="00147B2B"/>
    <w:rsid w:val="001505BC"/>
    <w:rsid w:val="00155A03"/>
    <w:rsid w:val="00155CD2"/>
    <w:rsid w:val="00163AE6"/>
    <w:rsid w:val="0016422C"/>
    <w:rsid w:val="00164666"/>
    <w:rsid w:val="00164EA4"/>
    <w:rsid w:val="00165999"/>
    <w:rsid w:val="001667D5"/>
    <w:rsid w:val="00167569"/>
    <w:rsid w:val="0016757E"/>
    <w:rsid w:val="00167B03"/>
    <w:rsid w:val="001711B2"/>
    <w:rsid w:val="001727A4"/>
    <w:rsid w:val="0017290D"/>
    <w:rsid w:val="0017376C"/>
    <w:rsid w:val="001738AB"/>
    <w:rsid w:val="00173CD5"/>
    <w:rsid w:val="00175694"/>
    <w:rsid w:val="001765E0"/>
    <w:rsid w:val="00177759"/>
    <w:rsid w:val="001804C4"/>
    <w:rsid w:val="00180974"/>
    <w:rsid w:val="00180B70"/>
    <w:rsid w:val="00180BB3"/>
    <w:rsid w:val="001813EF"/>
    <w:rsid w:val="0018290C"/>
    <w:rsid w:val="00185DD6"/>
    <w:rsid w:val="00185E6B"/>
    <w:rsid w:val="00186223"/>
    <w:rsid w:val="00187655"/>
    <w:rsid w:val="00187BBC"/>
    <w:rsid w:val="001911D0"/>
    <w:rsid w:val="001926C2"/>
    <w:rsid w:val="001932F3"/>
    <w:rsid w:val="001937B0"/>
    <w:rsid w:val="00194971"/>
    <w:rsid w:val="001A0B1E"/>
    <w:rsid w:val="001A102F"/>
    <w:rsid w:val="001A1DE6"/>
    <w:rsid w:val="001A2B40"/>
    <w:rsid w:val="001A3068"/>
    <w:rsid w:val="001A4309"/>
    <w:rsid w:val="001A46AE"/>
    <w:rsid w:val="001A489D"/>
    <w:rsid w:val="001A4AFD"/>
    <w:rsid w:val="001A6C52"/>
    <w:rsid w:val="001A73AC"/>
    <w:rsid w:val="001A74A5"/>
    <w:rsid w:val="001A77FB"/>
    <w:rsid w:val="001B1053"/>
    <w:rsid w:val="001B14AC"/>
    <w:rsid w:val="001B2921"/>
    <w:rsid w:val="001B4766"/>
    <w:rsid w:val="001B6B7A"/>
    <w:rsid w:val="001B6F98"/>
    <w:rsid w:val="001B7708"/>
    <w:rsid w:val="001B7940"/>
    <w:rsid w:val="001C171A"/>
    <w:rsid w:val="001C1885"/>
    <w:rsid w:val="001C220D"/>
    <w:rsid w:val="001C2FE0"/>
    <w:rsid w:val="001C37CA"/>
    <w:rsid w:val="001C4085"/>
    <w:rsid w:val="001C4BA6"/>
    <w:rsid w:val="001C631A"/>
    <w:rsid w:val="001C6D8E"/>
    <w:rsid w:val="001D2FD8"/>
    <w:rsid w:val="001D3347"/>
    <w:rsid w:val="001D4303"/>
    <w:rsid w:val="001D65A0"/>
    <w:rsid w:val="001D6746"/>
    <w:rsid w:val="001D7C3D"/>
    <w:rsid w:val="001E00C9"/>
    <w:rsid w:val="001E0C61"/>
    <w:rsid w:val="001E0EED"/>
    <w:rsid w:val="001E3B49"/>
    <w:rsid w:val="001E403D"/>
    <w:rsid w:val="001E40FC"/>
    <w:rsid w:val="001E4A05"/>
    <w:rsid w:val="001E5AC5"/>
    <w:rsid w:val="001E6A19"/>
    <w:rsid w:val="001E6EC8"/>
    <w:rsid w:val="001E7388"/>
    <w:rsid w:val="001F13DD"/>
    <w:rsid w:val="001F2473"/>
    <w:rsid w:val="001F2DBC"/>
    <w:rsid w:val="001F3C81"/>
    <w:rsid w:val="001F73E8"/>
    <w:rsid w:val="001F7DDE"/>
    <w:rsid w:val="00200468"/>
    <w:rsid w:val="0020154F"/>
    <w:rsid w:val="00202491"/>
    <w:rsid w:val="0020262C"/>
    <w:rsid w:val="00202723"/>
    <w:rsid w:val="00204032"/>
    <w:rsid w:val="00204145"/>
    <w:rsid w:val="00204D0A"/>
    <w:rsid w:val="00205032"/>
    <w:rsid w:val="002107A0"/>
    <w:rsid w:val="00210AFB"/>
    <w:rsid w:val="00211A3E"/>
    <w:rsid w:val="00212772"/>
    <w:rsid w:val="00213A27"/>
    <w:rsid w:val="00213F20"/>
    <w:rsid w:val="00214055"/>
    <w:rsid w:val="00215BCA"/>
    <w:rsid w:val="002160F5"/>
    <w:rsid w:val="002179EC"/>
    <w:rsid w:val="00217AC4"/>
    <w:rsid w:val="00221461"/>
    <w:rsid w:val="00223730"/>
    <w:rsid w:val="00224537"/>
    <w:rsid w:val="00224D80"/>
    <w:rsid w:val="00224DF9"/>
    <w:rsid w:val="002251D8"/>
    <w:rsid w:val="00225308"/>
    <w:rsid w:val="00226B52"/>
    <w:rsid w:val="002358FD"/>
    <w:rsid w:val="00235956"/>
    <w:rsid w:val="002361BA"/>
    <w:rsid w:val="00237039"/>
    <w:rsid w:val="00243E5E"/>
    <w:rsid w:val="00244649"/>
    <w:rsid w:val="00244D76"/>
    <w:rsid w:val="002467A6"/>
    <w:rsid w:val="00246A1E"/>
    <w:rsid w:val="00247C9A"/>
    <w:rsid w:val="0025160C"/>
    <w:rsid w:val="00252199"/>
    <w:rsid w:val="002535D0"/>
    <w:rsid w:val="002539B3"/>
    <w:rsid w:val="00255315"/>
    <w:rsid w:val="00256336"/>
    <w:rsid w:val="00257C3E"/>
    <w:rsid w:val="002602C2"/>
    <w:rsid w:val="0026039B"/>
    <w:rsid w:val="00262976"/>
    <w:rsid w:val="00263F48"/>
    <w:rsid w:val="00265A28"/>
    <w:rsid w:val="002666C9"/>
    <w:rsid w:val="00267D0A"/>
    <w:rsid w:val="00270136"/>
    <w:rsid w:val="00270FD7"/>
    <w:rsid w:val="0027402C"/>
    <w:rsid w:val="00274F5B"/>
    <w:rsid w:val="00280836"/>
    <w:rsid w:val="00280F2A"/>
    <w:rsid w:val="00281E2B"/>
    <w:rsid w:val="002820C6"/>
    <w:rsid w:val="00282E1A"/>
    <w:rsid w:val="002840F1"/>
    <w:rsid w:val="0028583D"/>
    <w:rsid w:val="00285922"/>
    <w:rsid w:val="00285A72"/>
    <w:rsid w:val="00286469"/>
    <w:rsid w:val="00290366"/>
    <w:rsid w:val="002903C6"/>
    <w:rsid w:val="0029113B"/>
    <w:rsid w:val="00291374"/>
    <w:rsid w:val="0029287B"/>
    <w:rsid w:val="00292AE7"/>
    <w:rsid w:val="002934C0"/>
    <w:rsid w:val="00293E1F"/>
    <w:rsid w:val="002948AD"/>
    <w:rsid w:val="00295385"/>
    <w:rsid w:val="00295484"/>
    <w:rsid w:val="002969FD"/>
    <w:rsid w:val="0029764C"/>
    <w:rsid w:val="002A0A18"/>
    <w:rsid w:val="002A1B50"/>
    <w:rsid w:val="002A2AA5"/>
    <w:rsid w:val="002A31A3"/>
    <w:rsid w:val="002A775E"/>
    <w:rsid w:val="002B0E91"/>
    <w:rsid w:val="002B132C"/>
    <w:rsid w:val="002B331D"/>
    <w:rsid w:val="002B3F23"/>
    <w:rsid w:val="002B4EB5"/>
    <w:rsid w:val="002B5AF5"/>
    <w:rsid w:val="002B5BA0"/>
    <w:rsid w:val="002B6779"/>
    <w:rsid w:val="002B71C0"/>
    <w:rsid w:val="002B7A34"/>
    <w:rsid w:val="002B7A48"/>
    <w:rsid w:val="002C31AD"/>
    <w:rsid w:val="002C5592"/>
    <w:rsid w:val="002C7385"/>
    <w:rsid w:val="002C7B65"/>
    <w:rsid w:val="002C7FDD"/>
    <w:rsid w:val="002D00B0"/>
    <w:rsid w:val="002D0A32"/>
    <w:rsid w:val="002D19B6"/>
    <w:rsid w:val="002D2DBB"/>
    <w:rsid w:val="002D37D8"/>
    <w:rsid w:val="002D54A6"/>
    <w:rsid w:val="002E1B6E"/>
    <w:rsid w:val="002E2F0B"/>
    <w:rsid w:val="002E35DD"/>
    <w:rsid w:val="002E3779"/>
    <w:rsid w:val="002E3790"/>
    <w:rsid w:val="002E440C"/>
    <w:rsid w:val="002E55F3"/>
    <w:rsid w:val="002E5BF9"/>
    <w:rsid w:val="002E6A7A"/>
    <w:rsid w:val="002F04DD"/>
    <w:rsid w:val="002F1E49"/>
    <w:rsid w:val="002F1E4E"/>
    <w:rsid w:val="002F3CF0"/>
    <w:rsid w:val="002F4E9C"/>
    <w:rsid w:val="002F6E15"/>
    <w:rsid w:val="002F7ACA"/>
    <w:rsid w:val="00301D61"/>
    <w:rsid w:val="00301E4C"/>
    <w:rsid w:val="00302F4E"/>
    <w:rsid w:val="00304686"/>
    <w:rsid w:val="00304FC7"/>
    <w:rsid w:val="003057E8"/>
    <w:rsid w:val="00306691"/>
    <w:rsid w:val="003105A6"/>
    <w:rsid w:val="00310BD6"/>
    <w:rsid w:val="0031256C"/>
    <w:rsid w:val="00314447"/>
    <w:rsid w:val="00314D6C"/>
    <w:rsid w:val="00315041"/>
    <w:rsid w:val="00315FA8"/>
    <w:rsid w:val="0031680C"/>
    <w:rsid w:val="00316D2A"/>
    <w:rsid w:val="00320D62"/>
    <w:rsid w:val="00322A7C"/>
    <w:rsid w:val="00322EEC"/>
    <w:rsid w:val="00323061"/>
    <w:rsid w:val="003260BD"/>
    <w:rsid w:val="0032745C"/>
    <w:rsid w:val="00327771"/>
    <w:rsid w:val="00331CFB"/>
    <w:rsid w:val="00331ED5"/>
    <w:rsid w:val="00332373"/>
    <w:rsid w:val="00336419"/>
    <w:rsid w:val="00336899"/>
    <w:rsid w:val="003402D3"/>
    <w:rsid w:val="0034068E"/>
    <w:rsid w:val="00340C08"/>
    <w:rsid w:val="003423B4"/>
    <w:rsid w:val="00343ABC"/>
    <w:rsid w:val="003440BB"/>
    <w:rsid w:val="0034461E"/>
    <w:rsid w:val="003463FE"/>
    <w:rsid w:val="003472FC"/>
    <w:rsid w:val="00347D41"/>
    <w:rsid w:val="00350033"/>
    <w:rsid w:val="0035089E"/>
    <w:rsid w:val="003511B9"/>
    <w:rsid w:val="003516AE"/>
    <w:rsid w:val="003554B3"/>
    <w:rsid w:val="00355C93"/>
    <w:rsid w:val="00356632"/>
    <w:rsid w:val="00357C7E"/>
    <w:rsid w:val="00360622"/>
    <w:rsid w:val="003612FF"/>
    <w:rsid w:val="00361EA8"/>
    <w:rsid w:val="00363749"/>
    <w:rsid w:val="00364269"/>
    <w:rsid w:val="003653B6"/>
    <w:rsid w:val="003668A3"/>
    <w:rsid w:val="00367C11"/>
    <w:rsid w:val="00370117"/>
    <w:rsid w:val="00370327"/>
    <w:rsid w:val="00374CC4"/>
    <w:rsid w:val="00376182"/>
    <w:rsid w:val="00376B44"/>
    <w:rsid w:val="003774B2"/>
    <w:rsid w:val="00380664"/>
    <w:rsid w:val="00380F2D"/>
    <w:rsid w:val="00381137"/>
    <w:rsid w:val="003845A9"/>
    <w:rsid w:val="003850C9"/>
    <w:rsid w:val="00386C28"/>
    <w:rsid w:val="00387181"/>
    <w:rsid w:val="00390587"/>
    <w:rsid w:val="00390883"/>
    <w:rsid w:val="003922F8"/>
    <w:rsid w:val="0039312B"/>
    <w:rsid w:val="00394053"/>
    <w:rsid w:val="00395B24"/>
    <w:rsid w:val="003A1007"/>
    <w:rsid w:val="003A1E3C"/>
    <w:rsid w:val="003A2D38"/>
    <w:rsid w:val="003A2EA9"/>
    <w:rsid w:val="003A4AB6"/>
    <w:rsid w:val="003A7ECC"/>
    <w:rsid w:val="003B05A6"/>
    <w:rsid w:val="003B1C89"/>
    <w:rsid w:val="003B2C72"/>
    <w:rsid w:val="003B4804"/>
    <w:rsid w:val="003B4915"/>
    <w:rsid w:val="003B51B7"/>
    <w:rsid w:val="003B5632"/>
    <w:rsid w:val="003B58B4"/>
    <w:rsid w:val="003B5EEF"/>
    <w:rsid w:val="003B6EB1"/>
    <w:rsid w:val="003C1333"/>
    <w:rsid w:val="003C20FF"/>
    <w:rsid w:val="003C23B2"/>
    <w:rsid w:val="003C2BFC"/>
    <w:rsid w:val="003C459B"/>
    <w:rsid w:val="003C550A"/>
    <w:rsid w:val="003C6055"/>
    <w:rsid w:val="003D019A"/>
    <w:rsid w:val="003D05C2"/>
    <w:rsid w:val="003D2650"/>
    <w:rsid w:val="003D32FC"/>
    <w:rsid w:val="003D4954"/>
    <w:rsid w:val="003D560C"/>
    <w:rsid w:val="003D5C00"/>
    <w:rsid w:val="003D6ED1"/>
    <w:rsid w:val="003E0942"/>
    <w:rsid w:val="003E2A07"/>
    <w:rsid w:val="003E3154"/>
    <w:rsid w:val="003E54B8"/>
    <w:rsid w:val="003E5874"/>
    <w:rsid w:val="003E72D3"/>
    <w:rsid w:val="003E72F5"/>
    <w:rsid w:val="003E7D23"/>
    <w:rsid w:val="003F0284"/>
    <w:rsid w:val="003F193E"/>
    <w:rsid w:val="003F242C"/>
    <w:rsid w:val="003F34F1"/>
    <w:rsid w:val="003F414B"/>
    <w:rsid w:val="003F546F"/>
    <w:rsid w:val="003F5F76"/>
    <w:rsid w:val="003F610E"/>
    <w:rsid w:val="00403105"/>
    <w:rsid w:val="004031D8"/>
    <w:rsid w:val="00403E54"/>
    <w:rsid w:val="00404D14"/>
    <w:rsid w:val="0040758A"/>
    <w:rsid w:val="004104B6"/>
    <w:rsid w:val="00411AE8"/>
    <w:rsid w:val="00411D61"/>
    <w:rsid w:val="004130E0"/>
    <w:rsid w:val="00413807"/>
    <w:rsid w:val="00413B74"/>
    <w:rsid w:val="00415D41"/>
    <w:rsid w:val="0041757E"/>
    <w:rsid w:val="00420229"/>
    <w:rsid w:val="00422C6E"/>
    <w:rsid w:val="0042311C"/>
    <w:rsid w:val="004243BB"/>
    <w:rsid w:val="00426D52"/>
    <w:rsid w:val="00427A56"/>
    <w:rsid w:val="004306C3"/>
    <w:rsid w:val="004334C4"/>
    <w:rsid w:val="004337CB"/>
    <w:rsid w:val="004339F7"/>
    <w:rsid w:val="004342F3"/>
    <w:rsid w:val="00434422"/>
    <w:rsid w:val="0043554C"/>
    <w:rsid w:val="00435C5F"/>
    <w:rsid w:val="00436155"/>
    <w:rsid w:val="00436460"/>
    <w:rsid w:val="00436BCF"/>
    <w:rsid w:val="00441E98"/>
    <w:rsid w:val="00442FDB"/>
    <w:rsid w:val="004457D7"/>
    <w:rsid w:val="00446391"/>
    <w:rsid w:val="0044649E"/>
    <w:rsid w:val="00446559"/>
    <w:rsid w:val="004469E0"/>
    <w:rsid w:val="00450F3A"/>
    <w:rsid w:val="004532F7"/>
    <w:rsid w:val="00453C23"/>
    <w:rsid w:val="00453F51"/>
    <w:rsid w:val="00454BA5"/>
    <w:rsid w:val="0046251B"/>
    <w:rsid w:val="00464314"/>
    <w:rsid w:val="00464D51"/>
    <w:rsid w:val="00466944"/>
    <w:rsid w:val="00467408"/>
    <w:rsid w:val="00472027"/>
    <w:rsid w:val="00472294"/>
    <w:rsid w:val="004726F1"/>
    <w:rsid w:val="00475057"/>
    <w:rsid w:val="004752FF"/>
    <w:rsid w:val="0047671D"/>
    <w:rsid w:val="004804CF"/>
    <w:rsid w:val="00481C0D"/>
    <w:rsid w:val="00482B23"/>
    <w:rsid w:val="00483314"/>
    <w:rsid w:val="00484962"/>
    <w:rsid w:val="00484BD6"/>
    <w:rsid w:val="00484F6D"/>
    <w:rsid w:val="00484FB7"/>
    <w:rsid w:val="00485082"/>
    <w:rsid w:val="0048554D"/>
    <w:rsid w:val="00487082"/>
    <w:rsid w:val="004918BB"/>
    <w:rsid w:val="0049338A"/>
    <w:rsid w:val="00493C3B"/>
    <w:rsid w:val="0049417F"/>
    <w:rsid w:val="00496838"/>
    <w:rsid w:val="00496D41"/>
    <w:rsid w:val="004A0146"/>
    <w:rsid w:val="004A02B4"/>
    <w:rsid w:val="004A1476"/>
    <w:rsid w:val="004A2A6F"/>
    <w:rsid w:val="004A6602"/>
    <w:rsid w:val="004B0795"/>
    <w:rsid w:val="004B1E53"/>
    <w:rsid w:val="004B26F5"/>
    <w:rsid w:val="004B27B1"/>
    <w:rsid w:val="004B31D7"/>
    <w:rsid w:val="004B37F9"/>
    <w:rsid w:val="004B3EFA"/>
    <w:rsid w:val="004B4ADB"/>
    <w:rsid w:val="004B6A06"/>
    <w:rsid w:val="004B751A"/>
    <w:rsid w:val="004C087C"/>
    <w:rsid w:val="004C1496"/>
    <w:rsid w:val="004C2A87"/>
    <w:rsid w:val="004C2BB7"/>
    <w:rsid w:val="004C4D7B"/>
    <w:rsid w:val="004C4D8F"/>
    <w:rsid w:val="004C4ED3"/>
    <w:rsid w:val="004C667B"/>
    <w:rsid w:val="004C7ECD"/>
    <w:rsid w:val="004D2EA5"/>
    <w:rsid w:val="004D32A6"/>
    <w:rsid w:val="004D3718"/>
    <w:rsid w:val="004D3FB1"/>
    <w:rsid w:val="004D53E5"/>
    <w:rsid w:val="004D5CD1"/>
    <w:rsid w:val="004D7950"/>
    <w:rsid w:val="004E0839"/>
    <w:rsid w:val="004E1DB0"/>
    <w:rsid w:val="004E2506"/>
    <w:rsid w:val="004E29AB"/>
    <w:rsid w:val="004E4EBE"/>
    <w:rsid w:val="004E64BD"/>
    <w:rsid w:val="004E6DC4"/>
    <w:rsid w:val="004E71EF"/>
    <w:rsid w:val="004E7399"/>
    <w:rsid w:val="004E7A3C"/>
    <w:rsid w:val="004F21C1"/>
    <w:rsid w:val="004F272A"/>
    <w:rsid w:val="004F4C67"/>
    <w:rsid w:val="004F5A1A"/>
    <w:rsid w:val="00501A12"/>
    <w:rsid w:val="0050309C"/>
    <w:rsid w:val="00505951"/>
    <w:rsid w:val="00506B27"/>
    <w:rsid w:val="00506F1F"/>
    <w:rsid w:val="005072D4"/>
    <w:rsid w:val="00510D7D"/>
    <w:rsid w:val="005121C0"/>
    <w:rsid w:val="0051327C"/>
    <w:rsid w:val="0051346D"/>
    <w:rsid w:val="00513814"/>
    <w:rsid w:val="00513E10"/>
    <w:rsid w:val="00513EAE"/>
    <w:rsid w:val="0051434F"/>
    <w:rsid w:val="00514D0A"/>
    <w:rsid w:val="00516806"/>
    <w:rsid w:val="00516A65"/>
    <w:rsid w:val="00516FB5"/>
    <w:rsid w:val="0052098C"/>
    <w:rsid w:val="00522271"/>
    <w:rsid w:val="0052289B"/>
    <w:rsid w:val="00524B34"/>
    <w:rsid w:val="00525A49"/>
    <w:rsid w:val="005262D1"/>
    <w:rsid w:val="00526AF0"/>
    <w:rsid w:val="00526DD8"/>
    <w:rsid w:val="00526F0E"/>
    <w:rsid w:val="00530876"/>
    <w:rsid w:val="00531D71"/>
    <w:rsid w:val="00535613"/>
    <w:rsid w:val="005358EC"/>
    <w:rsid w:val="005359EB"/>
    <w:rsid w:val="00536DB1"/>
    <w:rsid w:val="0053755F"/>
    <w:rsid w:val="00537E36"/>
    <w:rsid w:val="00540342"/>
    <w:rsid w:val="00540FBD"/>
    <w:rsid w:val="0054254A"/>
    <w:rsid w:val="00542F30"/>
    <w:rsid w:val="005448DD"/>
    <w:rsid w:val="00544B8B"/>
    <w:rsid w:val="0054500B"/>
    <w:rsid w:val="005466B5"/>
    <w:rsid w:val="00550981"/>
    <w:rsid w:val="00554314"/>
    <w:rsid w:val="00562829"/>
    <w:rsid w:val="005629B3"/>
    <w:rsid w:val="0056469A"/>
    <w:rsid w:val="00567417"/>
    <w:rsid w:val="00570FAF"/>
    <w:rsid w:val="0057128A"/>
    <w:rsid w:val="005724F6"/>
    <w:rsid w:val="00572685"/>
    <w:rsid w:val="00573114"/>
    <w:rsid w:val="00573AC4"/>
    <w:rsid w:val="00574C90"/>
    <w:rsid w:val="005801FC"/>
    <w:rsid w:val="00581281"/>
    <w:rsid w:val="00585802"/>
    <w:rsid w:val="00585BA9"/>
    <w:rsid w:val="00587359"/>
    <w:rsid w:val="00587487"/>
    <w:rsid w:val="005913AE"/>
    <w:rsid w:val="0059328C"/>
    <w:rsid w:val="00593B99"/>
    <w:rsid w:val="00594B7F"/>
    <w:rsid w:val="00595016"/>
    <w:rsid w:val="00595362"/>
    <w:rsid w:val="0059552B"/>
    <w:rsid w:val="00597AAE"/>
    <w:rsid w:val="005A222C"/>
    <w:rsid w:val="005A29A1"/>
    <w:rsid w:val="005A4DF8"/>
    <w:rsid w:val="005A5CA9"/>
    <w:rsid w:val="005A66D5"/>
    <w:rsid w:val="005A738E"/>
    <w:rsid w:val="005A78C8"/>
    <w:rsid w:val="005A7B13"/>
    <w:rsid w:val="005B027E"/>
    <w:rsid w:val="005B066E"/>
    <w:rsid w:val="005B1426"/>
    <w:rsid w:val="005B18F6"/>
    <w:rsid w:val="005B3BB7"/>
    <w:rsid w:val="005B4174"/>
    <w:rsid w:val="005B42C6"/>
    <w:rsid w:val="005B4FF7"/>
    <w:rsid w:val="005C0A8E"/>
    <w:rsid w:val="005C11AD"/>
    <w:rsid w:val="005C1767"/>
    <w:rsid w:val="005C185C"/>
    <w:rsid w:val="005C3D20"/>
    <w:rsid w:val="005C42EF"/>
    <w:rsid w:val="005C43B6"/>
    <w:rsid w:val="005C51B9"/>
    <w:rsid w:val="005C5554"/>
    <w:rsid w:val="005C5628"/>
    <w:rsid w:val="005C70B4"/>
    <w:rsid w:val="005C71AB"/>
    <w:rsid w:val="005C73DA"/>
    <w:rsid w:val="005C7836"/>
    <w:rsid w:val="005D00B4"/>
    <w:rsid w:val="005D409E"/>
    <w:rsid w:val="005D40F8"/>
    <w:rsid w:val="005D58E7"/>
    <w:rsid w:val="005E02F5"/>
    <w:rsid w:val="005E0510"/>
    <w:rsid w:val="005E176E"/>
    <w:rsid w:val="005E183D"/>
    <w:rsid w:val="005E2060"/>
    <w:rsid w:val="005E218E"/>
    <w:rsid w:val="005E33E3"/>
    <w:rsid w:val="005E35A0"/>
    <w:rsid w:val="005E57EB"/>
    <w:rsid w:val="005F0112"/>
    <w:rsid w:val="005F0D1B"/>
    <w:rsid w:val="005F1865"/>
    <w:rsid w:val="005F2008"/>
    <w:rsid w:val="005F2EBA"/>
    <w:rsid w:val="005F7435"/>
    <w:rsid w:val="006007BD"/>
    <w:rsid w:val="0060132A"/>
    <w:rsid w:val="006013C8"/>
    <w:rsid w:val="006021D8"/>
    <w:rsid w:val="0060270D"/>
    <w:rsid w:val="00602A39"/>
    <w:rsid w:val="006031DF"/>
    <w:rsid w:val="006033E2"/>
    <w:rsid w:val="00604342"/>
    <w:rsid w:val="00604611"/>
    <w:rsid w:val="0060511D"/>
    <w:rsid w:val="006060C1"/>
    <w:rsid w:val="00606AD9"/>
    <w:rsid w:val="00610834"/>
    <w:rsid w:val="00611586"/>
    <w:rsid w:val="0061203E"/>
    <w:rsid w:val="006125D0"/>
    <w:rsid w:val="00612D26"/>
    <w:rsid w:val="00615855"/>
    <w:rsid w:val="00616258"/>
    <w:rsid w:val="00617B63"/>
    <w:rsid w:val="00620DA8"/>
    <w:rsid w:val="00621887"/>
    <w:rsid w:val="006219AA"/>
    <w:rsid w:val="0062251A"/>
    <w:rsid w:val="00623AA5"/>
    <w:rsid w:val="00624520"/>
    <w:rsid w:val="00624A88"/>
    <w:rsid w:val="00625B4F"/>
    <w:rsid w:val="006271F5"/>
    <w:rsid w:val="006278C9"/>
    <w:rsid w:val="00631D46"/>
    <w:rsid w:val="00632300"/>
    <w:rsid w:val="006326E0"/>
    <w:rsid w:val="00632BB7"/>
    <w:rsid w:val="00632EFB"/>
    <w:rsid w:val="00634E8E"/>
    <w:rsid w:val="00635B36"/>
    <w:rsid w:val="00636871"/>
    <w:rsid w:val="006375C2"/>
    <w:rsid w:val="00637B09"/>
    <w:rsid w:val="00640EE1"/>
    <w:rsid w:val="00640F4E"/>
    <w:rsid w:val="00641668"/>
    <w:rsid w:val="00643DE0"/>
    <w:rsid w:val="0064437D"/>
    <w:rsid w:val="00644E85"/>
    <w:rsid w:val="00646767"/>
    <w:rsid w:val="006474E2"/>
    <w:rsid w:val="006503BD"/>
    <w:rsid w:val="006516D8"/>
    <w:rsid w:val="00652C52"/>
    <w:rsid w:val="006559C1"/>
    <w:rsid w:val="00657DF3"/>
    <w:rsid w:val="0066063F"/>
    <w:rsid w:val="00662BB0"/>
    <w:rsid w:val="00663878"/>
    <w:rsid w:val="00663A9D"/>
    <w:rsid w:val="00664E76"/>
    <w:rsid w:val="006656A4"/>
    <w:rsid w:val="006657F6"/>
    <w:rsid w:val="00667773"/>
    <w:rsid w:val="00670743"/>
    <w:rsid w:val="0067531D"/>
    <w:rsid w:val="00675BE7"/>
    <w:rsid w:val="00675FEB"/>
    <w:rsid w:val="00677661"/>
    <w:rsid w:val="00680A85"/>
    <w:rsid w:val="00681ADF"/>
    <w:rsid w:val="00681D16"/>
    <w:rsid w:val="00682B7C"/>
    <w:rsid w:val="00683299"/>
    <w:rsid w:val="00683859"/>
    <w:rsid w:val="00686E75"/>
    <w:rsid w:val="00687802"/>
    <w:rsid w:val="006879FF"/>
    <w:rsid w:val="00690006"/>
    <w:rsid w:val="00690CD6"/>
    <w:rsid w:val="00690EE2"/>
    <w:rsid w:val="00691A03"/>
    <w:rsid w:val="00693854"/>
    <w:rsid w:val="00694BEB"/>
    <w:rsid w:val="006969D2"/>
    <w:rsid w:val="006A0E20"/>
    <w:rsid w:val="006A1A6F"/>
    <w:rsid w:val="006A24E3"/>
    <w:rsid w:val="006A3D0F"/>
    <w:rsid w:val="006A4363"/>
    <w:rsid w:val="006A5695"/>
    <w:rsid w:val="006A5E99"/>
    <w:rsid w:val="006A6EAC"/>
    <w:rsid w:val="006B0439"/>
    <w:rsid w:val="006B14FD"/>
    <w:rsid w:val="006B1974"/>
    <w:rsid w:val="006B36C4"/>
    <w:rsid w:val="006B3904"/>
    <w:rsid w:val="006B5B7D"/>
    <w:rsid w:val="006C1A91"/>
    <w:rsid w:val="006C1F3F"/>
    <w:rsid w:val="006C486B"/>
    <w:rsid w:val="006C5618"/>
    <w:rsid w:val="006C5B46"/>
    <w:rsid w:val="006C6E39"/>
    <w:rsid w:val="006C7D25"/>
    <w:rsid w:val="006D0803"/>
    <w:rsid w:val="006D0ECF"/>
    <w:rsid w:val="006D15E4"/>
    <w:rsid w:val="006D1C8A"/>
    <w:rsid w:val="006D3C0E"/>
    <w:rsid w:val="006D3D5B"/>
    <w:rsid w:val="006D48F2"/>
    <w:rsid w:val="006D4C92"/>
    <w:rsid w:val="006D4EB6"/>
    <w:rsid w:val="006D51A4"/>
    <w:rsid w:val="006D6433"/>
    <w:rsid w:val="006D6A4C"/>
    <w:rsid w:val="006D76A1"/>
    <w:rsid w:val="006D7FBC"/>
    <w:rsid w:val="006E1580"/>
    <w:rsid w:val="006E2601"/>
    <w:rsid w:val="006E35BF"/>
    <w:rsid w:val="006E6A14"/>
    <w:rsid w:val="006E74E7"/>
    <w:rsid w:val="006E7850"/>
    <w:rsid w:val="006F19D8"/>
    <w:rsid w:val="006F1F69"/>
    <w:rsid w:val="006F41AA"/>
    <w:rsid w:val="006F43EC"/>
    <w:rsid w:val="006F46D6"/>
    <w:rsid w:val="006F4971"/>
    <w:rsid w:val="006F4BBB"/>
    <w:rsid w:val="007028D9"/>
    <w:rsid w:val="0070396F"/>
    <w:rsid w:val="00705A89"/>
    <w:rsid w:val="00705C37"/>
    <w:rsid w:val="00706625"/>
    <w:rsid w:val="00707218"/>
    <w:rsid w:val="00707707"/>
    <w:rsid w:val="0071082D"/>
    <w:rsid w:val="00710964"/>
    <w:rsid w:val="00710D04"/>
    <w:rsid w:val="00710F62"/>
    <w:rsid w:val="00712B1D"/>
    <w:rsid w:val="00715751"/>
    <w:rsid w:val="007171BA"/>
    <w:rsid w:val="00717616"/>
    <w:rsid w:val="00720134"/>
    <w:rsid w:val="007221EA"/>
    <w:rsid w:val="0072369E"/>
    <w:rsid w:val="0072436D"/>
    <w:rsid w:val="00725380"/>
    <w:rsid w:val="00727413"/>
    <w:rsid w:val="00727D1D"/>
    <w:rsid w:val="00727FDE"/>
    <w:rsid w:val="00730430"/>
    <w:rsid w:val="007305A6"/>
    <w:rsid w:val="00730B5A"/>
    <w:rsid w:val="007325D9"/>
    <w:rsid w:val="0073413F"/>
    <w:rsid w:val="0073583B"/>
    <w:rsid w:val="00735AE0"/>
    <w:rsid w:val="007360CA"/>
    <w:rsid w:val="007368A7"/>
    <w:rsid w:val="00737581"/>
    <w:rsid w:val="00741A1E"/>
    <w:rsid w:val="00742408"/>
    <w:rsid w:val="00742A69"/>
    <w:rsid w:val="0074667B"/>
    <w:rsid w:val="007470BD"/>
    <w:rsid w:val="00747DAF"/>
    <w:rsid w:val="00753112"/>
    <w:rsid w:val="00754BAE"/>
    <w:rsid w:val="0075571B"/>
    <w:rsid w:val="007573A8"/>
    <w:rsid w:val="00757570"/>
    <w:rsid w:val="007577FF"/>
    <w:rsid w:val="00760EC0"/>
    <w:rsid w:val="00762C42"/>
    <w:rsid w:val="007630D3"/>
    <w:rsid w:val="007649CA"/>
    <w:rsid w:val="00766090"/>
    <w:rsid w:val="00766CB6"/>
    <w:rsid w:val="007700AC"/>
    <w:rsid w:val="007711BD"/>
    <w:rsid w:val="00773EE0"/>
    <w:rsid w:val="00774D17"/>
    <w:rsid w:val="0077625F"/>
    <w:rsid w:val="0078003A"/>
    <w:rsid w:val="00780771"/>
    <w:rsid w:val="00780838"/>
    <w:rsid w:val="00783ACB"/>
    <w:rsid w:val="007869AE"/>
    <w:rsid w:val="00791D3A"/>
    <w:rsid w:val="007929CF"/>
    <w:rsid w:val="00792EEA"/>
    <w:rsid w:val="00794484"/>
    <w:rsid w:val="007968CF"/>
    <w:rsid w:val="00797BA8"/>
    <w:rsid w:val="007A081D"/>
    <w:rsid w:val="007A1657"/>
    <w:rsid w:val="007A30FC"/>
    <w:rsid w:val="007A48F7"/>
    <w:rsid w:val="007A49E7"/>
    <w:rsid w:val="007A4C69"/>
    <w:rsid w:val="007A6AA0"/>
    <w:rsid w:val="007A6F28"/>
    <w:rsid w:val="007B00F9"/>
    <w:rsid w:val="007B03C6"/>
    <w:rsid w:val="007B0DB1"/>
    <w:rsid w:val="007B1AA1"/>
    <w:rsid w:val="007B1D63"/>
    <w:rsid w:val="007B3762"/>
    <w:rsid w:val="007B5673"/>
    <w:rsid w:val="007B5EB0"/>
    <w:rsid w:val="007B6DA0"/>
    <w:rsid w:val="007B7238"/>
    <w:rsid w:val="007B76FF"/>
    <w:rsid w:val="007B7891"/>
    <w:rsid w:val="007B7967"/>
    <w:rsid w:val="007C182B"/>
    <w:rsid w:val="007C2A35"/>
    <w:rsid w:val="007C32B1"/>
    <w:rsid w:val="007C3861"/>
    <w:rsid w:val="007C3BF6"/>
    <w:rsid w:val="007C3D8A"/>
    <w:rsid w:val="007C4974"/>
    <w:rsid w:val="007C67B3"/>
    <w:rsid w:val="007C67D8"/>
    <w:rsid w:val="007D0FD2"/>
    <w:rsid w:val="007D128B"/>
    <w:rsid w:val="007D2EF8"/>
    <w:rsid w:val="007D561F"/>
    <w:rsid w:val="007D57CC"/>
    <w:rsid w:val="007D6773"/>
    <w:rsid w:val="007D6F75"/>
    <w:rsid w:val="007D76CE"/>
    <w:rsid w:val="007D7FD2"/>
    <w:rsid w:val="007E13D9"/>
    <w:rsid w:val="007E1D45"/>
    <w:rsid w:val="007E2AEC"/>
    <w:rsid w:val="007E41BE"/>
    <w:rsid w:val="007E4600"/>
    <w:rsid w:val="007E4DB6"/>
    <w:rsid w:val="007E5A42"/>
    <w:rsid w:val="007E61E1"/>
    <w:rsid w:val="007E6733"/>
    <w:rsid w:val="007E7CD4"/>
    <w:rsid w:val="007F12AC"/>
    <w:rsid w:val="007F4501"/>
    <w:rsid w:val="007F5500"/>
    <w:rsid w:val="007F60DF"/>
    <w:rsid w:val="00801800"/>
    <w:rsid w:val="00801861"/>
    <w:rsid w:val="00801B5B"/>
    <w:rsid w:val="00803800"/>
    <w:rsid w:val="00805A30"/>
    <w:rsid w:val="00806110"/>
    <w:rsid w:val="0081002E"/>
    <w:rsid w:val="0081239E"/>
    <w:rsid w:val="00813734"/>
    <w:rsid w:val="00814859"/>
    <w:rsid w:val="008151AE"/>
    <w:rsid w:val="00815A6C"/>
    <w:rsid w:val="00816232"/>
    <w:rsid w:val="00816671"/>
    <w:rsid w:val="008216E7"/>
    <w:rsid w:val="00823D6B"/>
    <w:rsid w:val="008252EA"/>
    <w:rsid w:val="00825BE6"/>
    <w:rsid w:val="008268F8"/>
    <w:rsid w:val="00826BE3"/>
    <w:rsid w:val="00826D46"/>
    <w:rsid w:val="008276B4"/>
    <w:rsid w:val="00827B67"/>
    <w:rsid w:val="00830358"/>
    <w:rsid w:val="00831927"/>
    <w:rsid w:val="00833D73"/>
    <w:rsid w:val="008340F2"/>
    <w:rsid w:val="00834182"/>
    <w:rsid w:val="00835D4F"/>
    <w:rsid w:val="00837288"/>
    <w:rsid w:val="00840D70"/>
    <w:rsid w:val="00841BD3"/>
    <w:rsid w:val="00841D80"/>
    <w:rsid w:val="008425F4"/>
    <w:rsid w:val="0084273D"/>
    <w:rsid w:val="0084406B"/>
    <w:rsid w:val="00844E3F"/>
    <w:rsid w:val="00845A83"/>
    <w:rsid w:val="00846BB9"/>
    <w:rsid w:val="00846EDE"/>
    <w:rsid w:val="00847121"/>
    <w:rsid w:val="008477A9"/>
    <w:rsid w:val="008478AC"/>
    <w:rsid w:val="0085174D"/>
    <w:rsid w:val="00851F11"/>
    <w:rsid w:val="0085334B"/>
    <w:rsid w:val="0086049F"/>
    <w:rsid w:val="008606F8"/>
    <w:rsid w:val="00861289"/>
    <w:rsid w:val="00861B1E"/>
    <w:rsid w:val="0086270B"/>
    <w:rsid w:val="0086346A"/>
    <w:rsid w:val="008634E2"/>
    <w:rsid w:val="008649D5"/>
    <w:rsid w:val="00865327"/>
    <w:rsid w:val="00870338"/>
    <w:rsid w:val="008712BB"/>
    <w:rsid w:val="00872ACC"/>
    <w:rsid w:val="00874C29"/>
    <w:rsid w:val="0088227C"/>
    <w:rsid w:val="008830E7"/>
    <w:rsid w:val="008859CC"/>
    <w:rsid w:val="00890EDE"/>
    <w:rsid w:val="00891AFE"/>
    <w:rsid w:val="008927AA"/>
    <w:rsid w:val="00892B38"/>
    <w:rsid w:val="00895435"/>
    <w:rsid w:val="008A0574"/>
    <w:rsid w:val="008A1741"/>
    <w:rsid w:val="008A2484"/>
    <w:rsid w:val="008A4BC4"/>
    <w:rsid w:val="008A52F3"/>
    <w:rsid w:val="008B00F4"/>
    <w:rsid w:val="008B1BC5"/>
    <w:rsid w:val="008B2654"/>
    <w:rsid w:val="008B6F7F"/>
    <w:rsid w:val="008B7F65"/>
    <w:rsid w:val="008C0619"/>
    <w:rsid w:val="008C26D9"/>
    <w:rsid w:val="008C6D50"/>
    <w:rsid w:val="008C7167"/>
    <w:rsid w:val="008C7503"/>
    <w:rsid w:val="008D1617"/>
    <w:rsid w:val="008D330F"/>
    <w:rsid w:val="008D48C1"/>
    <w:rsid w:val="008E6315"/>
    <w:rsid w:val="008E7C16"/>
    <w:rsid w:val="008E7DD4"/>
    <w:rsid w:val="008F0480"/>
    <w:rsid w:val="008F07FC"/>
    <w:rsid w:val="008F0F37"/>
    <w:rsid w:val="008F11E0"/>
    <w:rsid w:val="008F1297"/>
    <w:rsid w:val="008F2483"/>
    <w:rsid w:val="008F3726"/>
    <w:rsid w:val="008F3DEB"/>
    <w:rsid w:val="008F3EA7"/>
    <w:rsid w:val="008F4521"/>
    <w:rsid w:val="008F5992"/>
    <w:rsid w:val="008F59CB"/>
    <w:rsid w:val="008F6708"/>
    <w:rsid w:val="008F7897"/>
    <w:rsid w:val="008F78BC"/>
    <w:rsid w:val="008F7B63"/>
    <w:rsid w:val="008F7D6A"/>
    <w:rsid w:val="00900305"/>
    <w:rsid w:val="0090086C"/>
    <w:rsid w:val="00900ED4"/>
    <w:rsid w:val="009012BD"/>
    <w:rsid w:val="00901C86"/>
    <w:rsid w:val="00903603"/>
    <w:rsid w:val="009054CB"/>
    <w:rsid w:val="00911F8D"/>
    <w:rsid w:val="0091297F"/>
    <w:rsid w:val="00912F94"/>
    <w:rsid w:val="009139F2"/>
    <w:rsid w:val="00913C51"/>
    <w:rsid w:val="009151E1"/>
    <w:rsid w:val="009159DC"/>
    <w:rsid w:val="00915DC0"/>
    <w:rsid w:val="009169B0"/>
    <w:rsid w:val="009171BC"/>
    <w:rsid w:val="00917640"/>
    <w:rsid w:val="00917D1F"/>
    <w:rsid w:val="009225EB"/>
    <w:rsid w:val="0092497E"/>
    <w:rsid w:val="00924F68"/>
    <w:rsid w:val="0092590B"/>
    <w:rsid w:val="00925BF3"/>
    <w:rsid w:val="00925E60"/>
    <w:rsid w:val="0092634B"/>
    <w:rsid w:val="009264B3"/>
    <w:rsid w:val="009266AA"/>
    <w:rsid w:val="00931E4C"/>
    <w:rsid w:val="0093582A"/>
    <w:rsid w:val="009365E0"/>
    <w:rsid w:val="0094031B"/>
    <w:rsid w:val="00940B03"/>
    <w:rsid w:val="00942BA2"/>
    <w:rsid w:val="009432B7"/>
    <w:rsid w:val="009442CB"/>
    <w:rsid w:val="00944C86"/>
    <w:rsid w:val="00947C02"/>
    <w:rsid w:val="00950330"/>
    <w:rsid w:val="00950557"/>
    <w:rsid w:val="00950A55"/>
    <w:rsid w:val="00950BE6"/>
    <w:rsid w:val="00950DCF"/>
    <w:rsid w:val="009514B1"/>
    <w:rsid w:val="00951A7A"/>
    <w:rsid w:val="009538B3"/>
    <w:rsid w:val="00953AE2"/>
    <w:rsid w:val="00953B60"/>
    <w:rsid w:val="00954462"/>
    <w:rsid w:val="00954F06"/>
    <w:rsid w:val="00955DB6"/>
    <w:rsid w:val="00956BD7"/>
    <w:rsid w:val="00957DE8"/>
    <w:rsid w:val="00960ECB"/>
    <w:rsid w:val="00961577"/>
    <w:rsid w:val="009615D6"/>
    <w:rsid w:val="00966061"/>
    <w:rsid w:val="00967855"/>
    <w:rsid w:val="00970A48"/>
    <w:rsid w:val="00971CD1"/>
    <w:rsid w:val="009738EA"/>
    <w:rsid w:val="00974558"/>
    <w:rsid w:val="00974709"/>
    <w:rsid w:val="009801AE"/>
    <w:rsid w:val="00980736"/>
    <w:rsid w:val="0098094F"/>
    <w:rsid w:val="00981A39"/>
    <w:rsid w:val="00982D56"/>
    <w:rsid w:val="00983DBF"/>
    <w:rsid w:val="00984C12"/>
    <w:rsid w:val="00985C7B"/>
    <w:rsid w:val="00987097"/>
    <w:rsid w:val="00987C33"/>
    <w:rsid w:val="00991123"/>
    <w:rsid w:val="00991AF0"/>
    <w:rsid w:val="00991CAB"/>
    <w:rsid w:val="00992696"/>
    <w:rsid w:val="0099286D"/>
    <w:rsid w:val="00993608"/>
    <w:rsid w:val="009951E3"/>
    <w:rsid w:val="00995D2B"/>
    <w:rsid w:val="009A1BDB"/>
    <w:rsid w:val="009A219E"/>
    <w:rsid w:val="009A274B"/>
    <w:rsid w:val="009A3A9C"/>
    <w:rsid w:val="009A3F24"/>
    <w:rsid w:val="009A7A92"/>
    <w:rsid w:val="009B00D6"/>
    <w:rsid w:val="009B046C"/>
    <w:rsid w:val="009B13FA"/>
    <w:rsid w:val="009B1421"/>
    <w:rsid w:val="009B1E2D"/>
    <w:rsid w:val="009B1EB6"/>
    <w:rsid w:val="009B2AA1"/>
    <w:rsid w:val="009B4482"/>
    <w:rsid w:val="009B54E3"/>
    <w:rsid w:val="009B6C0C"/>
    <w:rsid w:val="009C1C90"/>
    <w:rsid w:val="009C3BF9"/>
    <w:rsid w:val="009C4DE9"/>
    <w:rsid w:val="009C5120"/>
    <w:rsid w:val="009C59FB"/>
    <w:rsid w:val="009C6B40"/>
    <w:rsid w:val="009C6F3B"/>
    <w:rsid w:val="009D0FBD"/>
    <w:rsid w:val="009D1467"/>
    <w:rsid w:val="009D293F"/>
    <w:rsid w:val="009D328D"/>
    <w:rsid w:val="009D37BF"/>
    <w:rsid w:val="009D4744"/>
    <w:rsid w:val="009E0EA0"/>
    <w:rsid w:val="009E33D0"/>
    <w:rsid w:val="009E4FA6"/>
    <w:rsid w:val="009E7D93"/>
    <w:rsid w:val="009E7EEB"/>
    <w:rsid w:val="009F1331"/>
    <w:rsid w:val="009F3769"/>
    <w:rsid w:val="009F3C34"/>
    <w:rsid w:val="009F462C"/>
    <w:rsid w:val="009F5C33"/>
    <w:rsid w:val="00A00CC5"/>
    <w:rsid w:val="00A0106D"/>
    <w:rsid w:val="00A026F0"/>
    <w:rsid w:val="00A039AA"/>
    <w:rsid w:val="00A03EAC"/>
    <w:rsid w:val="00A04DBB"/>
    <w:rsid w:val="00A07EA0"/>
    <w:rsid w:val="00A11CA6"/>
    <w:rsid w:val="00A12C28"/>
    <w:rsid w:val="00A13C2A"/>
    <w:rsid w:val="00A20C49"/>
    <w:rsid w:val="00A22932"/>
    <w:rsid w:val="00A24CA6"/>
    <w:rsid w:val="00A269CA"/>
    <w:rsid w:val="00A302B3"/>
    <w:rsid w:val="00A3062A"/>
    <w:rsid w:val="00A318BB"/>
    <w:rsid w:val="00A336EE"/>
    <w:rsid w:val="00A33F46"/>
    <w:rsid w:val="00A3427E"/>
    <w:rsid w:val="00A35304"/>
    <w:rsid w:val="00A359AC"/>
    <w:rsid w:val="00A361C6"/>
    <w:rsid w:val="00A371C5"/>
    <w:rsid w:val="00A37D91"/>
    <w:rsid w:val="00A37DCE"/>
    <w:rsid w:val="00A40887"/>
    <w:rsid w:val="00A40A2D"/>
    <w:rsid w:val="00A40F83"/>
    <w:rsid w:val="00A410FB"/>
    <w:rsid w:val="00A41413"/>
    <w:rsid w:val="00A41E5D"/>
    <w:rsid w:val="00A431E6"/>
    <w:rsid w:val="00A436E8"/>
    <w:rsid w:val="00A44811"/>
    <w:rsid w:val="00A45BBC"/>
    <w:rsid w:val="00A45FB1"/>
    <w:rsid w:val="00A46A0F"/>
    <w:rsid w:val="00A46CCC"/>
    <w:rsid w:val="00A47996"/>
    <w:rsid w:val="00A514BD"/>
    <w:rsid w:val="00A51CFE"/>
    <w:rsid w:val="00A5204D"/>
    <w:rsid w:val="00A5468E"/>
    <w:rsid w:val="00A56E77"/>
    <w:rsid w:val="00A6102C"/>
    <w:rsid w:val="00A61605"/>
    <w:rsid w:val="00A61A7E"/>
    <w:rsid w:val="00A62A8F"/>
    <w:rsid w:val="00A6327C"/>
    <w:rsid w:val="00A65E64"/>
    <w:rsid w:val="00A65F97"/>
    <w:rsid w:val="00A67389"/>
    <w:rsid w:val="00A67D98"/>
    <w:rsid w:val="00A726DC"/>
    <w:rsid w:val="00A7331F"/>
    <w:rsid w:val="00A73B04"/>
    <w:rsid w:val="00A74766"/>
    <w:rsid w:val="00A7653D"/>
    <w:rsid w:val="00A76A35"/>
    <w:rsid w:val="00A76C13"/>
    <w:rsid w:val="00A77582"/>
    <w:rsid w:val="00A77786"/>
    <w:rsid w:val="00A823D2"/>
    <w:rsid w:val="00A82C97"/>
    <w:rsid w:val="00A84FD0"/>
    <w:rsid w:val="00A856E4"/>
    <w:rsid w:val="00A85DD1"/>
    <w:rsid w:val="00A91390"/>
    <w:rsid w:val="00A92710"/>
    <w:rsid w:val="00A92E79"/>
    <w:rsid w:val="00A950B6"/>
    <w:rsid w:val="00A95AC2"/>
    <w:rsid w:val="00A95D45"/>
    <w:rsid w:val="00AA0B12"/>
    <w:rsid w:val="00AA2537"/>
    <w:rsid w:val="00AA3EA8"/>
    <w:rsid w:val="00AA4481"/>
    <w:rsid w:val="00AB215E"/>
    <w:rsid w:val="00AB39EA"/>
    <w:rsid w:val="00AB41C1"/>
    <w:rsid w:val="00AB4CF2"/>
    <w:rsid w:val="00AB6CCA"/>
    <w:rsid w:val="00AC02B2"/>
    <w:rsid w:val="00AC1FDE"/>
    <w:rsid w:val="00AC2058"/>
    <w:rsid w:val="00AC223F"/>
    <w:rsid w:val="00AC33B1"/>
    <w:rsid w:val="00AC48E5"/>
    <w:rsid w:val="00AC664F"/>
    <w:rsid w:val="00AC7990"/>
    <w:rsid w:val="00AD12A8"/>
    <w:rsid w:val="00AD75F5"/>
    <w:rsid w:val="00AD7B7C"/>
    <w:rsid w:val="00AE023F"/>
    <w:rsid w:val="00AE4258"/>
    <w:rsid w:val="00AE447A"/>
    <w:rsid w:val="00AF07AB"/>
    <w:rsid w:val="00AF092A"/>
    <w:rsid w:val="00AF107E"/>
    <w:rsid w:val="00AF3577"/>
    <w:rsid w:val="00AF35F9"/>
    <w:rsid w:val="00AF4252"/>
    <w:rsid w:val="00AF6CD3"/>
    <w:rsid w:val="00B00495"/>
    <w:rsid w:val="00B00E19"/>
    <w:rsid w:val="00B01022"/>
    <w:rsid w:val="00B0424C"/>
    <w:rsid w:val="00B04868"/>
    <w:rsid w:val="00B05C7D"/>
    <w:rsid w:val="00B05CFC"/>
    <w:rsid w:val="00B06F07"/>
    <w:rsid w:val="00B12EA3"/>
    <w:rsid w:val="00B144BB"/>
    <w:rsid w:val="00B15D57"/>
    <w:rsid w:val="00B15D88"/>
    <w:rsid w:val="00B160F6"/>
    <w:rsid w:val="00B16347"/>
    <w:rsid w:val="00B17D6E"/>
    <w:rsid w:val="00B17D70"/>
    <w:rsid w:val="00B21E53"/>
    <w:rsid w:val="00B22391"/>
    <w:rsid w:val="00B22B9C"/>
    <w:rsid w:val="00B24351"/>
    <w:rsid w:val="00B2435E"/>
    <w:rsid w:val="00B24D90"/>
    <w:rsid w:val="00B27086"/>
    <w:rsid w:val="00B27A18"/>
    <w:rsid w:val="00B300A7"/>
    <w:rsid w:val="00B31116"/>
    <w:rsid w:val="00B33039"/>
    <w:rsid w:val="00B346C3"/>
    <w:rsid w:val="00B4005C"/>
    <w:rsid w:val="00B4227E"/>
    <w:rsid w:val="00B437A1"/>
    <w:rsid w:val="00B437C1"/>
    <w:rsid w:val="00B4409F"/>
    <w:rsid w:val="00B441B4"/>
    <w:rsid w:val="00B4471C"/>
    <w:rsid w:val="00B450C3"/>
    <w:rsid w:val="00B451A6"/>
    <w:rsid w:val="00B45613"/>
    <w:rsid w:val="00B456B5"/>
    <w:rsid w:val="00B466FB"/>
    <w:rsid w:val="00B525E2"/>
    <w:rsid w:val="00B52DED"/>
    <w:rsid w:val="00B55865"/>
    <w:rsid w:val="00B56D6E"/>
    <w:rsid w:val="00B620D4"/>
    <w:rsid w:val="00B64347"/>
    <w:rsid w:val="00B65DC6"/>
    <w:rsid w:val="00B67657"/>
    <w:rsid w:val="00B67AC2"/>
    <w:rsid w:val="00B710A2"/>
    <w:rsid w:val="00B714D5"/>
    <w:rsid w:val="00B71E44"/>
    <w:rsid w:val="00B722DE"/>
    <w:rsid w:val="00B72840"/>
    <w:rsid w:val="00B73B32"/>
    <w:rsid w:val="00B751E3"/>
    <w:rsid w:val="00B75BA6"/>
    <w:rsid w:val="00B76C44"/>
    <w:rsid w:val="00B80652"/>
    <w:rsid w:val="00B816B3"/>
    <w:rsid w:val="00B8184A"/>
    <w:rsid w:val="00B82283"/>
    <w:rsid w:val="00B828D8"/>
    <w:rsid w:val="00B83F87"/>
    <w:rsid w:val="00B8431C"/>
    <w:rsid w:val="00B85D16"/>
    <w:rsid w:val="00B87CDC"/>
    <w:rsid w:val="00B910C1"/>
    <w:rsid w:val="00B91442"/>
    <w:rsid w:val="00B92680"/>
    <w:rsid w:val="00B9532C"/>
    <w:rsid w:val="00B955BB"/>
    <w:rsid w:val="00B95D8B"/>
    <w:rsid w:val="00BA2CA4"/>
    <w:rsid w:val="00BA2EFA"/>
    <w:rsid w:val="00BA3DBC"/>
    <w:rsid w:val="00BA5C30"/>
    <w:rsid w:val="00BA707A"/>
    <w:rsid w:val="00BB02C3"/>
    <w:rsid w:val="00BB1308"/>
    <w:rsid w:val="00BB1671"/>
    <w:rsid w:val="00BB1AFB"/>
    <w:rsid w:val="00BB27AE"/>
    <w:rsid w:val="00BB2DA2"/>
    <w:rsid w:val="00BB487B"/>
    <w:rsid w:val="00BB4B75"/>
    <w:rsid w:val="00BB56DC"/>
    <w:rsid w:val="00BB5892"/>
    <w:rsid w:val="00BB5E48"/>
    <w:rsid w:val="00BB6D6B"/>
    <w:rsid w:val="00BB71DC"/>
    <w:rsid w:val="00BB7DBF"/>
    <w:rsid w:val="00BC4B3D"/>
    <w:rsid w:val="00BC514B"/>
    <w:rsid w:val="00BC5405"/>
    <w:rsid w:val="00BC7180"/>
    <w:rsid w:val="00BD0297"/>
    <w:rsid w:val="00BD04E9"/>
    <w:rsid w:val="00BD1941"/>
    <w:rsid w:val="00BD39D7"/>
    <w:rsid w:val="00BD4D78"/>
    <w:rsid w:val="00BD5C64"/>
    <w:rsid w:val="00BD5DBF"/>
    <w:rsid w:val="00BD6C09"/>
    <w:rsid w:val="00BE183D"/>
    <w:rsid w:val="00BE668A"/>
    <w:rsid w:val="00BE6DF8"/>
    <w:rsid w:val="00BE6F8B"/>
    <w:rsid w:val="00BF1A75"/>
    <w:rsid w:val="00BF24C2"/>
    <w:rsid w:val="00BF2922"/>
    <w:rsid w:val="00BF4787"/>
    <w:rsid w:val="00BF48A6"/>
    <w:rsid w:val="00BF5D7A"/>
    <w:rsid w:val="00BF78CF"/>
    <w:rsid w:val="00C01C2E"/>
    <w:rsid w:val="00C02D33"/>
    <w:rsid w:val="00C02D71"/>
    <w:rsid w:val="00C04B53"/>
    <w:rsid w:val="00C1232C"/>
    <w:rsid w:val="00C13F96"/>
    <w:rsid w:val="00C140D8"/>
    <w:rsid w:val="00C140EA"/>
    <w:rsid w:val="00C14602"/>
    <w:rsid w:val="00C20864"/>
    <w:rsid w:val="00C22750"/>
    <w:rsid w:val="00C2286E"/>
    <w:rsid w:val="00C25539"/>
    <w:rsid w:val="00C27C6B"/>
    <w:rsid w:val="00C304E7"/>
    <w:rsid w:val="00C31837"/>
    <w:rsid w:val="00C33A75"/>
    <w:rsid w:val="00C3594D"/>
    <w:rsid w:val="00C36442"/>
    <w:rsid w:val="00C37B03"/>
    <w:rsid w:val="00C400CE"/>
    <w:rsid w:val="00C410FD"/>
    <w:rsid w:val="00C412BB"/>
    <w:rsid w:val="00C4417B"/>
    <w:rsid w:val="00C4419E"/>
    <w:rsid w:val="00C44C5D"/>
    <w:rsid w:val="00C44E4B"/>
    <w:rsid w:val="00C457DE"/>
    <w:rsid w:val="00C47042"/>
    <w:rsid w:val="00C47DD3"/>
    <w:rsid w:val="00C527A4"/>
    <w:rsid w:val="00C530E8"/>
    <w:rsid w:val="00C5316F"/>
    <w:rsid w:val="00C53562"/>
    <w:rsid w:val="00C539FB"/>
    <w:rsid w:val="00C5684A"/>
    <w:rsid w:val="00C608E1"/>
    <w:rsid w:val="00C61830"/>
    <w:rsid w:val="00C646B3"/>
    <w:rsid w:val="00C66347"/>
    <w:rsid w:val="00C66AA3"/>
    <w:rsid w:val="00C66E57"/>
    <w:rsid w:val="00C67EA0"/>
    <w:rsid w:val="00C708BC"/>
    <w:rsid w:val="00C71F7F"/>
    <w:rsid w:val="00C724D7"/>
    <w:rsid w:val="00C739DB"/>
    <w:rsid w:val="00C7401D"/>
    <w:rsid w:val="00C74150"/>
    <w:rsid w:val="00C75594"/>
    <w:rsid w:val="00C7568B"/>
    <w:rsid w:val="00C75869"/>
    <w:rsid w:val="00C762FA"/>
    <w:rsid w:val="00C774BA"/>
    <w:rsid w:val="00C776F5"/>
    <w:rsid w:val="00C80202"/>
    <w:rsid w:val="00C828A2"/>
    <w:rsid w:val="00C85982"/>
    <w:rsid w:val="00C90037"/>
    <w:rsid w:val="00C9192B"/>
    <w:rsid w:val="00C91FB7"/>
    <w:rsid w:val="00CA0466"/>
    <w:rsid w:val="00CA1A48"/>
    <w:rsid w:val="00CA246D"/>
    <w:rsid w:val="00CA3239"/>
    <w:rsid w:val="00CA50D9"/>
    <w:rsid w:val="00CA5649"/>
    <w:rsid w:val="00CA7969"/>
    <w:rsid w:val="00CB3054"/>
    <w:rsid w:val="00CB3267"/>
    <w:rsid w:val="00CB5305"/>
    <w:rsid w:val="00CB5329"/>
    <w:rsid w:val="00CB5636"/>
    <w:rsid w:val="00CB594D"/>
    <w:rsid w:val="00CB5F30"/>
    <w:rsid w:val="00CB6398"/>
    <w:rsid w:val="00CB6D40"/>
    <w:rsid w:val="00CB7035"/>
    <w:rsid w:val="00CB71D8"/>
    <w:rsid w:val="00CC24BB"/>
    <w:rsid w:val="00CC2FDC"/>
    <w:rsid w:val="00CC3EE5"/>
    <w:rsid w:val="00CC4410"/>
    <w:rsid w:val="00CC4607"/>
    <w:rsid w:val="00CC6E47"/>
    <w:rsid w:val="00CD0CA1"/>
    <w:rsid w:val="00CD1346"/>
    <w:rsid w:val="00CD137E"/>
    <w:rsid w:val="00CD2623"/>
    <w:rsid w:val="00CD2744"/>
    <w:rsid w:val="00CD3688"/>
    <w:rsid w:val="00CD54BD"/>
    <w:rsid w:val="00CE17DA"/>
    <w:rsid w:val="00CE32E5"/>
    <w:rsid w:val="00CE425C"/>
    <w:rsid w:val="00CE58AC"/>
    <w:rsid w:val="00CF5A80"/>
    <w:rsid w:val="00CF74C0"/>
    <w:rsid w:val="00CF7BC6"/>
    <w:rsid w:val="00D00D45"/>
    <w:rsid w:val="00D01C8C"/>
    <w:rsid w:val="00D01E4E"/>
    <w:rsid w:val="00D021B4"/>
    <w:rsid w:val="00D045EE"/>
    <w:rsid w:val="00D05091"/>
    <w:rsid w:val="00D10CA6"/>
    <w:rsid w:val="00D10F21"/>
    <w:rsid w:val="00D11ED7"/>
    <w:rsid w:val="00D12571"/>
    <w:rsid w:val="00D134CF"/>
    <w:rsid w:val="00D14104"/>
    <w:rsid w:val="00D1573B"/>
    <w:rsid w:val="00D207A7"/>
    <w:rsid w:val="00D20FF4"/>
    <w:rsid w:val="00D22CA6"/>
    <w:rsid w:val="00D23C03"/>
    <w:rsid w:val="00D23D9C"/>
    <w:rsid w:val="00D245A3"/>
    <w:rsid w:val="00D24806"/>
    <w:rsid w:val="00D24979"/>
    <w:rsid w:val="00D305D9"/>
    <w:rsid w:val="00D3107C"/>
    <w:rsid w:val="00D314E5"/>
    <w:rsid w:val="00D316BA"/>
    <w:rsid w:val="00D33F7C"/>
    <w:rsid w:val="00D34040"/>
    <w:rsid w:val="00D344DA"/>
    <w:rsid w:val="00D34E69"/>
    <w:rsid w:val="00D3525C"/>
    <w:rsid w:val="00D36C78"/>
    <w:rsid w:val="00D375EE"/>
    <w:rsid w:val="00D40E4F"/>
    <w:rsid w:val="00D42D1D"/>
    <w:rsid w:val="00D448AB"/>
    <w:rsid w:val="00D4553A"/>
    <w:rsid w:val="00D45602"/>
    <w:rsid w:val="00D46761"/>
    <w:rsid w:val="00D46F6E"/>
    <w:rsid w:val="00D47E3F"/>
    <w:rsid w:val="00D50106"/>
    <w:rsid w:val="00D5084F"/>
    <w:rsid w:val="00D51787"/>
    <w:rsid w:val="00D53874"/>
    <w:rsid w:val="00D538B0"/>
    <w:rsid w:val="00D546D2"/>
    <w:rsid w:val="00D55AE8"/>
    <w:rsid w:val="00D55D9F"/>
    <w:rsid w:val="00D56056"/>
    <w:rsid w:val="00D5687B"/>
    <w:rsid w:val="00D56EE1"/>
    <w:rsid w:val="00D60442"/>
    <w:rsid w:val="00D6085F"/>
    <w:rsid w:val="00D62699"/>
    <w:rsid w:val="00D63E2A"/>
    <w:rsid w:val="00D65029"/>
    <w:rsid w:val="00D71447"/>
    <w:rsid w:val="00D75021"/>
    <w:rsid w:val="00D7515C"/>
    <w:rsid w:val="00D75961"/>
    <w:rsid w:val="00D761A0"/>
    <w:rsid w:val="00D76D0A"/>
    <w:rsid w:val="00D778E9"/>
    <w:rsid w:val="00D8122C"/>
    <w:rsid w:val="00D812BF"/>
    <w:rsid w:val="00D81695"/>
    <w:rsid w:val="00D82620"/>
    <w:rsid w:val="00D8296A"/>
    <w:rsid w:val="00D82D04"/>
    <w:rsid w:val="00D844C5"/>
    <w:rsid w:val="00D85707"/>
    <w:rsid w:val="00D8759D"/>
    <w:rsid w:val="00D87F80"/>
    <w:rsid w:val="00D90819"/>
    <w:rsid w:val="00D90D3E"/>
    <w:rsid w:val="00D92A46"/>
    <w:rsid w:val="00D92AE5"/>
    <w:rsid w:val="00D93160"/>
    <w:rsid w:val="00D9725F"/>
    <w:rsid w:val="00D978AF"/>
    <w:rsid w:val="00DA01B1"/>
    <w:rsid w:val="00DA11A2"/>
    <w:rsid w:val="00DA14ED"/>
    <w:rsid w:val="00DA1EF1"/>
    <w:rsid w:val="00DA26D6"/>
    <w:rsid w:val="00DA4F39"/>
    <w:rsid w:val="00DB07A3"/>
    <w:rsid w:val="00DB2EF1"/>
    <w:rsid w:val="00DB34A1"/>
    <w:rsid w:val="00DB3C84"/>
    <w:rsid w:val="00DB3DB8"/>
    <w:rsid w:val="00DB3DE1"/>
    <w:rsid w:val="00DB5646"/>
    <w:rsid w:val="00DB5DA0"/>
    <w:rsid w:val="00DB716C"/>
    <w:rsid w:val="00DC1122"/>
    <w:rsid w:val="00DC1A1D"/>
    <w:rsid w:val="00DC1BF0"/>
    <w:rsid w:val="00DC2EA0"/>
    <w:rsid w:val="00DC3B0A"/>
    <w:rsid w:val="00DC5C85"/>
    <w:rsid w:val="00DC750B"/>
    <w:rsid w:val="00DC7C5D"/>
    <w:rsid w:val="00DD2635"/>
    <w:rsid w:val="00DD277E"/>
    <w:rsid w:val="00DD3723"/>
    <w:rsid w:val="00DD3B9A"/>
    <w:rsid w:val="00DD3E76"/>
    <w:rsid w:val="00DD4236"/>
    <w:rsid w:val="00DD429E"/>
    <w:rsid w:val="00DD44F1"/>
    <w:rsid w:val="00DD4C40"/>
    <w:rsid w:val="00DD4D19"/>
    <w:rsid w:val="00DD54D7"/>
    <w:rsid w:val="00DD6829"/>
    <w:rsid w:val="00DD6957"/>
    <w:rsid w:val="00DD6B71"/>
    <w:rsid w:val="00DD6E7A"/>
    <w:rsid w:val="00DE0128"/>
    <w:rsid w:val="00DE0E5E"/>
    <w:rsid w:val="00DE3067"/>
    <w:rsid w:val="00DE4356"/>
    <w:rsid w:val="00DE4FCD"/>
    <w:rsid w:val="00DF2D13"/>
    <w:rsid w:val="00DF3567"/>
    <w:rsid w:val="00DF3EEE"/>
    <w:rsid w:val="00DF75E1"/>
    <w:rsid w:val="00E00805"/>
    <w:rsid w:val="00E027BC"/>
    <w:rsid w:val="00E041E4"/>
    <w:rsid w:val="00E045BE"/>
    <w:rsid w:val="00E05A2B"/>
    <w:rsid w:val="00E10025"/>
    <w:rsid w:val="00E10F0D"/>
    <w:rsid w:val="00E111F6"/>
    <w:rsid w:val="00E14EA5"/>
    <w:rsid w:val="00E15CBB"/>
    <w:rsid w:val="00E2070E"/>
    <w:rsid w:val="00E20C34"/>
    <w:rsid w:val="00E21031"/>
    <w:rsid w:val="00E21133"/>
    <w:rsid w:val="00E2284C"/>
    <w:rsid w:val="00E2327E"/>
    <w:rsid w:val="00E23577"/>
    <w:rsid w:val="00E266EF"/>
    <w:rsid w:val="00E26797"/>
    <w:rsid w:val="00E326A8"/>
    <w:rsid w:val="00E40572"/>
    <w:rsid w:val="00E419A6"/>
    <w:rsid w:val="00E43721"/>
    <w:rsid w:val="00E43B55"/>
    <w:rsid w:val="00E43B84"/>
    <w:rsid w:val="00E44588"/>
    <w:rsid w:val="00E44A8D"/>
    <w:rsid w:val="00E46E93"/>
    <w:rsid w:val="00E47428"/>
    <w:rsid w:val="00E519B4"/>
    <w:rsid w:val="00E5310D"/>
    <w:rsid w:val="00E537DB"/>
    <w:rsid w:val="00E54F31"/>
    <w:rsid w:val="00E565C7"/>
    <w:rsid w:val="00E56BB9"/>
    <w:rsid w:val="00E56C8E"/>
    <w:rsid w:val="00E56CDF"/>
    <w:rsid w:val="00E5716B"/>
    <w:rsid w:val="00E57F1F"/>
    <w:rsid w:val="00E602FB"/>
    <w:rsid w:val="00E604D1"/>
    <w:rsid w:val="00E62D84"/>
    <w:rsid w:val="00E642A8"/>
    <w:rsid w:val="00E66134"/>
    <w:rsid w:val="00E66B9F"/>
    <w:rsid w:val="00E671C2"/>
    <w:rsid w:val="00E70527"/>
    <w:rsid w:val="00E70804"/>
    <w:rsid w:val="00E70A6A"/>
    <w:rsid w:val="00E710D6"/>
    <w:rsid w:val="00E71177"/>
    <w:rsid w:val="00E73DA4"/>
    <w:rsid w:val="00E74661"/>
    <w:rsid w:val="00E74EEC"/>
    <w:rsid w:val="00E76402"/>
    <w:rsid w:val="00E768EF"/>
    <w:rsid w:val="00E76E45"/>
    <w:rsid w:val="00E777C9"/>
    <w:rsid w:val="00E81A98"/>
    <w:rsid w:val="00E81DA6"/>
    <w:rsid w:val="00E83789"/>
    <w:rsid w:val="00E839D6"/>
    <w:rsid w:val="00E84212"/>
    <w:rsid w:val="00E844FF"/>
    <w:rsid w:val="00E9086C"/>
    <w:rsid w:val="00E909C7"/>
    <w:rsid w:val="00E90AAA"/>
    <w:rsid w:val="00E90D12"/>
    <w:rsid w:val="00E91A0F"/>
    <w:rsid w:val="00E93DFA"/>
    <w:rsid w:val="00E94A71"/>
    <w:rsid w:val="00E94C9D"/>
    <w:rsid w:val="00E94CBF"/>
    <w:rsid w:val="00E95A26"/>
    <w:rsid w:val="00E960DD"/>
    <w:rsid w:val="00E973F6"/>
    <w:rsid w:val="00E97B69"/>
    <w:rsid w:val="00EA03CE"/>
    <w:rsid w:val="00EA1273"/>
    <w:rsid w:val="00EA23E5"/>
    <w:rsid w:val="00EA3CFD"/>
    <w:rsid w:val="00EA3DF7"/>
    <w:rsid w:val="00EA3FF1"/>
    <w:rsid w:val="00EA4E1C"/>
    <w:rsid w:val="00EA4E2E"/>
    <w:rsid w:val="00EA58B7"/>
    <w:rsid w:val="00EA6382"/>
    <w:rsid w:val="00EB2417"/>
    <w:rsid w:val="00EB2CCB"/>
    <w:rsid w:val="00EB2DD0"/>
    <w:rsid w:val="00EB51C7"/>
    <w:rsid w:val="00EB7A25"/>
    <w:rsid w:val="00EC051E"/>
    <w:rsid w:val="00EC0638"/>
    <w:rsid w:val="00EC0F3E"/>
    <w:rsid w:val="00EC27C2"/>
    <w:rsid w:val="00EC2F7D"/>
    <w:rsid w:val="00EC57A7"/>
    <w:rsid w:val="00EC75C2"/>
    <w:rsid w:val="00ED01B6"/>
    <w:rsid w:val="00ED0817"/>
    <w:rsid w:val="00ED400F"/>
    <w:rsid w:val="00ED6882"/>
    <w:rsid w:val="00ED7DD9"/>
    <w:rsid w:val="00EE2D11"/>
    <w:rsid w:val="00EE3460"/>
    <w:rsid w:val="00EE4324"/>
    <w:rsid w:val="00EE445B"/>
    <w:rsid w:val="00EE4553"/>
    <w:rsid w:val="00EF0C28"/>
    <w:rsid w:val="00EF3113"/>
    <w:rsid w:val="00EF3F84"/>
    <w:rsid w:val="00F035F2"/>
    <w:rsid w:val="00F06FEA"/>
    <w:rsid w:val="00F07FC0"/>
    <w:rsid w:val="00F1199F"/>
    <w:rsid w:val="00F149A2"/>
    <w:rsid w:val="00F14B30"/>
    <w:rsid w:val="00F16273"/>
    <w:rsid w:val="00F171AA"/>
    <w:rsid w:val="00F176AC"/>
    <w:rsid w:val="00F20486"/>
    <w:rsid w:val="00F225E0"/>
    <w:rsid w:val="00F236B6"/>
    <w:rsid w:val="00F24E2F"/>
    <w:rsid w:val="00F26F28"/>
    <w:rsid w:val="00F27714"/>
    <w:rsid w:val="00F3276E"/>
    <w:rsid w:val="00F32874"/>
    <w:rsid w:val="00F339F5"/>
    <w:rsid w:val="00F33D3C"/>
    <w:rsid w:val="00F346AE"/>
    <w:rsid w:val="00F357C2"/>
    <w:rsid w:val="00F36A9C"/>
    <w:rsid w:val="00F37A91"/>
    <w:rsid w:val="00F408A0"/>
    <w:rsid w:val="00F445DE"/>
    <w:rsid w:val="00F45CF5"/>
    <w:rsid w:val="00F47DB0"/>
    <w:rsid w:val="00F50C3F"/>
    <w:rsid w:val="00F50E34"/>
    <w:rsid w:val="00F51AFB"/>
    <w:rsid w:val="00F52008"/>
    <w:rsid w:val="00F532BE"/>
    <w:rsid w:val="00F53EF7"/>
    <w:rsid w:val="00F54BF2"/>
    <w:rsid w:val="00F566AC"/>
    <w:rsid w:val="00F569A1"/>
    <w:rsid w:val="00F56E66"/>
    <w:rsid w:val="00F604B9"/>
    <w:rsid w:val="00F622D9"/>
    <w:rsid w:val="00F643EA"/>
    <w:rsid w:val="00F6640B"/>
    <w:rsid w:val="00F6645C"/>
    <w:rsid w:val="00F66CCF"/>
    <w:rsid w:val="00F67433"/>
    <w:rsid w:val="00F67BFE"/>
    <w:rsid w:val="00F702A7"/>
    <w:rsid w:val="00F704E5"/>
    <w:rsid w:val="00F71EC6"/>
    <w:rsid w:val="00F74E6E"/>
    <w:rsid w:val="00F756F5"/>
    <w:rsid w:val="00F75709"/>
    <w:rsid w:val="00F775AC"/>
    <w:rsid w:val="00F77D17"/>
    <w:rsid w:val="00F80EEA"/>
    <w:rsid w:val="00F81EBA"/>
    <w:rsid w:val="00F8238D"/>
    <w:rsid w:val="00F86C93"/>
    <w:rsid w:val="00F8792F"/>
    <w:rsid w:val="00F9195D"/>
    <w:rsid w:val="00F920F1"/>
    <w:rsid w:val="00F9214D"/>
    <w:rsid w:val="00F92355"/>
    <w:rsid w:val="00F93963"/>
    <w:rsid w:val="00F94029"/>
    <w:rsid w:val="00F9416E"/>
    <w:rsid w:val="00F94291"/>
    <w:rsid w:val="00F95086"/>
    <w:rsid w:val="00F95C77"/>
    <w:rsid w:val="00F96983"/>
    <w:rsid w:val="00FA1DB2"/>
    <w:rsid w:val="00FA24EB"/>
    <w:rsid w:val="00FA298A"/>
    <w:rsid w:val="00FA3253"/>
    <w:rsid w:val="00FA33BA"/>
    <w:rsid w:val="00FA4B57"/>
    <w:rsid w:val="00FA5B66"/>
    <w:rsid w:val="00FA728B"/>
    <w:rsid w:val="00FA7CD8"/>
    <w:rsid w:val="00FB0B9C"/>
    <w:rsid w:val="00FB2648"/>
    <w:rsid w:val="00FB30EB"/>
    <w:rsid w:val="00FB5F75"/>
    <w:rsid w:val="00FB6368"/>
    <w:rsid w:val="00FB7982"/>
    <w:rsid w:val="00FB7EAA"/>
    <w:rsid w:val="00FC032C"/>
    <w:rsid w:val="00FC0646"/>
    <w:rsid w:val="00FC0734"/>
    <w:rsid w:val="00FC0E0B"/>
    <w:rsid w:val="00FC0FC5"/>
    <w:rsid w:val="00FC3E2D"/>
    <w:rsid w:val="00FC588F"/>
    <w:rsid w:val="00FC6879"/>
    <w:rsid w:val="00FC7C05"/>
    <w:rsid w:val="00FD36F8"/>
    <w:rsid w:val="00FD3F89"/>
    <w:rsid w:val="00FD43C2"/>
    <w:rsid w:val="00FD57CC"/>
    <w:rsid w:val="00FD617A"/>
    <w:rsid w:val="00FD63EB"/>
    <w:rsid w:val="00FD6EE2"/>
    <w:rsid w:val="00FD77FA"/>
    <w:rsid w:val="00FE09CA"/>
    <w:rsid w:val="00FE1B30"/>
    <w:rsid w:val="00FE42D6"/>
    <w:rsid w:val="00FE4E4E"/>
    <w:rsid w:val="00FE691B"/>
    <w:rsid w:val="00FE754B"/>
    <w:rsid w:val="00FE7B44"/>
    <w:rsid w:val="00FE7FD7"/>
    <w:rsid w:val="00FF3DF8"/>
    <w:rsid w:val="00FF69C9"/>
    <w:rsid w:val="00FF7F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D44D6F"/>
  <w15:docId w15:val="{D96717B0-A4DC-BD41-8903-85219A575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link w:val="Quote1Char"/>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rsid w:val="001C2FE0"/>
    <w:pPr>
      <w:numPr>
        <w:numId w:val="25"/>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2"/>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2"/>
      </w:numPr>
    </w:pPr>
  </w:style>
  <w:style w:type="numbering" w:styleId="1ai">
    <w:name w:val="Outline List 1"/>
    <w:basedOn w:val="NoList"/>
    <w:semiHidden/>
    <w:pPr>
      <w:numPr>
        <w:numId w:val="13"/>
      </w:numPr>
    </w:pPr>
  </w:style>
  <w:style w:type="numbering" w:styleId="ArticleSection">
    <w:name w:val="Outline List 3"/>
    <w:basedOn w:val="NoList"/>
    <w:semiHidden/>
    <w:pPr>
      <w:numPr>
        <w:numId w:val="14"/>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2"/>
      </w:numPr>
    </w:pPr>
  </w:style>
  <w:style w:type="paragraph" w:styleId="ListBullet2">
    <w:name w:val="List Bullet 2"/>
    <w:basedOn w:val="Normal"/>
    <w:semiHidden/>
    <w:pPr>
      <w:numPr>
        <w:numId w:val="3"/>
      </w:numPr>
    </w:pPr>
  </w:style>
  <w:style w:type="paragraph" w:styleId="ListBullet3">
    <w:name w:val="List Bullet 3"/>
    <w:basedOn w:val="Normal"/>
    <w:pPr>
      <w:numPr>
        <w:numId w:val="4"/>
      </w:numPr>
    </w:pPr>
  </w:style>
  <w:style w:type="paragraph" w:styleId="ListBullet4">
    <w:name w:val="List Bullet 4"/>
    <w:basedOn w:val="Normal"/>
    <w:pPr>
      <w:numPr>
        <w:numId w:val="5"/>
      </w:numPr>
    </w:pPr>
  </w:style>
  <w:style w:type="paragraph" w:styleId="ListBullet5">
    <w:name w:val="List Bullet 5"/>
    <w:basedOn w:val="Normal"/>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5"/>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5"/>
      </w:numPr>
      <w:spacing w:before="240" w:after="60" w:line="240" w:lineRule="auto"/>
    </w:pPr>
    <w:rPr>
      <w:b/>
    </w:rPr>
  </w:style>
  <w:style w:type="paragraph" w:customStyle="1" w:styleId="fcHeading3">
    <w:name w:val="fcHeading 3"/>
    <w:basedOn w:val="Normal"/>
    <w:next w:val="ParaNumbering"/>
    <w:semiHidden/>
    <w:pPr>
      <w:keepNext/>
      <w:numPr>
        <w:ilvl w:val="2"/>
        <w:numId w:val="15"/>
      </w:numPr>
      <w:spacing w:before="240" w:after="60" w:line="240" w:lineRule="auto"/>
    </w:pPr>
    <w:rPr>
      <w:b/>
      <w:i/>
    </w:rPr>
  </w:style>
  <w:style w:type="paragraph" w:customStyle="1" w:styleId="fcHeading4">
    <w:name w:val="fcHeading 4"/>
    <w:basedOn w:val="Normal"/>
    <w:next w:val="ParaNumbering"/>
    <w:semiHidden/>
    <w:pPr>
      <w:keepNext/>
      <w:numPr>
        <w:ilvl w:val="3"/>
        <w:numId w:val="15"/>
      </w:numPr>
      <w:spacing w:before="240" w:after="60" w:line="240" w:lineRule="auto"/>
    </w:pPr>
    <w:rPr>
      <w:b/>
      <w:smallCaps/>
    </w:rPr>
  </w:style>
  <w:style w:type="paragraph" w:customStyle="1" w:styleId="fcHeading5">
    <w:name w:val="fcHeading 5"/>
    <w:basedOn w:val="Normal"/>
    <w:next w:val="ParaNumbering"/>
    <w:semiHidden/>
    <w:pPr>
      <w:keepNext/>
      <w:numPr>
        <w:ilvl w:val="4"/>
        <w:numId w:val="15"/>
      </w:numPr>
      <w:spacing w:before="240" w:after="60" w:line="240" w:lineRule="auto"/>
    </w:pPr>
    <w:rPr>
      <w:b/>
      <w:caps/>
    </w:rPr>
  </w:style>
  <w:style w:type="paragraph" w:customStyle="1" w:styleId="FTOC5">
    <w:name w:val="FTOC 5"/>
    <w:basedOn w:val="Normal"/>
    <w:semiHidden/>
    <w:rsid w:val="006516D8"/>
    <w:pPr>
      <w:tabs>
        <w:tab w:val="right" w:leader="dot" w:pos="9072"/>
      </w:tabs>
      <w:spacing w:before="120" w:after="60" w:line="240" w:lineRule="auto"/>
      <w:ind w:left="567" w:hanging="567"/>
      <w:jc w:val="left"/>
    </w:pPr>
    <w:rPr>
      <w:b/>
      <w:kern w:val="28"/>
    </w:rPr>
  </w:style>
  <w:style w:type="paragraph" w:customStyle="1" w:styleId="FTOC6">
    <w:name w:val="FTOC 6"/>
    <w:basedOn w:val="Normal"/>
    <w:semiHidden/>
    <w:rsid w:val="006516D8"/>
    <w:pPr>
      <w:tabs>
        <w:tab w:val="right" w:leader="dot" w:pos="9072"/>
      </w:tabs>
      <w:spacing w:before="120" w:after="60" w:line="240" w:lineRule="auto"/>
      <w:ind w:left="1304" w:hanging="737"/>
      <w:jc w:val="left"/>
    </w:pPr>
    <w:rPr>
      <w:b/>
    </w:rPr>
  </w:style>
  <w:style w:type="paragraph" w:customStyle="1" w:styleId="FTOC7">
    <w:name w:val="FTOC 7"/>
    <w:basedOn w:val="Normal"/>
    <w:semiHidden/>
    <w:rsid w:val="006516D8"/>
    <w:pPr>
      <w:tabs>
        <w:tab w:val="right" w:leader="dot" w:pos="9072"/>
      </w:tabs>
      <w:spacing w:before="120" w:after="60" w:line="240" w:lineRule="auto"/>
      <w:ind w:left="2325" w:hanging="1021"/>
      <w:jc w:val="left"/>
    </w:pPr>
    <w:rPr>
      <w:b/>
    </w:rPr>
  </w:style>
  <w:style w:type="paragraph" w:customStyle="1" w:styleId="FTOC8">
    <w:name w:val="FTOC 8"/>
    <w:basedOn w:val="Normal"/>
    <w:semiHidden/>
    <w:rsid w:val="006516D8"/>
    <w:pPr>
      <w:tabs>
        <w:tab w:val="right" w:leader="dot" w:pos="9072"/>
      </w:tabs>
      <w:spacing w:before="120" w:after="60" w:line="240" w:lineRule="auto"/>
      <w:ind w:left="3232" w:hanging="1418"/>
      <w:jc w:val="left"/>
    </w:pPr>
    <w:rPr>
      <w:b/>
    </w:rPr>
  </w:style>
  <w:style w:type="paragraph" w:customStyle="1" w:styleId="FTOC9">
    <w:name w:val="FTOC 9"/>
    <w:basedOn w:val="Normal"/>
    <w:semiHidden/>
    <w:rsid w:val="006516D8"/>
    <w:pPr>
      <w:tabs>
        <w:tab w:val="right" w:leader="dot" w:pos="9072"/>
      </w:tabs>
      <w:spacing w:before="120" w:after="60" w:line="240" w:lineRule="auto"/>
      <w:ind w:left="4082" w:hanging="1701"/>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F51AFB"/>
    <w:pPr>
      <w:tabs>
        <w:tab w:val="right" w:leader="dot" w:pos="9072"/>
      </w:tabs>
      <w:spacing w:before="120" w:after="60" w:line="240" w:lineRule="auto"/>
      <w:ind w:left="2240" w:hanging="822"/>
      <w:jc w:val="left"/>
    </w:pPr>
  </w:style>
  <w:style w:type="paragraph" w:customStyle="1" w:styleId="bTOC8">
    <w:name w:val="bTOC 8"/>
    <w:basedOn w:val="Normal"/>
    <w:semiHidden/>
    <w:rsid w:val="00F51AFB"/>
    <w:pPr>
      <w:keepNext/>
      <w:tabs>
        <w:tab w:val="right" w:leader="dot" w:pos="9072"/>
      </w:tabs>
      <w:spacing w:before="120" w:after="60" w:line="240" w:lineRule="auto"/>
      <w:ind w:left="3373" w:hanging="1247"/>
      <w:jc w:val="left"/>
    </w:pPr>
  </w:style>
  <w:style w:type="paragraph" w:customStyle="1" w:styleId="bTOC9">
    <w:name w:val="bTOC 9"/>
    <w:basedOn w:val="Normal"/>
    <w:semiHidden/>
    <w:rsid w:val="00F51AFB"/>
    <w:pPr>
      <w:keepNext/>
      <w:tabs>
        <w:tab w:val="right" w:leader="dot" w:pos="9072"/>
      </w:tabs>
      <w:spacing w:before="120" w:after="60" w:line="240" w:lineRule="auto"/>
      <w:ind w:left="4082" w:hanging="1247"/>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6"/>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7"/>
      </w:numPr>
      <w:ind w:left="1440" w:hanging="720"/>
    </w:pPr>
  </w:style>
  <w:style w:type="paragraph" w:customStyle="1" w:styleId="Quote2Bullet">
    <w:name w:val="Quote2 Bullet"/>
    <w:basedOn w:val="Quote2"/>
    <w:rsid w:val="00EF3F84"/>
    <w:pPr>
      <w:numPr>
        <w:numId w:val="18"/>
      </w:numPr>
      <w:ind w:hanging="720"/>
    </w:pPr>
  </w:style>
  <w:style w:type="paragraph" w:customStyle="1" w:styleId="Quote3Bullet">
    <w:name w:val="Quote3 Bullet"/>
    <w:basedOn w:val="Quote3"/>
    <w:rsid w:val="00EE445B"/>
    <w:pPr>
      <w:numPr>
        <w:numId w:val="19"/>
      </w:numPr>
      <w:ind w:hanging="720"/>
    </w:pPr>
  </w:style>
  <w:style w:type="paragraph" w:customStyle="1" w:styleId="Order1">
    <w:name w:val="Order 1"/>
    <w:basedOn w:val="Normal"/>
    <w:rsid w:val="004104B6"/>
    <w:pPr>
      <w:numPr>
        <w:numId w:val="20"/>
      </w:numPr>
      <w:spacing w:before="60" w:after="60"/>
    </w:pPr>
  </w:style>
  <w:style w:type="numbering" w:customStyle="1" w:styleId="FCOrders">
    <w:name w:val="FCOrders"/>
    <w:uiPriority w:val="99"/>
    <w:rsid w:val="004104B6"/>
    <w:pPr>
      <w:numPr>
        <w:numId w:val="20"/>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28592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1"/>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4"/>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3"/>
      </w:numPr>
    </w:pPr>
  </w:style>
  <w:style w:type="paragraph" w:customStyle="1" w:styleId="Order4">
    <w:name w:val="Order 4"/>
    <w:basedOn w:val="Order3"/>
    <w:rsid w:val="004104B6"/>
    <w:pPr>
      <w:numPr>
        <w:ilvl w:val="3"/>
      </w:numPr>
    </w:pPr>
  </w:style>
  <w:style w:type="paragraph" w:styleId="FootnoteText">
    <w:name w:val="footnote text"/>
    <w:basedOn w:val="Normal"/>
    <w:link w:val="FootnoteTextChar"/>
    <w:semiHidden/>
    <w:unhideWhenUsed/>
    <w:rsid w:val="00077768"/>
    <w:pPr>
      <w:spacing w:line="240" w:lineRule="auto"/>
    </w:pPr>
    <w:rPr>
      <w:sz w:val="20"/>
    </w:rPr>
  </w:style>
  <w:style w:type="character" w:customStyle="1" w:styleId="FootnoteTextChar">
    <w:name w:val="Footnote Text Char"/>
    <w:basedOn w:val="DefaultParagraphFont"/>
    <w:link w:val="FootnoteText"/>
    <w:semiHidden/>
    <w:rsid w:val="00077768"/>
    <w:rPr>
      <w:lang w:eastAsia="en-US"/>
    </w:rPr>
  </w:style>
  <w:style w:type="character" w:styleId="FootnoteReference">
    <w:name w:val="footnote reference"/>
    <w:basedOn w:val="DefaultParagraphFont"/>
    <w:semiHidden/>
    <w:unhideWhenUsed/>
    <w:rsid w:val="00077768"/>
    <w:rPr>
      <w:vertAlign w:val="superscript"/>
    </w:rPr>
  </w:style>
  <w:style w:type="paragraph" w:customStyle="1" w:styleId="FCBullets2">
    <w:name w:val="FCBullets2"/>
    <w:basedOn w:val="FCBullets"/>
    <w:rsid w:val="001C2FE0"/>
    <w:pPr>
      <w:numPr>
        <w:ilvl w:val="1"/>
      </w:numPr>
    </w:pPr>
  </w:style>
  <w:style w:type="numbering" w:customStyle="1" w:styleId="FCNotes">
    <w:name w:val="FCNotes"/>
    <w:uiPriority w:val="99"/>
    <w:rsid w:val="00805A30"/>
    <w:pPr>
      <w:numPr>
        <w:numId w:val="26"/>
      </w:numPr>
    </w:pPr>
  </w:style>
  <w:style w:type="paragraph" w:customStyle="1" w:styleId="Notes">
    <w:name w:val="Notes"/>
    <w:basedOn w:val="Normal"/>
    <w:rsid w:val="00805A30"/>
    <w:pPr>
      <w:numPr>
        <w:numId w:val="28"/>
      </w:numPr>
      <w:spacing w:before="60" w:after="60"/>
    </w:pPr>
  </w:style>
  <w:style w:type="paragraph" w:customStyle="1" w:styleId="OrdersHeading1">
    <w:name w:val="Orders Heading 1"/>
    <w:basedOn w:val="Normal"/>
    <w:next w:val="BodyText"/>
    <w:rsid w:val="001E0C61"/>
    <w:pPr>
      <w:keepNext/>
      <w:spacing w:before="240" w:after="180" w:line="240" w:lineRule="auto"/>
    </w:pPr>
    <w:rPr>
      <w:b/>
      <w:caps/>
    </w:rPr>
  </w:style>
  <w:style w:type="paragraph" w:customStyle="1" w:styleId="OrdersHeading2">
    <w:name w:val="Orders Heading 2"/>
    <w:basedOn w:val="Normal"/>
    <w:next w:val="BodyText"/>
    <w:rsid w:val="001E0C61"/>
    <w:pPr>
      <w:keepNext/>
      <w:spacing w:before="240" w:after="180" w:line="240" w:lineRule="auto"/>
    </w:pPr>
    <w:rPr>
      <w:b/>
    </w:rPr>
  </w:style>
  <w:style w:type="character" w:customStyle="1" w:styleId="Quote1Char">
    <w:name w:val="Quote1 Char"/>
    <w:basedOn w:val="DefaultParagraphFont"/>
    <w:link w:val="Quote1"/>
    <w:locked/>
    <w:rsid w:val="00B95D8B"/>
    <w:rPr>
      <w:sz w:val="22"/>
      <w:lang w:eastAsia="en-US"/>
    </w:rPr>
  </w:style>
  <w:style w:type="paragraph" w:customStyle="1" w:styleId="subsection">
    <w:name w:val="subsection"/>
    <w:aliases w:val="ss"/>
    <w:basedOn w:val="Normal"/>
    <w:link w:val="subsectionChar"/>
    <w:rsid w:val="004E29AB"/>
    <w:pPr>
      <w:tabs>
        <w:tab w:val="right" w:pos="1021"/>
      </w:tabs>
      <w:spacing w:before="180" w:line="240" w:lineRule="auto"/>
      <w:ind w:left="1134" w:hanging="1134"/>
      <w:jc w:val="left"/>
    </w:pPr>
    <w:rPr>
      <w:rFonts w:eastAsia="Times New Roman"/>
      <w:sz w:val="22"/>
      <w:lang w:eastAsia="en-AU"/>
    </w:rPr>
  </w:style>
  <w:style w:type="paragraph" w:customStyle="1" w:styleId="paragraph">
    <w:name w:val="paragraph"/>
    <w:aliases w:val="a"/>
    <w:basedOn w:val="Normal"/>
    <w:link w:val="paragraphChar"/>
    <w:rsid w:val="004E29AB"/>
    <w:pPr>
      <w:tabs>
        <w:tab w:val="right" w:pos="1531"/>
      </w:tabs>
      <w:spacing w:before="40" w:line="240" w:lineRule="auto"/>
      <w:ind w:left="1644" w:hanging="1644"/>
      <w:jc w:val="left"/>
    </w:pPr>
    <w:rPr>
      <w:rFonts w:eastAsia="Times New Roman"/>
      <w:sz w:val="22"/>
      <w:lang w:eastAsia="en-AU"/>
    </w:rPr>
  </w:style>
  <w:style w:type="paragraph" w:customStyle="1" w:styleId="paragraphsub">
    <w:name w:val="paragraph(sub)"/>
    <w:aliases w:val="aa"/>
    <w:basedOn w:val="Normal"/>
    <w:rsid w:val="004E29AB"/>
    <w:pPr>
      <w:tabs>
        <w:tab w:val="right" w:pos="1985"/>
      </w:tabs>
      <w:spacing w:before="40" w:line="240" w:lineRule="auto"/>
      <w:ind w:left="2098" w:hanging="2098"/>
      <w:jc w:val="left"/>
    </w:pPr>
    <w:rPr>
      <w:rFonts w:eastAsia="Times New Roman"/>
      <w:sz w:val="22"/>
      <w:lang w:eastAsia="en-AU"/>
    </w:rPr>
  </w:style>
  <w:style w:type="paragraph" w:customStyle="1" w:styleId="subsection2">
    <w:name w:val="subsection2"/>
    <w:aliases w:val="ss2"/>
    <w:basedOn w:val="Normal"/>
    <w:next w:val="subsection"/>
    <w:rsid w:val="004E29AB"/>
    <w:pPr>
      <w:spacing w:before="40" w:line="240" w:lineRule="auto"/>
      <w:ind w:left="1134"/>
      <w:jc w:val="left"/>
    </w:pPr>
    <w:rPr>
      <w:rFonts w:eastAsia="Times New Roman"/>
      <w:sz w:val="22"/>
      <w:lang w:eastAsia="en-AU"/>
    </w:rPr>
  </w:style>
  <w:style w:type="paragraph" w:customStyle="1" w:styleId="SubsectionHead">
    <w:name w:val="SubsectionHead"/>
    <w:aliases w:val="ssh"/>
    <w:basedOn w:val="Normal"/>
    <w:next w:val="subsection"/>
    <w:rsid w:val="004E29AB"/>
    <w:pPr>
      <w:keepNext/>
      <w:keepLines/>
      <w:spacing w:before="240" w:line="240" w:lineRule="auto"/>
      <w:ind w:left="1134"/>
      <w:jc w:val="left"/>
    </w:pPr>
    <w:rPr>
      <w:rFonts w:eastAsia="Times New Roman"/>
      <w:i/>
      <w:sz w:val="22"/>
      <w:lang w:eastAsia="en-AU"/>
    </w:rPr>
  </w:style>
  <w:style w:type="numbering" w:customStyle="1" w:styleId="OPCBodyList">
    <w:name w:val="OPCBodyList"/>
    <w:uiPriority w:val="99"/>
    <w:rsid w:val="004E29AB"/>
    <w:pPr>
      <w:numPr>
        <w:numId w:val="29"/>
      </w:numPr>
    </w:pPr>
  </w:style>
  <w:style w:type="character" w:customStyle="1" w:styleId="subsectionChar">
    <w:name w:val="subsection Char"/>
    <w:aliases w:val="ss Char"/>
    <w:basedOn w:val="DefaultParagraphFont"/>
    <w:link w:val="subsection"/>
    <w:rsid w:val="004E29AB"/>
    <w:rPr>
      <w:rFonts w:eastAsia="Times New Roman"/>
      <w:sz w:val="22"/>
    </w:rPr>
  </w:style>
  <w:style w:type="character" w:customStyle="1" w:styleId="paragraphChar">
    <w:name w:val="paragraph Char"/>
    <w:aliases w:val="a Char"/>
    <w:basedOn w:val="DefaultParagraphFont"/>
    <w:link w:val="paragraph"/>
    <w:rsid w:val="004E29AB"/>
    <w:rPr>
      <w:rFonts w:eastAsia="Times New Roman"/>
      <w:sz w:val="22"/>
    </w:rPr>
  </w:style>
  <w:style w:type="paragraph" w:customStyle="1" w:styleId="notetext">
    <w:name w:val="note(text)"/>
    <w:aliases w:val="n"/>
    <w:basedOn w:val="Normal"/>
    <w:link w:val="notetextChar"/>
    <w:rsid w:val="00AF092A"/>
    <w:pPr>
      <w:spacing w:before="122" w:line="240" w:lineRule="auto"/>
      <w:ind w:left="1985" w:hanging="851"/>
      <w:jc w:val="left"/>
    </w:pPr>
    <w:rPr>
      <w:rFonts w:eastAsia="Times New Roman"/>
      <w:sz w:val="18"/>
      <w:lang w:eastAsia="en-AU"/>
    </w:rPr>
  </w:style>
  <w:style w:type="character" w:customStyle="1" w:styleId="notetextChar">
    <w:name w:val="note(text) Char"/>
    <w:aliases w:val="n Char"/>
    <w:basedOn w:val="DefaultParagraphFont"/>
    <w:link w:val="notetext"/>
    <w:rsid w:val="00AF092A"/>
    <w:rPr>
      <w:rFonts w:eastAsia="Times New Roman"/>
      <w:sz w:val="18"/>
    </w:rPr>
  </w:style>
  <w:style w:type="paragraph" w:customStyle="1" w:styleId="Definition">
    <w:name w:val="Definition"/>
    <w:aliases w:val="dd"/>
    <w:basedOn w:val="Normal"/>
    <w:rsid w:val="00C708BC"/>
    <w:pPr>
      <w:spacing w:before="180" w:line="240" w:lineRule="auto"/>
      <w:ind w:left="1134"/>
      <w:jc w:val="left"/>
    </w:pPr>
    <w:rPr>
      <w:rFonts w:eastAsia="Times New Roman"/>
      <w:sz w:val="22"/>
      <w:lang w:eastAsia="en-AU"/>
    </w:rPr>
  </w:style>
  <w:style w:type="paragraph" w:styleId="Revision">
    <w:name w:val="Revision"/>
    <w:hidden/>
    <w:uiPriority w:val="99"/>
    <w:semiHidden/>
    <w:rsid w:val="00985C7B"/>
    <w:rPr>
      <w:sz w:val="24"/>
      <w:lang w:eastAsia="en-US"/>
    </w:rPr>
  </w:style>
  <w:style w:type="paragraph" w:customStyle="1" w:styleId="Default">
    <w:name w:val="Default"/>
    <w:rsid w:val="00C67EA0"/>
    <w:pPr>
      <w:autoSpaceDE w:val="0"/>
      <w:autoSpaceDN w:val="0"/>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275891">
      <w:bodyDiv w:val="1"/>
      <w:marLeft w:val="0"/>
      <w:marRight w:val="0"/>
      <w:marTop w:val="0"/>
      <w:marBottom w:val="0"/>
      <w:divBdr>
        <w:top w:val="none" w:sz="0" w:space="0" w:color="auto"/>
        <w:left w:val="none" w:sz="0" w:space="0" w:color="auto"/>
        <w:bottom w:val="none" w:sz="0" w:space="0" w:color="auto"/>
        <w:right w:val="none" w:sz="0" w:space="0" w:color="auto"/>
      </w:divBdr>
      <w:divsChild>
        <w:div w:id="1460302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183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8181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470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48399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34" Type="http://schemas.microsoft.com/office/2016/09/relationships/commentsIds" Target="commentsIds.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33"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murad\AppData\Roaming\Microsoft\Template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7B3F188E9774BC7AA9481F4DF4160FC"/>
        <w:category>
          <w:name w:val="General"/>
          <w:gallery w:val="placeholder"/>
        </w:category>
        <w:types>
          <w:type w:val="bbPlcHdr"/>
        </w:types>
        <w:behaviors>
          <w:behavior w:val="content"/>
        </w:behaviors>
        <w:guid w:val="{E07A9A98-24F2-41B6-97F3-EE99C73674A0}"/>
      </w:docPartPr>
      <w:docPartBody>
        <w:p w:rsidR="00194F9C" w:rsidRDefault="00194F9C">
          <w:pPr>
            <w:pStyle w:val="D7B3F188E9774BC7AA9481F4DF4160FC"/>
          </w:pPr>
          <w:r>
            <w:rPr>
              <w:rStyle w:val="PlaceholderText"/>
            </w:rPr>
            <w:t>MNC Text</w:t>
          </w:r>
        </w:p>
      </w:docPartBody>
    </w:docPart>
    <w:docPart>
      <w:docPartPr>
        <w:name w:val="4D47C0B8F1C84AF2A52E230F3F3BBA59"/>
        <w:category>
          <w:name w:val="General"/>
          <w:gallery w:val="placeholder"/>
        </w:category>
        <w:types>
          <w:type w:val="bbPlcHdr"/>
        </w:types>
        <w:behaviors>
          <w:behavior w:val="content"/>
        </w:behaviors>
        <w:guid w:val="{D9E3C4D1-84EA-49BA-A818-3BD832F0E5D1}"/>
      </w:docPartPr>
      <w:docPartBody>
        <w:p w:rsidR="00194F9C" w:rsidRDefault="00194F9C">
          <w:pPr>
            <w:pStyle w:val="4D47C0B8F1C84AF2A52E230F3F3BBA59"/>
          </w:pPr>
          <w:r w:rsidRPr="005C44BE">
            <w:rPr>
              <w:rStyle w:val="PlaceholderText"/>
            </w:rPr>
            <w:t>Click or tap here to enter text.</w:t>
          </w:r>
        </w:p>
      </w:docPartBody>
    </w:docPart>
    <w:docPart>
      <w:docPartPr>
        <w:name w:val="242143D9DAAD49C7AF39E3BAA2480D8A"/>
        <w:category>
          <w:name w:val="General"/>
          <w:gallery w:val="placeholder"/>
        </w:category>
        <w:types>
          <w:type w:val="bbPlcHdr"/>
        </w:types>
        <w:behaviors>
          <w:behavior w:val="content"/>
        </w:behaviors>
        <w:guid w:val="{5EBDB55B-2D3F-4F5F-A77B-07887EDF205D}"/>
      </w:docPartPr>
      <w:docPartBody>
        <w:p w:rsidR="00194F9C" w:rsidRDefault="00194F9C">
          <w:pPr>
            <w:pStyle w:val="242143D9DAAD49C7AF39E3BAA2480D8A"/>
          </w:pPr>
          <w:r w:rsidRPr="005C44BE">
            <w:rPr>
              <w:rStyle w:val="PlaceholderText"/>
            </w:rPr>
            <w:t>Click or tap here to enter text.</w:t>
          </w:r>
        </w:p>
      </w:docPartBody>
    </w:docPart>
    <w:docPart>
      <w:docPartPr>
        <w:name w:val="9394D8C303744764A29A2FC83B0348A5"/>
        <w:category>
          <w:name w:val="General"/>
          <w:gallery w:val="placeholder"/>
        </w:category>
        <w:types>
          <w:type w:val="bbPlcHdr"/>
        </w:types>
        <w:behaviors>
          <w:behavior w:val="content"/>
        </w:behaviors>
        <w:guid w:val="{592B16D6-6509-4A3E-856B-043AB560B4C3}"/>
      </w:docPartPr>
      <w:docPartBody>
        <w:p w:rsidR="00194F9C" w:rsidRDefault="00194F9C">
          <w:pPr>
            <w:pStyle w:val="9394D8C303744764A29A2FC83B0348A5"/>
          </w:pPr>
          <w:r w:rsidRPr="005C44BE">
            <w:rPr>
              <w:rStyle w:val="PlaceholderText"/>
            </w:rPr>
            <w:t>Click or tap here to enter text.</w:t>
          </w:r>
        </w:p>
      </w:docPartBody>
    </w:docPart>
    <w:docPart>
      <w:docPartPr>
        <w:name w:val="25AC61586B7A42978AF437155292A16A"/>
        <w:category>
          <w:name w:val="General"/>
          <w:gallery w:val="placeholder"/>
        </w:category>
        <w:types>
          <w:type w:val="bbPlcHdr"/>
        </w:types>
        <w:behaviors>
          <w:behavior w:val="content"/>
        </w:behaviors>
        <w:guid w:val="{C66AF8C3-FC6F-4B79-8BA9-CE5845AF58B2}"/>
      </w:docPartPr>
      <w:docPartBody>
        <w:p w:rsidR="00194F9C" w:rsidRDefault="00194F9C">
          <w:pPr>
            <w:pStyle w:val="25AC61586B7A42978AF437155292A16A"/>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Malgun Gothic Semilight"/>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F9C"/>
    <w:rsid w:val="00006E72"/>
    <w:rsid w:val="00194F9C"/>
    <w:rsid w:val="001E2024"/>
    <w:rsid w:val="002D77C7"/>
    <w:rsid w:val="003E6629"/>
    <w:rsid w:val="004A4DFD"/>
    <w:rsid w:val="007A36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7B3F188E9774BC7AA9481F4DF4160FC">
    <w:name w:val="D7B3F188E9774BC7AA9481F4DF4160FC"/>
  </w:style>
  <w:style w:type="paragraph" w:customStyle="1" w:styleId="4D47C0B8F1C84AF2A52E230F3F3BBA59">
    <w:name w:val="4D47C0B8F1C84AF2A52E230F3F3BBA59"/>
  </w:style>
  <w:style w:type="paragraph" w:customStyle="1" w:styleId="242143D9DAAD49C7AF39E3BAA2480D8A">
    <w:name w:val="242143D9DAAD49C7AF39E3BAA2480D8A"/>
  </w:style>
  <w:style w:type="paragraph" w:customStyle="1" w:styleId="9394D8C303744764A29A2FC83B0348A5">
    <w:name w:val="9394D8C303744764A29A2FC83B0348A5"/>
  </w:style>
  <w:style w:type="paragraph" w:customStyle="1" w:styleId="25AC61586B7A42978AF437155292A16A">
    <w:name w:val="25AC61586B7A42978AF437155292A1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xmlns="http://schemas.globalmacros.com/FCA">
  <Name> Pearson v Minister for Home Affairs [2022] FCAFC 203  </Name>
</root>
</file>

<file path=customXml/item2.xml><?xml version="1.0" encoding="utf-8"?>
<ct:contentTypeSchema xmlns:ct="http://schemas.microsoft.com/office/2006/metadata/contentType" xmlns:ma="http://schemas.microsoft.com/office/2006/metadata/properties/metaAttributes" ct:_="" ma:_="" ma:contentTypeName="Document" ma:contentTypeID="0x01010089038CD8FC737549AA49F52A6CDD024B" ma:contentTypeVersion="11" ma:contentTypeDescription="Create a new document." ma:contentTypeScope="" ma:versionID="9e9b3d6ac89f389421745f97348bb826">
  <xsd:schema xmlns:xsd="http://www.w3.org/2001/XMLSchema" xmlns:xs="http://www.w3.org/2001/XMLSchema" xmlns:p="http://schemas.microsoft.com/office/2006/metadata/properties" xmlns:ns3="84bcf370-1fc0-4423-ab46-412737d5c97d" xmlns:ns4="9cb67157-2a84-4d71-9bf6-5197b63f335a" targetNamespace="http://schemas.microsoft.com/office/2006/metadata/properties" ma:root="true" ma:fieldsID="6d477e4a3cd13b743631aa4cfe9ceee5" ns3:_="" ns4:_="">
    <xsd:import namespace="84bcf370-1fc0-4423-ab46-412737d5c97d"/>
    <xsd:import namespace="9cb67157-2a84-4d71-9bf6-5197b63f335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cf370-1fc0-4423-ab46-412737d5c9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b67157-2a84-4d71-9bf6-5197b63f335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0CCC9CB6-6BCE-4A76-92FD-E47060D64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bcf370-1fc0-4423-ab46-412737d5c97d"/>
    <ds:schemaRef ds:uri="9cb67157-2a84-4d71-9bf6-5197b63f33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962903-0F11-4B34-A178-53F5F4828FC9}">
  <ds:schemaRefs>
    <ds:schemaRef ds:uri="http://schemas.microsoft.com/sharepoint/v3/contenttype/forms"/>
  </ds:schemaRefs>
</ds:datastoreItem>
</file>

<file path=customXml/itemProps4.xml><?xml version="1.0" encoding="utf-8"?>
<ds:datastoreItem xmlns:ds="http://schemas.openxmlformats.org/officeDocument/2006/customXml" ds:itemID="{26CEBF90-A5EB-4F57-B2D6-34DBB7C29996}">
  <ds:schemaRefs>
    <ds:schemaRef ds:uri="84bcf370-1fc0-4423-ab46-412737d5c97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cb67157-2a84-4d71-9bf6-5197b63f335a"/>
    <ds:schemaRef ds:uri="http://www.w3.org/XML/1998/namespace"/>
    <ds:schemaRef ds:uri="http://purl.org/dc/dcmitype/"/>
  </ds:schemaRefs>
</ds:datastoreItem>
</file>

<file path=customXml/itemProps5.xml><?xml version="1.0" encoding="utf-8"?>
<ds:datastoreItem xmlns:ds="http://schemas.openxmlformats.org/officeDocument/2006/customXml" ds:itemID="{FB5B30D5-C56A-4B75-9D22-522108733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2</TotalTime>
  <Pages>23</Pages>
  <Words>8666</Words>
  <Characters>43781</Characters>
  <Application>Microsoft Office Word</Application>
  <DocSecurity>0</DocSecurity>
  <Lines>841</Lines>
  <Paragraphs>297</Paragraphs>
  <ScaleCrop>false</ScaleCrop>
  <HeadingPairs>
    <vt:vector size="2" baseType="variant">
      <vt:variant>
        <vt:lpstr>Title</vt:lpstr>
      </vt:variant>
      <vt:variant>
        <vt:i4>1</vt:i4>
      </vt:variant>
    </vt:vector>
  </HeadingPairs>
  <TitlesOfParts>
    <vt:vector size="1" baseType="lpstr">
      <vt:lpstr> Pearson v Minister for Home Affairs [2022] FCAFC 203</vt:lpstr>
    </vt:vector>
  </TitlesOfParts>
  <Company>Federal Court of Australia</Company>
  <LinksUpToDate>false</LinksUpToDate>
  <CharactersWithSpaces>52150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Pearson v Minister for Home Affairs [2022] FCAFC 203</dc:title>
  <dc:subject/>
  <dc:creator>Federal Court of Australia</dc:creator>
  <cp:keywords/>
  <dc:description>v1.3</dc:description>
  <cp:lastModifiedBy>Federal Court of Australia</cp:lastModifiedBy>
  <cp:revision>3</cp:revision>
  <cp:lastPrinted>2022-12-08T22:40:00Z</cp:lastPrinted>
  <dcterms:created xsi:type="dcterms:W3CDTF">2022-12-22T02:27:00Z</dcterms:created>
  <dcterms:modified xsi:type="dcterms:W3CDTF">2022-12-22T02:30:00Z</dcterms:modified>
  <cp:version>v1.2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3</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New South Wales</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Administrative and Constitutional Law and Human Rights</vt:lpwstr>
  </property>
  <property fmtid="{D5CDD505-2E9C-101B-9397-08002B2CF9AE}" pid="16" name="Court">
    <vt:lpwstr>Federal Court of Australia</vt:lpwstr>
  </property>
  <property fmtid="{D5CDD505-2E9C-101B-9397-08002B2CF9AE}" pid="17" name="Sub Area">
    <vt:lpwstr>(none)</vt:lpwstr>
  </property>
  <property fmtid="{D5CDD505-2E9C-101B-9397-08002B2CF9AE}" pid="18" name="AppealFrom">
    <vt:lpwstr>&lt;AppealFrom&gt;</vt:lpwstr>
  </property>
  <property fmtid="{D5CDD505-2E9C-101B-9397-08002B2CF9AE}" pid="19" name="DivisionTitle">
    <vt:lpwstr>none</vt:lpwstr>
  </property>
  <property fmtid="{D5CDD505-2E9C-101B-9397-08002B2CF9AE}" pid="20" name="Judge">
    <vt:lpwstr>Judge</vt:lpwstr>
  </property>
  <property fmtid="{D5CDD505-2E9C-101B-9397-08002B2CF9AE}" pid="21" name="Judgment_dated">
    <vt:lpwstr>Judgment_dated</vt:lpwstr>
  </property>
  <property fmtid="{D5CDD505-2E9C-101B-9397-08002B2CF9AE}" pid="22" name="Legislation">
    <vt:lpwstr>Legislation</vt:lpwstr>
  </property>
  <property fmtid="{D5CDD505-2E9C-101B-9397-08002B2CF9AE}" pid="23" name="Catchwords">
    <vt:lpwstr>Catchwords</vt:lpwstr>
  </property>
  <property fmtid="{D5CDD505-2E9C-101B-9397-08002B2CF9AE}" pid="24" name="Words_Phrases">
    <vt:lpwstr>WordsPhrases</vt:lpwstr>
  </property>
  <property fmtid="{D5CDD505-2E9C-101B-9397-08002B2CF9AE}" pid="25" name="Cases_Cited">
    <vt:lpwstr>CasesCited</vt:lpwstr>
  </property>
  <property fmtid="{D5CDD505-2E9C-101B-9397-08002B2CF9AE}" pid="26" name="File_Number">
    <vt:lpwstr>Num</vt:lpwstr>
  </property>
  <property fmtid="{D5CDD505-2E9C-101B-9397-08002B2CF9AE}" pid="27" name="State">
    <vt:lpwstr>State</vt:lpwstr>
  </property>
  <property fmtid="{D5CDD505-2E9C-101B-9397-08002B2CF9AE}" pid="28" name="ContentTypeId">
    <vt:lpwstr>0x01010089038CD8FC737549AA49F52A6CDD024B</vt:lpwstr>
  </property>
</Properties>
</file>