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73B04" w:rsidP="00A22932">
      <w:pPr>
        <w:pStyle w:val="CourtTitle"/>
      </w:pPr>
      <w:r>
        <w:fldChar w:fldCharType="begin"/>
      </w:r>
      <w:r>
        <w:instrText xml:space="preserve"> DOCPROPERTY  Court  \* MERGEFORMAT </w:instrText>
      </w:r>
      <w:r>
        <w:fldChar w:fldCharType="separate"/>
      </w:r>
      <w:r w:rsidR="00BB6599">
        <w:t>Federal Court of Australia</w:t>
      </w:r>
      <w:r>
        <w:fldChar w:fldCharType="end"/>
      </w:r>
    </w:p>
    <w:p w:rsidR="00395B24" w:rsidRDefault="00395B24">
      <w:pPr>
        <w:pStyle w:val="NormalHeadings"/>
        <w:jc w:val="center"/>
        <w:rPr>
          <w:sz w:val="32"/>
        </w:rPr>
      </w:pPr>
    </w:p>
    <w:bookmarkStart w:id="0" w:name="MNC"/>
    <w:p w:rsidR="00374CC4" w:rsidRDefault="005A2053" w:rsidP="001A2B40">
      <w:pPr>
        <w:pStyle w:val="MNC"/>
      </w:pPr>
      <w:sdt>
        <w:sdtPr>
          <w:alias w:val="MNC"/>
          <w:tag w:val="MNC"/>
          <w:id w:val="343289786"/>
          <w:lock w:val="sdtLocked"/>
          <w:placeholder>
            <w:docPart w:val="E9E5347D8A8946E0B00BD1CD99524F4F"/>
          </w:placeholder>
          <w:dataBinding w:prefixMappings="xmlns:ns0='http://schemas.globalmacros.com/FCA'" w:xpath="/ns0:root[1]/ns0:Name[1]" w:storeItemID="{687E7CCB-4AA5-44E7-B148-17BA2B6F57C0}"/>
          <w:text w:multiLine="1"/>
        </w:sdtPr>
        <w:sdtEndPr/>
        <w:sdtContent>
          <w:r w:rsidR="00EA1FC1" w:rsidRPr="00EA1FC1">
            <w:t>Stack v AMP Financial Plannin</w:t>
          </w:r>
          <w:r w:rsidR="00EA1FC1">
            <w:t xml:space="preserve">g Pty Limited (No 2) [2021] </w:t>
          </w:r>
          <w:r w:rsidR="00EA1FC1" w:rsidRPr="00EA1FC1">
            <w:t xml:space="preserve">FCA 1479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850D11">
        <w:tc>
          <w:tcPr>
            <w:tcW w:w="3084" w:type="dxa"/>
            <w:shd w:val="clear" w:color="auto" w:fill="auto"/>
          </w:tcPr>
          <w:p w:rsidR="00395B24" w:rsidRDefault="00BB6599" w:rsidP="00663878">
            <w:pPr>
              <w:pStyle w:val="Normal1linespace"/>
              <w:widowControl w:val="0"/>
              <w:jc w:val="left"/>
            </w:pPr>
            <w:r w:rsidRPr="00381678">
              <w:t>Fi</w:t>
            </w:r>
            <w:r>
              <w:t>le number</w:t>
            </w:r>
            <w:r w:rsidR="002C7385">
              <w:t>:</w:t>
            </w:r>
          </w:p>
        </w:tc>
        <w:tc>
          <w:tcPr>
            <w:tcW w:w="5989" w:type="dxa"/>
            <w:shd w:val="clear" w:color="auto" w:fill="auto"/>
          </w:tcPr>
          <w:p w:rsidR="00395B24" w:rsidRPr="00BB6599" w:rsidRDefault="005A2053" w:rsidP="00BB6599">
            <w:pPr>
              <w:pStyle w:val="Normal1linespace"/>
              <w:jc w:val="left"/>
            </w:pPr>
            <w:r>
              <w:fldChar w:fldCharType="begin" w:fldLock="1"/>
            </w:r>
            <w:r>
              <w:instrText xml:space="preserve"> REF  FileNo  \* MERGEFORMAT </w:instrText>
            </w:r>
            <w:r>
              <w:fldChar w:fldCharType="separate"/>
            </w:r>
            <w:r w:rsidR="00BB6599" w:rsidRPr="00BB6599">
              <w:t>VID 489 of 2020</w:t>
            </w:r>
            <w:r>
              <w:fldChar w:fldCharType="end"/>
            </w:r>
          </w:p>
        </w:tc>
      </w:tr>
      <w:tr w:rsidR="00395B24" w:rsidTr="00850D11">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50D11">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BB6599">
              <w:rPr>
                <w:b/>
              </w:rPr>
              <w:fldChar w:fldCharType="begin" w:fldLock="1"/>
            </w:r>
            <w:r w:rsidRPr="00BB6599">
              <w:rPr>
                <w:b/>
              </w:rPr>
              <w:instrText xml:space="preserve"> REF  Judge  \* MERGEFORMAT </w:instrText>
            </w:r>
            <w:r w:rsidRPr="00BB6599">
              <w:rPr>
                <w:b/>
              </w:rPr>
              <w:fldChar w:fldCharType="separate"/>
            </w:r>
            <w:r w:rsidR="00BB6599" w:rsidRPr="00BB6599">
              <w:rPr>
                <w:b/>
                <w:caps/>
                <w:szCs w:val="24"/>
              </w:rPr>
              <w:t>BEACH J</w:t>
            </w:r>
            <w:r w:rsidRPr="00BB6599">
              <w:rPr>
                <w:b/>
              </w:rPr>
              <w:fldChar w:fldCharType="end"/>
            </w:r>
          </w:p>
        </w:tc>
      </w:tr>
      <w:tr w:rsidR="00395B24" w:rsidTr="00850D11">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50D11">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386BED" w:rsidP="0064471E">
            <w:pPr>
              <w:pStyle w:val="Normal1linespace"/>
              <w:widowControl w:val="0"/>
              <w:jc w:val="left"/>
            </w:pPr>
            <w:bookmarkStart w:id="1" w:name="JudgmentDate"/>
            <w:r>
              <w:t>25</w:t>
            </w:r>
            <w:r w:rsidR="00BB6599">
              <w:t xml:space="preserve"> </w:t>
            </w:r>
            <w:r w:rsidR="0064471E">
              <w:t>November</w:t>
            </w:r>
            <w:r w:rsidR="00BB6599">
              <w:t xml:space="preserve"> 2021</w:t>
            </w:r>
            <w:bookmarkEnd w:id="1"/>
          </w:p>
        </w:tc>
      </w:tr>
      <w:tr w:rsidR="00395B24" w:rsidTr="00850D11">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50D11">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BB6599" w:rsidP="00386BED">
            <w:pPr>
              <w:pStyle w:val="Normal1linespace"/>
              <w:widowControl w:val="0"/>
              <w:jc w:val="left"/>
            </w:pPr>
            <w:bookmarkStart w:id="2" w:name="Catchwords"/>
            <w:r w:rsidRPr="00BB6599">
              <w:rPr>
                <w:b/>
              </w:rPr>
              <w:t>CORPORATIONS</w:t>
            </w:r>
            <w:r>
              <w:t xml:space="preserve"> </w:t>
            </w:r>
            <w:r w:rsidR="001B7D1E">
              <w:t>–</w:t>
            </w:r>
            <w:r>
              <w:t xml:space="preserve"> </w:t>
            </w:r>
            <w:r w:rsidR="001B7D1E">
              <w:t xml:space="preserve">representative proceeding – practice and procedure – </w:t>
            </w:r>
            <w:r w:rsidR="00386BED">
              <w:t xml:space="preserve">de-classing </w:t>
            </w:r>
            <w:r w:rsidR="00F869D5">
              <w:t xml:space="preserve">action – </w:t>
            </w:r>
            <w:r w:rsidR="001B7D1E">
              <w:t xml:space="preserve">s 33N of </w:t>
            </w:r>
            <w:r w:rsidR="00FE4CF4" w:rsidRPr="005E0D5D">
              <w:t>the</w:t>
            </w:r>
            <w:r w:rsidR="00FE4CF4">
              <w:t xml:space="preserve"> </w:t>
            </w:r>
            <w:r w:rsidR="001B7D1E" w:rsidRPr="001B7D1E">
              <w:rPr>
                <w:i/>
              </w:rPr>
              <w:t>Federal Court of Australia Act 1976</w:t>
            </w:r>
            <w:r w:rsidR="001B7D1E">
              <w:t xml:space="preserve"> (</w:t>
            </w:r>
            <w:proofErr w:type="spellStart"/>
            <w:r w:rsidR="001B7D1E">
              <w:t>Cth</w:t>
            </w:r>
            <w:proofErr w:type="spellEnd"/>
            <w:r w:rsidR="001B7D1E">
              <w:t xml:space="preserve">) – </w:t>
            </w:r>
            <w:r w:rsidR="00F869D5">
              <w:t>s 33N(1)(c) – whether representative proceeding</w:t>
            </w:r>
            <w:r w:rsidR="00FE4CF4">
              <w:t xml:space="preserve"> an efficient and effective means of dealing with claims – commonality co</w:t>
            </w:r>
            <w:r w:rsidR="00FE4CF4" w:rsidRPr="005E0D5D">
              <w:t>ncerning</w:t>
            </w:r>
            <w:r w:rsidR="005E0D5D" w:rsidRPr="005E0D5D">
              <w:t xml:space="preserve"> claims under </w:t>
            </w:r>
            <w:proofErr w:type="spellStart"/>
            <w:r w:rsidR="005E0D5D" w:rsidRPr="005E0D5D">
              <w:t>ss</w:t>
            </w:r>
            <w:proofErr w:type="spellEnd"/>
            <w:r w:rsidR="005E0D5D" w:rsidRPr="005E0D5D">
              <w:t xml:space="preserve"> 961B, 961J, </w:t>
            </w:r>
            <w:r w:rsidR="00FE4CF4" w:rsidRPr="005E0D5D">
              <w:t>961L</w:t>
            </w:r>
            <w:r w:rsidR="005E0D5D" w:rsidRPr="005E0D5D">
              <w:t xml:space="preserve"> and 965</w:t>
            </w:r>
            <w:r w:rsidR="00FE4CF4" w:rsidRPr="005E0D5D">
              <w:t xml:space="preserve"> of the</w:t>
            </w:r>
            <w:r w:rsidR="00FE4CF4">
              <w:t xml:space="preserve"> </w:t>
            </w:r>
            <w:r w:rsidR="00FE4CF4" w:rsidRPr="00FE4CF4">
              <w:rPr>
                <w:i/>
              </w:rPr>
              <w:t xml:space="preserve">Corporations Act 2001 </w:t>
            </w:r>
            <w:r w:rsidR="00FE4CF4">
              <w:t>(</w:t>
            </w:r>
            <w:proofErr w:type="spellStart"/>
            <w:r w:rsidR="00FE4CF4">
              <w:t>Cth</w:t>
            </w:r>
            <w:proofErr w:type="spellEnd"/>
            <w:r w:rsidR="00FE4CF4">
              <w:t>) – nature of AMP authorised representatives – relationship with AMP licensees – personal advice – breach of fiduciary duty – sufficient commonality – balance between individual issues and common issues</w:t>
            </w:r>
            <w:r w:rsidR="005E0D5D">
              <w:t xml:space="preserve"> –</w:t>
            </w:r>
            <w:r w:rsidR="00FE4CF4">
              <w:t xml:space="preserve"> </w:t>
            </w:r>
            <w:r w:rsidR="001B7D1E">
              <w:t>application refused</w:t>
            </w:r>
            <w:r w:rsidR="00715751">
              <w:t xml:space="preserve"> </w:t>
            </w:r>
            <w:bookmarkEnd w:id="2"/>
          </w:p>
        </w:tc>
      </w:tr>
      <w:tr w:rsidR="00395B24" w:rsidTr="00850D11">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50D11">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1103FC" w:rsidRDefault="001103FC" w:rsidP="00B00108">
            <w:pPr>
              <w:pStyle w:val="CasesLegislationAppealFrom"/>
              <w:spacing w:after="60"/>
              <w:rPr>
                <w:i/>
              </w:rPr>
            </w:pPr>
            <w:bookmarkStart w:id="3" w:name="Legislation"/>
            <w:r w:rsidRPr="00DE4C9D">
              <w:rPr>
                <w:i/>
              </w:rPr>
              <w:t xml:space="preserve">Australian Securities and Investments Commission Act 2001 </w:t>
            </w:r>
            <w:r>
              <w:t>(</w:t>
            </w:r>
            <w:proofErr w:type="spellStart"/>
            <w:r>
              <w:t>Cth</w:t>
            </w:r>
            <w:proofErr w:type="spellEnd"/>
            <w:r>
              <w:t xml:space="preserve">) </w:t>
            </w:r>
            <w:proofErr w:type="spellStart"/>
            <w:r>
              <w:t>s</w:t>
            </w:r>
            <w:r w:rsidR="00564D98">
              <w:t>s</w:t>
            </w:r>
            <w:proofErr w:type="spellEnd"/>
            <w:r w:rsidR="00564D98">
              <w:t xml:space="preserve"> 12CB, </w:t>
            </w:r>
            <w:r>
              <w:t>12GF</w:t>
            </w:r>
          </w:p>
          <w:p w:rsidR="00435E8B" w:rsidRDefault="00435E8B" w:rsidP="00B00108">
            <w:pPr>
              <w:pStyle w:val="CasesLegislationAppealFrom"/>
              <w:spacing w:after="60"/>
              <w:rPr>
                <w:i/>
              </w:rPr>
            </w:pPr>
            <w:r>
              <w:rPr>
                <w:i/>
              </w:rPr>
              <w:t xml:space="preserve">Corporations Act 2001 </w:t>
            </w:r>
            <w:r w:rsidRPr="00435E8B">
              <w:t>(</w:t>
            </w:r>
            <w:proofErr w:type="spellStart"/>
            <w:r w:rsidRPr="00435E8B">
              <w:t>Cth</w:t>
            </w:r>
            <w:proofErr w:type="spellEnd"/>
            <w:r w:rsidRPr="00435E8B">
              <w:t>)</w:t>
            </w:r>
            <w:r w:rsidR="004545AD">
              <w:t xml:space="preserve"> </w:t>
            </w:r>
            <w:proofErr w:type="spellStart"/>
            <w:r w:rsidR="004545AD">
              <w:t>ss</w:t>
            </w:r>
            <w:proofErr w:type="spellEnd"/>
            <w:r w:rsidR="004545AD">
              <w:t> </w:t>
            </w:r>
            <w:r w:rsidR="006457F2">
              <w:t>917E,</w:t>
            </w:r>
            <w:r w:rsidR="006457F2" w:rsidRPr="004545AD">
              <w:t xml:space="preserve"> </w:t>
            </w:r>
            <w:r w:rsidR="006457F2">
              <w:t xml:space="preserve">961B, </w:t>
            </w:r>
            <w:r w:rsidR="004545AD" w:rsidRPr="004545AD">
              <w:t>961J</w:t>
            </w:r>
            <w:r w:rsidR="004545AD">
              <w:t xml:space="preserve">, </w:t>
            </w:r>
            <w:r w:rsidR="004545AD" w:rsidRPr="004545AD">
              <w:t>961L</w:t>
            </w:r>
            <w:r w:rsidR="004315AC">
              <w:t>,</w:t>
            </w:r>
            <w:r w:rsidR="00C52C04">
              <w:t xml:space="preserve"> 961M,</w:t>
            </w:r>
            <w:r w:rsidR="004315AC">
              <w:t xml:space="preserve"> </w:t>
            </w:r>
            <w:r w:rsidR="000824BE">
              <w:t>965</w:t>
            </w:r>
          </w:p>
          <w:p w:rsidR="00395B24" w:rsidRDefault="00B00108" w:rsidP="00564D98">
            <w:pPr>
              <w:pStyle w:val="CasesLegislationAppealFrom"/>
              <w:spacing w:after="60"/>
            </w:pPr>
            <w:r w:rsidRPr="00435E8B">
              <w:rPr>
                <w:i/>
              </w:rPr>
              <w:t>Federal Court of Australia Act 1976</w:t>
            </w:r>
            <w:r w:rsidRPr="00B00108">
              <w:t xml:space="preserve"> (</w:t>
            </w:r>
            <w:proofErr w:type="spellStart"/>
            <w:r w:rsidRPr="00B00108">
              <w:t>Cth</w:t>
            </w:r>
            <w:proofErr w:type="spellEnd"/>
            <w:r w:rsidRPr="00B00108">
              <w:t xml:space="preserve">) </w:t>
            </w:r>
            <w:proofErr w:type="spellStart"/>
            <w:r>
              <w:t>ss</w:t>
            </w:r>
            <w:proofErr w:type="spellEnd"/>
            <w:r>
              <w:t> </w:t>
            </w:r>
            <w:r w:rsidR="00131C7F">
              <w:t xml:space="preserve">33C, </w:t>
            </w:r>
            <w:r>
              <w:t>33N</w:t>
            </w:r>
            <w:r w:rsidR="003E66F4">
              <w:t xml:space="preserve">, </w:t>
            </w:r>
            <w:r w:rsidR="003E66F4" w:rsidRPr="003E66F4">
              <w:t>33Q</w:t>
            </w:r>
            <w:r w:rsidR="002C7385">
              <w:t xml:space="preserve"> </w:t>
            </w:r>
            <w:bookmarkEnd w:id="3"/>
          </w:p>
        </w:tc>
      </w:tr>
      <w:tr w:rsidR="00395B24" w:rsidTr="00850D11">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50D11">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Default="00C53C53" w:rsidP="00D82620">
            <w:pPr>
              <w:pStyle w:val="CasesLegislationAppealFrom"/>
              <w:spacing w:after="60"/>
            </w:pPr>
            <w:bookmarkStart w:id="4" w:name="Cases_Cited"/>
            <w:r w:rsidRPr="00843FED">
              <w:rPr>
                <w:i/>
              </w:rPr>
              <w:t>Australian Securities and Investments Commission v AMP Financial Planning Pty Ltd</w:t>
            </w:r>
            <w:r>
              <w:rPr>
                <w:i/>
              </w:rPr>
              <w:t xml:space="preserve"> (No 2</w:t>
            </w:r>
            <w:r w:rsidRPr="00D24149">
              <w:rPr>
                <w:i/>
              </w:rPr>
              <w:t xml:space="preserve">) </w:t>
            </w:r>
            <w:r w:rsidRPr="00D24149">
              <w:t>(2020) 377 ALR 55</w:t>
            </w:r>
            <w:bookmarkEnd w:id="4"/>
          </w:p>
          <w:p w:rsidR="00BE7428" w:rsidRDefault="00BE7428" w:rsidP="00D82620">
            <w:pPr>
              <w:pStyle w:val="CasesLegislationAppealFrom"/>
              <w:spacing w:after="60"/>
            </w:pPr>
            <w:proofErr w:type="spellStart"/>
            <w:r w:rsidRPr="00BE7428">
              <w:rPr>
                <w:i/>
              </w:rPr>
              <w:t>Earglow</w:t>
            </w:r>
            <w:proofErr w:type="spellEnd"/>
            <w:r w:rsidRPr="00BE7428">
              <w:rPr>
                <w:i/>
              </w:rPr>
              <w:t xml:space="preserve"> Pty Ltd v Newcrest Mining Ltd</w:t>
            </w:r>
            <w:r w:rsidRPr="00BE7428">
              <w:t xml:space="preserve"> (2015) 230 FCR 469</w:t>
            </w:r>
          </w:p>
        </w:tc>
      </w:tr>
      <w:tr w:rsidR="00BB6599" w:rsidTr="00850D11">
        <w:tc>
          <w:tcPr>
            <w:tcW w:w="3084" w:type="dxa"/>
            <w:shd w:val="clear" w:color="auto" w:fill="auto"/>
          </w:tcPr>
          <w:p w:rsidR="00BB6599" w:rsidRDefault="00BB6599" w:rsidP="0078784C">
            <w:pPr>
              <w:pStyle w:val="Normal1linespace"/>
              <w:widowControl w:val="0"/>
            </w:pPr>
          </w:p>
        </w:tc>
        <w:tc>
          <w:tcPr>
            <w:tcW w:w="5989" w:type="dxa"/>
            <w:shd w:val="clear" w:color="auto" w:fill="auto"/>
          </w:tcPr>
          <w:p w:rsidR="00BB6599" w:rsidRDefault="00BB6599" w:rsidP="0078784C">
            <w:pPr>
              <w:pStyle w:val="Normal1linespace"/>
              <w:widowControl w:val="0"/>
              <w:jc w:val="left"/>
            </w:pPr>
          </w:p>
        </w:tc>
      </w:tr>
      <w:tr w:rsidR="00BB6599" w:rsidTr="00850D11">
        <w:tc>
          <w:tcPr>
            <w:tcW w:w="3084" w:type="dxa"/>
            <w:shd w:val="clear" w:color="auto" w:fill="auto"/>
          </w:tcPr>
          <w:p w:rsidR="00BB6599" w:rsidRDefault="00BB6599" w:rsidP="00501A12">
            <w:pPr>
              <w:pStyle w:val="Normal1linespace"/>
              <w:widowControl w:val="0"/>
            </w:pPr>
            <w:r>
              <w:t>Division:</w:t>
            </w:r>
          </w:p>
        </w:tc>
        <w:tc>
          <w:tcPr>
            <w:tcW w:w="5989" w:type="dxa"/>
            <w:shd w:val="clear" w:color="auto" w:fill="auto"/>
          </w:tcPr>
          <w:p w:rsidR="00BB6599" w:rsidRPr="00F17599" w:rsidRDefault="005A2053" w:rsidP="00501A12">
            <w:pPr>
              <w:pStyle w:val="Normal1linespace"/>
              <w:widowControl w:val="0"/>
              <w:jc w:val="left"/>
            </w:pPr>
            <w:r>
              <w:fldChar w:fldCharType="begin"/>
            </w:r>
            <w:r>
              <w:instrText xml:space="preserve"> DOCPROPERTY  Division </w:instrText>
            </w:r>
            <w:r>
              <w:fldChar w:fldCharType="separate"/>
            </w:r>
            <w:r w:rsidR="00BB6599">
              <w:t>General Division</w:t>
            </w:r>
            <w:r>
              <w:fldChar w:fldCharType="end"/>
            </w:r>
          </w:p>
        </w:tc>
      </w:tr>
      <w:tr w:rsidR="00BB6599" w:rsidTr="00850D11">
        <w:tc>
          <w:tcPr>
            <w:tcW w:w="3084" w:type="dxa"/>
            <w:shd w:val="clear" w:color="auto" w:fill="auto"/>
          </w:tcPr>
          <w:p w:rsidR="00BB6599" w:rsidRDefault="00BB6599" w:rsidP="00501A12">
            <w:pPr>
              <w:pStyle w:val="Normal1linespace"/>
              <w:widowControl w:val="0"/>
            </w:pPr>
            <w:bookmarkStart w:id="5" w:name="Registry_rows" w:colFirst="0" w:colLast="1"/>
          </w:p>
        </w:tc>
        <w:tc>
          <w:tcPr>
            <w:tcW w:w="5989" w:type="dxa"/>
            <w:shd w:val="clear" w:color="auto" w:fill="auto"/>
          </w:tcPr>
          <w:p w:rsidR="00BB6599" w:rsidRDefault="00BB6599" w:rsidP="00501A12">
            <w:pPr>
              <w:pStyle w:val="Normal1linespace"/>
              <w:widowControl w:val="0"/>
              <w:jc w:val="left"/>
            </w:pPr>
          </w:p>
        </w:tc>
      </w:tr>
      <w:tr w:rsidR="00BB6599" w:rsidTr="00850D11">
        <w:tc>
          <w:tcPr>
            <w:tcW w:w="3084" w:type="dxa"/>
            <w:shd w:val="clear" w:color="auto" w:fill="auto"/>
          </w:tcPr>
          <w:p w:rsidR="00BB6599" w:rsidRDefault="00BB6599" w:rsidP="00501A12">
            <w:pPr>
              <w:pStyle w:val="Normal1linespace"/>
              <w:widowControl w:val="0"/>
            </w:pPr>
            <w:r>
              <w:t>Registry:</w:t>
            </w:r>
          </w:p>
        </w:tc>
        <w:tc>
          <w:tcPr>
            <w:tcW w:w="5989" w:type="dxa"/>
            <w:shd w:val="clear" w:color="auto" w:fill="auto"/>
          </w:tcPr>
          <w:p w:rsidR="00BB6599" w:rsidRPr="00F17599" w:rsidRDefault="005A2053" w:rsidP="00501A12">
            <w:pPr>
              <w:pStyle w:val="Normal1linespace"/>
              <w:widowControl w:val="0"/>
              <w:jc w:val="left"/>
            </w:pPr>
            <w:r>
              <w:fldChar w:fldCharType="begin"/>
            </w:r>
            <w:r>
              <w:instrText xml:space="preserve"> DOCPROPERTY  Registry </w:instrText>
            </w:r>
            <w:r>
              <w:fldChar w:fldCharType="separate"/>
            </w:r>
            <w:r w:rsidR="00BB6599">
              <w:t>Victoria</w:t>
            </w:r>
            <w:r>
              <w:fldChar w:fldCharType="end"/>
            </w:r>
          </w:p>
        </w:tc>
      </w:tr>
      <w:tr w:rsidR="00BB6599" w:rsidTr="00850D11">
        <w:tc>
          <w:tcPr>
            <w:tcW w:w="3084" w:type="dxa"/>
            <w:shd w:val="clear" w:color="auto" w:fill="auto"/>
          </w:tcPr>
          <w:p w:rsidR="00BB6599" w:rsidRDefault="00BB6599" w:rsidP="00501A12">
            <w:pPr>
              <w:pStyle w:val="Normal1linespace"/>
              <w:widowControl w:val="0"/>
            </w:pPr>
            <w:bookmarkStart w:id="6" w:name="NPARow" w:colFirst="0" w:colLast="1"/>
            <w:bookmarkEnd w:id="5"/>
          </w:p>
        </w:tc>
        <w:tc>
          <w:tcPr>
            <w:tcW w:w="5989" w:type="dxa"/>
            <w:shd w:val="clear" w:color="auto" w:fill="auto"/>
          </w:tcPr>
          <w:p w:rsidR="00BB6599" w:rsidRPr="00F17599" w:rsidRDefault="00BB6599" w:rsidP="00501A12">
            <w:pPr>
              <w:pStyle w:val="Normal1linespace"/>
              <w:widowControl w:val="0"/>
              <w:jc w:val="left"/>
              <w:rPr>
                <w:b/>
              </w:rPr>
            </w:pPr>
          </w:p>
        </w:tc>
      </w:tr>
      <w:tr w:rsidR="00BB6599" w:rsidTr="00850D11">
        <w:tc>
          <w:tcPr>
            <w:tcW w:w="3084" w:type="dxa"/>
            <w:shd w:val="clear" w:color="auto" w:fill="auto"/>
          </w:tcPr>
          <w:p w:rsidR="00BB6599" w:rsidRDefault="00BB6599" w:rsidP="00501A12">
            <w:pPr>
              <w:pStyle w:val="Normal1linespace"/>
              <w:widowControl w:val="0"/>
            </w:pPr>
            <w:r>
              <w:t>National Practice Area:</w:t>
            </w:r>
          </w:p>
        </w:tc>
        <w:tc>
          <w:tcPr>
            <w:tcW w:w="5989" w:type="dxa"/>
            <w:shd w:val="clear" w:color="auto" w:fill="auto"/>
          </w:tcPr>
          <w:p w:rsidR="00BB6599" w:rsidRPr="00F17599" w:rsidRDefault="005A2053" w:rsidP="0078784C">
            <w:pPr>
              <w:pStyle w:val="Normal1linespace"/>
              <w:widowControl w:val="0"/>
              <w:jc w:val="left"/>
              <w:rPr>
                <w:b/>
              </w:rPr>
            </w:pPr>
            <w:r>
              <w:fldChar w:fldCharType="begin"/>
            </w:r>
            <w:r>
              <w:instrText xml:space="preserve"> DOCPROPERTY  "Practice Area"  \* MERGEFORMAT </w:instrText>
            </w:r>
            <w:r>
              <w:fldChar w:fldCharType="separate"/>
            </w:r>
            <w:r w:rsidR="00BB6599">
              <w:t>Commercial and Corporations</w:t>
            </w:r>
            <w:r>
              <w:fldChar w:fldCharType="end"/>
            </w:r>
          </w:p>
        </w:tc>
      </w:tr>
      <w:tr w:rsidR="00BB6599" w:rsidTr="00850D11">
        <w:tc>
          <w:tcPr>
            <w:tcW w:w="3084" w:type="dxa"/>
            <w:shd w:val="clear" w:color="auto" w:fill="auto"/>
          </w:tcPr>
          <w:p w:rsidR="00BB6599" w:rsidRDefault="00BB6599" w:rsidP="00501A12">
            <w:pPr>
              <w:pStyle w:val="Normal1linespace"/>
              <w:widowControl w:val="0"/>
            </w:pPr>
            <w:bookmarkStart w:id="7" w:name="SubAreaRow" w:colFirst="0" w:colLast="1"/>
            <w:bookmarkEnd w:id="6"/>
          </w:p>
        </w:tc>
        <w:tc>
          <w:tcPr>
            <w:tcW w:w="5989" w:type="dxa"/>
            <w:shd w:val="clear" w:color="auto" w:fill="auto"/>
          </w:tcPr>
          <w:p w:rsidR="00BB6599" w:rsidRDefault="00BB6599" w:rsidP="0078784C">
            <w:pPr>
              <w:pStyle w:val="Normal1linespace"/>
              <w:widowControl w:val="0"/>
              <w:jc w:val="left"/>
            </w:pPr>
          </w:p>
        </w:tc>
      </w:tr>
      <w:tr w:rsidR="00BB6599" w:rsidTr="00850D11">
        <w:tc>
          <w:tcPr>
            <w:tcW w:w="3084" w:type="dxa"/>
            <w:shd w:val="clear" w:color="auto" w:fill="auto"/>
          </w:tcPr>
          <w:p w:rsidR="00BB6599" w:rsidRDefault="00BB6599" w:rsidP="00501A12">
            <w:pPr>
              <w:pStyle w:val="Normal1linespace"/>
              <w:widowControl w:val="0"/>
            </w:pPr>
            <w:r>
              <w:t>Sub-area:</w:t>
            </w:r>
          </w:p>
        </w:tc>
        <w:tc>
          <w:tcPr>
            <w:tcW w:w="5989" w:type="dxa"/>
            <w:shd w:val="clear" w:color="auto" w:fill="auto"/>
          </w:tcPr>
          <w:p w:rsidR="00BB6599" w:rsidRPr="00837288" w:rsidRDefault="005A2053" w:rsidP="0078784C">
            <w:pPr>
              <w:pStyle w:val="Normal1linespace"/>
              <w:widowControl w:val="0"/>
              <w:jc w:val="left"/>
            </w:pPr>
            <w:r>
              <w:fldChar w:fldCharType="begin"/>
            </w:r>
            <w:r>
              <w:instrText xml:space="preserve"> DOCPROPERTY  "Sub Area"  \* MERGEFORMAT </w:instrText>
            </w:r>
            <w:r>
              <w:fldChar w:fldCharType="separate"/>
            </w:r>
            <w:r w:rsidR="00BB6599" w:rsidRPr="00BB6599">
              <w:rPr>
                <w:lang w:val="en-US"/>
              </w:rPr>
              <w:t xml:space="preserve">Commercial Contracts, </w:t>
            </w:r>
            <w:r w:rsidR="00BB6599">
              <w:t>Banking, Finance and Insurance</w:t>
            </w:r>
            <w:r>
              <w:fldChar w:fldCharType="end"/>
            </w:r>
          </w:p>
        </w:tc>
      </w:tr>
      <w:bookmarkEnd w:id="7"/>
      <w:tr w:rsidR="00BB6599" w:rsidTr="00850D11">
        <w:tc>
          <w:tcPr>
            <w:tcW w:w="3084" w:type="dxa"/>
            <w:shd w:val="clear" w:color="auto" w:fill="auto"/>
          </w:tcPr>
          <w:p w:rsidR="00BB6599" w:rsidRDefault="00BB6599" w:rsidP="0078784C">
            <w:pPr>
              <w:pStyle w:val="Normal1linespace"/>
              <w:widowControl w:val="0"/>
            </w:pPr>
          </w:p>
        </w:tc>
        <w:tc>
          <w:tcPr>
            <w:tcW w:w="5989" w:type="dxa"/>
            <w:shd w:val="clear" w:color="auto" w:fill="auto"/>
          </w:tcPr>
          <w:p w:rsidR="00BB6599" w:rsidRDefault="00BB6599" w:rsidP="0078784C">
            <w:pPr>
              <w:pStyle w:val="Normal1linespace"/>
              <w:widowControl w:val="0"/>
              <w:jc w:val="left"/>
            </w:pPr>
          </w:p>
        </w:tc>
      </w:tr>
      <w:tr w:rsidR="00BB6599" w:rsidTr="00850D11">
        <w:tc>
          <w:tcPr>
            <w:tcW w:w="3084" w:type="dxa"/>
            <w:shd w:val="clear" w:color="auto" w:fill="auto"/>
          </w:tcPr>
          <w:p w:rsidR="00BB6599" w:rsidRDefault="00BB6599" w:rsidP="00501A12">
            <w:pPr>
              <w:pStyle w:val="Normal1linespace"/>
              <w:widowControl w:val="0"/>
            </w:pPr>
            <w:r>
              <w:t>Number of paragraphs:</w:t>
            </w:r>
          </w:p>
        </w:tc>
        <w:tc>
          <w:tcPr>
            <w:tcW w:w="5989" w:type="dxa"/>
            <w:shd w:val="clear" w:color="auto" w:fill="auto"/>
          </w:tcPr>
          <w:p w:rsidR="00BB6599" w:rsidRDefault="00850D11" w:rsidP="00501A12">
            <w:pPr>
              <w:pStyle w:val="Normal1linespace"/>
              <w:widowControl w:val="0"/>
              <w:jc w:val="left"/>
            </w:pPr>
            <w:bookmarkStart w:id="8" w:name="PlaceCategoryParagraphs"/>
            <w:r w:rsidRPr="00850D11">
              <w:t>243</w:t>
            </w:r>
            <w:bookmarkEnd w:id="8"/>
          </w:p>
        </w:tc>
      </w:tr>
      <w:tr w:rsidR="00BB6599" w:rsidTr="00850D11">
        <w:tc>
          <w:tcPr>
            <w:tcW w:w="3084" w:type="dxa"/>
            <w:shd w:val="clear" w:color="auto" w:fill="auto"/>
          </w:tcPr>
          <w:p w:rsidR="00BB6599" w:rsidRDefault="00BB6599" w:rsidP="00BB6599">
            <w:pPr>
              <w:pStyle w:val="Normal1linespace"/>
              <w:widowControl w:val="0"/>
              <w:jc w:val="left"/>
            </w:pPr>
          </w:p>
        </w:tc>
        <w:tc>
          <w:tcPr>
            <w:tcW w:w="5989" w:type="dxa"/>
            <w:shd w:val="clear" w:color="auto" w:fill="auto"/>
          </w:tcPr>
          <w:p w:rsidR="00BB6599" w:rsidRDefault="00BB6599" w:rsidP="00BB6599">
            <w:pPr>
              <w:pStyle w:val="Normal1linespace"/>
              <w:widowControl w:val="0"/>
              <w:jc w:val="left"/>
            </w:pPr>
          </w:p>
        </w:tc>
      </w:tr>
      <w:tr w:rsidR="00BB6599" w:rsidTr="00850D11">
        <w:tc>
          <w:tcPr>
            <w:tcW w:w="3084" w:type="dxa"/>
            <w:shd w:val="clear" w:color="auto" w:fill="auto"/>
          </w:tcPr>
          <w:p w:rsidR="00BB6599" w:rsidRDefault="00BB6599" w:rsidP="00BB6599">
            <w:pPr>
              <w:pStyle w:val="Normal1linespace"/>
              <w:widowControl w:val="0"/>
              <w:jc w:val="left"/>
            </w:pPr>
            <w:bookmarkStart w:id="9" w:name="CounselDate" w:colFirst="0" w:colLast="2"/>
            <w:r w:rsidRPr="006A24E3">
              <w:t>Date of hearing:</w:t>
            </w:r>
          </w:p>
        </w:tc>
        <w:tc>
          <w:tcPr>
            <w:tcW w:w="5989" w:type="dxa"/>
            <w:shd w:val="clear" w:color="auto" w:fill="auto"/>
          </w:tcPr>
          <w:p w:rsidR="00BB6599" w:rsidRDefault="00693B99" w:rsidP="00BB6599">
            <w:pPr>
              <w:pStyle w:val="Normal1linespace"/>
              <w:widowControl w:val="0"/>
              <w:jc w:val="left"/>
            </w:pPr>
            <w:bookmarkStart w:id="10" w:name="HearingDate"/>
            <w:r>
              <w:t>11 October 2021</w:t>
            </w:r>
            <w:r w:rsidR="00BB6599">
              <w:t xml:space="preserve"> </w:t>
            </w:r>
            <w:bookmarkEnd w:id="10"/>
          </w:p>
        </w:tc>
      </w:tr>
      <w:tr w:rsidR="00BB6599" w:rsidTr="00850D11">
        <w:tc>
          <w:tcPr>
            <w:tcW w:w="3084" w:type="dxa"/>
            <w:shd w:val="clear" w:color="auto" w:fill="auto"/>
          </w:tcPr>
          <w:p w:rsidR="00BB6599" w:rsidRDefault="00BB6599" w:rsidP="00BB6599">
            <w:pPr>
              <w:pStyle w:val="Normal1linespace"/>
              <w:widowControl w:val="0"/>
              <w:jc w:val="left"/>
            </w:pPr>
          </w:p>
        </w:tc>
        <w:tc>
          <w:tcPr>
            <w:tcW w:w="5989" w:type="dxa"/>
            <w:shd w:val="clear" w:color="auto" w:fill="auto"/>
          </w:tcPr>
          <w:p w:rsidR="00BB6599" w:rsidRDefault="00BB6599" w:rsidP="00BB6599">
            <w:pPr>
              <w:pStyle w:val="Normal1linespace"/>
              <w:widowControl w:val="0"/>
              <w:jc w:val="left"/>
            </w:pPr>
          </w:p>
        </w:tc>
      </w:tr>
      <w:tr w:rsidR="00644B2C" w:rsidTr="00850D11">
        <w:tc>
          <w:tcPr>
            <w:tcW w:w="3084" w:type="dxa"/>
            <w:shd w:val="clear" w:color="auto" w:fill="auto"/>
          </w:tcPr>
          <w:p w:rsidR="00644B2C" w:rsidRDefault="00644B2C" w:rsidP="00BB6599">
            <w:pPr>
              <w:pStyle w:val="Normal1linespace"/>
              <w:widowControl w:val="0"/>
              <w:jc w:val="left"/>
            </w:pPr>
            <w:r>
              <w:t>Counsel for the Applicants:</w:t>
            </w:r>
          </w:p>
        </w:tc>
        <w:tc>
          <w:tcPr>
            <w:tcW w:w="5989" w:type="dxa"/>
            <w:shd w:val="clear" w:color="auto" w:fill="auto"/>
          </w:tcPr>
          <w:p w:rsidR="00644B2C" w:rsidRDefault="00B9207C" w:rsidP="00BB6599">
            <w:pPr>
              <w:pStyle w:val="Normal1linespace"/>
              <w:widowControl w:val="0"/>
              <w:jc w:val="left"/>
            </w:pPr>
            <w:r>
              <w:t xml:space="preserve">Mr A Martin SC with Mr T Bagley, Mr E Olivier and Mr B O’Connor </w:t>
            </w:r>
          </w:p>
        </w:tc>
      </w:tr>
      <w:tr w:rsidR="00644B2C" w:rsidTr="00850D11">
        <w:tc>
          <w:tcPr>
            <w:tcW w:w="3084" w:type="dxa"/>
            <w:shd w:val="clear" w:color="auto" w:fill="auto"/>
          </w:tcPr>
          <w:p w:rsidR="00644B2C" w:rsidRDefault="00644B2C" w:rsidP="00BB6599">
            <w:pPr>
              <w:pStyle w:val="Normal1linespace"/>
              <w:widowControl w:val="0"/>
              <w:jc w:val="left"/>
            </w:pPr>
          </w:p>
        </w:tc>
        <w:tc>
          <w:tcPr>
            <w:tcW w:w="5989" w:type="dxa"/>
            <w:shd w:val="clear" w:color="auto" w:fill="auto"/>
          </w:tcPr>
          <w:p w:rsidR="00644B2C" w:rsidRDefault="00644B2C" w:rsidP="00BB6599">
            <w:pPr>
              <w:pStyle w:val="Normal1linespace"/>
              <w:widowControl w:val="0"/>
              <w:jc w:val="left"/>
            </w:pPr>
          </w:p>
        </w:tc>
      </w:tr>
      <w:tr w:rsidR="00644B2C" w:rsidTr="00850D11">
        <w:tc>
          <w:tcPr>
            <w:tcW w:w="3084" w:type="dxa"/>
            <w:shd w:val="clear" w:color="auto" w:fill="auto"/>
          </w:tcPr>
          <w:p w:rsidR="00644B2C" w:rsidRDefault="00644B2C" w:rsidP="00BB6599">
            <w:pPr>
              <w:pStyle w:val="Normal1linespace"/>
              <w:widowControl w:val="0"/>
              <w:jc w:val="left"/>
            </w:pPr>
            <w:r w:rsidRPr="00FE4CF4">
              <w:t>Solicitor</w:t>
            </w:r>
            <w:r w:rsidR="003800BA" w:rsidRPr="00FE4CF4">
              <w:t>s</w:t>
            </w:r>
            <w:r w:rsidRPr="00FE4CF4">
              <w:t xml:space="preserve"> for</w:t>
            </w:r>
            <w:r>
              <w:t xml:space="preserve"> the Applicants:</w:t>
            </w:r>
          </w:p>
        </w:tc>
        <w:tc>
          <w:tcPr>
            <w:tcW w:w="5989" w:type="dxa"/>
            <w:shd w:val="clear" w:color="auto" w:fill="auto"/>
          </w:tcPr>
          <w:p w:rsidR="00644B2C" w:rsidRDefault="00FE4CF4" w:rsidP="00BB6599">
            <w:pPr>
              <w:pStyle w:val="Normal1linespace"/>
              <w:widowControl w:val="0"/>
              <w:jc w:val="left"/>
            </w:pPr>
            <w:r>
              <w:t>Piper Alderman and</w:t>
            </w:r>
            <w:r w:rsidR="003800BA">
              <w:t xml:space="preserve"> Shine Lawyers </w:t>
            </w:r>
          </w:p>
        </w:tc>
      </w:tr>
      <w:tr w:rsidR="00644B2C" w:rsidTr="00850D11">
        <w:tc>
          <w:tcPr>
            <w:tcW w:w="3084" w:type="dxa"/>
            <w:shd w:val="clear" w:color="auto" w:fill="auto"/>
          </w:tcPr>
          <w:p w:rsidR="00644B2C" w:rsidRDefault="00644B2C" w:rsidP="00BB6599">
            <w:pPr>
              <w:pStyle w:val="Normal1linespace"/>
              <w:widowControl w:val="0"/>
              <w:jc w:val="left"/>
            </w:pPr>
          </w:p>
        </w:tc>
        <w:tc>
          <w:tcPr>
            <w:tcW w:w="5989" w:type="dxa"/>
            <w:shd w:val="clear" w:color="auto" w:fill="auto"/>
          </w:tcPr>
          <w:p w:rsidR="00644B2C" w:rsidRDefault="00644B2C" w:rsidP="00BB6599">
            <w:pPr>
              <w:pStyle w:val="Normal1linespace"/>
              <w:widowControl w:val="0"/>
              <w:jc w:val="left"/>
            </w:pPr>
          </w:p>
        </w:tc>
      </w:tr>
      <w:tr w:rsidR="00644B2C" w:rsidTr="00850D11">
        <w:tc>
          <w:tcPr>
            <w:tcW w:w="3084" w:type="dxa"/>
            <w:shd w:val="clear" w:color="auto" w:fill="auto"/>
          </w:tcPr>
          <w:p w:rsidR="00644B2C" w:rsidRDefault="00644B2C" w:rsidP="00BB6599">
            <w:pPr>
              <w:pStyle w:val="Normal1linespace"/>
              <w:widowControl w:val="0"/>
              <w:jc w:val="left"/>
            </w:pPr>
            <w:r>
              <w:t>Counsel for the Respondents:</w:t>
            </w:r>
          </w:p>
        </w:tc>
        <w:tc>
          <w:tcPr>
            <w:tcW w:w="5989" w:type="dxa"/>
            <w:shd w:val="clear" w:color="auto" w:fill="auto"/>
          </w:tcPr>
          <w:p w:rsidR="00644B2C" w:rsidRDefault="00F844F6" w:rsidP="00BB6599">
            <w:pPr>
              <w:pStyle w:val="Normal1linespace"/>
              <w:widowControl w:val="0"/>
              <w:jc w:val="left"/>
            </w:pPr>
            <w:r>
              <w:t>Ms W Harris QC with Ms E Bathurst</w:t>
            </w:r>
          </w:p>
        </w:tc>
      </w:tr>
      <w:tr w:rsidR="00644B2C" w:rsidTr="00850D11">
        <w:tc>
          <w:tcPr>
            <w:tcW w:w="3084" w:type="dxa"/>
            <w:shd w:val="clear" w:color="auto" w:fill="auto"/>
          </w:tcPr>
          <w:p w:rsidR="00644B2C" w:rsidRDefault="00644B2C" w:rsidP="00BB6599">
            <w:pPr>
              <w:pStyle w:val="Normal1linespace"/>
              <w:widowControl w:val="0"/>
              <w:jc w:val="left"/>
            </w:pPr>
          </w:p>
        </w:tc>
        <w:tc>
          <w:tcPr>
            <w:tcW w:w="5989" w:type="dxa"/>
            <w:shd w:val="clear" w:color="auto" w:fill="auto"/>
          </w:tcPr>
          <w:p w:rsidR="00644B2C" w:rsidRDefault="00644B2C" w:rsidP="00BB6599">
            <w:pPr>
              <w:pStyle w:val="Normal1linespace"/>
              <w:widowControl w:val="0"/>
              <w:jc w:val="left"/>
            </w:pPr>
          </w:p>
        </w:tc>
      </w:tr>
      <w:tr w:rsidR="00644B2C" w:rsidTr="00850D11">
        <w:tc>
          <w:tcPr>
            <w:tcW w:w="3084" w:type="dxa"/>
            <w:shd w:val="clear" w:color="auto" w:fill="auto"/>
          </w:tcPr>
          <w:p w:rsidR="00644B2C" w:rsidRDefault="00644B2C" w:rsidP="00BB6599">
            <w:pPr>
              <w:pStyle w:val="Normal1linespace"/>
              <w:widowControl w:val="0"/>
              <w:jc w:val="left"/>
            </w:pPr>
            <w:r>
              <w:t>Solicitor for the Respondents:</w:t>
            </w:r>
          </w:p>
          <w:p w:rsidR="00644B2C" w:rsidRDefault="00644B2C" w:rsidP="00BB6599">
            <w:pPr>
              <w:pStyle w:val="Normal1linespace"/>
              <w:widowControl w:val="0"/>
              <w:jc w:val="left"/>
            </w:pPr>
          </w:p>
        </w:tc>
        <w:tc>
          <w:tcPr>
            <w:tcW w:w="5989" w:type="dxa"/>
            <w:shd w:val="clear" w:color="auto" w:fill="auto"/>
          </w:tcPr>
          <w:p w:rsidR="00644B2C" w:rsidRDefault="00B9207C" w:rsidP="00BB6599">
            <w:pPr>
              <w:pStyle w:val="Normal1linespace"/>
              <w:widowControl w:val="0"/>
              <w:jc w:val="left"/>
            </w:pPr>
            <w:r>
              <w:t xml:space="preserve">King &amp; Wood </w:t>
            </w:r>
            <w:proofErr w:type="spellStart"/>
            <w:r>
              <w:t>Mallesons</w:t>
            </w:r>
            <w:proofErr w:type="spellEnd"/>
            <w:r>
              <w:t xml:space="preserve"> </w:t>
            </w:r>
          </w:p>
        </w:tc>
      </w:tr>
    </w:tbl>
    <w:p w:rsidR="00B17D6E" w:rsidRDefault="00B17D6E">
      <w:pPr>
        <w:pStyle w:val="Normal1linespace"/>
      </w:pPr>
      <w:bookmarkStart w:id="11" w:name="CompletionTable"/>
      <w:bookmarkEnd w:id="9"/>
    </w:p>
    <w:bookmarkEnd w:id="11"/>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B6599" w:rsidP="00F92355">
            <w:pPr>
              <w:pStyle w:val="NormalHeadings"/>
              <w:jc w:val="right"/>
            </w:pPr>
            <w:bookmarkStart w:id="12" w:name="FileNo"/>
            <w:r>
              <w:t>VID 489 of 2020</w:t>
            </w:r>
            <w:bookmarkEnd w:id="12"/>
          </w:p>
        </w:tc>
      </w:tr>
      <w:tr w:rsidR="00A76C13" w:rsidTr="0078784C">
        <w:tc>
          <w:tcPr>
            <w:tcW w:w="9242" w:type="dxa"/>
            <w:gridSpan w:val="3"/>
          </w:tcPr>
          <w:p w:rsidR="00A76C13" w:rsidRPr="00A76C13" w:rsidRDefault="00BB6599" w:rsidP="00BB6599">
            <w:pPr>
              <w:pStyle w:val="NormalHeadings"/>
              <w:jc w:val="left"/>
            </w:pPr>
            <w:bookmarkStart w:id="13" w:name="InTheMatterOf"/>
            <w:r>
              <w:t xml:space="preserve"> </w:t>
            </w:r>
            <w:bookmarkEnd w:id="13"/>
          </w:p>
        </w:tc>
      </w:tr>
      <w:tr w:rsidR="00A46CCC" w:rsidTr="0078784C">
        <w:trPr>
          <w:trHeight w:val="386"/>
        </w:trPr>
        <w:tc>
          <w:tcPr>
            <w:tcW w:w="2376" w:type="dxa"/>
          </w:tcPr>
          <w:p w:rsidR="00A46CCC" w:rsidRDefault="00A46CCC" w:rsidP="0078784C">
            <w:pPr>
              <w:pStyle w:val="NormalHeadings"/>
              <w:jc w:val="left"/>
              <w:rPr>
                <w:caps/>
                <w:szCs w:val="24"/>
              </w:rPr>
            </w:pPr>
            <w:bookmarkStart w:id="14" w:name="Parties"/>
            <w:r>
              <w:rPr>
                <w:caps/>
                <w:szCs w:val="24"/>
              </w:rPr>
              <w:t>BETWEEN:</w:t>
            </w:r>
          </w:p>
        </w:tc>
        <w:tc>
          <w:tcPr>
            <w:tcW w:w="6866" w:type="dxa"/>
            <w:gridSpan w:val="2"/>
          </w:tcPr>
          <w:p w:rsidR="00BB6599" w:rsidRDefault="00BB6599" w:rsidP="00BB6599">
            <w:pPr>
              <w:pStyle w:val="NormalHeadings"/>
              <w:jc w:val="left"/>
            </w:pPr>
            <w:bookmarkStart w:id="15" w:name="Applicant"/>
            <w:r>
              <w:t>NIGEL PETER STACK</w:t>
            </w:r>
          </w:p>
          <w:p w:rsidR="00BB6599" w:rsidRDefault="00BB6599" w:rsidP="00BB6599">
            <w:pPr>
              <w:pStyle w:val="PartyType"/>
            </w:pPr>
            <w:r>
              <w:t>First Applicant</w:t>
            </w:r>
          </w:p>
          <w:p w:rsidR="00BB6599" w:rsidRDefault="00BB6599" w:rsidP="0078784C">
            <w:pPr>
              <w:pStyle w:val="NormalHeadings"/>
              <w:jc w:val="left"/>
            </w:pPr>
          </w:p>
          <w:p w:rsidR="00BB6599" w:rsidRDefault="00BB6599" w:rsidP="00BB6599">
            <w:pPr>
              <w:pStyle w:val="NormalHeadings"/>
              <w:jc w:val="left"/>
            </w:pPr>
            <w:r>
              <w:t>MELITA ANNA WINTERTON</w:t>
            </w:r>
          </w:p>
          <w:p w:rsidR="00BB6599" w:rsidRDefault="00BB6599" w:rsidP="00BB6599">
            <w:pPr>
              <w:pStyle w:val="PartyType"/>
            </w:pPr>
            <w:r>
              <w:t>Second Applicant</w:t>
            </w:r>
          </w:p>
          <w:p w:rsidR="00BB6599" w:rsidRDefault="00BB6599" w:rsidP="0078784C">
            <w:pPr>
              <w:pStyle w:val="NormalHeadings"/>
              <w:jc w:val="left"/>
            </w:pPr>
          </w:p>
          <w:p w:rsidR="00BB6599" w:rsidRDefault="00BB6599" w:rsidP="00BB6599">
            <w:pPr>
              <w:pStyle w:val="NormalHeadings"/>
              <w:jc w:val="left"/>
            </w:pPr>
            <w:r>
              <w:t xml:space="preserve">JOHN LESLIE BROTTON </w:t>
            </w:r>
            <w:r w:rsidRPr="00BB6599">
              <w:rPr>
                <w:b w:val="0"/>
              </w:rPr>
              <w:t>(and another named in the Schedule)</w:t>
            </w:r>
          </w:p>
          <w:p w:rsidR="00BB6599" w:rsidRDefault="00BB6599" w:rsidP="00BB6599">
            <w:pPr>
              <w:pStyle w:val="PartyType"/>
            </w:pPr>
            <w:r>
              <w:t>Third Applicant</w:t>
            </w:r>
          </w:p>
          <w:bookmarkEnd w:id="15"/>
          <w:p w:rsidR="00A46CCC" w:rsidRPr="006555B4" w:rsidRDefault="00A46CCC" w:rsidP="0078784C">
            <w:pPr>
              <w:pStyle w:val="NormalHeadings"/>
              <w:jc w:val="left"/>
            </w:pPr>
          </w:p>
        </w:tc>
      </w:tr>
      <w:tr w:rsidR="00A46CCC" w:rsidTr="0078784C">
        <w:trPr>
          <w:trHeight w:val="386"/>
        </w:trPr>
        <w:tc>
          <w:tcPr>
            <w:tcW w:w="2376" w:type="dxa"/>
          </w:tcPr>
          <w:p w:rsidR="00A46CCC" w:rsidRDefault="00A46CCC" w:rsidP="0078784C">
            <w:pPr>
              <w:pStyle w:val="NormalHeadings"/>
              <w:jc w:val="left"/>
              <w:rPr>
                <w:caps/>
                <w:szCs w:val="24"/>
              </w:rPr>
            </w:pPr>
            <w:r>
              <w:rPr>
                <w:caps/>
                <w:szCs w:val="24"/>
              </w:rPr>
              <w:t>AND:</w:t>
            </w:r>
          </w:p>
        </w:tc>
        <w:tc>
          <w:tcPr>
            <w:tcW w:w="6866" w:type="dxa"/>
            <w:gridSpan w:val="2"/>
          </w:tcPr>
          <w:p w:rsidR="00BB6599" w:rsidRDefault="00BB6599" w:rsidP="00BB6599">
            <w:pPr>
              <w:pStyle w:val="NormalHeadings"/>
              <w:jc w:val="left"/>
            </w:pPr>
            <w:bookmarkStart w:id="16" w:name="Respondent"/>
            <w:r>
              <w:t>AMP FINANCIAL PLANNING PTY LIMITED (ACN 051 208 327)</w:t>
            </w:r>
          </w:p>
          <w:p w:rsidR="00BB6599" w:rsidRDefault="00BB6599" w:rsidP="00BB6599">
            <w:pPr>
              <w:pStyle w:val="PartyType"/>
            </w:pPr>
            <w:r>
              <w:t>First Respondent</w:t>
            </w:r>
          </w:p>
          <w:p w:rsidR="00BB6599" w:rsidRDefault="00BB6599" w:rsidP="0078784C">
            <w:pPr>
              <w:pStyle w:val="NormalHeadings"/>
              <w:jc w:val="left"/>
            </w:pPr>
          </w:p>
          <w:p w:rsidR="00BB6599" w:rsidRDefault="00BB6599" w:rsidP="00BB6599">
            <w:pPr>
              <w:pStyle w:val="NormalHeadings"/>
              <w:jc w:val="left"/>
            </w:pPr>
            <w:r>
              <w:t>CHARTER FINANCIAL PLANNING LIMITED (ACN 002 976 294)</w:t>
            </w:r>
          </w:p>
          <w:p w:rsidR="00BB6599" w:rsidRDefault="00BB6599" w:rsidP="00BB6599">
            <w:pPr>
              <w:pStyle w:val="PartyType"/>
            </w:pPr>
            <w:r>
              <w:t>Second Respondent</w:t>
            </w:r>
          </w:p>
          <w:p w:rsidR="00BB6599" w:rsidRDefault="00BB6599" w:rsidP="0078784C">
            <w:pPr>
              <w:pStyle w:val="NormalHeadings"/>
              <w:jc w:val="left"/>
            </w:pPr>
          </w:p>
          <w:p w:rsidR="00BB6599" w:rsidRDefault="00BB6599" w:rsidP="00BB6599">
            <w:pPr>
              <w:pStyle w:val="NormalHeadings"/>
              <w:jc w:val="left"/>
            </w:pPr>
            <w:r>
              <w:t xml:space="preserve">HILLROSS FINANCIAL SERVICES LIMITED (ACN 003 323 055) </w:t>
            </w:r>
            <w:r w:rsidRPr="00BB6599">
              <w:rPr>
                <w:b w:val="0"/>
              </w:rPr>
              <w:t>(and others named in the Schedule)</w:t>
            </w:r>
          </w:p>
          <w:p w:rsidR="00BB6599" w:rsidRDefault="00BB6599" w:rsidP="00BB6599">
            <w:pPr>
              <w:pStyle w:val="PartyType"/>
            </w:pPr>
            <w:r>
              <w:t>Third Respondent</w:t>
            </w:r>
          </w:p>
          <w:bookmarkEnd w:id="16"/>
          <w:p w:rsidR="00A46CCC" w:rsidRPr="006555B4" w:rsidRDefault="00A46CCC" w:rsidP="0078784C">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BB6599">
            <w:pPr>
              <w:pStyle w:val="NormalHeadings"/>
              <w:jc w:val="left"/>
              <w:rPr>
                <w:caps/>
                <w:szCs w:val="24"/>
              </w:rPr>
            </w:pPr>
            <w:bookmarkStart w:id="19" w:name="Judge"/>
            <w:r>
              <w:rPr>
                <w:caps/>
                <w:szCs w:val="24"/>
              </w:rPr>
              <w:t>BEACH J</w:t>
            </w:r>
            <w:bookmarkEnd w:id="19"/>
          </w:p>
        </w:tc>
      </w:tr>
      <w:tr w:rsidR="00395B24">
        <w:tc>
          <w:tcPr>
            <w:tcW w:w="2376" w:type="dxa"/>
          </w:tcPr>
          <w:p w:rsidR="00395B24" w:rsidRPr="00FE4CF4" w:rsidRDefault="002C7385">
            <w:pPr>
              <w:pStyle w:val="NormalHeadings"/>
              <w:spacing w:after="120"/>
              <w:jc w:val="left"/>
              <w:rPr>
                <w:caps/>
                <w:szCs w:val="24"/>
              </w:rPr>
            </w:pPr>
            <w:r w:rsidRPr="00FE4CF4">
              <w:rPr>
                <w:caps/>
                <w:szCs w:val="24"/>
              </w:rPr>
              <w:t>DATE OF ORDER:</w:t>
            </w:r>
          </w:p>
        </w:tc>
        <w:tc>
          <w:tcPr>
            <w:tcW w:w="6866" w:type="dxa"/>
          </w:tcPr>
          <w:p w:rsidR="00395B24" w:rsidRPr="00FE4CF4" w:rsidRDefault="00B71C5B" w:rsidP="0039023F">
            <w:pPr>
              <w:pStyle w:val="NormalHeadings"/>
              <w:jc w:val="left"/>
              <w:rPr>
                <w:caps/>
                <w:szCs w:val="24"/>
              </w:rPr>
            </w:pPr>
            <w:bookmarkStart w:id="20" w:name="Judgment_Dated"/>
            <w:r>
              <w:rPr>
                <w:caps/>
                <w:szCs w:val="24"/>
              </w:rPr>
              <w:t>25</w:t>
            </w:r>
            <w:r w:rsidR="00BB6599" w:rsidRPr="00FE4CF4">
              <w:rPr>
                <w:caps/>
                <w:szCs w:val="24"/>
              </w:rPr>
              <w:t xml:space="preserve"> </w:t>
            </w:r>
            <w:r w:rsidR="0039023F" w:rsidRPr="00FE4CF4">
              <w:rPr>
                <w:caps/>
                <w:szCs w:val="24"/>
              </w:rPr>
              <w:t>November</w:t>
            </w:r>
            <w:r w:rsidR="00BB6599" w:rsidRPr="00FE4CF4">
              <w:rPr>
                <w:caps/>
                <w:szCs w:val="24"/>
              </w:rPr>
              <w:t xml:space="preserve"> 2021</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1B7D1E" w:rsidP="001A6C52">
      <w:pPr>
        <w:pStyle w:val="Order1"/>
      </w:pPr>
      <w:r>
        <w:t>The respondents’ application under s 33N</w:t>
      </w:r>
      <w:r w:rsidR="00FE4CF4">
        <w:t>(1)</w:t>
      </w:r>
      <w:r>
        <w:t xml:space="preserve"> of the </w:t>
      </w:r>
      <w:r w:rsidRPr="001B7D1E">
        <w:rPr>
          <w:i/>
        </w:rPr>
        <w:t>Federal Court of Australia Act 1976</w:t>
      </w:r>
      <w:r>
        <w:t xml:space="preserve"> (</w:t>
      </w:r>
      <w:proofErr w:type="spellStart"/>
      <w:r>
        <w:t>Cth</w:t>
      </w:r>
      <w:proofErr w:type="spellEnd"/>
      <w:r w:rsidR="007A58A0">
        <w:t>) be dismissed.</w:t>
      </w:r>
    </w:p>
    <w:p w:rsidR="001B7D1E" w:rsidRDefault="001B7D1E" w:rsidP="001A6C52">
      <w:pPr>
        <w:pStyle w:val="Order1"/>
      </w:pPr>
      <w:r>
        <w:t xml:space="preserve">The </w:t>
      </w:r>
      <w:r w:rsidR="004A62D1">
        <w:t>parties’</w:t>
      </w:r>
      <w:r>
        <w:t xml:space="preserve"> costs of and incidental to such application</w:t>
      </w:r>
      <w:r w:rsidR="004A62D1">
        <w:t xml:space="preserve"> be their costs in the cause</w:t>
      </w:r>
      <w:r>
        <w:t>.</w:t>
      </w:r>
    </w:p>
    <w:p w:rsidR="001A6C52" w:rsidRDefault="001A6C52" w:rsidP="001A6C52">
      <w:pPr>
        <w:pStyle w:val="BodyText"/>
      </w:pPr>
    </w:p>
    <w:p w:rsidR="00A431E6" w:rsidRDefault="00A431E6" w:rsidP="001A6C52">
      <w:pPr>
        <w:pStyle w:val="BodyText"/>
      </w:pPr>
    </w:p>
    <w:p w:rsidR="0050309C" w:rsidRDefault="00BB6599" w:rsidP="004D53E5">
      <w:pPr>
        <w:pStyle w:val="SingleSpace"/>
      </w:pPr>
      <w:bookmarkStart w:id="21" w:name="OrdersStatement"/>
      <w:r>
        <w:t>Note:</w:t>
      </w:r>
      <w:r>
        <w:tab/>
        <w:t xml:space="preserve">Entry of orders is dealt with in Rule 39.32 of the </w:t>
      </w:r>
      <w:r>
        <w:rPr>
          <w:i/>
        </w:rPr>
        <w:t>Federal Court Rules 2011</w:t>
      </w:r>
      <w:r>
        <w:t>.</w:t>
      </w:r>
      <w:bookmarkEnd w:id="21"/>
    </w:p>
    <w:p w:rsidR="00604342" w:rsidRDefault="00604342"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694BEB" w:rsidRDefault="00F52C59" w:rsidP="005E0510">
      <w:pPr>
        <w:pStyle w:val="NormalHeadings"/>
        <w:spacing w:line="360" w:lineRule="auto"/>
        <w:jc w:val="left"/>
        <w:rPr>
          <w:sz w:val="26"/>
          <w:szCs w:val="26"/>
        </w:rPr>
      </w:pPr>
      <w:r>
        <w:rPr>
          <w:sz w:val="26"/>
          <w:szCs w:val="26"/>
        </w:rPr>
        <w:t>BEACH J:</w:t>
      </w:r>
    </w:p>
    <w:p w:rsidR="00FE4CF4" w:rsidRDefault="00564D98" w:rsidP="001B7D1E">
      <w:pPr>
        <w:pStyle w:val="ParaNumbering"/>
      </w:pPr>
      <w:r>
        <w:t>In this representative proceeding t</w:t>
      </w:r>
      <w:r w:rsidR="001B7D1E">
        <w:t>he applicants and group members</w:t>
      </w:r>
      <w:r w:rsidR="00B71C5B">
        <w:t xml:space="preserve"> s</w:t>
      </w:r>
      <w:r>
        <w:t>eek compensation</w:t>
      </w:r>
      <w:r w:rsidR="001B7D1E">
        <w:t xml:space="preserve"> fo</w:t>
      </w:r>
      <w:r w:rsidR="00AD2151">
        <w:t>r commissions and premiums paid</w:t>
      </w:r>
      <w:r w:rsidR="001B7D1E">
        <w:t xml:space="preserve"> in relation to financial products acquired on the advice of </w:t>
      </w:r>
      <w:r>
        <w:t>their financial advisers</w:t>
      </w:r>
      <w:r w:rsidR="001916A4">
        <w:t>,</w:t>
      </w:r>
      <w:r>
        <w:t xml:space="preserve"> who were at the relevant time </w:t>
      </w:r>
      <w:r w:rsidR="001B7D1E">
        <w:t xml:space="preserve">authorised representatives of </w:t>
      </w:r>
      <w:r w:rsidR="00FE4CF4">
        <w:t>t</w:t>
      </w:r>
      <w:r w:rsidR="00AD2151">
        <w:t>he first to third respondents.</w:t>
      </w:r>
    </w:p>
    <w:p w:rsidR="00564D98" w:rsidRDefault="00564D98" w:rsidP="00564D98">
      <w:pPr>
        <w:pStyle w:val="ParaNumbering"/>
      </w:pPr>
      <w:r>
        <w:t xml:space="preserve">The respondents have applied for an order under s 33N(1) of the </w:t>
      </w:r>
      <w:r w:rsidRPr="00080074">
        <w:rPr>
          <w:i/>
        </w:rPr>
        <w:t>Federal Court of Australia Act 1976</w:t>
      </w:r>
      <w:r>
        <w:t xml:space="preserve"> (</w:t>
      </w:r>
      <w:proofErr w:type="spellStart"/>
      <w:r>
        <w:t>Cth</w:t>
      </w:r>
      <w:proofErr w:type="spellEnd"/>
      <w:r>
        <w:t>) that the proceeding no longer continue as a representative proceeding.  They have invoked s 33N(1)(c) as the condition upon which they rely to trigger the power to de-class.</w:t>
      </w:r>
    </w:p>
    <w:p w:rsidR="00564D98" w:rsidRDefault="00564D98" w:rsidP="007D6CFF">
      <w:pPr>
        <w:pStyle w:val="ParaNumbering"/>
      </w:pPr>
      <w:r>
        <w:t>I</w:t>
      </w:r>
      <w:r w:rsidR="00AD2151">
        <w:t>n suppor</w:t>
      </w:r>
      <w:r w:rsidR="00373709">
        <w:t>t of their s 33N(1)(c) argument</w:t>
      </w:r>
      <w:r w:rsidR="00AD2151">
        <w:t xml:space="preserve"> </w:t>
      </w:r>
      <w:r>
        <w:t xml:space="preserve">the respondents </w:t>
      </w:r>
      <w:r w:rsidR="00AD2151">
        <w:t>say that</w:t>
      </w:r>
      <w:r w:rsidR="00FE4CF4">
        <w:t xml:space="preserve"> the applicants’ central case</w:t>
      </w:r>
      <w:r w:rsidR="001B7D1E">
        <w:t xml:space="preserve"> </w:t>
      </w:r>
      <w:r>
        <w:t xml:space="preserve">predominantly </w:t>
      </w:r>
      <w:r w:rsidR="001B7D1E">
        <w:t xml:space="preserve">necessitates </w:t>
      </w:r>
      <w:r w:rsidR="00B71C5B">
        <w:t xml:space="preserve">individual </w:t>
      </w:r>
      <w:r w:rsidR="001B7D1E">
        <w:t xml:space="preserve">inquiries </w:t>
      </w:r>
      <w:r w:rsidR="00B71C5B">
        <w:t>concerning</w:t>
      </w:r>
      <w:r w:rsidR="001B7D1E">
        <w:t xml:space="preserve"> the particular advice given to</w:t>
      </w:r>
      <w:r w:rsidR="00B71C5B">
        <w:t xml:space="preserve"> </w:t>
      </w:r>
      <w:r w:rsidR="001B7D1E">
        <w:t xml:space="preserve">each group member, and does not give rise to a set of common </w:t>
      </w:r>
      <w:r w:rsidR="007D6CFF">
        <w:t>questions</w:t>
      </w:r>
      <w:r w:rsidR="001B7D1E">
        <w:t xml:space="preserve"> that </w:t>
      </w:r>
      <w:r>
        <w:t>could</w:t>
      </w:r>
      <w:r w:rsidR="001B7D1E">
        <w:t xml:space="preserve"> meaningfully </w:t>
      </w:r>
      <w:r>
        <w:t xml:space="preserve">be </w:t>
      </w:r>
      <w:r w:rsidR="001B7D1E">
        <w:t>asked and answered on</w:t>
      </w:r>
      <w:r w:rsidR="00DC67DC">
        <w:t xml:space="preserve"> behalf of </w:t>
      </w:r>
      <w:r w:rsidR="00B71C5B">
        <w:t>all</w:t>
      </w:r>
      <w:r w:rsidR="00DC67DC">
        <w:t xml:space="preserve"> group members.</w:t>
      </w:r>
      <w:r w:rsidR="007D6CFF">
        <w:t xml:space="preserve">  </w:t>
      </w:r>
      <w:r w:rsidRPr="00B71C5B">
        <w:t xml:space="preserve">Now I should note at this point that there has been no challenge to the validity of the proceeding in terms of s 33C, including as to the satisfaction of the s 33C(1)(c) requirement, although one could be forgiven for construing the respondents’ submissions as not even formally conceding that there </w:t>
      </w:r>
      <w:r>
        <w:t>are</w:t>
      </w:r>
      <w:r w:rsidRPr="00B71C5B">
        <w:t xml:space="preserve"> substantial common issue</w:t>
      </w:r>
      <w:r>
        <w:t>s</w:t>
      </w:r>
      <w:r w:rsidRPr="00B71C5B">
        <w:t xml:space="preserve"> of law or fact.  Of course I have proceeded on the basis that, first, the claims of all group members are in respect of, or arise out of, the same, similar or related circumstances (s 33C(1)(b)) and, second, </w:t>
      </w:r>
      <w:r>
        <w:t xml:space="preserve">that </w:t>
      </w:r>
      <w:r w:rsidRPr="00B71C5B">
        <w:t>the claims of all group members give rise to a substantial common issue of law or fact.</w:t>
      </w:r>
    </w:p>
    <w:p w:rsidR="00080074" w:rsidRDefault="00564D98" w:rsidP="001B7D1E">
      <w:pPr>
        <w:pStyle w:val="ParaNumbering"/>
      </w:pPr>
      <w:r>
        <w:t>Further, the respondents</w:t>
      </w:r>
      <w:r w:rsidR="00080074">
        <w:t xml:space="preserve"> say that t</w:t>
      </w:r>
      <w:r w:rsidR="001B7D1E">
        <w:t>he lack of commonality in the claims</w:t>
      </w:r>
      <w:r w:rsidR="00080074">
        <w:t xml:space="preserve"> </w:t>
      </w:r>
      <w:r>
        <w:t>entails</w:t>
      </w:r>
      <w:r w:rsidR="00080074">
        <w:t xml:space="preserve"> that the proceeding</w:t>
      </w:r>
      <w:r w:rsidR="001B7D1E">
        <w:t xml:space="preserve"> will likely become procedurally unwieldy, </w:t>
      </w:r>
      <w:r>
        <w:t>and particularly will require</w:t>
      </w:r>
      <w:r w:rsidR="001B7D1E">
        <w:t xml:space="preserve"> the respondents </w:t>
      </w:r>
      <w:r w:rsidR="00080074">
        <w:t>to interrogate numerous systems</w:t>
      </w:r>
      <w:r w:rsidR="001B7D1E">
        <w:t xml:space="preserve"> and</w:t>
      </w:r>
      <w:r w:rsidR="00080074">
        <w:t xml:space="preserve"> to</w:t>
      </w:r>
      <w:r w:rsidR="001B7D1E">
        <w:t xml:space="preserve"> give </w:t>
      </w:r>
      <w:r w:rsidR="00080074">
        <w:t>broad</w:t>
      </w:r>
      <w:r w:rsidR="001B7D1E">
        <w:t xml:space="preserve"> </w:t>
      </w:r>
      <w:r w:rsidR="00B71C5B">
        <w:t xml:space="preserve">ranging </w:t>
      </w:r>
      <w:r w:rsidR="001B7D1E">
        <w:t>discovery</w:t>
      </w:r>
      <w:r w:rsidR="00AD2151">
        <w:t>.</w:t>
      </w:r>
      <w:r>
        <w:t xml:space="preserve">  I must say </w:t>
      </w:r>
      <w:r w:rsidR="00B71C5B">
        <w:t>tha</w:t>
      </w:r>
      <w:r>
        <w:t>t I do not share such pessimism given the extensive powers in my armoury that can be wielded to ensure efficiency and fairness within the structure of the Part IVA setting.</w:t>
      </w:r>
    </w:p>
    <w:p w:rsidR="00080074" w:rsidRDefault="00564D98" w:rsidP="001B7D1E">
      <w:pPr>
        <w:pStyle w:val="ParaNumbering"/>
      </w:pPr>
      <w:r>
        <w:t>Further,</w:t>
      </w:r>
      <w:r w:rsidR="00080074">
        <w:t xml:space="preserve"> it is said that</w:t>
      </w:r>
      <w:r w:rsidR="001B7D1E">
        <w:t xml:space="preserve"> the</w:t>
      </w:r>
      <w:r w:rsidR="00080074">
        <w:t xml:space="preserve"> continuation of the proceeding</w:t>
      </w:r>
      <w:r w:rsidR="001B7D1E">
        <w:t xml:space="preserve"> as a representative proceeding will not facilitate </w:t>
      </w:r>
      <w:r w:rsidR="00080074">
        <w:t xml:space="preserve">the </w:t>
      </w:r>
      <w:r w:rsidR="001B7D1E">
        <w:t>settlement of group member</w:t>
      </w:r>
      <w:r w:rsidR="00080074">
        <w:t>s’</w:t>
      </w:r>
      <w:r w:rsidR="001B7D1E">
        <w:t xml:space="preserve"> claims</w:t>
      </w:r>
      <w:r w:rsidR="00080074">
        <w:t xml:space="preserve">.  Indeed, </w:t>
      </w:r>
      <w:r w:rsidR="00B71C5B">
        <w:t>the respondents go so far as to say</w:t>
      </w:r>
      <w:r w:rsidR="00080074">
        <w:t xml:space="preserve"> that the structure of the proceeding</w:t>
      </w:r>
      <w:r w:rsidR="001B7D1E">
        <w:t xml:space="preserve"> is likely to impede settlement and delay </w:t>
      </w:r>
      <w:r w:rsidR="00080074">
        <w:t xml:space="preserve">group members’ </w:t>
      </w:r>
      <w:r w:rsidR="001B7D1E">
        <w:t>redress by other avenues, including through</w:t>
      </w:r>
      <w:r w:rsidR="00AD2151">
        <w:t xml:space="preserve"> the respondents’</w:t>
      </w:r>
      <w:r w:rsidR="001B7D1E">
        <w:t xml:space="preserve"> remediation programs</w:t>
      </w:r>
      <w:r w:rsidR="00AD2151">
        <w:t>.</w:t>
      </w:r>
      <w:r>
        <w:t xml:space="preserve">  I will dispose of this argument later.</w:t>
      </w:r>
    </w:p>
    <w:p w:rsidR="00B927AE" w:rsidRDefault="00080074" w:rsidP="00B927AE">
      <w:pPr>
        <w:pStyle w:val="ParaNumbering"/>
      </w:pPr>
      <w:r>
        <w:lastRenderedPageBreak/>
        <w:t>Now t</w:t>
      </w:r>
      <w:r w:rsidR="00B927AE">
        <w:t>he applicants oppo</w:t>
      </w:r>
      <w:r>
        <w:t xml:space="preserve">se the </w:t>
      </w:r>
      <w:r w:rsidR="00AD2151">
        <w:t>s 33N(1)</w:t>
      </w:r>
      <w:r>
        <w:t xml:space="preserve"> application.</w:t>
      </w:r>
    </w:p>
    <w:p w:rsidR="00AD2151" w:rsidRDefault="00B71C5B" w:rsidP="00B927AE">
      <w:pPr>
        <w:pStyle w:val="ParaNumbering"/>
      </w:pPr>
      <w:r>
        <w:t>First</w:t>
      </w:r>
      <w:r w:rsidR="00AD2151">
        <w:t xml:space="preserve">, they say that there are many substantial </w:t>
      </w:r>
      <w:r w:rsidR="00AD2151" w:rsidRPr="00900062">
        <w:t>common issues.</w:t>
      </w:r>
    </w:p>
    <w:p w:rsidR="00B71C5B" w:rsidRDefault="00564D98" w:rsidP="00B71C5B">
      <w:pPr>
        <w:pStyle w:val="ParaNumbering"/>
      </w:pPr>
      <w:r>
        <w:t>Now a</w:t>
      </w:r>
      <w:r w:rsidR="00B71C5B">
        <w:t xml:space="preserve">s to the claims concerning the </w:t>
      </w:r>
      <w:proofErr w:type="spellStart"/>
      <w:r w:rsidR="00B71C5B">
        <w:t>ss</w:t>
      </w:r>
      <w:proofErr w:type="spellEnd"/>
      <w:r w:rsidR="00B71C5B">
        <w:t xml:space="preserve"> 961B(1) and 961J(1) breaches of the </w:t>
      </w:r>
      <w:r w:rsidR="00B71C5B" w:rsidRPr="00B71C5B">
        <w:rPr>
          <w:i/>
        </w:rPr>
        <w:t>Corporations Act 2001</w:t>
      </w:r>
      <w:r w:rsidR="00B71C5B">
        <w:t xml:space="preserve"> (</w:t>
      </w:r>
      <w:proofErr w:type="spellStart"/>
      <w:r w:rsidR="00B71C5B">
        <w:t>Cth</w:t>
      </w:r>
      <w:proofErr w:type="spellEnd"/>
      <w:r w:rsidR="00B71C5B">
        <w:t xml:space="preserve">) and breaches of fiduciary duties, the applicants accept that these claims give rise to individual issues, but they say that there are still substantial issues of commonality that could effectively be resolved as part of the </w:t>
      </w:r>
      <w:r w:rsidR="00B71C5B" w:rsidRPr="0063760B">
        <w:t>initial trial.</w:t>
      </w:r>
    </w:p>
    <w:p w:rsidR="00B927AE" w:rsidRDefault="00B71C5B" w:rsidP="00B927AE">
      <w:pPr>
        <w:pStyle w:val="ParaNumbering"/>
      </w:pPr>
      <w:r>
        <w:t>Further, t</w:t>
      </w:r>
      <w:r w:rsidR="00080074">
        <w:t xml:space="preserve">hey say that on any view </w:t>
      </w:r>
      <w:r w:rsidR="00B927AE">
        <w:t>the applicants’ claims under s 961L</w:t>
      </w:r>
      <w:r w:rsidR="00080074">
        <w:t xml:space="preserve"> are core claims and </w:t>
      </w:r>
      <w:r w:rsidR="00AD2151">
        <w:t>are common.</w:t>
      </w:r>
      <w:r w:rsidR="00080074">
        <w:t xml:space="preserve">  Moreover, they say that such</w:t>
      </w:r>
      <w:r w:rsidR="00B927AE">
        <w:t xml:space="preserve"> claims require an investigation of the knowledge of the respondents and their systems and processes, not </w:t>
      </w:r>
      <w:r w:rsidR="00564D98">
        <w:t xml:space="preserve">just </w:t>
      </w:r>
      <w:r w:rsidR="00B927AE">
        <w:t>the individual circumstances of group members</w:t>
      </w:r>
      <w:r w:rsidR="00AD2151">
        <w:t>.</w:t>
      </w:r>
    </w:p>
    <w:p w:rsidR="00B927AE" w:rsidRDefault="00AD2151" w:rsidP="00B927AE">
      <w:pPr>
        <w:pStyle w:val="ParaNumbering"/>
      </w:pPr>
      <w:r>
        <w:t>Further</w:t>
      </w:r>
      <w:r w:rsidR="00B927AE">
        <w:t xml:space="preserve">, </w:t>
      </w:r>
      <w:r w:rsidR="00080074">
        <w:t>they say that</w:t>
      </w:r>
      <w:r w:rsidR="00B927AE">
        <w:t xml:space="preserve"> the anti-avoidance claim</w:t>
      </w:r>
      <w:r w:rsidR="00080074">
        <w:t>s under s 965(1) are</w:t>
      </w:r>
      <w:r w:rsidR="00B927AE">
        <w:t xml:space="preserve"> common although questions of l</w:t>
      </w:r>
      <w:r>
        <w:t>oss and damage are not common.</w:t>
      </w:r>
    </w:p>
    <w:p w:rsidR="00B927AE" w:rsidRDefault="00B71C5B" w:rsidP="00B927AE">
      <w:pPr>
        <w:pStyle w:val="ParaNumbering"/>
      </w:pPr>
      <w:r>
        <w:t>Second</w:t>
      </w:r>
      <w:r w:rsidR="0023552D">
        <w:t xml:space="preserve">, they say that </w:t>
      </w:r>
      <w:r w:rsidR="00564D98">
        <w:t xml:space="preserve">given that </w:t>
      </w:r>
      <w:r w:rsidR="0023552D">
        <w:t xml:space="preserve">the s 33N power </w:t>
      </w:r>
      <w:r w:rsidR="00B927AE">
        <w:t>must be exercised having regar</w:t>
      </w:r>
      <w:r w:rsidR="00564D98">
        <w:t xml:space="preserve">d to the “interests of justice”, </w:t>
      </w:r>
      <w:r w:rsidR="0023552D">
        <w:t>if the proceedi</w:t>
      </w:r>
      <w:r w:rsidR="00564D98">
        <w:t>ng were to be declassed</w:t>
      </w:r>
      <w:r w:rsidR="0023552D">
        <w:t xml:space="preserve"> it is said that </w:t>
      </w:r>
      <w:r w:rsidR="00B927AE">
        <w:t xml:space="preserve">the likely counterfactual </w:t>
      </w:r>
      <w:r w:rsidR="0023552D">
        <w:t>will not be</w:t>
      </w:r>
      <w:r w:rsidR="00B927AE">
        <w:t xml:space="preserve"> 1.5 million individual group members pursuing the allegations made in this case</w:t>
      </w:r>
      <w:r w:rsidR="0023552D">
        <w:t>,</w:t>
      </w:r>
      <w:r w:rsidR="00B927AE">
        <w:t xml:space="preserve"> but rather group members being shut out from litigating their claims be</w:t>
      </w:r>
      <w:r w:rsidR="00903847">
        <w:t>cause of the cost and expense.</w:t>
      </w:r>
      <w:r w:rsidR="00564D98">
        <w:t xml:space="preserve">  That counterfactual is said to be unpalatable.  And equally, the other possible counterfactual of numerous individual proceedings self-evidently justifies why a s</w:t>
      </w:r>
      <w:r w:rsidR="00D10A3E">
        <w:t> </w:t>
      </w:r>
      <w:r w:rsidR="007D6CFF">
        <w:t>33N order ought not</w:t>
      </w:r>
      <w:r w:rsidR="00564D98">
        <w:t xml:space="preserve"> be made.</w:t>
      </w:r>
    </w:p>
    <w:p w:rsidR="0023552D" w:rsidRDefault="007D6CFF" w:rsidP="0023552D">
      <w:pPr>
        <w:pStyle w:val="ParaNumbering"/>
      </w:pPr>
      <w:r>
        <w:t>Third, t</w:t>
      </w:r>
      <w:r w:rsidR="0023552D">
        <w:t>he applicants say that the size of the group member cohort here makes it difficult to conceive of a scenario where there is a more efficient vehicle than Part IVA to resolve the claims.</w:t>
      </w:r>
    </w:p>
    <w:p w:rsidR="00903847" w:rsidRDefault="00903847" w:rsidP="0023552D">
      <w:pPr>
        <w:pStyle w:val="ParaNumbering"/>
      </w:pPr>
      <w:r>
        <w:t>In summary I reject the respondents’ application.</w:t>
      </w:r>
    </w:p>
    <w:p w:rsidR="00903847" w:rsidRDefault="00903847" w:rsidP="0023552D">
      <w:pPr>
        <w:pStyle w:val="ParaNumbering"/>
      </w:pPr>
      <w:r>
        <w:t xml:space="preserve">First, the respondents have not established the trigger condition of s 33N(1)(c).  Moreover, </w:t>
      </w:r>
      <w:r w:rsidR="00564D98">
        <w:t xml:space="preserve">on the respondents’ case </w:t>
      </w:r>
      <w:r>
        <w:t>the alternative trigger condition of s 33N(1)(d)</w:t>
      </w:r>
      <w:r w:rsidR="00564D98">
        <w:t xml:space="preserve"> is not in play</w:t>
      </w:r>
      <w:r>
        <w:t>.</w:t>
      </w:r>
    </w:p>
    <w:p w:rsidR="00903847" w:rsidRDefault="00903847" w:rsidP="0023552D">
      <w:pPr>
        <w:pStyle w:val="ParaNumbering"/>
      </w:pPr>
      <w:r>
        <w:t xml:space="preserve">Second, even if they had established </w:t>
      </w:r>
      <w:r w:rsidR="00273F3E">
        <w:t>such a</w:t>
      </w:r>
      <w:r>
        <w:t xml:space="preserve"> trigger, it would not have been in the interests of justice to de-class the proceeding.  At the least I </w:t>
      </w:r>
      <w:r w:rsidR="008A5323">
        <w:t>am not so presently satisfied.</w:t>
      </w:r>
    </w:p>
    <w:p w:rsidR="00903847" w:rsidRDefault="00273F3E" w:rsidP="0023552D">
      <w:pPr>
        <w:pStyle w:val="ParaNumbering"/>
      </w:pPr>
      <w:r>
        <w:t>Now i</w:t>
      </w:r>
      <w:r w:rsidR="00903847">
        <w:t xml:space="preserve">n terms of the interests of justice, one principal purpose of the Pt IVA regime is to promote efficiency in dealing with multiple claims so as to avoid multiple proceedings, </w:t>
      </w:r>
      <w:r w:rsidR="00903847">
        <w:lastRenderedPageBreak/>
        <w:t xml:space="preserve">inconsistent findings and respondents being unnecessarily vexed.  Another principal purpose is to provide access to justice and a potential remedy for multiple claimants where it may be uneconomic to bring </w:t>
      </w:r>
      <w:r w:rsidR="00903847" w:rsidRPr="00041ED5">
        <w:t>individual proceedings.</w:t>
      </w:r>
    </w:p>
    <w:p w:rsidR="00903847" w:rsidRDefault="00903847" w:rsidP="0023552D">
      <w:pPr>
        <w:pStyle w:val="ParaNumbering"/>
      </w:pPr>
      <w:r>
        <w:t xml:space="preserve">If I was to accede to the respondents’ application, the likely counterfactual would be </w:t>
      </w:r>
      <w:r w:rsidR="00273F3E">
        <w:t xml:space="preserve">that either </w:t>
      </w:r>
      <w:r>
        <w:t>no proceeding would be brought at all or there would be a huge number of individual suits.  After all, there are approximately 1.5 million group members.</w:t>
      </w:r>
      <w:r w:rsidR="008A5323">
        <w:t xml:space="preserve">  Either </w:t>
      </w:r>
      <w:r w:rsidR="00273F3E">
        <w:t>outcome</w:t>
      </w:r>
      <w:r w:rsidR="008A5323">
        <w:t xml:space="preserve"> would be the antithesis of the principal purposes of Pt IVA.</w:t>
      </w:r>
    </w:p>
    <w:p w:rsidR="00903847" w:rsidRDefault="00903847" w:rsidP="0023552D">
      <w:pPr>
        <w:pStyle w:val="ParaNumbering"/>
      </w:pPr>
      <w:r>
        <w:t xml:space="preserve">Now I have considered as a possible counterfactual whether there could be several new representative proceedings launched.  But one difficulty with that is that they may be treated as a managed investment scheme commencing after 22 August 2020 given that one would necessarily have a new class, even if a sub-set of the present class, a new funding model and strictly a new dominant purpose for the </w:t>
      </w:r>
      <w:r w:rsidR="00A71ED6">
        <w:t>association.</w:t>
      </w:r>
      <w:r w:rsidR="008A5323">
        <w:t xml:space="preserve">  In any event that is not the relevant counterfactual for s 33N(1)(c) as I will shortly explain, although such a counterfactual may be relevant to the interests of justice question.</w:t>
      </w:r>
    </w:p>
    <w:p w:rsidR="00A71ED6" w:rsidRPr="00041ED5" w:rsidRDefault="008A5323" w:rsidP="0023552D">
      <w:pPr>
        <w:pStyle w:val="ParaNumbering"/>
      </w:pPr>
      <w:r w:rsidRPr="00041ED5">
        <w:t>Let me turn first to the relevant principles.</w:t>
      </w:r>
    </w:p>
    <w:p w:rsidR="00FF2294" w:rsidRDefault="00381678" w:rsidP="00FF2294">
      <w:pPr>
        <w:pStyle w:val="Heading2"/>
      </w:pPr>
      <w:r w:rsidRPr="00041ED5">
        <w:t>Relevant principles</w:t>
      </w:r>
    </w:p>
    <w:p w:rsidR="00FF2294" w:rsidRDefault="00FF2294" w:rsidP="00FF2294">
      <w:pPr>
        <w:pStyle w:val="ParaNumbering"/>
      </w:pPr>
      <w:r w:rsidRPr="005A0DBA">
        <w:t>Section 33N</w:t>
      </w:r>
      <w:r w:rsidR="008A5323">
        <w:t>(1)</w:t>
      </w:r>
      <w:r>
        <w:t xml:space="preserve"> </w:t>
      </w:r>
      <w:r w:rsidRPr="005A0DBA">
        <w:t>of the FCA Act provides:</w:t>
      </w:r>
    </w:p>
    <w:p w:rsidR="00FF2294" w:rsidRDefault="00FF2294" w:rsidP="00FF2294">
      <w:pPr>
        <w:pStyle w:val="Quote1"/>
        <w:ind w:left="1440" w:hanging="703"/>
      </w:pPr>
      <w:r>
        <w:t>(1)</w:t>
      </w:r>
      <w:r>
        <w:tab/>
        <w:t>The Court may, on application by the respondent or of its own motion, order that a proceeding no longer continue under this Part where it is satisfied that it is in the interests of justice to do so because:</w:t>
      </w:r>
    </w:p>
    <w:p w:rsidR="00FF2294" w:rsidRDefault="00FF2294" w:rsidP="009A5FA7">
      <w:pPr>
        <w:pStyle w:val="Quote2"/>
        <w:ind w:left="2160" w:hanging="720"/>
      </w:pPr>
      <w:r>
        <w:t>(a)</w:t>
      </w:r>
      <w:r>
        <w:tab/>
        <w:t>the costs that would be incurred if the proceeding were to continue as a representative proceeding are likely to exceed the costs that would be incurred if each group member conducted a separate proceeding; or</w:t>
      </w:r>
    </w:p>
    <w:p w:rsidR="00FF2294" w:rsidRDefault="00FF2294" w:rsidP="009A5FA7">
      <w:pPr>
        <w:pStyle w:val="Quote2"/>
        <w:ind w:left="2160" w:hanging="720"/>
      </w:pPr>
      <w:r>
        <w:t>(b)</w:t>
      </w:r>
      <w:r>
        <w:tab/>
        <w:t>all the relief sought can be obtained by means of a proceeding other than a representative proceeding under this Part; or</w:t>
      </w:r>
    </w:p>
    <w:p w:rsidR="00FF2294" w:rsidRDefault="00FF2294" w:rsidP="009A5FA7">
      <w:pPr>
        <w:pStyle w:val="Quote2"/>
        <w:ind w:left="2160" w:hanging="720"/>
      </w:pPr>
      <w:r>
        <w:t>(c)</w:t>
      </w:r>
      <w:r>
        <w:tab/>
        <w:t>the representative proceeding will not provide an efficient and effective means of dealing with the claims of group members; or</w:t>
      </w:r>
    </w:p>
    <w:p w:rsidR="00FF2294" w:rsidRDefault="00FF2294" w:rsidP="009A5FA7">
      <w:pPr>
        <w:pStyle w:val="Quote2"/>
        <w:ind w:left="2160" w:hanging="720"/>
      </w:pPr>
      <w:r>
        <w:t>(d)</w:t>
      </w:r>
      <w:r>
        <w:tab/>
        <w:t>it is otherwise inappropriate that the claims be pursued by means of a representative proceeding.</w:t>
      </w:r>
    </w:p>
    <w:p w:rsidR="00FF2294" w:rsidRDefault="00FF2294" w:rsidP="00FF2294">
      <w:pPr>
        <w:pStyle w:val="Quote1"/>
      </w:pPr>
      <w:r>
        <w:t>…</w:t>
      </w:r>
    </w:p>
    <w:p w:rsidR="00273F3E" w:rsidRDefault="00273F3E" w:rsidP="00273F3E">
      <w:pPr>
        <w:pStyle w:val="ParaNumbering"/>
      </w:pPr>
      <w:r>
        <w:t xml:space="preserve">Now as to the identification of the triggering condition in s 33N(1), one does not simply tick off </w:t>
      </w:r>
      <w:r w:rsidRPr="0046174B">
        <w:t>seriatim</w:t>
      </w:r>
      <w:r>
        <w:t xml:space="preserve"> any of </w:t>
      </w:r>
      <w:proofErr w:type="spellStart"/>
      <w:r>
        <w:t>ss</w:t>
      </w:r>
      <w:proofErr w:type="spellEnd"/>
      <w:r>
        <w:t xml:space="preserve"> 33N(1)(a) to (d).  By that I mean that s 33N(1)(d) is an alternative, where none of </w:t>
      </w:r>
      <w:proofErr w:type="spellStart"/>
      <w:r>
        <w:t>ss</w:t>
      </w:r>
      <w:proofErr w:type="spellEnd"/>
      <w:r>
        <w:t xml:space="preserve"> 33N(1)(a) to (c) have been established; hence the phrase “it is </w:t>
      </w:r>
      <w:r w:rsidRPr="00710266">
        <w:rPr>
          <w:i/>
        </w:rPr>
        <w:t xml:space="preserve">otherwise </w:t>
      </w:r>
      <w:r>
        <w:lastRenderedPageBreak/>
        <w:t xml:space="preserve">inappropriate” (my emphasis).  But in the present case, the respondents have not sought to </w:t>
      </w:r>
      <w:r w:rsidR="007D6CFF">
        <w:t>invoke s 33N(1)(d), so I need</w:t>
      </w:r>
      <w:r>
        <w:t xml:space="preserve"> say little </w:t>
      </w:r>
      <w:r w:rsidR="007D6CFF">
        <w:t xml:space="preserve">more </w:t>
      </w:r>
      <w:r>
        <w:t>about it</w:t>
      </w:r>
      <w:r w:rsidR="007D6CFF">
        <w:t>.</w:t>
      </w:r>
    </w:p>
    <w:p w:rsidR="00273F3E" w:rsidRDefault="00273F3E" w:rsidP="00273F3E">
      <w:pPr>
        <w:pStyle w:val="ParaNumbering"/>
      </w:pPr>
      <w:r>
        <w:t xml:space="preserve">But there is </w:t>
      </w:r>
      <w:r w:rsidR="007D6CFF">
        <w:t>another</w:t>
      </w:r>
      <w:r>
        <w:t xml:space="preserve"> point to make.  Assume, as in the present case, that the respondents have only sought to invoke s 33N(1)(c) and have not sought to invoke </w:t>
      </w:r>
      <w:proofErr w:type="spellStart"/>
      <w:r>
        <w:t>ss</w:t>
      </w:r>
      <w:proofErr w:type="spellEnd"/>
      <w:r>
        <w:t xml:space="preserve"> 33N(1)(a) or (b).  That does not make their subject matter irrelevant to the broader “interests of justice” inquiry.  The </w:t>
      </w:r>
      <w:r w:rsidR="007D6CFF">
        <w:t>party</w:t>
      </w:r>
      <w:r>
        <w:t xml:space="preserve"> seeking a</w:t>
      </w:r>
      <w:r w:rsidRPr="00681E12">
        <w:t xml:space="preserve"> </w:t>
      </w:r>
      <w:r>
        <w:t xml:space="preserve">s 33N(1) order may not have established either such trigger.  That is one thing.  But assume that the party opposing such an order establishes the negative propositions to either s 33N(1)(a) or s 33N(1)(b), that is, establishes that the costs that would be incurred if the proceeding were to continue as a representative proceeding are </w:t>
      </w:r>
      <w:r w:rsidRPr="00653D52">
        <w:rPr>
          <w:i/>
        </w:rPr>
        <w:t>not</w:t>
      </w:r>
      <w:r>
        <w:t xml:space="preserve"> likely to exceed or could be less than the costs that would be incurred if each group member conducted a separate proceeding or establishes that the relief sought could </w:t>
      </w:r>
      <w:r w:rsidRPr="002137D0">
        <w:rPr>
          <w:i/>
        </w:rPr>
        <w:t xml:space="preserve">not </w:t>
      </w:r>
      <w:r>
        <w:t>be obtained by means of a proceeding other than a representative proceeding (e.g. an aggregate damages award (s 33Z(1)(f)).  Establishing such matt</w:t>
      </w:r>
      <w:r w:rsidR="007D6CFF">
        <w:t>ers would assist the opponent to</w:t>
      </w:r>
      <w:r>
        <w:t xml:space="preserve"> a s 33N(1) order to argue against it being in the interests of justice to make a s 33N(1) order or even perhaps as a discretionary factor going against making the order.</w:t>
      </w:r>
    </w:p>
    <w:p w:rsidR="00273F3E" w:rsidRDefault="00273F3E" w:rsidP="00273F3E">
      <w:pPr>
        <w:pStyle w:val="ParaNumbering"/>
      </w:pPr>
      <w:r>
        <w:t>In that context, I should say now that although the respondents in the present case have not sought to establish the s 33N(1)(a) trigger, the applicants do assert the converse of that trigger as being a relevant consideration.</w:t>
      </w:r>
    </w:p>
    <w:p w:rsidR="00273F3E" w:rsidRDefault="00273F3E" w:rsidP="00273F3E">
      <w:pPr>
        <w:pStyle w:val="ParaNumbering"/>
      </w:pPr>
      <w:r>
        <w:t xml:space="preserve">I should make one other point.  Interestingly the respondents have not sought to use the s 33N(1)(b) trigger, although that is usually </w:t>
      </w:r>
      <w:r w:rsidRPr="00041ED5">
        <w:t xml:space="preserve">satisfied in most </w:t>
      </w:r>
      <w:r w:rsidR="007D6CFF">
        <w:t>cases.</w:t>
      </w:r>
    </w:p>
    <w:p w:rsidR="00FF2294" w:rsidRDefault="007D6CFF" w:rsidP="00FF2294">
      <w:pPr>
        <w:pStyle w:val="ParaNumbering"/>
      </w:pPr>
      <w:r>
        <w:t>Let me turn to another topic concerning the</w:t>
      </w:r>
      <w:r w:rsidR="00273F3E">
        <w:t xml:space="preserve"> </w:t>
      </w:r>
      <w:r w:rsidR="00273F3E" w:rsidRPr="002F713B">
        <w:t>relevant comparators.</w:t>
      </w:r>
    </w:p>
    <w:p w:rsidR="00A71ED6" w:rsidRDefault="008A5323" w:rsidP="00A71ED6">
      <w:pPr>
        <w:pStyle w:val="ParaNumbering"/>
      </w:pPr>
      <w:r>
        <w:t>G</w:t>
      </w:r>
      <w:r w:rsidR="00B541D0">
        <w:t>enerally speaking</w:t>
      </w:r>
      <w:r>
        <w:t>,</w:t>
      </w:r>
      <w:r w:rsidR="00A71ED6">
        <w:t xml:space="preserve"> s 33N(1) requires consideration of the comparator of whether it is in the interests of justice that the proceeding be determined in numerous non-representative proceedings.  One compares how the factors specified in </w:t>
      </w:r>
      <w:proofErr w:type="spellStart"/>
      <w:r w:rsidR="00A71ED6">
        <w:t>ss</w:t>
      </w:r>
      <w:proofErr w:type="spellEnd"/>
      <w:r w:rsidR="00A71ED6">
        <w:t xml:space="preserve"> 33N(1)(a) to 33N(1)(d) would apply to hypothetical non-representative proceedings.  Such a comparison is expressed in </w:t>
      </w:r>
      <w:proofErr w:type="spellStart"/>
      <w:r w:rsidR="00A71ED6">
        <w:t>ss</w:t>
      </w:r>
      <w:proofErr w:type="spellEnd"/>
      <w:r w:rsidR="00A71ED6">
        <w:t xml:space="preserve"> 33N(1)(a) and 33N(1)(b) and implied by </w:t>
      </w:r>
      <w:proofErr w:type="spellStart"/>
      <w:r w:rsidR="00A71ED6">
        <w:t>ss</w:t>
      </w:r>
      <w:proofErr w:type="spellEnd"/>
      <w:r w:rsidR="00A71ED6">
        <w:t xml:space="preserve"> 33N(1)(c) and 33N(1)(d).  The implicit focus in s</w:t>
      </w:r>
      <w:r w:rsidR="00273F3E">
        <w:t> </w:t>
      </w:r>
      <w:r w:rsidR="00A71ED6">
        <w:t xml:space="preserve">33N(1)(c) is on the commonality of issues and whether the representative proceeding is efficient and effective to resolve the common issues, rather than resolution by way of individual proceedings.  Section 33N(1)(d) is concerned with whether the representative proceeding is an appropriate vehicle to pursue the claims. </w:t>
      </w:r>
      <w:r w:rsidR="008B3F7C">
        <w:t xml:space="preserve"> </w:t>
      </w:r>
      <w:r w:rsidR="00A71ED6">
        <w:t xml:space="preserve">Generally, the focus of </w:t>
      </w:r>
      <w:proofErr w:type="spellStart"/>
      <w:r w:rsidR="00A71ED6">
        <w:t>ss</w:t>
      </w:r>
      <w:proofErr w:type="spellEnd"/>
      <w:r w:rsidR="00A71ED6">
        <w:t xml:space="preserve"> 33N(1)(c) and 33N(1)(d) </w:t>
      </w:r>
      <w:r w:rsidR="00A71ED6">
        <w:lastRenderedPageBreak/>
        <w:t>is on the efficiency or appropriateness of the group members’ claims being pursued in a representative proceeding.</w:t>
      </w:r>
    </w:p>
    <w:p w:rsidR="00A71ED6" w:rsidRDefault="00A71ED6" w:rsidP="00096C8C">
      <w:pPr>
        <w:pStyle w:val="ParaNumbering"/>
      </w:pPr>
      <w:r>
        <w:t>Relevantly to the present context, s 33N(1)(c) does not involve a comparison between</w:t>
      </w:r>
      <w:r w:rsidRPr="00273F3E">
        <w:t xml:space="preserve"> the </w:t>
      </w:r>
      <w:r>
        <w:t xml:space="preserve">representative proceeding and another identical or hypothetical set of representative proceedings.  The efficiencies referred to in s 33N(1)(c) are focused upon whether the representative proceeding is an efficient mechanism to resolve the claims and common issues, which requires considering the representative applicant’s case and a comparison between the representative proceeding and the hypothetical non-representative proceedings.  The inquiry is not whether the common issues might be more efficiently resolved by way of some other </w:t>
      </w:r>
      <w:r w:rsidRPr="00273F3E">
        <w:t>representative</w:t>
      </w:r>
      <w:r w:rsidR="00273F3E">
        <w:t xml:space="preserve"> proceeding</w:t>
      </w:r>
      <w:r>
        <w:t xml:space="preserve">. </w:t>
      </w:r>
      <w:r w:rsidR="008B3F7C">
        <w:t xml:space="preserve"> </w:t>
      </w:r>
      <w:r w:rsidR="00273F3E">
        <w:t>Now s </w:t>
      </w:r>
      <w:r>
        <w:t>33N(1)(c) uses the definite article “</w:t>
      </w:r>
      <w:r w:rsidRPr="008B3F7C">
        <w:rPr>
          <w:i/>
        </w:rPr>
        <w:t>the</w:t>
      </w:r>
      <w:r>
        <w:t xml:space="preserve"> </w:t>
      </w:r>
      <w:proofErr w:type="spellStart"/>
      <w:r>
        <w:t>representive</w:t>
      </w:r>
      <w:proofErr w:type="spellEnd"/>
      <w:r>
        <w:t xml:space="preserve"> proceeding[s]”</w:t>
      </w:r>
      <w:r w:rsidR="00096C8C">
        <w:t xml:space="preserve"> </w:t>
      </w:r>
      <w:r>
        <w:t>rather than the indefinite article (</w:t>
      </w:r>
      <w:proofErr w:type="spellStart"/>
      <w:r>
        <w:t>cf</w:t>
      </w:r>
      <w:proofErr w:type="spellEnd"/>
      <w:r>
        <w:t xml:space="preserve"> </w:t>
      </w:r>
      <w:proofErr w:type="spellStart"/>
      <w:r>
        <w:t>ss</w:t>
      </w:r>
      <w:proofErr w:type="spellEnd"/>
      <w:r>
        <w:t xml:space="preserve"> 33N(1)(</w:t>
      </w:r>
      <w:r w:rsidRPr="007D6CFF">
        <w:t>a)</w:t>
      </w:r>
      <w:r w:rsidR="00522ABE" w:rsidRPr="007D6CFF">
        <w:t>,</w:t>
      </w:r>
      <w:r>
        <w:t xml:space="preserve"> 33N(1)(b) and 33N(1)(d)), so that it is open</w:t>
      </w:r>
      <w:r w:rsidR="00096C8C">
        <w:t xml:space="preserve"> </w:t>
      </w:r>
      <w:r>
        <w:t>to argue that it could be satisfied if another set of representative proceedings were available</w:t>
      </w:r>
      <w:r w:rsidR="00096C8C">
        <w:t xml:space="preserve"> </w:t>
      </w:r>
      <w:r>
        <w:t>and could efficiently deal with group members’ claims made in the hypothesised to be</w:t>
      </w:r>
      <w:r w:rsidR="00096C8C">
        <w:t xml:space="preserve"> </w:t>
      </w:r>
      <w:r w:rsidR="008A5323">
        <w:t>declassed</w:t>
      </w:r>
      <w:r w:rsidR="00273F3E">
        <w:t xml:space="preserve"> proceeding</w:t>
      </w:r>
      <w:r>
        <w:t xml:space="preserve">. </w:t>
      </w:r>
      <w:r w:rsidR="00096C8C">
        <w:t xml:space="preserve"> </w:t>
      </w:r>
      <w:r>
        <w:t>In other words, another avai</w:t>
      </w:r>
      <w:r w:rsidR="00096C8C">
        <w:t>lable representative proceeding</w:t>
      </w:r>
      <w:r>
        <w:t xml:space="preserve"> may</w:t>
      </w:r>
      <w:r w:rsidR="00096C8C">
        <w:t xml:space="preserve"> make it</w:t>
      </w:r>
      <w:r w:rsidR="00096C8C" w:rsidRPr="00096C8C">
        <w:rPr>
          <w:i/>
        </w:rPr>
        <w:t xml:space="preserve"> less</w:t>
      </w:r>
      <w:r w:rsidR="00096C8C">
        <w:t xml:space="preserve"> efficient and </w:t>
      </w:r>
      <w:r w:rsidR="00096C8C" w:rsidRPr="00096C8C">
        <w:rPr>
          <w:i/>
        </w:rPr>
        <w:t xml:space="preserve">less </w:t>
      </w:r>
      <w:r w:rsidR="00096C8C">
        <w:t>effective to pursue the proposed to b</w:t>
      </w:r>
      <w:r w:rsidR="008A5323">
        <w:t>e declassed</w:t>
      </w:r>
      <w:r w:rsidR="00273F3E">
        <w:t xml:space="preserve"> proceeding.  But g</w:t>
      </w:r>
      <w:r w:rsidR="00096C8C">
        <w:t>enerally, the better construction of s 33N(1)(c) is as I have indicated.  Conceptual coherence dictates that I read s 33N(1)(c) through the general lens of s 33N(1) by comparing a representative proceeding with non-</w:t>
      </w:r>
      <w:r w:rsidR="00096C8C" w:rsidRPr="006F3A20">
        <w:t>representative proceedings.</w:t>
      </w:r>
      <w:r w:rsidR="00273F3E">
        <w:t xml:space="preserve">  I will discuss later whether another possible comparison is available between a representative proceeding and no proceedings at all but rather a separate remediation or </w:t>
      </w:r>
      <w:r w:rsidR="00273F3E" w:rsidRPr="009466D5">
        <w:t>settlement scheme.</w:t>
      </w:r>
    </w:p>
    <w:p w:rsidR="00273F3E" w:rsidRDefault="00273F3E" w:rsidP="00273F3E">
      <w:pPr>
        <w:pStyle w:val="ParaNumbering"/>
      </w:pPr>
      <w:r>
        <w:t xml:space="preserve">Further, it is trite to observe that s 33N(1) is not about the efficiency of a representative proceeding in an absolute sense.  Indeed, it is not about whether the continuance of such a proceeding is efficient in an absolute sense.  Rather, the ideas embodied in </w:t>
      </w:r>
      <w:proofErr w:type="spellStart"/>
      <w:r>
        <w:t>ss</w:t>
      </w:r>
      <w:proofErr w:type="spellEnd"/>
      <w:r>
        <w:t> 33N(1)(a) to (c) whether explicitly or implicitly are about relative efficiency concerning the particular context and case at hand in terms of a comparison between the representative proceeding on the one hand, and the comparator non-representative proceedings on the other hand.</w:t>
      </w:r>
    </w:p>
    <w:p w:rsidR="004A62D1" w:rsidRDefault="00273F3E" w:rsidP="004A62D1">
      <w:pPr>
        <w:pStyle w:val="ParaNumbering"/>
      </w:pPr>
      <w:r>
        <w:t xml:space="preserve">Now </w:t>
      </w:r>
      <w:r w:rsidR="007D6CFF">
        <w:t>let me</w:t>
      </w:r>
      <w:r w:rsidR="004A62D1">
        <w:t xml:space="preserve"> address the asserted triggering condition </w:t>
      </w:r>
      <w:r w:rsidR="007D6CFF">
        <w:t xml:space="preserve">under s 33N(1)(c) </w:t>
      </w:r>
      <w:r w:rsidR="004A62D1">
        <w:t xml:space="preserve">before dealing with the availability and exercise of power under s 33N(1).  The availability requires satisfaction of the stipulation “in the interests of justice to do so” linked to the triggering condition.  The exercise, assuming that a triggering condition is established and such satisfaction is reached, is an exercise of discretionary power rather than just a permissive power, although it would only be </w:t>
      </w:r>
      <w:r w:rsidR="004A62D1">
        <w:lastRenderedPageBreak/>
        <w:t>a highly unusual case where the “interests of justice” satisfaction was reached, but in the exercise of discretion no s 33N (1) or</w:t>
      </w:r>
      <w:r w:rsidR="00E749DA">
        <w:t>der was considered appropriate.</w:t>
      </w:r>
    </w:p>
    <w:p w:rsidR="00FF2294" w:rsidRDefault="007D6CFF" w:rsidP="00FF2294">
      <w:pPr>
        <w:pStyle w:val="ParaNumbering"/>
      </w:pPr>
      <w:r>
        <w:t>I</w:t>
      </w:r>
      <w:r w:rsidR="008A5323">
        <w:t xml:space="preserve">n relation to s 33N(1)(c), which the respondents have focused on, </w:t>
      </w:r>
      <w:r w:rsidR="00742309">
        <w:t>t</w:t>
      </w:r>
      <w:r w:rsidR="00FF2294">
        <w:t xml:space="preserve">he following factors </w:t>
      </w:r>
      <w:r w:rsidR="008A5323">
        <w:t>are relevant and must be directed to the particular circumstances of the case.</w:t>
      </w:r>
    </w:p>
    <w:p w:rsidR="00FF2294" w:rsidRDefault="00381678" w:rsidP="00742309">
      <w:pPr>
        <w:pStyle w:val="ParaNumbering"/>
      </w:pPr>
      <w:r>
        <w:t>First</w:t>
      </w:r>
      <w:r w:rsidR="0010683A">
        <w:t xml:space="preserve">, </w:t>
      </w:r>
      <w:r>
        <w:t>to what extent do the</w:t>
      </w:r>
      <w:r w:rsidR="0010683A">
        <w:t xml:space="preserve"> i</w:t>
      </w:r>
      <w:r w:rsidR="00FF2294">
        <w:t>ndividual</w:t>
      </w:r>
      <w:r>
        <w:t xml:space="preserve"> issues outweigh common issues?</w:t>
      </w:r>
      <w:r w:rsidR="00920F63">
        <w:t xml:space="preserve">  </w:t>
      </w:r>
      <w:r w:rsidR="00742309">
        <w:t xml:space="preserve">In other words, is </w:t>
      </w:r>
      <w:r w:rsidR="00FF2294" w:rsidRPr="00864BD7">
        <w:t>the</w:t>
      </w:r>
      <w:r w:rsidR="00FF2294">
        <w:t xml:space="preserve"> area of issues common to all claims so limited, in comparison with the totality of the issues that have to be resolved both as to liability </w:t>
      </w:r>
      <w:r w:rsidR="00273F3E">
        <w:t>and relief</w:t>
      </w:r>
      <w:r w:rsidR="00FF2294" w:rsidRPr="007D0688">
        <w:t xml:space="preserve"> as between each of the group members and the respondents, that the</w:t>
      </w:r>
      <w:r w:rsidR="00742309">
        <w:t xml:space="preserve"> proceeding</w:t>
      </w:r>
      <w:r w:rsidR="00FF2294" w:rsidRPr="007D0688">
        <w:t xml:space="preserve"> so much involve</w:t>
      </w:r>
      <w:r w:rsidR="00742309">
        <w:t>s</w:t>
      </w:r>
      <w:r w:rsidR="00FF2294" w:rsidRPr="007D0688">
        <w:t xml:space="preserve"> an investigation of individual circumstances as to justify </w:t>
      </w:r>
      <w:r w:rsidR="00742309">
        <w:t>a s 33N order?</w:t>
      </w:r>
    </w:p>
    <w:p w:rsidR="0078401B" w:rsidRDefault="00381678" w:rsidP="009A74D9">
      <w:pPr>
        <w:pStyle w:val="ParaNumbering"/>
      </w:pPr>
      <w:r>
        <w:t>Second</w:t>
      </w:r>
      <w:r w:rsidR="005339E1">
        <w:t>, would the d</w:t>
      </w:r>
      <w:r w:rsidR="00FF2294">
        <w:t xml:space="preserve">etermination of non-common issues add to </w:t>
      </w:r>
      <w:r w:rsidR="0078401B">
        <w:t xml:space="preserve">the </w:t>
      </w:r>
      <w:r w:rsidR="00FF2294">
        <w:t xml:space="preserve">complexity </w:t>
      </w:r>
      <w:r w:rsidR="009A74D9">
        <w:t>of the preparation for and the duration</w:t>
      </w:r>
      <w:r w:rsidR="0078401B">
        <w:t xml:space="preserve"> of</w:t>
      </w:r>
      <w:r w:rsidR="00B47CF8">
        <w:t xml:space="preserve"> the</w:t>
      </w:r>
      <w:r w:rsidR="0078401B">
        <w:t xml:space="preserve"> trial</w:t>
      </w:r>
      <w:r w:rsidR="009A74D9" w:rsidRPr="009A74D9">
        <w:t xml:space="preserve"> </w:t>
      </w:r>
      <w:r w:rsidR="009A74D9">
        <w:t>as compared with a case in which those issues were common to all group members</w:t>
      </w:r>
      <w:r w:rsidR="0078401B">
        <w:t>?</w:t>
      </w:r>
    </w:p>
    <w:p w:rsidR="00FF2294" w:rsidRPr="009A74D9" w:rsidRDefault="009A74D9" w:rsidP="00FF2294">
      <w:pPr>
        <w:pStyle w:val="ParaNumbering"/>
      </w:pPr>
      <w:r>
        <w:t>Third</w:t>
      </w:r>
      <w:r w:rsidR="00BE51E2">
        <w:t xml:space="preserve">, is there any </w:t>
      </w:r>
      <w:r w:rsidR="00FF2294">
        <w:t>single event or system of conduct that makes the claims suitable</w:t>
      </w:r>
      <w:r w:rsidR="008F64B9">
        <w:t xml:space="preserve"> for representative proceedings?  In </w:t>
      </w:r>
      <w:r w:rsidR="00FF2294">
        <w:t>this case</w:t>
      </w:r>
      <w:r w:rsidR="008F64B9">
        <w:t>,</w:t>
      </w:r>
      <w:r w:rsidR="00FF2294">
        <w:t xml:space="preserve"> </w:t>
      </w:r>
      <w:r>
        <w:t xml:space="preserve">the respondents say that </w:t>
      </w:r>
      <w:r w:rsidR="00FF2294">
        <w:t xml:space="preserve">given the differences in products, AMP authorised representatives, AMP licensees, agreements and disclosures </w:t>
      </w:r>
      <w:r w:rsidR="00FF2294" w:rsidRPr="009A74D9">
        <w:t>relevant to the</w:t>
      </w:r>
      <w:r w:rsidR="008F64B9" w:rsidRPr="009A74D9">
        <w:t xml:space="preserve"> applicants and group membe</w:t>
      </w:r>
      <w:r w:rsidRPr="009A74D9">
        <w:t>rs, there is no common element.</w:t>
      </w:r>
    </w:p>
    <w:p w:rsidR="009A74D9" w:rsidRPr="009A74D9" w:rsidRDefault="009A74D9" w:rsidP="009A74D9">
      <w:pPr>
        <w:pStyle w:val="ParaNumbering"/>
      </w:pPr>
      <w:r w:rsidRPr="009A74D9">
        <w:t>Fourth, is it the case that the resolution of the applicants’ claims offers no real guidance for group member claims, for example, where there is such a lack of commonality between an applicant’s claim and those of group members such that the determination of the applicant’s claim will not offer any real guidance as to how group members’ claims would be determined?  The respondents say that this applies to the present case given the nature of the claims made by each applicant.</w:t>
      </w:r>
    </w:p>
    <w:p w:rsidR="00FF2294" w:rsidRPr="00C24F92" w:rsidRDefault="008F64B9" w:rsidP="00FF2294">
      <w:pPr>
        <w:pStyle w:val="ParaNumbering"/>
      </w:pPr>
      <w:r>
        <w:t>Fifth, are the d</w:t>
      </w:r>
      <w:r w:rsidR="00FF2294" w:rsidRPr="00982CC4">
        <w:t>ocuments and evidence common to the applicants and group members</w:t>
      </w:r>
      <w:r>
        <w:t>?</w:t>
      </w:r>
      <w:r w:rsidR="009A74D9">
        <w:t xml:space="preserve">  The respondents say here that t</w:t>
      </w:r>
      <w:r w:rsidR="00FF2294" w:rsidRPr="00982CC4">
        <w:t>he documents, systems and agreements relied upon to establish the claims in the present case have insufficient commonality</w:t>
      </w:r>
      <w:r w:rsidR="00FF2294">
        <w:t>.</w:t>
      </w:r>
    </w:p>
    <w:p w:rsidR="0043135B" w:rsidRDefault="008A5323" w:rsidP="009A74D9">
      <w:pPr>
        <w:pStyle w:val="ParaNumbering"/>
      </w:pPr>
      <w:r>
        <w:t>Sixth, as I have indicated,</w:t>
      </w:r>
      <w:r w:rsidR="009A74D9">
        <w:t xml:space="preserve"> i</w:t>
      </w:r>
      <w:r w:rsidR="0043135B">
        <w:t>t is generally necessary to compare the cost and expense of the existing representative proceeding against the hypothetical cost and expense of the alternative n</w:t>
      </w:r>
      <w:r>
        <w:t>on-representative proceedings.</w:t>
      </w:r>
    </w:p>
    <w:p w:rsidR="0043135B" w:rsidRDefault="00273F3E" w:rsidP="0043135B">
      <w:pPr>
        <w:pStyle w:val="ParaNumbering"/>
      </w:pPr>
      <w:r>
        <w:t>Further, w</w:t>
      </w:r>
      <w:r w:rsidR="0043135B">
        <w:t>hether it will be in the interests of j</w:t>
      </w:r>
      <w:r w:rsidR="00742309">
        <w:t xml:space="preserve">ustice to de-class a proceeding, in the present context using the s 33N(1)(c) trigger, requires a consideration of </w:t>
      </w:r>
      <w:r w:rsidR="0043135B">
        <w:t xml:space="preserve">the public interest in the </w:t>
      </w:r>
      <w:r w:rsidR="0043135B">
        <w:lastRenderedPageBreak/>
        <w:t xml:space="preserve">administration of justice and requires </w:t>
      </w:r>
      <w:r w:rsidR="009A74D9">
        <w:t xml:space="preserve">a </w:t>
      </w:r>
      <w:r w:rsidR="0043135B">
        <w:t xml:space="preserve">consideration of the principal objects of Part IVA, including promoting </w:t>
      </w:r>
      <w:r w:rsidR="009A74D9">
        <w:t>the efficient use of court time.</w:t>
      </w:r>
      <w:r w:rsidR="008A5323">
        <w:t xml:space="preserve">  In other words, to show the existence of a trigger does not inevitably lead to it being in the interests of justice to de-class.  There may be other good reasons why the proceeding ought not be de-classed.</w:t>
      </w:r>
    </w:p>
    <w:p w:rsidR="00014622" w:rsidRDefault="00742309" w:rsidP="00014622">
      <w:pPr>
        <w:pStyle w:val="Heading2"/>
      </w:pPr>
      <w:r w:rsidRPr="003D3F56">
        <w:t>T</w:t>
      </w:r>
      <w:r w:rsidR="00014622" w:rsidRPr="003D3F56">
        <w:t>he pleaded case</w:t>
      </w:r>
    </w:p>
    <w:p w:rsidR="00014622" w:rsidRDefault="00014622" w:rsidP="00737F62">
      <w:pPr>
        <w:pStyle w:val="ParaNumbering"/>
      </w:pPr>
      <w:r w:rsidRPr="00516133">
        <w:t>The</w:t>
      </w:r>
      <w:r w:rsidR="00742309">
        <w:t xml:space="preserve"> various parties, other entities and the</w:t>
      </w:r>
      <w:r w:rsidRPr="00516133">
        <w:t xml:space="preserve"> case as pleaded in the </w:t>
      </w:r>
      <w:r w:rsidR="009A74D9">
        <w:t>c</w:t>
      </w:r>
      <w:r w:rsidR="00742309">
        <w:t xml:space="preserve">onsolidated statement of claim taking into account proposed amendments </w:t>
      </w:r>
      <w:r w:rsidR="009A74D9">
        <w:t>may be summarised as follows.</w:t>
      </w:r>
    </w:p>
    <w:p w:rsidR="009A74D9" w:rsidRDefault="00014622" w:rsidP="00014622">
      <w:pPr>
        <w:pStyle w:val="ParaNumbering"/>
      </w:pPr>
      <w:r>
        <w:t xml:space="preserve">The applicants </w:t>
      </w:r>
      <w:r w:rsidR="009A74D9">
        <w:t>and the group members are those</w:t>
      </w:r>
      <w:r>
        <w:t xml:space="preserve"> who acquired, renewed or continued to hold commissioned products in respect of which commissi</w:t>
      </w:r>
      <w:r w:rsidR="009A74D9">
        <w:t>ons were paid from 23 July 2014</w:t>
      </w:r>
      <w:r>
        <w:t xml:space="preserve"> and who received personal advice from an </w:t>
      </w:r>
      <w:r w:rsidR="009A74D9">
        <w:t>AMP authorised representative.</w:t>
      </w:r>
    </w:p>
    <w:p w:rsidR="009A74D9" w:rsidRDefault="009A74D9" w:rsidP="009A74D9">
      <w:pPr>
        <w:pStyle w:val="ParaNumbering"/>
      </w:pPr>
      <w:r>
        <w:t>There are four applicants, e</w:t>
      </w:r>
      <w:r w:rsidR="00014622">
        <w:t xml:space="preserve">ach of </w:t>
      </w:r>
      <w:r>
        <w:t xml:space="preserve">whom </w:t>
      </w:r>
      <w:r w:rsidR="00014622">
        <w:t>received advice from a different AMP authorised representative and invested in different financial products issued</w:t>
      </w:r>
      <w:r>
        <w:t xml:space="preserve"> by different product issuers.</w:t>
      </w:r>
    </w:p>
    <w:p w:rsidR="009A74D9" w:rsidRDefault="009A74D9" w:rsidP="009A74D9">
      <w:pPr>
        <w:pStyle w:val="ParaNumbering"/>
      </w:pPr>
      <w:r>
        <w:t>T</w:t>
      </w:r>
      <w:r w:rsidR="0078784C">
        <w:t>he first applicant, Mr Stack,</w:t>
      </w:r>
      <w:r w:rsidR="00014622">
        <w:t xml:space="preserve"> received personal advice from </w:t>
      </w:r>
      <w:r w:rsidR="0078784C">
        <w:t>an individual at U-</w:t>
      </w:r>
      <w:r w:rsidR="00014622">
        <w:t>First Financial Solutions Pty Ltd, an authorised representative of the first respondent (AMPFP).  He invested in a product known as “Flexible Super – Flexible Protection” which was issued by AMP Life</w:t>
      </w:r>
      <w:r w:rsidR="00055AD0">
        <w:t xml:space="preserve"> Limited, the fifth respondent</w:t>
      </w:r>
      <w:r w:rsidR="00014622">
        <w:t xml:space="preserve">.  </w:t>
      </w:r>
      <w:r w:rsidR="0078784C">
        <w:t>This</w:t>
      </w:r>
      <w:r w:rsidR="00014622">
        <w:t xml:space="preserve"> product was an insurance product held </w:t>
      </w:r>
      <w:r>
        <w:t>within a superannuation product.</w:t>
      </w:r>
    </w:p>
    <w:p w:rsidR="00FA1C98" w:rsidRDefault="009A74D9" w:rsidP="00FA1C98">
      <w:pPr>
        <w:pStyle w:val="ParaNumbering"/>
      </w:pPr>
      <w:r>
        <w:t>T</w:t>
      </w:r>
      <w:r w:rsidR="0078784C">
        <w:t xml:space="preserve">he second applicant, Ms </w:t>
      </w:r>
      <w:proofErr w:type="spellStart"/>
      <w:r w:rsidR="0078784C">
        <w:t>Winterton</w:t>
      </w:r>
      <w:proofErr w:type="spellEnd"/>
      <w:r w:rsidR="0078784C">
        <w:t>,</w:t>
      </w:r>
      <w:r w:rsidR="00014622">
        <w:t xml:space="preserve"> received personal advice from </w:t>
      </w:r>
      <w:r w:rsidR="0078784C">
        <w:t>an individual at</w:t>
      </w:r>
      <w:r w:rsidR="00014622">
        <w:t xml:space="preserve"> Bayside Finan</w:t>
      </w:r>
      <w:r w:rsidR="0078784C">
        <w:t>cial Planners Pty Ltd</w:t>
      </w:r>
      <w:r w:rsidR="00014622">
        <w:t xml:space="preserve">, an authorised representative </w:t>
      </w:r>
      <w:r w:rsidR="00014622" w:rsidRPr="00FA1C98">
        <w:t>of</w:t>
      </w:r>
      <w:r w:rsidR="00014622">
        <w:t xml:space="preserve"> AMPFP.  She invested in a product known as “Flexible Lifetime – Protection Plan” which was an insurance product issued by AMP Life.  Ms </w:t>
      </w:r>
      <w:proofErr w:type="spellStart"/>
      <w:r w:rsidR="00014622">
        <w:t>Winterton</w:t>
      </w:r>
      <w:proofErr w:type="spellEnd"/>
      <w:r w:rsidR="00014622">
        <w:t xml:space="preserve"> also invested in </w:t>
      </w:r>
      <w:r w:rsidR="0078784C">
        <w:t>the</w:t>
      </w:r>
      <w:r w:rsidR="00014622">
        <w:t xml:space="preserve"> “Flexible Super – Flexible Protection” </w:t>
      </w:r>
      <w:r w:rsidR="0078784C">
        <w:t>product</w:t>
      </w:r>
      <w:r w:rsidR="00FA1C98">
        <w:t xml:space="preserve"> issued by AMP Life.</w:t>
      </w:r>
    </w:p>
    <w:p w:rsidR="00FA1C98" w:rsidRDefault="00FA1C98" w:rsidP="00FA1C98">
      <w:pPr>
        <w:pStyle w:val="ParaNumbering"/>
      </w:pPr>
      <w:r>
        <w:t>T</w:t>
      </w:r>
      <w:r w:rsidR="0078784C">
        <w:t xml:space="preserve">he third applicant, Mr </w:t>
      </w:r>
      <w:proofErr w:type="spellStart"/>
      <w:r w:rsidR="0078784C">
        <w:t>Brotton</w:t>
      </w:r>
      <w:proofErr w:type="spellEnd"/>
      <w:r w:rsidR="0078784C">
        <w:t>,</w:t>
      </w:r>
      <w:r w:rsidR="00014622">
        <w:t xml:space="preserve"> received advice from </w:t>
      </w:r>
      <w:r w:rsidR="0078784C">
        <w:t>an individual at</w:t>
      </w:r>
      <w:r w:rsidR="00014622">
        <w:t xml:space="preserve"> Pre</w:t>
      </w:r>
      <w:r w:rsidR="0078784C">
        <w:t>cept Financial Services Pty Ltd</w:t>
      </w:r>
      <w:r w:rsidR="00014622">
        <w:t>, an authorised representative of the second respondent (Charter).  He invested in a pension product known as “North Personal Pension” issued by N.M. Superan</w:t>
      </w:r>
      <w:r>
        <w:t xml:space="preserve">nuation </w:t>
      </w:r>
      <w:r w:rsidR="0078784C">
        <w:t>Pty Ltd</w:t>
      </w:r>
      <w:r>
        <w:t>.</w:t>
      </w:r>
    </w:p>
    <w:p w:rsidR="00014622" w:rsidRDefault="00FA1C98" w:rsidP="00FA1C98">
      <w:pPr>
        <w:pStyle w:val="ParaNumbering"/>
      </w:pPr>
      <w:r>
        <w:t>T</w:t>
      </w:r>
      <w:r w:rsidR="0078784C">
        <w:t xml:space="preserve">he fourth applicant, Mr </w:t>
      </w:r>
      <w:proofErr w:type="spellStart"/>
      <w:r w:rsidR="0078784C">
        <w:t>Brittain</w:t>
      </w:r>
      <w:proofErr w:type="spellEnd"/>
      <w:r w:rsidR="0078784C">
        <w:t>,</w:t>
      </w:r>
      <w:r w:rsidR="00014622">
        <w:t xml:space="preserve"> </w:t>
      </w:r>
      <w:r w:rsidR="0078784C">
        <w:t xml:space="preserve">received personal advice from an individual at </w:t>
      </w:r>
      <w:r w:rsidR="00014622">
        <w:t>the third respondent (</w:t>
      </w:r>
      <w:proofErr w:type="spellStart"/>
      <w:r w:rsidR="00014622">
        <w:t>Hillross</w:t>
      </w:r>
      <w:proofErr w:type="spellEnd"/>
      <w:r w:rsidR="0078784C">
        <w:t>)</w:t>
      </w:r>
      <w:r w:rsidR="00014622">
        <w:t xml:space="preserve">.  He invested in a product known as “PortfolioCare Investment Service”, an investment product issued by </w:t>
      </w:r>
      <w:proofErr w:type="spellStart"/>
      <w:r w:rsidR="00014622">
        <w:t>Hillross</w:t>
      </w:r>
      <w:proofErr w:type="spellEnd"/>
      <w:r w:rsidR="00014622">
        <w:t>.</w:t>
      </w:r>
    </w:p>
    <w:p w:rsidR="0078784C" w:rsidRPr="0078784C" w:rsidRDefault="0078784C" w:rsidP="0078784C">
      <w:pPr>
        <w:pStyle w:val="ParaNumbering"/>
      </w:pPr>
      <w:r w:rsidRPr="0078784C">
        <w:lastRenderedPageBreak/>
        <w:t>There are also two sub-sets of group members known as the Stack sub-group members and the OSF sub-group members; OSF is a short-hand reference to ongoing service fees paid under an AMP ongoing service package.</w:t>
      </w:r>
    </w:p>
    <w:p w:rsidR="00FA1C98" w:rsidRDefault="003E3FB7" w:rsidP="004A62D1">
      <w:pPr>
        <w:pStyle w:val="ParaNumbering"/>
      </w:pPr>
      <w:r>
        <w:t>The Stack sub-group m</w:t>
      </w:r>
      <w:r w:rsidR="00FA1C98">
        <w:t xml:space="preserve">embers are defined in the </w:t>
      </w:r>
      <w:r w:rsidR="0078784C">
        <w:t>consolidated pleading</w:t>
      </w:r>
      <w:r w:rsidR="00055AD0">
        <w:t xml:space="preserve"> as those group m</w:t>
      </w:r>
      <w:r w:rsidR="00FA1C98">
        <w:t>embe</w:t>
      </w:r>
      <w:r w:rsidR="004A62D1">
        <w:t xml:space="preserve">rs who on or after 23 July 2014 </w:t>
      </w:r>
      <w:r w:rsidR="00FA1C98">
        <w:t>acquired, renewed or</w:t>
      </w:r>
      <w:r w:rsidR="00055AD0">
        <w:t xml:space="preserve"> continued to hold an AMP Life p</w:t>
      </w:r>
      <w:r w:rsidR="004A62D1">
        <w:t>roduct</w:t>
      </w:r>
      <w:r w:rsidR="00FA1C98">
        <w:t xml:space="preserve"> and</w:t>
      </w:r>
      <w:r w:rsidR="004A62D1">
        <w:t xml:space="preserve"> </w:t>
      </w:r>
      <w:r w:rsidR="00FA1C98">
        <w:t>received personal advice from</w:t>
      </w:r>
      <w:r w:rsidR="00055AD0">
        <w:t xml:space="preserve"> an AMP authorised representative.</w:t>
      </w:r>
    </w:p>
    <w:p w:rsidR="00FA1C98" w:rsidRDefault="00FA1C98" w:rsidP="004A62D1">
      <w:pPr>
        <w:pStyle w:val="ParaNumbering"/>
      </w:pPr>
      <w:r>
        <w:t>T</w:t>
      </w:r>
      <w:r w:rsidR="00055AD0">
        <w:t>he OSF sub-group m</w:t>
      </w:r>
      <w:r>
        <w:t xml:space="preserve">embers are defined </w:t>
      </w:r>
      <w:r w:rsidR="00055AD0">
        <w:t>as those group m</w:t>
      </w:r>
      <w:r>
        <w:t>embe</w:t>
      </w:r>
      <w:r w:rsidR="004A62D1">
        <w:t xml:space="preserve">rs who on or after 23 July 2014 </w:t>
      </w:r>
      <w:r>
        <w:t>paid OSFs</w:t>
      </w:r>
      <w:r w:rsidR="00055AD0">
        <w:t xml:space="preserve"> to one or more AMP a</w:t>
      </w:r>
      <w:r>
        <w:t>utho</w:t>
      </w:r>
      <w:r w:rsidR="00055AD0">
        <w:t>rised r</w:t>
      </w:r>
      <w:r w:rsidR="004A62D1">
        <w:t xml:space="preserve">epresentatives </w:t>
      </w:r>
      <w:r>
        <w:t>and</w:t>
      </w:r>
      <w:r w:rsidR="004A62D1">
        <w:t xml:space="preserve"> </w:t>
      </w:r>
      <w:r>
        <w:t>did not receive</w:t>
      </w:r>
      <w:r w:rsidR="00055AD0">
        <w:t xml:space="preserve"> (in whole or in part) the AMP ongoing service packag</w:t>
      </w:r>
      <w:r w:rsidR="00351EDC">
        <w:t>e</w:t>
      </w:r>
      <w:r w:rsidR="0078784C">
        <w:t xml:space="preserve"> </w:t>
      </w:r>
      <w:r w:rsidR="00055AD0">
        <w:t>from the AMP authorised r</w:t>
      </w:r>
      <w:r>
        <w:t>epresentative.</w:t>
      </w:r>
    </w:p>
    <w:p w:rsidR="00014622" w:rsidRDefault="0078784C" w:rsidP="00014622">
      <w:pPr>
        <w:pStyle w:val="ParaNumbering"/>
      </w:pPr>
      <w:r w:rsidRPr="000937B8">
        <w:t>T</w:t>
      </w:r>
      <w:r w:rsidR="00014622" w:rsidRPr="000937B8">
        <w:t>he first</w:t>
      </w:r>
      <w:r w:rsidR="00014622">
        <w:t xml:space="preserve"> three r</w:t>
      </w:r>
      <w:r w:rsidR="00014622" w:rsidRPr="00FC513B">
        <w:t xml:space="preserve">espondents, AMPFP, Charter </w:t>
      </w:r>
      <w:r w:rsidR="00014622">
        <w:t xml:space="preserve">and </w:t>
      </w:r>
      <w:proofErr w:type="spellStart"/>
      <w:r w:rsidR="00014622">
        <w:t>Hillross</w:t>
      </w:r>
      <w:proofErr w:type="spellEnd"/>
      <w:r w:rsidR="00014622">
        <w:t xml:space="preserve"> </w:t>
      </w:r>
      <w:r w:rsidR="00014622" w:rsidRPr="00FC513B">
        <w:t xml:space="preserve">were </w:t>
      </w:r>
      <w:r w:rsidR="00465D7E">
        <w:t>part of</w:t>
      </w:r>
      <w:r w:rsidR="00014622" w:rsidRPr="00FC513B">
        <w:t xml:space="preserve"> </w:t>
      </w:r>
      <w:r w:rsidR="00465D7E">
        <w:t xml:space="preserve">the AMP group of companies.  They </w:t>
      </w:r>
      <w:r w:rsidR="00014622" w:rsidRPr="00FC513B">
        <w:t xml:space="preserve">held AFSLs and were in the business of providing financial services to clients. </w:t>
      </w:r>
      <w:r w:rsidR="00014622">
        <w:t xml:space="preserve"> </w:t>
      </w:r>
      <w:r w:rsidR="00014622" w:rsidRPr="00FC513B">
        <w:t>The fourth respondent, AMP Ltd was the ultim</w:t>
      </w:r>
      <w:r w:rsidR="00014622">
        <w:t>ate holding company of the</w:t>
      </w:r>
      <w:r w:rsidR="00465D7E">
        <w:t>se</w:t>
      </w:r>
      <w:r w:rsidR="00014622">
        <w:t xml:space="preserve"> AMP l</w:t>
      </w:r>
      <w:r w:rsidR="00014622" w:rsidRPr="00FC513B">
        <w:t xml:space="preserve">icensees. </w:t>
      </w:r>
      <w:r w:rsidR="00014622">
        <w:t xml:space="preserve"> </w:t>
      </w:r>
      <w:r w:rsidR="00465D7E">
        <w:t>AMP Life</w:t>
      </w:r>
      <w:r w:rsidR="00014622" w:rsidRPr="00FC513B">
        <w:t xml:space="preserve"> was also part of the AMP group of companies up to 30 June 2020 and carried on a life insurance business.</w:t>
      </w:r>
      <w:r w:rsidR="00465D7E">
        <w:t xml:space="preserve">  The applicants’ case against these respondents involves conduct over the period 23 July 2014 to 15 February 2021 inclusive (the relevant period).</w:t>
      </w:r>
    </w:p>
    <w:p w:rsidR="00014622" w:rsidRDefault="00014622" w:rsidP="00014622">
      <w:pPr>
        <w:pStyle w:val="ParaNumbering"/>
      </w:pPr>
      <w:r>
        <w:t xml:space="preserve">During </w:t>
      </w:r>
      <w:r w:rsidR="00465D7E">
        <w:t>most of the relevant period</w:t>
      </w:r>
      <w:r w:rsidR="0078784C">
        <w:t>, the AMP group including the AMP licensees</w:t>
      </w:r>
      <w:r>
        <w:t xml:space="preserve"> operated a network of financial advisers </w:t>
      </w:r>
      <w:r w:rsidR="0078784C">
        <w:t>(</w:t>
      </w:r>
      <w:r>
        <w:t xml:space="preserve">AMP authorised representatives). </w:t>
      </w:r>
      <w:r w:rsidR="008271F5">
        <w:t xml:space="preserve"> </w:t>
      </w:r>
      <w:r>
        <w:t>Approximately 90% of those advisers were appointed as self-employ</w:t>
      </w:r>
      <w:r w:rsidR="0078784C">
        <w:t xml:space="preserve">ed authorised representatives, and so </w:t>
      </w:r>
      <w:r>
        <w:t>were not partners or emp</w:t>
      </w:r>
      <w:r w:rsidR="0078784C">
        <w:t xml:space="preserve">loyees of the AMP licensees.  They </w:t>
      </w:r>
      <w:r>
        <w:t>operated throughout Australia from premises and through busi</w:t>
      </w:r>
      <w:r w:rsidR="0078784C">
        <w:t>nesses (practices) not owned by</w:t>
      </w:r>
      <w:r>
        <w:t xml:space="preserve"> the AMP licensees or any of their related entities.  </w:t>
      </w:r>
      <w:r w:rsidR="00FA1C98">
        <w:t>I should note that the evidence before me reveals that i</w:t>
      </w:r>
      <w:r>
        <w:t>n any given year in the relevant period, there were hundreds of AMP authorised representatives of the AMP licensees.</w:t>
      </w:r>
      <w:r w:rsidR="0078784C">
        <w:t xml:space="preserve">  In </w:t>
      </w:r>
      <w:r w:rsidR="00465D7E">
        <w:t>an</w:t>
      </w:r>
      <w:r w:rsidR="0078784C">
        <w:t xml:space="preserve"> affidavit sworn by </w:t>
      </w:r>
      <w:r w:rsidR="00465D7E">
        <w:t>the</w:t>
      </w:r>
      <w:r w:rsidR="000F2E04">
        <w:t xml:space="preserve"> solicitor for the respondents</w:t>
      </w:r>
      <w:r w:rsidR="00273F3E">
        <w:t>, it was said:</w:t>
      </w:r>
    </w:p>
    <w:p w:rsidR="000F2E04" w:rsidRDefault="000937B8" w:rsidP="00465D7E">
      <w:pPr>
        <w:pStyle w:val="Quote1"/>
      </w:pPr>
      <w:r>
        <w:t>…</w:t>
      </w:r>
      <w:r w:rsidR="00465D7E">
        <w:t>[T]he number of</w:t>
      </w:r>
      <w:r w:rsidR="00273F3E">
        <w:t xml:space="preserve"> AMP authorised r</w:t>
      </w:r>
      <w:r w:rsidR="000F2E04">
        <w:t xml:space="preserve">epresentatives authorised by each of Charter, </w:t>
      </w:r>
      <w:proofErr w:type="spellStart"/>
      <w:r w:rsidR="000F2E04">
        <w:t>Hillross</w:t>
      </w:r>
      <w:proofErr w:type="spellEnd"/>
      <w:r w:rsidR="000F2E04">
        <w:t xml:space="preserve"> and AMPFP from 2014 to 2020 were as follows:</w:t>
      </w:r>
    </w:p>
    <w:p w:rsidR="000F2E04" w:rsidRDefault="000F2E04" w:rsidP="00465D7E">
      <w:pPr>
        <w:pStyle w:val="Quote1"/>
      </w:pPr>
      <w:r w:rsidRPr="000F2E04">
        <w:rPr>
          <w:noProof/>
          <w:lang w:eastAsia="en-AU"/>
        </w:rPr>
        <w:lastRenderedPageBreak/>
        <w:drawing>
          <wp:inline distT="0" distB="0" distL="0" distR="0">
            <wp:extent cx="4795359" cy="2277374"/>
            <wp:effectExtent l="0" t="0" r="5715" b="8890"/>
            <wp:docPr id="1" name="Picture 1" descr="C:\Users\JBergus\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rgus\Desktop\Captur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74707" cy="2315057"/>
                    </a:xfrm>
                    <a:prstGeom prst="rect">
                      <a:avLst/>
                    </a:prstGeom>
                    <a:noFill/>
                    <a:ln>
                      <a:noFill/>
                    </a:ln>
                  </pic:spPr>
                </pic:pic>
              </a:graphicData>
            </a:graphic>
          </wp:inline>
        </w:drawing>
      </w:r>
    </w:p>
    <w:p w:rsidR="000F2E04" w:rsidRDefault="000F2E04" w:rsidP="000F2E04">
      <w:pPr>
        <w:pStyle w:val="Quote1"/>
      </w:pPr>
      <w:r>
        <w:t>…</w:t>
      </w:r>
    </w:p>
    <w:p w:rsidR="000F2E04" w:rsidRDefault="000F2E04" w:rsidP="00465D7E">
      <w:pPr>
        <w:pStyle w:val="Quote1"/>
      </w:pPr>
      <w:r>
        <w:t>Whilst not a calculat</w:t>
      </w:r>
      <w:r w:rsidR="00273F3E">
        <w:t>ion of the potential number of group m</w:t>
      </w:r>
      <w:r>
        <w:t>embers,</w:t>
      </w:r>
      <w:r w:rsidR="00465D7E">
        <w:t xml:space="preserve"> … </w:t>
      </w:r>
      <w:r>
        <w:t xml:space="preserve">the </w:t>
      </w:r>
      <w:r w:rsidR="00273F3E">
        <w:t>total number of clients of AMP authorised r</w:t>
      </w:r>
      <w:r w:rsidR="00465D7E">
        <w:t>epresen</w:t>
      </w:r>
      <w:r w:rsidR="00273F3E">
        <w:t>tatives of the AMP l</w:t>
      </w:r>
      <w:r>
        <w:t>icensees from 2014 to 2017 were as follows:</w:t>
      </w:r>
    </w:p>
    <w:p w:rsidR="000F2E04" w:rsidRDefault="000F2E04" w:rsidP="00465D7E">
      <w:pPr>
        <w:pStyle w:val="Quote1"/>
      </w:pPr>
      <w:r w:rsidRPr="000F2E04">
        <w:rPr>
          <w:noProof/>
          <w:lang w:eastAsia="en-AU"/>
        </w:rPr>
        <w:drawing>
          <wp:inline distT="0" distB="0" distL="0" distR="0">
            <wp:extent cx="4814932" cy="1457864"/>
            <wp:effectExtent l="0" t="0" r="5080" b="9525"/>
            <wp:docPr id="4" name="Picture 4" descr="C:\Users\JBergus\Desktop\Capture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ergus\Desktop\Capture11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75037" cy="1476063"/>
                    </a:xfrm>
                    <a:prstGeom prst="rect">
                      <a:avLst/>
                    </a:prstGeom>
                    <a:noFill/>
                    <a:ln>
                      <a:noFill/>
                    </a:ln>
                  </pic:spPr>
                </pic:pic>
              </a:graphicData>
            </a:graphic>
          </wp:inline>
        </w:drawing>
      </w:r>
    </w:p>
    <w:p w:rsidR="000F2E04" w:rsidRDefault="00C428BC" w:rsidP="00465D7E">
      <w:pPr>
        <w:pStyle w:val="Quote1"/>
      </w:pPr>
      <w:r>
        <w:t>…</w:t>
      </w:r>
      <w:r w:rsidR="00273F3E">
        <w:t>[T]he number of clients of AMP authorised representatives of the AMP l</w:t>
      </w:r>
      <w:r w:rsidR="000F2E04">
        <w:t>icensees for the</w:t>
      </w:r>
      <w:r w:rsidR="00273F3E">
        <w:t xml:space="preserve"> period 2018 to the end of the relevant p</w:t>
      </w:r>
      <w:r w:rsidR="000F2E04">
        <w:t>eriod (being 15 February 2021) were not able to be verified at the time of swearing this affidavit. I note that the pote</w:t>
      </w:r>
      <w:r w:rsidR="00273F3E">
        <w:t>ntial group m</w:t>
      </w:r>
      <w:r w:rsidR="000F2E04">
        <w:t>ember cohort may be larger than this because in</w:t>
      </w:r>
      <w:r w:rsidR="00273F3E">
        <w:t>dividuals may have purchased a commissioned product earlier than the relevant period and still be within the g</w:t>
      </w:r>
      <w:r w:rsidR="00C10170">
        <w:t>ro</w:t>
      </w:r>
      <w:r w:rsidR="00273F3E">
        <w:t>up m</w:t>
      </w:r>
      <w:r w:rsidR="000F2E04">
        <w:t>ember definition.</w:t>
      </w:r>
    </w:p>
    <w:p w:rsidR="00014622" w:rsidRDefault="00547957" w:rsidP="00014622">
      <w:pPr>
        <w:pStyle w:val="ParaNumbering"/>
      </w:pPr>
      <w:r>
        <w:t>Further, during the relevant period the AMP licensees</w:t>
      </w:r>
      <w:r w:rsidR="00014622">
        <w:t xml:space="preserve"> had in place agreements or arrangements with the AMP authorised representatives.  These agreements typically compri</w:t>
      </w:r>
      <w:r w:rsidR="0058263B">
        <w:t xml:space="preserve">sed an authorised representative agreement and master terms for AMPFP and </w:t>
      </w:r>
      <w:proofErr w:type="spellStart"/>
      <w:r w:rsidR="0058263B">
        <w:t>Hillross</w:t>
      </w:r>
      <w:proofErr w:type="spellEnd"/>
      <w:r w:rsidR="0058263B">
        <w:t>, and a representative services agreement and/or deed of a</w:t>
      </w:r>
      <w:r w:rsidR="00014622">
        <w:t xml:space="preserve">ppointment for Charter. </w:t>
      </w:r>
      <w:r w:rsidR="0058263B">
        <w:t xml:space="preserve"> </w:t>
      </w:r>
      <w:r w:rsidR="00014622">
        <w:t>There are different versions of those agreements that were in place during the relevant period.</w:t>
      </w:r>
    </w:p>
    <w:p w:rsidR="00014622" w:rsidRDefault="00014622" w:rsidP="00014622">
      <w:pPr>
        <w:pStyle w:val="ParaNumbering"/>
      </w:pPr>
      <w:r>
        <w:t>During the relevant period, the A</w:t>
      </w:r>
      <w:r w:rsidR="0058263B">
        <w:t>MP licensees also had in place</w:t>
      </w:r>
      <w:r w:rsidR="00FA1C98">
        <w:t xml:space="preserve"> arrangements with AMP Life </w:t>
      </w:r>
      <w:r w:rsidR="0058263B">
        <w:t>and other providers of financial products</w:t>
      </w:r>
      <w:r>
        <w:t xml:space="preserve"> inc</w:t>
      </w:r>
      <w:r w:rsidR="0058263B">
        <w:t>luding insurance products.  These outlined the circumstances under</w:t>
      </w:r>
      <w:r>
        <w:t xml:space="preserve"> which commissions in relation to those products would be paid to the AMP licensees.</w:t>
      </w:r>
    </w:p>
    <w:p w:rsidR="00014622" w:rsidRDefault="0058263B" w:rsidP="00014622">
      <w:pPr>
        <w:pStyle w:val="ParaNumbering"/>
      </w:pPr>
      <w:r>
        <w:lastRenderedPageBreak/>
        <w:t>Now t</w:t>
      </w:r>
      <w:r w:rsidR="00014622">
        <w:t xml:space="preserve">he </w:t>
      </w:r>
      <w:r w:rsidR="00014622" w:rsidRPr="00E3092F">
        <w:t>commissions payable via the AMP licensees to AMP authorised representatives are central to th</w:t>
      </w:r>
      <w:r w:rsidRPr="00E3092F">
        <w:t>e issues in this proceeding</w:t>
      </w:r>
      <w:r w:rsidR="00FA1C98" w:rsidRPr="00E3092F">
        <w:t>.</w:t>
      </w:r>
    </w:p>
    <w:p w:rsidR="00FA1C98" w:rsidRDefault="00E3092F" w:rsidP="00014622">
      <w:pPr>
        <w:pStyle w:val="ParaNumbering"/>
      </w:pPr>
      <w:r>
        <w:t>The term</w:t>
      </w:r>
      <w:r w:rsidR="00014622">
        <w:t xml:space="preserve"> </w:t>
      </w:r>
      <w:r>
        <w:t>“</w:t>
      </w:r>
      <w:r w:rsidR="00014622">
        <w:t>commissioned products</w:t>
      </w:r>
      <w:r>
        <w:t>” is defined</w:t>
      </w:r>
      <w:r w:rsidR="00014622" w:rsidRPr="006E456A">
        <w:t xml:space="preserve"> as “financial products within the meaning of s</w:t>
      </w:r>
      <w:r w:rsidR="00273F3E">
        <w:t> </w:t>
      </w:r>
      <w:r w:rsidR="00014622" w:rsidRPr="006E456A">
        <w:t xml:space="preserve">763A(1) </w:t>
      </w:r>
      <w:r w:rsidR="00E54B28">
        <w:t>…</w:t>
      </w:r>
      <w:r w:rsidR="00DC23B0">
        <w:t xml:space="preserve"> </w:t>
      </w:r>
      <w:r w:rsidR="00014622" w:rsidRPr="006E456A">
        <w:t xml:space="preserve">in respect of which </w:t>
      </w:r>
      <w:r w:rsidR="00014622">
        <w:t>c</w:t>
      </w:r>
      <w:r w:rsidR="00014622" w:rsidRPr="006E456A">
        <w:t xml:space="preserve">ommissions were payable… including insurance and financial products </w:t>
      </w:r>
      <w:r w:rsidR="00FA1C98">
        <w:t>other than insurance products”.</w:t>
      </w:r>
      <w:r w:rsidR="00014622">
        <w:t xml:space="preserve"> </w:t>
      </w:r>
      <w:r w:rsidR="00FA1C98">
        <w:t xml:space="preserve"> The term </w:t>
      </w:r>
      <w:r w:rsidR="00014622">
        <w:t>“c</w:t>
      </w:r>
      <w:r>
        <w:t>ommissions” is defined</w:t>
      </w:r>
      <w:r w:rsidR="00014622" w:rsidRPr="006E456A">
        <w:t xml:space="preserve"> as those commissions paid to the AMP </w:t>
      </w:r>
      <w:r w:rsidR="00014622">
        <w:t>l</w:t>
      </w:r>
      <w:r w:rsidR="00014622" w:rsidRPr="006E456A">
        <w:t>icensees by financial product issuers pursuant to agreements or arrangements in place between them</w:t>
      </w:r>
      <w:r>
        <w:t xml:space="preserve">, </w:t>
      </w:r>
      <w:r w:rsidRPr="000C77E6">
        <w:t>which</w:t>
      </w:r>
      <w:r w:rsidR="00014622" w:rsidRPr="000C77E6">
        <w:t xml:space="preserve"> includes</w:t>
      </w:r>
      <w:r w:rsidR="00014622" w:rsidRPr="006E456A">
        <w:t xml:space="preserve"> insurance products, superannuation pro</w:t>
      </w:r>
      <w:r w:rsidR="00014622">
        <w:t xml:space="preserve">ducts and investment products. </w:t>
      </w:r>
      <w:r w:rsidR="00014622" w:rsidRPr="006E456A">
        <w:t xml:space="preserve"> It also in</w:t>
      </w:r>
      <w:r w:rsidR="00014622">
        <w:t>cludes the products on the AMP l</w:t>
      </w:r>
      <w:r>
        <w:t>icensees’ approved product l</w:t>
      </w:r>
      <w:r w:rsidR="00014622" w:rsidRPr="006E456A">
        <w:t>ists (APLs)</w:t>
      </w:r>
      <w:r>
        <w:t xml:space="preserve"> that</w:t>
      </w:r>
      <w:r w:rsidR="00014622" w:rsidRPr="006E456A">
        <w:t xml:space="preserve"> were </w:t>
      </w:r>
      <w:r w:rsidR="00014622" w:rsidRPr="00584C00">
        <w:t>continual</w:t>
      </w:r>
      <w:r w:rsidR="00FA1C98" w:rsidRPr="00584C00">
        <w:t>ly updated.</w:t>
      </w:r>
    </w:p>
    <w:p w:rsidR="00014622" w:rsidRDefault="00E3092F" w:rsidP="00014622">
      <w:pPr>
        <w:pStyle w:val="ParaNumbering"/>
      </w:pPr>
      <w:r>
        <w:t>Now a</w:t>
      </w:r>
      <w:r w:rsidR="00FA1C98">
        <w:t>ccording to the respondents, working out the number of commissioned products</w:t>
      </w:r>
      <w:r>
        <w:t xml:space="preserve"> </w:t>
      </w:r>
      <w:r w:rsidR="00657404">
        <w:t>as defined</w:t>
      </w:r>
      <w:r w:rsidR="00014622" w:rsidRPr="006E456A">
        <w:t xml:space="preserve"> requires a detailed reconciliation of data from different systems given the likely number a</w:t>
      </w:r>
      <w:r w:rsidR="00014622">
        <w:t xml:space="preserve">nd types of </w:t>
      </w:r>
      <w:r w:rsidR="00014622" w:rsidRPr="00102598">
        <w:t>products involved.</w:t>
      </w:r>
    </w:p>
    <w:p w:rsidR="00657404" w:rsidRDefault="00E3092F" w:rsidP="00E3092F">
      <w:pPr>
        <w:pStyle w:val="ParaNumbering"/>
      </w:pPr>
      <w:r>
        <w:t xml:space="preserve">As to how </w:t>
      </w:r>
      <w:r w:rsidR="00014622">
        <w:t>c</w:t>
      </w:r>
      <w:r w:rsidR="00014622" w:rsidRPr="0066486E">
        <w:t>ommissions were paid,</w:t>
      </w:r>
      <w:r w:rsidR="00657404">
        <w:t xml:space="preserve"> the material before me reveals that</w:t>
      </w:r>
      <w:r w:rsidR="00014622" w:rsidRPr="0066486E">
        <w:t xml:space="preserve"> </w:t>
      </w:r>
      <w:r>
        <w:t>they</w:t>
      </w:r>
      <w:r w:rsidR="00014622" w:rsidRPr="0066486E">
        <w:t xml:space="preserve"> were not paid directly from a product issuer to an</w:t>
      </w:r>
      <w:r>
        <w:t xml:space="preserve"> AMP authorised represent</w:t>
      </w:r>
      <w:r w:rsidR="00657404">
        <w:t>ative</w:t>
      </w:r>
      <w:r w:rsidR="00014622" w:rsidRPr="0066486E">
        <w:t xml:space="preserve">. </w:t>
      </w:r>
      <w:r w:rsidR="00014622">
        <w:t xml:space="preserve"> Rather, AMP l</w:t>
      </w:r>
      <w:r w:rsidR="00014622" w:rsidRPr="0066486E">
        <w:t>icensees would receive all fees and commissions referable to a client of an AMP</w:t>
      </w:r>
      <w:r>
        <w:t xml:space="preserve"> authorised representative.  F</w:t>
      </w:r>
      <w:r w:rsidR="00014622" w:rsidRPr="0066486E">
        <w:t xml:space="preserve">rom those fees and commissions, the AMP </w:t>
      </w:r>
      <w:r w:rsidR="00014622">
        <w:t>l</w:t>
      </w:r>
      <w:r w:rsidR="00014622" w:rsidRPr="0066486E">
        <w:t xml:space="preserve">icensee would deduct relevant license fees or other charges, as agreed with the AMP authorised representative, and then pay the remaining amount to the AMP authorised representative. </w:t>
      </w:r>
      <w:r w:rsidR="00014622">
        <w:t xml:space="preserve"> </w:t>
      </w:r>
      <w:r w:rsidR="00014622" w:rsidRPr="0066486E">
        <w:t>Remuneration of an ind</w:t>
      </w:r>
      <w:r w:rsidR="00014622">
        <w:t xml:space="preserve">ividual adviser within </w:t>
      </w:r>
      <w:r>
        <w:t>the business or practice of an authorised representative</w:t>
      </w:r>
      <w:r w:rsidR="00014622" w:rsidRPr="0066486E">
        <w:t>, including remunerati</w:t>
      </w:r>
      <w:r>
        <w:t>on by way of commission</w:t>
      </w:r>
      <w:r w:rsidR="00657404">
        <w:t xml:space="preserve">, was then </w:t>
      </w:r>
      <w:r w:rsidR="00014622" w:rsidRPr="0066486E">
        <w:t xml:space="preserve">determined </w:t>
      </w:r>
      <w:r>
        <w:t>between the</w:t>
      </w:r>
      <w:r w:rsidR="00014622">
        <w:t xml:space="preserve"> adviser and their</w:t>
      </w:r>
      <w:r>
        <w:t xml:space="preserve"> business or</w:t>
      </w:r>
      <w:r w:rsidR="00014622">
        <w:t xml:space="preserve"> p</w:t>
      </w:r>
      <w:r w:rsidR="00657404">
        <w:t>ractice, rather than by the relevant AMP licensee.</w:t>
      </w:r>
    </w:p>
    <w:p w:rsidR="00014622" w:rsidRDefault="00657404" w:rsidP="00E3092F">
      <w:pPr>
        <w:pStyle w:val="ParaNumbering"/>
      </w:pPr>
      <w:r>
        <w:t>So</w:t>
      </w:r>
      <w:r w:rsidR="00014622">
        <w:t>, to work out what c</w:t>
      </w:r>
      <w:r w:rsidR="00014622" w:rsidRPr="0066486E">
        <w:t>ommission, if any, an individual AMP aut</w:t>
      </w:r>
      <w:r w:rsidR="00E3092F">
        <w:t>horised representative was paid</w:t>
      </w:r>
      <w:r w:rsidR="00014622" w:rsidRPr="0066486E">
        <w:t xml:space="preserve"> in relation to any particular group member in respect of any personal adv</w:t>
      </w:r>
      <w:r>
        <w:t>ice</w:t>
      </w:r>
      <w:r w:rsidR="00E3092F">
        <w:t xml:space="preserve"> entails a consideration of </w:t>
      </w:r>
      <w:r w:rsidR="00014622" w:rsidRPr="007F70CE">
        <w:t>whether the AMP authorised representative was entitled to receive commissions as a result o</w:t>
      </w:r>
      <w:r w:rsidR="00E3092F">
        <w:t xml:space="preserve">f providing any personal advice, </w:t>
      </w:r>
      <w:r w:rsidR="00014622">
        <w:t>whether the practice received a “net” payment of fees less the licence fees and any miscellaneous payables, and</w:t>
      </w:r>
      <w:r w:rsidR="00E3092F">
        <w:t xml:space="preserve"> </w:t>
      </w:r>
      <w:r w:rsidR="00014622">
        <w:t xml:space="preserve">whether it is possible to calculate any commission referable to the </w:t>
      </w:r>
      <w:r>
        <w:t xml:space="preserve">actual </w:t>
      </w:r>
      <w:r w:rsidR="00014622">
        <w:t>advice provided by the AMP authorised representative to th</w:t>
      </w:r>
      <w:r>
        <w:t>at group member.</w:t>
      </w:r>
    </w:p>
    <w:p w:rsidR="00657404" w:rsidRDefault="00657404" w:rsidP="00E3092F">
      <w:pPr>
        <w:pStyle w:val="ParaNumbering"/>
      </w:pPr>
      <w:r>
        <w:t xml:space="preserve">Let me now address the principal </w:t>
      </w:r>
      <w:r w:rsidRPr="00584C00">
        <w:t>claims.  For present purposes I will refer to the consolidated pleading as sought to be further amended.</w:t>
      </w:r>
    </w:p>
    <w:p w:rsidR="00014622" w:rsidRDefault="00FA1C98" w:rsidP="00014622">
      <w:pPr>
        <w:pStyle w:val="ParaNumbering"/>
      </w:pPr>
      <w:r>
        <w:lastRenderedPageBreak/>
        <w:t>I</w:t>
      </w:r>
      <w:r w:rsidR="00014622">
        <w:t xml:space="preserve">t is alleged that the AMP licensees contravened </w:t>
      </w:r>
      <w:proofErr w:type="spellStart"/>
      <w:r w:rsidR="00014622">
        <w:t>ss</w:t>
      </w:r>
      <w:proofErr w:type="spellEnd"/>
      <w:r w:rsidR="00014622">
        <w:t xml:space="preserve"> 961B, 961J and 961L of the Corporations Act.</w:t>
      </w:r>
    </w:p>
    <w:p w:rsidR="00F80696" w:rsidRDefault="00014622" w:rsidP="00014622">
      <w:pPr>
        <w:pStyle w:val="ParaNumbering"/>
      </w:pPr>
      <w:r>
        <w:t xml:space="preserve">The </w:t>
      </w:r>
      <w:r w:rsidR="00F80696">
        <w:t>allegations</w:t>
      </w:r>
      <w:r>
        <w:t xml:space="preserve"> commence with the personal advice given to each of the applicants and group members, and decisions which they individually took upon receipt of that advice.  </w:t>
      </w:r>
      <w:r w:rsidR="00F80696">
        <w:t>The respondents say that</w:t>
      </w:r>
      <w:r>
        <w:t xml:space="preserve"> the advice each applicant or group member received will necessarily have had regard to the individual circumstances and</w:t>
      </w:r>
      <w:r w:rsidR="00F80696">
        <w:t xml:space="preserve"> needs of the relevant client.</w:t>
      </w:r>
    </w:p>
    <w:p w:rsidR="00014622" w:rsidRDefault="00657404" w:rsidP="00014622">
      <w:pPr>
        <w:pStyle w:val="ParaNumbering"/>
      </w:pPr>
      <w:r>
        <w:t>Then it is said</w:t>
      </w:r>
      <w:r w:rsidR="00014622">
        <w:t xml:space="preserve"> that the premiums paid for the financial products acquired or held by them were higher than premiums on substantially equivalent or better products which could have been obtained by them.  </w:t>
      </w:r>
      <w:r w:rsidR="006E3A98">
        <w:t>But t</w:t>
      </w:r>
      <w:r w:rsidR="00F80696">
        <w:t>he respondents say that</w:t>
      </w:r>
      <w:r w:rsidR="00014622">
        <w:t xml:space="preserve"> whether </w:t>
      </w:r>
      <w:r w:rsidR="00E3092F">
        <w:t xml:space="preserve">such excess premiums were paid is </w:t>
      </w:r>
      <w:r w:rsidR="00F80696">
        <w:t>an</w:t>
      </w:r>
      <w:r w:rsidR="00014622">
        <w:t xml:space="preserve"> individual inquiry.</w:t>
      </w:r>
    </w:p>
    <w:p w:rsidR="00014622" w:rsidRDefault="00F80696" w:rsidP="00014622">
      <w:pPr>
        <w:pStyle w:val="ParaNumbering"/>
      </w:pPr>
      <w:r>
        <w:t xml:space="preserve">It is </w:t>
      </w:r>
      <w:r w:rsidR="00F315F5">
        <w:t xml:space="preserve">then </w:t>
      </w:r>
      <w:r>
        <w:t>alleged that</w:t>
      </w:r>
      <w:r w:rsidR="00014622">
        <w:t xml:space="preserve"> the prospect of the receipt of commissions or incentives could reasonably be expected to influence the personal advice given to each of the applicants and group members by the AMP authorised representatives.  </w:t>
      </w:r>
      <w:r>
        <w:t>But the respondents say that</w:t>
      </w:r>
      <w:r w:rsidR="00014622">
        <w:t xml:space="preserve"> this is not a proposition which </w:t>
      </w:r>
      <w:r>
        <w:t>is capable of a blanket answer</w:t>
      </w:r>
      <w:r w:rsidR="006E3A98">
        <w:t xml:space="preserve"> and</w:t>
      </w:r>
      <w:r w:rsidR="00014622">
        <w:t xml:space="preserve"> will depend on matters including whether the particular AMP authorised representative who gave the advice stood to receive a commission as a result of recommending the acquisition or holding of a given product and whether there were in fact other equally suitable products available for the client in question.</w:t>
      </w:r>
    </w:p>
    <w:p w:rsidR="00F80696" w:rsidRDefault="00014622" w:rsidP="00014622">
      <w:pPr>
        <w:pStyle w:val="ParaNumbering"/>
      </w:pPr>
      <w:r>
        <w:t xml:space="preserve">These allegations </w:t>
      </w:r>
      <w:r w:rsidR="00F80696">
        <w:t xml:space="preserve">then </w:t>
      </w:r>
      <w:r>
        <w:t xml:space="preserve">underpin the </w:t>
      </w:r>
      <w:r w:rsidR="00F80696">
        <w:t xml:space="preserve">allegation </w:t>
      </w:r>
      <w:r>
        <w:t>that there was a conflict between the interests of each of the applicants and group members and the i</w:t>
      </w:r>
      <w:r w:rsidR="006E3A98">
        <w:t xml:space="preserve">nterests of those advising them.  This is the foundation for </w:t>
      </w:r>
      <w:r>
        <w:t xml:space="preserve">the </w:t>
      </w:r>
      <w:r w:rsidR="00F80696">
        <w:t>alleged</w:t>
      </w:r>
      <w:r>
        <w:t xml:space="preserve"> breache</w:t>
      </w:r>
      <w:r w:rsidR="006E3A98">
        <w:t>s of the best interests duty (</w:t>
      </w:r>
      <w:r>
        <w:t>s 961B</w:t>
      </w:r>
      <w:r w:rsidR="006E3A98">
        <w:t>)</w:t>
      </w:r>
      <w:r w:rsidR="00F80696">
        <w:t>.</w:t>
      </w:r>
    </w:p>
    <w:p w:rsidR="00014622" w:rsidRDefault="006E3A98" w:rsidP="00014622">
      <w:pPr>
        <w:pStyle w:val="ParaNumbering"/>
      </w:pPr>
      <w:r>
        <w:t>Now t</w:t>
      </w:r>
      <w:r w:rsidR="00F80696">
        <w:t xml:space="preserve">he respondents say that </w:t>
      </w:r>
      <w:r>
        <w:t xml:space="preserve">the allegations </w:t>
      </w:r>
      <w:r w:rsidR="002F6C58">
        <w:t xml:space="preserve">as to </w:t>
      </w:r>
      <w:r w:rsidR="00014622">
        <w:t>the reasons why the AMP authorised representatives are said to have failed to act in the best interests of the applicant</w:t>
      </w:r>
      <w:r w:rsidR="007D6CFF">
        <w:t>s</w:t>
      </w:r>
      <w:r w:rsidR="00014622">
        <w:t xml:space="preserve"> or group member</w:t>
      </w:r>
      <w:r w:rsidR="007D6CFF">
        <w:t>s</w:t>
      </w:r>
      <w:r w:rsidR="00014622">
        <w:t xml:space="preserve"> necessitate an inquiry into the circumstances of each applicant and group member, and </w:t>
      </w:r>
      <w:r>
        <w:t>the specific</w:t>
      </w:r>
      <w:r w:rsidR="00014622">
        <w:t xml:space="preserve"> per</w:t>
      </w:r>
      <w:r w:rsidR="00F80696">
        <w:t>sonal advice provided to them.</w:t>
      </w:r>
    </w:p>
    <w:p w:rsidR="00014622" w:rsidRDefault="006E3A98" w:rsidP="00014622">
      <w:pPr>
        <w:pStyle w:val="ParaNumbering"/>
      </w:pPr>
      <w:r>
        <w:t>Further, in terms of the</w:t>
      </w:r>
      <w:r w:rsidR="00014622">
        <w:t xml:space="preserve"> separate breach of s 961B alleged in respect of the OSF sub-group members to the effect that the AMP authorised representatives failed to provide ongoing advice in circumstances where they were contractually obliged to provide tha</w:t>
      </w:r>
      <w:r>
        <w:t>t advice, with the AMP licensees continuing to charge fees for that advice, t</w:t>
      </w:r>
      <w:r w:rsidR="00F80696">
        <w:t>he respondents say that</w:t>
      </w:r>
      <w:r w:rsidR="00014622">
        <w:t xml:space="preserve"> these</w:t>
      </w:r>
      <w:r>
        <w:t xml:space="preserve"> allegations</w:t>
      </w:r>
      <w:r w:rsidR="00014622">
        <w:t xml:space="preserve"> </w:t>
      </w:r>
      <w:r>
        <w:t>raise</w:t>
      </w:r>
      <w:r w:rsidR="00014622">
        <w:t xml:space="preserve"> individual questions.</w:t>
      </w:r>
    </w:p>
    <w:p w:rsidR="00F80696" w:rsidRDefault="00F80696" w:rsidP="00014622">
      <w:pPr>
        <w:pStyle w:val="ParaNumbering"/>
      </w:pPr>
      <w:r>
        <w:t xml:space="preserve">Further, </w:t>
      </w:r>
      <w:r w:rsidR="006E3A98">
        <w:t xml:space="preserve">it is said that </w:t>
      </w:r>
      <w:r>
        <w:t>t</w:t>
      </w:r>
      <w:r w:rsidR="00014622">
        <w:t xml:space="preserve">he same factual </w:t>
      </w:r>
      <w:r>
        <w:t>allegations</w:t>
      </w:r>
      <w:r w:rsidR="00014622">
        <w:t xml:space="preserve"> underpin the asserted contraventions of s 961J </w:t>
      </w:r>
      <w:r>
        <w:t>concerning conflict of interests</w:t>
      </w:r>
      <w:r w:rsidR="00014622">
        <w:t xml:space="preserve">.  </w:t>
      </w:r>
      <w:r>
        <w:t>Section 961J</w:t>
      </w:r>
      <w:r w:rsidR="00014622">
        <w:t xml:space="preserve"> is alleged to have been breached by the </w:t>
      </w:r>
      <w:r w:rsidR="00014622">
        <w:lastRenderedPageBreak/>
        <w:t>AMP authorised representatives of the AMP licensees failing to give priority to the interests of th</w:t>
      </w:r>
      <w:r w:rsidR="006E3A98">
        <w:t>e applicants and group members</w:t>
      </w:r>
      <w:r w:rsidR="00014622">
        <w:t xml:space="preserve">, where the AMP authorised representatives gave personal advice and failed to disclose that the personal advice could reasonably be expected </w:t>
      </w:r>
      <w:r>
        <w:t>to have been influenced by the commissions.</w:t>
      </w:r>
    </w:p>
    <w:p w:rsidR="00014622" w:rsidRDefault="00F80696" w:rsidP="00014622">
      <w:pPr>
        <w:pStyle w:val="ParaNumbering"/>
      </w:pPr>
      <w:r>
        <w:t>According to the respondents</w:t>
      </w:r>
      <w:r w:rsidR="00014622">
        <w:t xml:space="preserve">, the pleaded reasons why the individual AMP authorised representatives allegedly failed to give priority to the interests of their respective clients illustrate the </w:t>
      </w:r>
      <w:r w:rsidR="007D6CFF">
        <w:t>difficulty</w:t>
      </w:r>
      <w:r w:rsidR="00014622">
        <w:t xml:space="preserve"> of making findings which could determine liability without examination of the individual claims.</w:t>
      </w:r>
    </w:p>
    <w:p w:rsidR="00014622" w:rsidRDefault="00F80696" w:rsidP="00014622">
      <w:pPr>
        <w:pStyle w:val="ParaNumbering"/>
      </w:pPr>
      <w:r>
        <w:t>Further</w:t>
      </w:r>
      <w:r w:rsidR="00014622">
        <w:t>, there is a further separate breach of s 961J alleged in respect of the OSF sub-group members to the effect that there was a failure to give priority to the interests of those group members in circumstances where there was a conflict between the interests of those group members and the interests of the AMP authorised representatives who advised them</w:t>
      </w:r>
      <w:r w:rsidR="006E3A98">
        <w:t>.</w:t>
      </w:r>
    </w:p>
    <w:p w:rsidR="006E3A98" w:rsidRDefault="00014622" w:rsidP="00014622">
      <w:pPr>
        <w:pStyle w:val="ParaNumbering"/>
      </w:pPr>
      <w:r>
        <w:t xml:space="preserve">As for the contraventions of s 961L, the provision is alleged to have been breached by the AMP licensees failing to take reasonable steps to ensure that the AMP authorised representatives complied with </w:t>
      </w:r>
      <w:proofErr w:type="spellStart"/>
      <w:r>
        <w:t>ss</w:t>
      </w:r>
      <w:proofErr w:type="spellEnd"/>
      <w:r>
        <w:t xml:space="preserve"> 961B and 961L</w:t>
      </w:r>
      <w:r w:rsidR="006E3A98">
        <w:t>.</w:t>
      </w:r>
    </w:p>
    <w:p w:rsidR="00014622" w:rsidRDefault="00F80696" w:rsidP="00014622">
      <w:pPr>
        <w:pStyle w:val="ParaNumbering"/>
      </w:pPr>
      <w:r>
        <w:t>I will return to the significance of these claims l</w:t>
      </w:r>
      <w:r w:rsidR="00EF0E18">
        <w:t>ater in the context of the s 33N</w:t>
      </w:r>
      <w:r>
        <w:t>(1)(c) question.</w:t>
      </w:r>
    </w:p>
    <w:p w:rsidR="00014622" w:rsidRDefault="00014622" w:rsidP="00014622">
      <w:pPr>
        <w:pStyle w:val="ParaNumbering"/>
      </w:pPr>
      <w:r>
        <w:t xml:space="preserve">The applicants seek compensation under </w:t>
      </w:r>
      <w:r w:rsidR="002F6C58">
        <w:t>s</w:t>
      </w:r>
      <w:r>
        <w:t xml:space="preserve"> 1317HA(1) from the AMP licensees in relation to these claims.</w:t>
      </w:r>
    </w:p>
    <w:p w:rsidR="006E3A98" w:rsidRDefault="00F80696" w:rsidP="00014622">
      <w:pPr>
        <w:pStyle w:val="ParaNumbering"/>
      </w:pPr>
      <w:r>
        <w:t xml:space="preserve">Let me </w:t>
      </w:r>
      <w:r w:rsidR="006E3A98">
        <w:t>say something about</w:t>
      </w:r>
      <w:r>
        <w:t xml:space="preserve"> the breach of fiduciar</w:t>
      </w:r>
      <w:r w:rsidRPr="006E3A98">
        <w:t>y</w:t>
      </w:r>
      <w:r w:rsidR="007E16F9" w:rsidRPr="006E3A98">
        <w:t xml:space="preserve"> duty</w:t>
      </w:r>
      <w:r w:rsidR="0000288A">
        <w:t xml:space="preserve"> </w:t>
      </w:r>
      <w:r w:rsidR="006E3A98">
        <w:t>claims.</w:t>
      </w:r>
    </w:p>
    <w:p w:rsidR="00014622" w:rsidRDefault="00F80696" w:rsidP="00014622">
      <w:pPr>
        <w:pStyle w:val="ParaNumbering"/>
      </w:pPr>
      <w:r>
        <w:t>It is alleged</w:t>
      </w:r>
      <w:r w:rsidR="00014622">
        <w:t xml:space="preserve"> that a fiduciary duty was owe</w:t>
      </w:r>
      <w:r>
        <w:t xml:space="preserve">d by each of the AMP licensees </w:t>
      </w:r>
      <w:r w:rsidR="00014622">
        <w:t xml:space="preserve">and/or each of the AMP authorised </w:t>
      </w:r>
      <w:r>
        <w:t>representatives</w:t>
      </w:r>
      <w:r w:rsidR="00014622">
        <w:t xml:space="preserve"> to each of the applicants and group members</w:t>
      </w:r>
      <w:r w:rsidR="006E3A98">
        <w:t>.</w:t>
      </w:r>
    </w:p>
    <w:p w:rsidR="00014622" w:rsidRDefault="006E3A98" w:rsidP="00014622">
      <w:pPr>
        <w:pStyle w:val="ParaNumbering"/>
      </w:pPr>
      <w:r>
        <w:t xml:space="preserve">But the respondents say </w:t>
      </w:r>
      <w:r w:rsidR="00F80696">
        <w:t>that</w:t>
      </w:r>
      <w:r w:rsidR="00014622">
        <w:t xml:space="preserve"> the question </w:t>
      </w:r>
      <w:r>
        <w:t xml:space="preserve">of </w:t>
      </w:r>
      <w:r w:rsidR="00014622">
        <w:t xml:space="preserve">whether a fiduciary duty exists in any given adviser–client relationship will depend upon the individual circumstances of that relationship.  </w:t>
      </w:r>
      <w:r w:rsidR="00F80696">
        <w:t>I agree.  So much is clear</w:t>
      </w:r>
      <w:r w:rsidR="00A538C6">
        <w:t>,</w:t>
      </w:r>
      <w:r w:rsidR="00F80696">
        <w:t xml:space="preserve"> and indeed not disputed by the applicants.  Q</w:t>
      </w:r>
      <w:r w:rsidR="00014622">
        <w:t xml:space="preserve">uestions going to </w:t>
      </w:r>
      <w:r w:rsidR="00F80696">
        <w:t xml:space="preserve">the </w:t>
      </w:r>
      <w:r w:rsidR="00014622">
        <w:t xml:space="preserve">existence of </w:t>
      </w:r>
      <w:r>
        <w:t xml:space="preserve">a </w:t>
      </w:r>
      <w:r w:rsidR="00014622">
        <w:t>fiduciary duty are individual ones</w:t>
      </w:r>
      <w:r>
        <w:t>.</w:t>
      </w:r>
    </w:p>
    <w:p w:rsidR="00F80696" w:rsidRDefault="00F80696" w:rsidP="00014622">
      <w:pPr>
        <w:pStyle w:val="ParaNumbering"/>
      </w:pPr>
      <w:r>
        <w:t>Now</w:t>
      </w:r>
      <w:r w:rsidR="00014622">
        <w:t xml:space="preserve"> the fiduciary duties allegedly owed by the AMP licensees to the applicants and group members are said to have been breached by the AMP licen</w:t>
      </w:r>
      <w:r>
        <w:t>sees</w:t>
      </w:r>
      <w:r w:rsidR="00014622">
        <w:t xml:space="preserve"> failing to avoid a conflict of inter</w:t>
      </w:r>
      <w:r w:rsidR="006E3A98">
        <w:t xml:space="preserve">ests between the AMP licensees and </w:t>
      </w:r>
      <w:r w:rsidR="00014622">
        <w:t>AMP authorised representatives</w:t>
      </w:r>
      <w:r w:rsidR="006E3A98">
        <w:t>, on the one hand,</w:t>
      </w:r>
      <w:r w:rsidR="00014622">
        <w:t xml:space="preserve"> and group members</w:t>
      </w:r>
      <w:r w:rsidR="006E3A98">
        <w:t>, on the other hand,</w:t>
      </w:r>
      <w:r w:rsidR="00014622">
        <w:t xml:space="preserve"> du</w:t>
      </w:r>
      <w:r>
        <w:t>e to the payment of commissions,</w:t>
      </w:r>
      <w:r w:rsidR="00014622">
        <w:t xml:space="preserve"> and improperly using their position to gain a benefit for themselves and the AMP authorised repres</w:t>
      </w:r>
      <w:r w:rsidR="006E3A98">
        <w:t>entatives.</w:t>
      </w:r>
    </w:p>
    <w:p w:rsidR="00014622" w:rsidRDefault="00014622" w:rsidP="006E3A98">
      <w:pPr>
        <w:pStyle w:val="ParaNumbering"/>
      </w:pPr>
      <w:r>
        <w:lastRenderedPageBreak/>
        <w:t xml:space="preserve">There is a parallel allegation in respect of the Stack sub-group members to the effect that the fiduciary duty allegedly owed was breached by the AMP licensees failing to avoid a conflict of interests between the AMP licensees, </w:t>
      </w:r>
      <w:r w:rsidR="006E3A98">
        <w:t xml:space="preserve">AMP authorised representatives or </w:t>
      </w:r>
      <w:r>
        <w:t>AMP Life</w:t>
      </w:r>
      <w:r w:rsidR="006E3A98">
        <w:t>, on the one hand,</w:t>
      </w:r>
      <w:r>
        <w:t xml:space="preserve"> and Mr Stack and the Stack sub-group members</w:t>
      </w:r>
      <w:r w:rsidR="006E3A98">
        <w:t>, on the other hand,</w:t>
      </w:r>
      <w:r>
        <w:t xml:space="preserve"> having regard to the commissions payable in respect of particular products issued by </w:t>
      </w:r>
      <w:r w:rsidRPr="008271F5">
        <w:t>AMP Life.</w:t>
      </w:r>
      <w:r w:rsidR="006E3A98">
        <w:t xml:space="preserve">  Further, the </w:t>
      </w:r>
      <w:r>
        <w:t xml:space="preserve">fiduciary duties allegedly owed by the AMP authorised representatives are </w:t>
      </w:r>
      <w:r w:rsidR="006E3A98">
        <w:t>said</w:t>
      </w:r>
      <w:r>
        <w:t xml:space="preserve"> to have been breached in the same way.</w:t>
      </w:r>
    </w:p>
    <w:p w:rsidR="00014622" w:rsidRDefault="00014622" w:rsidP="00014622">
      <w:pPr>
        <w:pStyle w:val="ParaNumbering"/>
      </w:pPr>
      <w:r>
        <w:t>The applicants seek compensation from the AMP licensees pursuant to s 917E in relation to these claims.</w:t>
      </w:r>
    </w:p>
    <w:p w:rsidR="006E3A98" w:rsidRDefault="008271F5" w:rsidP="00014622">
      <w:pPr>
        <w:pStyle w:val="ParaNumbering"/>
      </w:pPr>
      <w:r>
        <w:t>Further, t</w:t>
      </w:r>
      <w:r w:rsidR="00014622">
        <w:t>here is a knowing receipt all</w:t>
      </w:r>
      <w:r w:rsidR="006E3A98">
        <w:t xml:space="preserve">egation made </w:t>
      </w:r>
      <w:r w:rsidR="006E3A98" w:rsidRPr="001F16B9">
        <w:t>against AMP Life.</w:t>
      </w:r>
    </w:p>
    <w:p w:rsidR="00014622" w:rsidRDefault="00014622" w:rsidP="00014622">
      <w:pPr>
        <w:pStyle w:val="ParaNumbering"/>
      </w:pPr>
      <w:r>
        <w:t xml:space="preserve">It is </w:t>
      </w:r>
      <w:r w:rsidR="006E3A98">
        <w:t>said</w:t>
      </w:r>
      <w:r>
        <w:t xml:space="preserve"> that at the time AMP Life received the excess premiums, AMP Life knew the material facts giving rise to the existence of the alleged fiduciary duties owed by the AMP licensees and AMP authorised representatives to the applicants, group members and the Stack sub-group members.  Equitable compensation </w:t>
      </w:r>
      <w:r w:rsidR="006E3A98">
        <w:t xml:space="preserve">is sought in respect of this </w:t>
      </w:r>
      <w:r>
        <w:t>claim.</w:t>
      </w:r>
    </w:p>
    <w:p w:rsidR="008271F5" w:rsidRDefault="008271F5" w:rsidP="008271F5">
      <w:pPr>
        <w:pStyle w:val="ParaNumbering"/>
      </w:pPr>
      <w:r>
        <w:t>Let me now say somethin</w:t>
      </w:r>
      <w:r w:rsidR="006E3A98">
        <w:t xml:space="preserve">g concerning the OSF questions.  In this respect the relevant </w:t>
      </w:r>
      <w:r w:rsidR="00014622">
        <w:t xml:space="preserve">allegations are restricted to Ms </w:t>
      </w:r>
      <w:proofErr w:type="spellStart"/>
      <w:r w:rsidR="00014622">
        <w:t>Winterton</w:t>
      </w:r>
      <w:proofErr w:type="spellEnd"/>
      <w:r w:rsidR="00014622">
        <w:t>, Mr</w:t>
      </w:r>
      <w:r w:rsidR="00B10BDC">
        <w:t> </w:t>
      </w:r>
      <w:proofErr w:type="spellStart"/>
      <w:r w:rsidR="00014622">
        <w:t>Brittain</w:t>
      </w:r>
      <w:proofErr w:type="spellEnd"/>
      <w:r w:rsidR="00014622">
        <w:t xml:space="preserve"> </w:t>
      </w:r>
      <w:r>
        <w:t>and the OSF sub-</w:t>
      </w:r>
      <w:r w:rsidRPr="000464F5">
        <w:t>group members.</w:t>
      </w:r>
    </w:p>
    <w:p w:rsidR="008271F5" w:rsidRDefault="00014622" w:rsidP="008271F5">
      <w:pPr>
        <w:pStyle w:val="ParaNumbering"/>
      </w:pPr>
      <w:r>
        <w:t>It is said that the contracts entered into between these group members and their AMP authorised representatives were breached by those representatives failing to provide on</w:t>
      </w:r>
      <w:r w:rsidR="008271F5">
        <w:t>going personal advice to them.</w:t>
      </w:r>
    </w:p>
    <w:p w:rsidR="00014622" w:rsidRDefault="00014622" w:rsidP="006E3A98">
      <w:pPr>
        <w:pStyle w:val="ParaNumbering"/>
      </w:pPr>
      <w:r>
        <w:t xml:space="preserve">In the alternative it is said that to the extent such advice was given, it did not comply with </w:t>
      </w:r>
      <w:proofErr w:type="spellStart"/>
      <w:r>
        <w:t>ss</w:t>
      </w:r>
      <w:proofErr w:type="spellEnd"/>
      <w:r>
        <w:t xml:space="preserve"> 961B and 961J</w:t>
      </w:r>
      <w:r w:rsidR="006E3A98">
        <w:t>,</w:t>
      </w:r>
      <w:r>
        <w:t xml:space="preserve"> essentially </w:t>
      </w:r>
      <w:r w:rsidR="006E3A98">
        <w:t xml:space="preserve">on a similar basis to what I have summarised earlier.  </w:t>
      </w:r>
      <w:r>
        <w:t>It is also alleged that the AMP licensees were responsible for the impugned conduct of the AMP authorised representatives, and accordingly damages under s 917E are sought from them.</w:t>
      </w:r>
    </w:p>
    <w:p w:rsidR="00014622" w:rsidRDefault="006E3A98" w:rsidP="00014622">
      <w:pPr>
        <w:pStyle w:val="ParaNumbering"/>
      </w:pPr>
      <w:r>
        <w:t>Now the respondents say that these</w:t>
      </w:r>
      <w:r w:rsidR="00014622">
        <w:t xml:space="preserve"> allegations assume that there was a single set of contractual term</w:t>
      </w:r>
      <w:r>
        <w:t>s that applied across the group, b</w:t>
      </w:r>
      <w:r w:rsidR="008271F5">
        <w:t xml:space="preserve">ut </w:t>
      </w:r>
      <w:r w:rsidR="00014622">
        <w:t xml:space="preserve">that assumption is not correct.  Whether there was a breach of a given authorised representative of his obligations to his client, in terms of any obligation to provide ongoing advice which complied with the requirements of </w:t>
      </w:r>
      <w:proofErr w:type="spellStart"/>
      <w:r w:rsidR="00014622">
        <w:t>ss</w:t>
      </w:r>
      <w:proofErr w:type="spellEnd"/>
      <w:r w:rsidR="00014622">
        <w:t> 961B and 961J, is an individual one.</w:t>
      </w:r>
    </w:p>
    <w:p w:rsidR="00117084" w:rsidRDefault="008271F5" w:rsidP="006E3A98">
      <w:pPr>
        <w:pStyle w:val="ParaNumbering"/>
      </w:pPr>
      <w:r>
        <w:t>Further</w:t>
      </w:r>
      <w:r w:rsidR="00014622">
        <w:t>, it is alleged that the AMP licensees engaged in unconscionable conduct in respec</w:t>
      </w:r>
      <w:r w:rsidR="006E3A98">
        <w:t xml:space="preserve">t of the OSF sub-group members.  </w:t>
      </w:r>
      <w:r>
        <w:t>First, it is said that t</w:t>
      </w:r>
      <w:r w:rsidR="00014622">
        <w:t xml:space="preserve">he OSF sub-group members were in a </w:t>
      </w:r>
      <w:r w:rsidR="00014622">
        <w:lastRenderedPageBreak/>
        <w:t>position of special disadvantage wi</w:t>
      </w:r>
      <w:r>
        <w:t>th respect to the AMP licensees.</w:t>
      </w:r>
      <w:r w:rsidR="006E3A98">
        <w:t xml:space="preserve">  </w:t>
      </w:r>
      <w:r w:rsidR="00117084">
        <w:t xml:space="preserve">Second, it is said that the </w:t>
      </w:r>
      <w:r w:rsidR="00014622">
        <w:t>commissions could reasonably be expected to</w:t>
      </w:r>
      <w:r w:rsidR="00117084">
        <w:t xml:space="preserve"> have</w:t>
      </w:r>
      <w:r w:rsidR="00014622">
        <w:t xml:space="preserve"> influence</w:t>
      </w:r>
      <w:r w:rsidR="00117084">
        <w:t>d</w:t>
      </w:r>
      <w:r w:rsidR="00014622">
        <w:t xml:space="preserve"> the personal advice given to the OSF sub-group members and whether to give personal advice because that advice would have led to the</w:t>
      </w:r>
      <w:r w:rsidR="00117084">
        <w:t xml:space="preserve"> termination of the commissions.</w:t>
      </w:r>
      <w:r w:rsidR="006E3A98">
        <w:t xml:space="preserve">  </w:t>
      </w:r>
      <w:r w:rsidR="00117084">
        <w:t xml:space="preserve">Third, it is said that </w:t>
      </w:r>
      <w:r w:rsidR="00BD208F" w:rsidRPr="006E3A98">
        <w:t>the</w:t>
      </w:r>
      <w:r w:rsidR="00BD208F">
        <w:t xml:space="preserve"> </w:t>
      </w:r>
      <w:r w:rsidR="00014622">
        <w:t>commissions could reasonably be expected to</w:t>
      </w:r>
      <w:r w:rsidR="00117084">
        <w:t xml:space="preserve"> have</w:t>
      </w:r>
      <w:r w:rsidR="00014622">
        <w:t xml:space="preserve"> influence</w:t>
      </w:r>
      <w:r w:rsidR="00117084">
        <w:t>d</w:t>
      </w:r>
      <w:r w:rsidR="00014622">
        <w:t xml:space="preserve"> the AMP licensees not to properly </w:t>
      </w:r>
      <w:r w:rsidR="006E3A98">
        <w:t>oversee</w:t>
      </w:r>
      <w:r w:rsidR="00014622">
        <w:t xml:space="preserve"> whether the AMP authorised representatives were providing ongoing advice because that advice would have led to the</w:t>
      </w:r>
      <w:r w:rsidR="00117084">
        <w:t xml:space="preserve"> termination of commissions.</w:t>
      </w:r>
    </w:p>
    <w:p w:rsidR="00014622" w:rsidRDefault="006E3A98" w:rsidP="00117084">
      <w:pPr>
        <w:pStyle w:val="ParaNumbering"/>
      </w:pPr>
      <w:r>
        <w:t>Accordingly</w:t>
      </w:r>
      <w:r w:rsidR="00117084">
        <w:t xml:space="preserve">, it is said that </w:t>
      </w:r>
      <w:r w:rsidR="00014622">
        <w:t xml:space="preserve">the AMP licensees </w:t>
      </w:r>
      <w:r>
        <w:t>acted unconscionably</w:t>
      </w:r>
      <w:r w:rsidR="00014622">
        <w:t xml:space="preserve"> in continuing to receive commissions in circumstances where the AMP authorised representatives did not discharge their obligations to provide ongoing personal </w:t>
      </w:r>
      <w:r w:rsidR="00117084">
        <w:t xml:space="preserve">advice to the OSF </w:t>
      </w:r>
      <w:r>
        <w:t>sub-</w:t>
      </w:r>
      <w:r w:rsidR="00117084">
        <w:t xml:space="preserve">group members.  </w:t>
      </w:r>
      <w:r w:rsidR="00014622">
        <w:t xml:space="preserve">Damages are sought under s 12GF(1) of the </w:t>
      </w:r>
      <w:r w:rsidR="00014622" w:rsidRPr="00117084">
        <w:rPr>
          <w:i/>
        </w:rPr>
        <w:t xml:space="preserve">Australian Securities and Investments Commission Act 2001 </w:t>
      </w:r>
      <w:r w:rsidR="007B7090">
        <w:t>(</w:t>
      </w:r>
      <w:proofErr w:type="spellStart"/>
      <w:r w:rsidR="007B7090">
        <w:t>Cth</w:t>
      </w:r>
      <w:proofErr w:type="spellEnd"/>
      <w:r w:rsidR="007B7090">
        <w:t>).</w:t>
      </w:r>
    </w:p>
    <w:p w:rsidR="00014622" w:rsidRDefault="00117084" w:rsidP="00014622">
      <w:pPr>
        <w:pStyle w:val="ParaNumbering"/>
      </w:pPr>
      <w:r>
        <w:t xml:space="preserve">Now generally speaking I agree with the respondents that </w:t>
      </w:r>
      <w:proofErr w:type="spellStart"/>
      <w:r>
        <w:t>u</w:t>
      </w:r>
      <w:r w:rsidR="00014622">
        <w:t>nconscionability</w:t>
      </w:r>
      <w:proofErr w:type="spellEnd"/>
      <w:r>
        <w:t xml:space="preserve"> is</w:t>
      </w:r>
      <w:r w:rsidR="00014622">
        <w:t xml:space="preserve"> a matter which depends upon the individual facts and circumstances pertaining to the relationsh</w:t>
      </w:r>
      <w:r w:rsidR="00BD208F">
        <w:t>ip between adviser and client</w:t>
      </w:r>
      <w:r w:rsidR="004A62D1">
        <w:t>, although aspects of the claims made here may to some extent involve an analysis of systems, procedures and processes that were in place.</w:t>
      </w:r>
    </w:p>
    <w:p w:rsidR="00014622" w:rsidRDefault="00117084" w:rsidP="00014622">
      <w:pPr>
        <w:pStyle w:val="ParaNumbering"/>
      </w:pPr>
      <w:r>
        <w:t>Further</w:t>
      </w:r>
      <w:r w:rsidR="00014622">
        <w:t xml:space="preserve">, it is alleged that the </w:t>
      </w:r>
      <w:r>
        <w:t xml:space="preserve">AMP licensees themselves </w:t>
      </w:r>
      <w:r w:rsidR="00014622">
        <w:t>or through the</w:t>
      </w:r>
      <w:r>
        <w:t xml:space="preserve"> AMP authorised representatives</w:t>
      </w:r>
      <w:r w:rsidR="00014622">
        <w:t xml:space="preserve"> </w:t>
      </w:r>
      <w:r w:rsidR="00885DA8">
        <w:t>engaged in</w:t>
      </w:r>
      <w:r w:rsidR="00014622">
        <w:t xml:space="preserve"> misleading or decepti</w:t>
      </w:r>
      <w:r>
        <w:t xml:space="preserve">ve </w:t>
      </w:r>
      <w:r w:rsidR="00885DA8">
        <w:t>conduct concerning the making of what are described as the</w:t>
      </w:r>
      <w:r>
        <w:t xml:space="preserve"> commissions representations and the premiums representations</w:t>
      </w:r>
      <w:r w:rsidR="00014622">
        <w:t>.</w:t>
      </w:r>
    </w:p>
    <w:p w:rsidR="00014622" w:rsidRDefault="00117084" w:rsidP="00014622">
      <w:pPr>
        <w:pStyle w:val="ParaNumbering"/>
      </w:pPr>
      <w:r>
        <w:t>The commissions r</w:t>
      </w:r>
      <w:r w:rsidR="00014622">
        <w:t>epresentations are</w:t>
      </w:r>
      <w:r>
        <w:t xml:space="preserve"> to the effect</w:t>
      </w:r>
      <w:r w:rsidR="00014622">
        <w:t xml:space="preserve"> that the AMP licensees:</w:t>
      </w:r>
    </w:p>
    <w:p w:rsidR="00014622" w:rsidRDefault="00014622" w:rsidP="00014622">
      <w:pPr>
        <w:pStyle w:val="ListNo1alt"/>
        <w:numPr>
          <w:ilvl w:val="0"/>
          <w:numId w:val="33"/>
        </w:numPr>
      </w:pPr>
      <w:r>
        <w:t xml:space="preserve">had systems and processes to address and manage risks in the advice business generated by the commissions and incentives and </w:t>
      </w:r>
      <w:r w:rsidR="00885DA8">
        <w:t>any associated conflicts;</w:t>
      </w:r>
    </w:p>
    <w:p w:rsidR="00014622" w:rsidRDefault="00014622" w:rsidP="00014622">
      <w:pPr>
        <w:pStyle w:val="ListNo1alt"/>
        <w:numPr>
          <w:ilvl w:val="0"/>
          <w:numId w:val="33"/>
        </w:numPr>
      </w:pPr>
      <w:r>
        <w:t xml:space="preserve">had adequate systems and processes to address and manage </w:t>
      </w:r>
      <w:r w:rsidR="00885DA8">
        <w:t xml:space="preserve">various </w:t>
      </w:r>
      <w:r>
        <w:t>risks</w:t>
      </w:r>
      <w:r w:rsidR="00885DA8">
        <w:t xml:space="preserve"> and conflicts</w:t>
      </w:r>
      <w:r>
        <w:t xml:space="preserve"> in their advice business</w:t>
      </w:r>
      <w:r w:rsidR="00885DA8">
        <w:t>;</w:t>
      </w:r>
    </w:p>
    <w:p w:rsidR="00014622" w:rsidRDefault="00014622" w:rsidP="00014622">
      <w:pPr>
        <w:pStyle w:val="ListNo1alt"/>
        <w:numPr>
          <w:ilvl w:val="0"/>
          <w:numId w:val="33"/>
        </w:numPr>
      </w:pPr>
      <w:r>
        <w:t>had taken reasonable steps to ensure that the AMP authorised representatives complied with their obligations to act in the best interests of the</w:t>
      </w:r>
      <w:r w:rsidR="00885DA8">
        <w:t>ir</w:t>
      </w:r>
      <w:r>
        <w:t xml:space="preserve"> clients in relation to personal advice;</w:t>
      </w:r>
    </w:p>
    <w:p w:rsidR="00014622" w:rsidRDefault="00014622" w:rsidP="00014622">
      <w:pPr>
        <w:pStyle w:val="ListNo1alt"/>
        <w:numPr>
          <w:ilvl w:val="0"/>
          <w:numId w:val="33"/>
        </w:numPr>
      </w:pPr>
      <w:r>
        <w:t xml:space="preserve">had taken reasonable steps to ensure that the AMP authorised representatives had complied with their obligations to prioritise </w:t>
      </w:r>
      <w:r w:rsidR="00885DA8">
        <w:t>their</w:t>
      </w:r>
      <w:r>
        <w:t xml:space="preserve"> clients</w:t>
      </w:r>
      <w:r w:rsidR="00885DA8">
        <w:t>’ interests</w:t>
      </w:r>
      <w:r>
        <w:t xml:space="preserve"> over their own interests when giving advice;</w:t>
      </w:r>
    </w:p>
    <w:p w:rsidR="00014622" w:rsidRDefault="00014622" w:rsidP="00014622">
      <w:pPr>
        <w:pStyle w:val="ListNo1alt"/>
        <w:numPr>
          <w:ilvl w:val="0"/>
          <w:numId w:val="33"/>
        </w:numPr>
      </w:pPr>
      <w:r>
        <w:lastRenderedPageBreak/>
        <w:t>had done all things necessary to ensure that the financial services provided to the applicants and group members were provided efficiently, honestly and fairly;</w:t>
      </w:r>
    </w:p>
    <w:p w:rsidR="00014622" w:rsidRDefault="00014622" w:rsidP="00014622">
      <w:pPr>
        <w:pStyle w:val="ListNo1alt"/>
        <w:numPr>
          <w:ilvl w:val="0"/>
          <w:numId w:val="33"/>
        </w:numPr>
      </w:pPr>
      <w:r>
        <w:t xml:space="preserve">had </w:t>
      </w:r>
      <w:r w:rsidR="00885DA8">
        <w:t>adequate systems and processes</w:t>
      </w:r>
      <w:r>
        <w:t xml:space="preserve"> to ensure that ongoing services were provided; and</w:t>
      </w:r>
    </w:p>
    <w:p w:rsidR="00014622" w:rsidRDefault="00014622" w:rsidP="00014622">
      <w:pPr>
        <w:pStyle w:val="ListNo1alt"/>
        <w:numPr>
          <w:ilvl w:val="0"/>
          <w:numId w:val="33"/>
        </w:numPr>
      </w:pPr>
      <w:r>
        <w:t xml:space="preserve">by themselves or through the AMP authorised representatives would inform the applicants and </w:t>
      </w:r>
      <w:r w:rsidR="00885DA8">
        <w:t xml:space="preserve">relevant </w:t>
      </w:r>
      <w:r>
        <w:t>group members of circumstances that would make it inappropriate for the AMP authorised representatives to continue to charge and receive OSFs and commissions.</w:t>
      </w:r>
    </w:p>
    <w:p w:rsidR="00014622" w:rsidRDefault="00117084" w:rsidP="00014622">
      <w:pPr>
        <w:pStyle w:val="ParaNumbering"/>
      </w:pPr>
      <w:r>
        <w:t xml:space="preserve">The premiums representations, which are </w:t>
      </w:r>
      <w:r w:rsidR="00014622">
        <w:t>alleged to have been made</w:t>
      </w:r>
      <w:r>
        <w:t xml:space="preserve"> to the Stack sub-group members,</w:t>
      </w:r>
      <w:r w:rsidR="00014622">
        <w:t xml:space="preserve"> are to the effect that there were n</w:t>
      </w:r>
      <w:r>
        <w:t xml:space="preserve">o </w:t>
      </w:r>
      <w:r w:rsidR="00014622">
        <w:t>sub</w:t>
      </w:r>
      <w:r>
        <w:t>stantially equivalent or better</w:t>
      </w:r>
      <w:r w:rsidR="00014622">
        <w:t xml:space="preserve"> policies of insurance available from third-party insurers for a lower pr</w:t>
      </w:r>
      <w:r w:rsidR="00885DA8">
        <w:t>emium than the recommended AMP life p</w:t>
      </w:r>
      <w:r w:rsidR="00014622">
        <w:t>roducts.</w:t>
      </w:r>
    </w:p>
    <w:p w:rsidR="00117084" w:rsidRDefault="00117084" w:rsidP="00014622">
      <w:pPr>
        <w:pStyle w:val="ParaNumbering"/>
      </w:pPr>
      <w:r>
        <w:t xml:space="preserve">Now the respondents say that </w:t>
      </w:r>
      <w:r w:rsidR="00885DA8">
        <w:t>either class of</w:t>
      </w:r>
      <w:r w:rsidR="00014622">
        <w:t xml:space="preserve"> representations raises individual factual issues in terms of the representations made to and relied on by ea</w:t>
      </w:r>
      <w:r>
        <w:t>ch applicant and group member.</w:t>
      </w:r>
    </w:p>
    <w:p w:rsidR="00885DA8" w:rsidRDefault="00885DA8" w:rsidP="00014622">
      <w:pPr>
        <w:pStyle w:val="ParaNumbering"/>
      </w:pPr>
      <w:r>
        <w:t>Of course I would interpolate here that the fact that a claim may be based on representations which are said to have been made to various group members at different times and in different form</w:t>
      </w:r>
      <w:r w:rsidR="008A5323">
        <w:t>s</w:t>
      </w:r>
      <w:r>
        <w:t xml:space="preserve"> may not be as powerful a point as the respondents would have it if the relevant representation said to have been made on each occasion is to the same substance or effect.</w:t>
      </w:r>
    </w:p>
    <w:p w:rsidR="00014622" w:rsidRDefault="00117084" w:rsidP="00014622">
      <w:pPr>
        <w:pStyle w:val="ParaNumbering"/>
      </w:pPr>
      <w:r>
        <w:t xml:space="preserve">It is also said that </w:t>
      </w:r>
      <w:r w:rsidR="00BD208F">
        <w:t>t</w:t>
      </w:r>
      <w:r>
        <w:t>he premium r</w:t>
      </w:r>
      <w:r w:rsidR="00014622">
        <w:t>epresentation</w:t>
      </w:r>
      <w:r>
        <w:t>s are problematic.  N</w:t>
      </w:r>
      <w:r w:rsidR="00014622">
        <w:t>o particulars of the repr</w:t>
      </w:r>
      <w:r>
        <w:t>esentations are actually given.  Further</w:t>
      </w:r>
      <w:r w:rsidR="009168D4">
        <w:t>,</w:t>
      </w:r>
      <w:r>
        <w:t xml:space="preserve"> it is said that</w:t>
      </w:r>
      <w:r w:rsidR="00014622">
        <w:t xml:space="preserve"> the question whether there was in fact some substantially equivalent or better product available would depend on the individual circumstances of the applicant or group </w:t>
      </w:r>
      <w:r w:rsidR="00014622" w:rsidRPr="00236769">
        <w:t>member in question.</w:t>
      </w:r>
    </w:p>
    <w:p w:rsidR="00117084" w:rsidRDefault="00014622" w:rsidP="00014622">
      <w:pPr>
        <w:pStyle w:val="ParaNumbering"/>
      </w:pPr>
      <w:r>
        <w:t>Finally,</w:t>
      </w:r>
      <w:r w:rsidR="00EC13F1">
        <w:t xml:space="preserve"> at this point, I should say something briefly about the</w:t>
      </w:r>
      <w:r>
        <w:t xml:space="preserve"> </w:t>
      </w:r>
      <w:r w:rsidR="00EC13F1">
        <w:t>anti-avoidance claims.</w:t>
      </w:r>
    </w:p>
    <w:p w:rsidR="00117084" w:rsidRDefault="00117084" w:rsidP="00014622">
      <w:pPr>
        <w:pStyle w:val="ParaNumbering"/>
      </w:pPr>
      <w:r>
        <w:t>It is alleged</w:t>
      </w:r>
      <w:r w:rsidR="00014622">
        <w:t xml:space="preserve"> that in or around May or June 2013, the AMP licensees and AMP Limited entered into</w:t>
      </w:r>
      <w:r w:rsidR="00EC13F1">
        <w:t xml:space="preserve"> and</w:t>
      </w:r>
      <w:r w:rsidR="00014622">
        <w:t xml:space="preserve"> carri</w:t>
      </w:r>
      <w:r w:rsidR="00EC13F1">
        <w:t>ed out a restructuring, one of the purpose</w:t>
      </w:r>
      <w:r w:rsidR="00BD746B">
        <w:t>s</w:t>
      </w:r>
      <w:r w:rsidR="00EC13F1">
        <w:t xml:space="preserve"> for which was so that </w:t>
      </w:r>
      <w:r w:rsidR="00014622">
        <w:t>grandfathered commissions would continue to be paid</w:t>
      </w:r>
      <w:r>
        <w:t xml:space="preserve"> after 1 </w:t>
      </w:r>
      <w:r w:rsidRPr="00A53D77">
        <w:t>July 2013</w:t>
      </w:r>
      <w:r w:rsidR="00EC13F1" w:rsidRPr="00A53D77">
        <w:t>.</w:t>
      </w:r>
    </w:p>
    <w:p w:rsidR="00117084" w:rsidRDefault="00014622" w:rsidP="00014622">
      <w:pPr>
        <w:pStyle w:val="ParaNumbering"/>
      </w:pPr>
      <w:r>
        <w:t>It is alleged</w:t>
      </w:r>
      <w:r w:rsidR="00EC13F1">
        <w:t xml:space="preserve"> that this restructuring</w:t>
      </w:r>
      <w:r>
        <w:t xml:space="preserve"> was effected by the AMP licensees and AMP Limited </w:t>
      </w:r>
      <w:r w:rsidR="00EC13F1">
        <w:t>“</w:t>
      </w:r>
      <w:r>
        <w:t>establishing Register Co which held the AMP licensees and AMP authorised representatives register (or book) or clients in a central pool so that they could be transitioned between AMP AFSL holders in order to maintain F</w:t>
      </w:r>
      <w:r w:rsidR="00117084">
        <w:t>inancial Product Commissions”.</w:t>
      </w:r>
    </w:p>
    <w:p w:rsidR="00014622" w:rsidRDefault="00014622" w:rsidP="00014622">
      <w:pPr>
        <w:pStyle w:val="ParaNumbering"/>
      </w:pPr>
      <w:r>
        <w:lastRenderedPageBreak/>
        <w:t>It</w:t>
      </w:r>
      <w:r w:rsidR="00EC13F1">
        <w:t xml:space="preserve"> is alleged that the restructuring</w:t>
      </w:r>
      <w:r>
        <w:t xml:space="preserve"> </w:t>
      </w:r>
      <w:r w:rsidR="00EC13F1">
        <w:t>with the relevant purpose involved</w:t>
      </w:r>
      <w:r>
        <w:t xml:space="preserve"> a scheme for avoiding the application of the ban on confl</w:t>
      </w:r>
      <w:r w:rsidR="00EC13F1">
        <w:t xml:space="preserve">icted remuneration in Part 7.7A, and </w:t>
      </w:r>
      <w:r w:rsidR="00117084">
        <w:t>therefore</w:t>
      </w:r>
      <w:r w:rsidR="00EC13F1">
        <w:t xml:space="preserve"> was</w:t>
      </w:r>
      <w:r w:rsidR="00117084">
        <w:t xml:space="preserve"> in breach of s 965.</w:t>
      </w:r>
    </w:p>
    <w:p w:rsidR="005E0D5D" w:rsidRDefault="00810D60" w:rsidP="005E0D5D">
      <w:pPr>
        <w:pStyle w:val="Heading2"/>
      </w:pPr>
      <w:r>
        <w:t>Has s 33N(1)(c) been made out?</w:t>
      </w:r>
    </w:p>
    <w:p w:rsidR="005E0D5D" w:rsidRDefault="005E0D5D" w:rsidP="00810D60">
      <w:pPr>
        <w:pStyle w:val="ParaNumbering"/>
      </w:pPr>
      <w:r>
        <w:t>The respondents say that the causes of action</w:t>
      </w:r>
      <w:r w:rsidR="00EC13F1">
        <w:t xml:space="preserve"> that I have briefly </w:t>
      </w:r>
      <w:r w:rsidR="00C00DC8">
        <w:t>outlined</w:t>
      </w:r>
      <w:r w:rsidR="008A5323">
        <w:t xml:space="preserve"> require</w:t>
      </w:r>
      <w:r>
        <w:t xml:space="preserve"> an investigation into the individual circumstances o</w:t>
      </w:r>
      <w:r w:rsidR="00C00DC8">
        <w:t xml:space="preserve">f </w:t>
      </w:r>
      <w:r w:rsidR="00C00DC8" w:rsidRPr="001C2921">
        <w:t>each group</w:t>
      </w:r>
      <w:r w:rsidR="00C00DC8">
        <w:t xml:space="preserve"> </w:t>
      </w:r>
      <w:r w:rsidR="00C00DC8" w:rsidRPr="007F49D4">
        <w:t>member.</w:t>
      </w:r>
      <w:r w:rsidR="00810D60">
        <w:t xml:space="preserve">  </w:t>
      </w:r>
      <w:r w:rsidR="007F49D4">
        <w:t>Further</w:t>
      </w:r>
      <w:r w:rsidR="00C00DC8">
        <w:t>, t</w:t>
      </w:r>
      <w:r>
        <w:t>hey say that an initial trial of the applicants’ claims will not be determinative of the subst</w:t>
      </w:r>
      <w:r w:rsidR="00810D60">
        <w:t xml:space="preserve">ance of group members’ claims.  </w:t>
      </w:r>
      <w:r>
        <w:t xml:space="preserve">Accordingly, they say that the representative proceeding will not provide an efficient and effective means of dealing with the claims of group members, and therefore it is in the interests of justice to declass the proceedings </w:t>
      </w:r>
      <w:r w:rsidR="00717974">
        <w:t>utilising</w:t>
      </w:r>
      <w:r>
        <w:t xml:space="preserve"> the criterion in s 33N(1)(c).</w:t>
      </w:r>
    </w:p>
    <w:p w:rsidR="007F49D4" w:rsidRDefault="007F49D4" w:rsidP="005E0D5D">
      <w:pPr>
        <w:pStyle w:val="ParaNumbering"/>
      </w:pPr>
      <w:r>
        <w:t>Now I would accept the two premises but reject the conclusion.  But for the moment, let me address</w:t>
      </w:r>
      <w:r w:rsidR="007D6CFF">
        <w:t>, relevantly to s 33N(1)(c),</w:t>
      </w:r>
      <w:r>
        <w:t xml:space="preserve"> the causes of action involved and the extent to which they raise individual issues.</w:t>
      </w:r>
    </w:p>
    <w:p w:rsidR="005E0D5D" w:rsidRDefault="005E0D5D" w:rsidP="005E0D5D">
      <w:pPr>
        <w:pStyle w:val="Heading4"/>
      </w:pPr>
      <w:r>
        <w:t>Sections 961B and 961J claims</w:t>
      </w:r>
    </w:p>
    <w:p w:rsidR="005E0D5D" w:rsidRDefault="007F49D4" w:rsidP="00C00DC8">
      <w:pPr>
        <w:pStyle w:val="ParaNumbering"/>
      </w:pPr>
      <w:r>
        <w:t>T</w:t>
      </w:r>
      <w:r w:rsidR="005E0D5D">
        <w:t>he</w:t>
      </w:r>
      <w:r w:rsidR="00C00DC8">
        <w:t xml:space="preserve"> </w:t>
      </w:r>
      <w:r w:rsidR="00C00DC8" w:rsidRPr="007F49D4">
        <w:t>respondents</w:t>
      </w:r>
      <w:r w:rsidR="005E0D5D" w:rsidRPr="007F49D4">
        <w:t xml:space="preserve"> </w:t>
      </w:r>
      <w:r w:rsidR="00C00DC8" w:rsidRPr="007F49D4">
        <w:t xml:space="preserve">say </w:t>
      </w:r>
      <w:r w:rsidR="005E0D5D" w:rsidRPr="007F49D4">
        <w:t>that</w:t>
      </w:r>
      <w:r w:rsidR="005E0D5D">
        <w:t xml:space="preserve"> the factual foundations for </w:t>
      </w:r>
      <w:r>
        <w:t xml:space="preserve">the alleged breaches of </w:t>
      </w:r>
      <w:proofErr w:type="spellStart"/>
      <w:r>
        <w:t>ss</w:t>
      </w:r>
      <w:proofErr w:type="spellEnd"/>
      <w:r>
        <w:t xml:space="preserve"> 961B and 961J </w:t>
      </w:r>
      <w:r w:rsidR="005E0D5D">
        <w:t>are individual to each of the applicants and group members concerned.  They say that whether those provisions were contravened requ</w:t>
      </w:r>
      <w:r w:rsidR="00C00DC8">
        <w:t xml:space="preserve">ires a consideration of whether </w:t>
      </w:r>
      <w:r w:rsidR="005E0D5D">
        <w:t>each of the AMP authorised representatives who provided personal advice to the applicants and group members was to receive the commission as a result o</w:t>
      </w:r>
      <w:r w:rsidR="00C00DC8">
        <w:t>f providing the personal advice,</w:t>
      </w:r>
      <w:r w:rsidR="005E0D5D">
        <w:t xml:space="preserve"> and</w:t>
      </w:r>
      <w:r w:rsidR="00C00DC8">
        <w:t xml:space="preserve"> whether </w:t>
      </w:r>
      <w:r w:rsidR="005E0D5D">
        <w:t>there was an alternative but comparable product reasonably available with a different level of commission payable.</w:t>
      </w:r>
    </w:p>
    <w:p w:rsidR="005E0D5D" w:rsidRDefault="00C00DC8" w:rsidP="005E0D5D">
      <w:pPr>
        <w:pStyle w:val="ParaNumbering"/>
      </w:pPr>
      <w:r>
        <w:t xml:space="preserve">Now </w:t>
      </w:r>
      <w:r w:rsidR="007F49D4">
        <w:t>as I have noted,</w:t>
      </w:r>
      <w:r w:rsidR="005E0D5D">
        <w:t xml:space="preserve"> commissions were not paid directly from a product issuer to an A</w:t>
      </w:r>
      <w:r w:rsidR="007F49D4">
        <w:t>MP authorised representative.  Moreover, w</w:t>
      </w:r>
      <w:r w:rsidR="005E0D5D">
        <w:t xml:space="preserve">hether an AMP authorised representative received a commission was a matter to be determined between the AMP authorised representative and his practice.  </w:t>
      </w:r>
      <w:r w:rsidR="007F49D4">
        <w:t xml:space="preserve">Further, </w:t>
      </w:r>
      <w:r w:rsidR="005E0D5D">
        <w:t xml:space="preserve">one cannot assume that the entitlement was the same with respect to every </w:t>
      </w:r>
      <w:r w:rsidR="007F49D4">
        <w:t>AMP authorised representative</w:t>
      </w:r>
      <w:r>
        <w:t xml:space="preserve">.  Further, </w:t>
      </w:r>
      <w:r w:rsidR="005E0D5D">
        <w:t xml:space="preserve">there were up to 2,921 AMP authorised representatives in any one </w:t>
      </w:r>
      <w:r w:rsidR="007F49D4">
        <w:t>year during the relevant period.  So,</w:t>
      </w:r>
      <w:r w:rsidR="005E0D5D">
        <w:t xml:space="preserve"> the magnitude an</w:t>
      </w:r>
      <w:r w:rsidR="007F49D4">
        <w:t>d individualised nature of the i</w:t>
      </w:r>
      <w:r w:rsidR="005E0D5D">
        <w:t xml:space="preserve">nquiry is </w:t>
      </w:r>
      <w:r w:rsidR="007F49D4">
        <w:t>readily apparent.</w:t>
      </w:r>
    </w:p>
    <w:p w:rsidR="005E0D5D" w:rsidRDefault="00C00DC8" w:rsidP="005E0D5D">
      <w:pPr>
        <w:pStyle w:val="ParaNumbering"/>
      </w:pPr>
      <w:r>
        <w:t>Further</w:t>
      </w:r>
      <w:r w:rsidR="00E3092F">
        <w:t xml:space="preserve">, </w:t>
      </w:r>
      <w:r w:rsidR="005E0D5D">
        <w:t xml:space="preserve">the applicants have </w:t>
      </w:r>
      <w:r w:rsidR="007F49D4">
        <w:t>asserted</w:t>
      </w:r>
      <w:r w:rsidR="005E0D5D">
        <w:t xml:space="preserve"> that there was a conflict of interest as between the AMP authorised representatives’ interests and the group members’ interests</w:t>
      </w:r>
      <w:r w:rsidR="007F49D4">
        <w:t>.  But the</w:t>
      </w:r>
      <w:r w:rsidR="005E0D5D">
        <w:t xml:space="preserve"> AMP </w:t>
      </w:r>
      <w:r w:rsidR="005E0D5D">
        <w:lastRenderedPageBreak/>
        <w:t>authorised representat</w:t>
      </w:r>
      <w:r w:rsidR="007F49D4">
        <w:t>ives’ business practices</w:t>
      </w:r>
      <w:r w:rsidR="005E0D5D">
        <w:t xml:space="preserve"> in respect of how they receiv</w:t>
      </w:r>
      <w:r w:rsidR="007F49D4">
        <w:t>ed commissions</w:t>
      </w:r>
      <w:r>
        <w:t xml:space="preserve"> were </w:t>
      </w:r>
      <w:r w:rsidR="007F49D4">
        <w:t xml:space="preserve">not </w:t>
      </w:r>
      <w:r>
        <w:t>the same.</w:t>
      </w:r>
    </w:p>
    <w:p w:rsidR="005E0D5D" w:rsidRDefault="00C00DC8" w:rsidP="003111EB">
      <w:pPr>
        <w:pStyle w:val="ParaNumbering"/>
      </w:pPr>
      <w:r>
        <w:t xml:space="preserve">Further, </w:t>
      </w:r>
      <w:r w:rsidR="007F49D4">
        <w:t>it has been alleged that</w:t>
      </w:r>
      <w:r>
        <w:t xml:space="preserve"> </w:t>
      </w:r>
      <w:r w:rsidR="005E0D5D">
        <w:t>substantially equivalen</w:t>
      </w:r>
      <w:r>
        <w:t>t or better financial products including insurance products</w:t>
      </w:r>
      <w:r w:rsidR="005E0D5D">
        <w:t xml:space="preserve"> were available to group members, which did not yield the payment of commissions or yielded a different level of commission payable</w:t>
      </w:r>
      <w:r w:rsidR="007F49D4">
        <w:t xml:space="preserve">.  But such an allegation </w:t>
      </w:r>
      <w:r w:rsidR="005E0D5D">
        <w:t>requires the foll</w:t>
      </w:r>
      <w:r w:rsidR="003111EB">
        <w:t xml:space="preserve">owing matters to be considered.  </w:t>
      </w:r>
      <w:r w:rsidR="007F49D4">
        <w:t>T</w:t>
      </w:r>
      <w:r>
        <w:t>he</w:t>
      </w:r>
      <w:r w:rsidR="005E0D5D">
        <w:t xml:space="preserve"> substantially equivalent or better financial products</w:t>
      </w:r>
      <w:r w:rsidR="007F49D4">
        <w:t xml:space="preserve"> have to be identified</w:t>
      </w:r>
      <w:r w:rsidR="005E0D5D">
        <w:t xml:space="preserve">.  But the applicants have only done </w:t>
      </w:r>
      <w:r w:rsidR="003111EB">
        <w:t>this at a general level</w:t>
      </w:r>
      <w:r w:rsidR="007F49D4">
        <w:t>, save that they</w:t>
      </w:r>
      <w:r w:rsidR="005E0D5D">
        <w:t xml:space="preserve"> have identified one product </w:t>
      </w:r>
      <w:r w:rsidR="007F49D4">
        <w:t>said</w:t>
      </w:r>
      <w:r w:rsidR="005E0D5D">
        <w:t xml:space="preserve"> to have been substantially equivalent or better than t</w:t>
      </w:r>
      <w:r>
        <w:t>he AMP life product</w:t>
      </w:r>
      <w:r w:rsidR="007F49D4">
        <w:t xml:space="preserve">.  Further, </w:t>
      </w:r>
      <w:r w:rsidR="005E0D5D">
        <w:t xml:space="preserve">there has to be a consideration of the individual circumstances </w:t>
      </w:r>
      <w:r w:rsidR="007F49D4">
        <w:t>of each of the group members, given that the applicants accept</w:t>
      </w:r>
      <w:r>
        <w:t xml:space="preserve"> that </w:t>
      </w:r>
      <w:r w:rsidR="005E0D5D">
        <w:t xml:space="preserve">the words ‘substantially equivalent’ and ‘better’ means substantially equivalent and better by reference to the interests of </w:t>
      </w:r>
      <w:r>
        <w:t>Mr Stack and the Stack sub-group m</w:t>
      </w:r>
      <w:r w:rsidR="005E0D5D">
        <w:t>embers, and otherwise have the</w:t>
      </w:r>
      <w:r w:rsidR="007F49D4">
        <w:t xml:space="preserve">ir natural and ordinary </w:t>
      </w:r>
      <w:r w:rsidR="007F49D4" w:rsidRPr="00A81874">
        <w:t>meaning</w:t>
      </w:r>
      <w:r w:rsidR="005E0D5D" w:rsidRPr="00A81874">
        <w:t>.</w:t>
      </w:r>
    </w:p>
    <w:p w:rsidR="005E0D5D" w:rsidRDefault="007F49D4" w:rsidP="007F49D4">
      <w:pPr>
        <w:pStyle w:val="ParaNumbering"/>
      </w:pPr>
      <w:r>
        <w:t>Now it may be accepted that each group member’s loss assessment is different.  But</w:t>
      </w:r>
      <w:r w:rsidR="005E0D5D">
        <w:t xml:space="preserve"> the respondents say that the division between the group members’ cases occurs not just at the time of assessment of their loss, but also at the time of the assessment of any liability of the respondents to them, including whether they were the v</w:t>
      </w:r>
      <w:r>
        <w:t xml:space="preserve">ictim of a breach of s 961B </w:t>
      </w:r>
      <w:r w:rsidR="005E0D5D">
        <w:t>or s 961J.</w:t>
      </w:r>
      <w:r>
        <w:t xml:space="preserve">  So</w:t>
      </w:r>
      <w:r w:rsidR="005E0D5D">
        <w:t>, whilst in some cases it has been held that a class action ought to continue despite the divergence in the way group members’ losses ought to be assessed, that is not the only point of difference as between the group members’ claims in the present case.  Here there is a di</w:t>
      </w:r>
      <w:r w:rsidR="00C00DC8">
        <w:t>vergence at the liability stage</w:t>
      </w:r>
      <w:r>
        <w:t>.</w:t>
      </w:r>
    </w:p>
    <w:p w:rsidR="005E0D5D" w:rsidRDefault="007F49D4" w:rsidP="005E0D5D">
      <w:pPr>
        <w:pStyle w:val="ParaNumbering"/>
      </w:pPr>
      <w:r>
        <w:t>In my view there is considerable force in the respondents’ argument</w:t>
      </w:r>
      <w:r w:rsidR="00A81874">
        <w:t>s</w:t>
      </w:r>
      <w:r>
        <w:t xml:space="preserve"> on this aspect.  Clearly,</w:t>
      </w:r>
      <w:r w:rsidR="005E0D5D">
        <w:t xml:space="preserve"> the question of whether a Stack sub-group member paid excess premiums in relation to an AMP life product will require an investigation of the individual circumstances of that group </w:t>
      </w:r>
      <w:r w:rsidR="005E0D5D" w:rsidRPr="00783825">
        <w:t>member, including the availability of a substantially equivalent or better life product at a lower premium.</w:t>
      </w:r>
    </w:p>
    <w:p w:rsidR="00C00DC8" w:rsidRDefault="005E0D5D" w:rsidP="005E0D5D">
      <w:pPr>
        <w:pStyle w:val="ParaNumbering"/>
        <w:tabs>
          <w:tab w:val="num" w:pos="720"/>
        </w:tabs>
      </w:pPr>
      <w:r>
        <w:t>Further</w:t>
      </w:r>
      <w:r w:rsidR="007F49D4">
        <w:t>,</w:t>
      </w:r>
      <w:r>
        <w:t xml:space="preserve"> the extent to which the commission was kept by a</w:t>
      </w:r>
      <w:r w:rsidR="00C00DC8">
        <w:t>n AMP licensee</w:t>
      </w:r>
      <w:r>
        <w:t xml:space="preserve"> or th</w:t>
      </w:r>
      <w:r w:rsidR="007F49D4">
        <w:t xml:space="preserve">e AMP authorised </w:t>
      </w:r>
      <w:r w:rsidR="007F49D4" w:rsidRPr="00797544">
        <w:t>representative</w:t>
      </w:r>
      <w:r w:rsidRPr="00797544">
        <w:t xml:space="preserve"> an</w:t>
      </w:r>
      <w:r w:rsidR="007F49D4" w:rsidRPr="00797544">
        <w:t>d the amount of commission paid</w:t>
      </w:r>
      <w:r w:rsidRPr="00797544">
        <w:t xml:space="preserve"> will involve a consideratio</w:t>
      </w:r>
      <w:r w:rsidR="00C00DC8" w:rsidRPr="00797544">
        <w:t>n of individual circumstances.</w:t>
      </w:r>
    </w:p>
    <w:p w:rsidR="005E0D5D" w:rsidRDefault="005E0D5D" w:rsidP="005E0D5D">
      <w:pPr>
        <w:pStyle w:val="ParaNumbering"/>
        <w:tabs>
          <w:tab w:val="num" w:pos="720"/>
        </w:tabs>
      </w:pPr>
      <w:r>
        <w:t xml:space="preserve">But </w:t>
      </w:r>
      <w:r w:rsidR="00CB32A9">
        <w:t>it must be noted that the alleged breaches</w:t>
      </w:r>
      <w:r>
        <w:t xml:space="preserve"> of </w:t>
      </w:r>
      <w:proofErr w:type="spellStart"/>
      <w:r>
        <w:t>ss</w:t>
      </w:r>
      <w:proofErr w:type="spellEnd"/>
      <w:r>
        <w:t xml:space="preserve"> 961B and 961J do not </w:t>
      </w:r>
      <w:r w:rsidR="00CB32A9">
        <w:t xml:space="preserve">just </w:t>
      </w:r>
      <w:r>
        <w:t>turn on the sum of the commissions received</w:t>
      </w:r>
      <w:r w:rsidR="00CB32A9">
        <w:t>.</w:t>
      </w:r>
      <w:r>
        <w:t xml:space="preserve">  The </w:t>
      </w:r>
      <w:r w:rsidR="00CB32A9">
        <w:t>allegations</w:t>
      </w:r>
      <w:r>
        <w:t xml:space="preserve"> include that breach occurred by reason of the </w:t>
      </w:r>
      <w:r>
        <w:lastRenderedPageBreak/>
        <w:t>failure of the AMP authorised representative</w:t>
      </w:r>
      <w:r w:rsidR="00CB32A9">
        <w:t xml:space="preserve">s </w:t>
      </w:r>
      <w:r w:rsidR="00CB32A9" w:rsidRPr="00FF230E">
        <w:t>to rebate, switch-off or dial-down</w:t>
      </w:r>
      <w:r w:rsidRPr="00FF230E">
        <w:t xml:space="preserve"> the commissions, irrespective of the sum or recipient of the commission.</w:t>
      </w:r>
    </w:p>
    <w:p w:rsidR="005E0D5D" w:rsidRDefault="005E0D5D" w:rsidP="005E0D5D">
      <w:pPr>
        <w:pStyle w:val="ParaNumbering"/>
        <w:tabs>
          <w:tab w:val="num" w:pos="720"/>
        </w:tabs>
      </w:pPr>
      <w:r w:rsidRPr="001B3D4D">
        <w:t>Further, notwithstanding the individual</w:t>
      </w:r>
      <w:r>
        <w:t xml:space="preserve"> features of excess premiums and the recipient of the commission, there </w:t>
      </w:r>
      <w:r w:rsidR="00CB32A9">
        <w:t xml:space="preserve">still </w:t>
      </w:r>
      <w:r>
        <w:t xml:space="preserve">remains utility for group members’ claims generally for </w:t>
      </w:r>
      <w:r w:rsidR="00CB32A9">
        <w:t>me</w:t>
      </w:r>
      <w:r>
        <w:t xml:space="preserve"> to determine the applicants’ claims </w:t>
      </w:r>
      <w:r w:rsidR="00CB32A9">
        <w:t xml:space="preserve">and some sample group members’ claims </w:t>
      </w:r>
      <w:r>
        <w:t xml:space="preserve">for breaches of </w:t>
      </w:r>
      <w:proofErr w:type="spellStart"/>
      <w:r>
        <w:t>ss</w:t>
      </w:r>
      <w:proofErr w:type="spellEnd"/>
      <w:r>
        <w:t xml:space="preserve"> 961B and 961J at the </w:t>
      </w:r>
      <w:r w:rsidRPr="00BB008E">
        <w:t>initial trial.</w:t>
      </w:r>
    </w:p>
    <w:p w:rsidR="005E0D5D" w:rsidRDefault="005E0D5D" w:rsidP="00C00DC8">
      <w:pPr>
        <w:pStyle w:val="ParaNumbering"/>
        <w:tabs>
          <w:tab w:val="num" w:pos="720"/>
        </w:tabs>
      </w:pPr>
      <w:r>
        <w:t>Findings can be made on issues that could assist but not necessarily be determinative of g</w:t>
      </w:r>
      <w:r w:rsidR="00C00DC8">
        <w:t xml:space="preserve">roup member claims, including findings </w:t>
      </w:r>
      <w:r w:rsidR="00CB32A9">
        <w:t>on some of</w:t>
      </w:r>
      <w:r>
        <w:t xml:space="preserve"> the common systems that are foundational </w:t>
      </w:r>
      <w:r w:rsidR="00CB32A9">
        <w:t xml:space="preserve">for the </w:t>
      </w:r>
      <w:proofErr w:type="spellStart"/>
      <w:r w:rsidR="00CB32A9">
        <w:t>ss</w:t>
      </w:r>
      <w:proofErr w:type="spellEnd"/>
      <w:r w:rsidR="00CB32A9">
        <w:t> 961B and 961J claims, including the following matters.</w:t>
      </w:r>
    </w:p>
    <w:p w:rsidR="005E0D5D" w:rsidRDefault="005E0D5D" w:rsidP="005E0D5D">
      <w:pPr>
        <w:pStyle w:val="ParaNumbering"/>
        <w:tabs>
          <w:tab w:val="num" w:pos="720"/>
        </w:tabs>
      </w:pPr>
      <w:r>
        <w:t>First, the defence pleads the existence of several standard form agreements which govern how commissions were received by the AMP licensees from providers of insurance and financial products including the template agreements particularised.</w:t>
      </w:r>
    </w:p>
    <w:p w:rsidR="005E0D5D" w:rsidRDefault="005E0D5D" w:rsidP="005E0D5D">
      <w:pPr>
        <w:pStyle w:val="ParaNumbering"/>
        <w:tabs>
          <w:tab w:val="num" w:pos="720"/>
        </w:tabs>
      </w:pPr>
      <w:r>
        <w:t xml:space="preserve">Second, there </w:t>
      </w:r>
      <w:r w:rsidR="00CB32A9">
        <w:t>appears to have been some</w:t>
      </w:r>
      <w:r>
        <w:t xml:space="preserve"> system in place which determined how the AMP licensee would remit commissions</w:t>
      </w:r>
      <w:r w:rsidR="00F47457">
        <w:t xml:space="preserve">.  </w:t>
      </w:r>
      <w:r>
        <w:t>The defence refers to the AMP authorised representative agreements which apparently were</w:t>
      </w:r>
      <w:r w:rsidR="00CB32A9">
        <w:t xml:space="preserve"> updated from time to time.  Tho</w:t>
      </w:r>
      <w:r>
        <w:t xml:space="preserve">se agreements governed how the </w:t>
      </w:r>
      <w:r w:rsidR="00CB32A9">
        <w:t xml:space="preserve">relevant </w:t>
      </w:r>
      <w:r>
        <w:t xml:space="preserve">practices </w:t>
      </w:r>
      <w:r w:rsidR="00CB32A9">
        <w:t xml:space="preserve">would be paid the commissions.  Further, </w:t>
      </w:r>
      <w:r>
        <w:t>AMP licensees had template agreements which typically consisted of an authorised representative agreement, master terms and representa</w:t>
      </w:r>
      <w:r w:rsidR="00AF1B79">
        <w:t xml:space="preserve">tive services agreement.  </w:t>
      </w:r>
      <w:r w:rsidR="00CB32A9">
        <w:t>T</w:t>
      </w:r>
      <w:r>
        <w:t xml:space="preserve">he applicants’ case </w:t>
      </w:r>
      <w:r w:rsidR="00AF1B79">
        <w:t>as now sought to be</w:t>
      </w:r>
      <w:r>
        <w:t xml:space="preserve"> clari</w:t>
      </w:r>
      <w:r w:rsidR="00CB32A9">
        <w:t>fied by the amendments proposed does identify these systems aspects.</w:t>
      </w:r>
    </w:p>
    <w:p w:rsidR="005E0D5D" w:rsidRPr="00070D89" w:rsidRDefault="005E0D5D" w:rsidP="005E0D5D">
      <w:pPr>
        <w:pStyle w:val="ParaNumbering"/>
        <w:tabs>
          <w:tab w:val="num" w:pos="720"/>
        </w:tabs>
      </w:pPr>
      <w:r>
        <w:t xml:space="preserve">Third, the applicants allege that the incentives were similarly paid pursuant to agreements between the AMP licensees and their respective AMP authorised representatives. </w:t>
      </w:r>
      <w:r w:rsidR="004048DD">
        <w:t xml:space="preserve"> </w:t>
      </w:r>
      <w:r>
        <w:t>Again,</w:t>
      </w:r>
      <w:r w:rsidR="00AF1B79">
        <w:t xml:space="preserve"> the applicants</w:t>
      </w:r>
      <w:r w:rsidR="00A53D77">
        <w:t>’</w:t>
      </w:r>
      <w:r w:rsidR="00AF1B79">
        <w:t xml:space="preserve"> </w:t>
      </w:r>
      <w:r>
        <w:t xml:space="preserve">proposed </w:t>
      </w:r>
      <w:r w:rsidR="00CB32A9">
        <w:t xml:space="preserve">amendments seek </w:t>
      </w:r>
      <w:r>
        <w:t>to clarify the existence of this common system</w:t>
      </w:r>
      <w:r w:rsidR="00CB32A9">
        <w:t>.</w:t>
      </w:r>
    </w:p>
    <w:p w:rsidR="005E0D5D" w:rsidRDefault="005E0D5D" w:rsidP="005E0D5D">
      <w:pPr>
        <w:pStyle w:val="ParaNumbering"/>
        <w:tabs>
          <w:tab w:val="num" w:pos="720"/>
        </w:tabs>
      </w:pPr>
      <w:r>
        <w:t xml:space="preserve">Fourth, the applicants </w:t>
      </w:r>
      <w:r w:rsidR="00CB32A9">
        <w:t>have also put forward proposed amendments</w:t>
      </w:r>
      <w:r>
        <w:t xml:space="preserve"> regarding the application of a common set of policies and processes for determining the composition of the APLs.</w:t>
      </w:r>
    </w:p>
    <w:p w:rsidR="005E0D5D" w:rsidRDefault="005E0D5D" w:rsidP="005E0D5D">
      <w:pPr>
        <w:pStyle w:val="ParaNumbering"/>
        <w:tabs>
          <w:tab w:val="num" w:pos="720"/>
        </w:tabs>
      </w:pPr>
      <w:r>
        <w:t>Fifth, it is alleged that there were common systems and policies for one off approvals for AMP authorised representatives to recommend products not on an APL</w:t>
      </w:r>
      <w:r w:rsidR="00CB32A9">
        <w:t>.  Further, it is said that there was</w:t>
      </w:r>
      <w:r>
        <w:t xml:space="preserve"> a common system which impeded group members from paying third party insurance premiums from an </w:t>
      </w:r>
      <w:r w:rsidRPr="00154B75">
        <w:t>AMP super fund.</w:t>
      </w:r>
    </w:p>
    <w:p w:rsidR="005E0D5D" w:rsidRDefault="005E0D5D" w:rsidP="00CB32A9">
      <w:pPr>
        <w:pStyle w:val="ParaNumbering"/>
        <w:tabs>
          <w:tab w:val="num" w:pos="720"/>
        </w:tabs>
      </w:pPr>
      <w:r>
        <w:t>Further, I may make findings on the scope of the relevant legal duties in the context of dete</w:t>
      </w:r>
      <w:r w:rsidR="00CB32A9">
        <w:t xml:space="preserve">rmining the applicants’ claims.  </w:t>
      </w:r>
      <w:r w:rsidR="00AF1B79">
        <w:t>Now i</w:t>
      </w:r>
      <w:r>
        <w:t xml:space="preserve">f I made such findings in relation to the scope of the </w:t>
      </w:r>
      <w:r>
        <w:lastRenderedPageBreak/>
        <w:t xml:space="preserve">duties under </w:t>
      </w:r>
      <w:proofErr w:type="spellStart"/>
      <w:r>
        <w:t>ss</w:t>
      </w:r>
      <w:proofErr w:type="spellEnd"/>
      <w:r>
        <w:t> 961B and 961J, then it would still be necessary for each group member to prove the relevant facts establishing breach.  But that does not deprive the findings of the character of being such as could assist group member claims.</w:t>
      </w:r>
    </w:p>
    <w:p w:rsidR="005E0D5D" w:rsidRDefault="005E0D5D" w:rsidP="005E0D5D">
      <w:pPr>
        <w:pStyle w:val="ParaNumbering"/>
        <w:tabs>
          <w:tab w:val="num" w:pos="720"/>
        </w:tabs>
      </w:pPr>
      <w:r>
        <w:t xml:space="preserve">These matters entail that the </w:t>
      </w:r>
      <w:proofErr w:type="spellStart"/>
      <w:r>
        <w:t>ss</w:t>
      </w:r>
      <w:proofErr w:type="spellEnd"/>
      <w:r>
        <w:t> 961B and 961J case can be more efficiently determined as part of a representative proceeding.</w:t>
      </w:r>
    </w:p>
    <w:p w:rsidR="005E0D5D" w:rsidRDefault="005E0D5D" w:rsidP="005E0D5D">
      <w:pPr>
        <w:pStyle w:val="ParaNumbering"/>
      </w:pPr>
      <w:r>
        <w:t>Now the respondents say that the matters which relate to how commissions and incentives were paid to AMP licensees and the processes involved in determining the composition of APLs tell one nothing about whether a particular AMP authorised representative acted in the best interests of his or her client, or failed to give priority to the client’s interests in provid</w:t>
      </w:r>
      <w:r w:rsidR="00CB32A9">
        <w:t>ing them with personal advice.</w:t>
      </w:r>
    </w:p>
    <w:p w:rsidR="005E0D5D" w:rsidRDefault="005E0D5D" w:rsidP="00CB32A9">
      <w:pPr>
        <w:pStyle w:val="ParaNumbering"/>
      </w:pPr>
      <w:r>
        <w:t xml:space="preserve">Further, </w:t>
      </w:r>
      <w:r w:rsidR="00CB32A9">
        <w:t>it is said that any</w:t>
      </w:r>
      <w:r>
        <w:t xml:space="preserve"> difficulty is not remedied by determining the applicants’ claims </w:t>
      </w:r>
      <w:r w:rsidR="00CB32A9">
        <w:t xml:space="preserve">and sample group members’ claims </w:t>
      </w:r>
      <w:r>
        <w:t xml:space="preserve">only.  </w:t>
      </w:r>
      <w:r w:rsidR="00CB32A9">
        <w:t xml:space="preserve">And indeed, any such </w:t>
      </w:r>
      <w:r>
        <w:t>exemplar findings merely illustrate the i</w:t>
      </w:r>
      <w:r w:rsidR="00CE4408">
        <w:t>ndividual nature of the claims.</w:t>
      </w:r>
    </w:p>
    <w:p w:rsidR="005E0D5D" w:rsidRDefault="00CB32A9" w:rsidP="005E0D5D">
      <w:pPr>
        <w:pStyle w:val="ParaNumbering"/>
      </w:pPr>
      <w:r>
        <w:t>So the respondents say that</w:t>
      </w:r>
      <w:r w:rsidR="005E0D5D">
        <w:t xml:space="preserve"> a finding that there was a breach of s 961J for Mr Stack’s adviser to recommend to him that he acquire the Flexible Super – Flexible Protection Product when there was a substantially equivalent or better third-party insurance product available at a lower price will not assist in determining other Stack sub-group members’ claims.  The identification, and determination of an alternative product which may or may not be substantially equivalent or better necessitates an inquiry into each Stack sub-group member’s idiosyncrasies.</w:t>
      </w:r>
    </w:p>
    <w:p w:rsidR="00AF1B79" w:rsidRDefault="005E0D5D" w:rsidP="005E0D5D">
      <w:pPr>
        <w:pStyle w:val="ParaNumbering"/>
      </w:pPr>
      <w:r>
        <w:t>Further, the respondents say that the applicants have no explanation as to how their allegations that the AMP authorised repres</w:t>
      </w:r>
      <w:r w:rsidR="00E24E2B">
        <w:t xml:space="preserve">entatives contravened </w:t>
      </w:r>
      <w:proofErr w:type="spellStart"/>
      <w:r w:rsidR="00E24E2B">
        <w:t>ss</w:t>
      </w:r>
      <w:proofErr w:type="spellEnd"/>
      <w:r w:rsidR="00E24E2B">
        <w:t> 961B</w:t>
      </w:r>
      <w:r>
        <w:t xml:space="preserve"> and 961J could be efficiently and effectively determined in a representative proceeding</w:t>
      </w:r>
      <w:r w:rsidR="00AF1B79">
        <w:t>.</w:t>
      </w:r>
    </w:p>
    <w:p w:rsidR="005E0D5D" w:rsidRPr="00C76329" w:rsidRDefault="005E0D5D" w:rsidP="00CB32A9">
      <w:pPr>
        <w:pStyle w:val="ParaNumbering"/>
      </w:pPr>
      <w:r>
        <w:t xml:space="preserve">Further, the respondents say that there is little purpose in the Court only determining </w:t>
      </w:r>
      <w:r w:rsidRPr="005029C4">
        <w:t>a handful</w:t>
      </w:r>
      <w:r w:rsidR="00CB32A9">
        <w:t xml:space="preserve"> of claims at an initial trial.  </w:t>
      </w:r>
      <w:r w:rsidRPr="005029C4">
        <w:t xml:space="preserve">Such a determination will offer no meaningful guidance as to how the balance of the group members’ claims ought to be determined. </w:t>
      </w:r>
      <w:r>
        <w:t xml:space="preserve"> </w:t>
      </w:r>
      <w:r w:rsidRPr="005029C4">
        <w:t xml:space="preserve">All it will do is add a layer </w:t>
      </w:r>
      <w:r w:rsidRPr="003661F9">
        <w:t xml:space="preserve">of cost, and delay the inevitable time when any claims that are to be pursued are advanced </w:t>
      </w:r>
      <w:r w:rsidRPr="00C76329">
        <w:t>individually.</w:t>
      </w:r>
    </w:p>
    <w:p w:rsidR="00B4227B" w:rsidRDefault="003661F9" w:rsidP="00E24E2B">
      <w:pPr>
        <w:pStyle w:val="ParaNumbering"/>
      </w:pPr>
      <w:r w:rsidRPr="00F24298">
        <w:t>But</w:t>
      </w:r>
      <w:r w:rsidR="005E0D5D" w:rsidRPr="00F24298">
        <w:t xml:space="preserve"> in my vie</w:t>
      </w:r>
      <w:r w:rsidR="00A53D77">
        <w:t>w this is all too pessimistic.</w:t>
      </w:r>
      <w:r w:rsidR="00E24E2B">
        <w:t xml:space="preserve">  </w:t>
      </w:r>
      <w:r w:rsidR="00B4227B">
        <w:t>I have no doubt that this is an appropriate case where it is likely that at the first stage trial up to, say, 20 sample group members’ individual claims may need to be dealt with to cover many of the broader issues.</w:t>
      </w:r>
    </w:p>
    <w:p w:rsidR="00B4227B" w:rsidRDefault="00B4227B" w:rsidP="00B4227B">
      <w:pPr>
        <w:pStyle w:val="ParaNumbering"/>
        <w:tabs>
          <w:tab w:val="num" w:pos="720"/>
        </w:tabs>
      </w:pPr>
      <w:r>
        <w:lastRenderedPageBreak/>
        <w:t xml:space="preserve">As I discussed in </w:t>
      </w:r>
      <w:proofErr w:type="spellStart"/>
      <w:r w:rsidRPr="005C3562">
        <w:rPr>
          <w:i/>
        </w:rPr>
        <w:t>Earglow</w:t>
      </w:r>
      <w:proofErr w:type="spellEnd"/>
      <w:r w:rsidRPr="005C3562">
        <w:rPr>
          <w:i/>
        </w:rPr>
        <w:t xml:space="preserve"> Pty Ltd v Newcrest Mining Ltd</w:t>
      </w:r>
      <w:r>
        <w:t xml:space="preserve"> (2015) </w:t>
      </w:r>
      <w:r w:rsidRPr="005C3562">
        <w:t>230 FCR 469</w:t>
      </w:r>
      <w:r>
        <w:t xml:space="preserve"> at [53] and [55] to [60] and [62] to [64]:</w:t>
      </w:r>
    </w:p>
    <w:p w:rsidR="00B4227B" w:rsidRDefault="00B4227B" w:rsidP="00B4227B">
      <w:pPr>
        <w:pStyle w:val="Quote1"/>
        <w:ind w:left="1440" w:hanging="703"/>
      </w:pPr>
      <w:r>
        <w:t>53</w:t>
      </w:r>
      <w:r>
        <w:tab/>
        <w:t xml:space="preserve">The identification of sample group claimants who have their cases adjudicated on at the first stage trial is not unprecedented. And there is no doubt that this can be </w:t>
      </w:r>
      <w:r w:rsidRPr="00EB387F">
        <w:rPr>
          <w:i/>
        </w:rPr>
        <w:t xml:space="preserve">useful </w:t>
      </w:r>
      <w:r>
        <w:t>(not the test required by s 33ZF) in an appropriate case.</w:t>
      </w:r>
    </w:p>
    <w:p w:rsidR="00B4227B" w:rsidRPr="007A47FC" w:rsidRDefault="00B4227B" w:rsidP="00B4227B">
      <w:pPr>
        <w:pStyle w:val="Quote1"/>
        <w:rPr>
          <w:i/>
        </w:rPr>
      </w:pPr>
      <w:r>
        <w:t>…</w:t>
      </w:r>
    </w:p>
    <w:p w:rsidR="00B4227B" w:rsidRDefault="00B4227B" w:rsidP="00B4227B">
      <w:pPr>
        <w:pStyle w:val="Quote1"/>
        <w:ind w:left="1440" w:hanging="703"/>
      </w:pPr>
      <w:r>
        <w:t>55</w:t>
      </w:r>
      <w:r>
        <w:tab/>
        <w:t xml:space="preserve">In </w:t>
      </w:r>
      <w:r w:rsidRPr="007A47FC">
        <w:rPr>
          <w:i/>
        </w:rPr>
        <w:t>Johnson Tiles Pty Ltd v Esso Australia Pty Ltd (No 3)</w:t>
      </w:r>
      <w:r>
        <w:t xml:space="preserve"> [2001] VSC 372, the trial judge permitted group members to give evidence at trial in relation to specific categories of claim. Sample group members gave evidence in relation to issues relevant to their claims, even though that evidence was not relevant to the claim of the representative plaintiffs.</w:t>
      </w:r>
    </w:p>
    <w:p w:rsidR="00B4227B" w:rsidRDefault="00B4227B" w:rsidP="00B4227B">
      <w:pPr>
        <w:pStyle w:val="Quote1"/>
        <w:ind w:left="1440" w:hanging="703"/>
      </w:pPr>
      <w:r>
        <w:t>56</w:t>
      </w:r>
      <w:r>
        <w:tab/>
        <w:t xml:space="preserve">The utility of permitting sample group members to give evidence in the </w:t>
      </w:r>
      <w:r w:rsidRPr="007A47FC">
        <w:rPr>
          <w:i/>
        </w:rPr>
        <w:t>Johnson Tiles</w:t>
      </w:r>
      <w:r>
        <w:t xml:space="preserve"> litigation was highlighted in the judgment on the determination of the common questions, where it was found that, while the representative plaintiffs failed in their claims, two members of the “business users” group of claimants (being Barrett </w:t>
      </w:r>
      <w:proofErr w:type="spellStart"/>
      <w:r>
        <w:t>Burston</w:t>
      </w:r>
      <w:proofErr w:type="spellEnd"/>
      <w:r>
        <w:t xml:space="preserve"> Malting Co Pty Ltd and </w:t>
      </w:r>
      <w:proofErr w:type="spellStart"/>
      <w:r>
        <w:t>Nando’s</w:t>
      </w:r>
      <w:proofErr w:type="spellEnd"/>
      <w:r>
        <w:t xml:space="preserve"> Australia Pty Ltd), whose claims were tried as sample group members, succeeded: </w:t>
      </w:r>
      <w:r w:rsidRPr="007A47FC">
        <w:rPr>
          <w:i/>
        </w:rPr>
        <w:t>Johnson Tiles Pty Ltd v Esso Australia Pty Ltd</w:t>
      </w:r>
      <w:r>
        <w:t xml:space="preserve"> [2003] </w:t>
      </w:r>
      <w:proofErr w:type="spellStart"/>
      <w:r>
        <w:t>Aust</w:t>
      </w:r>
      <w:proofErr w:type="spellEnd"/>
      <w:r>
        <w:t xml:space="preserve"> Torts Reports 81-692.</w:t>
      </w:r>
    </w:p>
    <w:p w:rsidR="00B4227B" w:rsidRDefault="00B4227B" w:rsidP="00B4227B">
      <w:pPr>
        <w:pStyle w:val="Quote1"/>
        <w:ind w:left="1440" w:hanging="703"/>
      </w:pPr>
      <w:r>
        <w:t>57</w:t>
      </w:r>
      <w:r>
        <w:tab/>
        <w:t>The successful sample group members gave evidence as to their own loss, which was found to be compensable loss, and were subsequently awarded damages</w:t>
      </w:r>
      <w:r w:rsidRPr="003568E1">
        <w:t xml:space="preserve">: </w:t>
      </w:r>
      <w:r w:rsidRPr="007A47FC">
        <w:rPr>
          <w:i/>
        </w:rPr>
        <w:t xml:space="preserve">Johnson Tiles Pty Ltd (Barrett </w:t>
      </w:r>
      <w:proofErr w:type="spellStart"/>
      <w:r w:rsidRPr="007A47FC">
        <w:rPr>
          <w:i/>
        </w:rPr>
        <w:t>Burston</w:t>
      </w:r>
      <w:proofErr w:type="spellEnd"/>
      <w:r w:rsidRPr="007A47FC">
        <w:rPr>
          <w:i/>
        </w:rPr>
        <w:t xml:space="preserve"> Malting Company Pty Ltd) v Esso Australia Pty Ltd</w:t>
      </w:r>
      <w:r>
        <w:t xml:space="preserve"> [2003] VSC 211; </w:t>
      </w:r>
      <w:r w:rsidRPr="007A47FC">
        <w:rPr>
          <w:i/>
        </w:rPr>
        <w:t>Johnson Tiles Pty Ltd v Esso Australia Pty Ltd</w:t>
      </w:r>
      <w:r>
        <w:t xml:space="preserve"> [2003] VSC 244 and </w:t>
      </w:r>
      <w:r w:rsidRPr="007A47FC">
        <w:rPr>
          <w:i/>
        </w:rPr>
        <w:t>Johnson Tiles Pty Ltd v Esso Australia (No 4)</w:t>
      </w:r>
      <w:r>
        <w:t xml:space="preserve"> [2004] VSC 466.</w:t>
      </w:r>
    </w:p>
    <w:p w:rsidR="00B4227B" w:rsidRDefault="00B4227B" w:rsidP="00B4227B">
      <w:pPr>
        <w:pStyle w:val="Quote1"/>
        <w:ind w:left="1440" w:hanging="703"/>
      </w:pPr>
      <w:r>
        <w:t>58</w:t>
      </w:r>
      <w:r>
        <w:tab/>
      </w:r>
      <w:r w:rsidRPr="007A47FC">
        <w:rPr>
          <w:i/>
        </w:rPr>
        <w:t xml:space="preserve">Woodcroft-Brown v </w:t>
      </w:r>
      <w:proofErr w:type="spellStart"/>
      <w:r w:rsidRPr="007A47FC">
        <w:rPr>
          <w:i/>
        </w:rPr>
        <w:t>Timbercorp</w:t>
      </w:r>
      <w:proofErr w:type="spellEnd"/>
      <w:r w:rsidRPr="007A47FC">
        <w:rPr>
          <w:i/>
        </w:rPr>
        <w:t xml:space="preserve"> Securities Ltd</w:t>
      </w:r>
      <w:r>
        <w:t xml:space="preserve"> (2011) 253 FLR 240 was a representative proceeding commenced by Mr Woodcroft-Brown as lead plaintiff on his own behalf and on behalf of persons who had acquired or held an interest in certain managed investment schemes of which </w:t>
      </w:r>
      <w:proofErr w:type="spellStart"/>
      <w:r>
        <w:t>Timbercorp</w:t>
      </w:r>
      <w:proofErr w:type="spellEnd"/>
      <w:r>
        <w:t xml:space="preserve"> Securities Ltd (in </w:t>
      </w:r>
      <w:proofErr w:type="spellStart"/>
      <w:r>
        <w:t>liq</w:t>
      </w:r>
      <w:proofErr w:type="spellEnd"/>
      <w:r>
        <w:t>) was the responsible entity.</w:t>
      </w:r>
    </w:p>
    <w:p w:rsidR="00B4227B" w:rsidRDefault="00B4227B" w:rsidP="00B4227B">
      <w:pPr>
        <w:pStyle w:val="Quote1"/>
        <w:ind w:left="1440" w:hanging="703"/>
      </w:pPr>
      <w:r>
        <w:t>59</w:t>
      </w:r>
      <w:r>
        <w:tab/>
        <w:t xml:space="preserve">The plaintiff’s case was that the defendants had failed to disclose information about risks relating to certain managed investments schemes, and that the failure to make such disclosures to the group member investors amounted to misleading or deceptive conduct. In that case, the parties agreed that a sample group member ought be identified as a representative of “early investors”, that is, persons who invested in managed investment schemes which pre-dated the relevant period. The sample group member selected, Mr Van Hoff, had invested both in the “early schemes”, which the lead plaintiff had not, and the “recent schemes”, in which the lead plaintiff had invested. Prior to the trial of the </w:t>
      </w:r>
      <w:proofErr w:type="spellStart"/>
      <w:r w:rsidRPr="007A47FC">
        <w:rPr>
          <w:i/>
        </w:rPr>
        <w:t>Timbercorp</w:t>
      </w:r>
      <w:proofErr w:type="spellEnd"/>
      <w:r>
        <w:t xml:space="preserve"> proceeding, Mr Van Hoff delivered particulars of his claim, and gave evidence at trial in respect of it.</w:t>
      </w:r>
    </w:p>
    <w:p w:rsidR="00B4227B" w:rsidRDefault="00B4227B" w:rsidP="00B4227B">
      <w:pPr>
        <w:pStyle w:val="Quote1"/>
        <w:ind w:left="1440" w:hanging="703"/>
      </w:pPr>
      <w:r>
        <w:t>60</w:t>
      </w:r>
      <w:r w:rsidRPr="007A47FC">
        <w:tab/>
      </w:r>
      <w:r>
        <w:t xml:space="preserve">In </w:t>
      </w:r>
      <w:r w:rsidRPr="00EB387F">
        <w:rPr>
          <w:i/>
        </w:rPr>
        <w:t xml:space="preserve">Matthews v SPI Electricity Pty Ltd (No 5) </w:t>
      </w:r>
      <w:r>
        <w:t xml:space="preserve">(2012) 35 VR 615, </w:t>
      </w:r>
      <w:r w:rsidRPr="00F209F2">
        <w:t xml:space="preserve">J </w:t>
      </w:r>
      <w:r>
        <w:t xml:space="preserve">Forrest J observed that determination of the claim of the representative plaintiff, Mrs Matthews, would not cover the field in relation to the potential claims of all members of the class, and held that four “sample group members” would be permitted to give evidence at the trial of the proceeding in relation to the question of the liability of the defendants. In </w:t>
      </w:r>
      <w:r w:rsidRPr="00EB387F">
        <w:rPr>
          <w:i/>
        </w:rPr>
        <w:t>Matthews</w:t>
      </w:r>
      <w:r>
        <w:t xml:space="preserve">, which concerned a bushfire that had ignited on Black Saturday and burned through the Kilmore </w:t>
      </w:r>
      <w:r>
        <w:lastRenderedPageBreak/>
        <w:t>East and Kinglake areas, the characteristic which went to selecting the sample group members related to both:</w:t>
      </w:r>
    </w:p>
    <w:p w:rsidR="00B4227B" w:rsidRDefault="00B4227B" w:rsidP="00B4227B">
      <w:pPr>
        <w:pStyle w:val="Quote2"/>
        <w:ind w:left="2160" w:hanging="720"/>
      </w:pPr>
      <w:r>
        <w:t>(a)</w:t>
      </w:r>
      <w:r>
        <w:tab/>
        <w:t>the type of loss and damage suffered by each relevant sample group member, in circumstances where the lead plaintiff’s claim did not include a claim for pure economic loss, nor loss of dependency; and</w:t>
      </w:r>
    </w:p>
    <w:p w:rsidR="00B4227B" w:rsidRDefault="00B4227B" w:rsidP="00B4227B">
      <w:pPr>
        <w:pStyle w:val="Quote2"/>
        <w:ind w:left="2160" w:hanging="720"/>
      </w:pPr>
      <w:r>
        <w:t>(b)</w:t>
      </w:r>
      <w:r>
        <w:tab/>
        <w:t>the geographical location of each relevant sample group member relative to the fire ignition point, in circumstances where J Forrest J considered that different considerations of duty, breach, damage and causation might apply in respect of areas geographically distant from the lead plaintiff’s property.</w:t>
      </w:r>
    </w:p>
    <w:p w:rsidR="00B4227B" w:rsidRPr="004B3780" w:rsidRDefault="00B4227B" w:rsidP="00B4227B">
      <w:pPr>
        <w:pStyle w:val="Quote1"/>
        <w:ind w:left="1440" w:hanging="703"/>
      </w:pPr>
      <w:r w:rsidRPr="004B3780">
        <w:t>…</w:t>
      </w:r>
    </w:p>
    <w:p w:rsidR="00B4227B" w:rsidRDefault="00B4227B" w:rsidP="00B4227B">
      <w:pPr>
        <w:pStyle w:val="Quote1"/>
        <w:ind w:left="1440" w:hanging="703"/>
      </w:pPr>
      <w:r>
        <w:t>62</w:t>
      </w:r>
      <w:r>
        <w:tab/>
        <w:t>But one has to be careful with the use of these examples.</w:t>
      </w:r>
    </w:p>
    <w:p w:rsidR="00B4227B" w:rsidRDefault="00B4227B" w:rsidP="00B4227B">
      <w:pPr>
        <w:pStyle w:val="Quote1"/>
        <w:ind w:left="1440" w:hanging="703"/>
      </w:pPr>
      <w:r>
        <w:t>63</w:t>
      </w:r>
      <w:r>
        <w:tab/>
        <w:t>First, the individual selection and procedure used in a particular case may have proceeded on the basis of consent or non-opposition…</w:t>
      </w:r>
    </w:p>
    <w:p w:rsidR="00B4227B" w:rsidRDefault="00B4227B" w:rsidP="00B4227B">
      <w:pPr>
        <w:pStyle w:val="Quote1"/>
        <w:ind w:left="1440" w:hanging="703"/>
      </w:pPr>
      <w:r>
        <w:t>64</w:t>
      </w:r>
      <w:r>
        <w:tab/>
        <w:t xml:space="preserve">Second, the individual selection and procedure used in a particular case may have been justified because of significant differences in the liability cases of individual claimants apart from just individual causation and damages issues. Three of the four cases discussed above related to common law representative proceedings where there were different duty cases… Further, in the </w:t>
      </w:r>
      <w:proofErr w:type="spellStart"/>
      <w:r w:rsidRPr="002465DF">
        <w:rPr>
          <w:i/>
        </w:rPr>
        <w:t>Timbercorp</w:t>
      </w:r>
      <w:proofErr w:type="spellEnd"/>
      <w:r>
        <w:t xml:space="preserve"> representative proceeding, multiple managed investments schemes were involved and it was necessary to ensure that the first stage trial had an investor claim covering each scheme…</w:t>
      </w:r>
    </w:p>
    <w:p w:rsidR="00B4227B" w:rsidRDefault="00B4227B" w:rsidP="00B4227B">
      <w:pPr>
        <w:pStyle w:val="ParaNumbering"/>
      </w:pPr>
      <w:r>
        <w:t>Findings concerning sample group members’ individual claims may be able to be more broadly extrapolated and could facilitate settlement or at least may narrow the scope for dispute at later stages of the proceeding.</w:t>
      </w:r>
    </w:p>
    <w:p w:rsidR="00A53D77" w:rsidRPr="00F24298" w:rsidRDefault="00B4227B" w:rsidP="00B4227B">
      <w:pPr>
        <w:pStyle w:val="ParaNumbering"/>
      </w:pPr>
      <w:r>
        <w:t>Further, in addition to sample group members and depending upon how the proceeding develops, I may give consideration to the formalisation of sub-groups before the first stage trial.</w:t>
      </w:r>
    </w:p>
    <w:p w:rsidR="005E0D5D" w:rsidRDefault="005E0D5D" w:rsidP="005E0D5D">
      <w:pPr>
        <w:pStyle w:val="Heading4"/>
      </w:pPr>
      <w:r w:rsidRPr="00F24298">
        <w:t>Section 961L claims</w:t>
      </w:r>
    </w:p>
    <w:p w:rsidR="005E0D5D" w:rsidRDefault="003661F9" w:rsidP="005E0D5D">
      <w:pPr>
        <w:pStyle w:val="ParaNumbering"/>
      </w:pPr>
      <w:r>
        <w:t>It is alleged</w:t>
      </w:r>
      <w:r w:rsidR="005E0D5D">
        <w:t xml:space="preserve"> that contrary to s 961L, the AMP licensees failed to take reasonable steps to ensure that their authorised representatives complied with their obligations</w:t>
      </w:r>
      <w:r w:rsidR="00E24E2B">
        <w:t xml:space="preserve"> under </w:t>
      </w:r>
      <w:proofErr w:type="spellStart"/>
      <w:r w:rsidR="00E24E2B">
        <w:t>ss</w:t>
      </w:r>
      <w:proofErr w:type="spellEnd"/>
      <w:r w:rsidR="00E24E2B">
        <w:t> 961B</w:t>
      </w:r>
      <w:r w:rsidR="000F5985">
        <w:t xml:space="preserve"> a</w:t>
      </w:r>
      <w:r w:rsidR="00E24E2B">
        <w:t>nd 961J</w:t>
      </w:r>
      <w:r w:rsidR="000F5985">
        <w:t>.</w:t>
      </w:r>
    </w:p>
    <w:p w:rsidR="005E0D5D" w:rsidRDefault="003661F9" w:rsidP="003661F9">
      <w:pPr>
        <w:pStyle w:val="ParaNumbering"/>
      </w:pPr>
      <w:r>
        <w:t>I</w:t>
      </w:r>
      <w:r w:rsidR="005E0D5D">
        <w:t xml:space="preserve">t is </w:t>
      </w:r>
      <w:r>
        <w:t>said</w:t>
      </w:r>
      <w:r w:rsidR="005E0D5D">
        <w:t xml:space="preserve"> that during the relevant period the AMP licensees had in place training, supervision and monitoring systems and processes for the detection and mana</w:t>
      </w:r>
      <w:r>
        <w:t xml:space="preserve">gement of conflicts of interest, but </w:t>
      </w:r>
      <w:r w:rsidR="005E0D5D">
        <w:t>it is alleged that there were a series of deficiencies</w:t>
      </w:r>
      <w:r>
        <w:t xml:space="preserve"> in those systems and processes and that </w:t>
      </w:r>
      <w:r w:rsidR="005E0D5D">
        <w:t>the AMP licensees had knowledge of those matters.</w:t>
      </w:r>
    </w:p>
    <w:p w:rsidR="005E0D5D" w:rsidRDefault="003661F9" w:rsidP="005E0D5D">
      <w:pPr>
        <w:pStyle w:val="ParaNumbering"/>
      </w:pPr>
      <w:r>
        <w:t>Now it would seem to me that t</w:t>
      </w:r>
      <w:r w:rsidR="005E0D5D">
        <w:t>he common issues that arise on the pleadings include the following.</w:t>
      </w:r>
    </w:p>
    <w:p w:rsidR="005E0D5D" w:rsidRDefault="003661F9" w:rsidP="005E0D5D">
      <w:pPr>
        <w:pStyle w:val="ParaNumbering"/>
      </w:pPr>
      <w:r>
        <w:lastRenderedPageBreak/>
        <w:t>First, i</w:t>
      </w:r>
      <w:r w:rsidR="005E0D5D">
        <w:t xml:space="preserve">t is alleged that each of the AMP licensees had policies which concerned their AMP authorised representatives’ obligations pursuant to </w:t>
      </w:r>
      <w:proofErr w:type="spellStart"/>
      <w:r w:rsidR="005E0D5D">
        <w:t>ss</w:t>
      </w:r>
      <w:proofErr w:type="spellEnd"/>
      <w:r w:rsidR="005E0D5D">
        <w:t> 961B and 961J.  It is alleged that none of these policies adequately identified, gave guidance on or instructed the AMP authorised representatives in relation to various matters, including that the commissions and incentives paid to the AMP authorised representatives might give rise to conflicts of interest.</w:t>
      </w:r>
    </w:p>
    <w:p w:rsidR="005E0D5D" w:rsidRPr="0042624A" w:rsidRDefault="005E0D5D" w:rsidP="005E0D5D">
      <w:pPr>
        <w:pStyle w:val="ParaNumbering"/>
      </w:pPr>
      <w:r>
        <w:t xml:space="preserve">Now the respondents admit the existence of the general conflict of interest policies, but deny </w:t>
      </w:r>
      <w:r w:rsidRPr="0042624A">
        <w:t>the alleged deficiencies and provide examples of the policies the AMP licensees had in place.</w:t>
      </w:r>
    </w:p>
    <w:p w:rsidR="005E0D5D" w:rsidRDefault="003661F9" w:rsidP="005E0D5D">
      <w:pPr>
        <w:pStyle w:val="ParaNumbering"/>
      </w:pPr>
      <w:r>
        <w:t>Second, there is said to be</w:t>
      </w:r>
      <w:r w:rsidR="005E0D5D">
        <w:t xml:space="preserve"> alleged deficiencies in the policies, training, supervision and monitoring systems and processes that the AMP licensees had in place</w:t>
      </w:r>
      <w:r>
        <w:t>.  It is said</w:t>
      </w:r>
      <w:r w:rsidR="005E0D5D">
        <w:t xml:space="preserve"> that these systems were premised on it being appropriate for the AMP licensees and AMP authorised representatives to continue pursuing and receiving commissions and did not ensure that advisers complied with any contractual obligation to provide ongoing personal advice.</w:t>
      </w:r>
    </w:p>
    <w:p w:rsidR="005E0D5D" w:rsidRDefault="003661F9" w:rsidP="005E0D5D">
      <w:pPr>
        <w:pStyle w:val="ParaNumbering"/>
      </w:pPr>
      <w:r>
        <w:t>Third, it is alleged that there wa</w:t>
      </w:r>
      <w:r w:rsidR="005E0D5D">
        <w:t>s actual or constructive knowledge of these matters by AMP licensees.</w:t>
      </w:r>
    </w:p>
    <w:p w:rsidR="005E0D5D" w:rsidRDefault="005E0D5D" w:rsidP="005E0D5D">
      <w:pPr>
        <w:pStyle w:val="ParaNumbering"/>
      </w:pPr>
      <w:r>
        <w:t xml:space="preserve">In my view the issues concerning training, supervision and monitoring processes and systems that the AMP licensees had in place during the relevant period for the detection and management of conflicts of interest, and whether they contained the deficiencies alleged, are </w:t>
      </w:r>
      <w:r w:rsidRPr="00AA1D16">
        <w:t>common issues.</w:t>
      </w:r>
    </w:p>
    <w:p w:rsidR="005E0D5D" w:rsidRDefault="003661F9" w:rsidP="005E0D5D">
      <w:pPr>
        <w:pStyle w:val="ParaNumbering"/>
      </w:pPr>
      <w:r>
        <w:t xml:space="preserve">Further, it would seem that in some respects </w:t>
      </w:r>
      <w:r w:rsidR="005E0D5D">
        <w:t>the relevant policies and systems were applied uniformly by the AMP licensees across their networks of AMP authorised representatives and associated practices.</w:t>
      </w:r>
    </w:p>
    <w:p w:rsidR="005E0D5D" w:rsidRDefault="003661F9" w:rsidP="005E0D5D">
      <w:pPr>
        <w:pStyle w:val="ParaNumbering"/>
      </w:pPr>
      <w:r>
        <w:t>Further, it would seem that</w:t>
      </w:r>
      <w:r w:rsidR="005E0D5D">
        <w:t xml:space="preserve"> the alleged deficiencies in the AMP licen</w:t>
      </w:r>
      <w:r>
        <w:t>sees’ systems and processes</w:t>
      </w:r>
      <w:r w:rsidR="005E0D5D">
        <w:t xml:space="preserve"> will turn on the same common factual inquiry into</w:t>
      </w:r>
      <w:r>
        <w:t xml:space="preserve"> those systems and processes. </w:t>
      </w:r>
      <w:r w:rsidR="00C001F3">
        <w:t xml:space="preserve"> </w:t>
      </w:r>
      <w:r>
        <w:t>I note in that context that t</w:t>
      </w:r>
      <w:r w:rsidR="005E0D5D">
        <w:t xml:space="preserve">he applicants have proposed amendments to the consolidated pleading to remove any doubt on that aspect.  </w:t>
      </w:r>
      <w:r>
        <w:t>Such amendments</w:t>
      </w:r>
      <w:r w:rsidR="005E0D5D">
        <w:t xml:space="preserve"> make it plain that the allegations about the payments of commissions, incentives and buy-back benefits are allegations based on po</w:t>
      </w:r>
      <w:r>
        <w:t>licies, systems and processes.</w:t>
      </w:r>
    </w:p>
    <w:p w:rsidR="005E0D5D" w:rsidRDefault="003661F9" w:rsidP="000F5985">
      <w:pPr>
        <w:pStyle w:val="ParaNumbering"/>
      </w:pPr>
      <w:r>
        <w:t>Now t</w:t>
      </w:r>
      <w:r w:rsidR="005E0D5D" w:rsidRPr="007F6F1D">
        <w:t>he</w:t>
      </w:r>
      <w:r w:rsidR="005E0D5D">
        <w:t xml:space="preserve"> applicants say that the determination of </w:t>
      </w:r>
      <w:r>
        <w:t>their s 961L case</w:t>
      </w:r>
      <w:r w:rsidR="005E0D5D">
        <w:t xml:space="preserve"> does not depend on </w:t>
      </w:r>
      <w:r>
        <w:t xml:space="preserve">any </w:t>
      </w:r>
      <w:r w:rsidR="005E0D5D">
        <w:t xml:space="preserve">findings of underlying breaches of </w:t>
      </w:r>
      <w:proofErr w:type="spellStart"/>
      <w:r w:rsidR="005E0D5D">
        <w:t>ss</w:t>
      </w:r>
      <w:proofErr w:type="spellEnd"/>
      <w:r w:rsidR="005E0D5D">
        <w:t xml:space="preserve"> 961B and 961J by the AMP authorised representatives.  </w:t>
      </w:r>
      <w:r>
        <w:t>They say that t</w:t>
      </w:r>
      <w:r w:rsidR="005E0D5D">
        <w:t>he focus of s 961L is on taking reasonable steps.</w:t>
      </w:r>
      <w:r>
        <w:t xml:space="preserve">  And in this context t</w:t>
      </w:r>
      <w:r w:rsidR="000F5985">
        <w:t xml:space="preserve">hey have </w:t>
      </w:r>
      <w:r w:rsidR="000F5985">
        <w:lastRenderedPageBreak/>
        <w:t xml:space="preserve">prayed in aid what was said </w:t>
      </w:r>
      <w:r w:rsidR="005E0D5D">
        <w:t xml:space="preserve">in </w:t>
      </w:r>
      <w:r w:rsidR="005E0D5D" w:rsidRPr="000F5985">
        <w:rPr>
          <w:i/>
        </w:rPr>
        <w:t xml:space="preserve">Australian Securities and Investments Commission v AMP Financial Planning Pty Ltd (No 2) </w:t>
      </w:r>
      <w:r w:rsidR="005E0D5D" w:rsidRPr="00D24149">
        <w:t>(2020) 377 ALR 55</w:t>
      </w:r>
      <w:r w:rsidR="005E0D5D">
        <w:t xml:space="preserve"> by Lee J</w:t>
      </w:r>
      <w:r w:rsidR="005E0D5D" w:rsidRPr="00D24149">
        <w:t xml:space="preserve"> at [106] to</w:t>
      </w:r>
      <w:r>
        <w:t xml:space="preserve"> [107].</w:t>
      </w:r>
    </w:p>
    <w:p w:rsidR="005E0D5D" w:rsidRDefault="003661F9" w:rsidP="003661F9">
      <w:pPr>
        <w:pStyle w:val="ParaNumbering"/>
      </w:pPr>
      <w:r>
        <w:t>T</w:t>
      </w:r>
      <w:r w:rsidR="005E0D5D">
        <w:t>he applicants say that s 961L reflects an independent obligation on the AMP licensees to take reasonable steps to ensure that the AMP authorised representatives were complying w</w:t>
      </w:r>
      <w:r>
        <w:t xml:space="preserve">ith their own statutory duties.  </w:t>
      </w:r>
      <w:r w:rsidR="005E0D5D">
        <w:t>It follows, so it is said, that the common factual inquiry to be undertaken in relation to this claim at the initial trial of the proceeding will be determinative of the s 961L claims of the group members, at least on the question of breach.</w:t>
      </w:r>
    </w:p>
    <w:p w:rsidR="005E0D5D" w:rsidRDefault="005E0D5D" w:rsidP="005E0D5D">
      <w:pPr>
        <w:pStyle w:val="ParaNumbering"/>
      </w:pPr>
      <w:r>
        <w:t xml:space="preserve">Further, the applicants say that to the extent the applicants seek compensation on behalf of group members in relation to the contravention of s 961L on the basis of profit, rather than loss, as permitted by s 961M(4), it will not be necessary to prove individual group member causation or loss.  The profits made as a result of a systems failure can be assessed on an </w:t>
      </w:r>
      <w:r w:rsidRPr="005B153C">
        <w:t>aggregate basis</w:t>
      </w:r>
      <w:r w:rsidRPr="00CA14E4">
        <w:t>.</w:t>
      </w:r>
    </w:p>
    <w:p w:rsidR="005E0D5D" w:rsidRDefault="005E0D5D" w:rsidP="005E0D5D">
      <w:pPr>
        <w:pStyle w:val="ParaNumbering"/>
      </w:pPr>
      <w:r>
        <w:t>Further, it is said that even if compensation is sought on the basis of actual loss, individual issues of causation and loss do not deny a common question utility.</w:t>
      </w:r>
    </w:p>
    <w:p w:rsidR="005E0D5D" w:rsidRDefault="005E0D5D" w:rsidP="00CA14E4">
      <w:pPr>
        <w:pStyle w:val="ParaNumbering"/>
      </w:pPr>
      <w:r>
        <w:t>Now as to the further s 961L claim brought by the first applicant on behalf of the Stack sub-group members, it is said tha</w:t>
      </w:r>
      <w:r w:rsidR="00CA14E4">
        <w:t xml:space="preserve">t similar considerations arise.  </w:t>
      </w:r>
      <w:r w:rsidR="000F5985">
        <w:t>I</w:t>
      </w:r>
      <w:r>
        <w:t>t is alleged that the AMP licensees maintained policies that incentivised AMP authorised representatives to recommend AMP life products, rather than life and risk products</w:t>
      </w:r>
      <w:r w:rsidR="003661F9">
        <w:t xml:space="preserve"> issued by third-party issuers.  </w:t>
      </w:r>
      <w:r>
        <w:t>It is alleged that during the relevant perio</w:t>
      </w:r>
      <w:r w:rsidR="007D6CFF">
        <w:t>d the AMP licensees maintained i</w:t>
      </w:r>
      <w:r>
        <w:t>nsurance APLs which contained AMP life products, but not relevant life products issued by third-party issuers, and that restrictions were imposed by the AMP licensees on AMP authorised representatives recommending products that were not on the insurance APLs.  Further, the proposed amendments introduce further allegations regarding the policies that restricted AMP authorised representatives from recommend</w:t>
      </w:r>
      <w:r w:rsidR="003661F9">
        <w:t xml:space="preserve">ing non-APL insurance products.  </w:t>
      </w:r>
      <w:r>
        <w:t>Further, it is alleged that AMP licensees had in place platform APLs, which were primarily limited to AMP’s own platforms, and that the only life products which could be placed on AMP’s platforms were insurance products issued by AMP life</w:t>
      </w:r>
      <w:r w:rsidR="003661F9">
        <w:t>.  It is said that</w:t>
      </w:r>
      <w:r>
        <w:t xml:space="preserve"> these APLs and platform APLs were developed according to a common system, involving common policies and a common decision-making organ.  </w:t>
      </w:r>
      <w:r w:rsidR="003661F9">
        <w:t>It is said that</w:t>
      </w:r>
      <w:r>
        <w:t xml:space="preserve"> the effect of these systems was that 90% of new clients who received advice from an AMP authorised representative invested funds or paid premiums in</w:t>
      </w:r>
      <w:r w:rsidR="00CA14E4">
        <w:t xml:space="preserve"> an in-house AMP product and 60 to </w:t>
      </w:r>
      <w:r>
        <w:t>70% of new client funds or premiums were directed to in-house products.</w:t>
      </w:r>
    </w:p>
    <w:p w:rsidR="005E0D5D" w:rsidRDefault="003661F9" w:rsidP="005E0D5D">
      <w:pPr>
        <w:pStyle w:val="ParaNumbering"/>
      </w:pPr>
      <w:r>
        <w:lastRenderedPageBreak/>
        <w:t>In summary, a case is put for</w:t>
      </w:r>
      <w:r w:rsidR="005E0D5D">
        <w:t xml:space="preserve"> the Stack sub-group members that by maintaining these systems and policies, AMP failed to take reasonable steps contrary to s 961L to ensure that its authorised representatives complied wi</w:t>
      </w:r>
      <w:r w:rsidR="00CA14E4">
        <w:t xml:space="preserve">th their duties under </w:t>
      </w:r>
      <w:proofErr w:type="spellStart"/>
      <w:r w:rsidR="00CA14E4">
        <w:t>ss</w:t>
      </w:r>
      <w:proofErr w:type="spellEnd"/>
      <w:r w:rsidR="00CA14E4">
        <w:t> 961B and 961J</w:t>
      </w:r>
      <w:r w:rsidR="005E0D5D">
        <w:t>.</w:t>
      </w:r>
    </w:p>
    <w:p w:rsidR="000F5985" w:rsidRDefault="003661F9" w:rsidP="005E0D5D">
      <w:pPr>
        <w:pStyle w:val="ParaNumbering"/>
      </w:pPr>
      <w:r>
        <w:t>So, t</w:t>
      </w:r>
      <w:r w:rsidR="005E0D5D">
        <w:t xml:space="preserve">he applicants say that </w:t>
      </w:r>
      <w:r>
        <w:t>various</w:t>
      </w:r>
      <w:r w:rsidR="005E0D5D">
        <w:t xml:space="preserve"> common issues arise i</w:t>
      </w:r>
      <w:r>
        <w:t>n respect of these allegations.  W</w:t>
      </w:r>
      <w:r w:rsidR="005E0D5D">
        <w:t xml:space="preserve">hat products were contained on the </w:t>
      </w:r>
      <w:r>
        <w:t>APLs during the relevant period?  W</w:t>
      </w:r>
      <w:r w:rsidR="005E0D5D">
        <w:t>hat approvals were required by the authorised representatives to recommend an insurance product not</w:t>
      </w:r>
      <w:r w:rsidR="007D6CFF">
        <w:t xml:space="preserve"> listed on the i</w:t>
      </w:r>
      <w:r>
        <w:t>nsurance APLs?</w:t>
      </w:r>
    </w:p>
    <w:p w:rsidR="005E0D5D" w:rsidRDefault="005E0D5D" w:rsidP="005E0D5D">
      <w:pPr>
        <w:pStyle w:val="ParaNumbering"/>
      </w:pPr>
      <w:r>
        <w:t xml:space="preserve">It is said that these issues are common to the </w:t>
      </w:r>
      <w:r w:rsidR="003661F9">
        <w:t xml:space="preserve">Stack </w:t>
      </w:r>
      <w:r>
        <w:t>sub-group, and</w:t>
      </w:r>
      <w:r w:rsidR="003661F9">
        <w:t xml:space="preserve"> that</w:t>
      </w:r>
      <w:r>
        <w:t xml:space="preserve"> their investigation will not require consideration of the group members’ individual circumstances or necessitate establishing breaches of </w:t>
      </w:r>
      <w:proofErr w:type="spellStart"/>
      <w:r>
        <w:t>ss</w:t>
      </w:r>
      <w:proofErr w:type="spellEnd"/>
      <w:r>
        <w:t> 961B and 961J by any individual AMP authorised representatives.</w:t>
      </w:r>
    </w:p>
    <w:p w:rsidR="005E0D5D" w:rsidRDefault="000F5985" w:rsidP="005E0D5D">
      <w:pPr>
        <w:pStyle w:val="ParaNumbering"/>
      </w:pPr>
      <w:r>
        <w:t>But</w:t>
      </w:r>
      <w:r w:rsidR="005E0D5D">
        <w:t xml:space="preserve"> </w:t>
      </w:r>
      <w:r w:rsidR="00B4227B">
        <w:t>in my view the respondents are correct in saying</w:t>
      </w:r>
      <w:r w:rsidR="005E0D5D">
        <w:t xml:space="preserve"> that the applicants</w:t>
      </w:r>
      <w:r>
        <w:t>’</w:t>
      </w:r>
      <w:r w:rsidR="005E0D5D">
        <w:t xml:space="preserve"> </w:t>
      </w:r>
      <w:r>
        <w:t>pleading</w:t>
      </w:r>
      <w:r w:rsidR="003661F9">
        <w:t xml:space="preserve"> </w:t>
      </w:r>
      <w:r w:rsidR="005E0D5D">
        <w:t xml:space="preserve">links their allegations of contravention of s 961L with other alleged breaches which themselves necessarily require an analysis of individual group </w:t>
      </w:r>
      <w:r w:rsidR="005E0D5D" w:rsidRPr="001857AC">
        <w:t>members’ claims.</w:t>
      </w:r>
    </w:p>
    <w:p w:rsidR="005E0D5D" w:rsidRDefault="00B4227B" w:rsidP="005E0D5D">
      <w:pPr>
        <w:pStyle w:val="ParaNumbering"/>
      </w:pPr>
      <w:r>
        <w:t>T</w:t>
      </w:r>
      <w:r w:rsidR="005E0D5D">
        <w:t>he applicants allege as the only foundation for their allegation of breach</w:t>
      </w:r>
      <w:r w:rsidR="00AA1D16">
        <w:t xml:space="preserve"> of s </w:t>
      </w:r>
      <w:r w:rsidR="003661F9">
        <w:t>961L</w:t>
      </w:r>
      <w:r w:rsidR="005E0D5D">
        <w:t>, that the AMP licensees failed to ensure that the AMP authorised represen</w:t>
      </w:r>
      <w:r w:rsidR="00CA14E4">
        <w:t xml:space="preserve">tatives complied with </w:t>
      </w:r>
      <w:proofErr w:type="spellStart"/>
      <w:r w:rsidR="00CA14E4">
        <w:t>ss</w:t>
      </w:r>
      <w:proofErr w:type="spellEnd"/>
      <w:r w:rsidR="00CA14E4">
        <w:t> 961B and 961J</w:t>
      </w:r>
      <w:r w:rsidR="005E0D5D">
        <w:t xml:space="preserve"> wi</w:t>
      </w:r>
      <w:r w:rsidR="003661F9">
        <w:t>th respect to all group members</w:t>
      </w:r>
      <w:r w:rsidR="005E0D5D">
        <w:t xml:space="preserve"> and/or Stack s</w:t>
      </w:r>
      <w:r w:rsidR="003661F9">
        <w:t>ub-group members</w:t>
      </w:r>
      <w:r w:rsidR="005E0D5D">
        <w:t xml:space="preserve"> by reason of various factors.</w:t>
      </w:r>
    </w:p>
    <w:p w:rsidR="005E0D5D" w:rsidRDefault="00B4227B" w:rsidP="005E0D5D">
      <w:pPr>
        <w:pStyle w:val="ParaNumbering"/>
      </w:pPr>
      <w:r>
        <w:t>T</w:t>
      </w:r>
      <w:r w:rsidR="005E0D5D">
        <w:t>hose factors travel beyond as</w:t>
      </w:r>
      <w:r w:rsidR="003661F9">
        <w:t>sertions that the AMP licensees</w:t>
      </w:r>
      <w:r w:rsidR="005E0D5D">
        <w:t xml:space="preserve"> </w:t>
      </w:r>
      <w:r w:rsidR="003661F9">
        <w:t>failed</w:t>
      </w:r>
      <w:r w:rsidR="005E0D5D">
        <w:t xml:space="preserve"> to take reasonable steps to implement appropriate </w:t>
      </w:r>
      <w:r w:rsidR="003661F9">
        <w:t>po</w:t>
      </w:r>
      <w:r>
        <w:t>licies, systems and processes and do raise</w:t>
      </w:r>
      <w:r w:rsidR="005E0D5D">
        <w:t xml:space="preserve"> individual matters</w:t>
      </w:r>
      <w:r>
        <w:t>, even allowing for the applicants’ proposed amendments</w:t>
      </w:r>
      <w:r w:rsidR="005E0D5D">
        <w:t>.</w:t>
      </w:r>
    </w:p>
    <w:p w:rsidR="005E0D5D" w:rsidRDefault="003661F9" w:rsidP="005E0D5D">
      <w:pPr>
        <w:pStyle w:val="ParaNumbering"/>
      </w:pPr>
      <w:r>
        <w:t>Further, although</w:t>
      </w:r>
      <w:r w:rsidR="005E0D5D">
        <w:t xml:space="preserve"> the amendm</w:t>
      </w:r>
      <w:r w:rsidR="00CA14E4">
        <w:t>ents proffered</w:t>
      </w:r>
      <w:r w:rsidR="005E0D5D">
        <w:t xml:space="preserve"> breathe life into the argument that the s 961L allegations may be determined as common issues, they </w:t>
      </w:r>
      <w:r w:rsidR="00CA14E4">
        <w:t xml:space="preserve">arguably </w:t>
      </w:r>
      <w:r w:rsidR="005E0D5D">
        <w:t xml:space="preserve">sever the factual link between the alleged breaches of </w:t>
      </w:r>
      <w:proofErr w:type="spellStart"/>
      <w:r w:rsidR="005E0D5D">
        <w:t>ss</w:t>
      </w:r>
      <w:proofErr w:type="spellEnd"/>
      <w:r w:rsidR="005E0D5D">
        <w:t> 961B and 961J, and the failure of the AMP licensees to comply with s 961L.</w:t>
      </w:r>
    </w:p>
    <w:p w:rsidR="005E0D5D" w:rsidRDefault="00D67025" w:rsidP="00B4227B">
      <w:pPr>
        <w:pStyle w:val="ParaNumbering"/>
      </w:pPr>
      <w:r>
        <w:t xml:space="preserve">Further, the respondents dispute that </w:t>
      </w:r>
      <w:r w:rsidR="005E0D5D">
        <w:t xml:space="preserve">the applicants </w:t>
      </w:r>
      <w:r>
        <w:t>can</w:t>
      </w:r>
      <w:r w:rsidR="005E0D5D">
        <w:t xml:space="preserve"> step around these realities by asserting that the determination of the s 961L claims does not depend on the findings of underlying breaches of </w:t>
      </w:r>
      <w:proofErr w:type="spellStart"/>
      <w:r w:rsidR="005E0D5D">
        <w:t>ss</w:t>
      </w:r>
      <w:proofErr w:type="spellEnd"/>
      <w:r w:rsidR="005E0D5D">
        <w:t> 961B and 961J by the A</w:t>
      </w:r>
      <w:r w:rsidR="00B4227B">
        <w:t xml:space="preserve">MP authorised representatives, and say that their position </w:t>
      </w:r>
      <w:r w:rsidR="005E0D5D">
        <w:t xml:space="preserve">is unassisted by the observations in </w:t>
      </w:r>
      <w:r w:rsidR="005E0D5D" w:rsidRPr="00B4227B">
        <w:rPr>
          <w:i/>
        </w:rPr>
        <w:t>AM</w:t>
      </w:r>
      <w:r w:rsidR="00CA14E4">
        <w:rPr>
          <w:i/>
        </w:rPr>
        <w:t xml:space="preserve">P (No 2) </w:t>
      </w:r>
      <w:r w:rsidR="00CA14E4">
        <w:t>which in any event appear to reflect common ground (see [106] and [116]).  I agree.  Such observations</w:t>
      </w:r>
      <w:r w:rsidR="005E0D5D">
        <w:t xml:space="preserve"> were made in the context of a civil penalty proceeding</w:t>
      </w:r>
      <w:r w:rsidR="00B4227B">
        <w:t xml:space="preserve"> and</w:t>
      </w:r>
      <w:r w:rsidR="005E0D5D">
        <w:t xml:space="preserve"> where the regulator did not have to establish that the clients of AMPFP suffered any loss or damage.</w:t>
      </w:r>
    </w:p>
    <w:p w:rsidR="005E0D5D" w:rsidRDefault="00CA14E4" w:rsidP="00CA14E4">
      <w:pPr>
        <w:pStyle w:val="ParaNumbering"/>
      </w:pPr>
      <w:r>
        <w:lastRenderedPageBreak/>
        <w:t>But</w:t>
      </w:r>
      <w:r w:rsidR="005E0D5D">
        <w:t xml:space="preserve"> in the present case a finding of a contravention of s 961L by any of the AMP licensees would not advance the applicants’ and group members’ claim for loss or damage without a related finding that </w:t>
      </w:r>
      <w:r>
        <w:t>they</w:t>
      </w:r>
      <w:r w:rsidR="005E0D5D">
        <w:t xml:space="preserve"> suffered economic loss by reason of their AMP authorised representatives failing in their best interests duty or failing to give priorit</w:t>
      </w:r>
      <w:r>
        <w:t xml:space="preserve">y to their clients’ interests.  </w:t>
      </w:r>
      <w:r w:rsidR="00B4227B">
        <w:t>Accordingly,</w:t>
      </w:r>
      <w:r w:rsidR="00D67025">
        <w:t xml:space="preserve"> t</w:t>
      </w:r>
      <w:r w:rsidR="005E0D5D">
        <w:t xml:space="preserve">hose </w:t>
      </w:r>
      <w:r w:rsidR="00B4227B">
        <w:t>related findings necessitate</w:t>
      </w:r>
      <w:r w:rsidR="005E0D5D">
        <w:t xml:space="preserve"> </w:t>
      </w:r>
      <w:r w:rsidR="005E0D5D" w:rsidRPr="00EB16C0">
        <w:t>individual inquiries</w:t>
      </w:r>
      <w:r w:rsidR="00B4227B" w:rsidRPr="00EB16C0">
        <w:t>.</w:t>
      </w:r>
    </w:p>
    <w:p w:rsidR="005E0D5D" w:rsidRDefault="000F5985" w:rsidP="005E0D5D">
      <w:pPr>
        <w:pStyle w:val="ParaNumbering"/>
      </w:pPr>
      <w:r>
        <w:t xml:space="preserve">Further, </w:t>
      </w:r>
      <w:r w:rsidR="007B192F">
        <w:t>it may be said</w:t>
      </w:r>
      <w:r w:rsidR="00D67025">
        <w:t xml:space="preserve"> that </w:t>
      </w:r>
      <w:r>
        <w:t>e</w:t>
      </w:r>
      <w:r w:rsidR="005E0D5D">
        <w:t xml:space="preserve">ven if some deficiency in training or policy were </w:t>
      </w:r>
      <w:r w:rsidR="00D67025">
        <w:t xml:space="preserve">to be </w:t>
      </w:r>
      <w:r w:rsidR="005E0D5D">
        <w:t xml:space="preserve">established, it would only beg the </w:t>
      </w:r>
      <w:r w:rsidR="00D67025">
        <w:t xml:space="preserve">question of whether that </w:t>
      </w:r>
      <w:r w:rsidR="007B192F">
        <w:t>deficiency le</w:t>
      </w:r>
      <w:r w:rsidR="005E0D5D">
        <w:t xml:space="preserve">d to a breach of </w:t>
      </w:r>
      <w:proofErr w:type="spellStart"/>
      <w:r w:rsidR="005E0D5D">
        <w:t>ss</w:t>
      </w:r>
      <w:proofErr w:type="spellEnd"/>
      <w:r w:rsidR="005E0D5D">
        <w:t> 961B or 961J which caused the relevant applicant</w:t>
      </w:r>
      <w:r w:rsidR="00D67025">
        <w:t xml:space="preserve"> or group member loss or damage.</w:t>
      </w:r>
      <w:r w:rsidR="005E0D5D">
        <w:t xml:space="preserve">  And that question is an individual one.</w:t>
      </w:r>
    </w:p>
    <w:p w:rsidR="005E0D5D" w:rsidRPr="00707F67" w:rsidRDefault="007B192F" w:rsidP="00CA14E4">
      <w:pPr>
        <w:pStyle w:val="ParaNumbering"/>
      </w:pPr>
      <w:r>
        <w:t>Now</w:t>
      </w:r>
      <w:r w:rsidR="005E0D5D">
        <w:t xml:space="preserve"> the applicants </w:t>
      </w:r>
      <w:r>
        <w:t xml:space="preserve">have sought </w:t>
      </w:r>
      <w:r w:rsidR="005E0D5D">
        <w:t>to circumvent these individual issues of causation and loss by contending that the applicants and group members are entitled to seek compensation on behalf of group members in relation to the contravention of s 961L on the basis of profit rather than loss</w:t>
      </w:r>
      <w:r>
        <w:t>.  But this may n</w:t>
      </w:r>
      <w:r w:rsidR="00CA14E4">
        <w:t>ot work.  And</w:t>
      </w:r>
      <w:r>
        <w:t xml:space="preserve"> in any event a</w:t>
      </w:r>
      <w:r w:rsidR="005E0D5D">
        <w:t xml:space="preserve">ny such recovery still depends on making out the underlying breaches of </w:t>
      </w:r>
      <w:proofErr w:type="spellStart"/>
      <w:r w:rsidR="005E0D5D">
        <w:t>ss</w:t>
      </w:r>
      <w:proofErr w:type="spellEnd"/>
      <w:r w:rsidR="005E0D5D">
        <w:t xml:space="preserve"> 961B and </w:t>
      </w:r>
      <w:r w:rsidR="005E0D5D" w:rsidRPr="00EB16C0">
        <w:t>961J pleaded.</w:t>
      </w:r>
      <w:r w:rsidR="00CA14E4">
        <w:t xml:space="preserve">  </w:t>
      </w:r>
      <w:r w:rsidR="00D67025">
        <w:t>Further</w:t>
      </w:r>
      <w:r w:rsidR="005E0D5D">
        <w:t xml:space="preserve">, </w:t>
      </w:r>
      <w:r>
        <w:t xml:space="preserve">arguably invoking s 961M(4) </w:t>
      </w:r>
      <w:r w:rsidR="005E0D5D">
        <w:t xml:space="preserve">does not </w:t>
      </w:r>
      <w:r w:rsidR="00CA14E4">
        <w:t xml:space="preserve">assist the applicants to </w:t>
      </w:r>
      <w:r w:rsidR="005E0D5D" w:rsidRPr="00707F67">
        <w:t xml:space="preserve">remove the necessity to </w:t>
      </w:r>
      <w:r w:rsidR="005E0D5D" w:rsidRPr="00AD6351">
        <w:t xml:space="preserve">establish </w:t>
      </w:r>
      <w:r w:rsidR="00CA14E4">
        <w:t xml:space="preserve">the requisite </w:t>
      </w:r>
      <w:r w:rsidR="00CA14E4" w:rsidRPr="00B66FD0">
        <w:t>causal link.</w:t>
      </w:r>
    </w:p>
    <w:p w:rsidR="000F5985" w:rsidRPr="001D6DDA" w:rsidRDefault="0027128B" w:rsidP="005E0D5D">
      <w:pPr>
        <w:pStyle w:val="ParaNumbering"/>
      </w:pPr>
      <w:r>
        <w:t xml:space="preserve">In my view the respondents have made many points of substance concerning s 961L including the limited utility of the observations in </w:t>
      </w:r>
      <w:r w:rsidRPr="0027128B">
        <w:rPr>
          <w:i/>
        </w:rPr>
        <w:t>AMP (No 2)</w:t>
      </w:r>
      <w:r>
        <w:rPr>
          <w:i/>
        </w:rPr>
        <w:t xml:space="preserve"> </w:t>
      </w:r>
      <w:r>
        <w:t>concerning civil claims for damages or profits</w:t>
      </w:r>
      <w:r w:rsidRPr="001D6DDA">
        <w:t>.  Nevertheless, despite their best efforts, clearly there are broader systems issues and common issues involved, although they would not be dispositive of these claims.</w:t>
      </w:r>
    </w:p>
    <w:p w:rsidR="005E0D5D" w:rsidRDefault="005E0D5D" w:rsidP="005E0D5D">
      <w:pPr>
        <w:pStyle w:val="Heading4"/>
      </w:pPr>
      <w:r w:rsidRPr="001D6DDA">
        <w:t>Anti-avoidance claims</w:t>
      </w:r>
    </w:p>
    <w:p w:rsidR="005E0D5D" w:rsidRDefault="00D67025" w:rsidP="005E0D5D">
      <w:pPr>
        <w:pStyle w:val="ParaNumbering"/>
      </w:pPr>
      <w:r>
        <w:t xml:space="preserve">It is alleged that contrary to s 965(1) </w:t>
      </w:r>
      <w:r w:rsidR="005E0D5D">
        <w:t xml:space="preserve">AMP Limited and the AMP licensees </w:t>
      </w:r>
      <w:r>
        <w:t>carried out a restructuring</w:t>
      </w:r>
      <w:r w:rsidR="005E0D5D">
        <w:t xml:space="preserve"> for the purpose of avoiding the ban on conflicted remuneration </w:t>
      </w:r>
      <w:r>
        <w:t xml:space="preserve">contained in </w:t>
      </w:r>
      <w:proofErr w:type="spellStart"/>
      <w:r>
        <w:t>Div</w:t>
      </w:r>
      <w:proofErr w:type="spellEnd"/>
      <w:r>
        <w:t xml:space="preserve"> 4 of </w:t>
      </w:r>
      <w:r w:rsidRPr="00025221">
        <w:t>Part 7</w:t>
      </w:r>
      <w:r w:rsidRPr="00C77E45">
        <w:t>.7A.</w:t>
      </w:r>
    </w:p>
    <w:p w:rsidR="005E0D5D" w:rsidRDefault="000F5985" w:rsidP="005E0D5D">
      <w:pPr>
        <w:pStyle w:val="ParaNumbering"/>
      </w:pPr>
      <w:r>
        <w:t>Now t</w:t>
      </w:r>
      <w:r w:rsidR="005E0D5D">
        <w:t xml:space="preserve">he anti-avoidance allegations </w:t>
      </w:r>
      <w:r w:rsidR="00025221">
        <w:t>are</w:t>
      </w:r>
      <w:r w:rsidR="005E0D5D">
        <w:t xml:space="preserve"> of a diffe</w:t>
      </w:r>
      <w:r w:rsidR="00025221">
        <w:t xml:space="preserve">rent nature to the other claims.  They do </w:t>
      </w:r>
      <w:r w:rsidR="005E0D5D">
        <w:t xml:space="preserve">not </w:t>
      </w:r>
      <w:r w:rsidR="00025221">
        <w:t xml:space="preserve">for the most part </w:t>
      </w:r>
      <w:r w:rsidR="005E0D5D">
        <w:t>require an investigation into the individual circumstances of each of the group members.</w:t>
      </w:r>
    </w:p>
    <w:p w:rsidR="005E0D5D" w:rsidRDefault="000F5985" w:rsidP="005E0D5D">
      <w:pPr>
        <w:pStyle w:val="ParaNumbering"/>
      </w:pPr>
      <w:r>
        <w:t>But</w:t>
      </w:r>
      <w:r w:rsidR="00025221">
        <w:t xml:space="preserve"> </w:t>
      </w:r>
      <w:r w:rsidR="005E0D5D" w:rsidRPr="000D0AD1">
        <w:t>to determine the compensation claimed by reason of the alleged bre</w:t>
      </w:r>
      <w:r w:rsidR="005E0D5D">
        <w:t>ach of s </w:t>
      </w:r>
      <w:r>
        <w:t>965</w:t>
      </w:r>
      <w:r w:rsidR="005E0D5D" w:rsidRPr="000D0AD1">
        <w:t xml:space="preserve">, </w:t>
      </w:r>
      <w:r w:rsidR="005E0D5D">
        <w:t xml:space="preserve">the respondents say that </w:t>
      </w:r>
      <w:r w:rsidR="005E0D5D" w:rsidRPr="000D0AD1">
        <w:t xml:space="preserve">one needs to consider whether each group member in fact paid </w:t>
      </w:r>
      <w:r w:rsidR="00025221">
        <w:t xml:space="preserve">commissions, </w:t>
      </w:r>
      <w:r w:rsidR="005E0D5D" w:rsidRPr="000D0AD1">
        <w:t>alternatively what commissions the respondents received and the prof</w:t>
      </w:r>
      <w:r w:rsidR="005E0D5D">
        <w:t>it earned on those commissions.</w:t>
      </w:r>
    </w:p>
    <w:p w:rsidR="005E0D5D" w:rsidRPr="00444EA0" w:rsidRDefault="00025221" w:rsidP="00025221">
      <w:pPr>
        <w:pStyle w:val="ParaNumbering"/>
      </w:pPr>
      <w:r>
        <w:lastRenderedPageBreak/>
        <w:t>Further, it is said</w:t>
      </w:r>
      <w:r w:rsidR="005E0D5D" w:rsidRPr="000D0AD1">
        <w:t xml:space="preserve"> that none of the applicants invested in product</w:t>
      </w:r>
      <w:r w:rsidR="005E0D5D">
        <w:t>s which yielded the payment of non-insurance product commissions</w:t>
      </w:r>
      <w:r w:rsidR="000F5985">
        <w:t xml:space="preserve"> as defined.</w:t>
      </w:r>
      <w:r>
        <w:t xml:space="preserve">  </w:t>
      </w:r>
      <w:r w:rsidR="005E0D5D" w:rsidRPr="00444EA0">
        <w:t>Accordingly, a determination of the applicants’ claims will not resolve the anti-avoidance allegations.</w:t>
      </w:r>
    </w:p>
    <w:p w:rsidR="005E0D5D" w:rsidRDefault="000F5985" w:rsidP="005E0D5D">
      <w:pPr>
        <w:pStyle w:val="ParaNumbering"/>
      </w:pPr>
      <w:r>
        <w:t>Further</w:t>
      </w:r>
      <w:r w:rsidR="005E0D5D">
        <w:t xml:space="preserve">, </w:t>
      </w:r>
      <w:r w:rsidR="00025221">
        <w:t xml:space="preserve">it is said that </w:t>
      </w:r>
      <w:r w:rsidR="005E0D5D">
        <w:t xml:space="preserve">the cohort of group members who </w:t>
      </w:r>
      <w:r w:rsidR="00025221">
        <w:t xml:space="preserve">now </w:t>
      </w:r>
      <w:r w:rsidR="005E0D5D">
        <w:t>claim loss by reason of the respondents’ breach of s 965(1) is confined to those group members whose investments caused the payment of non-insurance product commissions and whose AMP authorised representative transitioned from one AMP authorised representative to another AMP authorised representative with a different AFSL, or from one AMP authorised representative’s AFSL to another.</w:t>
      </w:r>
    </w:p>
    <w:p w:rsidR="005E0D5D" w:rsidRDefault="00025221" w:rsidP="005E0D5D">
      <w:pPr>
        <w:pStyle w:val="ParaNumbering"/>
      </w:pPr>
      <w:r>
        <w:t>But t</w:t>
      </w:r>
      <w:r w:rsidR="005E0D5D">
        <w:t xml:space="preserve">he respondents say that the group members who fall within this </w:t>
      </w:r>
      <w:r>
        <w:t>cohort</w:t>
      </w:r>
      <w:r w:rsidR="005E0D5D">
        <w:t xml:space="preserve"> may well be limited and</w:t>
      </w:r>
      <w:r>
        <w:t xml:space="preserve"> do</w:t>
      </w:r>
      <w:r w:rsidR="005E0D5D">
        <w:t xml:space="preserve"> not justify the separate trial of questions relating to this claim, even if they could be characteris</w:t>
      </w:r>
      <w:r>
        <w:t>ed as common to that cohort.</w:t>
      </w:r>
    </w:p>
    <w:p w:rsidR="005E0D5D" w:rsidRDefault="00025221" w:rsidP="005E0D5D">
      <w:pPr>
        <w:pStyle w:val="ParaNumbering"/>
      </w:pPr>
      <w:r>
        <w:t>Further, t</w:t>
      </w:r>
      <w:r w:rsidR="005E0D5D">
        <w:t>he respondents say that it is difficult to see how it is alleged that this sub-set of group members could have suffered any loss by reason of the implementation of the alleged scheme.  The impugned non-incidental purpose of the scheme was to permit non-insurance product commissions to continue after 1 July 2013.  But such commissions are those payable by financial product issuers of such non-insurance products to the AMP licensees.  They are not payable by the sub-set of group members who make the anti-avoidance claim.</w:t>
      </w:r>
    </w:p>
    <w:p w:rsidR="005E0D5D" w:rsidRDefault="00025221" w:rsidP="005E0D5D">
      <w:pPr>
        <w:pStyle w:val="ParaNumbering"/>
      </w:pPr>
      <w:r>
        <w:t>So, by</w:t>
      </w:r>
      <w:r w:rsidR="005E0D5D">
        <w:t xml:space="preserve"> the time the alleged scheme </w:t>
      </w:r>
      <w:r w:rsidR="00D34092">
        <w:t xml:space="preserve">is </w:t>
      </w:r>
      <w:r>
        <w:t>implemented, the relevant</w:t>
      </w:r>
      <w:r w:rsidR="005E0D5D">
        <w:t xml:space="preserve"> group members have by definition already bought the non-insurance products in respect o</w:t>
      </w:r>
      <w:r>
        <w:t xml:space="preserve">f which the product issuer paid and continued to pay </w:t>
      </w:r>
      <w:r w:rsidR="005E0D5D">
        <w:t>c</w:t>
      </w:r>
      <w:r>
        <w:t>ommissions after 1 July 2013.  Accordingly, t</w:t>
      </w:r>
      <w:r w:rsidR="005E0D5D">
        <w:t xml:space="preserve">hose group members suffered no loss </w:t>
      </w:r>
      <w:r>
        <w:t>through</w:t>
      </w:r>
      <w:r w:rsidR="005E0D5D">
        <w:t xml:space="preserve"> the continuation of that commission stream.</w:t>
      </w:r>
    </w:p>
    <w:p w:rsidR="005E0D5D" w:rsidRDefault="00025221" w:rsidP="005E0D5D">
      <w:pPr>
        <w:pStyle w:val="ParaNumbering"/>
      </w:pPr>
      <w:r>
        <w:t>In those circumstances, it is said that t</w:t>
      </w:r>
      <w:r w:rsidR="005E0D5D">
        <w:t>he only conceivable remaining claim would be for the profits made by the AMP lice</w:t>
      </w:r>
      <w:r>
        <w:t>nsees in respect of the scheme.  B</w:t>
      </w:r>
      <w:r w:rsidR="005E0D5D">
        <w:t xml:space="preserve">ut </w:t>
      </w:r>
      <w:r>
        <w:t xml:space="preserve">even then, </w:t>
      </w:r>
      <w:r w:rsidR="005E0D5D">
        <w:t>those group members still have to establish that they s</w:t>
      </w:r>
      <w:r w:rsidR="00CA14E4">
        <w:t>uffered damage before s 1317HA(2</w:t>
      </w:r>
      <w:r w:rsidR="005E0D5D">
        <w:t xml:space="preserve">) </w:t>
      </w:r>
      <w:r>
        <w:t>can be invoked.  It is said that a</w:t>
      </w:r>
      <w:r w:rsidR="005E0D5D">
        <w:t>s those clients are not paying the commissions, it is difficult to see how the applicants could satisfy this threshold by reference to implementation of the scheme.</w:t>
      </w:r>
    </w:p>
    <w:p w:rsidR="005E0D5D" w:rsidRDefault="00025221" w:rsidP="005E0D5D">
      <w:pPr>
        <w:pStyle w:val="ParaNumbering"/>
      </w:pPr>
      <w:r>
        <w:t>Further, it is said that any</w:t>
      </w:r>
      <w:r w:rsidR="005E0D5D">
        <w:t xml:space="preserve"> loss or damage as a result of </w:t>
      </w:r>
      <w:r>
        <w:t>such</w:t>
      </w:r>
      <w:r w:rsidR="005E0D5D">
        <w:t xml:space="preserve"> contraventions will vary </w:t>
      </w:r>
      <w:r>
        <w:t>on an individual group member basis and</w:t>
      </w:r>
      <w:r w:rsidR="005E0D5D">
        <w:t xml:space="preserve"> </w:t>
      </w:r>
      <w:r w:rsidR="005E0D5D" w:rsidRPr="00764DE3">
        <w:t xml:space="preserve">will not be answered by determining a sample group </w:t>
      </w:r>
      <w:r w:rsidR="005E0D5D" w:rsidRPr="008967C9">
        <w:t>member’s claim.</w:t>
      </w:r>
    </w:p>
    <w:p w:rsidR="00025221" w:rsidRPr="00764DE3" w:rsidRDefault="00025221" w:rsidP="00025221">
      <w:pPr>
        <w:pStyle w:val="ParaNumbering"/>
      </w:pPr>
      <w:r>
        <w:t xml:space="preserve">But in </w:t>
      </w:r>
      <w:r w:rsidRPr="0027128B">
        <w:t>my view the</w:t>
      </w:r>
      <w:r>
        <w:t xml:space="preserve"> anti-avoidance claims </w:t>
      </w:r>
      <w:r w:rsidR="0027128B">
        <w:t xml:space="preserve">do raise </w:t>
      </w:r>
      <w:r w:rsidR="0027128B" w:rsidRPr="00480BAC">
        <w:t>common issues.</w:t>
      </w:r>
    </w:p>
    <w:p w:rsidR="005E0D5D" w:rsidRPr="00764DE3" w:rsidRDefault="00025221" w:rsidP="005E0D5D">
      <w:pPr>
        <w:pStyle w:val="ParaNumbering"/>
      </w:pPr>
      <w:r>
        <w:lastRenderedPageBreak/>
        <w:t>T</w:t>
      </w:r>
      <w:r w:rsidR="005E0D5D" w:rsidRPr="00764DE3">
        <w:t>he claim</w:t>
      </w:r>
      <w:r>
        <w:t>s concern</w:t>
      </w:r>
      <w:r w:rsidR="005E0D5D" w:rsidRPr="00764DE3">
        <w:t xml:space="preserve"> a common decision to implement a scheme to avoid the operation of the ban on conflicted remuneration.  The investigation of the purpose behind the scheme will yield a common answer that will either support or negate a finding of breach.</w:t>
      </w:r>
    </w:p>
    <w:p w:rsidR="005E0D5D" w:rsidRPr="009153B7" w:rsidRDefault="00025221" w:rsidP="005E0D5D">
      <w:pPr>
        <w:pStyle w:val="ParaNumbering"/>
      </w:pPr>
      <w:r>
        <w:t>Further, although the respondents complain that</w:t>
      </w:r>
      <w:r w:rsidR="005E0D5D" w:rsidRPr="00764DE3">
        <w:t xml:space="preserve"> none of the applicants invested in products which yielded the payment of non-i</w:t>
      </w:r>
      <w:r>
        <w:t xml:space="preserve">nsurance product commissions, </w:t>
      </w:r>
      <w:r w:rsidR="005E0D5D" w:rsidRPr="00764DE3">
        <w:t xml:space="preserve">the applicants </w:t>
      </w:r>
      <w:r>
        <w:t xml:space="preserve">have indicated that they </w:t>
      </w:r>
      <w:r w:rsidR="005E0D5D" w:rsidRPr="00764DE3">
        <w:t>will identify a sample group member who paid non-</w:t>
      </w:r>
      <w:r>
        <w:t xml:space="preserve">insurance product </w:t>
      </w:r>
      <w:r w:rsidRPr="009153B7">
        <w:t>commissions.</w:t>
      </w:r>
    </w:p>
    <w:p w:rsidR="005E0D5D" w:rsidRPr="00C17571" w:rsidRDefault="005E0D5D" w:rsidP="005E0D5D">
      <w:pPr>
        <w:pStyle w:val="Heading4"/>
      </w:pPr>
      <w:r w:rsidRPr="009153B7">
        <w:t>Fiduciary duty</w:t>
      </w:r>
      <w:r w:rsidR="0027128B">
        <w:t xml:space="preserve"> and derivative</w:t>
      </w:r>
      <w:r w:rsidRPr="009153B7">
        <w:t xml:space="preserve"> claims</w:t>
      </w:r>
    </w:p>
    <w:p w:rsidR="00025221" w:rsidRDefault="005E0D5D" w:rsidP="005E0D5D">
      <w:pPr>
        <w:pStyle w:val="ParaNumbering"/>
      </w:pPr>
      <w:r>
        <w:t>Now there are fiduciary duties alleged</w:t>
      </w:r>
      <w:r w:rsidR="00025221">
        <w:t xml:space="preserve">ly owed by </w:t>
      </w:r>
      <w:r>
        <w:t xml:space="preserve">the AMP licensees and separately </w:t>
      </w:r>
      <w:r w:rsidR="00025221">
        <w:t>owed by</w:t>
      </w:r>
      <w:r w:rsidR="00C77E45">
        <w:t xml:space="preserve"> </w:t>
      </w:r>
      <w:r w:rsidR="00025221">
        <w:t>the</w:t>
      </w:r>
      <w:r>
        <w:t xml:space="preserve"> A</w:t>
      </w:r>
      <w:r w:rsidR="0027128B">
        <w:t>MP auth</w:t>
      </w:r>
      <w:r w:rsidR="00CA14E4">
        <w:t>orised representatives, for whom</w:t>
      </w:r>
      <w:r w:rsidR="0027128B">
        <w:t xml:space="preserve"> the AMP licensees are responsible.</w:t>
      </w:r>
    </w:p>
    <w:p w:rsidR="005E0D5D" w:rsidRDefault="00025221" w:rsidP="005E0D5D">
      <w:pPr>
        <w:pStyle w:val="ParaNumbering"/>
      </w:pPr>
      <w:r>
        <w:t>It may be accepted that</w:t>
      </w:r>
      <w:r w:rsidR="005E0D5D">
        <w:t xml:space="preserve"> the existence of a fiduciary relationship between an AMP licensee </w:t>
      </w:r>
      <w:r w:rsidR="0027128B">
        <w:t xml:space="preserve">or AMP authorised representative </w:t>
      </w:r>
      <w:r w:rsidR="005E0D5D">
        <w:t xml:space="preserve">and an applicant and/or group member must be informed by </w:t>
      </w:r>
      <w:r w:rsidR="0027128B">
        <w:t>the nature of the relationship with</w:t>
      </w:r>
      <w:r w:rsidR="005E0D5D">
        <w:t xml:space="preserve"> the applicant or group member</w:t>
      </w:r>
      <w:r>
        <w:t>.  Moreover,</w:t>
      </w:r>
      <w:r w:rsidR="005E0D5D">
        <w:t xml:space="preserve"> in any one year there were </w:t>
      </w:r>
      <w:r w:rsidR="00CA14E4">
        <w:t>numerous</w:t>
      </w:r>
      <w:r w:rsidR="005E0D5D">
        <w:t xml:space="preserve"> AMP authorised representatives across the </w:t>
      </w:r>
      <w:r w:rsidR="005E0D5D" w:rsidRPr="001A3DBD">
        <w:t>AMP licensees</w:t>
      </w:r>
      <w:r w:rsidR="00CA14E4">
        <w:t xml:space="preserve"> as I have already indicated</w:t>
      </w:r>
      <w:r w:rsidR="005E0D5D" w:rsidRPr="001A3DBD">
        <w:t>.</w:t>
      </w:r>
    </w:p>
    <w:p w:rsidR="005E0D5D" w:rsidRDefault="00025221" w:rsidP="005E0D5D">
      <w:pPr>
        <w:pStyle w:val="ParaNumbering"/>
      </w:pPr>
      <w:r>
        <w:t>Further, to a large extent</w:t>
      </w:r>
      <w:r w:rsidR="005E0D5D">
        <w:t xml:space="preserve"> the determination of the existence of a fiduciary duty, the scope of that duty, as well as whether there was a breach of that duty necessitates an investigation into the circumstances of each of the </w:t>
      </w:r>
      <w:r w:rsidR="005E0D5D" w:rsidRPr="002563F0">
        <w:t>group members.</w:t>
      </w:r>
    </w:p>
    <w:p w:rsidR="005E0D5D" w:rsidRDefault="00025221" w:rsidP="00025221">
      <w:pPr>
        <w:pStyle w:val="ParaNumbering"/>
      </w:pPr>
      <w:r>
        <w:t xml:space="preserve">Further, </w:t>
      </w:r>
      <w:r w:rsidR="005E0D5D" w:rsidRPr="00B658A9">
        <w:t>even if a fiduciary duty is found to exist, the determination of that dut</w:t>
      </w:r>
      <w:r w:rsidR="005E0D5D">
        <w:t>y’s scope will also depend on an</w:t>
      </w:r>
      <w:r w:rsidR="005E0D5D" w:rsidRPr="00B658A9">
        <w:t xml:space="preserve"> examination of all of the facts and circums</w:t>
      </w:r>
      <w:r w:rsidR="005E0D5D">
        <w:t xml:space="preserve">tances on a case by case basis. </w:t>
      </w:r>
      <w:r w:rsidR="005E0D5D" w:rsidRPr="00B658A9">
        <w:t xml:space="preserve"> This would require an examination of the relationship between each of the group members and their particular </w:t>
      </w:r>
      <w:r w:rsidR="005E0D5D">
        <w:t>AMP authorised representatives</w:t>
      </w:r>
      <w:r>
        <w:t>.</w:t>
      </w:r>
    </w:p>
    <w:p w:rsidR="005E0D5D" w:rsidRPr="00CA3274" w:rsidRDefault="0027128B" w:rsidP="005E0D5D">
      <w:pPr>
        <w:pStyle w:val="ParaNumbering"/>
        <w:rPr>
          <w:b/>
          <w:i/>
        </w:rPr>
      </w:pPr>
      <w:r>
        <w:t xml:space="preserve">These claims, of course, raise many individual questions.  But selecting a sufficient number of sample group </w:t>
      </w:r>
      <w:r w:rsidR="00CA14E4">
        <w:t xml:space="preserve">member </w:t>
      </w:r>
      <w:r>
        <w:t>claims for adjudication may be an efficient way to proceed in the first instance.</w:t>
      </w:r>
    </w:p>
    <w:p w:rsidR="005E0D5D" w:rsidRDefault="005E0D5D" w:rsidP="005E0D5D">
      <w:pPr>
        <w:pStyle w:val="ParaNumbering"/>
      </w:pPr>
      <w:r>
        <w:t>As for the knowing receipt claim against AMP Life, the allegations are a derivative of the breach of fiduciary duties claims.  Being such derivative claims, they also require a consideration of the circumstances of each group member with respect to the fiduciary duty allegations.</w:t>
      </w:r>
    </w:p>
    <w:p w:rsidR="005E0D5D" w:rsidRPr="0094128C" w:rsidRDefault="0027128B" w:rsidP="005E0D5D">
      <w:pPr>
        <w:pStyle w:val="ParaNumbering"/>
      </w:pPr>
      <w:r>
        <w:lastRenderedPageBreak/>
        <w:t>Now that may be true.  But that does not entail that there are not broader questions and systems that will need to be addressed.</w:t>
      </w:r>
    </w:p>
    <w:p w:rsidR="005E0D5D" w:rsidRDefault="005E0D5D" w:rsidP="005E0D5D">
      <w:pPr>
        <w:pStyle w:val="Heading4"/>
      </w:pPr>
      <w:r>
        <w:t>OSF contractual breaches</w:t>
      </w:r>
    </w:p>
    <w:p w:rsidR="005E0D5D" w:rsidRDefault="00025221" w:rsidP="005E0D5D">
      <w:pPr>
        <w:pStyle w:val="ParaNumbering"/>
      </w:pPr>
      <w:r>
        <w:t>As</w:t>
      </w:r>
      <w:r w:rsidR="005E0D5D">
        <w:t xml:space="preserve"> to the contractual breaches alleged in relation to the OSF sub-group members, the ongoing services contractually offered to any OSF sub-group member depended on the specific AMP authorised representative as well as the needs of, and the terms of the ongoing fee arrangement with, the individual client.</w:t>
      </w:r>
    </w:p>
    <w:p w:rsidR="005E0D5D" w:rsidRDefault="003C0B7F" w:rsidP="005E0D5D">
      <w:pPr>
        <w:pStyle w:val="ParaNumbering"/>
        <w:tabs>
          <w:tab w:val="num" w:pos="720"/>
        </w:tabs>
      </w:pPr>
      <w:r>
        <w:t>So, for example, w</w:t>
      </w:r>
      <w:r w:rsidR="005E0D5D">
        <w:t>ith respect to the second applicant</w:t>
      </w:r>
      <w:r>
        <w:t xml:space="preserve">, </w:t>
      </w:r>
      <w:r w:rsidR="005E0D5D">
        <w:t>during the time she held the Flexible Lifetime Protection Plan product, she did not pay any ongoing service fees for the product.  But with respect to her holding of the Flexible Super – Flexible Protection</w:t>
      </w:r>
      <w:r w:rsidR="000F5985">
        <w:t xml:space="preserve"> product, she agreed to pay an ongoing advice fee</w:t>
      </w:r>
      <w:r w:rsidR="005E0D5D" w:rsidRPr="001A3DBD">
        <w:t xml:space="preserve"> to include pa</w:t>
      </w:r>
      <w:r w:rsidR="000F5985">
        <w:t>rticular services</w:t>
      </w:r>
      <w:r>
        <w:t>.</w:t>
      </w:r>
    </w:p>
    <w:p w:rsidR="005E0D5D" w:rsidRDefault="003C0B7F" w:rsidP="005E0D5D">
      <w:pPr>
        <w:pStyle w:val="ParaNumbering"/>
        <w:tabs>
          <w:tab w:val="num" w:pos="720"/>
        </w:tabs>
      </w:pPr>
      <w:r>
        <w:t>W</w:t>
      </w:r>
      <w:r w:rsidR="005E0D5D">
        <w:t xml:space="preserve">ith respect to the fourth applicant, whilst the limited advice financial plan for the PortfolioCare Investment Service product he invested in disclosed that he was required to pay particular fees, during the time </w:t>
      </w:r>
      <w:r>
        <w:t xml:space="preserve">that </w:t>
      </w:r>
      <w:r w:rsidR="005E0D5D">
        <w:t>he held that product he did not pay any ongoing service fees in respect of that product.</w:t>
      </w:r>
    </w:p>
    <w:p w:rsidR="005E0D5D" w:rsidRDefault="003C0B7F" w:rsidP="005E0D5D">
      <w:pPr>
        <w:pStyle w:val="ParaNumbering"/>
        <w:tabs>
          <w:tab w:val="num" w:pos="720"/>
        </w:tabs>
      </w:pPr>
      <w:r>
        <w:t>Now I accept to some extent that the present case is</w:t>
      </w:r>
      <w:r w:rsidR="005E0D5D">
        <w:t xml:space="preserve"> distinguishable from say a case where a determinative factor is that the documents relied upon </w:t>
      </w:r>
      <w:r>
        <w:t>for the</w:t>
      </w:r>
      <w:r w:rsidR="005E0D5D">
        <w:t xml:space="preserve"> breach of contract claim are identical in each case.  The circumstances are also distinguishable </w:t>
      </w:r>
      <w:r>
        <w:t>from a case</w:t>
      </w:r>
      <w:r w:rsidR="005E0D5D">
        <w:t xml:space="preserve"> </w:t>
      </w:r>
      <w:r w:rsidR="005E0D5D" w:rsidRPr="00C95D1C">
        <w:t>where, if the</w:t>
      </w:r>
      <w:r w:rsidR="005E0D5D">
        <w:t xml:space="preserve"> common questions were determined affirmatively, all individual </w:t>
      </w:r>
      <w:r w:rsidR="005E0D5D" w:rsidRPr="00373C8F">
        <w:t xml:space="preserve">group members </w:t>
      </w:r>
      <w:r>
        <w:t xml:space="preserve">then needed to do was to </w:t>
      </w:r>
      <w:r w:rsidR="005E0D5D" w:rsidRPr="00373C8F">
        <w:t>show that they entered into the same standardised system as the applicant.</w:t>
      </w:r>
    </w:p>
    <w:p w:rsidR="005E0D5D" w:rsidRDefault="003C0B7F" w:rsidP="003C0B7F">
      <w:pPr>
        <w:pStyle w:val="ParaNumbering"/>
        <w:tabs>
          <w:tab w:val="num" w:pos="720"/>
        </w:tabs>
      </w:pPr>
      <w:r>
        <w:t>T</w:t>
      </w:r>
      <w:r w:rsidR="00B53F68">
        <w:t xml:space="preserve">he respondents say that </w:t>
      </w:r>
      <w:r w:rsidR="005E0D5D" w:rsidRPr="00EE7357">
        <w:t xml:space="preserve">the </w:t>
      </w:r>
      <w:r>
        <w:t>circumstances of the present</w:t>
      </w:r>
      <w:r w:rsidR="005E0D5D" w:rsidRPr="00EE7357">
        <w:t xml:space="preserve"> case more closely </w:t>
      </w:r>
      <w:r w:rsidR="005F773E">
        <w:t>align</w:t>
      </w:r>
      <w:r w:rsidR="005E0D5D" w:rsidRPr="005F773E">
        <w:t xml:space="preserve"> with</w:t>
      </w:r>
      <w:r w:rsidR="005E0D5D" w:rsidRPr="00EE7357">
        <w:t xml:space="preserve"> those in</w:t>
      </w:r>
      <w:r w:rsidR="005E0D5D" w:rsidRPr="009574D5">
        <w:rPr>
          <w:i/>
        </w:rPr>
        <w:t xml:space="preserve"> </w:t>
      </w:r>
      <w:proofErr w:type="spellStart"/>
      <w:r w:rsidR="005E0D5D" w:rsidRPr="009574D5">
        <w:rPr>
          <w:i/>
        </w:rPr>
        <w:t>Meaden</w:t>
      </w:r>
      <w:proofErr w:type="spellEnd"/>
      <w:r w:rsidR="005E0D5D" w:rsidRPr="009574D5">
        <w:rPr>
          <w:i/>
        </w:rPr>
        <w:t xml:space="preserve"> v Bell Potter Securities Limited (No 2) </w:t>
      </w:r>
      <w:r w:rsidR="005E0D5D">
        <w:t>(2012) 291 ALR 482</w:t>
      </w:r>
      <w:r>
        <w:t xml:space="preserve"> and the observations made by Edmonds J at [65].  It is said that t</w:t>
      </w:r>
      <w:r w:rsidR="005E0D5D" w:rsidRPr="00EE7357">
        <w:t xml:space="preserve">here is such a lack of commonality that any determination of the second and fourth applicants’ OSF contractual breaches </w:t>
      </w:r>
      <w:r w:rsidR="005E0D5D" w:rsidRPr="00E72799">
        <w:t>claims would</w:t>
      </w:r>
      <w:r w:rsidR="005E0D5D" w:rsidRPr="00EE7357">
        <w:t xml:space="preserve"> offer no real guidance as to how the balance of the contractual claims by the OSF sub-group members would be determined were they to proceed to be determined individually.</w:t>
      </w:r>
    </w:p>
    <w:p w:rsidR="00E72799" w:rsidRDefault="005E0D5D" w:rsidP="005E0D5D">
      <w:pPr>
        <w:pStyle w:val="ParaNumbering"/>
      </w:pPr>
      <w:r>
        <w:t xml:space="preserve">Now the applicants submit that the respondents have failed to appreciate that the range of services offered to each individual OSF sub-group member still placed them </w:t>
      </w:r>
      <w:r w:rsidRPr="00D24D60">
        <w:t>into a common</w:t>
      </w:r>
      <w:r>
        <w:t xml:space="preserve"> cohort of people who obtained the AMP ongoing service package and who paid OSFs, bu</w:t>
      </w:r>
      <w:r w:rsidR="00E72799">
        <w:t>t did not receive the service.</w:t>
      </w:r>
    </w:p>
    <w:p w:rsidR="005E0D5D" w:rsidRDefault="005E0D5D" w:rsidP="005E0D5D">
      <w:pPr>
        <w:pStyle w:val="ParaNumbering"/>
      </w:pPr>
      <w:r>
        <w:lastRenderedPageBreak/>
        <w:t xml:space="preserve">But that ignores, so the respondents say, the respondents’ defence where the notion of the “AMP Ongoing Service Package” is not admitted.  Rather, it is pleaded that ongoing fee arrangements were negotiated directly as between AMP authorised representatives and their client and that any ongoing services offered depended on the specific AMP authorised representative as well as the needs of, and the terms of the ongoing fee arrangement with, the </w:t>
      </w:r>
      <w:r w:rsidRPr="003D078B">
        <w:t>individual client.</w:t>
      </w:r>
    </w:p>
    <w:p w:rsidR="005E0D5D" w:rsidRDefault="005E0D5D" w:rsidP="005E0D5D">
      <w:pPr>
        <w:pStyle w:val="ParaNumbering"/>
        <w:tabs>
          <w:tab w:val="num" w:pos="720"/>
        </w:tabs>
      </w:pPr>
      <w:r>
        <w:t>The respondents say that there was no one template package offered to OSF sub-group members.  The services that any given OSF sub-group member was entitled to, and did or did not receive from his AMP authorised representative will be an individual question.</w:t>
      </w:r>
    </w:p>
    <w:p w:rsidR="005E0D5D" w:rsidRDefault="005E0D5D" w:rsidP="005E0D5D">
      <w:pPr>
        <w:pStyle w:val="ParaNumbering"/>
        <w:tabs>
          <w:tab w:val="num" w:pos="720"/>
        </w:tabs>
      </w:pPr>
      <w:r w:rsidRPr="008A5822">
        <w:t>Moreover, the anterior step of actually working out which group memb</w:t>
      </w:r>
      <w:r>
        <w:t>ers formed part of the alleged common cohort of people</w:t>
      </w:r>
      <w:r w:rsidRPr="008A5822">
        <w:t xml:space="preserve"> who entered into ongoing service fee arrangements, but who did not receive </w:t>
      </w:r>
      <w:r>
        <w:t>the service in whole or in part</w:t>
      </w:r>
      <w:r w:rsidRPr="008A5822">
        <w:t>, is one which must be addressed by reference to each i</w:t>
      </w:r>
      <w:r>
        <w:t>ndividual OSF sub-group member.</w:t>
      </w:r>
    </w:p>
    <w:p w:rsidR="005E0D5D" w:rsidRDefault="00E72799" w:rsidP="005E0D5D">
      <w:pPr>
        <w:pStyle w:val="ParaNumbering"/>
        <w:tabs>
          <w:tab w:val="num" w:pos="720"/>
        </w:tabs>
      </w:pPr>
      <w:r>
        <w:t>Further, w</w:t>
      </w:r>
      <w:r w:rsidR="005E0D5D" w:rsidRPr="008A5822">
        <w:t xml:space="preserve">hether there was a breach by an authorised representative of his obligations to his client, in terms of any obligation to provide ongoing advice which complied with the requirements of </w:t>
      </w:r>
      <w:proofErr w:type="spellStart"/>
      <w:r w:rsidR="005E0D5D" w:rsidRPr="008A5822">
        <w:t>ss</w:t>
      </w:r>
      <w:proofErr w:type="spellEnd"/>
      <w:r w:rsidR="005E0D5D">
        <w:t> </w:t>
      </w:r>
      <w:r w:rsidR="005E0D5D" w:rsidRPr="008A5822">
        <w:t xml:space="preserve">961B and 961J, is necessarily an </w:t>
      </w:r>
      <w:r w:rsidR="005E0D5D" w:rsidRPr="00290DA7">
        <w:t>individual one.</w:t>
      </w:r>
    </w:p>
    <w:p w:rsidR="005E0D5D" w:rsidRPr="00CB50EC" w:rsidRDefault="005F773E" w:rsidP="005E0D5D">
      <w:pPr>
        <w:pStyle w:val="ParaNumbering"/>
        <w:tabs>
          <w:tab w:val="num" w:pos="720"/>
        </w:tabs>
      </w:pPr>
      <w:r>
        <w:t>Now</w:t>
      </w:r>
      <w:r w:rsidR="00E72799">
        <w:t xml:space="preserve"> the applicants counter that </w:t>
      </w:r>
      <w:r w:rsidR="005E0D5D" w:rsidRPr="00CB50EC">
        <w:t>the respondents’ attempt to characterise the</w:t>
      </w:r>
      <w:r>
        <w:t xml:space="preserve"> ongoing service issue as</w:t>
      </w:r>
      <w:r w:rsidR="005E0D5D" w:rsidRPr="00CB50EC">
        <w:t xml:space="preserve"> individualised fails to appreciate that the range of services offered to each individual OSF sub-group member still place them into a common cohort of people who obtained the AMP ongoing service package and who paid OSFs, but did not receive the service.</w:t>
      </w:r>
      <w:r>
        <w:t xml:space="preserve">  That is true in its generality, but I am here considering common issues not common cohorts.</w:t>
      </w:r>
    </w:p>
    <w:p w:rsidR="00E72799" w:rsidRDefault="00E72799" w:rsidP="005E0D5D">
      <w:pPr>
        <w:pStyle w:val="ParaNumbering"/>
        <w:tabs>
          <w:tab w:val="num" w:pos="720"/>
        </w:tabs>
      </w:pPr>
      <w:r>
        <w:t>It is said that t</w:t>
      </w:r>
      <w:r w:rsidR="005E0D5D" w:rsidRPr="00CB50EC">
        <w:t>he commonality is in the payment of OSFs for servi</w:t>
      </w:r>
      <w:r>
        <w:t>ces that were never received.  And it is said that t</w:t>
      </w:r>
      <w:r w:rsidR="005E0D5D" w:rsidRPr="00CB50EC">
        <w:t>he fact that some group members were offered additional services that were not provided does not detract f</w:t>
      </w:r>
      <w:r>
        <w:t>rom the</w:t>
      </w:r>
      <w:r w:rsidR="005E0D5D" w:rsidRPr="00CB50EC">
        <w:t xml:space="preserve"> contention that the OSF sub-group members were promised, and paid for, se</w:t>
      </w:r>
      <w:r>
        <w:t>rvices that were not provided.</w:t>
      </w:r>
      <w:r w:rsidR="005F773E">
        <w:t xml:space="preserve">  All true, but this is pitched at </w:t>
      </w:r>
      <w:r w:rsidR="00CA14E4">
        <w:t>too high a level of abstraction.</w:t>
      </w:r>
    </w:p>
    <w:p w:rsidR="005E0D5D" w:rsidRPr="00CB50EC" w:rsidRDefault="005F773E" w:rsidP="005E0D5D">
      <w:pPr>
        <w:pStyle w:val="ParaNumbering"/>
        <w:tabs>
          <w:tab w:val="num" w:pos="720"/>
        </w:tabs>
      </w:pPr>
      <w:r>
        <w:t>Further, i</w:t>
      </w:r>
      <w:r w:rsidR="00E72799">
        <w:t>t is said that t</w:t>
      </w:r>
      <w:r w:rsidR="005E0D5D" w:rsidRPr="00CB50EC">
        <w:t>he ongoing services offered to any OSF sub-group members had no differences of substance, they</w:t>
      </w:r>
      <w:r w:rsidR="00E72799">
        <w:t xml:space="preserve"> were all differences of form.</w:t>
      </w:r>
      <w:r>
        <w:t xml:space="preserve">  I am not necessarily convinced of this.</w:t>
      </w:r>
    </w:p>
    <w:p w:rsidR="005E0D5D" w:rsidRDefault="005F773E" w:rsidP="005E0D5D">
      <w:pPr>
        <w:pStyle w:val="ParaNumbering"/>
        <w:tabs>
          <w:tab w:val="num" w:pos="720"/>
        </w:tabs>
      </w:pPr>
      <w:r>
        <w:t xml:space="preserve">In my view, most of the issues here are non-common, but </w:t>
      </w:r>
      <w:r w:rsidR="00D24D60">
        <w:t xml:space="preserve">I </w:t>
      </w:r>
      <w:r>
        <w:t xml:space="preserve">can efficiently deal with some representative sample </w:t>
      </w:r>
      <w:r w:rsidR="00B66FD0">
        <w:t xml:space="preserve">group member </w:t>
      </w:r>
      <w:r>
        <w:t>claims.</w:t>
      </w:r>
    </w:p>
    <w:p w:rsidR="005E0D5D" w:rsidRDefault="005E0D5D" w:rsidP="005E0D5D">
      <w:pPr>
        <w:pStyle w:val="Heading4"/>
      </w:pPr>
      <w:r>
        <w:lastRenderedPageBreak/>
        <w:t>Unconscionable conduct claim</w:t>
      </w:r>
    </w:p>
    <w:p w:rsidR="000F5985" w:rsidRDefault="005E0D5D" w:rsidP="005E0D5D">
      <w:pPr>
        <w:pStyle w:val="ParaNumbering"/>
      </w:pPr>
      <w:r>
        <w:t>The applicants’ unconscionable conduct case is limited to statutory unconscionable conduct un</w:t>
      </w:r>
      <w:r w:rsidR="000F5985">
        <w:t>der s 12CB(1) of the ASIC Act.</w:t>
      </w:r>
    </w:p>
    <w:p w:rsidR="005E0D5D" w:rsidRDefault="00E72799" w:rsidP="005E0D5D">
      <w:pPr>
        <w:pStyle w:val="ParaNumbering"/>
      </w:pPr>
      <w:r>
        <w:t>Now</w:t>
      </w:r>
      <w:r w:rsidR="005E0D5D">
        <w:t xml:space="preserve"> the applicants’ pleaded case </w:t>
      </w:r>
      <w:r w:rsidR="005E0D5D" w:rsidRPr="003A1A3D">
        <w:t>is not</w:t>
      </w:r>
      <w:r w:rsidR="005E0D5D">
        <w:t xml:space="preserve"> one that focuses on a system of conduct or a pattern of behaviour of the respondents but rather one that </w:t>
      </w:r>
      <w:r w:rsidR="005F773E">
        <w:t>directs attention</w:t>
      </w:r>
      <w:r w:rsidR="005E0D5D">
        <w:t xml:space="preserve"> to the individual circumstances of each of the applicants and group members</w:t>
      </w:r>
      <w:r w:rsidR="005F773E">
        <w:t>.</w:t>
      </w:r>
    </w:p>
    <w:p w:rsidR="005E0D5D" w:rsidRDefault="00E72799" w:rsidP="005F773E">
      <w:pPr>
        <w:pStyle w:val="ParaNumbering"/>
        <w:tabs>
          <w:tab w:val="num" w:pos="720"/>
        </w:tabs>
      </w:pPr>
      <w:r>
        <w:t>The respondents say that o</w:t>
      </w:r>
      <w:r w:rsidR="005E0D5D">
        <w:t xml:space="preserve">nly </w:t>
      </w:r>
      <w:r>
        <w:t>by examining the</w:t>
      </w:r>
      <w:r w:rsidR="005E0D5D">
        <w:t xml:space="preserve"> circumstances of each of the group members and the advice they were given can </w:t>
      </w:r>
      <w:r>
        <w:t>one</w:t>
      </w:r>
      <w:r w:rsidR="005E0D5D">
        <w:t xml:space="preserve"> determine whether each of those </w:t>
      </w:r>
      <w:r>
        <w:t xml:space="preserve">group members was subject to </w:t>
      </w:r>
      <w:r w:rsidR="005F773E">
        <w:t>the alleged</w:t>
      </w:r>
      <w:r>
        <w:t xml:space="preserve"> </w:t>
      </w:r>
      <w:r w:rsidR="005E0D5D">
        <w:t>disadvantage which affected their ability to make a judgment a</w:t>
      </w:r>
      <w:r w:rsidR="005F773E">
        <w:t xml:space="preserve">s to their own best interests.  </w:t>
      </w:r>
      <w:r w:rsidR="005E0D5D">
        <w:t xml:space="preserve">Further, </w:t>
      </w:r>
      <w:r w:rsidR="005F773E">
        <w:t xml:space="preserve">they say that </w:t>
      </w:r>
      <w:r w:rsidR="005E0D5D">
        <w:t xml:space="preserve">the examination of individual circumstances are necessary to determine </w:t>
      </w:r>
      <w:r>
        <w:t>whether</w:t>
      </w:r>
      <w:r w:rsidR="005E0D5D">
        <w:t xml:space="preserve"> the AMP authorised representatives and the AMP licensees </w:t>
      </w:r>
      <w:r>
        <w:t>took advantage of any such disadvantage.</w:t>
      </w:r>
      <w:r w:rsidR="005F773E">
        <w:t xml:space="preserve">  </w:t>
      </w:r>
      <w:r>
        <w:t>It is said that a</w:t>
      </w:r>
      <w:r w:rsidR="005E0D5D" w:rsidRPr="00094A6E">
        <w:t>ll of these inquiries are necessary in respect of the unconscionable conduct claim as pleaded.</w:t>
      </w:r>
    </w:p>
    <w:p w:rsidR="00E72799" w:rsidRPr="00094A6E" w:rsidRDefault="00E72799" w:rsidP="005E0D5D">
      <w:pPr>
        <w:pStyle w:val="ParaNumbering"/>
        <w:tabs>
          <w:tab w:val="num" w:pos="720"/>
        </w:tabs>
      </w:pPr>
      <w:r>
        <w:t xml:space="preserve">I am inclined to </w:t>
      </w:r>
      <w:r w:rsidRPr="005C4561">
        <w:t>agree</w:t>
      </w:r>
      <w:r w:rsidR="005F773E">
        <w:t>, but it is difficult for the respondents to contend that no investigation of their systems and procedures will be necessary as part of dealing with these claims.</w:t>
      </w:r>
    </w:p>
    <w:p w:rsidR="005E0D5D" w:rsidRDefault="005E0D5D" w:rsidP="005E0D5D">
      <w:pPr>
        <w:pStyle w:val="Heading4"/>
      </w:pPr>
      <w:r w:rsidRPr="00094A6E">
        <w:t>Misleading or deceptive conduct claims</w:t>
      </w:r>
    </w:p>
    <w:p w:rsidR="00BD6D0F" w:rsidRPr="00BD6D0F" w:rsidRDefault="00BD6D0F" w:rsidP="00BD6D0F">
      <w:pPr>
        <w:pStyle w:val="ParaNumbering"/>
        <w:tabs>
          <w:tab w:val="num" w:pos="720"/>
        </w:tabs>
      </w:pPr>
      <w:r w:rsidRPr="00BD6D0F">
        <w:t xml:space="preserve">The applicants say that the primary basis on which it is alleged that the commissions representations arose was by silence, in the circumstances of the receipt of personal advice from an AMP authorised representative and the payment of commissions, or in the case of the OSF subgroup, the payment of OSFs.  It is said that this is the </w:t>
      </w:r>
      <w:r w:rsidR="005F773E">
        <w:t>“</w:t>
      </w:r>
      <w:r w:rsidRPr="00BD6D0F">
        <w:t>common nucleus of facts</w:t>
      </w:r>
      <w:r w:rsidR="005F773E">
        <w:t>”</w:t>
      </w:r>
      <w:r w:rsidRPr="00BD6D0F">
        <w:t xml:space="preserve"> which give rise to the allegations.</w:t>
      </w:r>
    </w:p>
    <w:p w:rsidR="00BD6D0F" w:rsidRPr="00BD6D0F" w:rsidRDefault="00BD6D0F" w:rsidP="00BD6D0F">
      <w:pPr>
        <w:pStyle w:val="ParaNumbering"/>
        <w:tabs>
          <w:tab w:val="num" w:pos="720"/>
        </w:tabs>
      </w:pPr>
      <w:r w:rsidRPr="00BD6D0F">
        <w:t>Further, it is said that to the extent that there are circumstances of a particular group member’s case such that the relevant silence is said not to arise, there may still be utility in answering the question of whether the representations were made, leaving aside any fact relevant to the issues which are peculiar to a particular group member.</w:t>
      </w:r>
    </w:p>
    <w:p w:rsidR="00BD6D0F" w:rsidRPr="00BD6D0F" w:rsidRDefault="00BD6D0F" w:rsidP="00BD6D0F">
      <w:pPr>
        <w:pStyle w:val="ParaNumbering"/>
        <w:tabs>
          <w:tab w:val="num" w:pos="720"/>
        </w:tabs>
      </w:pPr>
      <w:r w:rsidRPr="00BD6D0F">
        <w:t>The applicants say that the alternative case advanced is that the relevant representations were implied from the terms of the pro-forma AMP ongoing service packages, product disclosure statements and financial services guides.</w:t>
      </w:r>
    </w:p>
    <w:p w:rsidR="00E72799" w:rsidRPr="00BD6D0F" w:rsidRDefault="00BD6D0F" w:rsidP="00BD6D0F">
      <w:pPr>
        <w:pStyle w:val="ParaNumbering"/>
        <w:tabs>
          <w:tab w:val="num" w:pos="720"/>
        </w:tabs>
      </w:pPr>
      <w:r w:rsidRPr="00BD6D0F">
        <w:t xml:space="preserve">Again, it is accepted that there may not be complete uniformity in the terms of documents provided to all group members.  But the applicants say that they will only seek findings in </w:t>
      </w:r>
      <w:r w:rsidRPr="00BD6D0F">
        <w:lastRenderedPageBreak/>
        <w:t>relation to the applicants’ documents and any standard terms.  It is said that there will be utility in determining whether the representations were implied from those standard terms.</w:t>
      </w:r>
    </w:p>
    <w:p w:rsidR="005E0D5D" w:rsidRDefault="00E72799" w:rsidP="005E0D5D">
      <w:pPr>
        <w:pStyle w:val="ParaNumbering"/>
      </w:pPr>
      <w:r>
        <w:t>But I agree with the respondents that</w:t>
      </w:r>
      <w:r w:rsidR="005E0D5D">
        <w:t xml:space="preserve"> there is significant diversity in the circumstances which might support individual claims as to what representations were made to them with respect to commissions and premiums, and whether those representations were misleading or deceptive.</w:t>
      </w:r>
    </w:p>
    <w:p w:rsidR="005E0D5D" w:rsidRDefault="00E72799" w:rsidP="005E0D5D">
      <w:pPr>
        <w:pStyle w:val="ParaNumbering"/>
      </w:pPr>
      <w:r>
        <w:t>Now the respondents correctly point out that t</w:t>
      </w:r>
      <w:r w:rsidR="005E0D5D">
        <w:t>he circumstances particularised as to when and how the impugned representations were allegedly made are wide reaching.  They range from allegedly being conveyed by the following matters.</w:t>
      </w:r>
    </w:p>
    <w:p w:rsidR="005E0D5D" w:rsidRDefault="005E0D5D" w:rsidP="005E0D5D">
      <w:pPr>
        <w:pStyle w:val="ParaNumbering"/>
      </w:pPr>
      <w:r>
        <w:t>First, they are said to be conveyed in the “AMP Ongoing Service Package”, which is not a uniform document or package received by group members.</w:t>
      </w:r>
    </w:p>
    <w:p w:rsidR="005E0D5D" w:rsidRDefault="005E0D5D" w:rsidP="000F5985">
      <w:pPr>
        <w:pStyle w:val="ParaNumbering"/>
      </w:pPr>
      <w:r>
        <w:t>Second, they are said to be conveyed by silence, allegedly creating a reasonable expectation that the AMP authorised representatives or AMP licensees would have disclosed the matters the subject of the representation.</w:t>
      </w:r>
      <w:r w:rsidR="000F5985">
        <w:t xml:space="preserve">  But</w:t>
      </w:r>
      <w:r>
        <w:t xml:space="preserve"> the determination of whether a failure to disclose a matter is misleading or deceptive requires examination of all the circumstances, including the circumstances and knowledge of the </w:t>
      </w:r>
      <w:proofErr w:type="spellStart"/>
      <w:r>
        <w:t>representee</w:t>
      </w:r>
      <w:proofErr w:type="spellEnd"/>
      <w:r>
        <w:t>.</w:t>
      </w:r>
    </w:p>
    <w:p w:rsidR="005E0D5D" w:rsidRDefault="005E0D5D" w:rsidP="005E0D5D">
      <w:pPr>
        <w:pStyle w:val="ParaNumbering"/>
      </w:pPr>
      <w:r>
        <w:t>Third, they are said to arise by implication from the product disclosure statements and financial services guides for the</w:t>
      </w:r>
      <w:r w:rsidR="00E72799">
        <w:t xml:space="preserve"> commissioned products.  But the</w:t>
      </w:r>
      <w:r>
        <w:t xml:space="preserve"> product disclosure statements and financial services guides are </w:t>
      </w:r>
      <w:r w:rsidR="00E72799">
        <w:t xml:space="preserve">not </w:t>
      </w:r>
      <w:r>
        <w:t xml:space="preserve">a neat set of documents which are identical or nearly identical in terms of what was </w:t>
      </w:r>
      <w:r w:rsidRPr="00F92A56">
        <w:t>conveyed by them.</w:t>
      </w:r>
    </w:p>
    <w:p w:rsidR="005E0D5D" w:rsidRDefault="00E72799" w:rsidP="005E0D5D">
      <w:pPr>
        <w:pStyle w:val="ParaNumbering"/>
      </w:pPr>
      <w:r>
        <w:t>Further, as the respondents point out,</w:t>
      </w:r>
      <w:r w:rsidR="005E0D5D">
        <w:t xml:space="preserve"> before one even gets to the product disclosure statements for each of the commissioned products, there is a difficulty in working out the number of commissioned products that were issued th</w:t>
      </w:r>
      <w:r>
        <w:t>roughout the relevant period.  Apparently, d</w:t>
      </w:r>
      <w:r w:rsidR="005E0D5D">
        <w:t xml:space="preserve">etermining the number of commissioned products in relation to which a commission was paid and </w:t>
      </w:r>
      <w:r w:rsidR="005E0D5D" w:rsidRPr="007E1275">
        <w:t>which w</w:t>
      </w:r>
      <w:r w:rsidRPr="007E1275">
        <w:t xml:space="preserve">ere available to AMP licensees </w:t>
      </w:r>
      <w:r w:rsidR="005E0D5D" w:rsidRPr="007E1275">
        <w:t>requires a detailed and lengthy reconciliation of data from a number of different systems given the likely number and types of products involved.</w:t>
      </w:r>
    </w:p>
    <w:p w:rsidR="005E0D5D" w:rsidRDefault="00BD6D0F" w:rsidP="005E0D5D">
      <w:pPr>
        <w:pStyle w:val="ParaNumbering"/>
      </w:pPr>
      <w:r>
        <w:t xml:space="preserve">Further, </w:t>
      </w:r>
      <w:r w:rsidR="005E0D5D">
        <w:t>the respondents say that the submission that the circumstances of a client’s receipt of personal advice from his or her AMP authorised representative and the payment of commissions somehow make up the “common nucleus of facts” in respect of the commission representations said to arise by silence is misconceived.</w:t>
      </w:r>
    </w:p>
    <w:p w:rsidR="005E0D5D" w:rsidRDefault="005E0D5D" w:rsidP="005E0D5D">
      <w:pPr>
        <w:pStyle w:val="ParaNumbering"/>
      </w:pPr>
      <w:r>
        <w:lastRenderedPageBreak/>
        <w:t xml:space="preserve">To determine whether there was misleading or deceptive conduct by silence requires an analysis of all of the circumstances, including the awareness of the persons to whom the commission representations were allegedly conveyed.  To determine whether there was a reasonable expectation that the matters comprising the commissions representations ought to have been but were not disclosed to any group member requires analysis of the peculiar circumstances of each of those group members.  It is insufficient to establish that those group members received personal advice from an AMP authorised representative and that commissions might have been paid in respect of any investment they made.  Put another way, the quality of these commonalities identified by the applicants is de </w:t>
      </w:r>
      <w:proofErr w:type="spellStart"/>
      <w:r>
        <w:t>minimis</w:t>
      </w:r>
      <w:proofErr w:type="spellEnd"/>
      <w:r>
        <w:t xml:space="preserve"> to the extent they assist in determining the misleading or deceptive conduct allegations.</w:t>
      </w:r>
    </w:p>
    <w:p w:rsidR="005E0D5D" w:rsidRDefault="005E0D5D" w:rsidP="005E0D5D">
      <w:pPr>
        <w:pStyle w:val="ParaNumbering"/>
      </w:pPr>
      <w:r>
        <w:t xml:space="preserve">The respondents say that it is difficult to understand how there is utility in attempting to answer the question of whether the representations were made when the commission representations are said to have been made by the silence of </w:t>
      </w:r>
      <w:r w:rsidRPr="00F73610">
        <w:t>the AMP authorised representatives.</w:t>
      </w:r>
      <w:r>
        <w:t xml:space="preserve">  H</w:t>
      </w:r>
      <w:r w:rsidR="00BD6D0F">
        <w:t>ow can I a</w:t>
      </w:r>
      <w:r w:rsidRPr="00F73610">
        <w:t xml:space="preserve">nswer this question without considering what each of the AMP authorised representatives in fact said, or did not say, to their clients? </w:t>
      </w:r>
      <w:r>
        <w:t xml:space="preserve"> </w:t>
      </w:r>
      <w:r w:rsidRPr="00F73610">
        <w:t>The fact of whether the commission representations were made is peculiar to each group member</w:t>
      </w:r>
      <w:r>
        <w:t>.</w:t>
      </w:r>
    </w:p>
    <w:p w:rsidR="005E0D5D" w:rsidRDefault="005E0D5D" w:rsidP="005E0D5D">
      <w:pPr>
        <w:pStyle w:val="ParaNumbering"/>
      </w:pPr>
      <w:r>
        <w:t xml:space="preserve">As to the alternative misleading or deceptive conduct case advanced, being that the representations are implied from the circumstances and the product disclosure statements and financial services guides for the commissioned products, that too lacks commonality.  The circumstances are the individual circumstances referable to the relationship between </w:t>
      </w:r>
      <w:r w:rsidRPr="005F7063">
        <w:t>the</w:t>
      </w:r>
      <w:r>
        <w:t xml:space="preserve"> individual group members and their authorised representatives identified in the particulars.  The only alleged representation said to arise from the PDS and the Guide is to the effect that OSFs were paid in exchange for ongoing personal advice.  The establishment of a representation of this character </w:t>
      </w:r>
      <w:r w:rsidR="00BD6D0F">
        <w:t>does not</w:t>
      </w:r>
      <w:r>
        <w:t xml:space="preserve"> advance matters, since the question of whether it was misleading is necessarily </w:t>
      </w:r>
      <w:r w:rsidRPr="00996E99">
        <w:t>an individual one.</w:t>
      </w:r>
    </w:p>
    <w:p w:rsidR="005E0D5D" w:rsidRPr="00BD6D0F" w:rsidRDefault="00BD6D0F" w:rsidP="005E0D5D">
      <w:pPr>
        <w:pStyle w:val="ParaNumbering"/>
      </w:pPr>
      <w:r>
        <w:t>Further</w:t>
      </w:r>
      <w:r w:rsidR="005E0D5D">
        <w:t>, there is no admission in the defence that the documents received by the ap</w:t>
      </w:r>
      <w:r>
        <w:t>plicants or group members were pro forma</w:t>
      </w:r>
      <w:r w:rsidR="005E0D5D">
        <w:t xml:space="preserve"> documents.  Rather, the defence makes it </w:t>
      </w:r>
      <w:r>
        <w:t>apparent</w:t>
      </w:r>
      <w:r w:rsidR="005E0D5D">
        <w:t xml:space="preserve"> that the arrangements between, and documents provided by, the </w:t>
      </w:r>
      <w:r w:rsidR="005E0D5D" w:rsidRPr="00C044AF">
        <w:t>AMP authorised representatives to</w:t>
      </w:r>
      <w:r w:rsidR="005E0D5D">
        <w:t xml:space="preserve"> </w:t>
      </w:r>
      <w:r w:rsidR="005E0D5D" w:rsidRPr="006138E6">
        <w:t>their clients were bespoke to each indi</w:t>
      </w:r>
      <w:r>
        <w:t xml:space="preserve">vidual client and their adviser; see for example the </w:t>
      </w:r>
      <w:r w:rsidRPr="00BD6D0F">
        <w:t xml:space="preserve">statements of advice and associated documents given to Mr Stack and Mr </w:t>
      </w:r>
      <w:r w:rsidRPr="00B87648">
        <w:t xml:space="preserve">&amp; Mrs </w:t>
      </w:r>
      <w:proofErr w:type="spellStart"/>
      <w:r w:rsidRPr="00B87648">
        <w:t>Winterton</w:t>
      </w:r>
      <w:proofErr w:type="spellEnd"/>
      <w:r w:rsidRPr="00B87648">
        <w:t>.</w:t>
      </w:r>
    </w:p>
    <w:p w:rsidR="00E72799" w:rsidRPr="00BD6D0F" w:rsidRDefault="00E72799" w:rsidP="00E72799">
      <w:pPr>
        <w:pStyle w:val="ParaNumbering"/>
      </w:pPr>
      <w:r w:rsidRPr="00BD6D0F">
        <w:lastRenderedPageBreak/>
        <w:t>So the respondents say that those circumstances ought to lead to the conclusion that the various group members’ claims of misleading or deceptive conduct do not give rise to a substantial common issue of law or fact.</w:t>
      </w:r>
      <w:r w:rsidR="005F7063">
        <w:t xml:space="preserve">  I must say that I agree.</w:t>
      </w:r>
    </w:p>
    <w:p w:rsidR="00E72799" w:rsidRPr="00BD6D0F" w:rsidRDefault="005F7063" w:rsidP="00E72799">
      <w:pPr>
        <w:pStyle w:val="ParaNumbering"/>
      </w:pPr>
      <w:r>
        <w:t>Accordingly, the respondents say</w:t>
      </w:r>
      <w:r w:rsidR="00E72799" w:rsidRPr="00BD6D0F">
        <w:t xml:space="preserve"> that there is no efficiency in determining these claims as a representative proceeding.  The misleading or deceptive conduct allegations involve so much of an investigation of individual circumstances as to justify an order being made under s 33N.</w:t>
      </w:r>
      <w:r>
        <w:t xml:space="preserve">  But that does not follow and moreover is not the relevant s 33N(1)(c) trigger anyway which looks at the </w:t>
      </w:r>
      <w:r w:rsidRPr="00B87648">
        <w:t>totality of the proceeding.</w:t>
      </w:r>
    </w:p>
    <w:p w:rsidR="005F7063" w:rsidRDefault="005F7063" w:rsidP="005F7063">
      <w:pPr>
        <w:pStyle w:val="Heading4"/>
      </w:pPr>
      <w:r w:rsidRPr="00324C3A">
        <w:t>General</w:t>
      </w:r>
      <w:r w:rsidR="00F452B3" w:rsidRPr="00324C3A">
        <w:t xml:space="preserve"> matters</w:t>
      </w:r>
    </w:p>
    <w:p w:rsidR="005F7063" w:rsidRDefault="00F452B3" w:rsidP="005F7063">
      <w:pPr>
        <w:pStyle w:val="ParaNumbering"/>
      </w:pPr>
      <w:r>
        <w:t xml:space="preserve">Now </w:t>
      </w:r>
      <w:r w:rsidR="005F7063">
        <w:t xml:space="preserve">the respondents have put a powerful case establishing </w:t>
      </w:r>
      <w:r>
        <w:t>that the number of individual issues well outweigh the common issues.</w:t>
      </w:r>
    </w:p>
    <w:p w:rsidR="005F7063" w:rsidRDefault="005F7063" w:rsidP="005F7063">
      <w:pPr>
        <w:pStyle w:val="ParaNumbering"/>
        <w:tabs>
          <w:tab w:val="num" w:pos="720"/>
        </w:tabs>
      </w:pPr>
      <w:r>
        <w:t>But forensically</w:t>
      </w:r>
      <w:r w:rsidR="00B87648">
        <w:t>, two points seem likely to me.</w:t>
      </w:r>
    </w:p>
    <w:p w:rsidR="005F7063" w:rsidRDefault="005F7063" w:rsidP="005F7063">
      <w:pPr>
        <w:pStyle w:val="ParaNumbering"/>
        <w:tabs>
          <w:tab w:val="num" w:pos="720"/>
        </w:tabs>
      </w:pPr>
      <w:r>
        <w:t>First, there are systems processes and procedures issues, which no doubt will be largely in documentary form, that although may not be common over the entire class of group members, may apply or be relevant to the claims of a large number of them or to particular sub-groups.  Is it seriously suggested that I could deal with this more efficiently</w:t>
      </w:r>
      <w:r w:rsidR="00B87648">
        <w:t xml:space="preserve"> if I declassed the proceeding?</w:t>
      </w:r>
    </w:p>
    <w:p w:rsidR="005F7063" w:rsidRDefault="005F7063" w:rsidP="005F7063">
      <w:pPr>
        <w:pStyle w:val="ParaNumbering"/>
        <w:tabs>
          <w:tab w:val="num" w:pos="720"/>
        </w:tabs>
      </w:pPr>
      <w:r>
        <w:t>Second, and relatedly, it is likely that I will have a manageable number (say 6 to 10) of the respondents’ management witnes</w:t>
      </w:r>
      <w:r w:rsidR="00B66FD0">
        <w:t>ses called at the first stage</w:t>
      </w:r>
      <w:r>
        <w:t xml:space="preserve"> trial, perhaps broken up between AMP licensees and the rest.  These are likely to </w:t>
      </w:r>
      <w:r w:rsidRPr="00365FC9">
        <w:t>be the bank of witnesses</w:t>
      </w:r>
      <w:r>
        <w:t xml:space="preserve"> used to justify the position taken in the defence.  Is it seriously suggested that these witnesses should be recalled on multiple occasions in separate proceedings if I declassed the present proceeding, creating the scourge of conflicting accounts, cross-examinations and adjudications?</w:t>
      </w:r>
    </w:p>
    <w:p w:rsidR="005F7063" w:rsidRDefault="005F7063" w:rsidP="005F7063">
      <w:pPr>
        <w:pStyle w:val="ParaNumbering"/>
        <w:tabs>
          <w:tab w:val="num" w:pos="720"/>
        </w:tabs>
      </w:pPr>
      <w:r>
        <w:t>Perhaps the respondents might hope that none of this occurs.  They might hope that if I declass, the funder withdraws and there are no individual proceedings.  That may be their strategy, but it is not my imperative.  I am concerned to both promote the efficient use of court time and of course all parties’ resources by avoiding the same issue being tried twice, but also to ensure that group members can pursue a remedy that may be uneconomic to pursue in separate individual proceedings.</w:t>
      </w:r>
    </w:p>
    <w:p w:rsidR="00AD6351" w:rsidRDefault="005F7063" w:rsidP="00F452B3">
      <w:pPr>
        <w:pStyle w:val="ParaNumbering"/>
        <w:tabs>
          <w:tab w:val="num" w:pos="720"/>
        </w:tabs>
      </w:pPr>
      <w:r>
        <w:lastRenderedPageBreak/>
        <w:t xml:space="preserve">Let me now say something </w:t>
      </w:r>
      <w:r w:rsidR="00F452B3">
        <w:t xml:space="preserve">more </w:t>
      </w:r>
      <w:r>
        <w:t xml:space="preserve">concerning the </w:t>
      </w:r>
      <w:r w:rsidRPr="00C54D9C">
        <w:t xml:space="preserve">scope of </w:t>
      </w:r>
      <w:r w:rsidR="00F452B3">
        <w:t xml:space="preserve">any </w:t>
      </w:r>
      <w:r w:rsidRPr="00C54D9C">
        <w:t>inquiries.</w:t>
      </w:r>
      <w:r w:rsidR="00B66FD0">
        <w:t xml:space="preserve">  I</w:t>
      </w:r>
      <w:r w:rsidR="00F452B3">
        <w:t xml:space="preserve">n this respect </w:t>
      </w:r>
      <w:r w:rsidR="00AD6351">
        <w:t xml:space="preserve">the respondents have raised a number of phantom concerns that </w:t>
      </w:r>
      <w:r w:rsidR="00B66FD0">
        <w:t>can be readily disposed of at the outset</w:t>
      </w:r>
      <w:r w:rsidR="00F452B3">
        <w:t>.</w:t>
      </w:r>
    </w:p>
    <w:p w:rsidR="00AD6351" w:rsidRDefault="00AD6351" w:rsidP="00AD6351">
      <w:pPr>
        <w:pStyle w:val="ParaNumbering"/>
      </w:pPr>
      <w:r>
        <w:t>First, I will not be dealing with the liability case of all group members at the first stage trial.  In fairness to the respondents, they may have been led to believe this by the applicants’ submissions.  But such a position would be unte</w:t>
      </w:r>
      <w:r w:rsidR="00C54D9C">
        <w:t>nable and I will not permit it.</w:t>
      </w:r>
    </w:p>
    <w:p w:rsidR="00AD6351" w:rsidRDefault="00AD6351" w:rsidP="00AD6351">
      <w:pPr>
        <w:pStyle w:val="ParaNumbering"/>
      </w:pPr>
      <w:r>
        <w:t>Second, I will not be ordering standard discovery against the respondents.  The applicants’ ambit</w:t>
      </w:r>
      <w:r w:rsidR="00B66FD0">
        <w:t>ious</w:t>
      </w:r>
      <w:r>
        <w:t xml:space="preserve"> assertion may have sought this, but again I would reject it.  Any discovery that I may permit will be tailored to addressing the individual applicants’ claims, any individual sample group members’ claims, documents relevant to specific commissioned products and any broader systems or procedures issues relevant to any common issues or sub-group issues.  On that last point I may need to consider before the first stage trial whether the form</w:t>
      </w:r>
      <w:r w:rsidR="00B66FD0">
        <w:t>ation</w:t>
      </w:r>
      <w:r>
        <w:t xml:space="preserve"> of any sub-groups (s 33Q) and the </w:t>
      </w:r>
      <w:r w:rsidR="00B66FD0">
        <w:t>formulation</w:t>
      </w:r>
      <w:r>
        <w:t xml:space="preserve"> of any sub-group issues are necessary.</w:t>
      </w:r>
    </w:p>
    <w:p w:rsidR="005F7063" w:rsidRDefault="00AD6351" w:rsidP="00AD6351">
      <w:pPr>
        <w:pStyle w:val="ParaNumbering"/>
      </w:pPr>
      <w:r>
        <w:t>So, the scope of any inquiries if the matter proceeds as a representative proceeding will be more limited than the respondents would have it.</w:t>
      </w:r>
    </w:p>
    <w:p w:rsidR="005E0D5D" w:rsidRDefault="00F452B3" w:rsidP="005E0D5D">
      <w:pPr>
        <w:pStyle w:val="ParaNumbering"/>
      </w:pPr>
      <w:r>
        <w:t>Let me then address some of the respondents’ more detailed points.</w:t>
      </w:r>
    </w:p>
    <w:p w:rsidR="005E0D5D" w:rsidRDefault="005E0D5D" w:rsidP="005E0D5D">
      <w:pPr>
        <w:pStyle w:val="ParaNumbering"/>
        <w:tabs>
          <w:tab w:val="num" w:pos="720"/>
        </w:tabs>
      </w:pPr>
      <w:r>
        <w:t xml:space="preserve">To date, the respondents have extracted electronic files from </w:t>
      </w:r>
      <w:r w:rsidR="00E00918">
        <w:t>t</w:t>
      </w:r>
      <w:r>
        <w:t xml:space="preserve">he financial planning management </w:t>
      </w:r>
      <w:r w:rsidRPr="00D331B1">
        <w:t xml:space="preserve">software in place </w:t>
      </w:r>
      <w:r w:rsidR="000F5985" w:rsidRPr="00D331B1">
        <w:t>during</w:t>
      </w:r>
      <w:r w:rsidR="000F5985">
        <w:t xml:space="preserve"> the relevant period</w:t>
      </w:r>
      <w:r>
        <w:t>, made requests for, and the provision of, hard copy files from the practices of the AMP authorised representat</w:t>
      </w:r>
      <w:r w:rsidR="00011D11">
        <w:t>ives who advised the applicants,</w:t>
      </w:r>
      <w:r>
        <w:t xml:space="preserve"> extracted records from the </w:t>
      </w:r>
      <w:r w:rsidR="000F5985">
        <w:t xml:space="preserve">relevant </w:t>
      </w:r>
      <w:r>
        <w:t xml:space="preserve">product administration system </w:t>
      </w:r>
      <w:r w:rsidR="000F5985">
        <w:t>with respect to premiums</w:t>
      </w:r>
      <w:r>
        <w:t>, extracted records of commis</w:t>
      </w:r>
      <w:r w:rsidR="000F5985">
        <w:t>sions and fees data from AMP’s integrated distribution m</w:t>
      </w:r>
      <w:r w:rsidR="00A57697">
        <w:t>anagement s</w:t>
      </w:r>
      <w:r>
        <w:t xml:space="preserve">ystem, liaised with internal AMP business teams to identify other potentially relevant files, and interrogated non product </w:t>
      </w:r>
      <w:r w:rsidRPr="00F32692">
        <w:t>specific systems</w:t>
      </w:r>
      <w:r w:rsidR="00011D11" w:rsidRPr="00F32692">
        <w:t>.</w:t>
      </w:r>
    </w:p>
    <w:p w:rsidR="005E0D5D" w:rsidRDefault="00011D11" w:rsidP="005E0D5D">
      <w:pPr>
        <w:pStyle w:val="ParaNumbering"/>
        <w:tabs>
          <w:tab w:val="num" w:pos="720"/>
        </w:tabs>
      </w:pPr>
      <w:r>
        <w:t>It is said that i</w:t>
      </w:r>
      <w:r w:rsidR="005E0D5D">
        <w:t xml:space="preserve">f the proceedings were to continue as a representative proceeding, </w:t>
      </w:r>
      <w:r>
        <w:t xml:space="preserve">such tasks </w:t>
      </w:r>
      <w:r w:rsidR="005E0D5D">
        <w:t xml:space="preserve">would need to be undertaken for all group members who held the products held by each of the applicants.  Moreover, an informed assessment of the position of group members for the purpose of any settlement of their claims would require a process for </w:t>
      </w:r>
      <w:r>
        <w:t xml:space="preserve">the </w:t>
      </w:r>
      <w:r w:rsidR="005E0D5D">
        <w:t>investigation of these matters.</w:t>
      </w:r>
    </w:p>
    <w:p w:rsidR="005E0D5D" w:rsidRDefault="00011D11" w:rsidP="005E0D5D">
      <w:pPr>
        <w:pStyle w:val="ParaNumbering"/>
        <w:tabs>
          <w:tab w:val="num" w:pos="720"/>
        </w:tabs>
      </w:pPr>
      <w:r>
        <w:t>Further, it is said that t</w:t>
      </w:r>
      <w:r w:rsidR="005E0D5D">
        <w:t xml:space="preserve">he work required is particularly burdensome with respect </w:t>
      </w:r>
      <w:r w:rsidR="000E36B6">
        <w:t xml:space="preserve">to the OSF sub-group members.  </w:t>
      </w:r>
      <w:r w:rsidR="005E0D5D">
        <w:t xml:space="preserve">In order to address the specific claims made by those sub-group members, once they and their AMP authorised representatives were identified, a file review would need </w:t>
      </w:r>
      <w:r w:rsidR="005E0D5D">
        <w:lastRenderedPageBreak/>
        <w:t>to be undertaken for each group member in order to determine if OSFs were agreed and a reconciliation conducted with records in payment administration systems to determine if such fees were paid.  If such fees were paid, a further review for each group member would need to be conducted to determin</w:t>
      </w:r>
      <w:r>
        <w:t>e what services were provided.</w:t>
      </w:r>
    </w:p>
    <w:p w:rsidR="00011D11" w:rsidRDefault="005E0D5D" w:rsidP="005E0D5D">
      <w:pPr>
        <w:pStyle w:val="ParaNumbering"/>
        <w:tabs>
          <w:tab w:val="num" w:pos="720"/>
        </w:tabs>
      </w:pPr>
      <w:r>
        <w:t xml:space="preserve">Moreover, a subset of the OSF sub-group members </w:t>
      </w:r>
      <w:r w:rsidR="00011D11">
        <w:t>are</w:t>
      </w:r>
      <w:r>
        <w:t xml:space="preserve"> clients who were transferred into</w:t>
      </w:r>
      <w:r w:rsidR="00AC4FFD">
        <w:t xml:space="preserve"> the Buyer of Last Resort pools</w:t>
      </w:r>
      <w:r>
        <w:t xml:space="preserve"> of each of the AMP licensees</w:t>
      </w:r>
      <w:r w:rsidR="00AC4FFD">
        <w:t xml:space="preserve"> (BOLR pool)</w:t>
      </w:r>
      <w:r>
        <w:t xml:space="preserve">.  However, none of the applicants were </w:t>
      </w:r>
      <w:r w:rsidR="00AC4FFD">
        <w:t>transferred into the BOLR p</w:t>
      </w:r>
      <w:r w:rsidR="00011D11">
        <w:t>ool.</w:t>
      </w:r>
    </w:p>
    <w:p w:rsidR="005E0D5D" w:rsidRDefault="00B66FD0" w:rsidP="00011D11">
      <w:pPr>
        <w:pStyle w:val="ParaNumbering"/>
        <w:tabs>
          <w:tab w:val="num" w:pos="720"/>
        </w:tabs>
      </w:pPr>
      <w:r>
        <w:t>Now s</w:t>
      </w:r>
      <w:r w:rsidR="005E0D5D">
        <w:t xml:space="preserve">hould the matter proceed as a representative proceeding, it may be appropriate for the applicants to identify a further representative sub-group member whose client register rights </w:t>
      </w:r>
      <w:r w:rsidR="00AC4FFD">
        <w:t>were transferred into the BOLR p</w:t>
      </w:r>
      <w:r w:rsidR="00011D11">
        <w:t xml:space="preserve">ool.  </w:t>
      </w:r>
      <w:r w:rsidR="005E0D5D">
        <w:t>But even if that were done,</w:t>
      </w:r>
      <w:r w:rsidR="00011D11">
        <w:t xml:space="preserve"> the respondents </w:t>
      </w:r>
      <w:r>
        <w:t>complain</w:t>
      </w:r>
      <w:r w:rsidR="00011D11">
        <w:t xml:space="preserve"> that</w:t>
      </w:r>
      <w:r w:rsidR="005E0D5D">
        <w:t xml:space="preserve"> the inefficiencies associated with the proceeding continuing </w:t>
      </w:r>
      <w:r>
        <w:t>would still</w:t>
      </w:r>
      <w:r w:rsidR="00011D11">
        <w:t xml:space="preserve"> remain. </w:t>
      </w:r>
      <w:r w:rsidR="005E0D5D">
        <w:t xml:space="preserve"> </w:t>
      </w:r>
      <w:r w:rsidR="00011D11">
        <w:t>T</w:t>
      </w:r>
      <w:r w:rsidR="005E0D5D">
        <w:t>o respon</w:t>
      </w:r>
      <w:r w:rsidR="00011D11">
        <w:t>d to the claims relating to a</w:t>
      </w:r>
      <w:r w:rsidR="005E0D5D">
        <w:t xml:space="preserve"> group member whose register rights </w:t>
      </w:r>
      <w:r w:rsidR="00AC4FFD">
        <w:t>were transferred into the BOLR p</w:t>
      </w:r>
      <w:r w:rsidR="005E0D5D">
        <w:t xml:space="preserve">ool would require an examination of </w:t>
      </w:r>
      <w:r w:rsidR="00011D11">
        <w:t xml:space="preserve">various individual </w:t>
      </w:r>
      <w:r w:rsidR="00011D11" w:rsidRPr="004864CB">
        <w:t>factual matters.</w:t>
      </w:r>
    </w:p>
    <w:p w:rsidR="005E0D5D" w:rsidRDefault="00011D11" w:rsidP="00011D11">
      <w:pPr>
        <w:pStyle w:val="ParaNumbering"/>
        <w:tabs>
          <w:tab w:val="num" w:pos="720"/>
        </w:tabs>
      </w:pPr>
      <w:r>
        <w:t>Further, the respondents make similar points</w:t>
      </w:r>
      <w:r w:rsidR="005E0D5D">
        <w:t xml:space="preserve"> in respect of a further subset of the OSF sub-group members, being those whose AMP authorised representatives exercised a buy back option.  Again, none of the applicants falls within this sub-group.  Determining those particular sub-group members’ claims will require an examination of </w:t>
      </w:r>
      <w:r>
        <w:t xml:space="preserve">various individual </w:t>
      </w:r>
      <w:r w:rsidRPr="00757384">
        <w:t>factual matters.</w:t>
      </w:r>
    </w:p>
    <w:p w:rsidR="005E0D5D" w:rsidRDefault="005E0D5D" w:rsidP="005E0D5D">
      <w:pPr>
        <w:pStyle w:val="ParaNumbering"/>
      </w:pPr>
      <w:r>
        <w:t>Now the</w:t>
      </w:r>
      <w:r w:rsidR="00011D11">
        <w:t xml:space="preserve"> onus is on the</w:t>
      </w:r>
      <w:r>
        <w:t xml:space="preserve"> respondents </w:t>
      </w:r>
      <w:r w:rsidR="00011D11">
        <w:t>to establish</w:t>
      </w:r>
      <w:r>
        <w:t xml:space="preserve"> that the proceeding is not an “efficient and effective means of dealing with the claims of group members” (s 33N(1)(c)).</w:t>
      </w:r>
      <w:r w:rsidR="00703470">
        <w:t xml:space="preserve">  And in my view they have not established this.</w:t>
      </w:r>
    </w:p>
    <w:p w:rsidR="005E0D5D" w:rsidRDefault="00703470" w:rsidP="00B66FD0">
      <w:pPr>
        <w:pStyle w:val="ParaNumbering"/>
      </w:pPr>
      <w:r>
        <w:t>T</w:t>
      </w:r>
      <w:r w:rsidR="005E0D5D">
        <w:t xml:space="preserve">he respondents’ </w:t>
      </w:r>
      <w:r w:rsidR="00B66FD0">
        <w:t>complaint</w:t>
      </w:r>
      <w:r w:rsidR="005E0D5D">
        <w:t xml:space="preserve"> is that the allegation that group members are entitled to be compensated for commissions and premiums in relation to advice from financial advisers necessitates inquiries to be made about the particular advice given to, and the circumstances of, each and every group member, and does not give rise to a set of common inquiries that can be meaningfully asked and answered on behalf of those group members.</w:t>
      </w:r>
      <w:r w:rsidR="00B66FD0">
        <w:t xml:space="preserve">  </w:t>
      </w:r>
      <w:r w:rsidR="005E0D5D" w:rsidRPr="00350228">
        <w:t>This contention underpins the</w:t>
      </w:r>
      <w:r w:rsidR="00011D11">
        <w:t>ir asserted</w:t>
      </w:r>
      <w:r w:rsidR="005E0D5D" w:rsidRPr="00350228">
        <w:t xml:space="preserve"> injustice</w:t>
      </w:r>
      <w:r w:rsidR="009D27EE">
        <w:t xml:space="preserve"> that</w:t>
      </w:r>
      <w:r w:rsidR="005E0D5D" w:rsidRPr="00350228">
        <w:t xml:space="preserve"> </w:t>
      </w:r>
      <w:r w:rsidR="00011D11">
        <w:t>is said to flow</w:t>
      </w:r>
      <w:r w:rsidR="005E0D5D" w:rsidRPr="00350228">
        <w:t xml:space="preserve"> from the proceeding, </w:t>
      </w:r>
      <w:r w:rsidR="00011D11">
        <w:t>including</w:t>
      </w:r>
      <w:r w:rsidR="005E0D5D" w:rsidRPr="00350228">
        <w:t xml:space="preserve"> the need to interrogate numerous</w:t>
      </w:r>
      <w:r w:rsidR="00011D11">
        <w:t xml:space="preserve"> systems</w:t>
      </w:r>
      <w:r w:rsidR="005E0D5D">
        <w:t xml:space="preserve"> </w:t>
      </w:r>
      <w:r w:rsidR="00011D11">
        <w:t xml:space="preserve">and give far-reaching discovery.  It is also said that this will all </w:t>
      </w:r>
      <w:r w:rsidR="005E0D5D">
        <w:t>impede se</w:t>
      </w:r>
      <w:r w:rsidR="00011D11">
        <w:t>ttlement</w:t>
      </w:r>
      <w:r w:rsidR="007C2FB7">
        <w:t>, which I very much doubt,</w:t>
      </w:r>
      <w:r w:rsidR="00011D11">
        <w:t xml:space="preserve"> and potentially delay </w:t>
      </w:r>
      <w:r w:rsidR="005E0D5D">
        <w:t>redress by other avenues, including through remediation programs.</w:t>
      </w:r>
    </w:p>
    <w:p w:rsidR="003F2831" w:rsidRDefault="0032790C" w:rsidP="005E0D5D">
      <w:pPr>
        <w:pStyle w:val="ParaNumbering"/>
      </w:pPr>
      <w:r>
        <w:t xml:space="preserve">But </w:t>
      </w:r>
      <w:r w:rsidR="007C2FB7">
        <w:t>these concerns are overstated</w:t>
      </w:r>
      <w:r>
        <w:t xml:space="preserve"> given the nature of the directions that I may make to enable the case to p</w:t>
      </w:r>
      <w:r w:rsidR="007C2FB7">
        <w:t>roceed to the first stage trial in an efficient fashion.</w:t>
      </w:r>
    </w:p>
    <w:p w:rsidR="005E0D5D" w:rsidRDefault="005E0D5D" w:rsidP="003F2831">
      <w:pPr>
        <w:pStyle w:val="ParaNumbering"/>
      </w:pPr>
      <w:r>
        <w:lastRenderedPageBreak/>
        <w:t xml:space="preserve">The initial trial will determine the claims of the applicants and any common questions that </w:t>
      </w:r>
      <w:r w:rsidR="003F2831">
        <w:t>I consider</w:t>
      </w:r>
      <w:r w:rsidR="00703470">
        <w:t xml:space="preserve"> can be determined.  </w:t>
      </w:r>
      <w:r w:rsidR="003F2831">
        <w:t xml:space="preserve">There will plainly be utility in me determining the common </w:t>
      </w:r>
      <w:r w:rsidR="00703470">
        <w:t>issues only once</w:t>
      </w:r>
      <w:r w:rsidR="003F2831">
        <w:t xml:space="preserve"> as part of the representative proceeding, rather than revisiting those is</w:t>
      </w:r>
      <w:r w:rsidR="00703470">
        <w:t xml:space="preserve">sues in individual proceedings </w:t>
      </w:r>
      <w:r w:rsidR="003F2831">
        <w:t>and potentially</w:t>
      </w:r>
      <w:r w:rsidR="00703470">
        <w:t xml:space="preserve"> reaching inconsistent findings.</w:t>
      </w:r>
    </w:p>
    <w:p w:rsidR="005E0D5D" w:rsidRDefault="00703470" w:rsidP="003F2831">
      <w:pPr>
        <w:pStyle w:val="ParaNumbering"/>
      </w:pPr>
      <w:r>
        <w:t xml:space="preserve">Further, I </w:t>
      </w:r>
      <w:r w:rsidR="003F2831">
        <w:t>will also permit a trial of a</w:t>
      </w:r>
      <w:r w:rsidR="005E0D5D">
        <w:t xml:space="preserve"> number of sample group member</w:t>
      </w:r>
      <w:r w:rsidR="003F2831">
        <w:t>s’</w:t>
      </w:r>
      <w:r w:rsidR="005E0D5D">
        <w:t xml:space="preserve"> claims to address particular aspects of the pleaded case</w:t>
      </w:r>
      <w:r w:rsidR="003F2831">
        <w:t xml:space="preserve"> including </w:t>
      </w:r>
      <w:r w:rsidR="005E0D5D" w:rsidRPr="006B1B57">
        <w:t xml:space="preserve">the claims of sample group members necessary to ventilate certain claims </w:t>
      </w:r>
      <w:r>
        <w:t>not available to the applicants, that is,</w:t>
      </w:r>
      <w:r w:rsidR="005E0D5D" w:rsidRPr="006B1B57">
        <w:t xml:space="preserve"> the anti-avoidance claim and the </w:t>
      </w:r>
      <w:proofErr w:type="spellStart"/>
      <w:r w:rsidR="005E0D5D" w:rsidRPr="006B1B57">
        <w:t>buy back</w:t>
      </w:r>
      <w:proofErr w:type="spellEnd"/>
      <w:r w:rsidR="005E0D5D" w:rsidRPr="006B1B57">
        <w:t xml:space="preserve"> option allegations with respect to the OSF</w:t>
      </w:r>
      <w:r>
        <w:t xml:space="preserve"> sub-group members</w:t>
      </w:r>
      <w:r w:rsidR="005E0D5D">
        <w:t>.</w:t>
      </w:r>
      <w:r w:rsidR="003F2831">
        <w:t xml:space="preserve">  I may also add other sample group members to deal with, for example, different commissioned products.</w:t>
      </w:r>
    </w:p>
    <w:p w:rsidR="005E0D5D" w:rsidRDefault="003F2831" w:rsidP="005E0D5D">
      <w:pPr>
        <w:pStyle w:val="ParaNumbering"/>
      </w:pPr>
      <w:r>
        <w:t xml:space="preserve">Further, in terms of discovery, it </w:t>
      </w:r>
      <w:r w:rsidR="005E0D5D">
        <w:t xml:space="preserve">will be </w:t>
      </w:r>
      <w:r w:rsidR="005E0D5D" w:rsidRPr="006B1B57">
        <w:t>targeted towards the common issues that have been id</w:t>
      </w:r>
      <w:r>
        <w:t xml:space="preserve">entified and </w:t>
      </w:r>
      <w:r w:rsidR="005E0D5D" w:rsidRPr="006B1B57">
        <w:t xml:space="preserve">discovery </w:t>
      </w:r>
      <w:r>
        <w:t>specifically referable to the claims of the applicants and sample group members whose claims are to be tried at the first stage.</w:t>
      </w:r>
    </w:p>
    <w:p w:rsidR="005E0D5D" w:rsidRDefault="003F2831" w:rsidP="00703470">
      <w:pPr>
        <w:pStyle w:val="ParaNumbering"/>
      </w:pPr>
      <w:r>
        <w:t>Let me deal with one other matter.  It might be said that</w:t>
      </w:r>
      <w:r w:rsidR="005E0D5D">
        <w:t xml:space="preserve"> in some respects</w:t>
      </w:r>
      <w:r w:rsidR="00EA2268">
        <w:t xml:space="preserve"> the application is premature.  But I am not inclined to </w:t>
      </w:r>
      <w:r w:rsidR="00703470">
        <w:t>agree</w:t>
      </w:r>
      <w:r w:rsidR="00EA2268">
        <w:t xml:space="preserve">.  </w:t>
      </w:r>
      <w:r w:rsidR="005E0D5D" w:rsidRPr="006A23EC">
        <w:t xml:space="preserve">The defence has been filed and the </w:t>
      </w:r>
      <w:r w:rsidR="00EA2268">
        <w:t>pleadings are closed in substance, subject to the proposed amendments that have been foreshadowed by the applicants.</w:t>
      </w:r>
      <w:r w:rsidR="00F452B3">
        <w:t xml:space="preserve">  Having said all of that, I do agree that it is too early to formulate the common issues for trial.  Moreover, I have not yet decided whether I will make </w:t>
      </w:r>
      <w:r w:rsidR="00F452B3" w:rsidRPr="00F452B3">
        <w:rPr>
          <w:i/>
        </w:rPr>
        <w:t>Merck</w:t>
      </w:r>
      <w:r w:rsidR="00F452B3">
        <w:rPr>
          <w:i/>
        </w:rPr>
        <w:t xml:space="preserve"> </w:t>
      </w:r>
      <w:r w:rsidR="00F452B3">
        <w:t>orders or adopt my usual practice which I have discussed in other cases.</w:t>
      </w:r>
    </w:p>
    <w:p w:rsidR="00F452B3" w:rsidRDefault="00F452B3" w:rsidP="00703470">
      <w:pPr>
        <w:pStyle w:val="ParaNumbering"/>
      </w:pPr>
      <w:r>
        <w:t>In summary, the respondents have not established s 33N(1)(c).</w:t>
      </w:r>
    </w:p>
    <w:p w:rsidR="00F452B3" w:rsidRDefault="00F452B3" w:rsidP="00703470">
      <w:pPr>
        <w:pStyle w:val="ParaNumbering"/>
      </w:pPr>
      <w:r>
        <w:t>It is not shown that the proceeding will not provide an efficient and effective means of dealing with the claims of group members, when compared with:</w:t>
      </w:r>
    </w:p>
    <w:p w:rsidR="00F452B3" w:rsidRDefault="00F452B3" w:rsidP="00F452B3">
      <w:pPr>
        <w:pStyle w:val="ListNo1alt"/>
        <w:numPr>
          <w:ilvl w:val="0"/>
          <w:numId w:val="36"/>
        </w:numPr>
      </w:pPr>
      <w:r>
        <w:t xml:space="preserve">separate individual proceedings; or </w:t>
      </w:r>
    </w:p>
    <w:p w:rsidR="00F452B3" w:rsidRDefault="00F452B3" w:rsidP="00F452B3">
      <w:pPr>
        <w:pStyle w:val="ListNo1alt"/>
        <w:numPr>
          <w:ilvl w:val="0"/>
          <w:numId w:val="36"/>
        </w:numPr>
      </w:pPr>
      <w:r>
        <w:t>no proceedings at all.</w:t>
      </w:r>
    </w:p>
    <w:p w:rsidR="00F452B3" w:rsidRPr="006A23EC" w:rsidRDefault="00F452B3" w:rsidP="00F452B3">
      <w:pPr>
        <w:pStyle w:val="ParaNumbering"/>
      </w:pPr>
      <w:r>
        <w:t>Moreover, option (a) is unlikely, and option (b), though likely, is unsatisfactory and at odds with the purposes of Part IVA.  But what if option (b) involves a consideration of the respondents’ remediation scheme?  Now in my view as a matter of principle it ought not.  But if it did, then due to its limitations that I will come to in a moment, even if I were to consider it, that would not entail that s 33N(1)(c) had been made out.</w:t>
      </w:r>
    </w:p>
    <w:p w:rsidR="00EA2268" w:rsidRPr="00F452B3" w:rsidRDefault="005E0D5D" w:rsidP="00E57263">
      <w:pPr>
        <w:pStyle w:val="Heading2"/>
      </w:pPr>
      <w:r w:rsidRPr="00307DAC">
        <w:t>Interests of justice</w:t>
      </w:r>
    </w:p>
    <w:p w:rsidR="00EA2268" w:rsidRDefault="00CB18DC" w:rsidP="00CB18DC">
      <w:pPr>
        <w:pStyle w:val="ParaNumbering"/>
      </w:pPr>
      <w:r>
        <w:t xml:space="preserve">But even if </w:t>
      </w:r>
      <w:r w:rsidR="00242069">
        <w:t xml:space="preserve">s 33N(1)(c) was </w:t>
      </w:r>
      <w:r>
        <w:t>satisfied, I would</w:t>
      </w:r>
      <w:r w:rsidR="00EA2268">
        <w:t xml:space="preserve"> still not make </w:t>
      </w:r>
      <w:r w:rsidR="00242069">
        <w:t>a de-classing order.</w:t>
      </w:r>
    </w:p>
    <w:p w:rsidR="00CB18DC" w:rsidRDefault="00242069" w:rsidP="00CB18DC">
      <w:pPr>
        <w:pStyle w:val="ParaNumbering"/>
      </w:pPr>
      <w:r>
        <w:lastRenderedPageBreak/>
        <w:t>As I have indicated</w:t>
      </w:r>
      <w:r w:rsidR="00CB18DC">
        <w:t>, a s 33N(1) order may provoke a multiplicity of proceedings against the respondents, negating the foundation for making the s 33N(1) order in the first place.  Another possibility is that the declassing order may cause the funder to terminate its funding agreements, which might have the practical effect of a stay.  It is unlikely that any one group member would fund their own action.</w:t>
      </w:r>
    </w:p>
    <w:p w:rsidR="00242069" w:rsidRDefault="00242069" w:rsidP="00CB18DC">
      <w:pPr>
        <w:pStyle w:val="ParaNumbering"/>
      </w:pPr>
      <w:r>
        <w:t>Both possibilities are unpalatable and not in the interests of justice.</w:t>
      </w:r>
    </w:p>
    <w:p w:rsidR="00242A5A" w:rsidRDefault="00EA2268" w:rsidP="00242069">
      <w:pPr>
        <w:pStyle w:val="ParaNumbering"/>
        <w:tabs>
          <w:tab w:val="num" w:pos="720"/>
        </w:tabs>
      </w:pPr>
      <w:r>
        <w:t>Now t</w:t>
      </w:r>
      <w:r w:rsidR="005E0D5D">
        <w:t xml:space="preserve">he respondents rely on the existence of a remediation scheme as a basis to say that some group members could access those schemes in preference to </w:t>
      </w:r>
      <w:r w:rsidR="005E0D5D" w:rsidRPr="00B0413B">
        <w:t>this proceeding.</w:t>
      </w:r>
      <w:r w:rsidR="00242069">
        <w:t xml:space="preserve">  </w:t>
      </w:r>
      <w:r w:rsidR="00242A5A">
        <w:t>AMP</w:t>
      </w:r>
      <w:r w:rsidR="00242069">
        <w:t xml:space="preserve"> Limited</w:t>
      </w:r>
      <w:r w:rsidR="00242A5A">
        <w:t xml:space="preserve"> currently has in place a remediation scheme which includes two “lookback” programs which seek to identify and compensate clients who have suffered loss or detriment as a result of inappropriate advice from their adviser, which covers the period 1 January 2009 to 30 June 2017, or where clients have been charged an advice service fee without the provision of financial advice services or insufficient evidence of the provision of financial services, which covers the period 1 July 2008 to 31 December 2017.</w:t>
      </w:r>
    </w:p>
    <w:p w:rsidR="005E0D5D" w:rsidRDefault="00242069" w:rsidP="00242069">
      <w:pPr>
        <w:pStyle w:val="ParaNumbering"/>
        <w:tabs>
          <w:tab w:val="num" w:pos="720"/>
        </w:tabs>
      </w:pPr>
      <w:r>
        <w:t>But none of this really assists the respondents</w:t>
      </w:r>
      <w:r w:rsidR="007C2FB7">
        <w:t xml:space="preserve"> to justify any de-classing in the interests of justice</w:t>
      </w:r>
      <w:r>
        <w:t>.  T</w:t>
      </w:r>
      <w:r w:rsidR="005E0D5D">
        <w:t xml:space="preserve">here is no suggestion that the </w:t>
      </w:r>
      <w:r w:rsidR="007C2FB7">
        <w:t xml:space="preserve">claims </w:t>
      </w:r>
      <w:r w:rsidR="005E0D5D">
        <w:t>made in this proceeding are being remediated, other than</w:t>
      </w:r>
      <w:r w:rsidR="007C2FB7">
        <w:t xml:space="preserve"> those concerning</w:t>
      </w:r>
      <w:r w:rsidR="005E0D5D">
        <w:t xml:space="preserve"> the </w:t>
      </w:r>
      <w:r>
        <w:t xml:space="preserve">advice service fee allegations.  </w:t>
      </w:r>
      <w:r w:rsidR="00EA2268">
        <w:t>Further</w:t>
      </w:r>
      <w:r w:rsidR="005E0D5D">
        <w:t xml:space="preserve">, the remediation schemes only cover the period to </w:t>
      </w:r>
      <w:r>
        <w:t>either June or December 2017.  But t</w:t>
      </w:r>
      <w:r w:rsidR="005E0D5D">
        <w:t>he group definition in this case and the allegations cover the period to February 2021.</w:t>
      </w:r>
      <w:r>
        <w:t xml:space="preserve">  None of this establishes that it is in the interests of justice to de-class.</w:t>
      </w:r>
    </w:p>
    <w:p w:rsidR="00A3212F" w:rsidRPr="009F3E8F" w:rsidRDefault="00242069" w:rsidP="005E0D5D">
      <w:pPr>
        <w:pStyle w:val="ParaNumbering"/>
        <w:rPr>
          <w:b/>
          <w:i/>
        </w:rPr>
      </w:pPr>
      <w:r>
        <w:t>In summary, the respondents have not made out their case that it is in the interests of justice to de-class even if they had made ou</w:t>
      </w:r>
      <w:r w:rsidR="0066248A">
        <w:t>t their case invoking s 33N(1)(c</w:t>
      </w:r>
      <w:r>
        <w:t>)</w:t>
      </w:r>
      <w:r w:rsidR="0066248A">
        <w:t>,</w:t>
      </w:r>
      <w:r>
        <w:t xml:space="preserve"> which they have not.</w:t>
      </w:r>
    </w:p>
    <w:p w:rsidR="005E0D5D" w:rsidRDefault="005E0D5D" w:rsidP="005E0D5D">
      <w:pPr>
        <w:pStyle w:val="Heading2"/>
      </w:pPr>
      <w:r w:rsidRPr="009F3E8F">
        <w:t>Amendment</w:t>
      </w:r>
    </w:p>
    <w:p w:rsidR="005E0D5D" w:rsidRDefault="005E0D5D" w:rsidP="00242069">
      <w:pPr>
        <w:pStyle w:val="ParaNumbering"/>
      </w:pPr>
      <w:r>
        <w:t>The ap</w:t>
      </w:r>
      <w:r w:rsidR="00242A5A">
        <w:t xml:space="preserve">plicants seek leave to amend their consolidated </w:t>
      </w:r>
      <w:r w:rsidR="00242069">
        <w:t>statement of claim</w:t>
      </w:r>
      <w:r w:rsidR="00242A5A">
        <w:t>, principally to make clear t</w:t>
      </w:r>
      <w:r>
        <w:t xml:space="preserve">he alleged policies, systems and processes </w:t>
      </w:r>
      <w:r w:rsidR="00242069">
        <w:t>that underpin</w:t>
      </w:r>
      <w:r>
        <w:t xml:space="preserve"> </w:t>
      </w:r>
      <w:r w:rsidR="00242A5A">
        <w:t>their claims.</w:t>
      </w:r>
      <w:r w:rsidR="00242069">
        <w:t xml:space="preserve">  </w:t>
      </w:r>
      <w:r>
        <w:t>Further amen</w:t>
      </w:r>
      <w:r w:rsidR="00242A5A">
        <w:t>dments are proposed to address some</w:t>
      </w:r>
      <w:r>
        <w:t xml:space="preserve"> factual issue</w:t>
      </w:r>
      <w:r w:rsidR="00242A5A">
        <w:t>s</w:t>
      </w:r>
      <w:r>
        <w:t xml:space="preserve"> arising from </w:t>
      </w:r>
      <w:r w:rsidR="00242A5A">
        <w:t>the defence.</w:t>
      </w:r>
      <w:r w:rsidR="00242069">
        <w:t xml:space="preserve">  </w:t>
      </w:r>
      <w:r>
        <w:t>The applicants have also provided further particulars to several allegations</w:t>
      </w:r>
      <w:r w:rsidR="00A3212F">
        <w:t>.</w:t>
      </w:r>
    </w:p>
    <w:p w:rsidR="005E0D5D" w:rsidRDefault="00242A5A" w:rsidP="005E0D5D">
      <w:pPr>
        <w:pStyle w:val="ParaNumbering"/>
        <w:tabs>
          <w:tab w:val="num" w:pos="720"/>
        </w:tabs>
      </w:pPr>
      <w:r>
        <w:t>In my view</w:t>
      </w:r>
      <w:r w:rsidR="005E0D5D">
        <w:t xml:space="preserve">, no prejudice to the respondents </w:t>
      </w:r>
      <w:r>
        <w:t>can arise from the amendments.  I will allow them subject to the applicants paying any costs thrown away.</w:t>
      </w:r>
    </w:p>
    <w:p w:rsidR="005E0D5D" w:rsidRDefault="005E0D5D" w:rsidP="005E0D5D">
      <w:pPr>
        <w:pStyle w:val="Heading2"/>
      </w:pPr>
      <w:r>
        <w:lastRenderedPageBreak/>
        <w:t>Conclusion</w:t>
      </w:r>
    </w:p>
    <w:p w:rsidR="005E0D5D" w:rsidRDefault="005E0D5D" w:rsidP="005E0D5D">
      <w:pPr>
        <w:pStyle w:val="ParaNumbering"/>
      </w:pPr>
      <w:r>
        <w:t>I will dism</w:t>
      </w:r>
      <w:r w:rsidRPr="00484928">
        <w:t>i</w:t>
      </w:r>
      <w:r>
        <w:t xml:space="preserve">ss the </w:t>
      </w:r>
      <w:r w:rsidRPr="006A23EC">
        <w:t>respondents’ s 33N application</w:t>
      </w:r>
      <w:r>
        <w:t xml:space="preserve"> and make the appropriate orders to reflect </w:t>
      </w:r>
      <w:r w:rsidRPr="00B0413B">
        <w:t xml:space="preserve">these </w:t>
      </w:r>
      <w:r w:rsidRPr="00E719F9">
        <w:t>reasons.</w:t>
      </w:r>
    </w:p>
    <w:p w:rsidR="00703470" w:rsidRDefault="00703470" w:rsidP="00703470">
      <w:pPr>
        <w:pStyle w:val="ParaNumbering"/>
      </w:pPr>
      <w:r>
        <w:t>Finally, as the respondents have made some good points, I am favourably disposed to do two things.</w:t>
      </w:r>
    </w:p>
    <w:p w:rsidR="00703470" w:rsidRDefault="00703470" w:rsidP="00703470">
      <w:pPr>
        <w:pStyle w:val="ParaNumbering"/>
      </w:pPr>
      <w:r>
        <w:t>First, I will not make an order under s 33N(2) barring the respondents from making a further application without leave.  They are free to make a further application if matters crystallise more in their favour than they have to date.  Indeed, they could leverage off the applicants’ present argument of prematurity to justify my tolerance of such a freedom.</w:t>
      </w:r>
    </w:p>
    <w:p w:rsidR="00703470" w:rsidRDefault="00703470" w:rsidP="00703470">
      <w:pPr>
        <w:pStyle w:val="ParaNumbering"/>
      </w:pPr>
      <w:r>
        <w:t xml:space="preserve">Second, I will order that all parties’ costs concerning the present application be their costs in the cause.  Notwithstanding that the applicants have been successful, some of their propositions whether put to me or earlier to the respondents were overly ambitious or at the least lacked clarity.  Further, some of their arguments only succeeded by reason of their late proposed amendments to the consolidated proceeding.  Further, many of the matters raised by the respondents have quite properly given me food for thought concerning the architecture and staging of the first stage trial.  That is of </w:t>
      </w:r>
      <w:r w:rsidRPr="0066248A">
        <w:t>advantage to all.</w:t>
      </w:r>
    </w:p>
    <w:p w:rsidR="00850D11" w:rsidRDefault="00850D11" w:rsidP="00815065">
      <w:pPr>
        <w:pStyle w:val="BodyText"/>
      </w:pPr>
      <w:bookmarkStart w:id="23" w:name="Certification"/>
    </w:p>
    <w:tbl>
      <w:tblPr>
        <w:tblW w:w="0" w:type="auto"/>
        <w:tblLook w:val="04A0" w:firstRow="1" w:lastRow="0" w:firstColumn="1" w:lastColumn="0" w:noHBand="0" w:noVBand="1"/>
      </w:tblPr>
      <w:tblGrid>
        <w:gridCol w:w="3794"/>
      </w:tblGrid>
      <w:tr w:rsidR="00850D11" w:rsidRPr="00850D11">
        <w:tc>
          <w:tcPr>
            <w:tcW w:w="3794" w:type="dxa"/>
            <w:shd w:val="clear" w:color="auto" w:fill="auto"/>
          </w:tcPr>
          <w:p w:rsidR="00850D11" w:rsidRPr="00850D11" w:rsidRDefault="00850D11" w:rsidP="00850D11">
            <w:pPr>
              <w:pStyle w:val="Normal1linespace"/>
            </w:pPr>
            <w:r w:rsidRPr="00850D11">
              <w:t xml:space="preserve">I certify that the preceding </w:t>
            </w:r>
            <w:bookmarkStart w:id="24" w:name="NumberWord"/>
            <w:r>
              <w:t>two hundred and forty-three</w:t>
            </w:r>
            <w:bookmarkEnd w:id="24"/>
            <w:r w:rsidRPr="00850D11">
              <w:t xml:space="preserve"> (</w:t>
            </w:r>
            <w:bookmarkStart w:id="25" w:name="NumberNumeral"/>
            <w:r>
              <w:t>243</w:t>
            </w:r>
            <w:bookmarkEnd w:id="25"/>
            <w:r w:rsidRPr="00850D11">
              <w:t xml:space="preserve">) numbered </w:t>
            </w:r>
            <w:bookmarkStart w:id="26" w:name="CertPara"/>
            <w:r>
              <w:t>paragraphs are</w:t>
            </w:r>
            <w:bookmarkEnd w:id="26"/>
            <w:r w:rsidRPr="00850D11">
              <w:t xml:space="preserve"> a true copy of the Reasons for Judgment of </w:t>
            </w:r>
            <w:bookmarkStart w:id="27" w:name="bkHonourable"/>
            <w:r w:rsidRPr="00850D11">
              <w:t xml:space="preserve">the Honourable </w:t>
            </w:r>
            <w:bookmarkStart w:id="28" w:name="Justice"/>
            <w:bookmarkEnd w:id="27"/>
            <w:r>
              <w:t>Justice Beach</w:t>
            </w:r>
            <w:bookmarkEnd w:id="28"/>
            <w:r w:rsidRPr="00850D11">
              <w:t>.</w:t>
            </w:r>
          </w:p>
        </w:tc>
      </w:tr>
    </w:tbl>
    <w:p w:rsidR="00850D11" w:rsidRDefault="00850D11" w:rsidP="00815065">
      <w:pPr>
        <w:pStyle w:val="BodyText"/>
      </w:pPr>
    </w:p>
    <w:p w:rsidR="00850D11" w:rsidRDefault="00850D11" w:rsidP="00815065">
      <w:pPr>
        <w:pStyle w:val="BodyText"/>
      </w:pPr>
      <w:bookmarkStart w:id="29" w:name="_GoBack"/>
      <w:bookmarkEnd w:id="29"/>
    </w:p>
    <w:p w:rsidR="00850D11" w:rsidRDefault="00850D11" w:rsidP="00815065">
      <w:pPr>
        <w:pStyle w:val="BodyText"/>
      </w:pPr>
      <w:r>
        <w:t>Associate:</w:t>
      </w:r>
    </w:p>
    <w:p w:rsidR="00850D11" w:rsidRDefault="00850D11" w:rsidP="00815065">
      <w:pPr>
        <w:pStyle w:val="BodyText"/>
      </w:pPr>
    </w:p>
    <w:p w:rsidR="00850D11" w:rsidRDefault="00850D11" w:rsidP="00815065">
      <w:pPr>
        <w:pStyle w:val="BodyText"/>
        <w:tabs>
          <w:tab w:val="left" w:pos="1134"/>
        </w:tabs>
      </w:pPr>
      <w:r>
        <w:t>Dated:</w:t>
      </w:r>
      <w:r>
        <w:tab/>
      </w:r>
      <w:bookmarkStart w:id="30" w:name="CertifyDated"/>
      <w:r>
        <w:t>25 November 2021</w:t>
      </w:r>
      <w:bookmarkEnd w:id="30"/>
    </w:p>
    <w:p w:rsidR="00850D11" w:rsidRDefault="00850D11" w:rsidP="00815065">
      <w:pPr>
        <w:pStyle w:val="BodyText"/>
      </w:pPr>
    </w:p>
    <w:bookmarkEnd w:id="23"/>
    <w:p w:rsidR="00BB6599" w:rsidRDefault="00BB6599" w:rsidP="00850D11">
      <w:pPr>
        <w:pStyle w:val="BodyText"/>
      </w:pPr>
      <w:r>
        <w:br w:type="page"/>
      </w:r>
    </w:p>
    <w:p w:rsidR="00BB6599" w:rsidRPr="00CD498A" w:rsidRDefault="00BB6599" w:rsidP="00E91A0F">
      <w:pPr>
        <w:pStyle w:val="NormalHeadings"/>
        <w:spacing w:before="180" w:line="480" w:lineRule="auto"/>
        <w:jc w:val="center"/>
        <w:rPr>
          <w:sz w:val="28"/>
          <w:szCs w:val="28"/>
        </w:rPr>
      </w:pPr>
      <w:bookmarkStart w:id="31" w:name="SOP_Section"/>
      <w:r w:rsidRPr="00CD498A">
        <w:rPr>
          <w:sz w:val="28"/>
          <w:szCs w:val="28"/>
        </w:rPr>
        <w:lastRenderedPageBreak/>
        <w:t>SCHEDULE OF PARTIES</w:t>
      </w:r>
    </w:p>
    <w:p w:rsidR="00BB6599" w:rsidRPr="00663089" w:rsidRDefault="00BB6599" w:rsidP="0078784C">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BB6599" w:rsidTr="00BB6599">
        <w:tc>
          <w:tcPr>
            <w:tcW w:w="3368" w:type="dxa"/>
          </w:tcPr>
          <w:p w:rsidR="00BB6599" w:rsidRDefault="00BB6599" w:rsidP="0078784C">
            <w:pPr>
              <w:pStyle w:val="NormalHeadings"/>
              <w:jc w:val="left"/>
              <w:rPr>
                <w:caps/>
                <w:szCs w:val="24"/>
              </w:rPr>
            </w:pPr>
          </w:p>
        </w:tc>
        <w:tc>
          <w:tcPr>
            <w:tcW w:w="5874" w:type="dxa"/>
          </w:tcPr>
          <w:p w:rsidR="00BB6599" w:rsidRDefault="005A2053" w:rsidP="0078784C">
            <w:pPr>
              <w:pStyle w:val="NormalHeadings"/>
              <w:jc w:val="right"/>
            </w:pPr>
            <w:r>
              <w:fldChar w:fldCharType="begin" w:fldLock="1"/>
            </w:r>
            <w:r>
              <w:instrText xml:space="preserve"> REF  FileNo </w:instrText>
            </w:r>
            <w:r>
              <w:fldChar w:fldCharType="separate"/>
            </w:r>
            <w:r w:rsidR="00BB6599">
              <w:t>VID 489 of 2020</w:t>
            </w:r>
            <w:r>
              <w:fldChar w:fldCharType="end"/>
            </w:r>
          </w:p>
        </w:tc>
      </w:tr>
      <w:tr w:rsidR="00BB6599" w:rsidTr="00BB6599">
        <w:trPr>
          <w:trHeight w:val="386"/>
        </w:trPr>
        <w:tc>
          <w:tcPr>
            <w:tcW w:w="3368" w:type="dxa"/>
          </w:tcPr>
          <w:p w:rsidR="00BB6599" w:rsidRDefault="00BB6599" w:rsidP="0078784C">
            <w:pPr>
              <w:pStyle w:val="BodyTextBold"/>
              <w:spacing w:before="180"/>
              <w:jc w:val="left"/>
            </w:pPr>
            <w:bookmarkStart w:id="32" w:name="SOP_ApplicantsRows" w:colFirst="0" w:colLast="1"/>
            <w:r>
              <w:t>Applicants</w:t>
            </w:r>
          </w:p>
        </w:tc>
        <w:tc>
          <w:tcPr>
            <w:tcW w:w="5874" w:type="dxa"/>
            <w:tcMar>
              <w:left w:w="28" w:type="dxa"/>
            </w:tcMar>
          </w:tcPr>
          <w:p w:rsidR="00BB6599" w:rsidRDefault="00BB6599" w:rsidP="0078784C">
            <w:pPr>
              <w:pStyle w:val="BodyText"/>
              <w:jc w:val="left"/>
            </w:pPr>
          </w:p>
        </w:tc>
      </w:tr>
      <w:tr w:rsidR="00BB6599" w:rsidTr="00BB6599">
        <w:trPr>
          <w:trHeight w:val="386"/>
        </w:trPr>
        <w:tc>
          <w:tcPr>
            <w:tcW w:w="3368" w:type="dxa"/>
          </w:tcPr>
          <w:p w:rsidR="00BB6599" w:rsidRDefault="00BB6599" w:rsidP="0078784C">
            <w:pPr>
              <w:pStyle w:val="BodyText"/>
              <w:spacing w:after="240" w:line="240" w:lineRule="auto"/>
              <w:jc w:val="left"/>
            </w:pPr>
            <w:bookmarkStart w:id="33" w:name="SOP_FirstApplicant"/>
            <w:bookmarkEnd w:id="33"/>
            <w:r>
              <w:t>Fourth Applicant:</w:t>
            </w:r>
          </w:p>
        </w:tc>
        <w:tc>
          <w:tcPr>
            <w:tcW w:w="5874" w:type="dxa"/>
            <w:tcMar>
              <w:left w:w="28" w:type="dxa"/>
            </w:tcMar>
          </w:tcPr>
          <w:p w:rsidR="00BB6599" w:rsidRDefault="00BB6599" w:rsidP="0078784C">
            <w:pPr>
              <w:pStyle w:val="BodyText"/>
              <w:spacing w:after="240" w:line="240" w:lineRule="auto"/>
              <w:jc w:val="left"/>
            </w:pPr>
            <w:r>
              <w:t>DAVID JAMES BRITTAIN</w:t>
            </w:r>
          </w:p>
        </w:tc>
      </w:tr>
      <w:tr w:rsidR="00BB6599" w:rsidTr="00BB6599">
        <w:trPr>
          <w:trHeight w:val="386"/>
        </w:trPr>
        <w:tc>
          <w:tcPr>
            <w:tcW w:w="3368" w:type="dxa"/>
          </w:tcPr>
          <w:p w:rsidR="00BB6599" w:rsidRDefault="00BB6599" w:rsidP="0078784C">
            <w:pPr>
              <w:pStyle w:val="BodyTextBold"/>
              <w:spacing w:before="180"/>
              <w:jc w:val="left"/>
            </w:pPr>
            <w:bookmarkStart w:id="34" w:name="SOP_RespondentsRows" w:colFirst="0" w:colLast="1"/>
            <w:bookmarkEnd w:id="32"/>
            <w:r>
              <w:t>Respondents</w:t>
            </w:r>
          </w:p>
        </w:tc>
        <w:tc>
          <w:tcPr>
            <w:tcW w:w="5874" w:type="dxa"/>
            <w:tcMar>
              <w:left w:w="28" w:type="dxa"/>
            </w:tcMar>
          </w:tcPr>
          <w:p w:rsidR="00BB6599" w:rsidRDefault="00BB6599" w:rsidP="0078784C">
            <w:pPr>
              <w:pStyle w:val="BodyText"/>
              <w:jc w:val="left"/>
            </w:pPr>
          </w:p>
        </w:tc>
      </w:tr>
      <w:tr w:rsidR="00BB6599" w:rsidTr="00BB6599">
        <w:trPr>
          <w:trHeight w:val="386"/>
        </w:trPr>
        <w:tc>
          <w:tcPr>
            <w:tcW w:w="3368" w:type="dxa"/>
          </w:tcPr>
          <w:p w:rsidR="00BB6599" w:rsidRDefault="00BB6599" w:rsidP="0078784C">
            <w:pPr>
              <w:pStyle w:val="BodyText"/>
              <w:spacing w:after="240" w:line="240" w:lineRule="auto"/>
              <w:jc w:val="left"/>
            </w:pPr>
            <w:bookmarkStart w:id="35" w:name="SOP_FirstRespondent"/>
            <w:bookmarkEnd w:id="35"/>
            <w:r>
              <w:t>Fourth Respondent:</w:t>
            </w:r>
          </w:p>
        </w:tc>
        <w:tc>
          <w:tcPr>
            <w:tcW w:w="5874" w:type="dxa"/>
            <w:tcMar>
              <w:left w:w="28" w:type="dxa"/>
            </w:tcMar>
          </w:tcPr>
          <w:p w:rsidR="00BB6599" w:rsidRDefault="00BB6599" w:rsidP="0078784C">
            <w:pPr>
              <w:pStyle w:val="BodyText"/>
              <w:spacing w:after="240" w:line="240" w:lineRule="auto"/>
              <w:jc w:val="left"/>
            </w:pPr>
            <w:r>
              <w:t>AMP LIMITED (ACN 079 354 519)</w:t>
            </w:r>
          </w:p>
        </w:tc>
      </w:tr>
      <w:tr w:rsidR="00BB6599" w:rsidTr="00BB6599">
        <w:trPr>
          <w:trHeight w:val="386"/>
        </w:trPr>
        <w:tc>
          <w:tcPr>
            <w:tcW w:w="3368" w:type="dxa"/>
          </w:tcPr>
          <w:p w:rsidR="00BB6599" w:rsidRDefault="00BB6599" w:rsidP="0078784C">
            <w:pPr>
              <w:pStyle w:val="BodyText"/>
              <w:spacing w:after="240" w:line="240" w:lineRule="auto"/>
              <w:jc w:val="left"/>
            </w:pPr>
            <w:r>
              <w:t>Fifth Respondent:</w:t>
            </w:r>
          </w:p>
        </w:tc>
        <w:tc>
          <w:tcPr>
            <w:tcW w:w="5874" w:type="dxa"/>
            <w:tcMar>
              <w:left w:w="28" w:type="dxa"/>
            </w:tcMar>
          </w:tcPr>
          <w:p w:rsidR="00BB6599" w:rsidRDefault="00BB6599" w:rsidP="0078784C">
            <w:pPr>
              <w:pStyle w:val="BodyText"/>
              <w:spacing w:after="240" w:line="240" w:lineRule="auto"/>
              <w:jc w:val="left"/>
            </w:pPr>
            <w:r>
              <w:t>AMP LIFE LIMITED (ACN 079 300 379)</w:t>
            </w:r>
          </w:p>
        </w:tc>
      </w:tr>
      <w:bookmarkEnd w:id="34"/>
    </w:tbl>
    <w:p w:rsidR="00BB6599" w:rsidRDefault="00BB6599" w:rsidP="002B0E91">
      <w:pPr>
        <w:pStyle w:val="BodyText"/>
      </w:pPr>
    </w:p>
    <w:bookmarkEnd w:id="31"/>
    <w:p w:rsidR="00BB6599" w:rsidRDefault="00BB6599" w:rsidP="00BB6599">
      <w:pPr>
        <w:pStyle w:val="BodyText"/>
      </w:pPr>
    </w:p>
    <w:sectPr w:rsidR="00BB6599" w:rsidSect="003F2619">
      <w:headerReference w:type="even" r:id="rId21"/>
      <w:headerReference w:type="default" r:id="rId22"/>
      <w:footerReference w:type="default" r:id="rId23"/>
      <w:headerReference w:type="first" r:id="rId24"/>
      <w:footerReference w:type="first" r:id="rId25"/>
      <w:endnotePr>
        <w:numFmt w:val="decimal"/>
      </w:endnotePr>
      <w:pgSz w:w="11907" w:h="16840" w:code="9"/>
      <w:pgMar w:top="1440" w:right="1440" w:bottom="1440" w:left="1440" w:header="851" w:footer="85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D0" w:rsidRDefault="00B66FD0">
      <w:pPr>
        <w:spacing w:line="20" w:lineRule="exact"/>
      </w:pPr>
    </w:p>
    <w:p w:rsidR="00B66FD0" w:rsidRDefault="00B66FD0"/>
    <w:p w:rsidR="00B66FD0" w:rsidRDefault="00B66FD0"/>
  </w:endnote>
  <w:endnote w:type="continuationSeparator" w:id="0">
    <w:p w:rsidR="00B66FD0" w:rsidRDefault="00B66FD0">
      <w:r>
        <w:t xml:space="preserve"> </w:t>
      </w:r>
    </w:p>
    <w:p w:rsidR="00B66FD0" w:rsidRDefault="00B66FD0"/>
    <w:p w:rsidR="00B66FD0" w:rsidRDefault="00B66FD0"/>
  </w:endnote>
  <w:endnote w:type="continuationNotice" w:id="1">
    <w:p w:rsidR="00B66FD0" w:rsidRDefault="00B66FD0">
      <w:r>
        <w:t xml:space="preserve"> </w:t>
      </w:r>
    </w:p>
    <w:p w:rsidR="00B66FD0" w:rsidRDefault="00B66FD0"/>
    <w:p w:rsidR="00B66FD0" w:rsidRDefault="00B66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D11" w:rsidRDefault="00850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Pr="00C47B9D" w:rsidRDefault="00B66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B475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Stack v AMP Financial Planning Pty Limited (No 2) [2021] FCA 1479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Pr="00850D11" w:rsidRDefault="00B66FD0" w:rsidP="00850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Pr="00C47B9D" w:rsidRDefault="00B66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35352"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C0F18409D8544BE082C70D31F6162C91"/>
        </w:placeholder>
        <w:dataBinding w:prefixMappings="xmlns:ns0='http://schemas.globalmacros.com/FCA'" w:xpath="/ns0:root[1]/ns0:Name[1]" w:storeItemID="{687E7CCB-4AA5-44E7-B148-17BA2B6F57C0}"/>
        <w:text w:multiLine="1"/>
      </w:sdtPr>
      <w:sdtEndPr/>
      <w:sdtContent>
        <w:r>
          <w:rPr>
            <w:bCs/>
            <w:sz w:val="18"/>
            <w:szCs w:val="18"/>
          </w:rPr>
          <w:t xml:space="preserve">Stack v AMP Financial Planning Pty Limited (No 2) [2021] FCA 1479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Pr="00C47B9D" w:rsidRDefault="00B66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117A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01CF0F5159144B94BDE38284A3DF6D10"/>
        </w:placeholder>
        <w:dataBinding w:prefixMappings="xmlns:ns0='http://schemas.globalmacros.com/FCA'" w:xpath="/ns0:root[1]/ns0:Name[1]" w:storeItemID="{687E7CCB-4AA5-44E7-B148-17BA2B6F57C0}"/>
        <w:text w:multiLine="1"/>
      </w:sdtPr>
      <w:sdtEndPr/>
      <w:sdtContent>
        <w:r>
          <w:rPr>
            <w:bCs/>
            <w:sz w:val="18"/>
            <w:szCs w:val="18"/>
          </w:rPr>
          <w:t xml:space="preserve">Stack v AMP Financial Planning Pty Limited (No 2) [2021] FCA 1479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A2053">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Pr="00C47B9D" w:rsidRDefault="00B66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51DAA"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2D5D56FC3821469FA1B358F9F97137FC"/>
        </w:placeholder>
        <w:dataBinding w:prefixMappings="xmlns:ns0='http://schemas.globalmacros.com/FCA'" w:xpath="/ns0:root[1]/ns0:Name[1]" w:storeItemID="{687E7CCB-4AA5-44E7-B148-17BA2B6F57C0}"/>
        <w:text w:multiLine="1"/>
      </w:sdtPr>
      <w:sdtEndPr/>
      <w:sdtContent>
        <w:r>
          <w:rPr>
            <w:bCs/>
            <w:sz w:val="18"/>
            <w:szCs w:val="18"/>
          </w:rPr>
          <w:t xml:space="preserve">Stack v AMP Financial Planning Pty Limited (No 2) [2021] FCA 1479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A2053">
      <w:rPr>
        <w:bCs/>
        <w:noProof/>
        <w:sz w:val="20"/>
      </w:rPr>
      <w:t>39</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Pr="00C47B9D" w:rsidRDefault="00B66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D8726"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F1C58E8463AB44CB9C0B568712B80B28"/>
        </w:placeholder>
        <w:dataBinding w:prefixMappings="xmlns:ns0='http://schemas.globalmacros.com/FCA'" w:xpath="/ns0:root[1]/ns0:Name[1]" w:storeItemID="{687E7CCB-4AA5-44E7-B148-17BA2B6F57C0}"/>
        <w:text w:multiLine="1"/>
      </w:sdtPr>
      <w:sdtEndPr/>
      <w:sdtContent>
        <w:r>
          <w:rPr>
            <w:bCs/>
            <w:sz w:val="18"/>
            <w:szCs w:val="18"/>
          </w:rPr>
          <w:t xml:space="preserve">Stack v AMP Financial Planning Pty Limited (No 2) [2021] FCA 1479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D0" w:rsidRDefault="00B66FD0"/>
  </w:footnote>
  <w:footnote w:type="continuationSeparator" w:id="0">
    <w:p w:rsidR="00B66FD0" w:rsidRDefault="00B66FD0">
      <w:r>
        <w:continuationSeparator/>
      </w:r>
    </w:p>
    <w:p w:rsidR="00B66FD0" w:rsidRDefault="00B66FD0"/>
    <w:p w:rsidR="00B66FD0" w:rsidRDefault="00B66F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D11" w:rsidRDefault="00850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D11" w:rsidRDefault="00850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D11" w:rsidRDefault="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Default="00B66FD0">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Default="00B66FD0">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Default="00B66FD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Default="00B66FD0">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Default="00B66FD0"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8074561C"/>
    <w:lvl w:ilvl="0">
      <w:start w:val="1"/>
      <w:numFmt w:val="decimal"/>
      <w:lvlRestart w:val="0"/>
      <w:pStyle w:val="ParaNumbering"/>
      <w:lvlText w:val="%1"/>
      <w:lvlJc w:val="left"/>
      <w:pPr>
        <w:tabs>
          <w:tab w:val="num" w:pos="720"/>
        </w:tabs>
        <w:ind w:left="0" w:hanging="720"/>
      </w:pPr>
      <w:rPr>
        <w:rFonts w:hint="default"/>
        <w:b w:val="0"/>
        <w:i w:val="0"/>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40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Nigel Peter Stack|Melita Anna Winterton|John Leslie Brotton|David James Brittain"/>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VID 489 of 2020"/>
    <w:docVar w:name="Initiators" w:val="(and another named in the Schedule)"/>
    <w:docVar w:name="Judgdate" w:val="25 November 2021"/>
    <w:docVar w:name="Judge" w:val="Beach "/>
    <w:docVar w:name="JudgeType" w:val="Justice"/>
    <w:docVar w:name="lstEntryList" w:val="-1"/>
    <w:docVar w:name="NSD" w:val="NSD "/>
    <w:docVar w:name="NumApps" w:val="4"/>
    <w:docVar w:name="NumApps_" w:val="4"/>
    <w:docVar w:name="NumCrossResps" w:val="0"/>
    <w:docVar w:name="NumDefs" w:val="5"/>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ESAndAnother" w:val="False"/>
    <w:docVar w:name="RESAndOthers" w:val="True"/>
    <w:docVar w:name="Respondent" w:val="AMP Financial Planning Pty Limited (ACN 051 208 327)|Charter Financial Planning Limited (ACN 002 976 294)|Hillross Financial Services Limited (ACN 003 323 055)|AMP Limited (ACN 079 354 519)|AMP Life Limited (ACN 079 300 379)"/>
    <w:docVar w:name="ResState" w:val="Victoria"/>
    <w:docVar w:name="SubArea" w:val="Commercial Contracts, Banking, Finance and Insurance (C &amp; C)"/>
  </w:docVars>
  <w:rsids>
    <w:rsidRoot w:val="00BB6599"/>
    <w:rsid w:val="00000332"/>
    <w:rsid w:val="00000747"/>
    <w:rsid w:val="0000288A"/>
    <w:rsid w:val="000115C5"/>
    <w:rsid w:val="00011D11"/>
    <w:rsid w:val="00014622"/>
    <w:rsid w:val="0001469E"/>
    <w:rsid w:val="00015993"/>
    <w:rsid w:val="00016821"/>
    <w:rsid w:val="00021CCB"/>
    <w:rsid w:val="00022289"/>
    <w:rsid w:val="000243F4"/>
    <w:rsid w:val="00025221"/>
    <w:rsid w:val="00027398"/>
    <w:rsid w:val="0003201A"/>
    <w:rsid w:val="0003207A"/>
    <w:rsid w:val="00032F9F"/>
    <w:rsid w:val="00041C07"/>
    <w:rsid w:val="00041ED5"/>
    <w:rsid w:val="00041FC9"/>
    <w:rsid w:val="00045BB7"/>
    <w:rsid w:val="000464F5"/>
    <w:rsid w:val="00055719"/>
    <w:rsid w:val="00055AD0"/>
    <w:rsid w:val="0005619E"/>
    <w:rsid w:val="0005641B"/>
    <w:rsid w:val="00057195"/>
    <w:rsid w:val="000604F6"/>
    <w:rsid w:val="0006196A"/>
    <w:rsid w:val="00063E78"/>
    <w:rsid w:val="000650F0"/>
    <w:rsid w:val="00071FB3"/>
    <w:rsid w:val="00077768"/>
    <w:rsid w:val="00080074"/>
    <w:rsid w:val="00080FAA"/>
    <w:rsid w:val="00081497"/>
    <w:rsid w:val="000824BE"/>
    <w:rsid w:val="000831EC"/>
    <w:rsid w:val="00085255"/>
    <w:rsid w:val="0009336A"/>
    <w:rsid w:val="000937B8"/>
    <w:rsid w:val="00096C8C"/>
    <w:rsid w:val="000A2E76"/>
    <w:rsid w:val="000A4807"/>
    <w:rsid w:val="000A4BE4"/>
    <w:rsid w:val="000C023E"/>
    <w:rsid w:val="000C5195"/>
    <w:rsid w:val="000C62EF"/>
    <w:rsid w:val="000C6607"/>
    <w:rsid w:val="000C77E6"/>
    <w:rsid w:val="000D03A2"/>
    <w:rsid w:val="000D2137"/>
    <w:rsid w:val="000D3FD2"/>
    <w:rsid w:val="000D4B2E"/>
    <w:rsid w:val="000E36B6"/>
    <w:rsid w:val="000E3FC8"/>
    <w:rsid w:val="000E7BAE"/>
    <w:rsid w:val="000F0DEA"/>
    <w:rsid w:val="000F133D"/>
    <w:rsid w:val="000F2E04"/>
    <w:rsid w:val="000F5985"/>
    <w:rsid w:val="000F6217"/>
    <w:rsid w:val="000F7C52"/>
    <w:rsid w:val="00102598"/>
    <w:rsid w:val="0010536B"/>
    <w:rsid w:val="0010683A"/>
    <w:rsid w:val="001103FC"/>
    <w:rsid w:val="0011145C"/>
    <w:rsid w:val="001128BD"/>
    <w:rsid w:val="0011419D"/>
    <w:rsid w:val="00114B02"/>
    <w:rsid w:val="00117084"/>
    <w:rsid w:val="00121151"/>
    <w:rsid w:val="001226C0"/>
    <w:rsid w:val="00126EC8"/>
    <w:rsid w:val="0012731C"/>
    <w:rsid w:val="00131C7F"/>
    <w:rsid w:val="00132054"/>
    <w:rsid w:val="00134964"/>
    <w:rsid w:val="001351B9"/>
    <w:rsid w:val="00137DEE"/>
    <w:rsid w:val="00141347"/>
    <w:rsid w:val="00154B75"/>
    <w:rsid w:val="00155CD2"/>
    <w:rsid w:val="001727A4"/>
    <w:rsid w:val="0017376C"/>
    <w:rsid w:val="001738AB"/>
    <w:rsid w:val="001765E0"/>
    <w:rsid w:val="00177759"/>
    <w:rsid w:val="00180BB3"/>
    <w:rsid w:val="001857AC"/>
    <w:rsid w:val="00185E6B"/>
    <w:rsid w:val="00187BBC"/>
    <w:rsid w:val="001916A4"/>
    <w:rsid w:val="001932F3"/>
    <w:rsid w:val="00194129"/>
    <w:rsid w:val="001A2B40"/>
    <w:rsid w:val="001A4309"/>
    <w:rsid w:val="001A46AE"/>
    <w:rsid w:val="001A6C52"/>
    <w:rsid w:val="001B1053"/>
    <w:rsid w:val="001B14AC"/>
    <w:rsid w:val="001B2AF3"/>
    <w:rsid w:val="001B7940"/>
    <w:rsid w:val="001B7D1E"/>
    <w:rsid w:val="001C171A"/>
    <w:rsid w:val="001C2921"/>
    <w:rsid w:val="001C2FE0"/>
    <w:rsid w:val="001C37CA"/>
    <w:rsid w:val="001C4085"/>
    <w:rsid w:val="001D4303"/>
    <w:rsid w:val="001D6746"/>
    <w:rsid w:val="001D6DDA"/>
    <w:rsid w:val="001E0C61"/>
    <w:rsid w:val="001E3B49"/>
    <w:rsid w:val="001E4A05"/>
    <w:rsid w:val="001E6A19"/>
    <w:rsid w:val="001E7388"/>
    <w:rsid w:val="001E73F2"/>
    <w:rsid w:val="001F13DD"/>
    <w:rsid w:val="001F16B9"/>
    <w:rsid w:val="001F2473"/>
    <w:rsid w:val="001F2DBC"/>
    <w:rsid w:val="001F73E8"/>
    <w:rsid w:val="0020262C"/>
    <w:rsid w:val="00202723"/>
    <w:rsid w:val="00211A3E"/>
    <w:rsid w:val="00214055"/>
    <w:rsid w:val="00215BCA"/>
    <w:rsid w:val="00217AC4"/>
    <w:rsid w:val="00221461"/>
    <w:rsid w:val="00224537"/>
    <w:rsid w:val="0023552D"/>
    <w:rsid w:val="00235956"/>
    <w:rsid w:val="00236769"/>
    <w:rsid w:val="00242069"/>
    <w:rsid w:val="00242A5A"/>
    <w:rsid w:val="00243E5E"/>
    <w:rsid w:val="002467A6"/>
    <w:rsid w:val="00247C9A"/>
    <w:rsid w:val="0025160C"/>
    <w:rsid w:val="00252C81"/>
    <w:rsid w:val="002535D0"/>
    <w:rsid w:val="002539B3"/>
    <w:rsid w:val="00255842"/>
    <w:rsid w:val="00256336"/>
    <w:rsid w:val="002563F0"/>
    <w:rsid w:val="00257C3E"/>
    <w:rsid w:val="002602C2"/>
    <w:rsid w:val="002619FB"/>
    <w:rsid w:val="002666C9"/>
    <w:rsid w:val="00270136"/>
    <w:rsid w:val="002704D2"/>
    <w:rsid w:val="00270FD7"/>
    <w:rsid w:val="0027128B"/>
    <w:rsid w:val="00273F3E"/>
    <w:rsid w:val="00274F5B"/>
    <w:rsid w:val="00280836"/>
    <w:rsid w:val="00282E1A"/>
    <w:rsid w:val="002840F1"/>
    <w:rsid w:val="00290DA7"/>
    <w:rsid w:val="0029113B"/>
    <w:rsid w:val="002934C0"/>
    <w:rsid w:val="00293E1F"/>
    <w:rsid w:val="0029764C"/>
    <w:rsid w:val="002A1B50"/>
    <w:rsid w:val="002A1EC3"/>
    <w:rsid w:val="002B0E91"/>
    <w:rsid w:val="002B132C"/>
    <w:rsid w:val="002B3F23"/>
    <w:rsid w:val="002B4EB5"/>
    <w:rsid w:val="002B5AF5"/>
    <w:rsid w:val="002B6779"/>
    <w:rsid w:val="002B71C0"/>
    <w:rsid w:val="002B7A34"/>
    <w:rsid w:val="002C31AD"/>
    <w:rsid w:val="002C7385"/>
    <w:rsid w:val="002C75E9"/>
    <w:rsid w:val="002D2DBB"/>
    <w:rsid w:val="002D37D8"/>
    <w:rsid w:val="002D54A6"/>
    <w:rsid w:val="002E5BF9"/>
    <w:rsid w:val="002E6A7A"/>
    <w:rsid w:val="002F1E49"/>
    <w:rsid w:val="002F4E9C"/>
    <w:rsid w:val="002F6C58"/>
    <w:rsid w:val="002F6E15"/>
    <w:rsid w:val="002F713B"/>
    <w:rsid w:val="0030167C"/>
    <w:rsid w:val="00302F4E"/>
    <w:rsid w:val="00307DAC"/>
    <w:rsid w:val="003111EB"/>
    <w:rsid w:val="003123D6"/>
    <w:rsid w:val="0031256C"/>
    <w:rsid w:val="00314D6C"/>
    <w:rsid w:val="00316D2A"/>
    <w:rsid w:val="00322A7C"/>
    <w:rsid w:val="00322EEC"/>
    <w:rsid w:val="00323061"/>
    <w:rsid w:val="00324C3A"/>
    <w:rsid w:val="0032790C"/>
    <w:rsid w:val="003310E2"/>
    <w:rsid w:val="003402D3"/>
    <w:rsid w:val="0034068E"/>
    <w:rsid w:val="00343ABC"/>
    <w:rsid w:val="0034496E"/>
    <w:rsid w:val="003463FE"/>
    <w:rsid w:val="003472FC"/>
    <w:rsid w:val="00347D41"/>
    <w:rsid w:val="00351EDC"/>
    <w:rsid w:val="0035420F"/>
    <w:rsid w:val="003554B3"/>
    <w:rsid w:val="00356632"/>
    <w:rsid w:val="00357C7E"/>
    <w:rsid w:val="003653B6"/>
    <w:rsid w:val="003661F9"/>
    <w:rsid w:val="00367FEE"/>
    <w:rsid w:val="00370327"/>
    <w:rsid w:val="00373709"/>
    <w:rsid w:val="00374CC4"/>
    <w:rsid w:val="00376BAC"/>
    <w:rsid w:val="003774B2"/>
    <w:rsid w:val="003800BA"/>
    <w:rsid w:val="00380F2D"/>
    <w:rsid w:val="00381678"/>
    <w:rsid w:val="003845A9"/>
    <w:rsid w:val="003850C9"/>
    <w:rsid w:val="00386BED"/>
    <w:rsid w:val="0039023F"/>
    <w:rsid w:val="00390883"/>
    <w:rsid w:val="003922F8"/>
    <w:rsid w:val="00393DE7"/>
    <w:rsid w:val="00394CF8"/>
    <w:rsid w:val="00395B24"/>
    <w:rsid w:val="003A2D38"/>
    <w:rsid w:val="003A32CA"/>
    <w:rsid w:val="003A7ECC"/>
    <w:rsid w:val="003B2C72"/>
    <w:rsid w:val="003B58B4"/>
    <w:rsid w:val="003B6372"/>
    <w:rsid w:val="003B7FEB"/>
    <w:rsid w:val="003C0B7F"/>
    <w:rsid w:val="003C1333"/>
    <w:rsid w:val="003C19AC"/>
    <w:rsid w:val="003C20FF"/>
    <w:rsid w:val="003C550A"/>
    <w:rsid w:val="003C6055"/>
    <w:rsid w:val="003D2650"/>
    <w:rsid w:val="003D3F56"/>
    <w:rsid w:val="003D560C"/>
    <w:rsid w:val="003D5C00"/>
    <w:rsid w:val="003D7E9E"/>
    <w:rsid w:val="003E3154"/>
    <w:rsid w:val="003E3FB7"/>
    <w:rsid w:val="003E5874"/>
    <w:rsid w:val="003E66F4"/>
    <w:rsid w:val="003E72D3"/>
    <w:rsid w:val="003F193E"/>
    <w:rsid w:val="003F242C"/>
    <w:rsid w:val="003F2619"/>
    <w:rsid w:val="003F273C"/>
    <w:rsid w:val="003F2831"/>
    <w:rsid w:val="003F34F1"/>
    <w:rsid w:val="003F5D16"/>
    <w:rsid w:val="003F689F"/>
    <w:rsid w:val="004048DD"/>
    <w:rsid w:val="0041006E"/>
    <w:rsid w:val="004104B6"/>
    <w:rsid w:val="00411AE8"/>
    <w:rsid w:val="00412134"/>
    <w:rsid w:val="00413B74"/>
    <w:rsid w:val="00414F63"/>
    <w:rsid w:val="0043135B"/>
    <w:rsid w:val="004315AC"/>
    <w:rsid w:val="004342F3"/>
    <w:rsid w:val="00435C5F"/>
    <w:rsid w:val="00435E8B"/>
    <w:rsid w:val="00436155"/>
    <w:rsid w:val="00436460"/>
    <w:rsid w:val="00441E98"/>
    <w:rsid w:val="00450F3A"/>
    <w:rsid w:val="004532F7"/>
    <w:rsid w:val="00454121"/>
    <w:rsid w:val="004545AD"/>
    <w:rsid w:val="00464D51"/>
    <w:rsid w:val="00465D7E"/>
    <w:rsid w:val="00472027"/>
    <w:rsid w:val="004804CF"/>
    <w:rsid w:val="00480BAC"/>
    <w:rsid w:val="00483314"/>
    <w:rsid w:val="00484962"/>
    <w:rsid w:val="00484F6D"/>
    <w:rsid w:val="00484FB7"/>
    <w:rsid w:val="0048554D"/>
    <w:rsid w:val="004864CB"/>
    <w:rsid w:val="004925BB"/>
    <w:rsid w:val="0049338A"/>
    <w:rsid w:val="0049417F"/>
    <w:rsid w:val="00496D41"/>
    <w:rsid w:val="004A62D1"/>
    <w:rsid w:val="004A6602"/>
    <w:rsid w:val="004B3EFA"/>
    <w:rsid w:val="004C09AA"/>
    <w:rsid w:val="004C2A87"/>
    <w:rsid w:val="004C4D7B"/>
    <w:rsid w:val="004C4ED3"/>
    <w:rsid w:val="004C667B"/>
    <w:rsid w:val="004C7ECD"/>
    <w:rsid w:val="004D2EA5"/>
    <w:rsid w:val="004D32A6"/>
    <w:rsid w:val="004D53E5"/>
    <w:rsid w:val="004E6DC4"/>
    <w:rsid w:val="004F21C1"/>
    <w:rsid w:val="00501A12"/>
    <w:rsid w:val="0050309C"/>
    <w:rsid w:val="0051327C"/>
    <w:rsid w:val="0051346D"/>
    <w:rsid w:val="00513EAE"/>
    <w:rsid w:val="0051434F"/>
    <w:rsid w:val="00516806"/>
    <w:rsid w:val="0052098C"/>
    <w:rsid w:val="00522ABE"/>
    <w:rsid w:val="00525A49"/>
    <w:rsid w:val="005262D1"/>
    <w:rsid w:val="00530876"/>
    <w:rsid w:val="005339E1"/>
    <w:rsid w:val="00535613"/>
    <w:rsid w:val="005359EB"/>
    <w:rsid w:val="00536376"/>
    <w:rsid w:val="0054254A"/>
    <w:rsid w:val="0054500B"/>
    <w:rsid w:val="005466B5"/>
    <w:rsid w:val="00547957"/>
    <w:rsid w:val="005514FA"/>
    <w:rsid w:val="00552416"/>
    <w:rsid w:val="00554314"/>
    <w:rsid w:val="00562829"/>
    <w:rsid w:val="005629B3"/>
    <w:rsid w:val="00564D98"/>
    <w:rsid w:val="0057128A"/>
    <w:rsid w:val="005724F6"/>
    <w:rsid w:val="00573AC4"/>
    <w:rsid w:val="00574790"/>
    <w:rsid w:val="005801FC"/>
    <w:rsid w:val="0058263B"/>
    <w:rsid w:val="00584C00"/>
    <w:rsid w:val="00585BA9"/>
    <w:rsid w:val="00587359"/>
    <w:rsid w:val="00595016"/>
    <w:rsid w:val="00597AAE"/>
    <w:rsid w:val="005A2053"/>
    <w:rsid w:val="005A222C"/>
    <w:rsid w:val="005A4DF8"/>
    <w:rsid w:val="005A4E8C"/>
    <w:rsid w:val="005A78C8"/>
    <w:rsid w:val="005B1426"/>
    <w:rsid w:val="005B153C"/>
    <w:rsid w:val="005C0A8E"/>
    <w:rsid w:val="005C1767"/>
    <w:rsid w:val="005C185C"/>
    <w:rsid w:val="005C42EF"/>
    <w:rsid w:val="005C4561"/>
    <w:rsid w:val="005E02F5"/>
    <w:rsid w:val="005E0510"/>
    <w:rsid w:val="005E0D5D"/>
    <w:rsid w:val="005E176E"/>
    <w:rsid w:val="005E218E"/>
    <w:rsid w:val="005E35A0"/>
    <w:rsid w:val="005E3657"/>
    <w:rsid w:val="005F0D1B"/>
    <w:rsid w:val="005F125F"/>
    <w:rsid w:val="005F1865"/>
    <w:rsid w:val="005F7063"/>
    <w:rsid w:val="005F773E"/>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36ED6"/>
    <w:rsid w:val="0063760B"/>
    <w:rsid w:val="006406F8"/>
    <w:rsid w:val="00640EE1"/>
    <w:rsid w:val="00640F4E"/>
    <w:rsid w:val="00643DE0"/>
    <w:rsid w:val="0064437D"/>
    <w:rsid w:val="0064471E"/>
    <w:rsid w:val="00644B2C"/>
    <w:rsid w:val="00644E85"/>
    <w:rsid w:val="006457F2"/>
    <w:rsid w:val="006516D8"/>
    <w:rsid w:val="00652C44"/>
    <w:rsid w:val="00652C52"/>
    <w:rsid w:val="00657404"/>
    <w:rsid w:val="0066063F"/>
    <w:rsid w:val="0066248A"/>
    <w:rsid w:val="00662BB0"/>
    <w:rsid w:val="00663878"/>
    <w:rsid w:val="00667773"/>
    <w:rsid w:val="00670743"/>
    <w:rsid w:val="00680A85"/>
    <w:rsid w:val="00681ADF"/>
    <w:rsid w:val="00690EE2"/>
    <w:rsid w:val="00692B28"/>
    <w:rsid w:val="00693854"/>
    <w:rsid w:val="00693B99"/>
    <w:rsid w:val="00694BEB"/>
    <w:rsid w:val="006A0E20"/>
    <w:rsid w:val="006A24E3"/>
    <w:rsid w:val="006A50A5"/>
    <w:rsid w:val="006A5695"/>
    <w:rsid w:val="006B0439"/>
    <w:rsid w:val="006B3904"/>
    <w:rsid w:val="006B5B7D"/>
    <w:rsid w:val="006C1075"/>
    <w:rsid w:val="006C2891"/>
    <w:rsid w:val="006C5B46"/>
    <w:rsid w:val="006C6E39"/>
    <w:rsid w:val="006D0ECF"/>
    <w:rsid w:val="006D1D25"/>
    <w:rsid w:val="006D3D5B"/>
    <w:rsid w:val="006D4C92"/>
    <w:rsid w:val="006D4EB6"/>
    <w:rsid w:val="006E35BF"/>
    <w:rsid w:val="006E3A98"/>
    <w:rsid w:val="006E6AA4"/>
    <w:rsid w:val="006E7850"/>
    <w:rsid w:val="006F0684"/>
    <w:rsid w:val="006F19D8"/>
    <w:rsid w:val="006F3A20"/>
    <w:rsid w:val="006F46D6"/>
    <w:rsid w:val="006F4AB8"/>
    <w:rsid w:val="006F4BBB"/>
    <w:rsid w:val="006F6A31"/>
    <w:rsid w:val="0070105E"/>
    <w:rsid w:val="007028D9"/>
    <w:rsid w:val="00702CAF"/>
    <w:rsid w:val="00703470"/>
    <w:rsid w:val="00706770"/>
    <w:rsid w:val="00707218"/>
    <w:rsid w:val="00707F67"/>
    <w:rsid w:val="00710D04"/>
    <w:rsid w:val="00712B1D"/>
    <w:rsid w:val="00715751"/>
    <w:rsid w:val="007171BA"/>
    <w:rsid w:val="00717616"/>
    <w:rsid w:val="00717974"/>
    <w:rsid w:val="00731515"/>
    <w:rsid w:val="00731596"/>
    <w:rsid w:val="007325D9"/>
    <w:rsid w:val="0073413F"/>
    <w:rsid w:val="0073583B"/>
    <w:rsid w:val="007360CA"/>
    <w:rsid w:val="00737F62"/>
    <w:rsid w:val="00740489"/>
    <w:rsid w:val="00742309"/>
    <w:rsid w:val="0074667B"/>
    <w:rsid w:val="007470BD"/>
    <w:rsid w:val="00757384"/>
    <w:rsid w:val="00757D1F"/>
    <w:rsid w:val="00760EC0"/>
    <w:rsid w:val="00762E3E"/>
    <w:rsid w:val="007711BD"/>
    <w:rsid w:val="0078003A"/>
    <w:rsid w:val="00780771"/>
    <w:rsid w:val="00783825"/>
    <w:rsid w:val="0078401B"/>
    <w:rsid w:val="0078784C"/>
    <w:rsid w:val="007929CF"/>
    <w:rsid w:val="0079503D"/>
    <w:rsid w:val="00797544"/>
    <w:rsid w:val="007A081D"/>
    <w:rsid w:val="007A49E7"/>
    <w:rsid w:val="007A58A0"/>
    <w:rsid w:val="007A6F28"/>
    <w:rsid w:val="007B03C6"/>
    <w:rsid w:val="007B0DB1"/>
    <w:rsid w:val="007B192F"/>
    <w:rsid w:val="007B5673"/>
    <w:rsid w:val="007B7090"/>
    <w:rsid w:val="007B7238"/>
    <w:rsid w:val="007B76FF"/>
    <w:rsid w:val="007C041A"/>
    <w:rsid w:val="007C1E6E"/>
    <w:rsid w:val="007C2FB7"/>
    <w:rsid w:val="007C3BF6"/>
    <w:rsid w:val="007C58E2"/>
    <w:rsid w:val="007C5A06"/>
    <w:rsid w:val="007C67B3"/>
    <w:rsid w:val="007D0FD2"/>
    <w:rsid w:val="007D2EF8"/>
    <w:rsid w:val="007D561F"/>
    <w:rsid w:val="007D5D4F"/>
    <w:rsid w:val="007D6CFF"/>
    <w:rsid w:val="007D7FD2"/>
    <w:rsid w:val="007E1275"/>
    <w:rsid w:val="007E13D9"/>
    <w:rsid w:val="007E16F9"/>
    <w:rsid w:val="007E2AEC"/>
    <w:rsid w:val="007E41BE"/>
    <w:rsid w:val="007E4DB6"/>
    <w:rsid w:val="007E6733"/>
    <w:rsid w:val="007E7CD4"/>
    <w:rsid w:val="007F12AC"/>
    <w:rsid w:val="007F4501"/>
    <w:rsid w:val="007F49D4"/>
    <w:rsid w:val="007F60DF"/>
    <w:rsid w:val="007F7609"/>
    <w:rsid w:val="00801800"/>
    <w:rsid w:val="00801861"/>
    <w:rsid w:val="00801B5B"/>
    <w:rsid w:val="008044F2"/>
    <w:rsid w:val="00805A30"/>
    <w:rsid w:val="00810D60"/>
    <w:rsid w:val="008216E7"/>
    <w:rsid w:val="00825BE6"/>
    <w:rsid w:val="008271F5"/>
    <w:rsid w:val="008276B4"/>
    <w:rsid w:val="00831927"/>
    <w:rsid w:val="00837288"/>
    <w:rsid w:val="00841BD3"/>
    <w:rsid w:val="0084273D"/>
    <w:rsid w:val="00844E3F"/>
    <w:rsid w:val="00845A83"/>
    <w:rsid w:val="00846BB9"/>
    <w:rsid w:val="00850D11"/>
    <w:rsid w:val="00857BFB"/>
    <w:rsid w:val="008649D5"/>
    <w:rsid w:val="00864BD7"/>
    <w:rsid w:val="008712BB"/>
    <w:rsid w:val="008830E7"/>
    <w:rsid w:val="00885DA8"/>
    <w:rsid w:val="00890EDE"/>
    <w:rsid w:val="00892B38"/>
    <w:rsid w:val="008A1741"/>
    <w:rsid w:val="008A2484"/>
    <w:rsid w:val="008A52F3"/>
    <w:rsid w:val="008A5323"/>
    <w:rsid w:val="008B0F05"/>
    <w:rsid w:val="008B1CD3"/>
    <w:rsid w:val="008B3F7C"/>
    <w:rsid w:val="008C26D9"/>
    <w:rsid w:val="008C6D50"/>
    <w:rsid w:val="008C7167"/>
    <w:rsid w:val="008C7503"/>
    <w:rsid w:val="008D1617"/>
    <w:rsid w:val="008D330F"/>
    <w:rsid w:val="008D48C1"/>
    <w:rsid w:val="008E6315"/>
    <w:rsid w:val="008F0480"/>
    <w:rsid w:val="008F07FC"/>
    <w:rsid w:val="008F11E0"/>
    <w:rsid w:val="008F3EA7"/>
    <w:rsid w:val="008F64B9"/>
    <w:rsid w:val="008F78BC"/>
    <w:rsid w:val="008F7B63"/>
    <w:rsid w:val="008F7D6A"/>
    <w:rsid w:val="00900062"/>
    <w:rsid w:val="00901C86"/>
    <w:rsid w:val="00903603"/>
    <w:rsid w:val="00903847"/>
    <w:rsid w:val="009054CB"/>
    <w:rsid w:val="00907F18"/>
    <w:rsid w:val="00911DBA"/>
    <w:rsid w:val="00911F8D"/>
    <w:rsid w:val="00912F94"/>
    <w:rsid w:val="00913501"/>
    <w:rsid w:val="009153B7"/>
    <w:rsid w:val="009168D4"/>
    <w:rsid w:val="009171BC"/>
    <w:rsid w:val="00920F63"/>
    <w:rsid w:val="0092497E"/>
    <w:rsid w:val="0092590B"/>
    <w:rsid w:val="00925BF3"/>
    <w:rsid w:val="00925E60"/>
    <w:rsid w:val="009264B3"/>
    <w:rsid w:val="00931E4C"/>
    <w:rsid w:val="009365E0"/>
    <w:rsid w:val="00942BA2"/>
    <w:rsid w:val="009432B7"/>
    <w:rsid w:val="00944C86"/>
    <w:rsid w:val="009466D5"/>
    <w:rsid w:val="00947C02"/>
    <w:rsid w:val="00950BE6"/>
    <w:rsid w:val="00957DE8"/>
    <w:rsid w:val="00960ECB"/>
    <w:rsid w:val="009615D6"/>
    <w:rsid w:val="00963652"/>
    <w:rsid w:val="00966B5E"/>
    <w:rsid w:val="00967855"/>
    <w:rsid w:val="00971971"/>
    <w:rsid w:val="00971CD1"/>
    <w:rsid w:val="00974709"/>
    <w:rsid w:val="00980736"/>
    <w:rsid w:val="00981A39"/>
    <w:rsid w:val="00982D56"/>
    <w:rsid w:val="00983DBF"/>
    <w:rsid w:val="00987097"/>
    <w:rsid w:val="00991123"/>
    <w:rsid w:val="00991CAB"/>
    <w:rsid w:val="00996E99"/>
    <w:rsid w:val="009A3A9C"/>
    <w:rsid w:val="009A4DB3"/>
    <w:rsid w:val="009A5FA7"/>
    <w:rsid w:val="009A74D9"/>
    <w:rsid w:val="009A757F"/>
    <w:rsid w:val="009A7848"/>
    <w:rsid w:val="009B046C"/>
    <w:rsid w:val="009B13FA"/>
    <w:rsid w:val="009B1E2D"/>
    <w:rsid w:val="009C1B01"/>
    <w:rsid w:val="009C59FB"/>
    <w:rsid w:val="009C6F3B"/>
    <w:rsid w:val="009D1467"/>
    <w:rsid w:val="009D1729"/>
    <w:rsid w:val="009D27EE"/>
    <w:rsid w:val="009D328D"/>
    <w:rsid w:val="009E4FA6"/>
    <w:rsid w:val="009E7D93"/>
    <w:rsid w:val="009F3C34"/>
    <w:rsid w:val="009F3E8F"/>
    <w:rsid w:val="009F462C"/>
    <w:rsid w:val="009F5C33"/>
    <w:rsid w:val="00A026F0"/>
    <w:rsid w:val="00A03EAC"/>
    <w:rsid w:val="00A04DBB"/>
    <w:rsid w:val="00A07EA0"/>
    <w:rsid w:val="00A11CA6"/>
    <w:rsid w:val="00A20C49"/>
    <w:rsid w:val="00A22932"/>
    <w:rsid w:val="00A269CA"/>
    <w:rsid w:val="00A3212F"/>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38C6"/>
    <w:rsid w:val="00A53D77"/>
    <w:rsid w:val="00A548B5"/>
    <w:rsid w:val="00A5603D"/>
    <w:rsid w:val="00A57697"/>
    <w:rsid w:val="00A61605"/>
    <w:rsid w:val="00A65F97"/>
    <w:rsid w:val="00A71ED6"/>
    <w:rsid w:val="00A73B04"/>
    <w:rsid w:val="00A762BE"/>
    <w:rsid w:val="00A76C13"/>
    <w:rsid w:val="00A81874"/>
    <w:rsid w:val="00A84FD0"/>
    <w:rsid w:val="00A92E79"/>
    <w:rsid w:val="00A950B6"/>
    <w:rsid w:val="00A95D45"/>
    <w:rsid w:val="00AA1D16"/>
    <w:rsid w:val="00AA3EA8"/>
    <w:rsid w:val="00AB41C1"/>
    <w:rsid w:val="00AB4CF2"/>
    <w:rsid w:val="00AB6CCA"/>
    <w:rsid w:val="00AC223F"/>
    <w:rsid w:val="00AC33B1"/>
    <w:rsid w:val="00AC4FFD"/>
    <w:rsid w:val="00AD12A8"/>
    <w:rsid w:val="00AD2151"/>
    <w:rsid w:val="00AD6351"/>
    <w:rsid w:val="00AE023F"/>
    <w:rsid w:val="00AF03CF"/>
    <w:rsid w:val="00AF1B79"/>
    <w:rsid w:val="00AF2188"/>
    <w:rsid w:val="00AF21F6"/>
    <w:rsid w:val="00AF3577"/>
    <w:rsid w:val="00AF35F9"/>
    <w:rsid w:val="00B00108"/>
    <w:rsid w:val="00B0413B"/>
    <w:rsid w:val="00B0424C"/>
    <w:rsid w:val="00B05C7D"/>
    <w:rsid w:val="00B10BDC"/>
    <w:rsid w:val="00B1144D"/>
    <w:rsid w:val="00B15D57"/>
    <w:rsid w:val="00B16347"/>
    <w:rsid w:val="00B17D6E"/>
    <w:rsid w:val="00B2435E"/>
    <w:rsid w:val="00B248A0"/>
    <w:rsid w:val="00B346C3"/>
    <w:rsid w:val="00B4005C"/>
    <w:rsid w:val="00B40305"/>
    <w:rsid w:val="00B4227B"/>
    <w:rsid w:val="00B4227E"/>
    <w:rsid w:val="00B4471C"/>
    <w:rsid w:val="00B451A6"/>
    <w:rsid w:val="00B47CF8"/>
    <w:rsid w:val="00B53D11"/>
    <w:rsid w:val="00B53F68"/>
    <w:rsid w:val="00B541D0"/>
    <w:rsid w:val="00B56D6E"/>
    <w:rsid w:val="00B60E03"/>
    <w:rsid w:val="00B64347"/>
    <w:rsid w:val="00B65DC6"/>
    <w:rsid w:val="00B66FD0"/>
    <w:rsid w:val="00B67AC2"/>
    <w:rsid w:val="00B71C5B"/>
    <w:rsid w:val="00B722DE"/>
    <w:rsid w:val="00B751E3"/>
    <w:rsid w:val="00B75BA6"/>
    <w:rsid w:val="00B76C44"/>
    <w:rsid w:val="00B80188"/>
    <w:rsid w:val="00B8184A"/>
    <w:rsid w:val="00B82283"/>
    <w:rsid w:val="00B828D8"/>
    <w:rsid w:val="00B83F87"/>
    <w:rsid w:val="00B8612A"/>
    <w:rsid w:val="00B87648"/>
    <w:rsid w:val="00B87CDC"/>
    <w:rsid w:val="00B90C55"/>
    <w:rsid w:val="00B910C1"/>
    <w:rsid w:val="00B9207C"/>
    <w:rsid w:val="00B927AE"/>
    <w:rsid w:val="00BA145C"/>
    <w:rsid w:val="00BA2CA4"/>
    <w:rsid w:val="00BA2EFA"/>
    <w:rsid w:val="00BA3DBC"/>
    <w:rsid w:val="00BA707A"/>
    <w:rsid w:val="00BB008E"/>
    <w:rsid w:val="00BB1AFB"/>
    <w:rsid w:val="00BB27AE"/>
    <w:rsid w:val="00BB2DA2"/>
    <w:rsid w:val="00BB56DC"/>
    <w:rsid w:val="00BB6599"/>
    <w:rsid w:val="00BD208F"/>
    <w:rsid w:val="00BD6D0F"/>
    <w:rsid w:val="00BD746B"/>
    <w:rsid w:val="00BE183D"/>
    <w:rsid w:val="00BE51E2"/>
    <w:rsid w:val="00BE7428"/>
    <w:rsid w:val="00BF24C2"/>
    <w:rsid w:val="00BF5D7A"/>
    <w:rsid w:val="00BF6E95"/>
    <w:rsid w:val="00C001F3"/>
    <w:rsid w:val="00C00DC8"/>
    <w:rsid w:val="00C01C2E"/>
    <w:rsid w:val="00C02D33"/>
    <w:rsid w:val="00C044AF"/>
    <w:rsid w:val="00C04B53"/>
    <w:rsid w:val="00C10170"/>
    <w:rsid w:val="00C1232C"/>
    <w:rsid w:val="00C24F92"/>
    <w:rsid w:val="00C27C6B"/>
    <w:rsid w:val="00C3594D"/>
    <w:rsid w:val="00C36442"/>
    <w:rsid w:val="00C400CE"/>
    <w:rsid w:val="00C410FD"/>
    <w:rsid w:val="00C428BC"/>
    <w:rsid w:val="00C457DE"/>
    <w:rsid w:val="00C47DD3"/>
    <w:rsid w:val="00C52C04"/>
    <w:rsid w:val="00C5316F"/>
    <w:rsid w:val="00C53562"/>
    <w:rsid w:val="00C539FB"/>
    <w:rsid w:val="00C53C53"/>
    <w:rsid w:val="00C543F7"/>
    <w:rsid w:val="00C54D9C"/>
    <w:rsid w:val="00C66AA3"/>
    <w:rsid w:val="00C66E57"/>
    <w:rsid w:val="00C724D7"/>
    <w:rsid w:val="00C74150"/>
    <w:rsid w:val="00C75594"/>
    <w:rsid w:val="00C76329"/>
    <w:rsid w:val="00C77E45"/>
    <w:rsid w:val="00C85982"/>
    <w:rsid w:val="00C9118F"/>
    <w:rsid w:val="00CA0466"/>
    <w:rsid w:val="00CA14E4"/>
    <w:rsid w:val="00CA246D"/>
    <w:rsid w:val="00CA50D9"/>
    <w:rsid w:val="00CB18DC"/>
    <w:rsid w:val="00CB3054"/>
    <w:rsid w:val="00CB32A9"/>
    <w:rsid w:val="00CB5636"/>
    <w:rsid w:val="00CB5F30"/>
    <w:rsid w:val="00CC3EE5"/>
    <w:rsid w:val="00CC6E47"/>
    <w:rsid w:val="00CD45A4"/>
    <w:rsid w:val="00CE425C"/>
    <w:rsid w:val="00CE4408"/>
    <w:rsid w:val="00CE58AC"/>
    <w:rsid w:val="00CF5A80"/>
    <w:rsid w:val="00D045EE"/>
    <w:rsid w:val="00D05091"/>
    <w:rsid w:val="00D07639"/>
    <w:rsid w:val="00D10A3E"/>
    <w:rsid w:val="00D10CA6"/>
    <w:rsid w:val="00D10F21"/>
    <w:rsid w:val="00D134CF"/>
    <w:rsid w:val="00D1573B"/>
    <w:rsid w:val="00D24806"/>
    <w:rsid w:val="00D24D60"/>
    <w:rsid w:val="00D331B1"/>
    <w:rsid w:val="00D34040"/>
    <w:rsid w:val="00D34092"/>
    <w:rsid w:val="00D34E69"/>
    <w:rsid w:val="00D36C78"/>
    <w:rsid w:val="00D375EE"/>
    <w:rsid w:val="00D47BD9"/>
    <w:rsid w:val="00D55AE8"/>
    <w:rsid w:val="00D56056"/>
    <w:rsid w:val="00D6085F"/>
    <w:rsid w:val="00D62699"/>
    <w:rsid w:val="00D67025"/>
    <w:rsid w:val="00D778E9"/>
    <w:rsid w:val="00D812BF"/>
    <w:rsid w:val="00D82620"/>
    <w:rsid w:val="00D85707"/>
    <w:rsid w:val="00D901B0"/>
    <w:rsid w:val="00D9725F"/>
    <w:rsid w:val="00DA01B1"/>
    <w:rsid w:val="00DA11A2"/>
    <w:rsid w:val="00DA14ED"/>
    <w:rsid w:val="00DA26D6"/>
    <w:rsid w:val="00DB2EF1"/>
    <w:rsid w:val="00DB3DE1"/>
    <w:rsid w:val="00DB5DA0"/>
    <w:rsid w:val="00DB716C"/>
    <w:rsid w:val="00DC23B0"/>
    <w:rsid w:val="00DC5C85"/>
    <w:rsid w:val="00DC67DC"/>
    <w:rsid w:val="00DC7C5D"/>
    <w:rsid w:val="00DD4236"/>
    <w:rsid w:val="00DD44F1"/>
    <w:rsid w:val="00DD6957"/>
    <w:rsid w:val="00DD6E7A"/>
    <w:rsid w:val="00DE3067"/>
    <w:rsid w:val="00DF3EEE"/>
    <w:rsid w:val="00DF75E1"/>
    <w:rsid w:val="00E00918"/>
    <w:rsid w:val="00E027BC"/>
    <w:rsid w:val="00E045BE"/>
    <w:rsid w:val="00E07D69"/>
    <w:rsid w:val="00E10F0D"/>
    <w:rsid w:val="00E14EA5"/>
    <w:rsid w:val="00E2070E"/>
    <w:rsid w:val="00E20842"/>
    <w:rsid w:val="00E21133"/>
    <w:rsid w:val="00E2327E"/>
    <w:rsid w:val="00E24E2B"/>
    <w:rsid w:val="00E266EF"/>
    <w:rsid w:val="00E3092F"/>
    <w:rsid w:val="00E326A8"/>
    <w:rsid w:val="00E33E80"/>
    <w:rsid w:val="00E47428"/>
    <w:rsid w:val="00E47A1F"/>
    <w:rsid w:val="00E54B28"/>
    <w:rsid w:val="00E552C3"/>
    <w:rsid w:val="00E56108"/>
    <w:rsid w:val="00E56C8E"/>
    <w:rsid w:val="00E5716B"/>
    <w:rsid w:val="00E57263"/>
    <w:rsid w:val="00E57F1F"/>
    <w:rsid w:val="00E66B9F"/>
    <w:rsid w:val="00E70A6A"/>
    <w:rsid w:val="00E710D6"/>
    <w:rsid w:val="00E719F9"/>
    <w:rsid w:val="00E72799"/>
    <w:rsid w:val="00E72A3F"/>
    <w:rsid w:val="00E72EF8"/>
    <w:rsid w:val="00E73DA4"/>
    <w:rsid w:val="00E749DA"/>
    <w:rsid w:val="00E76E45"/>
    <w:rsid w:val="00E777C9"/>
    <w:rsid w:val="00E81DA6"/>
    <w:rsid w:val="00E84212"/>
    <w:rsid w:val="00E8770E"/>
    <w:rsid w:val="00E9086C"/>
    <w:rsid w:val="00E90AAA"/>
    <w:rsid w:val="00E91A0F"/>
    <w:rsid w:val="00E94A6A"/>
    <w:rsid w:val="00E94A71"/>
    <w:rsid w:val="00E94CBF"/>
    <w:rsid w:val="00EA03CE"/>
    <w:rsid w:val="00EA1FC1"/>
    <w:rsid w:val="00EA2268"/>
    <w:rsid w:val="00EA23E5"/>
    <w:rsid w:val="00EA3C5D"/>
    <w:rsid w:val="00EA4E2E"/>
    <w:rsid w:val="00EB16C0"/>
    <w:rsid w:val="00EB2417"/>
    <w:rsid w:val="00EB2CCB"/>
    <w:rsid w:val="00EB7A25"/>
    <w:rsid w:val="00EC0F3E"/>
    <w:rsid w:val="00EC13F1"/>
    <w:rsid w:val="00EC57A7"/>
    <w:rsid w:val="00ED0817"/>
    <w:rsid w:val="00ED6623"/>
    <w:rsid w:val="00ED7DD9"/>
    <w:rsid w:val="00EE1A56"/>
    <w:rsid w:val="00EE1E28"/>
    <w:rsid w:val="00EE445B"/>
    <w:rsid w:val="00EF0E18"/>
    <w:rsid w:val="00EF3113"/>
    <w:rsid w:val="00EF3F84"/>
    <w:rsid w:val="00EF74D1"/>
    <w:rsid w:val="00F04B12"/>
    <w:rsid w:val="00F126F5"/>
    <w:rsid w:val="00F176AC"/>
    <w:rsid w:val="00F24298"/>
    <w:rsid w:val="00F26F28"/>
    <w:rsid w:val="00F27714"/>
    <w:rsid w:val="00F315F5"/>
    <w:rsid w:val="00F32692"/>
    <w:rsid w:val="00F3276E"/>
    <w:rsid w:val="00F33D3C"/>
    <w:rsid w:val="00F37A91"/>
    <w:rsid w:val="00F408A0"/>
    <w:rsid w:val="00F452B3"/>
    <w:rsid w:val="00F45CF5"/>
    <w:rsid w:val="00F47457"/>
    <w:rsid w:val="00F47DB0"/>
    <w:rsid w:val="00F50C3F"/>
    <w:rsid w:val="00F50E34"/>
    <w:rsid w:val="00F51AFB"/>
    <w:rsid w:val="00F52C59"/>
    <w:rsid w:val="00F53EF7"/>
    <w:rsid w:val="00F54BF2"/>
    <w:rsid w:val="00F55B3A"/>
    <w:rsid w:val="00F775AC"/>
    <w:rsid w:val="00F80696"/>
    <w:rsid w:val="00F844F6"/>
    <w:rsid w:val="00F869D5"/>
    <w:rsid w:val="00F9214D"/>
    <w:rsid w:val="00F92355"/>
    <w:rsid w:val="00F92A56"/>
    <w:rsid w:val="00F93963"/>
    <w:rsid w:val="00F94291"/>
    <w:rsid w:val="00FA1C98"/>
    <w:rsid w:val="00FA298A"/>
    <w:rsid w:val="00FA5B66"/>
    <w:rsid w:val="00FB0B9C"/>
    <w:rsid w:val="00FB30EB"/>
    <w:rsid w:val="00FB7982"/>
    <w:rsid w:val="00FC0734"/>
    <w:rsid w:val="00FC0FC5"/>
    <w:rsid w:val="00FC588F"/>
    <w:rsid w:val="00FC6879"/>
    <w:rsid w:val="00FD3B57"/>
    <w:rsid w:val="00FD43C2"/>
    <w:rsid w:val="00FD57CC"/>
    <w:rsid w:val="00FE1B30"/>
    <w:rsid w:val="00FE1FDF"/>
    <w:rsid w:val="00FE3DB3"/>
    <w:rsid w:val="00FE4CF4"/>
    <w:rsid w:val="00FE7B44"/>
    <w:rsid w:val="00FF2294"/>
    <w:rsid w:val="00FF230E"/>
    <w:rsid w:val="00FF3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3B32E6F4-0C11-4C33-A8F6-B579A2C6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HeaderChar">
    <w:name w:val="Header Char"/>
    <w:basedOn w:val="DefaultParagraphFont"/>
    <w:link w:val="Header"/>
    <w:uiPriority w:val="99"/>
    <w:rsid w:val="003F261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E5347D8A8946E0B00BD1CD99524F4F"/>
        <w:category>
          <w:name w:val="General"/>
          <w:gallery w:val="placeholder"/>
        </w:category>
        <w:types>
          <w:type w:val="bbPlcHdr"/>
        </w:types>
        <w:behaviors>
          <w:behavior w:val="content"/>
        </w:behaviors>
        <w:guid w:val="{57DDC540-FE2B-45B6-B223-4A702F63E6AD}"/>
      </w:docPartPr>
      <w:docPartBody>
        <w:p w:rsidR="00CD327B" w:rsidRDefault="00CD327B">
          <w:pPr>
            <w:pStyle w:val="E9E5347D8A8946E0B00BD1CD99524F4F"/>
          </w:pPr>
          <w:r>
            <w:rPr>
              <w:rStyle w:val="PlaceholderText"/>
            </w:rPr>
            <w:t>MNC Text</w:t>
          </w:r>
        </w:p>
      </w:docPartBody>
    </w:docPart>
    <w:docPart>
      <w:docPartPr>
        <w:name w:val="C0F18409D8544BE082C70D31F6162C91"/>
        <w:category>
          <w:name w:val="General"/>
          <w:gallery w:val="placeholder"/>
        </w:category>
        <w:types>
          <w:type w:val="bbPlcHdr"/>
        </w:types>
        <w:behaviors>
          <w:behavior w:val="content"/>
        </w:behaviors>
        <w:guid w:val="{3D720BBE-0E39-4172-829F-450DF9741971}"/>
      </w:docPartPr>
      <w:docPartBody>
        <w:p w:rsidR="00CD327B" w:rsidRDefault="00CD327B">
          <w:pPr>
            <w:pStyle w:val="C0F18409D8544BE082C70D31F6162C91"/>
          </w:pPr>
          <w:r w:rsidRPr="005C44BE">
            <w:rPr>
              <w:rStyle w:val="PlaceholderText"/>
            </w:rPr>
            <w:t>Click or tap here to enter text.</w:t>
          </w:r>
        </w:p>
      </w:docPartBody>
    </w:docPart>
    <w:docPart>
      <w:docPartPr>
        <w:name w:val="01CF0F5159144B94BDE38284A3DF6D10"/>
        <w:category>
          <w:name w:val="General"/>
          <w:gallery w:val="placeholder"/>
        </w:category>
        <w:types>
          <w:type w:val="bbPlcHdr"/>
        </w:types>
        <w:behaviors>
          <w:behavior w:val="content"/>
        </w:behaviors>
        <w:guid w:val="{96112996-6E03-4CB4-8F2A-65869B10AAE3}"/>
      </w:docPartPr>
      <w:docPartBody>
        <w:p w:rsidR="00CD327B" w:rsidRDefault="00CD327B">
          <w:pPr>
            <w:pStyle w:val="01CF0F5159144B94BDE38284A3DF6D10"/>
          </w:pPr>
          <w:r w:rsidRPr="005C44BE">
            <w:rPr>
              <w:rStyle w:val="PlaceholderText"/>
            </w:rPr>
            <w:t>Click or tap here to enter text.</w:t>
          </w:r>
        </w:p>
      </w:docPartBody>
    </w:docPart>
    <w:docPart>
      <w:docPartPr>
        <w:name w:val="2D5D56FC3821469FA1B358F9F97137FC"/>
        <w:category>
          <w:name w:val="General"/>
          <w:gallery w:val="placeholder"/>
        </w:category>
        <w:types>
          <w:type w:val="bbPlcHdr"/>
        </w:types>
        <w:behaviors>
          <w:behavior w:val="content"/>
        </w:behaviors>
        <w:guid w:val="{4AF961A5-4FAD-40BF-ABDD-6953A523BB00}"/>
      </w:docPartPr>
      <w:docPartBody>
        <w:p w:rsidR="00CD327B" w:rsidRDefault="00CD327B">
          <w:pPr>
            <w:pStyle w:val="2D5D56FC3821469FA1B358F9F97137FC"/>
          </w:pPr>
          <w:r w:rsidRPr="005C44BE">
            <w:rPr>
              <w:rStyle w:val="PlaceholderText"/>
            </w:rPr>
            <w:t>Click or tap here to enter text.</w:t>
          </w:r>
        </w:p>
      </w:docPartBody>
    </w:docPart>
    <w:docPart>
      <w:docPartPr>
        <w:name w:val="F1C58E8463AB44CB9C0B568712B80B28"/>
        <w:category>
          <w:name w:val="General"/>
          <w:gallery w:val="placeholder"/>
        </w:category>
        <w:types>
          <w:type w:val="bbPlcHdr"/>
        </w:types>
        <w:behaviors>
          <w:behavior w:val="content"/>
        </w:behaviors>
        <w:guid w:val="{B7F9EC39-415D-4204-9CB2-8344CF5B6095}"/>
      </w:docPartPr>
      <w:docPartBody>
        <w:p w:rsidR="00CD327B" w:rsidRDefault="00CD327B">
          <w:pPr>
            <w:pStyle w:val="F1C58E8463AB44CB9C0B568712B80B28"/>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7B"/>
    <w:rsid w:val="002354A6"/>
    <w:rsid w:val="002940E1"/>
    <w:rsid w:val="00343B49"/>
    <w:rsid w:val="006E6E24"/>
    <w:rsid w:val="008212C1"/>
    <w:rsid w:val="009626ED"/>
    <w:rsid w:val="00A2030B"/>
    <w:rsid w:val="00A85120"/>
    <w:rsid w:val="00B86F81"/>
    <w:rsid w:val="00C35EC4"/>
    <w:rsid w:val="00CD327B"/>
    <w:rsid w:val="00D36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E5347D8A8946E0B00BD1CD99524F4F">
    <w:name w:val="E9E5347D8A8946E0B00BD1CD99524F4F"/>
  </w:style>
  <w:style w:type="paragraph" w:customStyle="1" w:styleId="C0F18409D8544BE082C70D31F6162C91">
    <w:name w:val="C0F18409D8544BE082C70D31F6162C91"/>
  </w:style>
  <w:style w:type="paragraph" w:customStyle="1" w:styleId="01CF0F5159144B94BDE38284A3DF6D10">
    <w:name w:val="01CF0F5159144B94BDE38284A3DF6D10"/>
  </w:style>
  <w:style w:type="paragraph" w:customStyle="1" w:styleId="2D5D56FC3821469FA1B358F9F97137FC">
    <w:name w:val="2D5D56FC3821469FA1B358F9F97137FC"/>
  </w:style>
  <w:style w:type="paragraph" w:customStyle="1" w:styleId="F1C58E8463AB44CB9C0B568712B80B28">
    <w:name w:val="F1C58E8463AB44CB9C0B568712B80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Stack v AMP Financial Planning Pty Limited (No 2) [2021] FCA 1479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C6975614-21F2-403A-817A-E6590A43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42</Pages>
  <Words>15229</Words>
  <Characters>78969</Characters>
  <Application>Microsoft Office Word</Application>
  <DocSecurity>0</DocSecurity>
  <Lines>1316</Lines>
  <Paragraphs>434</Paragraphs>
  <ScaleCrop>false</ScaleCrop>
  <HeadingPairs>
    <vt:vector size="2" baseType="variant">
      <vt:variant>
        <vt:lpstr>Title</vt:lpstr>
      </vt:variant>
      <vt:variant>
        <vt:i4>1</vt:i4>
      </vt:variant>
    </vt:vector>
  </HeadingPairs>
  <TitlesOfParts>
    <vt:vector size="1" baseType="lpstr">
      <vt:lpstr>Stack v AMP Financial Planning Pty Limited (No 2) [2021] FCA 1479 </vt:lpstr>
    </vt:vector>
  </TitlesOfParts>
  <Company>Federal Court of Australia</Company>
  <LinksUpToDate>false</LinksUpToDate>
  <CharactersWithSpaces>93764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Stack v AMP Financial Planning Pty Limited (No 2) [2021] FCA 1479</dc:title>
  <dc:subject/>
  <dc:creator>Federal Court of Australia</dc:creator>
  <cp:keywords/>
  <dc:description/>
  <cp:lastModifiedBy>Federal Court of Australia</cp:lastModifiedBy>
  <cp:revision>3</cp:revision>
  <cp:lastPrinted>2021-11-25T02:15:00Z</cp:lastPrinted>
  <dcterms:created xsi:type="dcterms:W3CDTF">2021-11-25T03:06:00Z</dcterms:created>
  <dcterms:modified xsi:type="dcterms:W3CDTF">2021-11-25T03:07:00Z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Commercial Contracts, Banking, Finance and Insurance</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