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0B5426" w:rsidP="00A22932">
      <w:pPr>
        <w:pStyle w:val="CourtTitle"/>
      </w:pPr>
      <w:r>
        <w:fldChar w:fldCharType="begin"/>
      </w:r>
      <w:r>
        <w:instrText xml:space="preserve"> DOCPROPERTY  Court  \* MERGEFORMAT </w:instrText>
      </w:r>
      <w:r>
        <w:fldChar w:fldCharType="separate"/>
      </w:r>
      <w:r w:rsidR="00A2083C">
        <w:t>Federal Court of Australia</w:t>
      </w:r>
      <w:r>
        <w:fldChar w:fldCharType="end"/>
      </w:r>
    </w:p>
    <w:p w:rsidR="004D7950" w:rsidRDefault="004D7950">
      <w:pPr>
        <w:pStyle w:val="NormalHeadings"/>
        <w:jc w:val="center"/>
        <w:rPr>
          <w:sz w:val="32"/>
        </w:rPr>
      </w:pPr>
    </w:p>
    <w:bookmarkStart w:id="0" w:name="MNC"/>
    <w:p w:rsidR="00374CC4" w:rsidRDefault="00E252BC" w:rsidP="001A2B40">
      <w:pPr>
        <w:pStyle w:val="MNC"/>
      </w:pPr>
      <w:sdt>
        <w:sdtPr>
          <w:rPr>
            <w:rFonts w:eastAsia="Times New Roman"/>
          </w:rPr>
          <w:alias w:val="MNC"/>
          <w:tag w:val="MNC"/>
          <w:id w:val="343289786"/>
          <w:lock w:val="sdtLocked"/>
          <w:placeholder>
            <w:docPart w:val="C089A8AC6A5F4A7EA71DF96CF6639416"/>
          </w:placeholder>
          <w:dataBinding w:prefixMappings="xmlns:ns0='http://schemas.globalmacros.com/FCA'" w:xpath="/ns0:root[1]/ns0:Name[1]" w:storeItemID="{687E7CCB-4AA5-44E7-B148-17BA2B6F57C0}"/>
          <w:text w:multiLine="1"/>
        </w:sdtPr>
        <w:sdtEndPr/>
        <w:sdtContent>
          <w:r w:rsidR="00DF28B1" w:rsidRPr="00DF28B1">
            <w:rPr>
              <w:rFonts w:eastAsia="Times New Roman"/>
            </w:rPr>
            <w:t>Henley Arch Pty Ltd v Henley Constructions Pty Ltd (No 3) [2022] FCA</w:t>
          </w:r>
          <w:r w:rsidR="00DF28B1">
            <w:rPr>
              <w:rFonts w:eastAsia="Times New Roman"/>
            </w:rPr>
            <w:t xml:space="preserve"> 408</w:t>
          </w:r>
          <w:r w:rsidR="00DF28B1" w:rsidRPr="00DF28B1">
            <w:rPr>
              <w:rFonts w:eastAsia="Times New Roman"/>
            </w:rPr>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903B4B">
        <w:tc>
          <w:tcPr>
            <w:tcW w:w="3084"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A2083C" w:rsidRDefault="00E252BC" w:rsidP="00DF28B1">
            <w:pPr>
              <w:pStyle w:val="Normal1linespace"/>
              <w:jc w:val="left"/>
            </w:pPr>
            <w:r>
              <w:fldChar w:fldCharType="begin" w:fldLock="1"/>
            </w:r>
            <w:r>
              <w:instrText xml:space="preserve"> REF  FileNo  \* MERGEFORMAT </w:instrText>
            </w:r>
            <w:r>
              <w:fldChar w:fldCharType="separate"/>
            </w:r>
            <w:r w:rsidR="00DF28B1">
              <w:t>VID 1240 of 2018</w:t>
            </w:r>
            <w:r>
              <w:fldChar w:fldCharType="end"/>
            </w:r>
          </w:p>
        </w:tc>
      </w:tr>
      <w:tr w:rsidR="00395B24" w:rsidTr="00903B4B">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03B4B">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A2083C">
              <w:rPr>
                <w:b/>
              </w:rPr>
              <w:fldChar w:fldCharType="begin" w:fldLock="1"/>
            </w:r>
            <w:r w:rsidRPr="00A2083C">
              <w:rPr>
                <w:b/>
              </w:rPr>
              <w:instrText xml:space="preserve"> REF  Judge  \* MERGEFORMAT </w:instrText>
            </w:r>
            <w:r w:rsidRPr="00A2083C">
              <w:rPr>
                <w:b/>
              </w:rPr>
              <w:fldChar w:fldCharType="separate"/>
            </w:r>
            <w:r w:rsidR="00A2083C" w:rsidRPr="00A2083C">
              <w:rPr>
                <w:b/>
                <w:caps/>
                <w:szCs w:val="24"/>
              </w:rPr>
              <w:t>ANDERSON J</w:t>
            </w:r>
            <w:r w:rsidRPr="00A2083C">
              <w:rPr>
                <w:b/>
              </w:rPr>
              <w:fldChar w:fldCharType="end"/>
            </w:r>
          </w:p>
        </w:tc>
      </w:tr>
      <w:tr w:rsidR="00395B24" w:rsidTr="00903B4B">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03B4B">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6739E4" w:rsidP="00663878">
            <w:pPr>
              <w:pStyle w:val="Normal1linespace"/>
              <w:widowControl w:val="0"/>
              <w:jc w:val="left"/>
            </w:pPr>
            <w:bookmarkStart w:id="1" w:name="JudgmentDate"/>
            <w:bookmarkEnd w:id="1"/>
            <w:r>
              <w:t>20 April 2022</w:t>
            </w:r>
          </w:p>
        </w:tc>
      </w:tr>
      <w:tr w:rsidR="00395B24" w:rsidTr="00903B4B">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03B4B">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D66A08">
            <w:pPr>
              <w:pStyle w:val="Normal1linespace"/>
              <w:widowControl w:val="0"/>
              <w:jc w:val="left"/>
            </w:pPr>
            <w:bookmarkStart w:id="2" w:name="Catchwords"/>
            <w:r>
              <w:rPr>
                <w:b/>
                <w:bCs/>
                <w:color w:val="000000"/>
                <w:bdr w:val="none" w:sz="0" w:space="0" w:color="auto" w:frame="1"/>
                <w:shd w:val="clear" w:color="auto" w:fill="FFFFFF"/>
              </w:rPr>
              <w:t>PRACTICE AND PROCEDURE</w:t>
            </w:r>
            <w:r>
              <w:rPr>
                <w:color w:val="000000"/>
                <w:bdr w:val="none" w:sz="0" w:space="0" w:color="auto" w:frame="1"/>
                <w:shd w:val="clear" w:color="auto" w:fill="FFFFFF"/>
              </w:rPr>
              <w:t> – application for a stay of orders pending appeal – stay granted</w:t>
            </w:r>
            <w:bookmarkEnd w:id="2"/>
          </w:p>
        </w:tc>
      </w:tr>
      <w:tr w:rsidR="00395B24" w:rsidTr="00903B4B">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03B4B">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FD7677" w:rsidRPr="00FD7677" w:rsidRDefault="00FD7677" w:rsidP="00FD7677">
            <w:pPr>
              <w:pStyle w:val="CasesLegislationAppealFrom"/>
              <w:spacing w:after="60"/>
            </w:pPr>
            <w:bookmarkStart w:id="3" w:name="Cases_Cited"/>
            <w:r w:rsidRPr="00903B4B">
              <w:rPr>
                <w:i/>
              </w:rPr>
              <w:t>Australian Workers’ Union v Pilkington (</w:t>
            </w:r>
            <w:proofErr w:type="spellStart"/>
            <w:r w:rsidRPr="00903B4B">
              <w:rPr>
                <w:i/>
              </w:rPr>
              <w:t>Aust</w:t>
            </w:r>
            <w:proofErr w:type="spellEnd"/>
            <w:r w:rsidRPr="00903B4B">
              <w:rPr>
                <w:i/>
              </w:rPr>
              <w:t>) Ltd</w:t>
            </w:r>
            <w:r w:rsidRPr="00903B4B">
              <w:t xml:space="preserve"> (2000) 101 FCR 35; [2000] FCA 1169</w:t>
            </w:r>
            <w:r w:rsidRPr="00FD7677" w:rsidDel="00FD7677">
              <w:t xml:space="preserve">   </w:t>
            </w:r>
          </w:p>
          <w:p w:rsidR="00FD7677" w:rsidRPr="00FD7677" w:rsidRDefault="00FD7677" w:rsidP="00FD7677">
            <w:pPr>
              <w:pStyle w:val="CasesLegislationAppealFrom"/>
              <w:spacing w:after="60"/>
            </w:pPr>
            <w:r w:rsidRPr="00903B4B">
              <w:rPr>
                <w:i/>
              </w:rPr>
              <w:t xml:space="preserve">In-N-Out Burgers, </w:t>
            </w:r>
            <w:proofErr w:type="spellStart"/>
            <w:r w:rsidRPr="00903B4B">
              <w:rPr>
                <w:i/>
              </w:rPr>
              <w:t>Inc</w:t>
            </w:r>
            <w:proofErr w:type="spellEnd"/>
            <w:r w:rsidRPr="00903B4B">
              <w:rPr>
                <w:i/>
              </w:rPr>
              <w:t xml:space="preserve"> v Hashtag Burgers Pty Ltd (No 2)</w:t>
            </w:r>
            <w:r w:rsidRPr="00903B4B">
              <w:t xml:space="preserve"> [2020] FCA 772</w:t>
            </w:r>
          </w:p>
          <w:p w:rsidR="00FD7677" w:rsidRPr="00FD7677" w:rsidRDefault="00FD7677">
            <w:pPr>
              <w:pStyle w:val="CasesLegislationAppealFrom"/>
              <w:spacing w:after="60"/>
            </w:pPr>
            <w:r w:rsidRPr="00903B4B">
              <w:rPr>
                <w:i/>
              </w:rPr>
              <w:t>Philip Morris (</w:t>
            </w:r>
            <w:proofErr w:type="spellStart"/>
            <w:r w:rsidRPr="00903B4B">
              <w:rPr>
                <w:i/>
              </w:rPr>
              <w:t>Aust</w:t>
            </w:r>
            <w:proofErr w:type="spellEnd"/>
            <w:r w:rsidRPr="00903B4B">
              <w:rPr>
                <w:i/>
              </w:rPr>
              <w:t>) Ltd v Nixon</w:t>
            </w:r>
            <w:r w:rsidRPr="00903B4B">
              <w:t xml:space="preserve"> [1999] FCA 1281</w:t>
            </w:r>
            <w:bookmarkEnd w:id="3"/>
          </w:p>
        </w:tc>
      </w:tr>
      <w:tr w:rsidR="00A2083C" w:rsidTr="00903B4B">
        <w:tc>
          <w:tcPr>
            <w:tcW w:w="3084" w:type="dxa"/>
            <w:shd w:val="clear" w:color="auto" w:fill="auto"/>
          </w:tcPr>
          <w:p w:rsidR="00A2083C" w:rsidRDefault="00A2083C" w:rsidP="002F7154">
            <w:pPr>
              <w:pStyle w:val="Normal1linespace"/>
              <w:widowControl w:val="0"/>
            </w:pPr>
          </w:p>
        </w:tc>
        <w:tc>
          <w:tcPr>
            <w:tcW w:w="5989" w:type="dxa"/>
            <w:shd w:val="clear" w:color="auto" w:fill="auto"/>
          </w:tcPr>
          <w:p w:rsidR="00A2083C" w:rsidRDefault="00A2083C" w:rsidP="002F7154">
            <w:pPr>
              <w:pStyle w:val="Normal1linespace"/>
              <w:widowControl w:val="0"/>
              <w:jc w:val="left"/>
            </w:pPr>
          </w:p>
        </w:tc>
      </w:tr>
      <w:tr w:rsidR="00A2083C" w:rsidTr="00903B4B">
        <w:tc>
          <w:tcPr>
            <w:tcW w:w="3084" w:type="dxa"/>
            <w:shd w:val="clear" w:color="auto" w:fill="auto"/>
          </w:tcPr>
          <w:p w:rsidR="00A2083C" w:rsidRDefault="00A2083C" w:rsidP="00501A12">
            <w:pPr>
              <w:pStyle w:val="Normal1linespace"/>
              <w:widowControl w:val="0"/>
            </w:pPr>
            <w:r>
              <w:t>Division:</w:t>
            </w:r>
          </w:p>
        </w:tc>
        <w:tc>
          <w:tcPr>
            <w:tcW w:w="5989" w:type="dxa"/>
            <w:shd w:val="clear" w:color="auto" w:fill="auto"/>
          </w:tcPr>
          <w:p w:rsidR="00A2083C" w:rsidRPr="00F17599" w:rsidRDefault="00541083" w:rsidP="00501A12">
            <w:pPr>
              <w:pStyle w:val="Normal1linespace"/>
              <w:widowControl w:val="0"/>
              <w:jc w:val="left"/>
            </w:pPr>
            <w:fldSimple w:instr=" DOCPROPERTY  Division ">
              <w:r w:rsidR="00A2083C">
                <w:t>General Division</w:t>
              </w:r>
            </w:fldSimple>
          </w:p>
        </w:tc>
      </w:tr>
      <w:tr w:rsidR="00A2083C" w:rsidTr="00903B4B">
        <w:tc>
          <w:tcPr>
            <w:tcW w:w="3084" w:type="dxa"/>
            <w:shd w:val="clear" w:color="auto" w:fill="auto"/>
          </w:tcPr>
          <w:p w:rsidR="00A2083C" w:rsidRDefault="00A2083C" w:rsidP="00501A12">
            <w:pPr>
              <w:pStyle w:val="Normal1linespace"/>
              <w:widowControl w:val="0"/>
            </w:pPr>
            <w:bookmarkStart w:id="4" w:name="Registry_rows" w:colFirst="0" w:colLast="1"/>
          </w:p>
        </w:tc>
        <w:tc>
          <w:tcPr>
            <w:tcW w:w="5989" w:type="dxa"/>
            <w:shd w:val="clear" w:color="auto" w:fill="auto"/>
          </w:tcPr>
          <w:p w:rsidR="00A2083C" w:rsidRDefault="00A2083C" w:rsidP="00501A12">
            <w:pPr>
              <w:pStyle w:val="Normal1linespace"/>
              <w:widowControl w:val="0"/>
              <w:jc w:val="left"/>
            </w:pPr>
          </w:p>
        </w:tc>
      </w:tr>
      <w:tr w:rsidR="00A2083C" w:rsidTr="00903B4B">
        <w:tc>
          <w:tcPr>
            <w:tcW w:w="3084" w:type="dxa"/>
            <w:shd w:val="clear" w:color="auto" w:fill="auto"/>
          </w:tcPr>
          <w:p w:rsidR="00A2083C" w:rsidRDefault="00A2083C" w:rsidP="00501A12">
            <w:pPr>
              <w:pStyle w:val="Normal1linespace"/>
              <w:widowControl w:val="0"/>
            </w:pPr>
            <w:r>
              <w:t>Registry:</w:t>
            </w:r>
          </w:p>
        </w:tc>
        <w:tc>
          <w:tcPr>
            <w:tcW w:w="5989" w:type="dxa"/>
            <w:shd w:val="clear" w:color="auto" w:fill="auto"/>
          </w:tcPr>
          <w:p w:rsidR="00A2083C" w:rsidRPr="00F17599" w:rsidRDefault="006739E4" w:rsidP="00501A12">
            <w:pPr>
              <w:pStyle w:val="Normal1linespace"/>
              <w:widowControl w:val="0"/>
              <w:jc w:val="left"/>
            </w:pPr>
            <w:r>
              <w:t>Victoria</w:t>
            </w:r>
          </w:p>
        </w:tc>
      </w:tr>
      <w:tr w:rsidR="00A2083C" w:rsidTr="00903B4B">
        <w:tc>
          <w:tcPr>
            <w:tcW w:w="3084" w:type="dxa"/>
            <w:shd w:val="clear" w:color="auto" w:fill="auto"/>
          </w:tcPr>
          <w:p w:rsidR="00A2083C" w:rsidRDefault="00A2083C" w:rsidP="00501A12">
            <w:pPr>
              <w:pStyle w:val="Normal1linespace"/>
              <w:widowControl w:val="0"/>
            </w:pPr>
            <w:bookmarkStart w:id="5" w:name="NPARow" w:colFirst="0" w:colLast="1"/>
            <w:bookmarkEnd w:id="4"/>
          </w:p>
        </w:tc>
        <w:tc>
          <w:tcPr>
            <w:tcW w:w="5989" w:type="dxa"/>
            <w:shd w:val="clear" w:color="auto" w:fill="auto"/>
          </w:tcPr>
          <w:p w:rsidR="00A2083C" w:rsidRPr="00F17599" w:rsidRDefault="00A2083C" w:rsidP="00501A12">
            <w:pPr>
              <w:pStyle w:val="Normal1linespace"/>
              <w:widowControl w:val="0"/>
              <w:jc w:val="left"/>
              <w:rPr>
                <w:b/>
              </w:rPr>
            </w:pPr>
          </w:p>
        </w:tc>
      </w:tr>
      <w:tr w:rsidR="00A2083C" w:rsidTr="00903B4B">
        <w:tc>
          <w:tcPr>
            <w:tcW w:w="3084" w:type="dxa"/>
            <w:shd w:val="clear" w:color="auto" w:fill="auto"/>
          </w:tcPr>
          <w:p w:rsidR="00A2083C" w:rsidRDefault="00A2083C" w:rsidP="00501A12">
            <w:pPr>
              <w:pStyle w:val="Normal1linespace"/>
              <w:widowControl w:val="0"/>
            </w:pPr>
            <w:r>
              <w:t>National Practice Area:</w:t>
            </w:r>
          </w:p>
        </w:tc>
        <w:tc>
          <w:tcPr>
            <w:tcW w:w="5989" w:type="dxa"/>
            <w:shd w:val="clear" w:color="auto" w:fill="auto"/>
          </w:tcPr>
          <w:p w:rsidR="00A2083C" w:rsidRPr="00F17599" w:rsidRDefault="006739E4" w:rsidP="00171DBB">
            <w:pPr>
              <w:pStyle w:val="Normal1linespace"/>
              <w:widowControl w:val="0"/>
              <w:jc w:val="left"/>
              <w:rPr>
                <w:b/>
              </w:rPr>
            </w:pPr>
            <w:r>
              <w:t>Intellectual Property</w:t>
            </w:r>
          </w:p>
        </w:tc>
      </w:tr>
      <w:tr w:rsidR="00A2083C" w:rsidTr="00903B4B">
        <w:tc>
          <w:tcPr>
            <w:tcW w:w="3084" w:type="dxa"/>
            <w:shd w:val="clear" w:color="auto" w:fill="auto"/>
          </w:tcPr>
          <w:p w:rsidR="00A2083C" w:rsidRDefault="00A2083C" w:rsidP="00501A12">
            <w:pPr>
              <w:pStyle w:val="Normal1linespace"/>
              <w:widowControl w:val="0"/>
            </w:pPr>
            <w:bookmarkStart w:id="6" w:name="SubAreaRow" w:colFirst="0" w:colLast="1"/>
            <w:bookmarkEnd w:id="5"/>
          </w:p>
        </w:tc>
        <w:tc>
          <w:tcPr>
            <w:tcW w:w="5989" w:type="dxa"/>
            <w:shd w:val="clear" w:color="auto" w:fill="auto"/>
          </w:tcPr>
          <w:p w:rsidR="00A2083C" w:rsidRDefault="00A2083C" w:rsidP="00171DBB">
            <w:pPr>
              <w:pStyle w:val="Normal1linespace"/>
              <w:widowControl w:val="0"/>
              <w:jc w:val="left"/>
            </w:pPr>
          </w:p>
        </w:tc>
      </w:tr>
      <w:tr w:rsidR="00A2083C" w:rsidTr="00903B4B">
        <w:tc>
          <w:tcPr>
            <w:tcW w:w="3084" w:type="dxa"/>
            <w:shd w:val="clear" w:color="auto" w:fill="auto"/>
          </w:tcPr>
          <w:p w:rsidR="00A2083C" w:rsidRDefault="00A2083C" w:rsidP="00501A12">
            <w:pPr>
              <w:pStyle w:val="Normal1linespace"/>
              <w:widowControl w:val="0"/>
            </w:pPr>
            <w:r>
              <w:t>Sub-area:</w:t>
            </w:r>
          </w:p>
        </w:tc>
        <w:tc>
          <w:tcPr>
            <w:tcW w:w="5989" w:type="dxa"/>
            <w:shd w:val="clear" w:color="auto" w:fill="auto"/>
          </w:tcPr>
          <w:p w:rsidR="00A2083C" w:rsidRPr="00837288" w:rsidRDefault="00541083" w:rsidP="006739E4">
            <w:pPr>
              <w:pStyle w:val="Normal1linespace"/>
              <w:widowControl w:val="0"/>
              <w:jc w:val="left"/>
            </w:pPr>
            <w:fldSimple w:instr=" DOCPROPERTY  &quot;Sub Area&quot;  \* MERGEFORMAT ">
              <w:r w:rsidR="00A2083C" w:rsidRPr="00A2083C">
                <w:rPr>
                  <w:lang w:val="en-US"/>
                </w:rPr>
                <w:t>T</w:t>
              </w:r>
              <w:r w:rsidR="006739E4">
                <w:rPr>
                  <w:lang w:val="en-US"/>
                </w:rPr>
                <w:t>rade Marks</w:t>
              </w:r>
            </w:fldSimple>
          </w:p>
        </w:tc>
      </w:tr>
      <w:bookmarkEnd w:id="6"/>
      <w:tr w:rsidR="00A2083C" w:rsidTr="00903B4B">
        <w:tc>
          <w:tcPr>
            <w:tcW w:w="3084" w:type="dxa"/>
            <w:shd w:val="clear" w:color="auto" w:fill="auto"/>
          </w:tcPr>
          <w:p w:rsidR="00A2083C" w:rsidRDefault="00A2083C" w:rsidP="00501A12">
            <w:pPr>
              <w:pStyle w:val="Normal1linespace"/>
              <w:widowControl w:val="0"/>
            </w:pPr>
          </w:p>
        </w:tc>
        <w:tc>
          <w:tcPr>
            <w:tcW w:w="5989" w:type="dxa"/>
            <w:shd w:val="clear" w:color="auto" w:fill="auto"/>
          </w:tcPr>
          <w:p w:rsidR="00A2083C" w:rsidRDefault="00A2083C" w:rsidP="00501A12">
            <w:pPr>
              <w:pStyle w:val="Normal1linespace"/>
              <w:widowControl w:val="0"/>
              <w:jc w:val="left"/>
            </w:pPr>
          </w:p>
        </w:tc>
      </w:tr>
      <w:tr w:rsidR="00A2083C" w:rsidTr="00903B4B">
        <w:tc>
          <w:tcPr>
            <w:tcW w:w="3084" w:type="dxa"/>
            <w:shd w:val="clear" w:color="auto" w:fill="auto"/>
          </w:tcPr>
          <w:p w:rsidR="00A2083C" w:rsidRDefault="00A2083C" w:rsidP="00501A12">
            <w:pPr>
              <w:pStyle w:val="Normal1linespace"/>
              <w:widowControl w:val="0"/>
            </w:pPr>
            <w:r>
              <w:t>Number of paragraphs:</w:t>
            </w:r>
          </w:p>
        </w:tc>
        <w:tc>
          <w:tcPr>
            <w:tcW w:w="5989" w:type="dxa"/>
            <w:shd w:val="clear" w:color="auto" w:fill="auto"/>
          </w:tcPr>
          <w:p w:rsidR="00A2083C" w:rsidRDefault="00FD7677" w:rsidP="00501A12">
            <w:pPr>
              <w:pStyle w:val="Normal1linespace"/>
              <w:widowControl w:val="0"/>
              <w:jc w:val="left"/>
            </w:pPr>
            <w:bookmarkStart w:id="7" w:name="PlaceCategoryParagraphs"/>
            <w:r>
              <w:t>1</w:t>
            </w:r>
            <w:bookmarkEnd w:id="7"/>
            <w:r w:rsidR="0089577F">
              <w:t>7</w:t>
            </w:r>
          </w:p>
        </w:tc>
      </w:tr>
      <w:tr w:rsidR="00A2083C" w:rsidTr="00903B4B">
        <w:tc>
          <w:tcPr>
            <w:tcW w:w="3084" w:type="dxa"/>
            <w:shd w:val="clear" w:color="auto" w:fill="auto"/>
          </w:tcPr>
          <w:p w:rsidR="00A2083C" w:rsidRDefault="00A2083C" w:rsidP="00A2083C">
            <w:pPr>
              <w:pStyle w:val="Normal1linespace"/>
              <w:widowControl w:val="0"/>
              <w:jc w:val="left"/>
            </w:pPr>
          </w:p>
        </w:tc>
        <w:tc>
          <w:tcPr>
            <w:tcW w:w="5989" w:type="dxa"/>
            <w:shd w:val="clear" w:color="auto" w:fill="auto"/>
          </w:tcPr>
          <w:p w:rsidR="00A2083C" w:rsidRDefault="00A2083C" w:rsidP="00A2083C">
            <w:pPr>
              <w:pStyle w:val="Normal1linespace"/>
              <w:widowControl w:val="0"/>
              <w:jc w:val="left"/>
            </w:pPr>
          </w:p>
        </w:tc>
      </w:tr>
      <w:tr w:rsidR="00A2083C" w:rsidTr="00903B4B">
        <w:tc>
          <w:tcPr>
            <w:tcW w:w="3084" w:type="dxa"/>
            <w:shd w:val="clear" w:color="auto" w:fill="auto"/>
          </w:tcPr>
          <w:p w:rsidR="00A2083C" w:rsidRDefault="00A2083C" w:rsidP="00A2083C">
            <w:pPr>
              <w:pStyle w:val="Normal1linespace"/>
              <w:widowControl w:val="0"/>
              <w:jc w:val="left"/>
            </w:pPr>
            <w:bookmarkStart w:id="8" w:name="CounselDate" w:colFirst="0" w:colLast="2"/>
            <w:r w:rsidRPr="006A24E3">
              <w:t>Date of hearing:</w:t>
            </w:r>
          </w:p>
        </w:tc>
        <w:tc>
          <w:tcPr>
            <w:tcW w:w="5989" w:type="dxa"/>
            <w:shd w:val="clear" w:color="auto" w:fill="auto"/>
          </w:tcPr>
          <w:p w:rsidR="00A2083C" w:rsidRDefault="00437FEF" w:rsidP="00A2083C">
            <w:pPr>
              <w:pStyle w:val="Normal1linespace"/>
              <w:widowControl w:val="0"/>
              <w:jc w:val="left"/>
            </w:pPr>
            <w:r>
              <w:t>Determined</w:t>
            </w:r>
            <w:r w:rsidR="00DF28B1">
              <w:t xml:space="preserve"> on the papers</w:t>
            </w:r>
          </w:p>
        </w:tc>
      </w:tr>
      <w:tr w:rsidR="00A2083C" w:rsidTr="00903B4B">
        <w:tc>
          <w:tcPr>
            <w:tcW w:w="3084" w:type="dxa"/>
            <w:shd w:val="clear" w:color="auto" w:fill="auto"/>
          </w:tcPr>
          <w:p w:rsidR="00A2083C" w:rsidRDefault="00A2083C" w:rsidP="00A2083C">
            <w:pPr>
              <w:pStyle w:val="Normal1linespace"/>
              <w:widowControl w:val="0"/>
              <w:jc w:val="left"/>
            </w:pPr>
          </w:p>
        </w:tc>
        <w:tc>
          <w:tcPr>
            <w:tcW w:w="5989" w:type="dxa"/>
            <w:shd w:val="clear" w:color="auto" w:fill="auto"/>
          </w:tcPr>
          <w:p w:rsidR="00A2083C" w:rsidRDefault="00A2083C" w:rsidP="00A2083C">
            <w:pPr>
              <w:pStyle w:val="Normal1linespace"/>
              <w:widowControl w:val="0"/>
              <w:jc w:val="left"/>
            </w:pPr>
          </w:p>
        </w:tc>
      </w:tr>
      <w:tr w:rsidR="00F42CEA" w:rsidTr="00903B4B">
        <w:tc>
          <w:tcPr>
            <w:tcW w:w="3084" w:type="dxa"/>
            <w:shd w:val="clear" w:color="auto" w:fill="auto"/>
          </w:tcPr>
          <w:p w:rsidR="00F42CEA" w:rsidRDefault="003F6A18" w:rsidP="00A2083C">
            <w:pPr>
              <w:pStyle w:val="Normal1linespace"/>
              <w:widowControl w:val="0"/>
              <w:jc w:val="left"/>
            </w:pPr>
            <w:r>
              <w:t>Counsel for the Applicant:</w:t>
            </w:r>
          </w:p>
        </w:tc>
        <w:tc>
          <w:tcPr>
            <w:tcW w:w="5989" w:type="dxa"/>
            <w:shd w:val="clear" w:color="auto" w:fill="auto"/>
          </w:tcPr>
          <w:p w:rsidR="00F42CEA" w:rsidRDefault="003F6A18" w:rsidP="00A2083C">
            <w:pPr>
              <w:pStyle w:val="Normal1linespace"/>
              <w:widowControl w:val="0"/>
              <w:jc w:val="left"/>
            </w:pPr>
            <w:r>
              <w:t xml:space="preserve">Mr T </w:t>
            </w:r>
            <w:proofErr w:type="spellStart"/>
            <w:r>
              <w:t>Cordiner</w:t>
            </w:r>
            <w:proofErr w:type="spellEnd"/>
            <w:r>
              <w:t xml:space="preserve"> QC with Ms L Davis</w:t>
            </w:r>
          </w:p>
        </w:tc>
      </w:tr>
      <w:tr w:rsidR="00F42CEA" w:rsidTr="00903B4B">
        <w:tc>
          <w:tcPr>
            <w:tcW w:w="3084" w:type="dxa"/>
            <w:shd w:val="clear" w:color="auto" w:fill="auto"/>
          </w:tcPr>
          <w:p w:rsidR="00F42CEA" w:rsidRDefault="00F42CEA" w:rsidP="00A2083C">
            <w:pPr>
              <w:pStyle w:val="Normal1linespace"/>
              <w:widowControl w:val="0"/>
              <w:jc w:val="left"/>
            </w:pPr>
          </w:p>
        </w:tc>
        <w:tc>
          <w:tcPr>
            <w:tcW w:w="5989" w:type="dxa"/>
            <w:shd w:val="clear" w:color="auto" w:fill="auto"/>
          </w:tcPr>
          <w:p w:rsidR="00F42CEA" w:rsidRDefault="00F42CEA" w:rsidP="00A2083C">
            <w:pPr>
              <w:pStyle w:val="Normal1linespace"/>
              <w:widowControl w:val="0"/>
              <w:jc w:val="left"/>
            </w:pPr>
          </w:p>
        </w:tc>
      </w:tr>
      <w:tr w:rsidR="003F6A18" w:rsidTr="00903B4B">
        <w:tc>
          <w:tcPr>
            <w:tcW w:w="3084" w:type="dxa"/>
            <w:shd w:val="clear" w:color="auto" w:fill="auto"/>
          </w:tcPr>
          <w:p w:rsidR="003F6A18" w:rsidRDefault="003F6A18" w:rsidP="003F6A18">
            <w:pPr>
              <w:pStyle w:val="Normal1linespace"/>
              <w:widowControl w:val="0"/>
              <w:jc w:val="left"/>
            </w:pPr>
            <w:r>
              <w:t>Solicitors for the Applicant:</w:t>
            </w:r>
          </w:p>
        </w:tc>
        <w:tc>
          <w:tcPr>
            <w:tcW w:w="5989" w:type="dxa"/>
            <w:shd w:val="clear" w:color="auto" w:fill="auto"/>
          </w:tcPr>
          <w:p w:rsidR="003F6A18" w:rsidRDefault="003F6A18" w:rsidP="003F6A18">
            <w:pPr>
              <w:pStyle w:val="Normal1linespace"/>
              <w:widowControl w:val="0"/>
              <w:jc w:val="left"/>
            </w:pPr>
            <w:proofErr w:type="spellStart"/>
            <w:r>
              <w:t>Ashurst</w:t>
            </w:r>
            <w:proofErr w:type="spellEnd"/>
          </w:p>
        </w:tc>
      </w:tr>
      <w:tr w:rsidR="003F6A18" w:rsidTr="00903B4B">
        <w:tc>
          <w:tcPr>
            <w:tcW w:w="3084" w:type="dxa"/>
            <w:shd w:val="clear" w:color="auto" w:fill="auto"/>
          </w:tcPr>
          <w:p w:rsidR="003F6A18" w:rsidRDefault="003F6A18" w:rsidP="003F6A18">
            <w:pPr>
              <w:pStyle w:val="Normal1linespace"/>
              <w:widowControl w:val="0"/>
              <w:jc w:val="left"/>
            </w:pPr>
          </w:p>
        </w:tc>
        <w:tc>
          <w:tcPr>
            <w:tcW w:w="5989" w:type="dxa"/>
            <w:shd w:val="clear" w:color="auto" w:fill="auto"/>
          </w:tcPr>
          <w:p w:rsidR="003F6A18" w:rsidRDefault="003F6A18" w:rsidP="003F6A18">
            <w:pPr>
              <w:pStyle w:val="Normal1linespace"/>
              <w:widowControl w:val="0"/>
              <w:jc w:val="left"/>
            </w:pPr>
          </w:p>
        </w:tc>
      </w:tr>
      <w:tr w:rsidR="003F6A18" w:rsidTr="00903B4B">
        <w:tc>
          <w:tcPr>
            <w:tcW w:w="3084" w:type="dxa"/>
            <w:shd w:val="clear" w:color="auto" w:fill="auto"/>
          </w:tcPr>
          <w:p w:rsidR="003F6A18" w:rsidRDefault="003F6A18" w:rsidP="003F6A18">
            <w:pPr>
              <w:pStyle w:val="Normal1linespace"/>
              <w:widowControl w:val="0"/>
              <w:jc w:val="left"/>
            </w:pPr>
            <w:r>
              <w:t>Counsel for the Respondent</w:t>
            </w:r>
            <w:r w:rsidR="00541083">
              <w:t>s</w:t>
            </w:r>
            <w:r>
              <w:t>:</w:t>
            </w:r>
          </w:p>
        </w:tc>
        <w:tc>
          <w:tcPr>
            <w:tcW w:w="5989" w:type="dxa"/>
            <w:shd w:val="clear" w:color="auto" w:fill="auto"/>
          </w:tcPr>
          <w:p w:rsidR="003F6A18" w:rsidRDefault="003F6A18" w:rsidP="003F6A18">
            <w:pPr>
              <w:pStyle w:val="Normal1linespace"/>
              <w:widowControl w:val="0"/>
              <w:jc w:val="left"/>
            </w:pPr>
            <w:r>
              <w:t>Mr T Bannon SC and Mr A Sykes</w:t>
            </w:r>
          </w:p>
        </w:tc>
      </w:tr>
      <w:tr w:rsidR="003F6A18" w:rsidTr="00903B4B">
        <w:tc>
          <w:tcPr>
            <w:tcW w:w="3084" w:type="dxa"/>
            <w:shd w:val="clear" w:color="auto" w:fill="auto"/>
          </w:tcPr>
          <w:p w:rsidR="003F6A18" w:rsidRDefault="003F6A18" w:rsidP="003F6A18">
            <w:pPr>
              <w:pStyle w:val="Normal1linespace"/>
              <w:widowControl w:val="0"/>
              <w:jc w:val="left"/>
            </w:pPr>
          </w:p>
        </w:tc>
        <w:tc>
          <w:tcPr>
            <w:tcW w:w="5989" w:type="dxa"/>
            <w:shd w:val="clear" w:color="auto" w:fill="auto"/>
          </w:tcPr>
          <w:p w:rsidR="003F6A18" w:rsidRDefault="003F6A18" w:rsidP="003F6A18">
            <w:pPr>
              <w:pStyle w:val="Normal1linespace"/>
              <w:widowControl w:val="0"/>
              <w:jc w:val="left"/>
            </w:pPr>
          </w:p>
        </w:tc>
      </w:tr>
      <w:tr w:rsidR="003F6A18" w:rsidTr="00903B4B">
        <w:tc>
          <w:tcPr>
            <w:tcW w:w="3084" w:type="dxa"/>
            <w:shd w:val="clear" w:color="auto" w:fill="auto"/>
          </w:tcPr>
          <w:p w:rsidR="003F6A18" w:rsidRDefault="003F6A18" w:rsidP="003F6A18">
            <w:pPr>
              <w:pStyle w:val="Normal1linespace"/>
              <w:widowControl w:val="0"/>
              <w:jc w:val="left"/>
            </w:pPr>
            <w:r>
              <w:t>Solicitors for the Respondent</w:t>
            </w:r>
            <w:r w:rsidR="00541083">
              <w:t>s</w:t>
            </w:r>
            <w:r>
              <w:t>:</w:t>
            </w:r>
          </w:p>
        </w:tc>
        <w:tc>
          <w:tcPr>
            <w:tcW w:w="5989" w:type="dxa"/>
            <w:shd w:val="clear" w:color="auto" w:fill="auto"/>
          </w:tcPr>
          <w:p w:rsidR="003F6A18" w:rsidRDefault="003F6A18" w:rsidP="003F6A18">
            <w:pPr>
              <w:pStyle w:val="Normal1linespace"/>
              <w:widowControl w:val="0"/>
              <w:jc w:val="left"/>
            </w:pPr>
            <w:r>
              <w:t>Gestalt Law</w:t>
            </w:r>
          </w:p>
        </w:tc>
      </w:tr>
      <w:tr w:rsidR="003F6A18" w:rsidTr="00903B4B">
        <w:tc>
          <w:tcPr>
            <w:tcW w:w="3084" w:type="dxa"/>
            <w:shd w:val="clear" w:color="auto" w:fill="auto"/>
          </w:tcPr>
          <w:p w:rsidR="003F6A18" w:rsidRDefault="003F6A18" w:rsidP="003F6A18">
            <w:pPr>
              <w:pStyle w:val="Normal1linespace"/>
              <w:widowControl w:val="0"/>
              <w:jc w:val="left"/>
            </w:pPr>
          </w:p>
        </w:tc>
        <w:tc>
          <w:tcPr>
            <w:tcW w:w="5989" w:type="dxa"/>
            <w:shd w:val="clear" w:color="auto" w:fill="auto"/>
          </w:tcPr>
          <w:p w:rsidR="003F6A18" w:rsidRDefault="003F6A18" w:rsidP="003F6A18">
            <w:pPr>
              <w:pStyle w:val="Normal1linespace"/>
              <w:widowControl w:val="0"/>
              <w:jc w:val="left"/>
            </w:pPr>
          </w:p>
        </w:tc>
      </w:tr>
    </w:tbl>
    <w:p w:rsidR="00B17D6E" w:rsidRDefault="00B17D6E">
      <w:pPr>
        <w:pStyle w:val="Normal1linespace"/>
      </w:pPr>
      <w:bookmarkStart w:id="9" w:name="CompletionTable"/>
      <w:bookmarkEnd w:id="8"/>
    </w:p>
    <w:bookmarkEnd w:id="9"/>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9"/>
          <w:footerReference w:type="first" r:id="rId10"/>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E617E2" w:rsidP="00F92355">
            <w:pPr>
              <w:pStyle w:val="NormalHeadings"/>
              <w:jc w:val="right"/>
            </w:pPr>
            <w:r>
              <w:t>VID</w:t>
            </w:r>
            <w:r w:rsidR="00F42CEA">
              <w:t xml:space="preserve"> </w:t>
            </w:r>
            <w:r>
              <w:t>1240 of 2018</w:t>
            </w:r>
          </w:p>
        </w:tc>
      </w:tr>
      <w:tr w:rsidR="00A76C13" w:rsidTr="00F461A4">
        <w:tc>
          <w:tcPr>
            <w:tcW w:w="9242" w:type="dxa"/>
            <w:gridSpan w:val="3"/>
          </w:tcPr>
          <w:p w:rsidR="00A76C13" w:rsidRPr="00A76C13" w:rsidRDefault="00A2083C" w:rsidP="00A2083C">
            <w:pPr>
              <w:pStyle w:val="NormalHeadings"/>
              <w:jc w:val="left"/>
            </w:pPr>
            <w:bookmarkStart w:id="10" w:name="InTheMatterOf"/>
            <w:r>
              <w:t xml:space="preserve"> </w:t>
            </w:r>
            <w:bookmarkEnd w:id="10"/>
          </w:p>
        </w:tc>
      </w:tr>
      <w:tr w:rsidR="00A46CCC" w:rsidTr="005041F0">
        <w:trPr>
          <w:trHeight w:val="386"/>
        </w:trPr>
        <w:tc>
          <w:tcPr>
            <w:tcW w:w="2376" w:type="dxa"/>
          </w:tcPr>
          <w:p w:rsidR="00A46CCC" w:rsidRDefault="00A46CCC" w:rsidP="005041F0">
            <w:pPr>
              <w:pStyle w:val="NormalHeadings"/>
              <w:jc w:val="left"/>
              <w:rPr>
                <w:caps/>
                <w:szCs w:val="24"/>
              </w:rPr>
            </w:pPr>
            <w:bookmarkStart w:id="11" w:name="Parties"/>
            <w:r>
              <w:rPr>
                <w:caps/>
                <w:szCs w:val="24"/>
              </w:rPr>
              <w:t>BETWEEN:</w:t>
            </w:r>
          </w:p>
        </w:tc>
        <w:tc>
          <w:tcPr>
            <w:tcW w:w="6866" w:type="dxa"/>
            <w:gridSpan w:val="2"/>
          </w:tcPr>
          <w:p w:rsidR="00A2083C" w:rsidRDefault="00A2083C" w:rsidP="00A2083C">
            <w:pPr>
              <w:pStyle w:val="NormalHeadings"/>
              <w:jc w:val="left"/>
            </w:pPr>
            <w:bookmarkStart w:id="12" w:name="Applicant"/>
            <w:r>
              <w:t>HENLEY ARCH PTY LTD</w:t>
            </w:r>
          </w:p>
          <w:p w:rsidR="00A2083C" w:rsidRDefault="00A2083C" w:rsidP="00A2083C">
            <w:pPr>
              <w:pStyle w:val="PartyType"/>
            </w:pPr>
            <w:r>
              <w:t>Applicant</w:t>
            </w:r>
          </w:p>
          <w:bookmarkEnd w:id="12"/>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A2083C" w:rsidRDefault="00A2083C" w:rsidP="00A2083C">
            <w:pPr>
              <w:pStyle w:val="NormalHeadings"/>
              <w:jc w:val="left"/>
            </w:pPr>
            <w:bookmarkStart w:id="13" w:name="Respondent"/>
            <w:r>
              <w:t>HENLEY CONSTRUCTIONS PTY LTD</w:t>
            </w:r>
          </w:p>
          <w:p w:rsidR="00A2083C" w:rsidRDefault="00A2083C" w:rsidP="00A2083C">
            <w:pPr>
              <w:pStyle w:val="PartyType"/>
            </w:pPr>
            <w:r>
              <w:t>First Respondent</w:t>
            </w:r>
          </w:p>
          <w:p w:rsidR="00A2083C" w:rsidRDefault="00A2083C" w:rsidP="005041F0">
            <w:pPr>
              <w:pStyle w:val="NormalHeadings"/>
              <w:jc w:val="left"/>
              <w:rPr>
                <w:szCs w:val="24"/>
              </w:rPr>
            </w:pPr>
          </w:p>
          <w:p w:rsidR="00A2083C" w:rsidRDefault="00A2083C" w:rsidP="00A2083C">
            <w:pPr>
              <w:pStyle w:val="NormalHeadings"/>
              <w:jc w:val="left"/>
            </w:pPr>
            <w:r>
              <w:t>PATRICK SARKIS</w:t>
            </w:r>
          </w:p>
          <w:p w:rsidR="00A2083C" w:rsidRDefault="00A2083C" w:rsidP="00A2083C">
            <w:pPr>
              <w:pStyle w:val="PartyType"/>
            </w:pPr>
            <w:r>
              <w:t>Second Respondent</w:t>
            </w:r>
          </w:p>
          <w:bookmarkEnd w:id="13"/>
          <w:p w:rsidR="00A46CCC" w:rsidRPr="006555B4" w:rsidRDefault="00A46CCC" w:rsidP="005041F0">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5" w:name="JudgeText"/>
            <w:r>
              <w:rPr>
                <w:caps/>
                <w:szCs w:val="24"/>
              </w:rPr>
              <w:t>order made by</w:t>
            </w:r>
            <w:bookmarkEnd w:id="15"/>
            <w:r w:rsidR="002C7385">
              <w:rPr>
                <w:caps/>
                <w:szCs w:val="24"/>
              </w:rPr>
              <w:t>:</w:t>
            </w:r>
          </w:p>
        </w:tc>
        <w:tc>
          <w:tcPr>
            <w:tcW w:w="6866" w:type="dxa"/>
          </w:tcPr>
          <w:p w:rsidR="00395B24" w:rsidRDefault="00A2083C">
            <w:pPr>
              <w:pStyle w:val="NormalHeadings"/>
              <w:jc w:val="left"/>
              <w:rPr>
                <w:caps/>
                <w:szCs w:val="24"/>
              </w:rPr>
            </w:pPr>
            <w:bookmarkStart w:id="16" w:name="Judge"/>
            <w:r>
              <w:rPr>
                <w:caps/>
                <w:szCs w:val="24"/>
              </w:rPr>
              <w:t>ANDERSON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E617E2">
            <w:pPr>
              <w:pStyle w:val="NormalHeadings"/>
              <w:jc w:val="left"/>
              <w:rPr>
                <w:caps/>
                <w:szCs w:val="24"/>
              </w:rPr>
            </w:pPr>
            <w:bookmarkStart w:id="17" w:name="Judgment_Dated"/>
            <w:bookmarkEnd w:id="17"/>
            <w:r>
              <w:rPr>
                <w:caps/>
                <w:szCs w:val="24"/>
              </w:rPr>
              <w:t>20 April 2022</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w:t>
      </w:r>
    </w:p>
    <w:p w:rsidR="007F60DF" w:rsidRDefault="007F60DF" w:rsidP="00243E5E">
      <w:pPr>
        <w:pStyle w:val="NormalHeadings"/>
      </w:pPr>
    </w:p>
    <w:p w:rsidR="001A6C52" w:rsidRDefault="00693A85" w:rsidP="001A6C52">
      <w:pPr>
        <w:pStyle w:val="Order1"/>
      </w:pPr>
      <w:r>
        <w:t>A</w:t>
      </w:r>
      <w:r w:rsidR="000F3DFA" w:rsidRPr="00903B4B">
        <w:t xml:space="preserve"> stay of </w:t>
      </w:r>
      <w:r w:rsidR="000F3DFA">
        <w:t>order 9 of the orders made on 25 November 2021 until the latter of the determination of the appeal VID737/2021 or the appeal VID164/2022.</w:t>
      </w:r>
    </w:p>
    <w:p w:rsidR="000F3DFA" w:rsidRDefault="00693A85" w:rsidP="001A6C52">
      <w:pPr>
        <w:pStyle w:val="Order1"/>
      </w:pPr>
      <w:r>
        <w:t>A</w:t>
      </w:r>
      <w:r w:rsidR="000F3DFA">
        <w:t xml:space="preserve"> stay of orders 1 and 2 of the orders made on 17 March 2022 until the latter of the determination of the appeal VID737/2021 or the appeal VID164/2022</w:t>
      </w:r>
      <w:r w:rsidR="00077D65">
        <w:t>.</w:t>
      </w:r>
    </w:p>
    <w:p w:rsidR="001A6C52" w:rsidRDefault="001A6C52" w:rsidP="001A6C52">
      <w:pPr>
        <w:pStyle w:val="BodyText"/>
      </w:pPr>
    </w:p>
    <w:p w:rsidR="00A431E6" w:rsidRDefault="00A431E6" w:rsidP="001A6C52">
      <w:pPr>
        <w:pStyle w:val="BodyText"/>
      </w:pPr>
    </w:p>
    <w:p w:rsidR="0050309C" w:rsidRDefault="00A2083C" w:rsidP="004D53E5">
      <w:pPr>
        <w:pStyle w:val="SingleSpace"/>
      </w:pPr>
      <w:bookmarkStart w:id="18" w:name="OrdersStatement"/>
      <w:r>
        <w:t>Note:</w:t>
      </w:r>
      <w:r>
        <w:tab/>
        <w:t xml:space="preserve">Entry of orders is dealt with in Rule 39.32 of the </w:t>
      </w:r>
      <w:r>
        <w:rPr>
          <w:i/>
        </w:rPr>
        <w:t>Federal Court Rules 2011</w:t>
      </w:r>
      <w:r>
        <w:t>.</w:t>
      </w:r>
      <w:bookmarkEnd w:id="18"/>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CD1346" w:rsidRPr="007F3C3A" w:rsidRDefault="00A2083C" w:rsidP="007F3C3A">
      <w:pPr>
        <w:pStyle w:val="NormalHeadings"/>
        <w:spacing w:line="360" w:lineRule="auto"/>
        <w:jc w:val="left"/>
        <w:rPr>
          <w:sz w:val="26"/>
          <w:szCs w:val="26"/>
        </w:rPr>
      </w:pPr>
      <w:r>
        <w:rPr>
          <w:sz w:val="26"/>
          <w:szCs w:val="26"/>
        </w:rPr>
        <w:t>ANDERSON J</w:t>
      </w:r>
      <w:r w:rsidR="00E617E2">
        <w:rPr>
          <w:sz w:val="26"/>
          <w:szCs w:val="26"/>
        </w:rPr>
        <w:t>:</w:t>
      </w:r>
    </w:p>
    <w:p w:rsidR="00A2083C" w:rsidRDefault="007F3C3A" w:rsidP="00A2083C">
      <w:pPr>
        <w:pStyle w:val="ParaNumbering"/>
      </w:pPr>
      <w:r>
        <w:t>By interlocutory application dated 6 April 2022, the Respondents and Cross-Claimant seek a stay of order 9 of the orders made on 25 November 2021 until the latter of the determination of the appeal VID737/2021 or the appeal VID164/2022.  The Respondents and C</w:t>
      </w:r>
      <w:r w:rsidR="00BA0471">
        <w:t>ross-Claimant</w:t>
      </w:r>
      <w:r>
        <w:t xml:space="preserve"> also seek a stay of orders 1 and 2 of the orders made on 17 March 2022 until the latter of the determination of the appeal VID737/2021 or the appeal VID164/2022</w:t>
      </w:r>
      <w:r w:rsidR="00BA0471">
        <w:t xml:space="preserve"> (collectively, the </w:t>
      </w:r>
      <w:r w:rsidR="00BA0471" w:rsidRPr="00BA0471">
        <w:rPr>
          <w:b/>
        </w:rPr>
        <w:t>Cost</w:t>
      </w:r>
      <w:r w:rsidR="00BA0471">
        <w:t xml:space="preserve"> </w:t>
      </w:r>
      <w:r w:rsidR="00BA0471">
        <w:rPr>
          <w:b/>
        </w:rPr>
        <w:t>Orders</w:t>
      </w:r>
      <w:r w:rsidR="00BA0471">
        <w:t>)</w:t>
      </w:r>
      <w:r>
        <w:t>.</w:t>
      </w:r>
    </w:p>
    <w:p w:rsidR="00EC532E" w:rsidRPr="00903B4B" w:rsidRDefault="006B6E66" w:rsidP="00903B4B">
      <w:pPr>
        <w:pStyle w:val="ParaNumbering"/>
        <w:tabs>
          <w:tab w:val="clear" w:pos="720"/>
        </w:tabs>
        <w:rPr>
          <w:b/>
        </w:rPr>
      </w:pPr>
      <w:r>
        <w:t xml:space="preserve">I made the </w:t>
      </w:r>
      <w:r w:rsidR="00BA0471">
        <w:t xml:space="preserve">Cost Orders </w:t>
      </w:r>
      <w:r w:rsidR="00B56664">
        <w:t>after</w:t>
      </w:r>
      <w:r w:rsidR="00BA0471">
        <w:t xml:space="preserve"> determining liability in</w:t>
      </w:r>
      <w:r w:rsidR="00B56664">
        <w:t xml:space="preserve"> favour of the Applicant and Cross-Respondent in</w:t>
      </w:r>
      <w:r w:rsidR="00BA0471">
        <w:t xml:space="preserve"> </w:t>
      </w:r>
      <w:hyperlink r:id="rId15" w:tooltip="Henley Arch Pty Ltd v Henley Constructions Pty Ltd [2021] FCA 1369" w:history="1">
        <w:r w:rsidR="00B56664" w:rsidRPr="00AD0284">
          <w:rPr>
            <w:i/>
          </w:rPr>
          <w:t>Henley Arch Pty Ltd v Henley Constructions Pty Ltd</w:t>
        </w:r>
        <w:r w:rsidR="00B56664" w:rsidRPr="00AD0284">
          <w:t xml:space="preserve"> [2021] FCA 1369</w:t>
        </w:r>
      </w:hyperlink>
      <w:r w:rsidR="00BC3DB6">
        <w:t xml:space="preserve"> (</w:t>
      </w:r>
      <w:r w:rsidR="00BC3DB6">
        <w:rPr>
          <w:b/>
        </w:rPr>
        <w:t xml:space="preserve">Liability </w:t>
      </w:r>
      <w:r w:rsidR="00516E53">
        <w:rPr>
          <w:b/>
        </w:rPr>
        <w:t>J</w:t>
      </w:r>
      <w:r w:rsidR="00BC3DB6">
        <w:rPr>
          <w:b/>
        </w:rPr>
        <w:t>udgment</w:t>
      </w:r>
      <w:r w:rsidR="00BC3DB6">
        <w:t>)</w:t>
      </w:r>
      <w:r w:rsidR="00B56664">
        <w:t xml:space="preserve"> </w:t>
      </w:r>
      <w:r w:rsidR="00BA0471">
        <w:t>on 25 November 2021</w:t>
      </w:r>
      <w:r w:rsidR="00B56664">
        <w:t>.</w:t>
      </w:r>
      <w:r w:rsidR="00BA0471">
        <w:t xml:space="preserve"> </w:t>
      </w:r>
    </w:p>
    <w:p w:rsidR="00086601" w:rsidRDefault="00086601" w:rsidP="00A2083C">
      <w:pPr>
        <w:pStyle w:val="ParaNumbering"/>
      </w:pPr>
      <w:r>
        <w:t xml:space="preserve">The Respondents and Cross-Claimant have </w:t>
      </w:r>
      <w:r w:rsidR="00BC3DB6">
        <w:t xml:space="preserve">since </w:t>
      </w:r>
      <w:r>
        <w:t>appealed or sought leave to appeal the orders in the Liability Judgment together with the Cost Orders.</w:t>
      </w:r>
    </w:p>
    <w:p w:rsidR="00BA0471" w:rsidRDefault="00BA0471" w:rsidP="00A2083C">
      <w:pPr>
        <w:pStyle w:val="ParaNumbering"/>
      </w:pPr>
      <w:r>
        <w:t>The Respondents and Cross-Claimant</w:t>
      </w:r>
      <w:r w:rsidR="0092498E">
        <w:t>,</w:t>
      </w:r>
      <w:r>
        <w:t xml:space="preserve"> in support</w:t>
      </w:r>
      <w:r w:rsidR="005A45B3">
        <w:t xml:space="preserve"> of their application to</w:t>
      </w:r>
      <w:r>
        <w:t xml:space="preserve"> stay the Cost Orders</w:t>
      </w:r>
      <w:r w:rsidR="0092498E">
        <w:t>,</w:t>
      </w:r>
      <w:r>
        <w:t xml:space="preserve"> rely upon an affidavit of Lance Newman Scott affirmed 6 April 2022 together with </w:t>
      </w:r>
      <w:r w:rsidR="004B51C3">
        <w:t xml:space="preserve">written </w:t>
      </w:r>
      <w:r>
        <w:t>submissions dated 12 April 2022.</w:t>
      </w:r>
    </w:p>
    <w:p w:rsidR="00BA0471" w:rsidRDefault="00BA0471" w:rsidP="00A2083C">
      <w:pPr>
        <w:pStyle w:val="ParaNumbering"/>
      </w:pPr>
      <w:r>
        <w:t>The Applicant and Cross-Respondent filed written submissions opposing the stay of the Cost Orders on 12 April 2022.</w:t>
      </w:r>
    </w:p>
    <w:p w:rsidR="00BA0471" w:rsidRDefault="00BA0471" w:rsidP="00A2083C">
      <w:pPr>
        <w:pStyle w:val="ParaNumbering"/>
      </w:pPr>
      <w:r>
        <w:t>The parties agree</w:t>
      </w:r>
      <w:r w:rsidR="00D32E6B">
        <w:t>d</w:t>
      </w:r>
      <w:r>
        <w:t xml:space="preserve"> that I would determine the stay application in chambers and on the papers.</w:t>
      </w:r>
    </w:p>
    <w:p w:rsidR="00086601" w:rsidRDefault="00086601" w:rsidP="00086601">
      <w:pPr>
        <w:pStyle w:val="Heading1"/>
      </w:pPr>
      <w:r>
        <w:t>consideration</w:t>
      </w:r>
    </w:p>
    <w:p w:rsidR="00086601" w:rsidRDefault="00086601" w:rsidP="00086601">
      <w:pPr>
        <w:pStyle w:val="ParaNumbering"/>
      </w:pPr>
      <w:r>
        <w:t xml:space="preserve">The Court’s discretion to grant a stay pending appeal is “only circumscribed by the need to be satisfied that there be a reason sufficient in the circumstances to warrant the exercise of the discretion in favour of the grant of a stay”: </w:t>
      </w:r>
      <w:r w:rsidRPr="00FD7677">
        <w:rPr>
          <w:i/>
        </w:rPr>
        <w:t>Australian Workers’ Union v Pilkington (</w:t>
      </w:r>
      <w:proofErr w:type="spellStart"/>
      <w:r w:rsidRPr="00FD7677">
        <w:rPr>
          <w:i/>
        </w:rPr>
        <w:t>Aust</w:t>
      </w:r>
      <w:proofErr w:type="spellEnd"/>
      <w:r w:rsidRPr="00FD7677">
        <w:rPr>
          <w:i/>
        </w:rPr>
        <w:t>) Ltd</w:t>
      </w:r>
      <w:r w:rsidRPr="00FD7677">
        <w:t xml:space="preserve"> (2000) 101 FCR 35; [2000] FCA 1169</w:t>
      </w:r>
      <w:r w:rsidRPr="00086601">
        <w:t xml:space="preserve"> per Goldberg, Finkelstein and Weinberg JJ at [10]</w:t>
      </w:r>
      <w:r>
        <w:t>.  Special circumstances</w:t>
      </w:r>
      <w:r w:rsidRPr="00086601">
        <w:t xml:space="preserve"> need not be shown, mere</w:t>
      </w:r>
      <w:r>
        <w:t xml:space="preserve">ly a “sufficient reason” for a grant.  </w:t>
      </w:r>
      <w:r w:rsidRPr="00086601">
        <w:t>In determining whether to grant a stay, and its fair terms, the Court should weigh</w:t>
      </w:r>
      <w:r>
        <w:t xml:space="preserve"> </w:t>
      </w:r>
      <w:r w:rsidRPr="00086601">
        <w:t>“considerations such as the balance of convenience and the competing rights of the parties, in particular whether prejudice will be caused by reason of the grant or withhold</w:t>
      </w:r>
      <w:r>
        <w:t xml:space="preserve">ing of a stay”: </w:t>
      </w:r>
      <w:r w:rsidRPr="00FD7677">
        <w:rPr>
          <w:i/>
        </w:rPr>
        <w:t>Philip Morris (</w:t>
      </w:r>
      <w:proofErr w:type="spellStart"/>
      <w:r w:rsidRPr="00FD7677">
        <w:rPr>
          <w:i/>
        </w:rPr>
        <w:t>Aust</w:t>
      </w:r>
      <w:proofErr w:type="spellEnd"/>
      <w:r w:rsidRPr="00FD7677">
        <w:rPr>
          <w:i/>
        </w:rPr>
        <w:t>) Ltd v Nixon</w:t>
      </w:r>
      <w:r w:rsidRPr="00FD7677">
        <w:t xml:space="preserve"> [1999] FCA 1281</w:t>
      </w:r>
      <w:r w:rsidRPr="00086601">
        <w:t xml:space="preserve"> per Sackville, Hely and Gyles JJ at [17]</w:t>
      </w:r>
      <w:r>
        <w:t>.</w:t>
      </w:r>
    </w:p>
    <w:p w:rsidR="006739E4" w:rsidRDefault="00424035" w:rsidP="00424035">
      <w:pPr>
        <w:pStyle w:val="ParaNumbering"/>
      </w:pPr>
      <w:r>
        <w:lastRenderedPageBreak/>
        <w:t xml:space="preserve">The principles to be applied in </w:t>
      </w:r>
      <w:r w:rsidRPr="00424035">
        <w:t xml:space="preserve">considering a stay </w:t>
      </w:r>
      <w:r w:rsidR="006739E4">
        <w:t xml:space="preserve">were </w:t>
      </w:r>
      <w:r>
        <w:t xml:space="preserve">more recently considered </w:t>
      </w:r>
      <w:r w:rsidRPr="00424035">
        <w:t xml:space="preserve">by Katzmann J in </w:t>
      </w:r>
      <w:r w:rsidRPr="00FD7677">
        <w:rPr>
          <w:i/>
        </w:rPr>
        <w:t>In-N-Out Burgers, Inc v Hashtag Burgers Pty Ltd (No 2)</w:t>
      </w:r>
      <w:r w:rsidRPr="00FD7677">
        <w:t xml:space="preserve"> [2020] FCA 772</w:t>
      </w:r>
      <w:r w:rsidRPr="00424035">
        <w:t xml:space="preserve"> at [25]</w:t>
      </w:r>
      <w:r w:rsidR="00377A8A">
        <w:t>:</w:t>
      </w:r>
      <w:r w:rsidRPr="00424035">
        <w:t xml:space="preserve"> </w:t>
      </w:r>
    </w:p>
    <w:p w:rsidR="00377A8A" w:rsidRDefault="00377A8A" w:rsidP="00903B4B">
      <w:pPr>
        <w:pStyle w:val="Quote1"/>
      </w:pPr>
      <w:r w:rsidRPr="00377A8A">
        <w:t>The Court has a broad discretion and special circumstances are not required. But the judgment is not to be treated as provisional. The successful party is entitled to its benefit and the presumption that it is correct. Consequently, the applicant for a stay carries the burden of demonstrating that a stay is appropriate. A stay should not be granted unless the appeal is at least arguable, although speculation as to its prospects of success is usually inappropriate. Without more, however, an arguable case is not sufficient justification for a stay. In the exercise of the discretion, the court will weigh up such factors as the balance of convenience and the competing rights of the parties, including, in particular, any prejudice to the parties that would be caused by granting or refusing a stay. A substantial factor in favour of a stay is the risk that, without a stay, the appeal would be rendered nugatory.</w:t>
      </w:r>
    </w:p>
    <w:p w:rsidR="00086601" w:rsidRDefault="003A2983" w:rsidP="00424035">
      <w:pPr>
        <w:pStyle w:val="ParaNumbering"/>
      </w:pPr>
      <w:r>
        <w:t>Mindful of th</w:t>
      </w:r>
      <w:r w:rsidR="006739E4">
        <w:t>e</w:t>
      </w:r>
      <w:r w:rsidR="0057294E">
        <w:t xml:space="preserve"> above</w:t>
      </w:r>
      <w:r>
        <w:t xml:space="preserve"> principles, I am satisfied that this is an appropriate case in which to grant a stay of the Cost Orders pending the determination of the appeals VID737/2021 and VID164/2022</w:t>
      </w:r>
      <w:r w:rsidR="0057294E">
        <w:t>.  This is so</w:t>
      </w:r>
      <w:r>
        <w:t xml:space="preserve"> for the </w:t>
      </w:r>
      <w:r w:rsidR="00BC05A3">
        <w:t xml:space="preserve">reasons that </w:t>
      </w:r>
      <w:r>
        <w:t>follow.</w:t>
      </w:r>
    </w:p>
    <w:p w:rsidR="003A2983" w:rsidRDefault="003A2983" w:rsidP="00424035">
      <w:pPr>
        <w:pStyle w:val="ParaNumbering"/>
      </w:pPr>
      <w:r>
        <w:t xml:space="preserve">The appeals are to be heard by the Full Court </w:t>
      </w:r>
      <w:r w:rsidR="006739E4">
        <w:t xml:space="preserve">in about three weeks’ time, </w:t>
      </w:r>
      <w:r>
        <w:t>on 4 and 5 May 2022.  The Applicant and Cros</w:t>
      </w:r>
      <w:r w:rsidR="005A45B3">
        <w:t>s-Respondent presently estimate</w:t>
      </w:r>
      <w:r>
        <w:t xml:space="preserve"> the assessable costs under the Cost Orders would be approximately $1,530,000 exclusive of GST and any applicable interest.  I accept the evidence of the Respondents and Cross-Claimant’s solicitor, Lance Newman Scott, that considerable work and legal costs will be involved together with the resources of the Registrar of the Court in assessing a lump sum cost order. </w:t>
      </w:r>
    </w:p>
    <w:p w:rsidR="003A2983" w:rsidRDefault="003A2983" w:rsidP="00424035">
      <w:pPr>
        <w:pStyle w:val="ParaNumbering"/>
      </w:pPr>
      <w:r>
        <w:t>Mr Scott, in an email sent 7 February 2022, has identified various financial information of the Respondents and Cross-Claimant which indicates that as at 30 June 2020 those entities had a net asset position of $2,276,356.  Mr Scott, in this email also, identifies other unencumbered assets together with bank statements from 1 November 2021 to 3 February 2022 which disclose case balances of over $230,000.</w:t>
      </w:r>
    </w:p>
    <w:p w:rsidR="003A2983" w:rsidRDefault="003A2983" w:rsidP="00424035">
      <w:pPr>
        <w:pStyle w:val="ParaNumbering"/>
      </w:pPr>
      <w:r>
        <w:t>Mr Scott also deposes to there being no reason to doubt the Respondents and Cross-Claimant being more than capable of paying any costs that are the subject of the Cost Orders if the appeals are unsuccessful.</w:t>
      </w:r>
    </w:p>
    <w:p w:rsidR="003A2983" w:rsidRDefault="003A2983" w:rsidP="00424035">
      <w:pPr>
        <w:pStyle w:val="ParaNumbering"/>
      </w:pPr>
      <w:r>
        <w:t>The issues in the Liability Judgment are complex and the Respondents and Cross-Claimant’s appeal is at least arguable on that basis.</w:t>
      </w:r>
    </w:p>
    <w:p w:rsidR="003A2983" w:rsidRDefault="003A2983" w:rsidP="00424035">
      <w:pPr>
        <w:pStyle w:val="ParaNumbering"/>
      </w:pPr>
      <w:r>
        <w:t xml:space="preserve">Weighing such factors as the balance of convenience and the competing rights of the parties and any prejudice that will be caused by granting or refusing the stay, I am satisfied that such </w:t>
      </w:r>
      <w:r>
        <w:lastRenderedPageBreak/>
        <w:t>factors weigh in favour of granting the stay of the Cost Orders.  That is so, because it is likely that the appeals</w:t>
      </w:r>
      <w:r w:rsidR="005A45B3">
        <w:t>,</w:t>
      </w:r>
      <w:r>
        <w:t xml:space="preserve"> which are to be heard on 4 and 5 May 2022, will be determined sometime this year.  The Respondents and Cross-Claimant have the financial resources to meet the Cost Orders.  In those circumstances, the prejudice to the Applicant and Cross-Respondent is minimal.  The costs of assessing the lump sum Cost Orders are likely to be not inconsiderable and will occupy the resources of the Court in the form of the Registrar’s time to hear and determine the Cost Orders which will be wasted in the event that the appeals are successful.</w:t>
      </w:r>
    </w:p>
    <w:p w:rsidR="003A2983" w:rsidRDefault="003A2983" w:rsidP="00424035">
      <w:pPr>
        <w:pStyle w:val="ParaNumbering"/>
      </w:pPr>
      <w:r>
        <w:t>For these reasons I am satisfied that it is appropriate to exercise the Court’s discretion to grant a stay pending appeal.</w:t>
      </w:r>
    </w:p>
    <w:p w:rsidR="003A2983" w:rsidRDefault="003A2983" w:rsidP="003A2983">
      <w:pPr>
        <w:pStyle w:val="Heading1"/>
      </w:pPr>
      <w:r>
        <w:t>disposition</w:t>
      </w:r>
    </w:p>
    <w:p w:rsidR="000F3DFA" w:rsidRDefault="000F3DFA" w:rsidP="000F3DFA">
      <w:pPr>
        <w:pStyle w:val="ParaNumbering"/>
      </w:pPr>
      <w:r>
        <w:t>I</w:t>
      </w:r>
      <w:r w:rsidRPr="00B71A17">
        <w:t xml:space="preserve"> will grant a stay of </w:t>
      </w:r>
      <w:r>
        <w:t>order 9 of the orders made on 25 November 2021 until the latter of the determination of the appeal VID737/2021 or the appeal VID164/2022.</w:t>
      </w:r>
    </w:p>
    <w:p w:rsidR="003A2983" w:rsidRDefault="000F3DFA" w:rsidP="000F3DFA">
      <w:pPr>
        <w:pStyle w:val="ParaNumbering"/>
      </w:pPr>
      <w:r>
        <w:t>I</w:t>
      </w:r>
      <w:r w:rsidRPr="00B71A17">
        <w:t xml:space="preserve"> will grant a</w:t>
      </w:r>
      <w:r>
        <w:t xml:space="preserve"> stay of orders 1 and 2 of the orders made on 17 March 2022 until the latter of the determination of the appeal VID737/2021 or the appeal VID164/2022.</w:t>
      </w:r>
    </w:p>
    <w:tbl>
      <w:tblPr>
        <w:tblW w:w="0" w:type="auto"/>
        <w:tblLook w:val="04A0" w:firstRow="1" w:lastRow="0" w:firstColumn="1" w:lastColumn="0" w:noHBand="0" w:noVBand="1"/>
      </w:tblPr>
      <w:tblGrid>
        <w:gridCol w:w="3794"/>
      </w:tblGrid>
      <w:tr w:rsidR="00FD7677" w:rsidRPr="00FD7677">
        <w:tc>
          <w:tcPr>
            <w:tcW w:w="3794" w:type="dxa"/>
            <w:shd w:val="clear" w:color="auto" w:fill="auto"/>
          </w:tcPr>
          <w:p w:rsidR="00FD7677" w:rsidRPr="00FD7677" w:rsidRDefault="00FD7677">
            <w:pPr>
              <w:pStyle w:val="Normal1linespace"/>
            </w:pPr>
            <w:bookmarkStart w:id="20" w:name="Certification"/>
            <w:r w:rsidRPr="00FD7677">
              <w:t xml:space="preserve">I certify that the preceding </w:t>
            </w:r>
            <w:bookmarkStart w:id="21" w:name="NumberWord"/>
            <w:r w:rsidR="000F3DFA">
              <w:t>seven</w:t>
            </w:r>
            <w:r>
              <w:t>teen</w:t>
            </w:r>
            <w:bookmarkEnd w:id="21"/>
            <w:r w:rsidRPr="00FD7677">
              <w:t xml:space="preserve"> (</w:t>
            </w:r>
            <w:bookmarkStart w:id="22" w:name="NumberNumeral"/>
            <w:r>
              <w:t>1</w:t>
            </w:r>
            <w:r w:rsidR="000F3DFA">
              <w:t>7</w:t>
            </w:r>
            <w:bookmarkEnd w:id="22"/>
            <w:r w:rsidRPr="00FD7677">
              <w:t xml:space="preserve">) numbered </w:t>
            </w:r>
            <w:bookmarkStart w:id="23" w:name="CertPara"/>
            <w:r>
              <w:t>paragraphs are</w:t>
            </w:r>
            <w:bookmarkEnd w:id="23"/>
            <w:r w:rsidRPr="00FD7677">
              <w:t xml:space="preserve"> a true copy of the Reasons for Judgment of </w:t>
            </w:r>
            <w:bookmarkStart w:id="24" w:name="bkHonourable"/>
            <w:r w:rsidRPr="00FD7677">
              <w:t xml:space="preserve">the Honourable </w:t>
            </w:r>
            <w:bookmarkStart w:id="25" w:name="Justice"/>
            <w:bookmarkEnd w:id="24"/>
            <w:r>
              <w:t>Justice Anderson</w:t>
            </w:r>
            <w:bookmarkEnd w:id="25"/>
            <w:r w:rsidRPr="00FD7677">
              <w:t>.</w:t>
            </w:r>
          </w:p>
        </w:tc>
      </w:tr>
    </w:tbl>
    <w:p w:rsidR="00FD7677" w:rsidRDefault="00FD7677" w:rsidP="00815065">
      <w:pPr>
        <w:pStyle w:val="BodyText"/>
      </w:pPr>
    </w:p>
    <w:p w:rsidR="00FD7677" w:rsidRDefault="00FD7677" w:rsidP="00815065">
      <w:pPr>
        <w:pStyle w:val="BodyText"/>
      </w:pPr>
      <w:r>
        <w:t xml:space="preserve">Associate: </w:t>
      </w:r>
      <w:bookmarkStart w:id="26" w:name="_GoBack"/>
      <w:bookmarkEnd w:id="26"/>
    </w:p>
    <w:p w:rsidR="00FD7677" w:rsidRDefault="00FD7677" w:rsidP="00815065">
      <w:pPr>
        <w:pStyle w:val="BodyText"/>
      </w:pPr>
    </w:p>
    <w:p w:rsidR="00FD7677" w:rsidRDefault="00FD7677" w:rsidP="00815065">
      <w:pPr>
        <w:pStyle w:val="BodyText"/>
        <w:tabs>
          <w:tab w:val="left" w:pos="1134"/>
        </w:tabs>
      </w:pPr>
      <w:r>
        <w:t>Dated:</w:t>
      </w:r>
      <w:r>
        <w:tab/>
      </w:r>
      <w:bookmarkStart w:id="27" w:name="CertifyDated"/>
      <w:r>
        <w:t>20 April 2022</w:t>
      </w:r>
      <w:bookmarkEnd w:id="27"/>
    </w:p>
    <w:p w:rsidR="00FD7677" w:rsidRDefault="00FD7677" w:rsidP="00815065">
      <w:pPr>
        <w:pStyle w:val="BodyText"/>
      </w:pPr>
    </w:p>
    <w:bookmarkEnd w:id="20"/>
    <w:p w:rsidR="00FD7677" w:rsidRPr="003A2983" w:rsidRDefault="00FD7677" w:rsidP="00903B4B">
      <w:pPr>
        <w:pStyle w:val="BodyText"/>
      </w:pPr>
    </w:p>
    <w:p w:rsidR="00A2083C" w:rsidRPr="00903B4B" w:rsidRDefault="00A2083C" w:rsidP="00A2083C">
      <w:pPr>
        <w:pStyle w:val="ParaNumbering"/>
        <w:numPr>
          <w:ilvl w:val="0"/>
          <w:numId w:val="0"/>
        </w:numPr>
        <w:rPr>
          <w:highlight w:val="yellow"/>
        </w:rPr>
      </w:pPr>
    </w:p>
    <w:p w:rsidR="00A2083C" w:rsidRPr="00A2083C" w:rsidRDefault="00A2083C" w:rsidP="00D80BF5">
      <w:pPr>
        <w:spacing w:line="240" w:lineRule="auto"/>
        <w:jc w:val="left"/>
      </w:pPr>
    </w:p>
    <w:sectPr w:rsidR="00A2083C" w:rsidRPr="00A2083C" w:rsidSect="00A84FD0">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810" w:rsidRDefault="00D41810">
      <w:pPr>
        <w:spacing w:line="20" w:lineRule="exact"/>
      </w:pPr>
    </w:p>
    <w:p w:rsidR="00D41810" w:rsidRDefault="00D41810"/>
    <w:p w:rsidR="00D41810" w:rsidRDefault="00D41810"/>
  </w:endnote>
  <w:endnote w:type="continuationSeparator" w:id="0">
    <w:p w:rsidR="00D41810" w:rsidRDefault="00D41810">
      <w:r>
        <w:t xml:space="preserve"> </w:t>
      </w:r>
    </w:p>
    <w:p w:rsidR="00D41810" w:rsidRDefault="00D41810"/>
    <w:p w:rsidR="00D41810" w:rsidRDefault="00D41810"/>
  </w:endnote>
  <w:endnote w:type="continuationNotice" w:id="1">
    <w:p w:rsidR="00D41810" w:rsidRDefault="00D41810">
      <w:r>
        <w:t xml:space="preserve"> </w:t>
      </w:r>
    </w:p>
    <w:p w:rsidR="00D41810" w:rsidRDefault="00D41810"/>
    <w:p w:rsidR="00D41810" w:rsidRDefault="00D41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1D20C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DF28B1">
          <w:rPr>
            <w:bCs/>
            <w:sz w:val="18"/>
            <w:szCs w:val="18"/>
          </w:rPr>
          <w:t xml:space="preserve">Henley Arch Pty Ltd v Henley Constructions Pty Ltd (No 3) [2022] FCA 408   </w:t>
        </w:r>
      </w:sdtContent>
    </w:sdt>
  </w:p>
  <w:p w:rsidR="006C6E39" w:rsidRPr="00A436E8" w:rsidRDefault="00A436E8" w:rsidP="00A436E8">
    <w:pPr>
      <w:pStyle w:val="Footer"/>
      <w:jc w:val="center"/>
      <w:rPr>
        <w:sz w:val="28"/>
      </w:rPr>
    </w:pPr>
    <w:r>
      <w:rPr>
        <w:b/>
        <w:sz w:val="28"/>
      </w:rPr>
      <w:t>DRAFT - Judgment Template v.1</w:t>
    </w:r>
    <w:r w:rsidR="009D328D">
      <w:rPr>
        <w:b/>
        <w:sz w:val="28"/>
      </w:rPr>
      <w:t>.</w:t>
    </w:r>
    <w:r w:rsidR="00213F20">
      <w:rPr>
        <w:b/>
        <w:sz w:val="28"/>
      </w:rPr>
      <w:t>3</w:t>
    </w:r>
    <w:r>
      <w:rPr>
        <w:b/>
        <w:sz w:val="28"/>
      </w:rPr>
      <w:t xml:space="preserve"> - </w:t>
    </w:r>
    <w:r>
      <w:rPr>
        <w:b/>
        <w:sz w:val="28"/>
      </w:rPr>
      <w:fldChar w:fldCharType="begin"/>
    </w:r>
    <w:r>
      <w:rPr>
        <w:b/>
        <w:sz w:val="28"/>
      </w:rPr>
      <w:instrText xml:space="preserve"> DATE  \@ "d MMMM yyyy"  \* MERGEFORMAT </w:instrText>
    </w:r>
    <w:r>
      <w:rPr>
        <w:b/>
        <w:sz w:val="28"/>
      </w:rPr>
      <w:fldChar w:fldCharType="separate"/>
    </w:r>
    <w:r w:rsidR="00E252BC">
      <w:rPr>
        <w:b/>
        <w:noProof/>
        <w:sz w:val="28"/>
      </w:rPr>
      <w:t>20 April 2022</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E252BC">
      <w:rPr>
        <w:b/>
        <w:noProof/>
        <w:sz w:val="28"/>
      </w:rPr>
      <w:t>1:16 PM</w:t>
    </w:r>
    <w:r>
      <w:rPr>
        <w:b/>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A436E8" w:rsidRDefault="00395B24"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A1B9A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60B9561BE33B4DB38B07F0EA5C8CBEC1"/>
        </w:placeholder>
        <w:dataBinding w:prefixMappings="xmlns:ns0='http://schemas.globalmacros.com/FCA'" w:xpath="/ns0:root[1]/ns0:Name[1]" w:storeItemID="{687E7CCB-4AA5-44E7-B148-17BA2B6F57C0}"/>
        <w:text w:multiLine="1"/>
      </w:sdtPr>
      <w:sdtEndPr/>
      <w:sdtContent>
        <w:r w:rsidR="00DF28B1">
          <w:rPr>
            <w:bCs/>
            <w:sz w:val="18"/>
            <w:szCs w:val="18"/>
          </w:rPr>
          <w:t xml:space="preserve">Henley Arch Pty Ltd v Henley Constructions Pty Ltd (No 3) [2022] FCA 408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rsidR="00A84FD0" w:rsidRPr="00A84FD0" w:rsidRDefault="00A84FD0" w:rsidP="00A84FD0">
    <w:pPr>
      <w:pStyle w:val="Footer"/>
      <w:jc w:val="center"/>
      <w:rPr>
        <w:sz w:val="28"/>
      </w:rPr>
    </w:pPr>
    <w:r>
      <w:rPr>
        <w:b/>
        <w:sz w:val="28"/>
      </w:rPr>
      <w:t>DRAFT - Judgment Template v.1</w:t>
    </w:r>
    <w:r w:rsidR="009D328D">
      <w:rPr>
        <w:b/>
        <w:sz w:val="28"/>
      </w:rPr>
      <w:t>.</w:t>
    </w:r>
    <w:r w:rsidR="00E23577">
      <w:rPr>
        <w:b/>
        <w:sz w:val="28"/>
      </w:rPr>
      <w:t>3</w:t>
    </w:r>
    <w:r>
      <w:rPr>
        <w:b/>
        <w:sz w:val="28"/>
      </w:rPr>
      <w:t xml:space="preserve"> - </w:t>
    </w:r>
    <w:r>
      <w:rPr>
        <w:b/>
        <w:sz w:val="28"/>
      </w:rPr>
      <w:fldChar w:fldCharType="begin"/>
    </w:r>
    <w:r>
      <w:rPr>
        <w:b/>
        <w:sz w:val="28"/>
      </w:rPr>
      <w:instrText xml:space="preserve"> DATE  \@ "d MMMM yyyy"  \* MERGEFORMAT </w:instrText>
    </w:r>
    <w:r>
      <w:rPr>
        <w:b/>
        <w:sz w:val="28"/>
      </w:rPr>
      <w:fldChar w:fldCharType="separate"/>
    </w:r>
    <w:r w:rsidR="00E252BC">
      <w:rPr>
        <w:b/>
        <w:noProof/>
        <w:sz w:val="28"/>
      </w:rPr>
      <w:t>20 April 2022</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E252BC">
      <w:rPr>
        <w:b/>
        <w:noProof/>
        <w:sz w:val="28"/>
      </w:rPr>
      <w:t>1:16 PM</w:t>
    </w:r>
    <w:r>
      <w:rPr>
        <w:b/>
        <w:sz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872B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29A6CFEB407B45FD98D094A34A2F2F2A"/>
        </w:placeholder>
        <w:dataBinding w:prefixMappings="xmlns:ns0='http://schemas.globalmacros.com/FCA'" w:xpath="/ns0:root[1]/ns0:Name[1]" w:storeItemID="{687E7CCB-4AA5-44E7-B148-17BA2B6F57C0}"/>
        <w:text w:multiLine="1"/>
      </w:sdtPr>
      <w:sdtEndPr/>
      <w:sdtContent>
        <w:r w:rsidR="00DF28B1">
          <w:rPr>
            <w:bCs/>
            <w:sz w:val="18"/>
            <w:szCs w:val="18"/>
          </w:rPr>
          <w:t xml:space="preserve">Henley Arch Pty Ltd v Henley Constructions Pty Ltd (No 3) [2022] FCA 408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252BC">
      <w:rPr>
        <w:bCs/>
        <w:noProof/>
        <w:sz w:val="20"/>
      </w:rPr>
      <w:t>i</w:t>
    </w:r>
    <w:r w:rsidRPr="00EA7F6D">
      <w:rPr>
        <w:bCs/>
        <w:noProof/>
        <w:sz w:val="20"/>
      </w:rPr>
      <w:fldChar w:fldCharType="end"/>
    </w:r>
  </w:p>
  <w:p w:rsidR="00A436E8" w:rsidRPr="00A436E8" w:rsidRDefault="00A436E8" w:rsidP="00A436E8">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EF7A9"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75084EFB0C5C4F44954A35A7F646460A"/>
        </w:placeholder>
        <w:dataBinding w:prefixMappings="xmlns:ns0='http://schemas.globalmacros.com/FCA'" w:xpath="/ns0:root[1]/ns0:Name[1]" w:storeItemID="{687E7CCB-4AA5-44E7-B148-17BA2B6F57C0}"/>
        <w:text w:multiLine="1"/>
      </w:sdtPr>
      <w:sdtEndPr/>
      <w:sdtContent>
        <w:r w:rsidR="00DF28B1">
          <w:rPr>
            <w:bCs/>
            <w:sz w:val="18"/>
            <w:szCs w:val="18"/>
          </w:rPr>
          <w:t xml:space="preserve">Henley Arch Pty Ltd v Henley Constructions Pty Ltd (No 3) [2022] FCA 408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252BC">
      <w:rPr>
        <w:bCs/>
        <w:noProof/>
        <w:sz w:val="20"/>
      </w:rPr>
      <w:t>2</w:t>
    </w:r>
    <w:r w:rsidRPr="00EA7F6D">
      <w:rPr>
        <w:bCs/>
        <w:noProof/>
        <w:sz w:val="20"/>
      </w:rPr>
      <w:fldChar w:fldCharType="end"/>
    </w:r>
  </w:p>
  <w:p w:rsidR="00395B24" w:rsidRPr="00A84FD0" w:rsidRDefault="00395B24" w:rsidP="00A84FD0">
    <w:pPr>
      <w:pStyle w:val="Footer"/>
      <w:jc w:val="center"/>
      <w:rPr>
        <w:sz w:val="2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4E556"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3292F48B303A47D7BB4444E32C75D7B5"/>
        </w:placeholder>
        <w:dataBinding w:prefixMappings="xmlns:ns0='http://schemas.globalmacros.com/FCA'" w:xpath="/ns0:root[1]/ns0:Name[1]" w:storeItemID="{687E7CCB-4AA5-44E7-B148-17BA2B6F57C0}"/>
        <w:text w:multiLine="1"/>
      </w:sdtPr>
      <w:sdtEndPr/>
      <w:sdtContent>
        <w:r w:rsidR="00DF28B1">
          <w:rPr>
            <w:bCs/>
            <w:sz w:val="18"/>
            <w:szCs w:val="18"/>
          </w:rPr>
          <w:t xml:space="preserve">Henley Arch Pty Ltd v Henley Constructions Pty Ltd (No 3) [2022] FCA 408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252BC">
      <w:rPr>
        <w:bCs/>
        <w:noProof/>
        <w:sz w:val="20"/>
      </w:rPr>
      <w:t>1</w:t>
    </w:r>
    <w:r w:rsidRPr="00EA7F6D">
      <w:rPr>
        <w:bCs/>
        <w:noProof/>
        <w:sz w:val="20"/>
      </w:rPr>
      <w:fldChar w:fldCharType="end"/>
    </w:r>
  </w:p>
  <w:p w:rsidR="002F1E49" w:rsidRPr="00A84FD0" w:rsidRDefault="002F1E49" w:rsidP="00A84FD0">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810" w:rsidRDefault="00D41810"/>
  </w:footnote>
  <w:footnote w:type="continuationSeparator" w:id="0">
    <w:p w:rsidR="00D41810" w:rsidRDefault="00D41810">
      <w:r>
        <w:continuationSeparator/>
      </w:r>
    </w:p>
    <w:p w:rsidR="00D41810" w:rsidRDefault="00D41810"/>
    <w:p w:rsidR="00D41810" w:rsidRDefault="00D418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4"/>
  </w:num>
  <w:num w:numId="30">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HENLEY ARCH PTY LTD"/>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Initiators" w:val="(and another named in the Schedule)"/>
    <w:docVar w:name="Judgdate" w:val="20 April 2022"/>
    <w:docVar w:name="Judge" w:val="Anderson"/>
    <w:docVar w:name="JudgeType" w:val="Justice"/>
    <w:docVar w:name="lstEntryList" w:val="-1"/>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TBC"/>
    <w:docVar w:name="RESAndAnother" w:val="True"/>
    <w:docVar w:name="RESAndOthers" w:val="False"/>
    <w:docVar w:name="Respondent" w:val="HENLEY CONSTRUCTIONS PTY LTD|PATRICK SARKIS"/>
    <w:docVar w:name="ResState" w:val="N/A FCFCOA"/>
    <w:docVar w:name="SubArea" w:val="TBC"/>
  </w:docVars>
  <w:rsids>
    <w:rsidRoot w:val="00A2083C"/>
    <w:rsid w:val="00000747"/>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7768"/>
    <w:rsid w:val="00077D65"/>
    <w:rsid w:val="00081497"/>
    <w:rsid w:val="000831EC"/>
    <w:rsid w:val="00084126"/>
    <w:rsid w:val="00085255"/>
    <w:rsid w:val="00086601"/>
    <w:rsid w:val="000A2E76"/>
    <w:rsid w:val="000A4807"/>
    <w:rsid w:val="000A4BE4"/>
    <w:rsid w:val="000B5426"/>
    <w:rsid w:val="000C023E"/>
    <w:rsid w:val="000C405D"/>
    <w:rsid w:val="000C5195"/>
    <w:rsid w:val="000C62EF"/>
    <w:rsid w:val="000D2137"/>
    <w:rsid w:val="000D3FD2"/>
    <w:rsid w:val="000D4B2E"/>
    <w:rsid w:val="000E3FC8"/>
    <w:rsid w:val="000E7BAE"/>
    <w:rsid w:val="000F133D"/>
    <w:rsid w:val="000F3DFA"/>
    <w:rsid w:val="0010536B"/>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12B5"/>
    <w:rsid w:val="001E3B49"/>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2E7"/>
    <w:rsid w:val="002E5BF9"/>
    <w:rsid w:val="002E6A7A"/>
    <w:rsid w:val="002F1E49"/>
    <w:rsid w:val="002F4E9C"/>
    <w:rsid w:val="002F6E15"/>
    <w:rsid w:val="00302F4E"/>
    <w:rsid w:val="00307767"/>
    <w:rsid w:val="0031256C"/>
    <w:rsid w:val="00314D6C"/>
    <w:rsid w:val="00316D2A"/>
    <w:rsid w:val="00322A7C"/>
    <w:rsid w:val="00322EEC"/>
    <w:rsid w:val="00323061"/>
    <w:rsid w:val="00327EFF"/>
    <w:rsid w:val="003402D3"/>
    <w:rsid w:val="0034068E"/>
    <w:rsid w:val="00343ABC"/>
    <w:rsid w:val="003463FE"/>
    <w:rsid w:val="003472FC"/>
    <w:rsid w:val="00347D41"/>
    <w:rsid w:val="003554B3"/>
    <w:rsid w:val="00356632"/>
    <w:rsid w:val="00357C7E"/>
    <w:rsid w:val="003653B6"/>
    <w:rsid w:val="00370327"/>
    <w:rsid w:val="00374CC4"/>
    <w:rsid w:val="003774B2"/>
    <w:rsid w:val="00377A8A"/>
    <w:rsid w:val="00380F2D"/>
    <w:rsid w:val="003845A9"/>
    <w:rsid w:val="003850C9"/>
    <w:rsid w:val="00390883"/>
    <w:rsid w:val="003922F8"/>
    <w:rsid w:val="00395B24"/>
    <w:rsid w:val="003A2983"/>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3F6A18"/>
    <w:rsid w:val="004031D8"/>
    <w:rsid w:val="004104B6"/>
    <w:rsid w:val="00411AE8"/>
    <w:rsid w:val="00413B74"/>
    <w:rsid w:val="00424035"/>
    <w:rsid w:val="004342F3"/>
    <w:rsid w:val="00435C5F"/>
    <w:rsid w:val="00436155"/>
    <w:rsid w:val="00436460"/>
    <w:rsid w:val="00437FEF"/>
    <w:rsid w:val="00441E98"/>
    <w:rsid w:val="00450F3A"/>
    <w:rsid w:val="004532F7"/>
    <w:rsid w:val="00455ABF"/>
    <w:rsid w:val="00464D51"/>
    <w:rsid w:val="00472027"/>
    <w:rsid w:val="00474C0A"/>
    <w:rsid w:val="004804CF"/>
    <w:rsid w:val="00483314"/>
    <w:rsid w:val="00484962"/>
    <w:rsid w:val="00484F6D"/>
    <w:rsid w:val="00484FB7"/>
    <w:rsid w:val="0048554D"/>
    <w:rsid w:val="0049338A"/>
    <w:rsid w:val="0049417F"/>
    <w:rsid w:val="00496D41"/>
    <w:rsid w:val="004A6602"/>
    <w:rsid w:val="004B3EFA"/>
    <w:rsid w:val="004B51C3"/>
    <w:rsid w:val="004C2A87"/>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80E"/>
    <w:rsid w:val="00513EAE"/>
    <w:rsid w:val="0051434F"/>
    <w:rsid w:val="00516806"/>
    <w:rsid w:val="00516E53"/>
    <w:rsid w:val="0052098C"/>
    <w:rsid w:val="00525A49"/>
    <w:rsid w:val="005262D1"/>
    <w:rsid w:val="00530876"/>
    <w:rsid w:val="00535613"/>
    <w:rsid w:val="005359EB"/>
    <w:rsid w:val="00541083"/>
    <w:rsid w:val="0054254A"/>
    <w:rsid w:val="0054500B"/>
    <w:rsid w:val="005466B5"/>
    <w:rsid w:val="00554314"/>
    <w:rsid w:val="00562829"/>
    <w:rsid w:val="005629B3"/>
    <w:rsid w:val="0057128A"/>
    <w:rsid w:val="005724F6"/>
    <w:rsid w:val="0057294E"/>
    <w:rsid w:val="00573AC4"/>
    <w:rsid w:val="005801FC"/>
    <w:rsid w:val="00585BA9"/>
    <w:rsid w:val="00587359"/>
    <w:rsid w:val="00595016"/>
    <w:rsid w:val="00597AAE"/>
    <w:rsid w:val="005A222C"/>
    <w:rsid w:val="005A45B3"/>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739E4"/>
    <w:rsid w:val="00680A85"/>
    <w:rsid w:val="00681ADF"/>
    <w:rsid w:val="00690EE2"/>
    <w:rsid w:val="00693854"/>
    <w:rsid w:val="00693A85"/>
    <w:rsid w:val="00694BEB"/>
    <w:rsid w:val="006A0E20"/>
    <w:rsid w:val="006A24E3"/>
    <w:rsid w:val="006A5695"/>
    <w:rsid w:val="006B0439"/>
    <w:rsid w:val="006B3904"/>
    <w:rsid w:val="006B5B7D"/>
    <w:rsid w:val="006B6E66"/>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60EC0"/>
    <w:rsid w:val="007711BD"/>
    <w:rsid w:val="0078003A"/>
    <w:rsid w:val="00780771"/>
    <w:rsid w:val="007929CF"/>
    <w:rsid w:val="00797BA8"/>
    <w:rsid w:val="007A081D"/>
    <w:rsid w:val="007A49E7"/>
    <w:rsid w:val="007A6F28"/>
    <w:rsid w:val="007B03C6"/>
    <w:rsid w:val="007B0DB1"/>
    <w:rsid w:val="007B31A0"/>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3C3A"/>
    <w:rsid w:val="007F4501"/>
    <w:rsid w:val="007F60DF"/>
    <w:rsid w:val="007F76DC"/>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649D5"/>
    <w:rsid w:val="00865305"/>
    <w:rsid w:val="008712BB"/>
    <w:rsid w:val="008830E7"/>
    <w:rsid w:val="00890EDE"/>
    <w:rsid w:val="00892B38"/>
    <w:rsid w:val="0089577F"/>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3B4B"/>
    <w:rsid w:val="009054CB"/>
    <w:rsid w:val="00911F8D"/>
    <w:rsid w:val="00912F94"/>
    <w:rsid w:val="009171BC"/>
    <w:rsid w:val="0092497E"/>
    <w:rsid w:val="0092498E"/>
    <w:rsid w:val="0092590B"/>
    <w:rsid w:val="00925BF3"/>
    <w:rsid w:val="00925E60"/>
    <w:rsid w:val="009264B3"/>
    <w:rsid w:val="00931E4C"/>
    <w:rsid w:val="00935324"/>
    <w:rsid w:val="009365E0"/>
    <w:rsid w:val="00941AEB"/>
    <w:rsid w:val="00942BA2"/>
    <w:rsid w:val="009432B7"/>
    <w:rsid w:val="00944C86"/>
    <w:rsid w:val="00947C02"/>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3A9C"/>
    <w:rsid w:val="009B046C"/>
    <w:rsid w:val="009B13FA"/>
    <w:rsid w:val="009B1E2D"/>
    <w:rsid w:val="009C251E"/>
    <w:rsid w:val="009C59FB"/>
    <w:rsid w:val="009C6F3B"/>
    <w:rsid w:val="009D1467"/>
    <w:rsid w:val="009D328D"/>
    <w:rsid w:val="009E4FA6"/>
    <w:rsid w:val="009E7B09"/>
    <w:rsid w:val="009E7D93"/>
    <w:rsid w:val="009F3C34"/>
    <w:rsid w:val="009F462C"/>
    <w:rsid w:val="009F5C33"/>
    <w:rsid w:val="00A026F0"/>
    <w:rsid w:val="00A03EAC"/>
    <w:rsid w:val="00A04DBB"/>
    <w:rsid w:val="00A07EA0"/>
    <w:rsid w:val="00A11CA6"/>
    <w:rsid w:val="00A2083C"/>
    <w:rsid w:val="00A20C49"/>
    <w:rsid w:val="00A22932"/>
    <w:rsid w:val="00A2397C"/>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D45"/>
    <w:rsid w:val="00AA3EA8"/>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6664"/>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0471"/>
    <w:rsid w:val="00BA2CA4"/>
    <w:rsid w:val="00BA2EFA"/>
    <w:rsid w:val="00BA3DBC"/>
    <w:rsid w:val="00BA622B"/>
    <w:rsid w:val="00BA707A"/>
    <w:rsid w:val="00BB1AFB"/>
    <w:rsid w:val="00BB27AE"/>
    <w:rsid w:val="00BB2DA2"/>
    <w:rsid w:val="00BB56DC"/>
    <w:rsid w:val="00BC05A3"/>
    <w:rsid w:val="00BC3DB6"/>
    <w:rsid w:val="00BD38C4"/>
    <w:rsid w:val="00BE183D"/>
    <w:rsid w:val="00BF24C2"/>
    <w:rsid w:val="00BF2922"/>
    <w:rsid w:val="00BF5D7A"/>
    <w:rsid w:val="00C01C2E"/>
    <w:rsid w:val="00C02D33"/>
    <w:rsid w:val="00C04B53"/>
    <w:rsid w:val="00C1232C"/>
    <w:rsid w:val="00C16591"/>
    <w:rsid w:val="00C27C6B"/>
    <w:rsid w:val="00C3594D"/>
    <w:rsid w:val="00C36442"/>
    <w:rsid w:val="00C400CE"/>
    <w:rsid w:val="00C40111"/>
    <w:rsid w:val="00C410FD"/>
    <w:rsid w:val="00C457DE"/>
    <w:rsid w:val="00C47DD3"/>
    <w:rsid w:val="00C5316F"/>
    <w:rsid w:val="00C53562"/>
    <w:rsid w:val="00C539FB"/>
    <w:rsid w:val="00C66AA3"/>
    <w:rsid w:val="00C66E57"/>
    <w:rsid w:val="00C724D7"/>
    <w:rsid w:val="00C74150"/>
    <w:rsid w:val="00C75594"/>
    <w:rsid w:val="00C85982"/>
    <w:rsid w:val="00CA0466"/>
    <w:rsid w:val="00CA246D"/>
    <w:rsid w:val="00CA50D9"/>
    <w:rsid w:val="00CB3054"/>
    <w:rsid w:val="00CB5636"/>
    <w:rsid w:val="00CB5F30"/>
    <w:rsid w:val="00CC3EE5"/>
    <w:rsid w:val="00CC6E47"/>
    <w:rsid w:val="00CD1346"/>
    <w:rsid w:val="00CE425C"/>
    <w:rsid w:val="00CE58AC"/>
    <w:rsid w:val="00CF5A80"/>
    <w:rsid w:val="00D045EE"/>
    <w:rsid w:val="00D05091"/>
    <w:rsid w:val="00D10CA6"/>
    <w:rsid w:val="00D10F21"/>
    <w:rsid w:val="00D134CF"/>
    <w:rsid w:val="00D1573B"/>
    <w:rsid w:val="00D24806"/>
    <w:rsid w:val="00D32E6B"/>
    <w:rsid w:val="00D34040"/>
    <w:rsid w:val="00D34E69"/>
    <w:rsid w:val="00D36C78"/>
    <w:rsid w:val="00D375EE"/>
    <w:rsid w:val="00D41810"/>
    <w:rsid w:val="00D55AE8"/>
    <w:rsid w:val="00D56056"/>
    <w:rsid w:val="00D6085F"/>
    <w:rsid w:val="00D62699"/>
    <w:rsid w:val="00D66A08"/>
    <w:rsid w:val="00D778E9"/>
    <w:rsid w:val="00D80BF5"/>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E7BED"/>
    <w:rsid w:val="00DF28B1"/>
    <w:rsid w:val="00DF3EEE"/>
    <w:rsid w:val="00DF75E1"/>
    <w:rsid w:val="00E027BC"/>
    <w:rsid w:val="00E045BE"/>
    <w:rsid w:val="00E10F0D"/>
    <w:rsid w:val="00E14EA5"/>
    <w:rsid w:val="00E2070E"/>
    <w:rsid w:val="00E21133"/>
    <w:rsid w:val="00E2327E"/>
    <w:rsid w:val="00E23577"/>
    <w:rsid w:val="00E252BC"/>
    <w:rsid w:val="00E266EF"/>
    <w:rsid w:val="00E326A8"/>
    <w:rsid w:val="00E47428"/>
    <w:rsid w:val="00E56C8E"/>
    <w:rsid w:val="00E5716B"/>
    <w:rsid w:val="00E57F1F"/>
    <w:rsid w:val="00E617E2"/>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32E"/>
    <w:rsid w:val="00EC57A7"/>
    <w:rsid w:val="00ED0817"/>
    <w:rsid w:val="00ED7DD9"/>
    <w:rsid w:val="00EE445B"/>
    <w:rsid w:val="00EF3113"/>
    <w:rsid w:val="00EF3F84"/>
    <w:rsid w:val="00F176AC"/>
    <w:rsid w:val="00F26F28"/>
    <w:rsid w:val="00F27714"/>
    <w:rsid w:val="00F3276E"/>
    <w:rsid w:val="00F33A1D"/>
    <w:rsid w:val="00F33D3C"/>
    <w:rsid w:val="00F37A91"/>
    <w:rsid w:val="00F408A0"/>
    <w:rsid w:val="00F42CEA"/>
    <w:rsid w:val="00F45CF5"/>
    <w:rsid w:val="00F47DB0"/>
    <w:rsid w:val="00F50C3F"/>
    <w:rsid w:val="00F50E34"/>
    <w:rsid w:val="00F51AFB"/>
    <w:rsid w:val="00F53EF7"/>
    <w:rsid w:val="00F54BF2"/>
    <w:rsid w:val="00F775AC"/>
    <w:rsid w:val="00F8792F"/>
    <w:rsid w:val="00F9214D"/>
    <w:rsid w:val="00F92355"/>
    <w:rsid w:val="00F93963"/>
    <w:rsid w:val="00F94291"/>
    <w:rsid w:val="00FA298A"/>
    <w:rsid w:val="00FA5B66"/>
    <w:rsid w:val="00FB0B9C"/>
    <w:rsid w:val="00FB30EB"/>
    <w:rsid w:val="00FB7982"/>
    <w:rsid w:val="00FC0734"/>
    <w:rsid w:val="00FC0FC5"/>
    <w:rsid w:val="00FC588F"/>
    <w:rsid w:val="00FC6879"/>
    <w:rsid w:val="00FD43C2"/>
    <w:rsid w:val="00FD57CC"/>
    <w:rsid w:val="00FD7677"/>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B109B71-A9EB-43D2-945D-6350115C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judgments.fedcourt.gov.au/judgments/Judgments/fca/single/2021/2021fca1369"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89A8AC6A5F4A7EA71DF96CF6639416"/>
        <w:category>
          <w:name w:val="General"/>
          <w:gallery w:val="placeholder"/>
        </w:category>
        <w:types>
          <w:type w:val="bbPlcHdr"/>
        </w:types>
        <w:behaviors>
          <w:behavior w:val="content"/>
        </w:behaviors>
        <w:guid w:val="{9D871578-7761-40D5-B694-F4C2FB3DE76A}"/>
      </w:docPartPr>
      <w:docPartBody>
        <w:p w:rsidR="00C2474A" w:rsidRDefault="00F67139">
          <w:pPr>
            <w:pStyle w:val="C089A8AC6A5F4A7EA71DF96CF6639416"/>
          </w:pPr>
          <w:r>
            <w:rPr>
              <w:rStyle w:val="PlaceholderText"/>
            </w:rPr>
            <w:t>MNC Text</w:t>
          </w:r>
        </w:p>
      </w:docPartBody>
    </w:docPart>
    <w:docPart>
      <w:docPartPr>
        <w:name w:val="60B9561BE33B4DB38B07F0EA5C8CBEC1"/>
        <w:category>
          <w:name w:val="General"/>
          <w:gallery w:val="placeholder"/>
        </w:category>
        <w:types>
          <w:type w:val="bbPlcHdr"/>
        </w:types>
        <w:behaviors>
          <w:behavior w:val="content"/>
        </w:behaviors>
        <w:guid w:val="{E6898178-AE82-4953-9445-C7BD7268185A}"/>
      </w:docPartPr>
      <w:docPartBody>
        <w:p w:rsidR="00C2474A" w:rsidRDefault="00F67139">
          <w:pPr>
            <w:pStyle w:val="60B9561BE33B4DB38B07F0EA5C8CBEC1"/>
          </w:pPr>
          <w:r w:rsidRPr="005C44BE">
            <w:rPr>
              <w:rStyle w:val="PlaceholderText"/>
            </w:rPr>
            <w:t>Click or tap here to enter text.</w:t>
          </w:r>
        </w:p>
      </w:docPartBody>
    </w:docPart>
    <w:docPart>
      <w:docPartPr>
        <w:name w:val="29A6CFEB407B45FD98D094A34A2F2F2A"/>
        <w:category>
          <w:name w:val="General"/>
          <w:gallery w:val="placeholder"/>
        </w:category>
        <w:types>
          <w:type w:val="bbPlcHdr"/>
        </w:types>
        <w:behaviors>
          <w:behavior w:val="content"/>
        </w:behaviors>
        <w:guid w:val="{C0717B6D-7AAC-46E1-8CAF-865568A362D9}"/>
      </w:docPartPr>
      <w:docPartBody>
        <w:p w:rsidR="00C2474A" w:rsidRDefault="00F67139">
          <w:pPr>
            <w:pStyle w:val="29A6CFEB407B45FD98D094A34A2F2F2A"/>
          </w:pPr>
          <w:r w:rsidRPr="005C44BE">
            <w:rPr>
              <w:rStyle w:val="PlaceholderText"/>
            </w:rPr>
            <w:t>Click or tap here to enter text.</w:t>
          </w:r>
        </w:p>
      </w:docPartBody>
    </w:docPart>
    <w:docPart>
      <w:docPartPr>
        <w:name w:val="75084EFB0C5C4F44954A35A7F646460A"/>
        <w:category>
          <w:name w:val="General"/>
          <w:gallery w:val="placeholder"/>
        </w:category>
        <w:types>
          <w:type w:val="bbPlcHdr"/>
        </w:types>
        <w:behaviors>
          <w:behavior w:val="content"/>
        </w:behaviors>
        <w:guid w:val="{0368B219-5A38-4250-9C1D-9BF626831512}"/>
      </w:docPartPr>
      <w:docPartBody>
        <w:p w:rsidR="00C2474A" w:rsidRDefault="00F67139">
          <w:pPr>
            <w:pStyle w:val="75084EFB0C5C4F44954A35A7F646460A"/>
          </w:pPr>
          <w:r w:rsidRPr="005C44BE">
            <w:rPr>
              <w:rStyle w:val="PlaceholderText"/>
            </w:rPr>
            <w:t>Click or tap here to enter text.</w:t>
          </w:r>
        </w:p>
      </w:docPartBody>
    </w:docPart>
    <w:docPart>
      <w:docPartPr>
        <w:name w:val="3292F48B303A47D7BB4444E32C75D7B5"/>
        <w:category>
          <w:name w:val="General"/>
          <w:gallery w:val="placeholder"/>
        </w:category>
        <w:types>
          <w:type w:val="bbPlcHdr"/>
        </w:types>
        <w:behaviors>
          <w:behavior w:val="content"/>
        </w:behaviors>
        <w:guid w:val="{91C33CE7-DEF1-43FB-8F45-5A74620381E0}"/>
      </w:docPartPr>
      <w:docPartBody>
        <w:p w:rsidR="00C2474A" w:rsidRDefault="00F67139">
          <w:pPr>
            <w:pStyle w:val="3292F48B303A47D7BB4444E32C75D7B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39"/>
    <w:rsid w:val="00150D0E"/>
    <w:rsid w:val="004E7D74"/>
    <w:rsid w:val="005D7DD4"/>
    <w:rsid w:val="00C2474A"/>
    <w:rsid w:val="00DE322F"/>
    <w:rsid w:val="00F671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89A8AC6A5F4A7EA71DF96CF6639416">
    <w:name w:val="C089A8AC6A5F4A7EA71DF96CF6639416"/>
  </w:style>
  <w:style w:type="paragraph" w:customStyle="1" w:styleId="60B9561BE33B4DB38B07F0EA5C8CBEC1">
    <w:name w:val="60B9561BE33B4DB38B07F0EA5C8CBEC1"/>
  </w:style>
  <w:style w:type="paragraph" w:customStyle="1" w:styleId="29A6CFEB407B45FD98D094A34A2F2F2A">
    <w:name w:val="29A6CFEB407B45FD98D094A34A2F2F2A"/>
  </w:style>
  <w:style w:type="paragraph" w:customStyle="1" w:styleId="75084EFB0C5C4F44954A35A7F646460A">
    <w:name w:val="75084EFB0C5C4F44954A35A7F646460A"/>
  </w:style>
  <w:style w:type="paragraph" w:customStyle="1" w:styleId="3292F48B303A47D7BB4444E32C75D7B5">
    <w:name w:val="3292F48B303A47D7BB4444E32C75D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Henley Arch Pty Ltd v Henley Constructions Pty Ltd (No 3) [2022] FCA 408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39038E66-A65E-446A-BB69-0D2EB5CA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5</Pages>
  <Words>1312</Words>
  <Characters>6819</Characters>
  <Application>Microsoft Office Word</Application>
  <DocSecurity>0</DocSecurity>
  <Lines>213</Lines>
  <Paragraphs>96</Paragraphs>
  <ScaleCrop>false</ScaleCrop>
  <HeadingPairs>
    <vt:vector size="2" baseType="variant">
      <vt:variant>
        <vt:lpstr>Title</vt:lpstr>
      </vt:variant>
      <vt:variant>
        <vt:i4>1</vt:i4>
      </vt:variant>
    </vt:vector>
  </HeadingPairs>
  <TitlesOfParts>
    <vt:vector size="1" baseType="lpstr">
      <vt:lpstr>Henley Arch Pty Ltd v Henley Constructions Pty Ltd (No 3) [2022] FCA 408   </vt:lpstr>
    </vt:vector>
  </TitlesOfParts>
  <Company>Federal Court of Australia</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Henley Arch Pty Ltd v Henley Constructions Pty Ltd (No 3) [2022] FCA 408</dc:title>
  <dc:creator>Federal Court of Australia</dc:creator>
  <dc:description>v1.3</dc:description>
  <cp:lastModifiedBy>Federal Court of Australia</cp:lastModifiedBy>
  <cp:revision>3</cp:revision>
  <cp:lastPrinted>2022-04-19T01:59:00Z</cp:lastPrinted>
  <dcterms:created xsi:type="dcterms:W3CDTF">2022-04-20T03:16:00Z</dcterms:created>
  <dcterms:modified xsi:type="dcterms:W3CDTF">2022-04-20T03:17:00Z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TBC</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TBC</vt:lpwstr>
  </property>
  <property fmtid="{D5CDD505-2E9C-101B-9397-08002B2CF9AE}" pid="16" name="Court">
    <vt:lpwstr>Federal Court of Australia</vt:lpwstr>
  </property>
  <property fmtid="{D5CDD505-2E9C-101B-9397-08002B2CF9AE}" pid="17" name="Sub Area">
    <vt:lpwstr>To be Completed for Commercial and Corporations, and IP NPAs</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