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0BE3F" w14:textId="55E42B52" w:rsidR="00395B24" w:rsidRDefault="001801BA" w:rsidP="00A22932">
      <w:pPr>
        <w:pStyle w:val="CourtTitle"/>
      </w:pPr>
      <w:r>
        <w:fldChar w:fldCharType="begin"/>
      </w:r>
      <w:r>
        <w:instrText xml:space="preserve"> DOCPROPERTY  Court  \* MERGEFORMAT </w:instrText>
      </w:r>
      <w:r>
        <w:fldChar w:fldCharType="separate"/>
      </w:r>
      <w:r w:rsidR="00357E1A">
        <w:t>Federal Court of Australia</w:t>
      </w:r>
      <w:r>
        <w:fldChar w:fldCharType="end"/>
      </w:r>
    </w:p>
    <w:p w14:paraId="766F39B8" w14:textId="77777777" w:rsidR="004D7950" w:rsidRDefault="004D7950">
      <w:pPr>
        <w:pStyle w:val="NormalHeadings"/>
        <w:jc w:val="center"/>
        <w:rPr>
          <w:sz w:val="32"/>
        </w:rPr>
      </w:pPr>
    </w:p>
    <w:bookmarkStart w:id="0" w:name="MNC"/>
    <w:p w14:paraId="240648F2" w14:textId="191FC0AD" w:rsidR="00374CC4" w:rsidRDefault="00C3607C" w:rsidP="001A2B40">
      <w:pPr>
        <w:pStyle w:val="MNC"/>
      </w:pPr>
      <w:sdt>
        <w:sdtPr>
          <w:alias w:val="MNC"/>
          <w:tag w:val="MNC"/>
          <w:id w:val="343289786"/>
          <w:lock w:val="sdtLocked"/>
          <w:placeholder>
            <w:docPart w:val="A6636581AB8142B38CCE3B862590A2CB"/>
          </w:placeholder>
          <w:dataBinding w:prefixMappings="xmlns:ns0='http://schemas.globalmacros.com/FCA'" w:xpath="/ns0:root[1]/ns0:Name[1]" w:storeItemID="{687E7CCB-4AA5-44E7-B148-17BA2B6F57C0}"/>
          <w:text w:multiLine="1"/>
        </w:sdtPr>
        <w:sdtEndPr/>
        <w:sdtContent>
          <w:r w:rsidR="005D5E3C">
            <w:t>Stuart v Rabobank Aus</w:t>
          </w:r>
          <w:r w:rsidR="00A84078">
            <w:t>tralia Ltd (No 2) [2021] FCA 1626</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7A543028" w14:textId="77777777" w:rsidTr="00357E1A">
        <w:tc>
          <w:tcPr>
            <w:tcW w:w="3084" w:type="dxa"/>
            <w:shd w:val="clear" w:color="auto" w:fill="auto"/>
          </w:tcPr>
          <w:p w14:paraId="2029448E" w14:textId="77777777" w:rsidR="00395B24" w:rsidRDefault="002C7385" w:rsidP="00663878">
            <w:pPr>
              <w:pStyle w:val="Normal1linespace"/>
              <w:widowControl w:val="0"/>
              <w:jc w:val="left"/>
            </w:pPr>
            <w:r>
              <w:t>File number(s):</w:t>
            </w:r>
          </w:p>
        </w:tc>
        <w:tc>
          <w:tcPr>
            <w:tcW w:w="5989" w:type="dxa"/>
            <w:shd w:val="clear" w:color="auto" w:fill="auto"/>
          </w:tcPr>
          <w:p w14:paraId="6A37D0DA" w14:textId="048381A5" w:rsidR="00395B24" w:rsidRPr="00357E1A" w:rsidRDefault="00080019" w:rsidP="00357E1A">
            <w:pPr>
              <w:pStyle w:val="Normal1linespace"/>
              <w:jc w:val="left"/>
            </w:pPr>
            <w:fldSimple w:instr=" REF  FileNo  \* MERGEFORMAT " w:fldLock="1">
              <w:r w:rsidR="00357E1A" w:rsidRPr="00357E1A">
                <w:t>NSD</w:t>
              </w:r>
              <w:r w:rsidR="00A70393">
                <w:t xml:space="preserve"> 471 of </w:t>
              </w:r>
              <w:r w:rsidR="00357E1A" w:rsidRPr="00357E1A">
                <w:t>2021</w:t>
              </w:r>
            </w:fldSimple>
          </w:p>
        </w:tc>
      </w:tr>
      <w:tr w:rsidR="00395B24" w14:paraId="5695162D" w14:textId="77777777" w:rsidTr="00357E1A">
        <w:tc>
          <w:tcPr>
            <w:tcW w:w="3084" w:type="dxa"/>
            <w:shd w:val="clear" w:color="auto" w:fill="auto"/>
          </w:tcPr>
          <w:p w14:paraId="0AC85D21" w14:textId="77777777" w:rsidR="00395B24" w:rsidRDefault="00395B24" w:rsidP="00663878">
            <w:pPr>
              <w:pStyle w:val="Normal1linespace"/>
              <w:widowControl w:val="0"/>
              <w:jc w:val="left"/>
            </w:pPr>
          </w:p>
        </w:tc>
        <w:tc>
          <w:tcPr>
            <w:tcW w:w="5989" w:type="dxa"/>
            <w:shd w:val="clear" w:color="auto" w:fill="auto"/>
          </w:tcPr>
          <w:p w14:paraId="43A9725C" w14:textId="77777777" w:rsidR="00395B24" w:rsidRDefault="00395B24" w:rsidP="00663878">
            <w:pPr>
              <w:pStyle w:val="Normal1linespace"/>
              <w:widowControl w:val="0"/>
              <w:jc w:val="left"/>
            </w:pPr>
          </w:p>
        </w:tc>
      </w:tr>
      <w:tr w:rsidR="00395B24" w14:paraId="14251E0A" w14:textId="77777777" w:rsidTr="00357E1A">
        <w:tc>
          <w:tcPr>
            <w:tcW w:w="3084" w:type="dxa"/>
            <w:shd w:val="clear" w:color="auto" w:fill="auto"/>
          </w:tcPr>
          <w:p w14:paraId="3080A5A0"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525EA678" w14:textId="77777777" w:rsidR="00395B24" w:rsidRDefault="002C7385" w:rsidP="00663878">
            <w:pPr>
              <w:pStyle w:val="Normal1linespace"/>
              <w:widowControl w:val="0"/>
              <w:jc w:val="left"/>
              <w:rPr>
                <w:b/>
              </w:rPr>
            </w:pPr>
            <w:r w:rsidRPr="00357E1A">
              <w:rPr>
                <w:b/>
              </w:rPr>
              <w:fldChar w:fldCharType="begin" w:fldLock="1"/>
            </w:r>
            <w:r w:rsidRPr="00357E1A">
              <w:rPr>
                <w:b/>
              </w:rPr>
              <w:instrText xml:space="preserve"> REF  Judge  \* MERGEFORMAT </w:instrText>
            </w:r>
            <w:r w:rsidRPr="00357E1A">
              <w:rPr>
                <w:b/>
              </w:rPr>
              <w:fldChar w:fldCharType="separate"/>
            </w:r>
            <w:r w:rsidR="00357E1A" w:rsidRPr="00357E1A">
              <w:rPr>
                <w:b/>
                <w:caps/>
                <w:szCs w:val="24"/>
              </w:rPr>
              <w:t>HALLEY J</w:t>
            </w:r>
            <w:r w:rsidRPr="00357E1A">
              <w:rPr>
                <w:b/>
              </w:rPr>
              <w:fldChar w:fldCharType="end"/>
            </w:r>
          </w:p>
        </w:tc>
      </w:tr>
      <w:tr w:rsidR="00395B24" w14:paraId="399C163F" w14:textId="77777777" w:rsidTr="00357E1A">
        <w:tc>
          <w:tcPr>
            <w:tcW w:w="3084" w:type="dxa"/>
            <w:shd w:val="clear" w:color="auto" w:fill="auto"/>
          </w:tcPr>
          <w:p w14:paraId="6EFE344E" w14:textId="77777777" w:rsidR="00395B24" w:rsidRDefault="00395B24" w:rsidP="00663878">
            <w:pPr>
              <w:pStyle w:val="Normal1linespace"/>
              <w:widowControl w:val="0"/>
              <w:jc w:val="left"/>
            </w:pPr>
          </w:p>
        </w:tc>
        <w:tc>
          <w:tcPr>
            <w:tcW w:w="5989" w:type="dxa"/>
            <w:shd w:val="clear" w:color="auto" w:fill="auto"/>
          </w:tcPr>
          <w:p w14:paraId="292989E6" w14:textId="77777777" w:rsidR="00395B24" w:rsidRDefault="00395B24" w:rsidP="00663878">
            <w:pPr>
              <w:pStyle w:val="Normal1linespace"/>
              <w:widowControl w:val="0"/>
              <w:jc w:val="left"/>
            </w:pPr>
          </w:p>
        </w:tc>
      </w:tr>
      <w:tr w:rsidR="00395B24" w14:paraId="125EF32C" w14:textId="77777777" w:rsidTr="00357E1A">
        <w:tc>
          <w:tcPr>
            <w:tcW w:w="3084" w:type="dxa"/>
            <w:shd w:val="clear" w:color="auto" w:fill="auto"/>
          </w:tcPr>
          <w:p w14:paraId="340E329F" w14:textId="77777777" w:rsidR="00395B24" w:rsidRDefault="002C7385" w:rsidP="00663878">
            <w:pPr>
              <w:pStyle w:val="Normal1linespace"/>
              <w:widowControl w:val="0"/>
              <w:jc w:val="left"/>
            </w:pPr>
            <w:r>
              <w:t>Date of judgment:</w:t>
            </w:r>
          </w:p>
        </w:tc>
        <w:tc>
          <w:tcPr>
            <w:tcW w:w="5989" w:type="dxa"/>
            <w:shd w:val="clear" w:color="auto" w:fill="auto"/>
          </w:tcPr>
          <w:p w14:paraId="1FB8DF65" w14:textId="16D28D69" w:rsidR="00395B24" w:rsidRDefault="00A84078" w:rsidP="00663878">
            <w:pPr>
              <w:pStyle w:val="Normal1linespace"/>
              <w:widowControl w:val="0"/>
              <w:jc w:val="left"/>
            </w:pPr>
            <w:r>
              <w:t>22 December 2021</w:t>
            </w:r>
          </w:p>
        </w:tc>
      </w:tr>
      <w:tr w:rsidR="00395B24" w14:paraId="4692C7CD" w14:textId="77777777" w:rsidTr="00357E1A">
        <w:tc>
          <w:tcPr>
            <w:tcW w:w="3084" w:type="dxa"/>
            <w:shd w:val="clear" w:color="auto" w:fill="auto"/>
          </w:tcPr>
          <w:p w14:paraId="5FA38B6A" w14:textId="77777777" w:rsidR="00395B24" w:rsidRDefault="00395B24" w:rsidP="00663878">
            <w:pPr>
              <w:pStyle w:val="Normal1linespace"/>
              <w:widowControl w:val="0"/>
              <w:jc w:val="left"/>
            </w:pPr>
          </w:p>
        </w:tc>
        <w:tc>
          <w:tcPr>
            <w:tcW w:w="5989" w:type="dxa"/>
            <w:shd w:val="clear" w:color="auto" w:fill="auto"/>
          </w:tcPr>
          <w:p w14:paraId="202856B3" w14:textId="77777777" w:rsidR="00395B24" w:rsidRDefault="00395B24" w:rsidP="00663878">
            <w:pPr>
              <w:pStyle w:val="Normal1linespace"/>
              <w:widowControl w:val="0"/>
              <w:jc w:val="left"/>
            </w:pPr>
          </w:p>
        </w:tc>
      </w:tr>
      <w:tr w:rsidR="00395B24" w14:paraId="7400A30A" w14:textId="77777777" w:rsidTr="00357E1A">
        <w:tc>
          <w:tcPr>
            <w:tcW w:w="3084" w:type="dxa"/>
            <w:shd w:val="clear" w:color="auto" w:fill="auto"/>
          </w:tcPr>
          <w:p w14:paraId="0807D4D9" w14:textId="77777777" w:rsidR="00395B24" w:rsidRDefault="002C7385" w:rsidP="00663878">
            <w:pPr>
              <w:pStyle w:val="Normal1linespace"/>
              <w:widowControl w:val="0"/>
              <w:jc w:val="left"/>
            </w:pPr>
            <w:r>
              <w:t>Catchwords:</w:t>
            </w:r>
          </w:p>
        </w:tc>
        <w:tc>
          <w:tcPr>
            <w:tcW w:w="5989" w:type="dxa"/>
            <w:shd w:val="clear" w:color="auto" w:fill="auto"/>
          </w:tcPr>
          <w:p w14:paraId="2F7D4659" w14:textId="457F3742" w:rsidR="00395B24" w:rsidRDefault="00357E1A" w:rsidP="00156BF6">
            <w:pPr>
              <w:pStyle w:val="Normal1linespace"/>
              <w:widowControl w:val="0"/>
              <w:jc w:val="left"/>
            </w:pPr>
            <w:bookmarkStart w:id="1" w:name="Catchwords"/>
            <w:r>
              <w:rPr>
                <w:b/>
              </w:rPr>
              <w:t xml:space="preserve">COSTS </w:t>
            </w:r>
            <w:r>
              <w:t xml:space="preserve">– </w:t>
            </w:r>
            <w:r w:rsidR="000B2249">
              <w:t xml:space="preserve">application for indemnity costs by respondent – where respondent wholly successful in the proceedings and cross-claim – whether </w:t>
            </w:r>
            <w:r w:rsidR="00977FA7">
              <w:t xml:space="preserve">special or unusual features present to depart from r 40.01 of the </w:t>
            </w:r>
            <w:r w:rsidR="00977FA7">
              <w:rPr>
                <w:i/>
              </w:rPr>
              <w:t xml:space="preserve">Federal Court Rules 2011 </w:t>
            </w:r>
            <w:r w:rsidR="00977FA7">
              <w:t>(</w:t>
            </w:r>
            <w:proofErr w:type="spellStart"/>
            <w:r w:rsidR="00977FA7">
              <w:t>Cth</w:t>
            </w:r>
            <w:proofErr w:type="spellEnd"/>
            <w:r w:rsidR="00977FA7">
              <w:t>) – where credit terms provide</w:t>
            </w:r>
            <w:r w:rsidR="00156BF6">
              <w:t>d</w:t>
            </w:r>
            <w:r w:rsidR="00977FA7">
              <w:t xml:space="preserve"> contractual entitlement to indemnity costs – whether indemnity costs clause</w:t>
            </w:r>
            <w:r w:rsidR="00156BF6">
              <w:t>s</w:t>
            </w:r>
            <w:r w:rsidR="00977FA7">
              <w:t xml:space="preserve"> plainly and unambiguously expressed – where </w:t>
            </w:r>
            <w:r w:rsidR="00156BF6">
              <w:t xml:space="preserve">substantial overlap between applicants’ substantive </w:t>
            </w:r>
            <w:r w:rsidR="00DC5045">
              <w:t>case and the respondent’s cross-</w:t>
            </w:r>
            <w:r w:rsidR="00156BF6">
              <w:t>claim</w:t>
            </w:r>
            <w:r w:rsidR="00977FA7">
              <w:t xml:space="preserve"> – whether costs incurred by respondent in defending claims brought by applicants fall within the indemnity costs clause</w:t>
            </w:r>
            <w:r w:rsidR="00A84078">
              <w:t>s</w:t>
            </w:r>
            <w:r w:rsidR="00977FA7">
              <w:t xml:space="preserve"> –</w:t>
            </w:r>
            <w:r w:rsidR="006E004B">
              <w:t xml:space="preserve"> </w:t>
            </w:r>
            <w:r w:rsidR="00B57E68">
              <w:t>application of</w:t>
            </w:r>
            <w:r w:rsidR="00977FA7">
              <w:t xml:space="preserve"> </w:t>
            </w:r>
            <w:proofErr w:type="spellStart"/>
            <w:r w:rsidR="00977FA7">
              <w:rPr>
                <w:i/>
              </w:rPr>
              <w:t>ejusdem</w:t>
            </w:r>
            <w:proofErr w:type="spellEnd"/>
            <w:r w:rsidR="00977FA7">
              <w:rPr>
                <w:i/>
              </w:rPr>
              <w:t xml:space="preserve"> generis </w:t>
            </w:r>
            <w:r w:rsidR="00977FA7">
              <w:t>principle – whether respondent’s costs incurred in the proceedings arose directly or indirectly from entering into Deed with applicants – costs follow the event</w:t>
            </w:r>
            <w:r w:rsidR="00156BF6">
              <w:t xml:space="preserve"> but not on indemnity basis</w:t>
            </w:r>
            <w:r w:rsidR="002C7385">
              <w:t xml:space="preserve"> </w:t>
            </w:r>
            <w:bookmarkEnd w:id="1"/>
          </w:p>
        </w:tc>
      </w:tr>
      <w:tr w:rsidR="00395B24" w14:paraId="5A69EF82" w14:textId="77777777" w:rsidTr="00357E1A">
        <w:tc>
          <w:tcPr>
            <w:tcW w:w="3084" w:type="dxa"/>
            <w:shd w:val="clear" w:color="auto" w:fill="auto"/>
          </w:tcPr>
          <w:p w14:paraId="577BA740" w14:textId="77777777" w:rsidR="00395B24" w:rsidRDefault="00395B24" w:rsidP="00663878">
            <w:pPr>
              <w:pStyle w:val="Normal1linespace"/>
              <w:widowControl w:val="0"/>
              <w:jc w:val="left"/>
            </w:pPr>
          </w:p>
        </w:tc>
        <w:tc>
          <w:tcPr>
            <w:tcW w:w="5989" w:type="dxa"/>
            <w:shd w:val="clear" w:color="auto" w:fill="auto"/>
          </w:tcPr>
          <w:p w14:paraId="3DCC1C64" w14:textId="77777777" w:rsidR="00395B24" w:rsidRDefault="00395B24" w:rsidP="00663878">
            <w:pPr>
              <w:pStyle w:val="Normal1linespace"/>
              <w:widowControl w:val="0"/>
              <w:jc w:val="left"/>
            </w:pPr>
          </w:p>
        </w:tc>
      </w:tr>
      <w:tr w:rsidR="00395B24" w14:paraId="0427DBF5" w14:textId="77777777" w:rsidTr="00357E1A">
        <w:tc>
          <w:tcPr>
            <w:tcW w:w="3084" w:type="dxa"/>
            <w:shd w:val="clear" w:color="auto" w:fill="auto"/>
          </w:tcPr>
          <w:p w14:paraId="2D163D7F" w14:textId="77777777" w:rsidR="00395B24" w:rsidRDefault="002C7385" w:rsidP="00663878">
            <w:pPr>
              <w:pStyle w:val="Normal1linespace"/>
              <w:widowControl w:val="0"/>
              <w:jc w:val="left"/>
            </w:pPr>
            <w:r>
              <w:t>Legislation:</w:t>
            </w:r>
          </w:p>
        </w:tc>
        <w:tc>
          <w:tcPr>
            <w:tcW w:w="5989" w:type="dxa"/>
            <w:shd w:val="clear" w:color="auto" w:fill="auto"/>
          </w:tcPr>
          <w:p w14:paraId="6679EE29" w14:textId="5DFBE138" w:rsidR="00FB4539" w:rsidRPr="00FB4539" w:rsidRDefault="00FB4539" w:rsidP="00D82620">
            <w:pPr>
              <w:pStyle w:val="CasesLegislationAppealFrom"/>
              <w:spacing w:after="60"/>
            </w:pPr>
            <w:bookmarkStart w:id="2" w:name="Legislation"/>
            <w:r>
              <w:rPr>
                <w:i/>
              </w:rPr>
              <w:t xml:space="preserve">Federal Court of Australia Act 1976 </w:t>
            </w:r>
            <w:r>
              <w:t>(</w:t>
            </w:r>
            <w:proofErr w:type="spellStart"/>
            <w:r>
              <w:t>Cth</w:t>
            </w:r>
            <w:proofErr w:type="spellEnd"/>
            <w:r>
              <w:t>) s 43</w:t>
            </w:r>
          </w:p>
          <w:p w14:paraId="494200DC" w14:textId="30F94933" w:rsidR="00395B24" w:rsidRDefault="00FB4539" w:rsidP="00D82620">
            <w:pPr>
              <w:pStyle w:val="CasesLegislationAppealFrom"/>
              <w:spacing w:after="60"/>
            </w:pPr>
            <w:r>
              <w:rPr>
                <w:i/>
              </w:rPr>
              <w:t xml:space="preserve">Federal Court Rules 2011 </w:t>
            </w:r>
            <w:r>
              <w:t>(</w:t>
            </w:r>
            <w:proofErr w:type="spellStart"/>
            <w:r>
              <w:t>Cth</w:t>
            </w:r>
            <w:proofErr w:type="spellEnd"/>
            <w:r>
              <w:t>) r 40.02</w:t>
            </w:r>
            <w:r w:rsidR="002C7385">
              <w:t xml:space="preserve"> </w:t>
            </w:r>
            <w:bookmarkEnd w:id="2"/>
          </w:p>
        </w:tc>
      </w:tr>
      <w:tr w:rsidR="00395B24" w14:paraId="4F1847FC" w14:textId="77777777" w:rsidTr="00357E1A">
        <w:tc>
          <w:tcPr>
            <w:tcW w:w="3084" w:type="dxa"/>
            <w:shd w:val="clear" w:color="auto" w:fill="auto"/>
          </w:tcPr>
          <w:p w14:paraId="082DE5ED" w14:textId="77777777" w:rsidR="00395B24" w:rsidRDefault="00395B24" w:rsidP="00663878">
            <w:pPr>
              <w:pStyle w:val="Normal1linespace"/>
              <w:widowControl w:val="0"/>
              <w:jc w:val="left"/>
            </w:pPr>
          </w:p>
        </w:tc>
        <w:tc>
          <w:tcPr>
            <w:tcW w:w="5989" w:type="dxa"/>
            <w:shd w:val="clear" w:color="auto" w:fill="auto"/>
          </w:tcPr>
          <w:p w14:paraId="63DA771C" w14:textId="77777777" w:rsidR="00395B24" w:rsidRDefault="00395B24" w:rsidP="00663878">
            <w:pPr>
              <w:pStyle w:val="Normal1linespace"/>
              <w:widowControl w:val="0"/>
              <w:jc w:val="left"/>
            </w:pPr>
          </w:p>
        </w:tc>
      </w:tr>
      <w:tr w:rsidR="00395B24" w14:paraId="2F7A0972" w14:textId="77777777" w:rsidTr="00357E1A">
        <w:tc>
          <w:tcPr>
            <w:tcW w:w="3084" w:type="dxa"/>
            <w:shd w:val="clear" w:color="auto" w:fill="auto"/>
          </w:tcPr>
          <w:p w14:paraId="718E6E14" w14:textId="77777777" w:rsidR="00395B24" w:rsidRDefault="002C7385" w:rsidP="00663878">
            <w:pPr>
              <w:pStyle w:val="Normal1linespace"/>
              <w:widowControl w:val="0"/>
              <w:jc w:val="left"/>
            </w:pPr>
            <w:r>
              <w:t>Cases cited:</w:t>
            </w:r>
          </w:p>
        </w:tc>
        <w:tc>
          <w:tcPr>
            <w:tcW w:w="5989" w:type="dxa"/>
            <w:shd w:val="clear" w:color="auto" w:fill="auto"/>
          </w:tcPr>
          <w:p w14:paraId="2E9FCB97" w14:textId="1D485AF1" w:rsidR="00FB4539" w:rsidRDefault="00FB4539" w:rsidP="00D82620">
            <w:pPr>
              <w:pStyle w:val="CasesLegislationAppealFrom"/>
              <w:spacing w:after="60"/>
              <w:rPr>
                <w:i/>
              </w:rPr>
            </w:pPr>
            <w:bookmarkStart w:id="3" w:name="Cases_Cited"/>
            <w:r w:rsidRPr="0075782B">
              <w:rPr>
                <w:i/>
                <w:lang w:eastAsia="en-AU"/>
              </w:rPr>
              <w:t>AGC (Advances) Ltd v West</w:t>
            </w:r>
            <w:r>
              <w:rPr>
                <w:lang w:eastAsia="en-AU"/>
              </w:rPr>
              <w:t xml:space="preserve"> (1984) 5 NSWLR 301</w:t>
            </w:r>
          </w:p>
          <w:p w14:paraId="65E315CB" w14:textId="2DDB8AFF" w:rsidR="00FB4539" w:rsidRDefault="00FB4539" w:rsidP="00D82620">
            <w:pPr>
              <w:pStyle w:val="CasesLegislationAppealFrom"/>
              <w:spacing w:after="60"/>
            </w:pPr>
            <w:proofErr w:type="spellStart"/>
            <w:r w:rsidRPr="00357E1A">
              <w:rPr>
                <w:i/>
              </w:rPr>
              <w:t>Amlin</w:t>
            </w:r>
            <w:proofErr w:type="spellEnd"/>
            <w:r w:rsidRPr="00357E1A">
              <w:rPr>
                <w:i/>
              </w:rPr>
              <w:t xml:space="preserve"> Corporate Member Ltd v </w:t>
            </w:r>
            <w:proofErr w:type="spellStart"/>
            <w:r w:rsidRPr="00357E1A">
              <w:rPr>
                <w:i/>
              </w:rPr>
              <w:t>Austcorp</w:t>
            </w:r>
            <w:proofErr w:type="spellEnd"/>
            <w:r w:rsidRPr="00357E1A">
              <w:rPr>
                <w:i/>
              </w:rPr>
              <w:t xml:space="preserve"> </w:t>
            </w:r>
            <w:r>
              <w:rPr>
                <w:i/>
              </w:rPr>
              <w:t xml:space="preserve">Project No 20 Pty Ltd </w:t>
            </w:r>
            <w:r>
              <w:t>[2014] FCAFC 78</w:t>
            </w:r>
          </w:p>
          <w:p w14:paraId="5A7013E7" w14:textId="1B8557D7" w:rsidR="00FB4539" w:rsidRDefault="00FB4539" w:rsidP="00D82620">
            <w:pPr>
              <w:pStyle w:val="CasesLegislationAppealFrom"/>
              <w:spacing w:after="60"/>
              <w:rPr>
                <w:szCs w:val="24"/>
              </w:rPr>
            </w:pPr>
            <w:r>
              <w:rPr>
                <w:i/>
                <w:szCs w:val="24"/>
              </w:rPr>
              <w:t xml:space="preserve">Bank of Western Australia Ltd v Marsh </w:t>
            </w:r>
            <w:r>
              <w:rPr>
                <w:szCs w:val="24"/>
              </w:rPr>
              <w:t>[2000] WASC 208</w:t>
            </w:r>
          </w:p>
          <w:p w14:paraId="65879950" w14:textId="75D3C9BE" w:rsidR="00FB4539" w:rsidRDefault="00FB4539" w:rsidP="00D82620">
            <w:pPr>
              <w:pStyle w:val="CasesLegislationAppealFrom"/>
              <w:spacing w:after="60"/>
            </w:pPr>
            <w:r>
              <w:rPr>
                <w:i/>
              </w:rPr>
              <w:t xml:space="preserve">Bendigo and Adelaide Bank Ltd v Grahame (No 2) (Costs Ruling) </w:t>
            </w:r>
            <w:r>
              <w:t>[2020] VSC 223</w:t>
            </w:r>
          </w:p>
          <w:p w14:paraId="58EF79E1" w14:textId="5889C4A2" w:rsidR="00FB4539" w:rsidRDefault="00FB4539" w:rsidP="00D82620">
            <w:pPr>
              <w:pStyle w:val="CasesLegislationAppealFrom"/>
              <w:spacing w:after="60"/>
            </w:pPr>
            <w:r w:rsidRPr="0052536D">
              <w:rPr>
                <w:i/>
              </w:rPr>
              <w:t xml:space="preserve">Chen v </w:t>
            </w:r>
            <w:r>
              <w:rPr>
                <w:i/>
              </w:rPr>
              <w:t xml:space="preserve">Kevin </w:t>
            </w:r>
            <w:r w:rsidRPr="0052536D">
              <w:rPr>
                <w:i/>
              </w:rPr>
              <w:t>McNamara &amp; Son Pty Ltd</w:t>
            </w:r>
            <w:r>
              <w:t xml:space="preserve"> [2012] VSCA 229</w:t>
            </w:r>
          </w:p>
          <w:p w14:paraId="38495AE9" w14:textId="4DE70A1A" w:rsidR="00FB4539" w:rsidRDefault="00FB4539" w:rsidP="00D82620">
            <w:pPr>
              <w:pStyle w:val="CasesLegislationAppealFrom"/>
              <w:spacing w:after="60"/>
            </w:pPr>
            <w:r w:rsidRPr="00903770">
              <w:rPr>
                <w:i/>
              </w:rPr>
              <w:t>Deputy Commissioner of Taxation v Clark</w:t>
            </w:r>
            <w:r>
              <w:t xml:space="preserve"> (2003) 57 NSWLR 113; [2003] NSWCA 91</w:t>
            </w:r>
          </w:p>
          <w:p w14:paraId="5D99CD40" w14:textId="65E5D49F" w:rsidR="00FB4539" w:rsidRDefault="00FB4539" w:rsidP="00D82620">
            <w:pPr>
              <w:pStyle w:val="CasesLegislationAppealFrom"/>
              <w:spacing w:after="60"/>
              <w:rPr>
                <w:lang w:eastAsia="en-AU"/>
              </w:rPr>
            </w:pPr>
            <w:proofErr w:type="spellStart"/>
            <w:r w:rsidRPr="009E1777">
              <w:rPr>
                <w:i/>
                <w:lang w:eastAsia="en-AU"/>
              </w:rPr>
              <w:t>Gomba</w:t>
            </w:r>
            <w:proofErr w:type="spellEnd"/>
            <w:r w:rsidRPr="009E1777">
              <w:rPr>
                <w:i/>
                <w:lang w:eastAsia="en-AU"/>
              </w:rPr>
              <w:t xml:space="preserve"> Holdings (UK) Ltd v </w:t>
            </w:r>
            <w:proofErr w:type="spellStart"/>
            <w:r w:rsidRPr="009E1777">
              <w:rPr>
                <w:i/>
                <w:lang w:eastAsia="en-AU"/>
              </w:rPr>
              <w:t>Minories</w:t>
            </w:r>
            <w:proofErr w:type="spellEnd"/>
            <w:r w:rsidRPr="009E1777">
              <w:rPr>
                <w:i/>
                <w:lang w:eastAsia="en-AU"/>
              </w:rPr>
              <w:t xml:space="preserve"> Finance Ltd (No 2) </w:t>
            </w:r>
            <w:r>
              <w:rPr>
                <w:lang w:eastAsia="en-AU"/>
              </w:rPr>
              <w:t xml:space="preserve">[1993] </w:t>
            </w:r>
            <w:proofErr w:type="spellStart"/>
            <w:r>
              <w:rPr>
                <w:lang w:eastAsia="en-AU"/>
              </w:rPr>
              <w:t>Ch</w:t>
            </w:r>
            <w:proofErr w:type="spellEnd"/>
            <w:r>
              <w:rPr>
                <w:lang w:eastAsia="en-AU"/>
              </w:rPr>
              <w:t xml:space="preserve"> 171</w:t>
            </w:r>
          </w:p>
          <w:p w14:paraId="3D1AD2B8" w14:textId="406A7F97" w:rsidR="00FB4539" w:rsidRDefault="00FB4539" w:rsidP="00D82620">
            <w:pPr>
              <w:pStyle w:val="CasesLegislationAppealFrom"/>
              <w:spacing w:after="60"/>
              <w:rPr>
                <w:lang w:eastAsia="en-AU"/>
              </w:rPr>
            </w:pPr>
            <w:r w:rsidRPr="0075782B">
              <w:rPr>
                <w:i/>
                <w:lang w:eastAsia="en-AU"/>
              </w:rPr>
              <w:t xml:space="preserve">In re Adelphi Hotel (Brighton) </w:t>
            </w:r>
            <w:proofErr w:type="spellStart"/>
            <w:r w:rsidRPr="0075782B">
              <w:rPr>
                <w:i/>
                <w:lang w:eastAsia="en-AU"/>
              </w:rPr>
              <w:t>Ld</w:t>
            </w:r>
            <w:proofErr w:type="spellEnd"/>
            <w:r w:rsidRPr="0075782B">
              <w:rPr>
                <w:i/>
                <w:lang w:eastAsia="en-AU"/>
              </w:rPr>
              <w:t xml:space="preserve">; District Bank </w:t>
            </w:r>
            <w:proofErr w:type="spellStart"/>
            <w:r w:rsidRPr="0075782B">
              <w:rPr>
                <w:i/>
                <w:lang w:eastAsia="en-AU"/>
              </w:rPr>
              <w:t>Ld</w:t>
            </w:r>
            <w:proofErr w:type="spellEnd"/>
            <w:r w:rsidRPr="0075782B">
              <w:rPr>
                <w:i/>
                <w:lang w:eastAsia="en-AU"/>
              </w:rPr>
              <w:t xml:space="preserve"> v Adelphi Hotel (Brighton) </w:t>
            </w:r>
            <w:proofErr w:type="spellStart"/>
            <w:r w:rsidRPr="0075782B">
              <w:rPr>
                <w:i/>
                <w:lang w:eastAsia="en-AU"/>
              </w:rPr>
              <w:t>Ld</w:t>
            </w:r>
            <w:proofErr w:type="spellEnd"/>
            <w:r w:rsidRPr="0075782B">
              <w:rPr>
                <w:i/>
                <w:lang w:eastAsia="en-AU"/>
              </w:rPr>
              <w:t xml:space="preserve"> </w:t>
            </w:r>
            <w:r>
              <w:rPr>
                <w:lang w:eastAsia="en-AU"/>
              </w:rPr>
              <w:t>[1953] 1 WLR 955</w:t>
            </w:r>
          </w:p>
          <w:p w14:paraId="50AD92AE" w14:textId="7AEB8B96" w:rsidR="00FB4539" w:rsidRDefault="00FB4539" w:rsidP="00D82620">
            <w:pPr>
              <w:pStyle w:val="CasesLegislationAppealFrom"/>
              <w:spacing w:after="60"/>
            </w:pPr>
            <w:r>
              <w:rPr>
                <w:i/>
              </w:rPr>
              <w:t xml:space="preserve">In re a Solicitor’s Bill of Costs </w:t>
            </w:r>
            <w:r>
              <w:t>(1941) 58 WN (NSW) 132</w:t>
            </w:r>
          </w:p>
          <w:p w14:paraId="3956EBD5" w14:textId="76972BD6" w:rsidR="00FB4539" w:rsidRDefault="00FB4539" w:rsidP="00D82620">
            <w:pPr>
              <w:pStyle w:val="CasesLegislationAppealFrom"/>
              <w:spacing w:after="60"/>
            </w:pPr>
            <w:r>
              <w:rPr>
                <w:i/>
              </w:rPr>
              <w:t xml:space="preserve">In the matter of an arbitration between </w:t>
            </w:r>
            <w:proofErr w:type="spellStart"/>
            <w:r>
              <w:rPr>
                <w:i/>
              </w:rPr>
              <w:t>Richardsons</w:t>
            </w:r>
            <w:proofErr w:type="spellEnd"/>
            <w:r>
              <w:rPr>
                <w:i/>
              </w:rPr>
              <w:t xml:space="preserve"> and M Samuel &amp; Co</w:t>
            </w:r>
            <w:r>
              <w:t xml:space="preserve"> [1898] 1 QB 261</w:t>
            </w:r>
          </w:p>
          <w:p w14:paraId="15249060" w14:textId="03C861AB" w:rsidR="00FB4539" w:rsidRDefault="00FB4539" w:rsidP="00D82620">
            <w:pPr>
              <w:pStyle w:val="CasesLegislationAppealFrom"/>
              <w:spacing w:after="60"/>
            </w:pPr>
            <w:proofErr w:type="spellStart"/>
            <w:r w:rsidRPr="009E1777">
              <w:rPr>
                <w:i/>
              </w:rPr>
              <w:t>Jianshe</w:t>
            </w:r>
            <w:proofErr w:type="spellEnd"/>
            <w:r w:rsidRPr="009E1777">
              <w:rPr>
                <w:i/>
              </w:rPr>
              <w:t xml:space="preserve"> Southern Pty Ltd </w:t>
            </w:r>
            <w:r>
              <w:rPr>
                <w:i/>
              </w:rPr>
              <w:t xml:space="preserve">(ACN 007 031 905) </w:t>
            </w:r>
            <w:r w:rsidRPr="009E1777">
              <w:rPr>
                <w:i/>
              </w:rPr>
              <w:t xml:space="preserve">v Turnbull </w:t>
            </w:r>
            <w:r w:rsidRPr="009E1777">
              <w:rPr>
                <w:i/>
              </w:rPr>
              <w:lastRenderedPageBreak/>
              <w:t xml:space="preserve">Cooktown Pty Ltd </w:t>
            </w:r>
            <w:r>
              <w:rPr>
                <w:i/>
              </w:rPr>
              <w:t xml:space="preserve">(ACN 069 894 275) </w:t>
            </w:r>
            <w:r w:rsidRPr="009E1777">
              <w:rPr>
                <w:i/>
              </w:rPr>
              <w:t>(No 2)</w:t>
            </w:r>
            <w:r>
              <w:t xml:space="preserve"> [2007] FCA 903</w:t>
            </w:r>
          </w:p>
          <w:p w14:paraId="39577D31" w14:textId="5C500D64" w:rsidR="00FB4539" w:rsidRDefault="00FB4539" w:rsidP="00D82620">
            <w:pPr>
              <w:pStyle w:val="CasesLegislationAppealFrom"/>
              <w:spacing w:after="60"/>
            </w:pPr>
            <w:proofErr w:type="spellStart"/>
            <w:r>
              <w:rPr>
                <w:i/>
              </w:rPr>
              <w:t>Kayabram</w:t>
            </w:r>
            <w:proofErr w:type="spellEnd"/>
            <w:r>
              <w:rPr>
                <w:i/>
              </w:rPr>
              <w:t xml:space="preserve"> Property Investments Pty Ltd v Murray </w:t>
            </w:r>
            <w:r>
              <w:t>[2006] NSWSC 54</w:t>
            </w:r>
          </w:p>
          <w:p w14:paraId="527C1EE4" w14:textId="7ED92511" w:rsidR="00FB4539" w:rsidRDefault="00FB4539" w:rsidP="00D82620">
            <w:pPr>
              <w:pStyle w:val="CasesLegislationAppealFrom"/>
              <w:spacing w:after="60"/>
            </w:pPr>
            <w:r w:rsidRPr="0052536D">
              <w:rPr>
                <w:i/>
              </w:rPr>
              <w:t xml:space="preserve">Leda Holdings Pty Ltd v </w:t>
            </w:r>
            <w:proofErr w:type="spellStart"/>
            <w:r w:rsidRPr="0052536D">
              <w:rPr>
                <w:i/>
              </w:rPr>
              <w:t>Oraka</w:t>
            </w:r>
            <w:proofErr w:type="spellEnd"/>
            <w:r w:rsidRPr="0052536D">
              <w:rPr>
                <w:i/>
              </w:rPr>
              <w:t xml:space="preserve"> Pty Ltd</w:t>
            </w:r>
            <w:r>
              <w:t xml:space="preserve"> [1999] FCA 444</w:t>
            </w:r>
          </w:p>
          <w:p w14:paraId="6B6FFA61" w14:textId="24FD771F" w:rsidR="00FB4539" w:rsidRDefault="00FB4539" w:rsidP="00D82620">
            <w:pPr>
              <w:pStyle w:val="CasesLegislationAppealFrom"/>
              <w:spacing w:after="60"/>
            </w:pPr>
            <w:r w:rsidRPr="00B30C53">
              <w:rPr>
                <w:i/>
              </w:rPr>
              <w:t xml:space="preserve">Lend Lease Real Estate Investments Ltd </w:t>
            </w:r>
            <w:r>
              <w:rPr>
                <w:i/>
              </w:rPr>
              <w:t xml:space="preserve">&amp; Anor </w:t>
            </w:r>
            <w:r w:rsidRPr="00B30C53">
              <w:rPr>
                <w:i/>
              </w:rPr>
              <w:t>v GPT RE Ltd</w:t>
            </w:r>
            <w:r>
              <w:t xml:space="preserve"> [2006] NSWCA 207</w:t>
            </w:r>
          </w:p>
          <w:p w14:paraId="00CFB48B" w14:textId="73109BF2" w:rsidR="00FB4539" w:rsidRDefault="00FB4539" w:rsidP="00D82620">
            <w:pPr>
              <w:pStyle w:val="CasesLegislationAppealFrom"/>
              <w:spacing w:after="60"/>
            </w:pPr>
            <w:r>
              <w:rPr>
                <w:i/>
              </w:rPr>
              <w:t xml:space="preserve">National Australia Bank Limited v </w:t>
            </w:r>
            <w:proofErr w:type="spellStart"/>
            <w:r>
              <w:rPr>
                <w:i/>
              </w:rPr>
              <w:t>Landy</w:t>
            </w:r>
            <w:proofErr w:type="spellEnd"/>
            <w:r>
              <w:rPr>
                <w:i/>
              </w:rPr>
              <w:t xml:space="preserve"> Chen-Conway &amp; Anor </w:t>
            </w:r>
            <w:r>
              <w:t>[2008] NSWSC 485</w:t>
            </w:r>
          </w:p>
          <w:p w14:paraId="519FD79F" w14:textId="02DEB1C4" w:rsidR="00FB4539" w:rsidRDefault="00FB4539" w:rsidP="00D82620">
            <w:pPr>
              <w:pStyle w:val="CasesLegislationAppealFrom"/>
              <w:spacing w:after="60"/>
              <w:rPr>
                <w:lang w:eastAsia="en-AU"/>
              </w:rPr>
            </w:pPr>
            <w:r w:rsidRPr="007A3731">
              <w:rPr>
                <w:i/>
                <w:lang w:eastAsia="en-AU"/>
              </w:rPr>
              <w:t xml:space="preserve">Perpetual Trustees Australia Ltd </w:t>
            </w:r>
            <w:r>
              <w:rPr>
                <w:i/>
                <w:lang w:eastAsia="en-AU"/>
              </w:rPr>
              <w:t xml:space="preserve">&amp; </w:t>
            </w:r>
            <w:proofErr w:type="spellStart"/>
            <w:r>
              <w:rPr>
                <w:i/>
                <w:lang w:eastAsia="en-AU"/>
              </w:rPr>
              <w:t>Ors</w:t>
            </w:r>
            <w:proofErr w:type="spellEnd"/>
            <w:r>
              <w:rPr>
                <w:i/>
                <w:lang w:eastAsia="en-AU"/>
              </w:rPr>
              <w:t xml:space="preserve"> </w:t>
            </w:r>
            <w:r w:rsidRPr="007A3731">
              <w:rPr>
                <w:i/>
                <w:lang w:eastAsia="en-AU"/>
              </w:rPr>
              <w:t>v Barker</w:t>
            </w:r>
            <w:r>
              <w:rPr>
                <w:lang w:eastAsia="en-AU"/>
              </w:rPr>
              <w:t xml:space="preserve"> (2004) 232 LSJS 400;</w:t>
            </w:r>
            <w:r w:rsidR="006E004B">
              <w:rPr>
                <w:lang w:eastAsia="en-AU"/>
              </w:rPr>
              <w:t xml:space="preserve"> </w:t>
            </w:r>
            <w:r>
              <w:rPr>
                <w:lang w:eastAsia="en-AU"/>
              </w:rPr>
              <w:t>[2004] SASC 58</w:t>
            </w:r>
          </w:p>
          <w:p w14:paraId="73F62E9E" w14:textId="1CCB0FFA" w:rsidR="00FB4539" w:rsidRDefault="00FB4539" w:rsidP="00D82620">
            <w:pPr>
              <w:pStyle w:val="CasesLegislationAppealFrom"/>
              <w:spacing w:after="60"/>
            </w:pPr>
            <w:proofErr w:type="spellStart"/>
            <w:r w:rsidRPr="0030629C">
              <w:rPr>
                <w:i/>
              </w:rPr>
              <w:t>Quadrascan</w:t>
            </w:r>
            <w:proofErr w:type="spellEnd"/>
            <w:r w:rsidRPr="0030629C">
              <w:rPr>
                <w:i/>
              </w:rPr>
              <w:t xml:space="preserve"> Graphics Pty Ltd as Trustee of the Quad Unit Trust v </w:t>
            </w:r>
            <w:proofErr w:type="spellStart"/>
            <w:r w:rsidRPr="0030629C">
              <w:rPr>
                <w:i/>
              </w:rPr>
              <w:t>Crosfield</w:t>
            </w:r>
            <w:proofErr w:type="spellEnd"/>
            <w:r w:rsidRPr="0030629C">
              <w:rPr>
                <w:i/>
              </w:rPr>
              <w:t xml:space="preserve"> Electronics ANZ Pty Ltd</w:t>
            </w:r>
            <w:r>
              <w:t xml:space="preserve"> [1995] FCA 319; BC9507757</w:t>
            </w:r>
          </w:p>
          <w:p w14:paraId="70062404" w14:textId="27A477E8" w:rsidR="00FB4539" w:rsidRDefault="00FB4539" w:rsidP="00D82620">
            <w:pPr>
              <w:pStyle w:val="CasesLegislationAppealFrom"/>
              <w:spacing w:after="60"/>
              <w:rPr>
                <w:lang w:eastAsia="en-AU"/>
              </w:rPr>
            </w:pPr>
            <w:r w:rsidRPr="003551E4">
              <w:rPr>
                <w:i/>
                <w:lang w:eastAsia="en-AU"/>
              </w:rPr>
              <w:t xml:space="preserve">Ruddock v </w:t>
            </w:r>
            <w:proofErr w:type="spellStart"/>
            <w:r w:rsidRPr="003551E4">
              <w:rPr>
                <w:i/>
                <w:lang w:eastAsia="en-AU"/>
              </w:rPr>
              <w:t>Vadarlis</w:t>
            </w:r>
            <w:proofErr w:type="spellEnd"/>
            <w:r w:rsidRPr="003551E4">
              <w:rPr>
                <w:i/>
                <w:lang w:eastAsia="en-AU"/>
              </w:rPr>
              <w:t xml:space="preserve"> (No 2)</w:t>
            </w:r>
            <w:r>
              <w:rPr>
                <w:lang w:eastAsia="en-AU"/>
              </w:rPr>
              <w:t xml:space="preserve"> (2001) 115 FCR 229; [2001] FCA 1865</w:t>
            </w:r>
          </w:p>
          <w:p w14:paraId="6B98CD47" w14:textId="0EF90F1C" w:rsidR="00FB4539" w:rsidRDefault="00FB4539" w:rsidP="00D82620">
            <w:pPr>
              <w:pStyle w:val="CasesLegislationAppealFrom"/>
              <w:spacing w:after="60"/>
              <w:rPr>
                <w:i/>
              </w:rPr>
            </w:pPr>
            <w:r w:rsidRPr="00903770">
              <w:rPr>
                <w:i/>
              </w:rPr>
              <w:t xml:space="preserve">R v Regos </w:t>
            </w:r>
            <w:r>
              <w:rPr>
                <w:i/>
              </w:rPr>
              <w:t>and</w:t>
            </w:r>
            <w:r w:rsidRPr="00903770">
              <w:rPr>
                <w:i/>
              </w:rPr>
              <w:t xml:space="preserve"> Morgan</w:t>
            </w:r>
            <w:r>
              <w:t xml:space="preserve"> (1947) 74 CLR 613</w:t>
            </w:r>
          </w:p>
          <w:p w14:paraId="312C7AD8" w14:textId="77CA87DA" w:rsidR="00FB4539" w:rsidRDefault="00FB4539" w:rsidP="00D82620">
            <w:pPr>
              <w:pStyle w:val="CasesLegislationAppealFrom"/>
              <w:spacing w:after="60"/>
            </w:pPr>
            <w:r w:rsidRPr="00AA7889">
              <w:rPr>
                <w:i/>
              </w:rPr>
              <w:t>Stuart v Rabobank Australia Ltd</w:t>
            </w:r>
            <w:r>
              <w:t xml:space="preserve"> [2021] FCA 1388</w:t>
            </w:r>
          </w:p>
          <w:p w14:paraId="2FCABEB7" w14:textId="3FC6D1B7" w:rsidR="00FB4539" w:rsidRDefault="00FB4539" w:rsidP="00D82620">
            <w:pPr>
              <w:pStyle w:val="CasesLegislationAppealFrom"/>
              <w:spacing w:after="60"/>
            </w:pPr>
            <w:r w:rsidRPr="00357E1A">
              <w:rPr>
                <w:i/>
              </w:rPr>
              <w:t xml:space="preserve">Swiss Re International Se v LCA Marrickville Pty Limited (Second COVID-19 insurance test cases) </w:t>
            </w:r>
            <w:r w:rsidRPr="00357E1A">
              <w:t>[2021] FCA 1206</w:t>
            </w:r>
          </w:p>
          <w:p w14:paraId="49684228" w14:textId="7EE5D7D7" w:rsidR="00FB4539" w:rsidRDefault="00FB4539" w:rsidP="00D82620">
            <w:pPr>
              <w:pStyle w:val="CasesLegislationAppealFrom"/>
              <w:spacing w:after="60"/>
            </w:pPr>
            <w:r>
              <w:rPr>
                <w:i/>
              </w:rPr>
              <w:t xml:space="preserve">The </w:t>
            </w:r>
            <w:r w:rsidRPr="0052536D">
              <w:rPr>
                <w:i/>
              </w:rPr>
              <w:t xml:space="preserve">Thames </w:t>
            </w:r>
            <w:r>
              <w:rPr>
                <w:i/>
              </w:rPr>
              <w:t>and</w:t>
            </w:r>
            <w:r w:rsidRPr="0052536D">
              <w:rPr>
                <w:i/>
              </w:rPr>
              <w:t xml:space="preserve"> Mersey Marine Insurance Co</w:t>
            </w:r>
            <w:r>
              <w:rPr>
                <w:i/>
              </w:rPr>
              <w:t>mpany,</w:t>
            </w:r>
            <w:r w:rsidRPr="0052536D">
              <w:rPr>
                <w:i/>
              </w:rPr>
              <w:t xml:space="preserve"> L</w:t>
            </w:r>
            <w:r>
              <w:rPr>
                <w:i/>
              </w:rPr>
              <w:t>imi</w:t>
            </w:r>
            <w:r w:rsidRPr="0052536D">
              <w:rPr>
                <w:i/>
              </w:rPr>
              <w:t>t</w:t>
            </w:r>
            <w:r>
              <w:rPr>
                <w:i/>
              </w:rPr>
              <w:t>e</w:t>
            </w:r>
            <w:r w:rsidRPr="0052536D">
              <w:rPr>
                <w:i/>
              </w:rPr>
              <w:t>d v Hamilton, Fraser &amp; Co</w:t>
            </w:r>
            <w:r>
              <w:rPr>
                <w:i/>
              </w:rPr>
              <w:t>mpany</w:t>
            </w:r>
            <w:r>
              <w:t xml:space="preserve"> (1887) 12 App </w:t>
            </w:r>
            <w:proofErr w:type="spellStart"/>
            <w:r>
              <w:t>Cas</w:t>
            </w:r>
            <w:proofErr w:type="spellEnd"/>
            <w:r>
              <w:t xml:space="preserve"> 484</w:t>
            </w:r>
          </w:p>
          <w:p w14:paraId="52963EA0" w14:textId="216B9FBE" w:rsidR="00FB4539" w:rsidRDefault="00FB4539" w:rsidP="00D82620">
            <w:pPr>
              <w:pStyle w:val="CasesLegislationAppealFrom"/>
              <w:spacing w:after="60"/>
            </w:pPr>
            <w:proofErr w:type="spellStart"/>
            <w:r>
              <w:rPr>
                <w:i/>
              </w:rPr>
              <w:t>Thorman</w:t>
            </w:r>
            <w:proofErr w:type="spellEnd"/>
            <w:r>
              <w:rPr>
                <w:i/>
              </w:rPr>
              <w:t xml:space="preserve"> v </w:t>
            </w:r>
            <w:proofErr w:type="spellStart"/>
            <w:r>
              <w:rPr>
                <w:i/>
              </w:rPr>
              <w:t>Dowgate</w:t>
            </w:r>
            <w:proofErr w:type="spellEnd"/>
            <w:r>
              <w:rPr>
                <w:i/>
              </w:rPr>
              <w:t xml:space="preserve"> Steamship Company </w:t>
            </w:r>
            <w:r w:rsidRPr="003E38B9">
              <w:rPr>
                <w:i/>
              </w:rPr>
              <w:t>L</w:t>
            </w:r>
            <w:r>
              <w:rPr>
                <w:i/>
              </w:rPr>
              <w:t>imited</w:t>
            </w:r>
            <w:r w:rsidRPr="003E38B9">
              <w:rPr>
                <w:i/>
              </w:rPr>
              <w:t xml:space="preserve"> </w:t>
            </w:r>
            <w:r>
              <w:t>[1910] 1 KB 410</w:t>
            </w:r>
          </w:p>
          <w:p w14:paraId="551C5970" w14:textId="0CCC92F0" w:rsidR="00FB4539" w:rsidRDefault="00FB4539" w:rsidP="00D82620">
            <w:pPr>
              <w:pStyle w:val="CasesLegislationAppealFrom"/>
              <w:spacing w:after="60"/>
            </w:pPr>
            <w:r w:rsidRPr="00357E1A">
              <w:rPr>
                <w:i/>
              </w:rPr>
              <w:t>Walton v National Employers’ Mutual General Insurance Association Ltd</w:t>
            </w:r>
            <w:r w:rsidRPr="00357E1A">
              <w:t xml:space="preserve"> [1973] 2 NSWLR 73</w:t>
            </w:r>
          </w:p>
          <w:p w14:paraId="0021E5D0" w14:textId="071523D7" w:rsidR="00395B24" w:rsidRDefault="00FB4539" w:rsidP="00D82620">
            <w:pPr>
              <w:pStyle w:val="CasesLegislationAppealFrom"/>
              <w:spacing w:after="60"/>
            </w:pPr>
            <w:r w:rsidRPr="00E70012">
              <w:rPr>
                <w:i/>
              </w:rPr>
              <w:t>Wong v Hutchinson</w:t>
            </w:r>
            <w:r>
              <w:t xml:space="preserve"> (1950) 68 WN (NSW) 55</w:t>
            </w:r>
            <w:bookmarkEnd w:id="3"/>
          </w:p>
        </w:tc>
      </w:tr>
      <w:tr w:rsidR="00357E1A" w14:paraId="3041B133" w14:textId="77777777" w:rsidTr="00357E1A">
        <w:tc>
          <w:tcPr>
            <w:tcW w:w="3084" w:type="dxa"/>
            <w:shd w:val="clear" w:color="auto" w:fill="auto"/>
          </w:tcPr>
          <w:p w14:paraId="77C92CAF" w14:textId="77777777" w:rsidR="00357E1A" w:rsidRDefault="00357E1A" w:rsidP="000048AF">
            <w:pPr>
              <w:pStyle w:val="Normal1linespace"/>
              <w:widowControl w:val="0"/>
            </w:pPr>
          </w:p>
        </w:tc>
        <w:tc>
          <w:tcPr>
            <w:tcW w:w="5989" w:type="dxa"/>
            <w:shd w:val="clear" w:color="auto" w:fill="auto"/>
          </w:tcPr>
          <w:p w14:paraId="7BC42EBB" w14:textId="77777777" w:rsidR="00357E1A" w:rsidRDefault="00357E1A" w:rsidP="000048AF">
            <w:pPr>
              <w:pStyle w:val="Normal1linespace"/>
              <w:widowControl w:val="0"/>
              <w:jc w:val="left"/>
            </w:pPr>
          </w:p>
        </w:tc>
      </w:tr>
      <w:tr w:rsidR="00357E1A" w14:paraId="640AEC92" w14:textId="77777777" w:rsidTr="00357E1A">
        <w:tc>
          <w:tcPr>
            <w:tcW w:w="3084" w:type="dxa"/>
            <w:shd w:val="clear" w:color="auto" w:fill="auto"/>
          </w:tcPr>
          <w:p w14:paraId="6337AF57" w14:textId="77777777" w:rsidR="00357E1A" w:rsidRDefault="00357E1A" w:rsidP="00501A12">
            <w:pPr>
              <w:pStyle w:val="Normal1linespace"/>
              <w:widowControl w:val="0"/>
            </w:pPr>
            <w:r>
              <w:t>Division:</w:t>
            </w:r>
          </w:p>
        </w:tc>
        <w:tc>
          <w:tcPr>
            <w:tcW w:w="5989" w:type="dxa"/>
            <w:shd w:val="clear" w:color="auto" w:fill="auto"/>
          </w:tcPr>
          <w:p w14:paraId="6A4E9730" w14:textId="77777777" w:rsidR="00357E1A" w:rsidRPr="00F17599" w:rsidRDefault="00080019" w:rsidP="00501A12">
            <w:pPr>
              <w:pStyle w:val="Normal1linespace"/>
              <w:widowControl w:val="0"/>
              <w:jc w:val="left"/>
            </w:pPr>
            <w:fldSimple w:instr=" DOCPROPERTY  Division ">
              <w:r w:rsidR="00357E1A">
                <w:t>General Division</w:t>
              </w:r>
            </w:fldSimple>
          </w:p>
        </w:tc>
      </w:tr>
      <w:tr w:rsidR="00357E1A" w14:paraId="03DA8406" w14:textId="77777777" w:rsidTr="00357E1A">
        <w:tc>
          <w:tcPr>
            <w:tcW w:w="3084" w:type="dxa"/>
            <w:shd w:val="clear" w:color="auto" w:fill="auto"/>
          </w:tcPr>
          <w:p w14:paraId="1222789B" w14:textId="77777777" w:rsidR="00357E1A" w:rsidRDefault="00357E1A" w:rsidP="00501A12">
            <w:pPr>
              <w:pStyle w:val="Normal1linespace"/>
              <w:widowControl w:val="0"/>
            </w:pPr>
            <w:bookmarkStart w:id="4" w:name="Registry_rows" w:colFirst="0" w:colLast="1"/>
          </w:p>
        </w:tc>
        <w:tc>
          <w:tcPr>
            <w:tcW w:w="5989" w:type="dxa"/>
            <w:shd w:val="clear" w:color="auto" w:fill="auto"/>
          </w:tcPr>
          <w:p w14:paraId="4F79846F" w14:textId="77777777" w:rsidR="00357E1A" w:rsidRDefault="00357E1A" w:rsidP="00501A12">
            <w:pPr>
              <w:pStyle w:val="Normal1linespace"/>
              <w:widowControl w:val="0"/>
              <w:jc w:val="left"/>
            </w:pPr>
          </w:p>
        </w:tc>
      </w:tr>
      <w:tr w:rsidR="00357E1A" w14:paraId="65AF424D" w14:textId="77777777" w:rsidTr="00357E1A">
        <w:tc>
          <w:tcPr>
            <w:tcW w:w="3084" w:type="dxa"/>
            <w:shd w:val="clear" w:color="auto" w:fill="auto"/>
          </w:tcPr>
          <w:p w14:paraId="71078AA8" w14:textId="77777777" w:rsidR="00357E1A" w:rsidRDefault="00357E1A" w:rsidP="00501A12">
            <w:pPr>
              <w:pStyle w:val="Normal1linespace"/>
              <w:widowControl w:val="0"/>
            </w:pPr>
            <w:r>
              <w:t>Registry:</w:t>
            </w:r>
          </w:p>
        </w:tc>
        <w:tc>
          <w:tcPr>
            <w:tcW w:w="5989" w:type="dxa"/>
            <w:shd w:val="clear" w:color="auto" w:fill="auto"/>
          </w:tcPr>
          <w:p w14:paraId="495F3CE0" w14:textId="77777777" w:rsidR="00357E1A" w:rsidRPr="00F17599" w:rsidRDefault="00080019" w:rsidP="00501A12">
            <w:pPr>
              <w:pStyle w:val="Normal1linespace"/>
              <w:widowControl w:val="0"/>
              <w:jc w:val="left"/>
            </w:pPr>
            <w:fldSimple w:instr=" DOCPROPERTY  Registry ">
              <w:r w:rsidR="00357E1A">
                <w:t>New South Wales</w:t>
              </w:r>
            </w:fldSimple>
          </w:p>
        </w:tc>
      </w:tr>
      <w:tr w:rsidR="00357E1A" w14:paraId="342FA5AF" w14:textId="77777777" w:rsidTr="00357E1A">
        <w:tc>
          <w:tcPr>
            <w:tcW w:w="3084" w:type="dxa"/>
            <w:shd w:val="clear" w:color="auto" w:fill="auto"/>
          </w:tcPr>
          <w:p w14:paraId="0F8F7784" w14:textId="77777777" w:rsidR="00357E1A" w:rsidRDefault="00357E1A" w:rsidP="00501A12">
            <w:pPr>
              <w:pStyle w:val="Normal1linespace"/>
              <w:widowControl w:val="0"/>
            </w:pPr>
            <w:bookmarkStart w:id="5" w:name="NPARow" w:colFirst="0" w:colLast="1"/>
            <w:bookmarkEnd w:id="4"/>
          </w:p>
        </w:tc>
        <w:tc>
          <w:tcPr>
            <w:tcW w:w="5989" w:type="dxa"/>
            <w:shd w:val="clear" w:color="auto" w:fill="auto"/>
          </w:tcPr>
          <w:p w14:paraId="0DE8B9E1" w14:textId="77777777" w:rsidR="00357E1A" w:rsidRPr="00F17599" w:rsidRDefault="00357E1A" w:rsidP="00501A12">
            <w:pPr>
              <w:pStyle w:val="Normal1linespace"/>
              <w:widowControl w:val="0"/>
              <w:jc w:val="left"/>
              <w:rPr>
                <w:b/>
              </w:rPr>
            </w:pPr>
          </w:p>
        </w:tc>
      </w:tr>
      <w:tr w:rsidR="00357E1A" w14:paraId="225E337A" w14:textId="77777777" w:rsidTr="00357E1A">
        <w:tc>
          <w:tcPr>
            <w:tcW w:w="3084" w:type="dxa"/>
            <w:shd w:val="clear" w:color="auto" w:fill="auto"/>
          </w:tcPr>
          <w:p w14:paraId="22F40637" w14:textId="77777777" w:rsidR="00357E1A" w:rsidRDefault="00357E1A" w:rsidP="00501A12">
            <w:pPr>
              <w:pStyle w:val="Normal1linespace"/>
              <w:widowControl w:val="0"/>
            </w:pPr>
            <w:r>
              <w:t>National Practice Area:</w:t>
            </w:r>
          </w:p>
        </w:tc>
        <w:tc>
          <w:tcPr>
            <w:tcW w:w="5989" w:type="dxa"/>
            <w:shd w:val="clear" w:color="auto" w:fill="auto"/>
          </w:tcPr>
          <w:p w14:paraId="069F2514" w14:textId="77777777" w:rsidR="00357E1A" w:rsidRPr="00F17599" w:rsidRDefault="00080019" w:rsidP="000048AF">
            <w:pPr>
              <w:pStyle w:val="Normal1linespace"/>
              <w:widowControl w:val="0"/>
              <w:jc w:val="left"/>
              <w:rPr>
                <w:b/>
              </w:rPr>
            </w:pPr>
            <w:fldSimple w:instr=" DOCPROPERTY  &quot;Practice Area&quot;  \* MERGEFORMAT ">
              <w:r w:rsidR="00357E1A">
                <w:t>Commercial and Corporations</w:t>
              </w:r>
            </w:fldSimple>
          </w:p>
        </w:tc>
      </w:tr>
      <w:tr w:rsidR="00357E1A" w14:paraId="202428E5" w14:textId="77777777" w:rsidTr="00357E1A">
        <w:tc>
          <w:tcPr>
            <w:tcW w:w="3084" w:type="dxa"/>
            <w:shd w:val="clear" w:color="auto" w:fill="auto"/>
          </w:tcPr>
          <w:p w14:paraId="12E9A68A" w14:textId="77777777" w:rsidR="00357E1A" w:rsidRDefault="00357E1A" w:rsidP="00501A12">
            <w:pPr>
              <w:pStyle w:val="Normal1linespace"/>
              <w:widowControl w:val="0"/>
            </w:pPr>
            <w:bookmarkStart w:id="6" w:name="SubAreaRow" w:colFirst="0" w:colLast="1"/>
            <w:bookmarkEnd w:id="5"/>
          </w:p>
        </w:tc>
        <w:tc>
          <w:tcPr>
            <w:tcW w:w="5989" w:type="dxa"/>
            <w:shd w:val="clear" w:color="auto" w:fill="auto"/>
          </w:tcPr>
          <w:p w14:paraId="28A6C018" w14:textId="77777777" w:rsidR="00357E1A" w:rsidRDefault="00357E1A" w:rsidP="000048AF">
            <w:pPr>
              <w:pStyle w:val="Normal1linespace"/>
              <w:widowControl w:val="0"/>
              <w:jc w:val="left"/>
            </w:pPr>
          </w:p>
        </w:tc>
      </w:tr>
      <w:tr w:rsidR="00357E1A" w14:paraId="74CA863C" w14:textId="77777777" w:rsidTr="00357E1A">
        <w:tc>
          <w:tcPr>
            <w:tcW w:w="3084" w:type="dxa"/>
            <w:shd w:val="clear" w:color="auto" w:fill="auto"/>
          </w:tcPr>
          <w:p w14:paraId="26419A4E" w14:textId="77777777" w:rsidR="00357E1A" w:rsidRDefault="00357E1A" w:rsidP="00501A12">
            <w:pPr>
              <w:pStyle w:val="Normal1linespace"/>
              <w:widowControl w:val="0"/>
            </w:pPr>
            <w:r>
              <w:t>Sub-area:</w:t>
            </w:r>
          </w:p>
        </w:tc>
        <w:tc>
          <w:tcPr>
            <w:tcW w:w="5989" w:type="dxa"/>
            <w:shd w:val="clear" w:color="auto" w:fill="auto"/>
          </w:tcPr>
          <w:p w14:paraId="3DC97642" w14:textId="77777777" w:rsidR="00357E1A" w:rsidRPr="00837288" w:rsidRDefault="00080019" w:rsidP="000048AF">
            <w:pPr>
              <w:pStyle w:val="Normal1linespace"/>
              <w:widowControl w:val="0"/>
              <w:jc w:val="left"/>
            </w:pPr>
            <w:fldSimple w:instr=" DOCPROPERTY  &quot;Sub Area&quot;  \* MERGEFORMAT ">
              <w:r w:rsidR="00357E1A" w:rsidRPr="00357E1A">
                <w:rPr>
                  <w:lang w:val="en-US"/>
                </w:rPr>
                <w:t xml:space="preserve">Commercial Contracts, </w:t>
              </w:r>
              <w:r w:rsidR="00357E1A">
                <w:t>Banking, Finance and Insurance</w:t>
              </w:r>
            </w:fldSimple>
          </w:p>
        </w:tc>
      </w:tr>
      <w:bookmarkEnd w:id="6"/>
      <w:tr w:rsidR="00357E1A" w14:paraId="6B4C1406" w14:textId="77777777" w:rsidTr="00357E1A">
        <w:tc>
          <w:tcPr>
            <w:tcW w:w="3084" w:type="dxa"/>
            <w:shd w:val="clear" w:color="auto" w:fill="auto"/>
          </w:tcPr>
          <w:p w14:paraId="188C97D9" w14:textId="77777777" w:rsidR="00357E1A" w:rsidRDefault="00357E1A" w:rsidP="00501A12">
            <w:pPr>
              <w:pStyle w:val="Normal1linespace"/>
              <w:widowControl w:val="0"/>
            </w:pPr>
          </w:p>
        </w:tc>
        <w:tc>
          <w:tcPr>
            <w:tcW w:w="5989" w:type="dxa"/>
            <w:shd w:val="clear" w:color="auto" w:fill="auto"/>
          </w:tcPr>
          <w:p w14:paraId="64AA109C" w14:textId="77777777" w:rsidR="00357E1A" w:rsidRDefault="00357E1A" w:rsidP="00501A12">
            <w:pPr>
              <w:pStyle w:val="Normal1linespace"/>
              <w:widowControl w:val="0"/>
              <w:jc w:val="left"/>
            </w:pPr>
          </w:p>
        </w:tc>
      </w:tr>
      <w:tr w:rsidR="00357E1A" w14:paraId="47B771C8" w14:textId="77777777" w:rsidTr="00357E1A">
        <w:tc>
          <w:tcPr>
            <w:tcW w:w="3084" w:type="dxa"/>
            <w:shd w:val="clear" w:color="auto" w:fill="auto"/>
          </w:tcPr>
          <w:p w14:paraId="60A924D6" w14:textId="77777777" w:rsidR="00357E1A" w:rsidRDefault="00357E1A" w:rsidP="00501A12">
            <w:pPr>
              <w:pStyle w:val="Normal1linespace"/>
              <w:widowControl w:val="0"/>
            </w:pPr>
            <w:r>
              <w:t>Number of paragraphs:</w:t>
            </w:r>
          </w:p>
        </w:tc>
        <w:tc>
          <w:tcPr>
            <w:tcW w:w="5989" w:type="dxa"/>
            <w:shd w:val="clear" w:color="auto" w:fill="auto"/>
          </w:tcPr>
          <w:p w14:paraId="53F70CEB" w14:textId="5905D303" w:rsidR="00357E1A" w:rsidRDefault="0077074B" w:rsidP="00501A12">
            <w:pPr>
              <w:pStyle w:val="Normal1linespace"/>
              <w:widowControl w:val="0"/>
              <w:jc w:val="left"/>
            </w:pPr>
            <w:bookmarkStart w:id="7" w:name="PlaceCategoryParagraphs"/>
            <w:r>
              <w:t>69</w:t>
            </w:r>
            <w:bookmarkEnd w:id="7"/>
          </w:p>
        </w:tc>
      </w:tr>
      <w:tr w:rsidR="00357E1A" w14:paraId="5EC5AA06" w14:textId="77777777" w:rsidTr="00357E1A">
        <w:tc>
          <w:tcPr>
            <w:tcW w:w="3084" w:type="dxa"/>
            <w:shd w:val="clear" w:color="auto" w:fill="auto"/>
          </w:tcPr>
          <w:p w14:paraId="6394DA66" w14:textId="77777777" w:rsidR="00357E1A" w:rsidRDefault="00357E1A" w:rsidP="00357E1A">
            <w:pPr>
              <w:pStyle w:val="Normal1linespace"/>
              <w:widowControl w:val="0"/>
              <w:jc w:val="left"/>
            </w:pPr>
          </w:p>
        </w:tc>
        <w:tc>
          <w:tcPr>
            <w:tcW w:w="5989" w:type="dxa"/>
            <w:shd w:val="clear" w:color="auto" w:fill="auto"/>
          </w:tcPr>
          <w:p w14:paraId="608B659A" w14:textId="77777777" w:rsidR="00357E1A" w:rsidRDefault="00357E1A" w:rsidP="00357E1A">
            <w:pPr>
              <w:pStyle w:val="Normal1linespace"/>
              <w:widowControl w:val="0"/>
              <w:jc w:val="left"/>
            </w:pPr>
          </w:p>
        </w:tc>
      </w:tr>
      <w:tr w:rsidR="00357E1A" w14:paraId="4E785BF1" w14:textId="77777777" w:rsidTr="00357E1A">
        <w:tc>
          <w:tcPr>
            <w:tcW w:w="3084" w:type="dxa"/>
            <w:shd w:val="clear" w:color="auto" w:fill="auto"/>
          </w:tcPr>
          <w:p w14:paraId="6018834A" w14:textId="77777777" w:rsidR="00357E1A" w:rsidRDefault="00357E1A" w:rsidP="00357E1A">
            <w:pPr>
              <w:pStyle w:val="Normal1linespace"/>
              <w:widowControl w:val="0"/>
              <w:jc w:val="left"/>
            </w:pPr>
            <w:r>
              <w:t>Date of last submission/s:</w:t>
            </w:r>
          </w:p>
        </w:tc>
        <w:tc>
          <w:tcPr>
            <w:tcW w:w="5989" w:type="dxa"/>
            <w:shd w:val="clear" w:color="auto" w:fill="auto"/>
          </w:tcPr>
          <w:p w14:paraId="2771A94B" w14:textId="77777777" w:rsidR="00357E1A" w:rsidRDefault="00357E1A" w:rsidP="00357E1A">
            <w:pPr>
              <w:pStyle w:val="Normal1linespace"/>
              <w:widowControl w:val="0"/>
              <w:jc w:val="left"/>
            </w:pPr>
            <w:r>
              <w:t>24 November 2021 (Respondent / Cross-Claimant)</w:t>
            </w:r>
          </w:p>
        </w:tc>
      </w:tr>
      <w:tr w:rsidR="00357E1A" w14:paraId="46B8710B" w14:textId="77777777" w:rsidTr="00357E1A">
        <w:tc>
          <w:tcPr>
            <w:tcW w:w="3084" w:type="dxa"/>
            <w:shd w:val="clear" w:color="auto" w:fill="auto"/>
          </w:tcPr>
          <w:p w14:paraId="7A6C0124" w14:textId="77777777" w:rsidR="00357E1A" w:rsidRDefault="00357E1A" w:rsidP="00357E1A">
            <w:pPr>
              <w:pStyle w:val="Normal1linespace"/>
              <w:widowControl w:val="0"/>
              <w:jc w:val="left"/>
            </w:pPr>
          </w:p>
        </w:tc>
        <w:tc>
          <w:tcPr>
            <w:tcW w:w="5989" w:type="dxa"/>
            <w:shd w:val="clear" w:color="auto" w:fill="auto"/>
          </w:tcPr>
          <w:p w14:paraId="1C74C50E" w14:textId="77777777" w:rsidR="00357E1A" w:rsidRDefault="00357E1A" w:rsidP="00357E1A">
            <w:pPr>
              <w:pStyle w:val="Normal1linespace"/>
              <w:widowControl w:val="0"/>
              <w:jc w:val="left"/>
            </w:pPr>
          </w:p>
        </w:tc>
      </w:tr>
      <w:tr w:rsidR="00357E1A" w14:paraId="78110421" w14:textId="77777777" w:rsidTr="00357E1A">
        <w:tc>
          <w:tcPr>
            <w:tcW w:w="3084" w:type="dxa"/>
            <w:shd w:val="clear" w:color="auto" w:fill="auto"/>
          </w:tcPr>
          <w:p w14:paraId="2CD58D5C" w14:textId="77777777" w:rsidR="00357E1A" w:rsidRDefault="00357E1A" w:rsidP="00357E1A">
            <w:pPr>
              <w:pStyle w:val="Normal1linespace"/>
              <w:widowControl w:val="0"/>
              <w:jc w:val="left"/>
            </w:pPr>
            <w:bookmarkStart w:id="8" w:name="CounselDate" w:colFirst="0" w:colLast="2"/>
            <w:r w:rsidRPr="006A24E3">
              <w:t>Date of hearing:</w:t>
            </w:r>
          </w:p>
        </w:tc>
        <w:tc>
          <w:tcPr>
            <w:tcW w:w="5989" w:type="dxa"/>
            <w:shd w:val="clear" w:color="auto" w:fill="auto"/>
          </w:tcPr>
          <w:p w14:paraId="179CDE83" w14:textId="77777777" w:rsidR="00357E1A" w:rsidRDefault="00357E1A" w:rsidP="00357E1A">
            <w:pPr>
              <w:pStyle w:val="Normal1linespace"/>
              <w:widowControl w:val="0"/>
              <w:jc w:val="left"/>
            </w:pPr>
            <w:r>
              <w:t>Determined on the papers.</w:t>
            </w:r>
          </w:p>
        </w:tc>
      </w:tr>
      <w:tr w:rsidR="00357E1A" w14:paraId="3CBF3357" w14:textId="77777777" w:rsidTr="00357E1A">
        <w:tc>
          <w:tcPr>
            <w:tcW w:w="3084" w:type="dxa"/>
            <w:shd w:val="clear" w:color="auto" w:fill="auto"/>
          </w:tcPr>
          <w:p w14:paraId="3FD85D33" w14:textId="77777777" w:rsidR="00357E1A" w:rsidRDefault="00357E1A" w:rsidP="00357E1A">
            <w:pPr>
              <w:pStyle w:val="Normal1linespace"/>
              <w:widowControl w:val="0"/>
              <w:jc w:val="left"/>
            </w:pPr>
          </w:p>
        </w:tc>
        <w:tc>
          <w:tcPr>
            <w:tcW w:w="5989" w:type="dxa"/>
            <w:shd w:val="clear" w:color="auto" w:fill="auto"/>
          </w:tcPr>
          <w:p w14:paraId="6A7C4710" w14:textId="77777777" w:rsidR="00357E1A" w:rsidRDefault="00357E1A" w:rsidP="00357E1A">
            <w:pPr>
              <w:pStyle w:val="Normal1linespace"/>
              <w:widowControl w:val="0"/>
              <w:jc w:val="left"/>
            </w:pPr>
          </w:p>
        </w:tc>
      </w:tr>
      <w:tr w:rsidR="00357E1A" w14:paraId="60BE06F6" w14:textId="77777777" w:rsidTr="00357E1A">
        <w:tc>
          <w:tcPr>
            <w:tcW w:w="3081" w:type="dxa"/>
            <w:shd w:val="clear" w:color="auto" w:fill="auto"/>
          </w:tcPr>
          <w:p w14:paraId="0E21541F" w14:textId="77777777" w:rsidR="00357E1A" w:rsidRDefault="00357E1A" w:rsidP="00357E1A">
            <w:pPr>
              <w:pStyle w:val="Normal1linespace"/>
              <w:widowControl w:val="0"/>
              <w:jc w:val="left"/>
            </w:pPr>
            <w:bookmarkStart w:id="9" w:name="Counsel" w:colFirst="0" w:colLast="2"/>
            <w:bookmarkEnd w:id="8"/>
            <w:r>
              <w:t>Counsel for the Applicants / Cross-Respondents:</w:t>
            </w:r>
          </w:p>
        </w:tc>
        <w:tc>
          <w:tcPr>
            <w:tcW w:w="5989" w:type="dxa"/>
            <w:shd w:val="clear" w:color="auto" w:fill="auto"/>
          </w:tcPr>
          <w:p w14:paraId="2FA4CFA0" w14:textId="73AEA142" w:rsidR="00357E1A" w:rsidRPr="00B82839" w:rsidRDefault="00B82839" w:rsidP="00B82839">
            <w:pPr>
              <w:pStyle w:val="Normal1linespace"/>
              <w:widowControl w:val="0"/>
              <w:jc w:val="left"/>
            </w:pPr>
            <w:bookmarkStart w:id="10" w:name="AppCounsel"/>
            <w:bookmarkEnd w:id="10"/>
            <w:r w:rsidRPr="00B82839">
              <w:t>The Applicants did not provide submissions.</w:t>
            </w:r>
          </w:p>
        </w:tc>
      </w:tr>
      <w:tr w:rsidR="00357E1A" w14:paraId="00E95681" w14:textId="77777777" w:rsidTr="00357E1A">
        <w:tc>
          <w:tcPr>
            <w:tcW w:w="3081" w:type="dxa"/>
            <w:shd w:val="clear" w:color="auto" w:fill="auto"/>
          </w:tcPr>
          <w:p w14:paraId="751E0366" w14:textId="77777777" w:rsidR="00357E1A" w:rsidRDefault="00357E1A" w:rsidP="00357E1A">
            <w:pPr>
              <w:pStyle w:val="Normal1linespace"/>
              <w:widowControl w:val="0"/>
              <w:jc w:val="left"/>
            </w:pPr>
          </w:p>
        </w:tc>
        <w:tc>
          <w:tcPr>
            <w:tcW w:w="5989" w:type="dxa"/>
            <w:shd w:val="clear" w:color="auto" w:fill="auto"/>
          </w:tcPr>
          <w:p w14:paraId="1B755FCF" w14:textId="77777777" w:rsidR="00357E1A" w:rsidRDefault="00357E1A" w:rsidP="00357E1A">
            <w:pPr>
              <w:pStyle w:val="Normal1linespace"/>
              <w:widowControl w:val="0"/>
              <w:jc w:val="left"/>
            </w:pPr>
          </w:p>
        </w:tc>
      </w:tr>
      <w:tr w:rsidR="00357E1A" w14:paraId="79A9C211" w14:textId="77777777" w:rsidTr="00357E1A">
        <w:tc>
          <w:tcPr>
            <w:tcW w:w="3081" w:type="dxa"/>
            <w:shd w:val="clear" w:color="auto" w:fill="auto"/>
          </w:tcPr>
          <w:p w14:paraId="12A83F39" w14:textId="77777777" w:rsidR="00357E1A" w:rsidRDefault="00357E1A" w:rsidP="00357E1A">
            <w:pPr>
              <w:pStyle w:val="Normal1linespace"/>
              <w:widowControl w:val="0"/>
              <w:jc w:val="left"/>
            </w:pPr>
            <w:r>
              <w:t>Counsel for the Respondent / Cross-Claimant:</w:t>
            </w:r>
          </w:p>
        </w:tc>
        <w:tc>
          <w:tcPr>
            <w:tcW w:w="5989" w:type="dxa"/>
            <w:shd w:val="clear" w:color="auto" w:fill="auto"/>
          </w:tcPr>
          <w:p w14:paraId="5B8E3590" w14:textId="77777777" w:rsidR="00357E1A" w:rsidRDefault="00357E1A" w:rsidP="00357E1A">
            <w:pPr>
              <w:pStyle w:val="Normal1linespace"/>
              <w:widowControl w:val="0"/>
              <w:jc w:val="left"/>
            </w:pPr>
            <w:r>
              <w:t>Mr S Gray</w:t>
            </w:r>
          </w:p>
        </w:tc>
      </w:tr>
      <w:tr w:rsidR="00357E1A" w14:paraId="421B059E" w14:textId="77777777" w:rsidTr="00357E1A">
        <w:tc>
          <w:tcPr>
            <w:tcW w:w="3081" w:type="dxa"/>
            <w:shd w:val="clear" w:color="auto" w:fill="auto"/>
          </w:tcPr>
          <w:p w14:paraId="00870C27" w14:textId="77777777" w:rsidR="00357E1A" w:rsidRDefault="00357E1A" w:rsidP="00357E1A">
            <w:pPr>
              <w:pStyle w:val="Normal1linespace"/>
              <w:widowControl w:val="0"/>
              <w:jc w:val="left"/>
            </w:pPr>
          </w:p>
        </w:tc>
        <w:tc>
          <w:tcPr>
            <w:tcW w:w="5989" w:type="dxa"/>
            <w:shd w:val="clear" w:color="auto" w:fill="auto"/>
          </w:tcPr>
          <w:p w14:paraId="57E9DEF3" w14:textId="77777777" w:rsidR="00357E1A" w:rsidRDefault="00357E1A" w:rsidP="00357E1A">
            <w:pPr>
              <w:pStyle w:val="Normal1linespace"/>
              <w:widowControl w:val="0"/>
              <w:jc w:val="left"/>
            </w:pPr>
          </w:p>
        </w:tc>
      </w:tr>
      <w:tr w:rsidR="00357E1A" w14:paraId="28D181E0" w14:textId="77777777" w:rsidTr="00357E1A">
        <w:tc>
          <w:tcPr>
            <w:tcW w:w="3081" w:type="dxa"/>
            <w:shd w:val="clear" w:color="auto" w:fill="auto"/>
          </w:tcPr>
          <w:p w14:paraId="21B34E93" w14:textId="77777777" w:rsidR="00357E1A" w:rsidRDefault="00357E1A" w:rsidP="00357E1A">
            <w:pPr>
              <w:pStyle w:val="Normal1linespace"/>
              <w:widowControl w:val="0"/>
              <w:jc w:val="left"/>
            </w:pPr>
            <w:r>
              <w:t>Solicitor for the Respondent / Cross-Claimant:</w:t>
            </w:r>
          </w:p>
        </w:tc>
        <w:tc>
          <w:tcPr>
            <w:tcW w:w="5989" w:type="dxa"/>
            <w:shd w:val="clear" w:color="auto" w:fill="auto"/>
          </w:tcPr>
          <w:p w14:paraId="76DA1E83" w14:textId="77777777" w:rsidR="00357E1A" w:rsidRDefault="00357E1A" w:rsidP="00357E1A">
            <w:pPr>
              <w:pStyle w:val="Normal1linespace"/>
              <w:widowControl w:val="0"/>
              <w:jc w:val="left"/>
            </w:pPr>
            <w:proofErr w:type="spellStart"/>
            <w:r>
              <w:t>Gadens</w:t>
            </w:r>
            <w:proofErr w:type="spellEnd"/>
            <w:r>
              <w:t xml:space="preserve"> Lawyers</w:t>
            </w:r>
          </w:p>
        </w:tc>
      </w:tr>
      <w:bookmarkEnd w:id="9"/>
    </w:tbl>
    <w:p w14:paraId="087032A3" w14:textId="77777777" w:rsidR="007470BD" w:rsidRDefault="007470BD">
      <w:pPr>
        <w:pStyle w:val="Normal1linespace"/>
      </w:pPr>
    </w:p>
    <w:p w14:paraId="53535CE6" w14:textId="77777777" w:rsidR="00E94CBF" w:rsidRDefault="00E94CBF">
      <w:pPr>
        <w:pStyle w:val="Normal1linespace"/>
      </w:pPr>
    </w:p>
    <w:p w14:paraId="401FBA8C" w14:textId="77777777"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14:paraId="1C446248" w14:textId="77777777" w:rsidR="008C7167" w:rsidRPr="00045BB7" w:rsidRDefault="0011419D" w:rsidP="00045BB7">
      <w:pPr>
        <w:pStyle w:val="NormalHeadings"/>
        <w:spacing w:line="480" w:lineRule="auto"/>
        <w:jc w:val="center"/>
        <w:rPr>
          <w:sz w:val="28"/>
          <w:szCs w:val="28"/>
        </w:rPr>
      </w:pPr>
      <w:r w:rsidRPr="00045BB7">
        <w:rPr>
          <w:sz w:val="28"/>
          <w:szCs w:val="28"/>
        </w:rPr>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1AB19923" w14:textId="77777777" w:rsidTr="00E81DA6">
        <w:tc>
          <w:tcPr>
            <w:tcW w:w="6912" w:type="dxa"/>
            <w:gridSpan w:val="2"/>
          </w:tcPr>
          <w:p w14:paraId="067B1A55" w14:textId="77777777" w:rsidR="00A46CCC" w:rsidRPr="001765E0" w:rsidRDefault="00A46CCC" w:rsidP="00525A49">
            <w:pPr>
              <w:pStyle w:val="NormalHeadings"/>
            </w:pPr>
          </w:p>
        </w:tc>
        <w:tc>
          <w:tcPr>
            <w:tcW w:w="2330" w:type="dxa"/>
          </w:tcPr>
          <w:p w14:paraId="3BADEEDE" w14:textId="77777777" w:rsidR="00A46CCC" w:rsidRDefault="00357E1A" w:rsidP="00F92355">
            <w:pPr>
              <w:pStyle w:val="NormalHeadings"/>
              <w:jc w:val="right"/>
            </w:pPr>
            <w:bookmarkStart w:id="11" w:name="FileNo"/>
            <w:r>
              <w:t>NSD471/2021</w:t>
            </w:r>
            <w:bookmarkEnd w:id="11"/>
          </w:p>
        </w:tc>
      </w:tr>
      <w:tr w:rsidR="00A76C13" w14:paraId="5533113D" w14:textId="77777777" w:rsidTr="000048AF">
        <w:tc>
          <w:tcPr>
            <w:tcW w:w="9242" w:type="dxa"/>
            <w:gridSpan w:val="3"/>
          </w:tcPr>
          <w:p w14:paraId="2A4C8911" w14:textId="77777777" w:rsidR="00A76C13" w:rsidRPr="00A76C13" w:rsidRDefault="00357E1A" w:rsidP="00357E1A">
            <w:pPr>
              <w:pStyle w:val="NormalHeadings"/>
              <w:jc w:val="left"/>
            </w:pPr>
            <w:bookmarkStart w:id="12" w:name="InTheMatterOf"/>
            <w:r>
              <w:t xml:space="preserve"> </w:t>
            </w:r>
            <w:bookmarkEnd w:id="12"/>
          </w:p>
        </w:tc>
      </w:tr>
      <w:tr w:rsidR="00A46CCC" w14:paraId="6313677C" w14:textId="77777777" w:rsidTr="000048AF">
        <w:trPr>
          <w:trHeight w:val="386"/>
        </w:trPr>
        <w:tc>
          <w:tcPr>
            <w:tcW w:w="2376" w:type="dxa"/>
          </w:tcPr>
          <w:p w14:paraId="2329369D" w14:textId="77777777" w:rsidR="00A46CCC" w:rsidRDefault="00A46CCC" w:rsidP="000048AF">
            <w:pPr>
              <w:pStyle w:val="NormalHeadings"/>
              <w:jc w:val="left"/>
              <w:rPr>
                <w:caps/>
                <w:szCs w:val="24"/>
              </w:rPr>
            </w:pPr>
            <w:bookmarkStart w:id="13" w:name="Parties"/>
            <w:r>
              <w:rPr>
                <w:caps/>
                <w:szCs w:val="24"/>
              </w:rPr>
              <w:t>BETWEEN:</w:t>
            </w:r>
          </w:p>
        </w:tc>
        <w:tc>
          <w:tcPr>
            <w:tcW w:w="6866" w:type="dxa"/>
            <w:gridSpan w:val="2"/>
          </w:tcPr>
          <w:p w14:paraId="7F20FC9F" w14:textId="77777777" w:rsidR="00357E1A" w:rsidRDefault="00357E1A" w:rsidP="00357E1A">
            <w:pPr>
              <w:pStyle w:val="NormalHeadings"/>
              <w:jc w:val="left"/>
            </w:pPr>
            <w:bookmarkStart w:id="14" w:name="Applicant"/>
            <w:r>
              <w:t>MARK LINDSAY STUART</w:t>
            </w:r>
          </w:p>
          <w:p w14:paraId="2F886CEE" w14:textId="77777777" w:rsidR="00357E1A" w:rsidRDefault="00357E1A" w:rsidP="00357E1A">
            <w:pPr>
              <w:pStyle w:val="PartyType"/>
            </w:pPr>
            <w:r>
              <w:t>First Applicant</w:t>
            </w:r>
          </w:p>
          <w:p w14:paraId="1FC7A208" w14:textId="77777777" w:rsidR="00357E1A" w:rsidRDefault="00357E1A" w:rsidP="000048AF">
            <w:pPr>
              <w:pStyle w:val="NormalHeadings"/>
              <w:jc w:val="left"/>
              <w:rPr>
                <w:szCs w:val="24"/>
              </w:rPr>
            </w:pPr>
          </w:p>
          <w:p w14:paraId="489FCFE4" w14:textId="77777777" w:rsidR="00357E1A" w:rsidRDefault="00357E1A" w:rsidP="00357E1A">
            <w:pPr>
              <w:pStyle w:val="NormalHeadings"/>
              <w:jc w:val="left"/>
            </w:pPr>
            <w:r>
              <w:t>CATHERINE ENID STUART</w:t>
            </w:r>
          </w:p>
          <w:p w14:paraId="35F74681" w14:textId="77777777" w:rsidR="00357E1A" w:rsidRDefault="00357E1A" w:rsidP="00357E1A">
            <w:pPr>
              <w:pStyle w:val="PartyType"/>
            </w:pPr>
            <w:r>
              <w:t>Second Applicant</w:t>
            </w:r>
          </w:p>
          <w:bookmarkEnd w:id="14"/>
          <w:p w14:paraId="6A58932F" w14:textId="77777777" w:rsidR="00A46CCC" w:rsidRPr="006555B4" w:rsidRDefault="00A46CCC" w:rsidP="000048AF">
            <w:pPr>
              <w:pStyle w:val="NormalHeadings"/>
              <w:jc w:val="left"/>
            </w:pPr>
          </w:p>
        </w:tc>
      </w:tr>
      <w:tr w:rsidR="00A46CCC" w14:paraId="464BAC19" w14:textId="77777777" w:rsidTr="000048AF">
        <w:trPr>
          <w:trHeight w:val="386"/>
        </w:trPr>
        <w:tc>
          <w:tcPr>
            <w:tcW w:w="2376" w:type="dxa"/>
          </w:tcPr>
          <w:p w14:paraId="7A75F216" w14:textId="77777777" w:rsidR="00A46CCC" w:rsidRDefault="00A46CCC" w:rsidP="000048AF">
            <w:pPr>
              <w:pStyle w:val="NormalHeadings"/>
              <w:jc w:val="left"/>
              <w:rPr>
                <w:caps/>
                <w:szCs w:val="24"/>
              </w:rPr>
            </w:pPr>
            <w:r>
              <w:rPr>
                <w:caps/>
                <w:szCs w:val="24"/>
              </w:rPr>
              <w:t>AND:</w:t>
            </w:r>
          </w:p>
        </w:tc>
        <w:tc>
          <w:tcPr>
            <w:tcW w:w="6866" w:type="dxa"/>
            <w:gridSpan w:val="2"/>
          </w:tcPr>
          <w:p w14:paraId="19D5215E" w14:textId="77777777" w:rsidR="00357E1A" w:rsidRDefault="00357E1A" w:rsidP="00357E1A">
            <w:pPr>
              <w:pStyle w:val="NormalHeadings"/>
              <w:jc w:val="left"/>
            </w:pPr>
            <w:bookmarkStart w:id="15" w:name="Respondent"/>
            <w:r>
              <w:t>RABOBANK AUSTRALIA LTD</w:t>
            </w:r>
          </w:p>
          <w:p w14:paraId="206DD1DE" w14:textId="77777777" w:rsidR="00357E1A" w:rsidRDefault="00357E1A" w:rsidP="00357E1A">
            <w:pPr>
              <w:pStyle w:val="PartyType"/>
            </w:pPr>
            <w:r>
              <w:t>Respondent</w:t>
            </w:r>
          </w:p>
          <w:bookmarkEnd w:id="15"/>
          <w:p w14:paraId="3018E666" w14:textId="77777777" w:rsidR="00A46CCC" w:rsidRPr="006555B4" w:rsidRDefault="00A46CCC" w:rsidP="000048AF">
            <w:pPr>
              <w:pStyle w:val="NormalHeadings"/>
              <w:jc w:val="left"/>
            </w:pPr>
          </w:p>
        </w:tc>
      </w:tr>
      <w:tr w:rsidR="00357E1A" w14:paraId="0D858B19" w14:textId="77777777" w:rsidTr="00357E1A">
        <w:trPr>
          <w:trHeight w:val="300"/>
        </w:trPr>
        <w:tc>
          <w:tcPr>
            <w:tcW w:w="2376" w:type="dxa"/>
          </w:tcPr>
          <w:p w14:paraId="60161B23" w14:textId="77777777" w:rsidR="00357E1A" w:rsidRDefault="00357E1A">
            <w:pPr>
              <w:pStyle w:val="NormalHeadings"/>
              <w:jc w:val="left"/>
              <w:rPr>
                <w:caps/>
                <w:szCs w:val="24"/>
              </w:rPr>
            </w:pPr>
            <w:bookmarkStart w:id="16" w:name="CrossClaimPosition"/>
            <w:bookmarkEnd w:id="13"/>
            <w:bookmarkEnd w:id="16"/>
          </w:p>
        </w:tc>
        <w:tc>
          <w:tcPr>
            <w:tcW w:w="6866" w:type="dxa"/>
            <w:gridSpan w:val="2"/>
          </w:tcPr>
          <w:p w14:paraId="4B1C08AC" w14:textId="77777777" w:rsidR="00357E1A" w:rsidRDefault="00357E1A">
            <w:pPr>
              <w:pStyle w:val="NormalHeadings"/>
              <w:jc w:val="left"/>
              <w:rPr>
                <w:szCs w:val="24"/>
              </w:rPr>
            </w:pPr>
          </w:p>
        </w:tc>
      </w:tr>
      <w:tr w:rsidR="00357E1A" w14:paraId="2449C963" w14:textId="77777777">
        <w:trPr>
          <w:trHeight w:val="386"/>
        </w:trPr>
        <w:tc>
          <w:tcPr>
            <w:tcW w:w="2376" w:type="dxa"/>
          </w:tcPr>
          <w:p w14:paraId="5736050A" w14:textId="77777777" w:rsidR="00357E1A" w:rsidRDefault="00357E1A">
            <w:pPr>
              <w:pStyle w:val="NormalHeadings"/>
              <w:jc w:val="left"/>
              <w:rPr>
                <w:caps/>
                <w:szCs w:val="24"/>
              </w:rPr>
            </w:pPr>
            <w:r>
              <w:rPr>
                <w:caps/>
                <w:szCs w:val="24"/>
              </w:rPr>
              <w:t>AND BETWEEN:</w:t>
            </w:r>
          </w:p>
        </w:tc>
        <w:tc>
          <w:tcPr>
            <w:tcW w:w="6866" w:type="dxa"/>
            <w:gridSpan w:val="2"/>
          </w:tcPr>
          <w:p w14:paraId="4E6C2AFF" w14:textId="77777777" w:rsidR="00357E1A" w:rsidRDefault="00357E1A" w:rsidP="00357E1A">
            <w:pPr>
              <w:pStyle w:val="NormalHeadings"/>
              <w:jc w:val="left"/>
            </w:pPr>
            <w:bookmarkStart w:id="17" w:name="Cross_Applicant"/>
            <w:r>
              <w:t>RABOBANK AUSTRALIA LTD</w:t>
            </w:r>
          </w:p>
          <w:p w14:paraId="26BA54BA" w14:textId="77777777" w:rsidR="00357E1A" w:rsidRDefault="00357E1A" w:rsidP="00357E1A">
            <w:pPr>
              <w:pStyle w:val="PartyType"/>
            </w:pPr>
            <w:r>
              <w:t>Cross-Claimant</w:t>
            </w:r>
          </w:p>
          <w:bookmarkEnd w:id="17"/>
          <w:p w14:paraId="5551201D" w14:textId="77777777" w:rsidR="00357E1A" w:rsidRDefault="00357E1A">
            <w:pPr>
              <w:pStyle w:val="NormalHeadings"/>
              <w:jc w:val="left"/>
              <w:rPr>
                <w:szCs w:val="24"/>
              </w:rPr>
            </w:pPr>
          </w:p>
        </w:tc>
      </w:tr>
      <w:tr w:rsidR="00357E1A" w14:paraId="61CD5B0F" w14:textId="77777777">
        <w:trPr>
          <w:trHeight w:val="386"/>
        </w:trPr>
        <w:tc>
          <w:tcPr>
            <w:tcW w:w="2376" w:type="dxa"/>
          </w:tcPr>
          <w:p w14:paraId="3DBF8E11" w14:textId="77777777" w:rsidR="00357E1A" w:rsidRDefault="00357E1A">
            <w:pPr>
              <w:pStyle w:val="NormalHeadings"/>
              <w:jc w:val="left"/>
              <w:rPr>
                <w:caps/>
                <w:szCs w:val="24"/>
              </w:rPr>
            </w:pPr>
            <w:r>
              <w:rPr>
                <w:caps/>
                <w:szCs w:val="24"/>
              </w:rPr>
              <w:t>AND:</w:t>
            </w:r>
          </w:p>
        </w:tc>
        <w:tc>
          <w:tcPr>
            <w:tcW w:w="6866" w:type="dxa"/>
            <w:gridSpan w:val="2"/>
          </w:tcPr>
          <w:p w14:paraId="78B9F75E" w14:textId="77777777" w:rsidR="00357E1A" w:rsidRDefault="00357E1A" w:rsidP="00357E1A">
            <w:pPr>
              <w:pStyle w:val="NormalHeadings"/>
              <w:jc w:val="left"/>
            </w:pPr>
            <w:bookmarkStart w:id="18" w:name="Cross_Respondent"/>
            <w:r>
              <w:t>MARK LINDSAY STUART</w:t>
            </w:r>
          </w:p>
          <w:p w14:paraId="1153BF25" w14:textId="77777777" w:rsidR="00357E1A" w:rsidRDefault="00357E1A" w:rsidP="00357E1A">
            <w:pPr>
              <w:pStyle w:val="PartyType"/>
            </w:pPr>
            <w:r>
              <w:t>First Cross-Respondent</w:t>
            </w:r>
          </w:p>
          <w:p w14:paraId="54D8BACB" w14:textId="77777777" w:rsidR="00357E1A" w:rsidRDefault="00357E1A" w:rsidP="00357E1A">
            <w:pPr>
              <w:pStyle w:val="PartyType"/>
            </w:pPr>
          </w:p>
          <w:p w14:paraId="1982DB1C" w14:textId="77777777" w:rsidR="00357E1A" w:rsidRDefault="00357E1A" w:rsidP="00357E1A">
            <w:pPr>
              <w:pStyle w:val="PartyType"/>
              <w:rPr>
                <w:b/>
              </w:rPr>
            </w:pPr>
            <w:r>
              <w:rPr>
                <w:b/>
              </w:rPr>
              <w:t>CATHERINE ENID STUART</w:t>
            </w:r>
          </w:p>
          <w:p w14:paraId="4C1C8116" w14:textId="77777777" w:rsidR="00357E1A" w:rsidRPr="00357E1A" w:rsidRDefault="00357E1A" w:rsidP="00357E1A">
            <w:pPr>
              <w:pStyle w:val="PartyType"/>
            </w:pPr>
            <w:r>
              <w:t>Second Cross-Respondent</w:t>
            </w:r>
          </w:p>
          <w:bookmarkEnd w:id="18"/>
          <w:p w14:paraId="7C910081" w14:textId="77777777" w:rsidR="00357E1A" w:rsidRDefault="00357E1A">
            <w:pPr>
              <w:pStyle w:val="NormalHeadings"/>
              <w:jc w:val="left"/>
              <w:rPr>
                <w:szCs w:val="24"/>
              </w:rPr>
            </w:pPr>
          </w:p>
        </w:tc>
      </w:tr>
    </w:tbl>
    <w:p w14:paraId="1E2B3494" w14:textId="77777777" w:rsidR="00395B24" w:rsidRDefault="00395B24">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395B24" w14:paraId="6E60365F" w14:textId="77777777">
        <w:tc>
          <w:tcPr>
            <w:tcW w:w="2376" w:type="dxa"/>
          </w:tcPr>
          <w:p w14:paraId="7A8CDB58" w14:textId="77777777" w:rsidR="00395B24" w:rsidRDefault="00974709">
            <w:pPr>
              <w:pStyle w:val="NormalHeadings"/>
              <w:spacing w:after="120"/>
              <w:jc w:val="left"/>
              <w:rPr>
                <w:caps/>
                <w:szCs w:val="24"/>
              </w:rPr>
            </w:pPr>
            <w:bookmarkStart w:id="19" w:name="JudgeText"/>
            <w:r>
              <w:rPr>
                <w:caps/>
                <w:szCs w:val="24"/>
              </w:rPr>
              <w:t>order made by</w:t>
            </w:r>
            <w:bookmarkEnd w:id="19"/>
            <w:r w:rsidR="002C7385">
              <w:rPr>
                <w:caps/>
                <w:szCs w:val="24"/>
              </w:rPr>
              <w:t>:</w:t>
            </w:r>
          </w:p>
        </w:tc>
        <w:tc>
          <w:tcPr>
            <w:tcW w:w="6866" w:type="dxa"/>
          </w:tcPr>
          <w:p w14:paraId="08C7A70C" w14:textId="77777777" w:rsidR="00395B24" w:rsidRDefault="00357E1A">
            <w:pPr>
              <w:pStyle w:val="NormalHeadings"/>
              <w:jc w:val="left"/>
              <w:rPr>
                <w:caps/>
                <w:szCs w:val="24"/>
              </w:rPr>
            </w:pPr>
            <w:bookmarkStart w:id="20" w:name="Judge"/>
            <w:r>
              <w:rPr>
                <w:caps/>
                <w:szCs w:val="24"/>
              </w:rPr>
              <w:t>HALLEY J</w:t>
            </w:r>
            <w:bookmarkEnd w:id="20"/>
          </w:p>
        </w:tc>
      </w:tr>
      <w:tr w:rsidR="00395B24" w14:paraId="71CF8114" w14:textId="77777777">
        <w:tc>
          <w:tcPr>
            <w:tcW w:w="2376" w:type="dxa"/>
          </w:tcPr>
          <w:p w14:paraId="7C12D17F" w14:textId="77777777" w:rsidR="00395B24" w:rsidRDefault="002C7385">
            <w:pPr>
              <w:pStyle w:val="NormalHeadings"/>
              <w:spacing w:after="120"/>
              <w:jc w:val="left"/>
              <w:rPr>
                <w:caps/>
                <w:szCs w:val="24"/>
              </w:rPr>
            </w:pPr>
            <w:r>
              <w:rPr>
                <w:caps/>
                <w:szCs w:val="24"/>
              </w:rPr>
              <w:t>DATE OF ORDER:</w:t>
            </w:r>
          </w:p>
        </w:tc>
        <w:tc>
          <w:tcPr>
            <w:tcW w:w="6866" w:type="dxa"/>
          </w:tcPr>
          <w:p w14:paraId="78FBE00E" w14:textId="458BCE85" w:rsidR="00395B24" w:rsidRDefault="00A84078" w:rsidP="00A84078">
            <w:pPr>
              <w:pStyle w:val="NormalHeadings"/>
              <w:jc w:val="left"/>
              <w:rPr>
                <w:caps/>
                <w:szCs w:val="24"/>
              </w:rPr>
            </w:pPr>
            <w:r>
              <w:rPr>
                <w:caps/>
                <w:szCs w:val="24"/>
              </w:rPr>
              <w:t>22 December 2021</w:t>
            </w:r>
          </w:p>
        </w:tc>
      </w:tr>
    </w:tbl>
    <w:p w14:paraId="4097D02E" w14:textId="77777777" w:rsidR="00395B24" w:rsidRDefault="00395B24">
      <w:pPr>
        <w:pStyle w:val="NormalHeadings"/>
        <w:rPr>
          <w:b w:val="0"/>
        </w:rPr>
      </w:pPr>
    </w:p>
    <w:p w14:paraId="1B1A4E8D" w14:textId="77777777" w:rsidR="008D1617" w:rsidRDefault="008D1617">
      <w:pPr>
        <w:pStyle w:val="NormalHeadings"/>
        <w:rPr>
          <w:b w:val="0"/>
        </w:rPr>
      </w:pPr>
    </w:p>
    <w:p w14:paraId="5B4448E5" w14:textId="77777777" w:rsidR="00395B24" w:rsidRDefault="002C7385">
      <w:pPr>
        <w:pStyle w:val="NormalHeadings"/>
      </w:pPr>
      <w:r>
        <w:t>THE COURT ORDERS THAT:</w:t>
      </w:r>
    </w:p>
    <w:p w14:paraId="65AD5294" w14:textId="77777777" w:rsidR="007F60DF" w:rsidRDefault="007F60DF" w:rsidP="00243E5E">
      <w:pPr>
        <w:pStyle w:val="NormalHeadings"/>
      </w:pPr>
    </w:p>
    <w:p w14:paraId="4545EC5B" w14:textId="1E729638" w:rsidR="001A6C52" w:rsidRDefault="008B4956" w:rsidP="001A6C52">
      <w:pPr>
        <w:pStyle w:val="Order1"/>
      </w:pPr>
      <w:r>
        <w:t>The applicants</w:t>
      </w:r>
      <w:r w:rsidR="00D47DA8">
        <w:t>/cross-respondents pay the respondent’s/cross-claimant</w:t>
      </w:r>
      <w:r w:rsidR="00466E35">
        <w:t>’</w:t>
      </w:r>
      <w:r w:rsidR="00D47DA8">
        <w:t xml:space="preserve">s </w:t>
      </w:r>
      <w:r>
        <w:t>costs of the proceedings</w:t>
      </w:r>
      <w:r w:rsidR="00FB4539">
        <w:t>.</w:t>
      </w:r>
    </w:p>
    <w:p w14:paraId="26892AD0" w14:textId="77777777" w:rsidR="001A6C52" w:rsidRDefault="001A6C52" w:rsidP="001A6C52">
      <w:pPr>
        <w:pStyle w:val="BodyText"/>
      </w:pPr>
    </w:p>
    <w:p w14:paraId="773C3989" w14:textId="77777777" w:rsidR="00A431E6" w:rsidRDefault="00A431E6" w:rsidP="001A6C52">
      <w:pPr>
        <w:pStyle w:val="BodyText"/>
      </w:pPr>
    </w:p>
    <w:p w14:paraId="5C784404" w14:textId="77777777" w:rsidR="0050309C" w:rsidRDefault="00357E1A" w:rsidP="004D53E5">
      <w:pPr>
        <w:pStyle w:val="SingleSpace"/>
      </w:pPr>
      <w:bookmarkStart w:id="21" w:name="OrdersStatement"/>
      <w:r>
        <w:t>Note:</w:t>
      </w:r>
      <w:r>
        <w:tab/>
        <w:t xml:space="preserve">Entry of orders is dealt with in Rule 39.32 of the </w:t>
      </w:r>
      <w:r>
        <w:rPr>
          <w:i/>
        </w:rPr>
        <w:t>Federal Court Rules 2011</w:t>
      </w:r>
      <w:r>
        <w:t>.</w:t>
      </w:r>
      <w:bookmarkEnd w:id="21"/>
    </w:p>
    <w:p w14:paraId="0CD6220D" w14:textId="77777777" w:rsidR="00E23577" w:rsidRDefault="00E23577" w:rsidP="002B0E91">
      <w:pPr>
        <w:pStyle w:val="BodyText"/>
      </w:pPr>
    </w:p>
    <w:p w14:paraId="0DE502F9" w14:textId="77777777"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14:paraId="25AFD16B" w14:textId="77777777"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t>REASONS FOR JUDGMENT</w:t>
      </w:r>
    </w:p>
    <w:p w14:paraId="6501A9DF" w14:textId="77777777" w:rsidR="00694BEB" w:rsidRDefault="00357E1A" w:rsidP="005E0510">
      <w:pPr>
        <w:pStyle w:val="NormalHeadings"/>
        <w:spacing w:line="360" w:lineRule="auto"/>
        <w:jc w:val="left"/>
        <w:rPr>
          <w:sz w:val="26"/>
          <w:szCs w:val="26"/>
        </w:rPr>
      </w:pPr>
      <w:r>
        <w:rPr>
          <w:sz w:val="26"/>
          <w:szCs w:val="26"/>
        </w:rPr>
        <w:t>HALLEY J:</w:t>
      </w:r>
    </w:p>
    <w:p w14:paraId="0BDEAC1A" w14:textId="77777777" w:rsidR="00CD1346" w:rsidRDefault="00595261" w:rsidP="00357E1A">
      <w:pPr>
        <w:pStyle w:val="Heading1"/>
      </w:pPr>
      <w:r>
        <w:t>I</w:t>
      </w:r>
      <w:r w:rsidR="008C15BE">
        <w:t>ntroduction</w:t>
      </w:r>
    </w:p>
    <w:p w14:paraId="787D1DFC" w14:textId="49CDF4F3" w:rsidR="00595261" w:rsidRDefault="00357E1A" w:rsidP="00357E1A">
      <w:pPr>
        <w:pStyle w:val="ParaNumbering"/>
      </w:pPr>
      <w:r w:rsidRPr="00357E1A">
        <w:t xml:space="preserve">On 11 November 2021, </w:t>
      </w:r>
      <w:r w:rsidR="00AA7889">
        <w:t xml:space="preserve">I delivered judgment in </w:t>
      </w:r>
      <w:r w:rsidR="00AA7889" w:rsidRPr="00AA7889">
        <w:rPr>
          <w:i/>
        </w:rPr>
        <w:t>Stuart v Rabobank Australia Ltd</w:t>
      </w:r>
      <w:r w:rsidR="00AA7889">
        <w:t xml:space="preserve"> </w:t>
      </w:r>
      <w:r w:rsidR="00F3486E">
        <w:t>[</w:t>
      </w:r>
      <w:r w:rsidR="00AA7889">
        <w:t xml:space="preserve">2021] FCA 1388. </w:t>
      </w:r>
    </w:p>
    <w:p w14:paraId="72F443C1" w14:textId="347E7E90" w:rsidR="00357E1A" w:rsidRDefault="00AA7889" w:rsidP="00357E1A">
      <w:pPr>
        <w:pStyle w:val="ParaNumbering"/>
      </w:pPr>
      <w:r>
        <w:t>The respondent, Rabob</w:t>
      </w:r>
      <w:r w:rsidR="00595261">
        <w:t>an</w:t>
      </w:r>
      <w:r>
        <w:t>k</w:t>
      </w:r>
      <w:r w:rsidR="009D29C9">
        <w:t>,</w:t>
      </w:r>
      <w:r>
        <w:t xml:space="preserve"> was entirely successful in the proceedings but in the course of the final hearing, </w:t>
      </w:r>
      <w:r w:rsidR="00595261">
        <w:t xml:space="preserve">Mr King, </w:t>
      </w:r>
      <w:r>
        <w:t xml:space="preserve">counsel for the </w:t>
      </w:r>
      <w:r w:rsidR="00595261">
        <w:t xml:space="preserve">applicants Mr and Mrs </w:t>
      </w:r>
      <w:r>
        <w:t>Stuart</w:t>
      </w:r>
      <w:r w:rsidR="0018640C">
        <w:t>,</w:t>
      </w:r>
      <w:r>
        <w:t xml:space="preserve"> foreshadowed that he would seek an order for indemnity costs in respect of costs thrown away by the alleged late discovery by Rabobank of documents relevant to the resolution of matters in dispute. To permit the </w:t>
      </w:r>
      <w:r w:rsidR="00595261">
        <w:t xml:space="preserve">parties </w:t>
      </w:r>
      <w:r>
        <w:t xml:space="preserve">an opportunity to </w:t>
      </w:r>
      <w:r w:rsidR="00F4404C">
        <w:t>advance submissions on costs</w:t>
      </w:r>
      <w:r w:rsidR="00595261">
        <w:t>,</w:t>
      </w:r>
      <w:r w:rsidR="00F4404C">
        <w:t xml:space="preserve"> at the time I delivered judgment I </w:t>
      </w:r>
      <w:r w:rsidR="00357E1A" w:rsidRPr="00357E1A">
        <w:t xml:space="preserve">ordered the </w:t>
      </w:r>
      <w:r w:rsidR="00595261">
        <w:t>Stuarts</w:t>
      </w:r>
      <w:r w:rsidR="00357E1A" w:rsidRPr="00357E1A">
        <w:t xml:space="preserve"> to file and serve written submissions on costs by 18 November 2021</w:t>
      </w:r>
      <w:r w:rsidR="00FE2A6A">
        <w:t xml:space="preserve">, </w:t>
      </w:r>
      <w:r w:rsidR="00595261">
        <w:t>Rabobank</w:t>
      </w:r>
      <w:r w:rsidR="00357E1A" w:rsidRPr="00357E1A">
        <w:t xml:space="preserve"> to file and serve written submissions on costs by 25 November 2021</w:t>
      </w:r>
      <w:r w:rsidR="00FE2A6A">
        <w:t xml:space="preserve"> and for the Stuarts to file any written submissions in reply by 2 December 2021</w:t>
      </w:r>
      <w:r w:rsidR="00357E1A" w:rsidRPr="00357E1A">
        <w:t>.</w:t>
      </w:r>
    </w:p>
    <w:p w14:paraId="1FD84305" w14:textId="42D0DF6A" w:rsidR="00357E1A" w:rsidRDefault="008C15BE" w:rsidP="00357E1A">
      <w:pPr>
        <w:pStyle w:val="ParaNumbering"/>
      </w:pPr>
      <w:r>
        <w:t xml:space="preserve">The Stuarts </w:t>
      </w:r>
      <w:r w:rsidR="00F4404C">
        <w:t>did not</w:t>
      </w:r>
      <w:r>
        <w:t xml:space="preserve"> file any submissions on costs</w:t>
      </w:r>
      <w:r w:rsidR="00F4404C">
        <w:t xml:space="preserve"> by 18 November </w:t>
      </w:r>
      <w:r w:rsidR="00156BF6">
        <w:t xml:space="preserve">2021 </w:t>
      </w:r>
      <w:r w:rsidR="00F4404C">
        <w:t xml:space="preserve">and on </w:t>
      </w:r>
      <w:r w:rsidR="00FE2A6A">
        <w:t>9 December 2021</w:t>
      </w:r>
      <w:r w:rsidR="00F4404C">
        <w:t xml:space="preserve"> confirmed that they did not intend to file any submissions on costs</w:t>
      </w:r>
      <w:r>
        <w:t xml:space="preserve">. </w:t>
      </w:r>
    </w:p>
    <w:p w14:paraId="468FCCB1" w14:textId="77777777" w:rsidR="008C15BE" w:rsidRDefault="00357E1A" w:rsidP="00357E1A">
      <w:pPr>
        <w:pStyle w:val="ParaNumbering"/>
      </w:pPr>
      <w:r w:rsidRPr="00357E1A">
        <w:t>Rabobank</w:t>
      </w:r>
      <w:r w:rsidR="008C15BE">
        <w:t xml:space="preserve"> filed submissions on costs on 24 November 2021.</w:t>
      </w:r>
    </w:p>
    <w:p w14:paraId="15AC6CC8" w14:textId="7AA1F67B" w:rsidR="00357E1A" w:rsidRDefault="008C15BE" w:rsidP="00357E1A">
      <w:pPr>
        <w:pStyle w:val="ParaNumbering"/>
      </w:pPr>
      <w:r>
        <w:t>Rabobank</w:t>
      </w:r>
      <w:r w:rsidR="00357E1A" w:rsidRPr="00357E1A">
        <w:t xml:space="preserve"> seeks an order under rule 40.02(a) </w:t>
      </w:r>
      <w:r w:rsidR="0018640C">
        <w:t xml:space="preserve">of the </w:t>
      </w:r>
      <w:r w:rsidR="0018640C">
        <w:rPr>
          <w:i/>
        </w:rPr>
        <w:t xml:space="preserve">Federal Court Rules 2011 </w:t>
      </w:r>
      <w:r w:rsidR="0018640C">
        <w:t>(</w:t>
      </w:r>
      <w:proofErr w:type="spellStart"/>
      <w:r w:rsidR="0018640C">
        <w:t>Cth</w:t>
      </w:r>
      <w:proofErr w:type="spellEnd"/>
      <w:r w:rsidR="0018640C">
        <w:t>) (</w:t>
      </w:r>
      <w:r w:rsidR="0018640C">
        <w:rPr>
          <w:b/>
        </w:rPr>
        <w:t>Rules</w:t>
      </w:r>
      <w:r w:rsidR="0018640C">
        <w:t xml:space="preserve">) </w:t>
      </w:r>
      <w:r w:rsidR="00357E1A" w:rsidRPr="00357E1A">
        <w:t xml:space="preserve">that the Stuarts pay </w:t>
      </w:r>
      <w:proofErr w:type="spellStart"/>
      <w:r w:rsidR="00357E1A" w:rsidRPr="00357E1A">
        <w:t>Rabobank’s</w:t>
      </w:r>
      <w:proofErr w:type="spellEnd"/>
      <w:r w:rsidR="00357E1A" w:rsidRPr="00357E1A">
        <w:t xml:space="preserve"> costs of the proceedings on an indemnity basis. In the alternative, Rabobank </w:t>
      </w:r>
      <w:r>
        <w:t>submits</w:t>
      </w:r>
      <w:r w:rsidR="00357E1A" w:rsidRPr="00357E1A">
        <w:t xml:space="preserve"> that </w:t>
      </w:r>
      <w:r>
        <w:t xml:space="preserve">costs should follow the event and given that it has been wholly successful, </w:t>
      </w:r>
      <w:r w:rsidR="00357E1A" w:rsidRPr="00357E1A">
        <w:t xml:space="preserve">the Stuarts </w:t>
      </w:r>
      <w:r>
        <w:t xml:space="preserve">should be ordered to </w:t>
      </w:r>
      <w:r w:rsidR="00357E1A" w:rsidRPr="00357E1A">
        <w:t xml:space="preserve">pay </w:t>
      </w:r>
      <w:proofErr w:type="spellStart"/>
      <w:r w:rsidR="00357E1A" w:rsidRPr="00357E1A">
        <w:t>Rabobank’s</w:t>
      </w:r>
      <w:proofErr w:type="spellEnd"/>
      <w:r w:rsidR="00357E1A" w:rsidRPr="00357E1A">
        <w:t xml:space="preserve"> costs of the proceedings.</w:t>
      </w:r>
    </w:p>
    <w:p w14:paraId="4CE3042E" w14:textId="123D5D28" w:rsidR="00EA2CEF" w:rsidRDefault="00EA2CEF" w:rsidP="00357E1A">
      <w:pPr>
        <w:pStyle w:val="ParaNumbering"/>
      </w:pPr>
      <w:r>
        <w:t>While I accept that costs should follow the event</w:t>
      </w:r>
      <w:r w:rsidR="00945E1A">
        <w:t xml:space="preserve"> and the Stuarts should pay </w:t>
      </w:r>
      <w:proofErr w:type="spellStart"/>
      <w:r w:rsidR="00945E1A">
        <w:t>Rabobank’s</w:t>
      </w:r>
      <w:proofErr w:type="spellEnd"/>
      <w:r w:rsidR="00945E1A">
        <w:t xml:space="preserve"> costs of the proceedings</w:t>
      </w:r>
      <w:r>
        <w:t xml:space="preserve">, for the reasons that follow I am not persuaded that the Stuarts should be ordered to pay </w:t>
      </w:r>
      <w:proofErr w:type="spellStart"/>
      <w:r>
        <w:t>Rabobank’s</w:t>
      </w:r>
      <w:proofErr w:type="spellEnd"/>
      <w:r>
        <w:t xml:space="preserve"> costs on an indemnity basis.</w:t>
      </w:r>
    </w:p>
    <w:p w14:paraId="12D5FD44" w14:textId="77777777" w:rsidR="00595261" w:rsidRDefault="00595261" w:rsidP="00595261">
      <w:pPr>
        <w:pStyle w:val="Heading1"/>
      </w:pPr>
      <w:r>
        <w:t>Rabobank’s submissions</w:t>
      </w:r>
    </w:p>
    <w:p w14:paraId="3661CD8E" w14:textId="3CD69B38" w:rsidR="00357E1A" w:rsidRDefault="008C15BE" w:rsidP="00357E1A">
      <w:pPr>
        <w:pStyle w:val="ParaNumbering"/>
      </w:pPr>
      <w:r>
        <w:t>Rabobank acknowledges that a</w:t>
      </w:r>
      <w:r w:rsidR="00357E1A" w:rsidRPr="00357E1A">
        <w:t xml:space="preserve">ny agreement between the parties cannot oust the jurisdiction of the Court in relation to the awarding of costs. Nevertheless, </w:t>
      </w:r>
      <w:r>
        <w:t xml:space="preserve">it submits that </w:t>
      </w:r>
      <w:r w:rsidR="00D94A24">
        <w:t xml:space="preserve">clause </w:t>
      </w:r>
      <w:r w:rsidR="00156BF6">
        <w:t>P</w:t>
      </w:r>
      <w:r w:rsidR="00D94A24">
        <w:t xml:space="preserve">5(a) of </w:t>
      </w:r>
      <w:r w:rsidR="007E3743">
        <w:t xml:space="preserve">the </w:t>
      </w:r>
      <w:r w:rsidR="007E3743" w:rsidRPr="00357E1A">
        <w:t>All</w:t>
      </w:r>
      <w:r w:rsidR="00357E1A" w:rsidRPr="00357E1A">
        <w:t xml:space="preserve"> In One Standard Line of Credit Terms dated September 2008 </w:t>
      </w:r>
      <w:r w:rsidR="00D94A24" w:rsidRPr="009D29C9">
        <w:t>(</w:t>
      </w:r>
      <w:r w:rsidR="00D94A24" w:rsidRPr="00D94A24">
        <w:rPr>
          <w:b/>
        </w:rPr>
        <w:t xml:space="preserve">Standard </w:t>
      </w:r>
      <w:r w:rsidR="00FD0930">
        <w:rPr>
          <w:b/>
        </w:rPr>
        <w:t xml:space="preserve">Credit </w:t>
      </w:r>
      <w:r w:rsidR="00D94A24" w:rsidRPr="00D94A24">
        <w:rPr>
          <w:b/>
        </w:rPr>
        <w:t>Terms</w:t>
      </w:r>
      <w:r w:rsidR="00D94A24">
        <w:t>)</w:t>
      </w:r>
      <w:r w:rsidR="00357E1A" w:rsidRPr="00357E1A">
        <w:t xml:space="preserve"> providing for indemnity costs should be given effect. That clause provides for the Stuarts to provide an indemnity to Rabobank including the payment of indemnity costs incurred by Rabobank “arising at any time directly or indirectly from: …” the matters set out in </w:t>
      </w:r>
      <w:r w:rsidR="00D94A24">
        <w:t xml:space="preserve">sub-paragraphs </w:t>
      </w:r>
      <w:r w:rsidR="00357E1A" w:rsidRPr="00357E1A">
        <w:t>(</w:t>
      </w:r>
      <w:proofErr w:type="spellStart"/>
      <w:r w:rsidR="00357E1A" w:rsidRPr="00357E1A">
        <w:t>i</w:t>
      </w:r>
      <w:proofErr w:type="spellEnd"/>
      <w:r w:rsidR="00357E1A" w:rsidRPr="00357E1A">
        <w:t xml:space="preserve">) to (viii) of </w:t>
      </w:r>
      <w:r w:rsidR="00595261">
        <w:t>cl</w:t>
      </w:r>
      <w:r w:rsidR="00945E1A">
        <w:t xml:space="preserve">ause </w:t>
      </w:r>
      <w:proofErr w:type="gramStart"/>
      <w:r w:rsidR="00595261">
        <w:t>P</w:t>
      </w:r>
      <w:r w:rsidR="00357E1A" w:rsidRPr="00357E1A">
        <w:t>5(</w:t>
      </w:r>
      <w:proofErr w:type="gramEnd"/>
      <w:r w:rsidR="00357E1A" w:rsidRPr="00357E1A">
        <w:t>a).</w:t>
      </w:r>
    </w:p>
    <w:p w14:paraId="61178EBC" w14:textId="536CBED3" w:rsidR="00357E1A" w:rsidRDefault="00FC449C" w:rsidP="00357E1A">
      <w:pPr>
        <w:pStyle w:val="ParaNumbering"/>
      </w:pPr>
      <w:r>
        <w:t>Rabobank submits that t</w:t>
      </w:r>
      <w:r w:rsidR="00357E1A" w:rsidRPr="00357E1A">
        <w:t xml:space="preserve">he approach to issues of this kind is discussed in GE Dal Pont, </w:t>
      </w:r>
      <w:r w:rsidR="00357E1A" w:rsidRPr="00357E1A">
        <w:rPr>
          <w:i/>
        </w:rPr>
        <w:t>Law of Costs</w:t>
      </w:r>
      <w:r w:rsidR="00357E1A" w:rsidRPr="00357E1A">
        <w:t xml:space="preserve"> (LexisNexis </w:t>
      </w:r>
      <w:proofErr w:type="spellStart"/>
      <w:r w:rsidR="00357E1A" w:rsidRPr="00357E1A">
        <w:t>Butterworths</w:t>
      </w:r>
      <w:proofErr w:type="spellEnd"/>
      <w:r w:rsidR="00357E1A" w:rsidRPr="00357E1A">
        <w:t>, 2</w:t>
      </w:r>
      <w:r w:rsidR="00357E1A" w:rsidRPr="00645B3C">
        <w:rPr>
          <w:vertAlign w:val="superscript"/>
        </w:rPr>
        <w:t>nd</w:t>
      </w:r>
      <w:r w:rsidR="00357E1A" w:rsidRPr="00357E1A">
        <w:t xml:space="preserve"> </w:t>
      </w:r>
      <w:proofErr w:type="spellStart"/>
      <w:r w:rsidR="00357E1A" w:rsidRPr="00357E1A">
        <w:t>ed</w:t>
      </w:r>
      <w:proofErr w:type="spellEnd"/>
      <w:r w:rsidR="00357E1A" w:rsidRPr="00357E1A">
        <w:t>, 2009) at 485 [15.41] (citations omitted) as follows:</w:t>
      </w:r>
    </w:p>
    <w:p w14:paraId="5FCBAD71" w14:textId="77777777" w:rsidR="00357E1A" w:rsidRDefault="00357E1A" w:rsidP="00357E1A">
      <w:pPr>
        <w:pStyle w:val="Quote1"/>
      </w:pPr>
      <w:r w:rsidRPr="00357E1A">
        <w:t>The effect of a clause purporting to entitle a litigant to costs quantified on other than the party and party basis must be understood. As superior courts are vested with a discretion to award costs, the parties cannot oust that discretion by contract. A court that uncritically gives effect to such a term fetters its own discretion. Yet the bulk of authority supports the proposition that, assuming the agreement in question is valid and enforceable, the court ordinarily exercises its costs discretion to give effect to the contractual right. It has been observed, to this end, that ‘it is because contracts are concerned with the allocation of risk that it is appropriate for the court to give effect to the contractual arrangement between the parties’.</w:t>
      </w:r>
    </w:p>
    <w:p w14:paraId="23C9BE84" w14:textId="0F3E4D6A" w:rsidR="00357E1A" w:rsidRDefault="008C15BE" w:rsidP="00357E1A">
      <w:pPr>
        <w:pStyle w:val="ParaNumbering"/>
      </w:pPr>
      <w:r>
        <w:t xml:space="preserve">Rabobank </w:t>
      </w:r>
      <w:r w:rsidR="00595261">
        <w:t xml:space="preserve">submits </w:t>
      </w:r>
      <w:r>
        <w:t>that t</w:t>
      </w:r>
      <w:r w:rsidR="00357E1A" w:rsidRPr="00357E1A">
        <w:t>he language of “arising at any time directly or indirectly from” should be given its natural meaning</w:t>
      </w:r>
      <w:r w:rsidR="00595261">
        <w:t xml:space="preserve"> and seeks to rely on how that expression </w:t>
      </w:r>
      <w:r w:rsidR="002C6D55">
        <w:t xml:space="preserve">has </w:t>
      </w:r>
      <w:r w:rsidR="00595261">
        <w:t>been interpreted</w:t>
      </w:r>
      <w:r w:rsidR="006E004B">
        <w:t xml:space="preserve"> </w:t>
      </w:r>
      <w:r>
        <w:t>i</w:t>
      </w:r>
      <w:r w:rsidR="00357E1A" w:rsidRPr="00357E1A">
        <w:t>n the context of other commercial arrangements, such as insurance policies</w:t>
      </w:r>
      <w:r w:rsidR="002C6D55">
        <w:t xml:space="preserve">. The respondent points </w:t>
      </w:r>
      <w:r w:rsidR="00595261">
        <w:t>expressly to the following examples, submitting that</w:t>
      </w:r>
      <w:r w:rsidR="00357E1A" w:rsidRPr="00357E1A">
        <w:t>:</w:t>
      </w:r>
    </w:p>
    <w:p w14:paraId="0D9E881A" w14:textId="642C9DAB" w:rsidR="00357E1A" w:rsidRDefault="00595261" w:rsidP="00357E1A">
      <w:pPr>
        <w:pStyle w:val="ListNo1alt"/>
      </w:pPr>
      <w:r>
        <w:t>“</w:t>
      </w:r>
      <w:r w:rsidR="00357E1A" w:rsidRPr="00357E1A">
        <w:t xml:space="preserve">arising … from” </w:t>
      </w:r>
      <w:r w:rsidR="002C6D55">
        <w:t xml:space="preserve">has </w:t>
      </w:r>
      <w:r>
        <w:t>been held</w:t>
      </w:r>
      <w:r w:rsidR="00357E1A" w:rsidRPr="00357E1A">
        <w:t xml:space="preserve"> to be a wider connector than “for” or “based upon”</w:t>
      </w:r>
      <w:r w:rsidR="00FE2A6A">
        <w:t xml:space="preserve">: </w:t>
      </w:r>
      <w:r w:rsidR="00357E1A" w:rsidRPr="00357E1A">
        <w:t xml:space="preserve">see </w:t>
      </w:r>
      <w:r w:rsidR="00357E1A" w:rsidRPr="00357E1A">
        <w:rPr>
          <w:i/>
        </w:rPr>
        <w:t>Walton v National Employers’ Mutual General Insurance Association Ltd</w:t>
      </w:r>
      <w:r w:rsidR="00357E1A" w:rsidRPr="00357E1A">
        <w:t xml:space="preserve"> [1973] 2 NSWLR 73</w:t>
      </w:r>
      <w:r w:rsidR="00FE2A6A">
        <w:t xml:space="preserve"> at 83 </w:t>
      </w:r>
      <w:r w:rsidR="00357E1A" w:rsidRPr="00357E1A">
        <w:t>(</w:t>
      </w:r>
      <w:r w:rsidR="00FE2A6A">
        <w:t>Bowen JA</w:t>
      </w:r>
      <w:r w:rsidR="00357E1A" w:rsidRPr="00357E1A">
        <w:t xml:space="preserve">), cited with approval by Gleeson J (with whom </w:t>
      </w:r>
      <w:proofErr w:type="spellStart"/>
      <w:r w:rsidR="00357E1A" w:rsidRPr="00357E1A">
        <w:t>Allsop</w:t>
      </w:r>
      <w:proofErr w:type="spellEnd"/>
      <w:r w:rsidR="00357E1A" w:rsidRPr="00357E1A">
        <w:t xml:space="preserve"> CJ and Middleton J agreed) in </w:t>
      </w:r>
      <w:proofErr w:type="spellStart"/>
      <w:r w:rsidR="00357E1A" w:rsidRPr="00357E1A">
        <w:rPr>
          <w:i/>
        </w:rPr>
        <w:t>Amlin</w:t>
      </w:r>
      <w:proofErr w:type="spellEnd"/>
      <w:r w:rsidR="00357E1A" w:rsidRPr="00357E1A">
        <w:rPr>
          <w:i/>
        </w:rPr>
        <w:t xml:space="preserve"> Corporate Member Ltd v </w:t>
      </w:r>
      <w:proofErr w:type="spellStart"/>
      <w:r w:rsidR="00357E1A" w:rsidRPr="00357E1A">
        <w:rPr>
          <w:i/>
        </w:rPr>
        <w:t>Austcorp</w:t>
      </w:r>
      <w:proofErr w:type="spellEnd"/>
      <w:r w:rsidR="00357E1A" w:rsidRPr="00357E1A">
        <w:rPr>
          <w:i/>
        </w:rPr>
        <w:t xml:space="preserve"> </w:t>
      </w:r>
      <w:r w:rsidR="00973ABC">
        <w:rPr>
          <w:i/>
        </w:rPr>
        <w:t xml:space="preserve">Project No 20 Pty Ltd </w:t>
      </w:r>
      <w:r w:rsidR="00FE2A6A">
        <w:t>[2014] FCAFC 78</w:t>
      </w:r>
      <w:r w:rsidR="00357E1A" w:rsidRPr="00357E1A">
        <w:t xml:space="preserve"> at [67]</w:t>
      </w:r>
      <w:r w:rsidR="00FE2A6A">
        <w:t>;</w:t>
      </w:r>
      <w:r w:rsidR="00357E1A" w:rsidRPr="00357E1A">
        <w:t xml:space="preserve"> see also </w:t>
      </w:r>
      <w:proofErr w:type="spellStart"/>
      <w:r w:rsidR="00357E1A" w:rsidRPr="00357E1A">
        <w:t>Derrington</w:t>
      </w:r>
      <w:proofErr w:type="spellEnd"/>
      <w:r w:rsidR="00357E1A" w:rsidRPr="00357E1A">
        <w:t xml:space="preserve"> DK “The Law of Liability Insurance” 3rd </w:t>
      </w:r>
      <w:proofErr w:type="spellStart"/>
      <w:r w:rsidR="00357E1A" w:rsidRPr="00357E1A">
        <w:t>ed</w:t>
      </w:r>
      <w:proofErr w:type="spellEnd"/>
      <w:r w:rsidR="00357E1A" w:rsidRPr="00357E1A">
        <w:t xml:space="preserve"> 2013 at [8.279] and the authorities cited there</w:t>
      </w:r>
      <w:r w:rsidR="0018640C">
        <w:t>in</w:t>
      </w:r>
      <w:r w:rsidR="00357E1A" w:rsidRPr="00357E1A">
        <w:t>;</w:t>
      </w:r>
    </w:p>
    <w:p w14:paraId="15D7FF20" w14:textId="6A2FF0FB" w:rsidR="00357E1A" w:rsidRDefault="00357E1A" w:rsidP="00357E1A">
      <w:pPr>
        <w:pStyle w:val="ListNo1alt"/>
      </w:pPr>
      <w:r w:rsidRPr="00357E1A">
        <w:t>“</w:t>
      </w:r>
      <w:proofErr w:type="gramStart"/>
      <w:r w:rsidRPr="00357E1A">
        <w:t>indirectly</w:t>
      </w:r>
      <w:proofErr w:type="gramEnd"/>
      <w:r w:rsidRPr="00357E1A">
        <w:t>” has been held to encompass an expansive causal chain</w:t>
      </w:r>
      <w:r w:rsidR="00973ABC">
        <w:t xml:space="preserve">: </w:t>
      </w:r>
      <w:r w:rsidRPr="00357E1A">
        <w:t xml:space="preserve">see </w:t>
      </w:r>
      <w:r w:rsidRPr="00357E1A">
        <w:rPr>
          <w:i/>
        </w:rPr>
        <w:t xml:space="preserve">Swiss Re International Se v LCA Marrickville Pty Limited (Second COVID-19 insurance test cases) </w:t>
      </w:r>
      <w:r w:rsidRPr="00357E1A">
        <w:t>[2021] FCA 1206 at [52]</w:t>
      </w:r>
      <w:r w:rsidR="00973ABC">
        <w:t xml:space="preserve"> (Jagot J)</w:t>
      </w:r>
      <w:r w:rsidRPr="00357E1A">
        <w:t>.</w:t>
      </w:r>
    </w:p>
    <w:p w14:paraId="1A633283" w14:textId="77777777" w:rsidR="00357E1A" w:rsidRDefault="008C15BE" w:rsidP="00357E1A">
      <w:pPr>
        <w:pStyle w:val="ParaNumbering"/>
      </w:pPr>
      <w:r>
        <w:t>Rabobank submits that its</w:t>
      </w:r>
      <w:r w:rsidR="00357E1A" w:rsidRPr="00357E1A">
        <w:t xml:space="preserve"> costs arose from, at least indirectly, if not directly:</w:t>
      </w:r>
    </w:p>
    <w:p w14:paraId="6A9594CB" w14:textId="3ADFD21C" w:rsidR="00357E1A" w:rsidRDefault="00357E1A" w:rsidP="00357E1A">
      <w:pPr>
        <w:pStyle w:val="ListNo1alt"/>
        <w:numPr>
          <w:ilvl w:val="0"/>
          <w:numId w:val="30"/>
        </w:numPr>
      </w:pPr>
      <w:r w:rsidRPr="00357E1A">
        <w:t>the occurrence of an Event of Default, being the Stuarts’ failure to repay Rabobank (</w:t>
      </w:r>
      <w:r w:rsidR="00945E1A">
        <w:t>by reference to</w:t>
      </w:r>
      <w:r w:rsidR="00945E1A" w:rsidRPr="00357E1A">
        <w:t xml:space="preserve"> </w:t>
      </w:r>
      <w:r w:rsidR="00973ABC">
        <w:t>clause P5(a)(</w:t>
      </w:r>
      <w:proofErr w:type="spellStart"/>
      <w:r w:rsidR="00973ABC">
        <w:t>i</w:t>
      </w:r>
      <w:proofErr w:type="spellEnd"/>
      <w:r w:rsidR="00973ABC">
        <w:t>) of the Standard Credit Terms)</w:t>
      </w:r>
      <w:r w:rsidRPr="00357E1A">
        <w:t>;</w:t>
      </w:r>
    </w:p>
    <w:p w14:paraId="077A1B59" w14:textId="68B3AAFF" w:rsidR="00357E1A" w:rsidRDefault="00357E1A" w:rsidP="00357E1A">
      <w:pPr>
        <w:pStyle w:val="ListNo1alt"/>
        <w:numPr>
          <w:ilvl w:val="0"/>
          <w:numId w:val="30"/>
        </w:numPr>
      </w:pPr>
      <w:r w:rsidRPr="00357E1A">
        <w:t>Rabobank attempting to exercise its rights arising upon an Event of Default (</w:t>
      </w:r>
      <w:r w:rsidR="00945E1A">
        <w:t>by reference to</w:t>
      </w:r>
      <w:r w:rsidRPr="00357E1A">
        <w:t xml:space="preserve"> </w:t>
      </w:r>
      <w:r w:rsidR="00945E1A">
        <w:t>P5(a)</w:t>
      </w:r>
      <w:r w:rsidRPr="00357E1A">
        <w:t>(</w:t>
      </w:r>
      <w:proofErr w:type="spellStart"/>
      <w:r w:rsidRPr="00357E1A">
        <w:t>i</w:t>
      </w:r>
      <w:proofErr w:type="spellEnd"/>
      <w:r w:rsidRPr="00357E1A">
        <w:t>));</w:t>
      </w:r>
    </w:p>
    <w:p w14:paraId="7277D283" w14:textId="3022D624" w:rsidR="00357E1A" w:rsidRDefault="00357E1A" w:rsidP="00357E1A">
      <w:pPr>
        <w:pStyle w:val="ListNo1alt"/>
        <w:numPr>
          <w:ilvl w:val="0"/>
          <w:numId w:val="30"/>
        </w:numPr>
      </w:pPr>
      <w:proofErr w:type="gramStart"/>
      <w:r w:rsidRPr="00357E1A">
        <w:t>a</w:t>
      </w:r>
      <w:proofErr w:type="gramEnd"/>
      <w:r w:rsidRPr="00357E1A">
        <w:t xml:space="preserve"> claim by the Stuarts that the obligations under the Facility, and the transactions that gave rise to those obligations were void or voidable for the reasons propounded by the Stuarts. Those claims were brought in connection with an amount owing by the Stuarts (</w:t>
      </w:r>
      <w:r w:rsidR="00945E1A">
        <w:t>by reference to</w:t>
      </w:r>
      <w:r w:rsidRPr="00357E1A">
        <w:t xml:space="preserve"> </w:t>
      </w:r>
      <w:r w:rsidR="00945E1A">
        <w:t>P5(a)</w:t>
      </w:r>
      <w:r w:rsidRPr="00357E1A">
        <w:t>(iii));</w:t>
      </w:r>
    </w:p>
    <w:p w14:paraId="79D3D9BB" w14:textId="323D1177" w:rsidR="00357E1A" w:rsidRDefault="00357E1A" w:rsidP="00357E1A">
      <w:pPr>
        <w:pStyle w:val="ListNo1alt"/>
        <w:numPr>
          <w:ilvl w:val="0"/>
          <w:numId w:val="30"/>
        </w:numPr>
      </w:pPr>
      <w:r w:rsidRPr="00357E1A">
        <w:t>Rabobank entering into the Deed of Forbearance and Acknowledgment in August 2012, being an agreement in connection with the Facility (</w:t>
      </w:r>
      <w:r w:rsidR="00945E1A">
        <w:t>by reference to</w:t>
      </w:r>
      <w:r w:rsidRPr="00357E1A">
        <w:t xml:space="preserve"> </w:t>
      </w:r>
      <w:proofErr w:type="gramStart"/>
      <w:r w:rsidR="00945E1A">
        <w:t>P5(</w:t>
      </w:r>
      <w:proofErr w:type="gramEnd"/>
      <w:r w:rsidR="00945E1A">
        <w:t>a)</w:t>
      </w:r>
      <w:r w:rsidRPr="00357E1A">
        <w:t>(vi)).</w:t>
      </w:r>
    </w:p>
    <w:p w14:paraId="4F54DBBC" w14:textId="77777777" w:rsidR="00357E1A" w:rsidRDefault="00357E1A" w:rsidP="00357E1A">
      <w:pPr>
        <w:pStyle w:val="ParaNumbering"/>
      </w:pPr>
      <w:r w:rsidRPr="00357E1A">
        <w:t>Rabobank contends that the Court should give effect to that contractual arrangement.</w:t>
      </w:r>
    </w:p>
    <w:p w14:paraId="057E9E6E" w14:textId="77777777" w:rsidR="00595261" w:rsidRDefault="00595261" w:rsidP="00595261">
      <w:pPr>
        <w:pStyle w:val="Heading1"/>
      </w:pPr>
      <w:r>
        <w:t>Relevant principles</w:t>
      </w:r>
    </w:p>
    <w:p w14:paraId="6590A159" w14:textId="4FB70790" w:rsidR="009E1777" w:rsidRDefault="00BA42ED" w:rsidP="000048AF">
      <w:pPr>
        <w:pStyle w:val="ParaNumbering"/>
        <w:rPr>
          <w:lang w:eastAsia="en-AU"/>
        </w:rPr>
      </w:pPr>
      <w:r>
        <w:rPr>
          <w:lang w:eastAsia="en-AU"/>
        </w:rPr>
        <w:t xml:space="preserve">Section 43 of the </w:t>
      </w:r>
      <w:r w:rsidRPr="009E1777">
        <w:rPr>
          <w:i/>
          <w:lang w:eastAsia="en-AU"/>
        </w:rPr>
        <w:t>Federal Court of Australia Act</w:t>
      </w:r>
      <w:r>
        <w:rPr>
          <w:lang w:eastAsia="en-AU"/>
        </w:rPr>
        <w:t xml:space="preserve"> </w:t>
      </w:r>
      <w:r w:rsidRPr="000B554D">
        <w:rPr>
          <w:i/>
          <w:lang w:eastAsia="en-AU"/>
        </w:rPr>
        <w:t>1976</w:t>
      </w:r>
      <w:r>
        <w:rPr>
          <w:lang w:eastAsia="en-AU"/>
        </w:rPr>
        <w:t xml:space="preserve"> </w:t>
      </w:r>
      <w:r w:rsidR="00AC15AA">
        <w:rPr>
          <w:lang w:eastAsia="en-AU"/>
        </w:rPr>
        <w:t>(</w:t>
      </w:r>
      <w:proofErr w:type="spellStart"/>
      <w:r w:rsidR="00AC15AA">
        <w:rPr>
          <w:lang w:eastAsia="en-AU"/>
        </w:rPr>
        <w:t>Cth</w:t>
      </w:r>
      <w:proofErr w:type="spellEnd"/>
      <w:r w:rsidR="00AC15AA">
        <w:rPr>
          <w:lang w:eastAsia="en-AU"/>
        </w:rPr>
        <w:t xml:space="preserve">) </w:t>
      </w:r>
      <w:r>
        <w:rPr>
          <w:lang w:eastAsia="en-AU"/>
        </w:rPr>
        <w:t xml:space="preserve">confers a broad discretion on the Court to make orders with respect to the payment of the costs of proceedings. </w:t>
      </w:r>
      <w:r w:rsidR="003551E4">
        <w:rPr>
          <w:lang w:eastAsia="en-AU"/>
        </w:rPr>
        <w:t xml:space="preserve">It speaks of a jurisdiction to award costs but is to be regarded as a reference to power in aid of jurisdiction rather than a grant of jurisdiction as that term is used in Chapter III of the Constitution: </w:t>
      </w:r>
      <w:r w:rsidR="003551E4" w:rsidRPr="003551E4">
        <w:rPr>
          <w:i/>
          <w:lang w:eastAsia="en-AU"/>
        </w:rPr>
        <w:t xml:space="preserve">Ruddock v </w:t>
      </w:r>
      <w:proofErr w:type="spellStart"/>
      <w:r w:rsidR="003551E4" w:rsidRPr="003551E4">
        <w:rPr>
          <w:i/>
          <w:lang w:eastAsia="en-AU"/>
        </w:rPr>
        <w:t>Vadarlis</w:t>
      </w:r>
      <w:proofErr w:type="spellEnd"/>
      <w:r w:rsidR="003551E4" w:rsidRPr="003551E4">
        <w:rPr>
          <w:i/>
          <w:lang w:eastAsia="en-AU"/>
        </w:rPr>
        <w:t xml:space="preserve"> (No 2)</w:t>
      </w:r>
      <w:r w:rsidR="003551E4">
        <w:rPr>
          <w:lang w:eastAsia="en-AU"/>
        </w:rPr>
        <w:t xml:space="preserve"> </w:t>
      </w:r>
      <w:r w:rsidR="00973ABC">
        <w:rPr>
          <w:lang w:eastAsia="en-AU"/>
        </w:rPr>
        <w:t xml:space="preserve">(2001) </w:t>
      </w:r>
      <w:r w:rsidR="003551E4">
        <w:rPr>
          <w:lang w:eastAsia="en-AU"/>
        </w:rPr>
        <w:t>11</w:t>
      </w:r>
      <w:r w:rsidR="00973ABC">
        <w:rPr>
          <w:lang w:eastAsia="en-AU"/>
        </w:rPr>
        <w:t>5</w:t>
      </w:r>
      <w:r w:rsidR="003551E4">
        <w:rPr>
          <w:lang w:eastAsia="en-AU"/>
        </w:rPr>
        <w:t xml:space="preserve"> FCR 229</w:t>
      </w:r>
      <w:r w:rsidR="00973ABC">
        <w:rPr>
          <w:lang w:eastAsia="en-AU"/>
        </w:rPr>
        <w:t>; [2001] FCA 1865</w:t>
      </w:r>
      <w:r w:rsidR="003551E4">
        <w:rPr>
          <w:lang w:eastAsia="en-AU"/>
        </w:rPr>
        <w:t xml:space="preserve"> at [9] (Black CJ and French J). </w:t>
      </w:r>
      <w:r>
        <w:t xml:space="preserve">In the usual course that discretion would be exercised by an order that costs follow the event and that such costs would be determined on a party and party basis, as agreed or taxed: </w:t>
      </w:r>
      <w:r w:rsidR="009E1777">
        <w:t xml:space="preserve">r 40.01 of the </w:t>
      </w:r>
      <w:r w:rsidR="0018640C">
        <w:t>Rules</w:t>
      </w:r>
      <w:r w:rsidR="009E1777">
        <w:t>.</w:t>
      </w:r>
    </w:p>
    <w:p w14:paraId="788AC6CB" w14:textId="726108E8" w:rsidR="009E1777" w:rsidRDefault="00BA42ED" w:rsidP="000048AF">
      <w:pPr>
        <w:pStyle w:val="ParaNumbering"/>
        <w:rPr>
          <w:lang w:eastAsia="en-AU"/>
        </w:rPr>
      </w:pPr>
      <w:r>
        <w:t>Although the categories of case</w:t>
      </w:r>
      <w:r w:rsidR="00AC15AA">
        <w:t>s</w:t>
      </w:r>
      <w:r>
        <w:t xml:space="preserve"> in which indemnity costs may be ordered are not closed, there must be some special or unusual features to be present for a court to depart from the usual practice and make an order for a party to pay costs on an indemnity basis: </w:t>
      </w:r>
      <w:proofErr w:type="spellStart"/>
      <w:r w:rsidRPr="009E1777">
        <w:rPr>
          <w:i/>
        </w:rPr>
        <w:t>Jianshe</w:t>
      </w:r>
      <w:proofErr w:type="spellEnd"/>
      <w:r w:rsidRPr="009E1777">
        <w:rPr>
          <w:i/>
        </w:rPr>
        <w:t xml:space="preserve"> Southern Pty Ltd </w:t>
      </w:r>
      <w:r w:rsidR="005A61E0">
        <w:rPr>
          <w:i/>
        </w:rPr>
        <w:t xml:space="preserve">(ACN 007 031 905) </w:t>
      </w:r>
      <w:r w:rsidRPr="009E1777">
        <w:rPr>
          <w:i/>
        </w:rPr>
        <w:t xml:space="preserve">v Turnbull Cooktown Pty Ltd </w:t>
      </w:r>
      <w:r w:rsidR="005A61E0">
        <w:rPr>
          <w:i/>
        </w:rPr>
        <w:t xml:space="preserve">(ACN 069 894 275) </w:t>
      </w:r>
      <w:r w:rsidRPr="009E1777">
        <w:rPr>
          <w:i/>
        </w:rPr>
        <w:t>(No 2)</w:t>
      </w:r>
      <w:r>
        <w:t xml:space="preserve"> [2007] FCA 903 at [32]</w:t>
      </w:r>
      <w:r w:rsidR="005A61E0">
        <w:t xml:space="preserve"> (</w:t>
      </w:r>
      <w:proofErr w:type="spellStart"/>
      <w:r w:rsidR="005A61E0">
        <w:t>Besanko</w:t>
      </w:r>
      <w:proofErr w:type="spellEnd"/>
      <w:r w:rsidR="005A61E0">
        <w:t xml:space="preserve"> J)</w:t>
      </w:r>
      <w:r>
        <w:t xml:space="preserve">. </w:t>
      </w:r>
    </w:p>
    <w:p w14:paraId="7EF9566C" w14:textId="37F3D779" w:rsidR="009E1777" w:rsidRDefault="00EA2CEF" w:rsidP="000048AF">
      <w:pPr>
        <w:pStyle w:val="ParaNumbering"/>
        <w:rPr>
          <w:lang w:eastAsia="en-AU"/>
        </w:rPr>
      </w:pPr>
      <w:r>
        <w:rPr>
          <w:lang w:eastAsia="en-AU"/>
        </w:rPr>
        <w:t>C</w:t>
      </w:r>
      <w:r w:rsidR="009E1777">
        <w:rPr>
          <w:lang w:eastAsia="en-AU"/>
        </w:rPr>
        <w:t xml:space="preserve">ontractual provisions in documents, including mortgage documents, that provide for the payment of costs on a particular basis have been taken into account in exercising the costs discretion and generally have been given effect: </w:t>
      </w:r>
      <w:proofErr w:type="spellStart"/>
      <w:r w:rsidR="009E1777" w:rsidRPr="009E1777">
        <w:rPr>
          <w:i/>
          <w:lang w:eastAsia="en-AU"/>
        </w:rPr>
        <w:t>Gomba</w:t>
      </w:r>
      <w:proofErr w:type="spellEnd"/>
      <w:r w:rsidR="009E1777" w:rsidRPr="009E1777">
        <w:rPr>
          <w:i/>
          <w:lang w:eastAsia="en-AU"/>
        </w:rPr>
        <w:t xml:space="preserve"> Holdings (UK) Ltd v </w:t>
      </w:r>
      <w:proofErr w:type="spellStart"/>
      <w:r w:rsidR="009E1777" w:rsidRPr="009E1777">
        <w:rPr>
          <w:i/>
          <w:lang w:eastAsia="en-AU"/>
        </w:rPr>
        <w:t>Minories</w:t>
      </w:r>
      <w:proofErr w:type="spellEnd"/>
      <w:r w:rsidR="009E1777" w:rsidRPr="009E1777">
        <w:rPr>
          <w:i/>
          <w:lang w:eastAsia="en-AU"/>
        </w:rPr>
        <w:t xml:space="preserve"> Finance Ltd (No 2) </w:t>
      </w:r>
      <w:r w:rsidR="009E1777">
        <w:rPr>
          <w:lang w:eastAsia="en-AU"/>
        </w:rPr>
        <w:t xml:space="preserve">[1993] </w:t>
      </w:r>
      <w:proofErr w:type="spellStart"/>
      <w:r w:rsidR="009E1777">
        <w:rPr>
          <w:lang w:eastAsia="en-AU"/>
        </w:rPr>
        <w:t>Ch</w:t>
      </w:r>
      <w:proofErr w:type="spellEnd"/>
      <w:r w:rsidR="009E1777">
        <w:rPr>
          <w:lang w:eastAsia="en-AU"/>
        </w:rPr>
        <w:t xml:space="preserve"> 171 </w:t>
      </w:r>
      <w:r>
        <w:rPr>
          <w:lang w:eastAsia="en-AU"/>
        </w:rPr>
        <w:t>(</w:t>
      </w:r>
      <w:proofErr w:type="spellStart"/>
      <w:r w:rsidRPr="0075782B">
        <w:rPr>
          <w:b/>
          <w:i/>
          <w:lang w:eastAsia="en-AU"/>
        </w:rPr>
        <w:t>Gomba</w:t>
      </w:r>
      <w:proofErr w:type="spellEnd"/>
      <w:r>
        <w:rPr>
          <w:lang w:eastAsia="en-AU"/>
        </w:rPr>
        <w:t xml:space="preserve">) </w:t>
      </w:r>
      <w:r w:rsidR="009E1777">
        <w:rPr>
          <w:lang w:eastAsia="en-AU"/>
        </w:rPr>
        <w:t>at 194</w:t>
      </w:r>
      <w:r w:rsidR="00645B3C">
        <w:rPr>
          <w:lang w:eastAsia="en-AU"/>
        </w:rPr>
        <w:t xml:space="preserve"> (Sir Stephen Brown P, Stocker and Scott LJJ)</w:t>
      </w:r>
      <w:r w:rsidR="009E1777">
        <w:rPr>
          <w:lang w:eastAsia="en-AU"/>
        </w:rPr>
        <w:t>.</w:t>
      </w:r>
    </w:p>
    <w:p w14:paraId="3E757707" w14:textId="29F46DF5" w:rsidR="0034770B" w:rsidRPr="0034770B" w:rsidRDefault="0034770B" w:rsidP="000048AF">
      <w:pPr>
        <w:pStyle w:val="ParaNumbering"/>
        <w:rPr>
          <w:lang w:eastAsia="en-AU"/>
        </w:rPr>
      </w:pPr>
      <w:r w:rsidRPr="0034770B">
        <w:rPr>
          <w:lang w:eastAsia="en-AU"/>
        </w:rPr>
        <w:t>Whether a contract provides a full indemnity for costs, or only an indemnity for costs assessed on a party/party basis, is a question of the proper construction of the relevant provision or provisions</w:t>
      </w:r>
      <w:r w:rsidR="00AE416A">
        <w:rPr>
          <w:lang w:eastAsia="en-AU"/>
        </w:rPr>
        <w:t xml:space="preserve">. The meaning of any express provision is “a question of interpretation in the particular case”: </w:t>
      </w:r>
      <w:r w:rsidR="00E8262A" w:rsidRPr="0052536D">
        <w:rPr>
          <w:i/>
        </w:rPr>
        <w:t xml:space="preserve">Leda Holdings Pty Ltd v </w:t>
      </w:r>
      <w:proofErr w:type="spellStart"/>
      <w:r w:rsidR="00E8262A" w:rsidRPr="0052536D">
        <w:rPr>
          <w:i/>
        </w:rPr>
        <w:t>Oraka</w:t>
      </w:r>
      <w:proofErr w:type="spellEnd"/>
      <w:r w:rsidR="00E8262A" w:rsidRPr="0052536D">
        <w:rPr>
          <w:i/>
        </w:rPr>
        <w:t xml:space="preserve"> Pty Ltd</w:t>
      </w:r>
      <w:r w:rsidR="00E8262A">
        <w:t xml:space="preserve"> </w:t>
      </w:r>
      <w:r w:rsidR="00DF6F16">
        <w:t xml:space="preserve">[1999] FCA 444 </w:t>
      </w:r>
      <w:r w:rsidR="00E8262A">
        <w:t>(</w:t>
      </w:r>
      <w:r w:rsidR="00E8262A" w:rsidRPr="0052536D">
        <w:rPr>
          <w:b/>
          <w:i/>
        </w:rPr>
        <w:t>Leda Holdings</w:t>
      </w:r>
      <w:r w:rsidR="00E8262A">
        <w:t xml:space="preserve">) </w:t>
      </w:r>
      <w:r w:rsidR="00E8262A">
        <w:rPr>
          <w:lang w:eastAsia="en-AU"/>
        </w:rPr>
        <w:t>at [21]</w:t>
      </w:r>
      <w:r w:rsidR="00E8262A" w:rsidRPr="00E8262A">
        <w:t xml:space="preserve"> </w:t>
      </w:r>
      <w:r w:rsidR="00E8262A">
        <w:t xml:space="preserve">(Burchett J) </w:t>
      </w:r>
      <w:r w:rsidR="00E8262A">
        <w:rPr>
          <w:lang w:eastAsia="en-AU"/>
        </w:rPr>
        <w:t xml:space="preserve">citing </w:t>
      </w:r>
      <w:r w:rsidR="00AE416A" w:rsidRPr="0075782B">
        <w:rPr>
          <w:i/>
          <w:lang w:eastAsia="en-AU"/>
        </w:rPr>
        <w:t>Re Elders Trustee and Executor Company Limited</w:t>
      </w:r>
      <w:r w:rsidR="00AE416A">
        <w:rPr>
          <w:i/>
          <w:lang w:eastAsia="en-AU"/>
        </w:rPr>
        <w:t xml:space="preserve"> and E G Reeves Pty Ltd </w:t>
      </w:r>
      <w:r w:rsidR="00AE416A" w:rsidRPr="0075782B">
        <w:rPr>
          <w:lang w:eastAsia="en-AU"/>
        </w:rPr>
        <w:t>(unreported, 12 February 1988)</w:t>
      </w:r>
      <w:r w:rsidR="00AE416A">
        <w:rPr>
          <w:i/>
          <w:lang w:eastAsia="en-AU"/>
        </w:rPr>
        <w:t xml:space="preserve"> </w:t>
      </w:r>
      <w:r w:rsidR="00AE416A" w:rsidRPr="0075782B">
        <w:rPr>
          <w:lang w:eastAsia="en-AU"/>
        </w:rPr>
        <w:t>(</w:t>
      </w:r>
      <w:proofErr w:type="spellStart"/>
      <w:r w:rsidR="00AE416A" w:rsidRPr="0075782B">
        <w:rPr>
          <w:lang w:eastAsia="en-AU"/>
        </w:rPr>
        <w:t>Gummow</w:t>
      </w:r>
      <w:proofErr w:type="spellEnd"/>
      <w:r w:rsidR="00AE416A" w:rsidRPr="0075782B">
        <w:rPr>
          <w:lang w:eastAsia="en-AU"/>
        </w:rPr>
        <w:t xml:space="preserve"> J)</w:t>
      </w:r>
      <w:r w:rsidR="00AE416A">
        <w:rPr>
          <w:i/>
          <w:lang w:eastAsia="en-AU"/>
        </w:rPr>
        <w:t>.</w:t>
      </w:r>
    </w:p>
    <w:p w14:paraId="48581E4A" w14:textId="171E3825" w:rsidR="00F4410B" w:rsidRDefault="009E1777" w:rsidP="009E1777">
      <w:pPr>
        <w:pStyle w:val="ParaNumbering"/>
        <w:rPr>
          <w:lang w:eastAsia="en-AU"/>
        </w:rPr>
      </w:pPr>
      <w:r>
        <w:rPr>
          <w:lang w:eastAsia="en-AU"/>
        </w:rPr>
        <w:t xml:space="preserve">Generally, clauses in mortgage documents providing for mortgagees to be paid their costs are construed </w:t>
      </w:r>
      <w:r w:rsidRPr="0034770B">
        <w:rPr>
          <w:i/>
          <w:lang w:eastAsia="en-AU"/>
        </w:rPr>
        <w:t xml:space="preserve">contra </w:t>
      </w:r>
      <w:proofErr w:type="spellStart"/>
      <w:r w:rsidR="00945E1A" w:rsidRPr="0034770B">
        <w:rPr>
          <w:i/>
          <w:lang w:eastAsia="en-AU"/>
        </w:rPr>
        <w:t>proferent</w:t>
      </w:r>
      <w:r w:rsidR="00945E1A">
        <w:rPr>
          <w:i/>
          <w:lang w:eastAsia="en-AU"/>
        </w:rPr>
        <w:t>e</w:t>
      </w:r>
      <w:r w:rsidR="00945E1A" w:rsidRPr="0034770B">
        <w:rPr>
          <w:i/>
          <w:lang w:eastAsia="en-AU"/>
        </w:rPr>
        <w:t>m</w:t>
      </w:r>
      <w:proofErr w:type="spellEnd"/>
      <w:r w:rsidR="004B4046">
        <w:rPr>
          <w:lang w:eastAsia="en-AU"/>
        </w:rPr>
        <w:t xml:space="preserve">: </w:t>
      </w:r>
      <w:r w:rsidR="00AC15AA">
        <w:rPr>
          <w:lang w:eastAsia="en-AU"/>
        </w:rPr>
        <w:t>G</w:t>
      </w:r>
      <w:r w:rsidR="005A280F">
        <w:rPr>
          <w:lang w:eastAsia="en-AU"/>
        </w:rPr>
        <w:t xml:space="preserve">E Dal Pont, </w:t>
      </w:r>
      <w:r w:rsidR="005A280F" w:rsidRPr="0075782B">
        <w:rPr>
          <w:i/>
          <w:lang w:eastAsia="en-AU"/>
        </w:rPr>
        <w:t>Law of Costs</w:t>
      </w:r>
      <w:r w:rsidR="005A280F">
        <w:rPr>
          <w:lang w:eastAsia="en-AU"/>
        </w:rPr>
        <w:t xml:space="preserve"> (LexisNexis </w:t>
      </w:r>
      <w:proofErr w:type="spellStart"/>
      <w:r w:rsidR="005A280F">
        <w:rPr>
          <w:lang w:eastAsia="en-AU"/>
        </w:rPr>
        <w:t>Butterworths</w:t>
      </w:r>
      <w:proofErr w:type="spellEnd"/>
      <w:r w:rsidR="005A280F">
        <w:rPr>
          <w:lang w:eastAsia="en-AU"/>
        </w:rPr>
        <w:t>, 5</w:t>
      </w:r>
      <w:r w:rsidR="005A280F" w:rsidRPr="0075782B">
        <w:rPr>
          <w:vertAlign w:val="superscript"/>
          <w:lang w:eastAsia="en-AU"/>
        </w:rPr>
        <w:t>th</w:t>
      </w:r>
      <w:r w:rsidR="005A280F">
        <w:rPr>
          <w:lang w:eastAsia="en-AU"/>
        </w:rPr>
        <w:t xml:space="preserve"> </w:t>
      </w:r>
      <w:proofErr w:type="spellStart"/>
      <w:r w:rsidR="005A280F">
        <w:rPr>
          <w:lang w:eastAsia="en-AU"/>
        </w:rPr>
        <w:t>ed</w:t>
      </w:r>
      <w:proofErr w:type="spellEnd"/>
      <w:r w:rsidR="005A280F">
        <w:rPr>
          <w:lang w:eastAsia="en-AU"/>
        </w:rPr>
        <w:t xml:space="preserve">, 2021) at 558 [15.48]. If parties wish to depart from well-established rules by reason of contractual costs provisions they must express themselves in plain and unequivocal language: </w:t>
      </w:r>
      <w:r w:rsidR="004B4046" w:rsidRPr="0075782B">
        <w:rPr>
          <w:i/>
          <w:lang w:eastAsia="en-AU"/>
        </w:rPr>
        <w:t xml:space="preserve">In re Adelphi Hotel (Brighton) </w:t>
      </w:r>
      <w:proofErr w:type="spellStart"/>
      <w:r w:rsidR="004B4046" w:rsidRPr="0075782B">
        <w:rPr>
          <w:i/>
          <w:lang w:eastAsia="en-AU"/>
        </w:rPr>
        <w:t>Ld</w:t>
      </w:r>
      <w:proofErr w:type="spellEnd"/>
      <w:r w:rsidR="004B4046" w:rsidRPr="0075782B">
        <w:rPr>
          <w:i/>
          <w:lang w:eastAsia="en-AU"/>
        </w:rPr>
        <w:t xml:space="preserve">; District Bank </w:t>
      </w:r>
      <w:proofErr w:type="spellStart"/>
      <w:r w:rsidR="004B4046" w:rsidRPr="0075782B">
        <w:rPr>
          <w:i/>
          <w:lang w:eastAsia="en-AU"/>
        </w:rPr>
        <w:t>Ld</w:t>
      </w:r>
      <w:proofErr w:type="spellEnd"/>
      <w:r w:rsidR="004B4046" w:rsidRPr="0075782B">
        <w:rPr>
          <w:i/>
          <w:lang w:eastAsia="en-AU"/>
        </w:rPr>
        <w:t xml:space="preserve"> v Adelphi Hotel (Brighton) </w:t>
      </w:r>
      <w:proofErr w:type="spellStart"/>
      <w:r w:rsidR="004B4046" w:rsidRPr="0075782B">
        <w:rPr>
          <w:i/>
          <w:lang w:eastAsia="en-AU"/>
        </w:rPr>
        <w:t>Ld</w:t>
      </w:r>
      <w:proofErr w:type="spellEnd"/>
      <w:r w:rsidR="004B4046" w:rsidRPr="0075782B">
        <w:rPr>
          <w:i/>
          <w:lang w:eastAsia="en-AU"/>
        </w:rPr>
        <w:t xml:space="preserve"> </w:t>
      </w:r>
      <w:r w:rsidR="004B4046">
        <w:rPr>
          <w:lang w:eastAsia="en-AU"/>
        </w:rPr>
        <w:t>[1953] 1 WLR 955</w:t>
      </w:r>
      <w:r w:rsidR="008F6A2B">
        <w:rPr>
          <w:lang w:eastAsia="en-AU"/>
        </w:rPr>
        <w:t xml:space="preserve"> at </w:t>
      </w:r>
      <w:r w:rsidR="005A280F">
        <w:rPr>
          <w:lang w:eastAsia="en-AU"/>
        </w:rPr>
        <w:t>960 (Va</w:t>
      </w:r>
      <w:r w:rsidR="002854F9">
        <w:rPr>
          <w:lang w:eastAsia="en-AU"/>
        </w:rPr>
        <w:t>i</w:t>
      </w:r>
      <w:r w:rsidR="005A280F">
        <w:rPr>
          <w:lang w:eastAsia="en-AU"/>
        </w:rPr>
        <w:t>sey J).</w:t>
      </w:r>
    </w:p>
    <w:p w14:paraId="3B6422E2" w14:textId="50353100" w:rsidR="009E1777" w:rsidRDefault="009E1777" w:rsidP="009E1777">
      <w:pPr>
        <w:pStyle w:val="ParaNumbering"/>
        <w:rPr>
          <w:lang w:eastAsia="en-AU"/>
        </w:rPr>
      </w:pPr>
      <w:r>
        <w:rPr>
          <w:lang w:eastAsia="en-AU"/>
        </w:rPr>
        <w:t xml:space="preserve">As Duggan J stated in </w:t>
      </w:r>
      <w:r w:rsidRPr="007A3731">
        <w:rPr>
          <w:i/>
          <w:lang w:eastAsia="en-AU"/>
        </w:rPr>
        <w:t xml:space="preserve">Perpetual Trustees Australia Ltd </w:t>
      </w:r>
      <w:r w:rsidR="002854F9">
        <w:rPr>
          <w:i/>
          <w:lang w:eastAsia="en-AU"/>
        </w:rPr>
        <w:t xml:space="preserve">&amp; </w:t>
      </w:r>
      <w:proofErr w:type="spellStart"/>
      <w:r w:rsidR="002854F9">
        <w:rPr>
          <w:i/>
          <w:lang w:eastAsia="en-AU"/>
        </w:rPr>
        <w:t>Ors</w:t>
      </w:r>
      <w:proofErr w:type="spellEnd"/>
      <w:r w:rsidR="002854F9">
        <w:rPr>
          <w:i/>
          <w:lang w:eastAsia="en-AU"/>
        </w:rPr>
        <w:t xml:space="preserve"> </w:t>
      </w:r>
      <w:r w:rsidRPr="007A3731">
        <w:rPr>
          <w:i/>
          <w:lang w:eastAsia="en-AU"/>
        </w:rPr>
        <w:t>v Barker</w:t>
      </w:r>
      <w:r>
        <w:rPr>
          <w:lang w:eastAsia="en-AU"/>
        </w:rPr>
        <w:t xml:space="preserve"> (2004) 232 LSJS 400;</w:t>
      </w:r>
      <w:r w:rsidR="006E004B">
        <w:rPr>
          <w:lang w:eastAsia="en-AU"/>
        </w:rPr>
        <w:t xml:space="preserve"> </w:t>
      </w:r>
      <w:r>
        <w:rPr>
          <w:lang w:eastAsia="en-AU"/>
        </w:rPr>
        <w:t>[2004] SASC 58 at [22] (with whom Doyle CJ and Anderson J relevantly agreed):</w:t>
      </w:r>
    </w:p>
    <w:p w14:paraId="0B9AFBB1" w14:textId="77777777" w:rsidR="009E1777" w:rsidRPr="0034770B" w:rsidRDefault="009E1777" w:rsidP="009E1777">
      <w:pPr>
        <w:pStyle w:val="Quote1"/>
        <w:rPr>
          <w:lang w:eastAsia="en-AU"/>
        </w:rPr>
      </w:pPr>
      <w:r w:rsidRPr="0034770B">
        <w:rPr>
          <w:lang w:eastAsia="en-AU"/>
        </w:rPr>
        <w:t>The effect of clauses bestowing such rights on mortgagees will depend upon their interpretation in each case and they will not be given effect so as to place mortgagors in a less favourable position than would otherwise be the case unless they are unambiguously expressed.</w:t>
      </w:r>
    </w:p>
    <w:p w14:paraId="53B662A2" w14:textId="01C848B3" w:rsidR="0034770B" w:rsidRDefault="0034770B" w:rsidP="0034770B">
      <w:pPr>
        <w:pStyle w:val="ParaNumbering"/>
        <w:rPr>
          <w:lang w:eastAsia="en-AU"/>
        </w:rPr>
      </w:pPr>
      <w:r>
        <w:rPr>
          <w:lang w:eastAsia="en-AU"/>
        </w:rPr>
        <w:t>T</w:t>
      </w:r>
      <w:r w:rsidRPr="0034770B">
        <w:rPr>
          <w:lang w:eastAsia="en-AU"/>
        </w:rPr>
        <w:t xml:space="preserve">he indemnity, whether a full indemnity or only for party/party costs, </w:t>
      </w:r>
      <w:r w:rsidR="00B203A5" w:rsidRPr="0034770B">
        <w:rPr>
          <w:lang w:eastAsia="en-AU"/>
        </w:rPr>
        <w:t>cover</w:t>
      </w:r>
      <w:r w:rsidR="00B203A5">
        <w:rPr>
          <w:lang w:eastAsia="en-AU"/>
        </w:rPr>
        <w:t xml:space="preserve">s </w:t>
      </w:r>
      <w:r w:rsidRPr="0034770B">
        <w:rPr>
          <w:lang w:eastAsia="en-AU"/>
        </w:rPr>
        <w:t xml:space="preserve">only costs which were </w:t>
      </w:r>
      <w:r w:rsidR="005A280F">
        <w:rPr>
          <w:lang w:eastAsia="en-AU"/>
        </w:rPr>
        <w:t>not unreasonable in nature or amount</w:t>
      </w:r>
      <w:r w:rsidRPr="0034770B">
        <w:rPr>
          <w:lang w:eastAsia="en-AU"/>
        </w:rPr>
        <w:t xml:space="preserve">: </w:t>
      </w:r>
      <w:r w:rsidR="00F67F63" w:rsidRPr="0075782B">
        <w:rPr>
          <w:i/>
          <w:lang w:eastAsia="en-AU"/>
        </w:rPr>
        <w:t>AGC (Advances) Ltd v West</w:t>
      </w:r>
      <w:r w:rsidR="00F67F63">
        <w:rPr>
          <w:lang w:eastAsia="en-AU"/>
        </w:rPr>
        <w:t xml:space="preserve"> (1984) 5 NSWLR 301 at 305-6 (Hodgson J)</w:t>
      </w:r>
      <w:r w:rsidR="001D7B21">
        <w:rPr>
          <w:lang w:eastAsia="en-AU"/>
        </w:rPr>
        <w:t>;</w:t>
      </w:r>
      <w:r w:rsidR="00F67F63">
        <w:rPr>
          <w:lang w:eastAsia="en-AU"/>
        </w:rPr>
        <w:t xml:space="preserve"> </w:t>
      </w:r>
      <w:proofErr w:type="spellStart"/>
      <w:r w:rsidR="001D7B21" w:rsidRPr="0075782B">
        <w:rPr>
          <w:i/>
          <w:lang w:eastAsia="en-AU"/>
        </w:rPr>
        <w:t>Gomba</w:t>
      </w:r>
      <w:proofErr w:type="spellEnd"/>
      <w:r w:rsidR="001D7B21">
        <w:rPr>
          <w:lang w:eastAsia="en-AU"/>
        </w:rPr>
        <w:t xml:space="preserve"> at </w:t>
      </w:r>
      <w:r w:rsidR="00EA2CEF">
        <w:rPr>
          <w:lang w:eastAsia="en-AU"/>
        </w:rPr>
        <w:t>186.</w:t>
      </w:r>
    </w:p>
    <w:p w14:paraId="2E65C6D8" w14:textId="2E954333" w:rsidR="003266E3" w:rsidRDefault="003266E3" w:rsidP="003266E3">
      <w:pPr>
        <w:pStyle w:val="ParaNumbering"/>
      </w:pPr>
      <w:r>
        <w:t xml:space="preserve">Indemnity costs orders were made by reference to contractual provisions that expressly provided for payment of indemnity costs in </w:t>
      </w:r>
      <w:r w:rsidR="00FD7A11">
        <w:rPr>
          <w:i/>
        </w:rPr>
        <w:t xml:space="preserve">In re a Solicitor’s Bill of Costs </w:t>
      </w:r>
      <w:r w:rsidR="00FD7A11">
        <w:t xml:space="preserve">(1941) 58 WN (NSW) 132 (moratorium application by mortgagee); </w:t>
      </w:r>
      <w:proofErr w:type="spellStart"/>
      <w:r w:rsidRPr="00A865A8">
        <w:rPr>
          <w:i/>
        </w:rPr>
        <w:t>Edlin</w:t>
      </w:r>
      <w:proofErr w:type="spellEnd"/>
      <w:r w:rsidRPr="00A865A8">
        <w:rPr>
          <w:i/>
        </w:rPr>
        <w:t xml:space="preserve"> v Williams </w:t>
      </w:r>
      <w:r w:rsidRPr="00A865A8">
        <w:t>[1999] QCA 7</w:t>
      </w:r>
      <w:r>
        <w:t xml:space="preserve"> (proceedings brought by beneficiary of a guarantee seeking enforcement of a guarantee); </w:t>
      </w:r>
      <w:r>
        <w:rPr>
          <w:i/>
          <w:szCs w:val="24"/>
        </w:rPr>
        <w:t xml:space="preserve">Bank of Western Australia Ltd v Marsh </w:t>
      </w:r>
      <w:r>
        <w:rPr>
          <w:szCs w:val="24"/>
        </w:rPr>
        <w:t xml:space="preserve">[2000] WASC 208 at [7] (mortgagee proceedings for possession); </w:t>
      </w:r>
      <w:proofErr w:type="spellStart"/>
      <w:r>
        <w:rPr>
          <w:i/>
        </w:rPr>
        <w:t>Kayabram</w:t>
      </w:r>
      <w:proofErr w:type="spellEnd"/>
      <w:r>
        <w:rPr>
          <w:i/>
        </w:rPr>
        <w:t xml:space="preserve"> Property Investments Pty Ltd v Murray </w:t>
      </w:r>
      <w:r>
        <w:t xml:space="preserve">[2006] </w:t>
      </w:r>
      <w:r w:rsidR="00FD7A11">
        <w:t>NSWSC 54 at [15],</w:t>
      </w:r>
      <w:r>
        <w:t xml:space="preserve"> [18] (application by mortgagee for issue of a new certificate of title to give effect to an order for rectification of a mortgage);</w:t>
      </w:r>
      <w:r w:rsidR="00FD7A11">
        <w:t xml:space="preserve"> </w:t>
      </w:r>
      <w:r w:rsidR="00FD7A11">
        <w:rPr>
          <w:i/>
        </w:rPr>
        <w:t xml:space="preserve">National Australia Bank Limited v </w:t>
      </w:r>
      <w:proofErr w:type="spellStart"/>
      <w:r w:rsidR="00FD7A11">
        <w:rPr>
          <w:i/>
        </w:rPr>
        <w:t>Landy</w:t>
      </w:r>
      <w:proofErr w:type="spellEnd"/>
      <w:r w:rsidR="00FD7A11">
        <w:rPr>
          <w:i/>
        </w:rPr>
        <w:t xml:space="preserve"> Chen-Conway &amp; Anor </w:t>
      </w:r>
      <w:r w:rsidR="00FD7A11">
        <w:t>[2008] NSWSC 485 (mortgagee proceedings for possession); and</w:t>
      </w:r>
      <w:r>
        <w:t xml:space="preserve"> </w:t>
      </w:r>
      <w:r>
        <w:rPr>
          <w:i/>
        </w:rPr>
        <w:t xml:space="preserve">Bendigo and Adelaide Bank Ltd v Grahame (No 2) (Costs Ruling) </w:t>
      </w:r>
      <w:r>
        <w:t>[2020] VSC 223 (mortgagee proceedings for po</w:t>
      </w:r>
      <w:r w:rsidR="00FD7A11">
        <w:t>ssession)</w:t>
      </w:r>
      <w:r>
        <w:t>.</w:t>
      </w:r>
    </w:p>
    <w:p w14:paraId="16F2B693" w14:textId="63FEAFAE" w:rsidR="003C1A9A" w:rsidRDefault="0030629C" w:rsidP="000048AF">
      <w:pPr>
        <w:pStyle w:val="ParaNumbering"/>
      </w:pPr>
      <w:r>
        <w:t xml:space="preserve">In </w:t>
      </w:r>
      <w:proofErr w:type="spellStart"/>
      <w:r w:rsidRPr="0030629C">
        <w:rPr>
          <w:i/>
        </w:rPr>
        <w:t>Quadrascan</w:t>
      </w:r>
      <w:proofErr w:type="spellEnd"/>
      <w:r w:rsidRPr="0030629C">
        <w:rPr>
          <w:i/>
        </w:rPr>
        <w:t xml:space="preserve"> Graphics Pty Ltd as Trustee of the Quad Unit Trust v </w:t>
      </w:r>
      <w:proofErr w:type="spellStart"/>
      <w:r w:rsidRPr="0030629C">
        <w:rPr>
          <w:i/>
        </w:rPr>
        <w:t>Crosfield</w:t>
      </w:r>
      <w:proofErr w:type="spellEnd"/>
      <w:r w:rsidRPr="0030629C">
        <w:rPr>
          <w:i/>
        </w:rPr>
        <w:t xml:space="preserve"> Electronics ANZ Pty Ltd</w:t>
      </w:r>
      <w:r>
        <w:t xml:space="preserve"> [1995] FCA 319; BC9507757 (</w:t>
      </w:r>
      <w:proofErr w:type="spellStart"/>
      <w:r>
        <w:t>Carr</w:t>
      </w:r>
      <w:proofErr w:type="spellEnd"/>
      <w:r>
        <w:t xml:space="preserve"> J) </w:t>
      </w:r>
      <w:r w:rsidR="00D44DA8">
        <w:t>(</w:t>
      </w:r>
      <w:proofErr w:type="spellStart"/>
      <w:r w:rsidR="00D44DA8" w:rsidRPr="00D44DA8">
        <w:rPr>
          <w:b/>
          <w:i/>
        </w:rPr>
        <w:t>Quadrascan</w:t>
      </w:r>
      <w:proofErr w:type="spellEnd"/>
      <w:r w:rsidR="00D44DA8">
        <w:t>)</w:t>
      </w:r>
      <w:r w:rsidR="00B14198">
        <w:t>,</w:t>
      </w:r>
      <w:r w:rsidR="00D44DA8">
        <w:t xml:space="preserve"> </w:t>
      </w:r>
      <w:r>
        <w:t xml:space="preserve">the </w:t>
      </w:r>
      <w:r w:rsidR="009B62F3">
        <w:t xml:space="preserve">first named </w:t>
      </w:r>
      <w:r>
        <w:t xml:space="preserve">applicant </w:t>
      </w:r>
      <w:r w:rsidR="009B62F3">
        <w:t>(</w:t>
      </w:r>
      <w:proofErr w:type="spellStart"/>
      <w:r w:rsidR="009B62F3" w:rsidRPr="009B62F3">
        <w:rPr>
          <w:b/>
        </w:rPr>
        <w:t>Quadrascan</w:t>
      </w:r>
      <w:proofErr w:type="spellEnd"/>
      <w:r w:rsidR="009B62F3">
        <w:t xml:space="preserve">) </w:t>
      </w:r>
      <w:r>
        <w:t xml:space="preserve">sought damages for misleading and deceptive conduct </w:t>
      </w:r>
      <w:r w:rsidR="009B62F3">
        <w:t xml:space="preserve">in contravention of s 52 of the </w:t>
      </w:r>
      <w:r w:rsidR="009B62F3" w:rsidRPr="000B554D">
        <w:rPr>
          <w:i/>
        </w:rPr>
        <w:t>Trade Practices A</w:t>
      </w:r>
      <w:r w:rsidR="00FD7A11" w:rsidRPr="000B554D">
        <w:rPr>
          <w:i/>
        </w:rPr>
        <w:t>ct</w:t>
      </w:r>
      <w:r w:rsidR="009B62F3" w:rsidRPr="000B554D">
        <w:rPr>
          <w:i/>
        </w:rPr>
        <w:t xml:space="preserve"> 1974</w:t>
      </w:r>
      <w:r w:rsidR="00FD7A11" w:rsidRPr="000B554D">
        <w:rPr>
          <w:i/>
        </w:rPr>
        <w:t xml:space="preserve"> </w:t>
      </w:r>
      <w:r w:rsidR="00FD7A11">
        <w:t>(</w:t>
      </w:r>
      <w:proofErr w:type="spellStart"/>
      <w:r w:rsidR="00FD7A11" w:rsidRPr="00FD7A11">
        <w:t>Cth</w:t>
      </w:r>
      <w:proofErr w:type="spellEnd"/>
      <w:r w:rsidR="00FD7A11">
        <w:t>) (</w:t>
      </w:r>
      <w:r w:rsidR="00FD7A11">
        <w:rPr>
          <w:b/>
        </w:rPr>
        <w:t>TPA</w:t>
      </w:r>
      <w:r w:rsidR="00FD7A11">
        <w:t>)</w:t>
      </w:r>
      <w:r w:rsidR="00B203A5">
        <w:t xml:space="preserve">. </w:t>
      </w:r>
      <w:proofErr w:type="spellStart"/>
      <w:r w:rsidR="00B203A5">
        <w:t>Quadrascan</w:t>
      </w:r>
      <w:proofErr w:type="spellEnd"/>
      <w:r w:rsidR="00B203A5">
        <w:t xml:space="preserve"> claimed that</w:t>
      </w:r>
      <w:r w:rsidR="009B62F3">
        <w:t xml:space="preserve"> representations made to it by the first respondent (</w:t>
      </w:r>
      <w:proofErr w:type="spellStart"/>
      <w:r w:rsidR="009B62F3" w:rsidRPr="009B62F3">
        <w:rPr>
          <w:b/>
        </w:rPr>
        <w:t>Crosfield</w:t>
      </w:r>
      <w:proofErr w:type="spellEnd"/>
      <w:r w:rsidR="009B62F3">
        <w:t xml:space="preserve">) </w:t>
      </w:r>
      <w:r>
        <w:t xml:space="preserve">induced </w:t>
      </w:r>
      <w:r w:rsidR="009B62F3">
        <w:t>it</w:t>
      </w:r>
      <w:r>
        <w:t xml:space="preserve"> to enter into a lease of computer graphics equipment (</w:t>
      </w:r>
      <w:r w:rsidRPr="009B62F3">
        <w:rPr>
          <w:b/>
        </w:rPr>
        <w:t>Equipment Lease</w:t>
      </w:r>
      <w:r>
        <w:t>)</w:t>
      </w:r>
      <w:r w:rsidR="009B62F3">
        <w:t xml:space="preserve"> from the second respondent (</w:t>
      </w:r>
      <w:proofErr w:type="spellStart"/>
      <w:r w:rsidR="009B62F3" w:rsidRPr="009B62F3">
        <w:rPr>
          <w:b/>
        </w:rPr>
        <w:t>Burnhill</w:t>
      </w:r>
      <w:proofErr w:type="spellEnd"/>
      <w:r w:rsidR="009B62F3">
        <w:t>). The applicant</w:t>
      </w:r>
      <w:r>
        <w:t xml:space="preserve"> sought to rely on that conduct to seek relief from any further liability under </w:t>
      </w:r>
      <w:r w:rsidR="009B62F3">
        <w:t>the</w:t>
      </w:r>
      <w:r>
        <w:t xml:space="preserve"> </w:t>
      </w:r>
      <w:r w:rsidR="009B62F3">
        <w:t xml:space="preserve">Equipment Lease on the basis that </w:t>
      </w:r>
      <w:proofErr w:type="spellStart"/>
      <w:r w:rsidR="009B62F3">
        <w:t>Burnhill</w:t>
      </w:r>
      <w:proofErr w:type="spellEnd"/>
      <w:r w:rsidR="009B62F3">
        <w:t xml:space="preserve"> was knowingly concerned in, and thus a person involved in</w:t>
      </w:r>
      <w:r w:rsidR="00B14198">
        <w:t>,</w:t>
      </w:r>
      <w:r w:rsidR="009B62F3">
        <w:t xml:space="preserve"> the alleged contraventions of the </w:t>
      </w:r>
      <w:r w:rsidR="00FD7A11">
        <w:t xml:space="preserve">TPA: </w:t>
      </w:r>
      <w:proofErr w:type="spellStart"/>
      <w:r w:rsidR="003C1A9A" w:rsidRPr="003C1A9A">
        <w:rPr>
          <w:i/>
        </w:rPr>
        <w:t>Quadrascan</w:t>
      </w:r>
      <w:proofErr w:type="spellEnd"/>
      <w:r w:rsidR="003C1A9A">
        <w:t xml:space="preserve"> at 1</w:t>
      </w:r>
      <w:r w:rsidR="00DF6F16">
        <w:t>33</w:t>
      </w:r>
      <w:r w:rsidR="009B62F3">
        <w:t xml:space="preserve">. </w:t>
      </w:r>
    </w:p>
    <w:p w14:paraId="7852D115" w14:textId="050B083A" w:rsidR="0034770B" w:rsidRDefault="003C1A9A" w:rsidP="000048AF">
      <w:pPr>
        <w:pStyle w:val="ParaNumbering"/>
      </w:pPr>
      <w:r>
        <w:t xml:space="preserve">The misleading and deceptive conduct claims advanced by </w:t>
      </w:r>
      <w:proofErr w:type="spellStart"/>
      <w:r>
        <w:t>Quadrasca</w:t>
      </w:r>
      <w:r w:rsidR="00DC5045">
        <w:t>n</w:t>
      </w:r>
      <w:proofErr w:type="spellEnd"/>
      <w:r w:rsidR="00DC5045">
        <w:t xml:space="preserve"> were unsuccessful and a cross-</w:t>
      </w:r>
      <w:r>
        <w:t xml:space="preserve">claim advanced by </w:t>
      </w:r>
      <w:proofErr w:type="spellStart"/>
      <w:r>
        <w:t>Burnhill</w:t>
      </w:r>
      <w:proofErr w:type="spellEnd"/>
      <w:r>
        <w:t xml:space="preserve"> under the Equipment Lease was successful. The </w:t>
      </w:r>
      <w:r w:rsidR="0030629C">
        <w:t xml:space="preserve">Court made orders for </w:t>
      </w:r>
      <w:r w:rsidR="003266E3">
        <w:t xml:space="preserve">the </w:t>
      </w:r>
      <w:r w:rsidR="0030629C">
        <w:t xml:space="preserve">costs </w:t>
      </w:r>
      <w:r>
        <w:t xml:space="preserve">of the proceedings </w:t>
      </w:r>
      <w:r w:rsidR="0030629C">
        <w:t>having regard to clause 27 of the Lease</w:t>
      </w:r>
      <w:r w:rsidR="003266E3">
        <w:t>.</w:t>
      </w:r>
      <w:r w:rsidR="00FD7A11">
        <w:t xml:space="preserve"> As recorded in </w:t>
      </w:r>
      <w:proofErr w:type="spellStart"/>
      <w:r w:rsidR="00FD7A11">
        <w:rPr>
          <w:i/>
        </w:rPr>
        <w:t>Quadrascan</w:t>
      </w:r>
      <w:proofErr w:type="spellEnd"/>
      <w:r w:rsidR="00FD7A11">
        <w:rPr>
          <w:i/>
        </w:rPr>
        <w:t xml:space="preserve"> </w:t>
      </w:r>
      <w:r w:rsidR="00FD7A11">
        <w:t>at 166,</w:t>
      </w:r>
      <w:r w:rsidR="003266E3">
        <w:t xml:space="preserve"> </w:t>
      </w:r>
      <w:r w:rsidR="00FD7A11">
        <w:t>t</w:t>
      </w:r>
      <w:r w:rsidR="003266E3">
        <w:t>he clause</w:t>
      </w:r>
      <w:r w:rsidR="006E004B">
        <w:t xml:space="preserve"> </w:t>
      </w:r>
      <w:r w:rsidR="0030629C">
        <w:t>provided that:</w:t>
      </w:r>
    </w:p>
    <w:p w14:paraId="1C2C0EDD" w14:textId="77777777" w:rsidR="0030629C" w:rsidRDefault="0030629C" w:rsidP="0030629C">
      <w:pPr>
        <w:pStyle w:val="Quote1"/>
      </w:pPr>
      <w:r>
        <w:t>27.</w:t>
      </w:r>
      <w:r>
        <w:tab/>
        <w:t xml:space="preserve"> The Lessee must pay:</w:t>
      </w:r>
    </w:p>
    <w:p w14:paraId="6142EE0E" w14:textId="77777777" w:rsidR="0030629C" w:rsidRDefault="0030629C" w:rsidP="0030629C">
      <w:pPr>
        <w:pStyle w:val="Quote1"/>
      </w:pPr>
      <w:r>
        <w:tab/>
        <w:t>…</w:t>
      </w:r>
    </w:p>
    <w:p w14:paraId="5FB36AA6" w14:textId="3DCA299B" w:rsidR="0030629C" w:rsidRDefault="0030629C" w:rsidP="00DF6F16">
      <w:pPr>
        <w:pStyle w:val="Quote2"/>
      </w:pPr>
      <w:r>
        <w:t xml:space="preserve">(b) </w:t>
      </w:r>
      <w:r w:rsidR="00DF6F16">
        <w:tab/>
      </w:r>
      <w:proofErr w:type="gramStart"/>
      <w:r>
        <w:t>all</w:t>
      </w:r>
      <w:proofErr w:type="gramEnd"/>
      <w:r>
        <w:t xml:space="preserve"> costs, expenses, duties and outgoings of or incidental to:</w:t>
      </w:r>
    </w:p>
    <w:p w14:paraId="010F3ACD" w14:textId="77777777" w:rsidR="0030629C" w:rsidRDefault="0030629C" w:rsidP="00080019">
      <w:pPr>
        <w:pStyle w:val="Quote3"/>
        <w:ind w:left="2880" w:hanging="720"/>
      </w:pPr>
      <w:r>
        <w:t>(</w:t>
      </w:r>
      <w:proofErr w:type="spellStart"/>
      <w:r>
        <w:t>i</w:t>
      </w:r>
      <w:proofErr w:type="spellEnd"/>
      <w:r>
        <w:t xml:space="preserve">) </w:t>
      </w:r>
      <w:r>
        <w:tab/>
      </w:r>
      <w:proofErr w:type="gramStart"/>
      <w:r>
        <w:t>any</w:t>
      </w:r>
      <w:proofErr w:type="gramEnd"/>
      <w:r>
        <w:t xml:space="preserve"> breach or default by the Lessee under this lease; or</w:t>
      </w:r>
    </w:p>
    <w:p w14:paraId="404F6B71" w14:textId="77777777" w:rsidR="0030629C" w:rsidRDefault="0030629C" w:rsidP="00080019">
      <w:pPr>
        <w:pStyle w:val="Quote3"/>
        <w:ind w:left="2880" w:hanging="720"/>
      </w:pPr>
      <w:r>
        <w:t xml:space="preserve">(ii) </w:t>
      </w:r>
      <w:r>
        <w:tab/>
      </w:r>
      <w:proofErr w:type="gramStart"/>
      <w:r>
        <w:t>the</w:t>
      </w:r>
      <w:proofErr w:type="gramEnd"/>
      <w:r>
        <w:t xml:space="preserve"> exercise or attempted exercise of any right, power, privilege, authority or remedy of the Lessor under or by virtue of this lease,</w:t>
      </w:r>
    </w:p>
    <w:p w14:paraId="5597B823" w14:textId="2B21D200" w:rsidR="0030629C" w:rsidRDefault="0030629C" w:rsidP="000B554D">
      <w:pPr>
        <w:pStyle w:val="Quote3"/>
      </w:pPr>
      <w:proofErr w:type="gramStart"/>
      <w:r>
        <w:t>including</w:t>
      </w:r>
      <w:proofErr w:type="gramEnd"/>
      <w:r>
        <w:t xml:space="preserve"> but not limited to the cost of registration, repairs, maintenance, servicing or storage of the Goods, the fees of all professional consultants reasonably incurred by the Lessor and legal costs on a full indemnity basis.</w:t>
      </w:r>
    </w:p>
    <w:p w14:paraId="387FF37A" w14:textId="3500106B" w:rsidR="003C1A9A" w:rsidRDefault="003C1A9A" w:rsidP="003C1A9A">
      <w:pPr>
        <w:pStyle w:val="ParaNumbering"/>
      </w:pPr>
      <w:proofErr w:type="spellStart"/>
      <w:r>
        <w:t>Burnhill</w:t>
      </w:r>
      <w:proofErr w:type="spellEnd"/>
      <w:r>
        <w:t xml:space="preserve"> sought an order that it was entitled to all of its legal costs </w:t>
      </w:r>
      <w:r w:rsidR="003266E3">
        <w:t>“</w:t>
      </w:r>
      <w:r>
        <w:t>of and incidental to</w:t>
      </w:r>
      <w:r w:rsidR="003266E3">
        <w:t>”</w:t>
      </w:r>
      <w:r>
        <w:t xml:space="preserve"> </w:t>
      </w:r>
      <w:proofErr w:type="spellStart"/>
      <w:r w:rsidR="00F2442D">
        <w:t>Quadrascan’s</w:t>
      </w:r>
      <w:proofErr w:type="spellEnd"/>
      <w:r w:rsidR="00F2442D">
        <w:t xml:space="preserve"> breach of the Equipment Lease on a full indemnity basis. </w:t>
      </w:r>
      <w:r w:rsidR="00FD7A11">
        <w:t xml:space="preserve">Justice </w:t>
      </w:r>
      <w:proofErr w:type="spellStart"/>
      <w:r w:rsidR="00F2442D">
        <w:t>Carr</w:t>
      </w:r>
      <w:proofErr w:type="spellEnd"/>
      <w:r w:rsidR="00F2442D">
        <w:t xml:space="preserve"> concluded as a matter of construction that the legal costs incurred by </w:t>
      </w:r>
      <w:proofErr w:type="spellStart"/>
      <w:r w:rsidR="00F2442D">
        <w:t>Burnhill</w:t>
      </w:r>
      <w:proofErr w:type="spellEnd"/>
      <w:r w:rsidR="00F2442D">
        <w:t xml:space="preserve"> in defending the principal application brought by </w:t>
      </w:r>
      <w:proofErr w:type="spellStart"/>
      <w:r w:rsidR="00F2442D">
        <w:t>Quadrascan</w:t>
      </w:r>
      <w:proofErr w:type="spellEnd"/>
      <w:r w:rsidR="00F2442D">
        <w:t xml:space="preserve"> fell outside clause 27(b) and it was therefore only entitled to party and party costs on the application: </w:t>
      </w:r>
      <w:proofErr w:type="spellStart"/>
      <w:r w:rsidR="00F2442D" w:rsidRPr="00F2442D">
        <w:rPr>
          <w:i/>
        </w:rPr>
        <w:t>Quadrascan</w:t>
      </w:r>
      <w:proofErr w:type="spellEnd"/>
      <w:r w:rsidR="00F2442D">
        <w:t xml:space="preserve"> at 166-7. His Honour was satisfied, however, that </w:t>
      </w:r>
      <w:proofErr w:type="spellStart"/>
      <w:r w:rsidR="00F2442D">
        <w:t>Burnhill’</w:t>
      </w:r>
      <w:r w:rsidR="00DC5045">
        <w:t>s</w:t>
      </w:r>
      <w:proofErr w:type="spellEnd"/>
      <w:r w:rsidR="00DC5045">
        <w:t xml:space="preserve"> costs in respect of its cross-</w:t>
      </w:r>
      <w:r w:rsidR="00F2442D">
        <w:t xml:space="preserve">claim fell within clause 27(b) and it was entitled to the payment of those costs on a full indemnity basis: </w:t>
      </w:r>
      <w:proofErr w:type="spellStart"/>
      <w:r w:rsidR="00F2442D" w:rsidRPr="00F2442D">
        <w:rPr>
          <w:i/>
        </w:rPr>
        <w:t>Quadrascan</w:t>
      </w:r>
      <w:proofErr w:type="spellEnd"/>
      <w:r w:rsidR="00F2442D">
        <w:t xml:space="preserve"> at 167.</w:t>
      </w:r>
    </w:p>
    <w:p w14:paraId="3C7ED784" w14:textId="1A181F77" w:rsidR="008C12D4" w:rsidRDefault="00907024" w:rsidP="003C1A9A">
      <w:pPr>
        <w:pStyle w:val="ParaNumbering"/>
      </w:pPr>
      <w:r>
        <w:t xml:space="preserve">A similar claim for indemnity costs was advanced in </w:t>
      </w:r>
      <w:r w:rsidRPr="0075782B">
        <w:rPr>
          <w:i/>
        </w:rPr>
        <w:t>Leda Holdings</w:t>
      </w:r>
      <w:r>
        <w:t xml:space="preserve">. The applicants had unsuccessfully brought a claim against the respondents for, </w:t>
      </w:r>
      <w:r w:rsidRPr="0075782B">
        <w:rPr>
          <w:i/>
        </w:rPr>
        <w:t>inter alia</w:t>
      </w:r>
      <w:r>
        <w:t>, contraventions of s 52 of the T</w:t>
      </w:r>
      <w:r w:rsidR="00FD7A11">
        <w:t>PA</w:t>
      </w:r>
      <w:r>
        <w:t xml:space="preserve"> in relation to an alleged inducement to enter into a lease of a shop at a new shopping centre. The respondents/cross</w:t>
      </w:r>
      <w:r w:rsidR="00FD7A11">
        <w:t>-</w:t>
      </w:r>
      <w:r>
        <w:t>claimants sought indemnity costs against the applicant/cross respondent</w:t>
      </w:r>
      <w:r w:rsidR="0017410A">
        <w:t xml:space="preserve"> by reference to indemnity costs contractual provisions </w:t>
      </w:r>
      <w:r w:rsidR="00384AC6">
        <w:t>in cla</w:t>
      </w:r>
      <w:r w:rsidR="00945E1A">
        <w:t>us</w:t>
      </w:r>
      <w:r w:rsidR="00384AC6">
        <w:t>es 18.6 and 23</w:t>
      </w:r>
      <w:r w:rsidR="00DF6F16">
        <w:t>.</w:t>
      </w:r>
      <w:r w:rsidR="00384AC6">
        <w:t xml:space="preserve">1(b) of the lease and clause 8.6 of </w:t>
      </w:r>
      <w:r w:rsidR="0017410A">
        <w:t>in the agreement for lease.</w:t>
      </w:r>
      <w:r w:rsidR="008C12D4">
        <w:t xml:space="preserve"> </w:t>
      </w:r>
    </w:p>
    <w:p w14:paraId="705248C1" w14:textId="7BEEB389" w:rsidR="00907024" w:rsidRDefault="008C12D4" w:rsidP="003C1A9A">
      <w:pPr>
        <w:pStyle w:val="ParaNumbering"/>
      </w:pPr>
      <w:r>
        <w:t>As explained by Burchett J at [16]:</w:t>
      </w:r>
    </w:p>
    <w:p w14:paraId="4362B685" w14:textId="45889473" w:rsidR="008C12D4" w:rsidRDefault="008C12D4" w:rsidP="008C12D4">
      <w:pPr>
        <w:pStyle w:val="Quote1"/>
      </w:pPr>
      <w:r>
        <w:t>Cl 8.6 of the agreement for lease reads:</w:t>
      </w:r>
    </w:p>
    <w:p w14:paraId="63CA1DE3" w14:textId="538B5100" w:rsidR="008C12D4" w:rsidRDefault="00DF6F16" w:rsidP="00AC15AA">
      <w:pPr>
        <w:pStyle w:val="Quote2"/>
      </w:pPr>
      <w:r>
        <w:t>“</w:t>
      </w:r>
      <w:r w:rsidR="008C12D4">
        <w:t>The Tenant [</w:t>
      </w:r>
      <w:proofErr w:type="spellStart"/>
      <w:r w:rsidR="008C12D4">
        <w:t>Oraka</w:t>
      </w:r>
      <w:proofErr w:type="spellEnd"/>
      <w:r w:rsidR="008C12D4">
        <w:t>]:</w:t>
      </w:r>
    </w:p>
    <w:p w14:paraId="25F038B5" w14:textId="3ED8AD76" w:rsidR="008C12D4" w:rsidRDefault="008C12D4" w:rsidP="00AC15AA">
      <w:pPr>
        <w:pStyle w:val="Quote3"/>
        <w:ind w:left="2880" w:hanging="720"/>
      </w:pPr>
      <w:r>
        <w:t xml:space="preserve">(a) </w:t>
      </w:r>
      <w:r w:rsidR="00DF6F16">
        <w:tab/>
      </w:r>
      <w:proofErr w:type="gramStart"/>
      <w:r>
        <w:t>indemnifies</w:t>
      </w:r>
      <w:proofErr w:type="gramEnd"/>
      <w:r>
        <w:t xml:space="preserve"> the Landlord against any liability or loss arising from, and any costs, charges and expenses incurred in connection with:</w:t>
      </w:r>
    </w:p>
    <w:p w14:paraId="4D885FF5" w14:textId="44B320D5" w:rsidR="008C12D4" w:rsidRDefault="008C12D4" w:rsidP="00080019">
      <w:pPr>
        <w:pStyle w:val="Quote3"/>
        <w:ind w:left="2880" w:hanging="720"/>
      </w:pPr>
      <w:r>
        <w:t>(</w:t>
      </w:r>
      <w:proofErr w:type="spellStart"/>
      <w:r>
        <w:t>i</w:t>
      </w:r>
      <w:proofErr w:type="spellEnd"/>
      <w:r>
        <w:t xml:space="preserve">) </w:t>
      </w:r>
      <w:r w:rsidR="00DF6F16">
        <w:tab/>
      </w:r>
      <w:proofErr w:type="gramStart"/>
      <w:r>
        <w:t>an</w:t>
      </w:r>
      <w:proofErr w:type="gramEnd"/>
      <w:r>
        <w:t xml:space="preserve"> Event of Default; or</w:t>
      </w:r>
    </w:p>
    <w:p w14:paraId="03D61C50" w14:textId="3AE8428C" w:rsidR="008C12D4" w:rsidRDefault="008C12D4" w:rsidP="00080019">
      <w:pPr>
        <w:pStyle w:val="Quote3"/>
        <w:ind w:left="2880" w:hanging="720"/>
      </w:pPr>
      <w:r>
        <w:t xml:space="preserve">(ii) </w:t>
      </w:r>
      <w:r w:rsidR="00DF6F16">
        <w:tab/>
      </w:r>
      <w:proofErr w:type="gramStart"/>
      <w:r>
        <w:t>the</w:t>
      </w:r>
      <w:proofErr w:type="gramEnd"/>
      <w:r>
        <w:t xml:space="preserve"> Tenant's non-compliance with its obligations under a Transaction Document; or</w:t>
      </w:r>
    </w:p>
    <w:p w14:paraId="4808E887" w14:textId="459D0E0A" w:rsidR="008C12D4" w:rsidRDefault="008C12D4" w:rsidP="00080019">
      <w:pPr>
        <w:pStyle w:val="Quote3"/>
        <w:ind w:left="2880" w:hanging="720"/>
      </w:pPr>
      <w:r>
        <w:t xml:space="preserve">(iii) </w:t>
      </w:r>
      <w:r w:rsidR="00DF6F16">
        <w:tab/>
      </w:r>
      <w:proofErr w:type="gramStart"/>
      <w:r>
        <w:t>any</w:t>
      </w:r>
      <w:proofErr w:type="gramEnd"/>
      <w:r>
        <w:t xml:space="preserve"> payment required to be made under a Transaction Document not being made on its due date,</w:t>
      </w:r>
    </w:p>
    <w:p w14:paraId="18CD571D" w14:textId="449C1422" w:rsidR="008C12D4" w:rsidRDefault="008C12D4" w:rsidP="00AC15AA">
      <w:pPr>
        <w:pStyle w:val="Quote3"/>
      </w:pPr>
      <w:r>
        <w:t>including, without limitation, liability, loss, costs, charges and expenses on account of funds borrowed, contracted for or used to fund any amount payable under any Transaction Document and including in each case, without limitation, legal costs and expenses on a full indemnity basis or solicitor and own client basis, whichever is th</w:t>
      </w:r>
      <w:r w:rsidR="00DF6F16">
        <w:t>e higher ...”</w:t>
      </w:r>
      <w:r>
        <w:t xml:space="preserve"> (the balance of the clause is not said to be relevant).</w:t>
      </w:r>
    </w:p>
    <w:p w14:paraId="78157ABC" w14:textId="722C1606" w:rsidR="008C12D4" w:rsidRDefault="008C12D4" w:rsidP="008C12D4">
      <w:pPr>
        <w:pStyle w:val="Quote1"/>
      </w:pPr>
      <w:r>
        <w:t>Cl 18.6 of the lease reads:</w:t>
      </w:r>
    </w:p>
    <w:p w14:paraId="3F3B49DE" w14:textId="5DAF0522" w:rsidR="008C12D4" w:rsidRDefault="00DF6F16" w:rsidP="00DF6F16">
      <w:pPr>
        <w:pStyle w:val="Quote2"/>
      </w:pPr>
      <w:r>
        <w:t>“</w:t>
      </w:r>
      <w:r w:rsidR="008C12D4">
        <w:t>The Tenant indemnifies the Landlord against any liability or loss arising from, and any costs, charges and expenses incurred by Landlord or any employee, officer, agent or contractor of the Landlord in connection with an Event of Default including, without limita</w:t>
      </w:r>
      <w:r>
        <w:t>tion, legal costs and expenses.”</w:t>
      </w:r>
    </w:p>
    <w:p w14:paraId="35CE382F" w14:textId="7DFE265C" w:rsidR="008C12D4" w:rsidRDefault="008C12D4" w:rsidP="008C12D4">
      <w:pPr>
        <w:pStyle w:val="Quote1"/>
      </w:pPr>
      <w:r>
        <w:t>Cl 23.1(b) reads:</w:t>
      </w:r>
    </w:p>
    <w:p w14:paraId="2C1EE7B3" w14:textId="05269F79" w:rsidR="008C12D4" w:rsidRDefault="00DF6F16" w:rsidP="00DF6F16">
      <w:pPr>
        <w:pStyle w:val="Quote2"/>
      </w:pPr>
      <w:r>
        <w:t>“</w:t>
      </w:r>
      <w:r w:rsidR="008C12D4">
        <w:t>The Tenant must pay or reimburse the Landlord on demand for:</w:t>
      </w:r>
    </w:p>
    <w:p w14:paraId="2542271F" w14:textId="77777777" w:rsidR="008C12D4" w:rsidRDefault="008C12D4" w:rsidP="00AC15AA">
      <w:pPr>
        <w:pStyle w:val="Quote3"/>
      </w:pPr>
      <w:r>
        <w:t>...</w:t>
      </w:r>
    </w:p>
    <w:p w14:paraId="38244E96" w14:textId="2C9E4C79" w:rsidR="008C12D4" w:rsidRDefault="008C12D4" w:rsidP="00AC15AA">
      <w:pPr>
        <w:pStyle w:val="Quote3"/>
        <w:ind w:left="2880" w:hanging="720"/>
      </w:pPr>
      <w:r>
        <w:t xml:space="preserve">(b) </w:t>
      </w:r>
      <w:r w:rsidR="00DF6F16">
        <w:tab/>
      </w:r>
      <w:r>
        <w:t>the costs, charges and expenses of the Landlord in connection with any consent, approval, exercise or non-exercise of rights, waiver, variation, release, surrender or discharge in connection with any Transaction Document (including, without limitation, those payable to any independent person appointed to evaluate any matter of concern); and</w:t>
      </w:r>
    </w:p>
    <w:p w14:paraId="4875DC73" w14:textId="77777777" w:rsidR="008C12D4" w:rsidRDefault="008C12D4" w:rsidP="00AC15AA">
      <w:pPr>
        <w:pStyle w:val="Quote3"/>
      </w:pPr>
      <w:r>
        <w:t>...</w:t>
      </w:r>
    </w:p>
    <w:p w14:paraId="09EA0925" w14:textId="6F3EE3B4" w:rsidR="008C12D4" w:rsidRDefault="008C12D4" w:rsidP="00AC15AA">
      <w:pPr>
        <w:pStyle w:val="Quote3"/>
      </w:pPr>
      <w:proofErr w:type="gramStart"/>
      <w:r>
        <w:t>including</w:t>
      </w:r>
      <w:proofErr w:type="gramEnd"/>
      <w:r>
        <w:t xml:space="preserve"> in each case, without limitation, legal costs and expenses on a full indemnity basis or solicitor and own client </w:t>
      </w:r>
      <w:r w:rsidR="00DF6F16">
        <w:t>basis, whichever is the higher.”</w:t>
      </w:r>
    </w:p>
    <w:p w14:paraId="044A39A4" w14:textId="5413C22A" w:rsidR="00DB61E2" w:rsidRDefault="00DB61E2" w:rsidP="00DB61E2">
      <w:pPr>
        <w:pStyle w:val="ParaNumbering"/>
      </w:pPr>
      <w:r>
        <w:t xml:space="preserve">The indemnity costs provisions in </w:t>
      </w:r>
      <w:r w:rsidRPr="00BA3A1F">
        <w:rPr>
          <w:i/>
        </w:rPr>
        <w:t>Leda Holdings</w:t>
      </w:r>
      <w:r>
        <w:t xml:space="preserve"> extended to any costs incurred by the lessor in connection with any exercise of rights in connection with any Transaction Document. The term Transaction Document</w:t>
      </w:r>
      <w:r w:rsidR="00081EE8">
        <w:t>, as explained by Burchett J at [17],</w:t>
      </w:r>
      <w:r>
        <w:t xml:space="preserve"> was defined in clause 1.1 of the schedule to the lease to be:</w:t>
      </w:r>
    </w:p>
    <w:p w14:paraId="2E920353" w14:textId="77777777" w:rsidR="00DB61E2" w:rsidRDefault="00DB61E2" w:rsidP="00081EE8">
      <w:pPr>
        <w:pStyle w:val="Quote1"/>
      </w:pPr>
      <w:r w:rsidRPr="00BA3A1F">
        <w:t>this lease, any document giving rise to this lease, any guarantee or guarantee and indemnity given in connection with this lease, any consent given by the Landlord under this lease, any assignment or transfer of this lease, any instrument which the Tenant acknowledges to be a Transaction</w:t>
      </w:r>
      <w:r w:rsidRPr="0075782B">
        <w:t xml:space="preserve"> Document and any other instrument connected w</w:t>
      </w:r>
      <w:r w:rsidRPr="00081EE8">
        <w:t>ith any of them</w:t>
      </w:r>
      <w:r>
        <w:t xml:space="preserve"> </w:t>
      </w:r>
    </w:p>
    <w:p w14:paraId="13CDFD2A" w14:textId="2A7BDCA4" w:rsidR="0017410A" w:rsidRDefault="00081EE8" w:rsidP="003C1A9A">
      <w:pPr>
        <w:pStyle w:val="ParaNumbering"/>
      </w:pPr>
      <w:r>
        <w:t>At [21], h</w:t>
      </w:r>
      <w:r w:rsidR="0017410A">
        <w:t>is Honour observed that the meaning of any express pro</w:t>
      </w:r>
      <w:r w:rsidR="00A73283">
        <w:t>v</w:t>
      </w:r>
      <w:r w:rsidR="0017410A">
        <w:t>ision is a question for interpretation in the par</w:t>
      </w:r>
      <w:r w:rsidR="00A73283">
        <w:t>t</w:t>
      </w:r>
      <w:r w:rsidR="0017410A">
        <w:t>ic</w:t>
      </w:r>
      <w:r w:rsidR="00A73283">
        <w:t>u</w:t>
      </w:r>
      <w:r w:rsidR="0017410A">
        <w:t>l</w:t>
      </w:r>
      <w:r w:rsidR="00A73283">
        <w:t>a</w:t>
      </w:r>
      <w:r w:rsidR="0017410A">
        <w:t xml:space="preserve">r case </w:t>
      </w:r>
      <w:r w:rsidR="00A73283">
        <w:t xml:space="preserve">and that might yield a sufficiently clear meaning on its face without having to resort to the “plainly and </w:t>
      </w:r>
      <w:r w:rsidR="00DB61E2">
        <w:t>unambiguously</w:t>
      </w:r>
      <w:r w:rsidR="00A73283">
        <w:t xml:space="preserve"> principle”. His Honour then turned to consider the contractual costs provision and the reasoning of </w:t>
      </w:r>
      <w:proofErr w:type="spellStart"/>
      <w:r w:rsidR="00A73283">
        <w:t>Carr</w:t>
      </w:r>
      <w:proofErr w:type="spellEnd"/>
      <w:r w:rsidR="00A73283">
        <w:t xml:space="preserve"> J in </w:t>
      </w:r>
      <w:proofErr w:type="spellStart"/>
      <w:r w:rsidR="00A73283" w:rsidRPr="0075782B">
        <w:rPr>
          <w:i/>
        </w:rPr>
        <w:t>Quadrascan</w:t>
      </w:r>
      <w:proofErr w:type="spellEnd"/>
      <w:r w:rsidR="00F4410B">
        <w:rPr>
          <w:i/>
        </w:rPr>
        <w:t xml:space="preserve">. </w:t>
      </w:r>
      <w:r w:rsidR="00F4410B" w:rsidRPr="0075782B">
        <w:t>His Honour</w:t>
      </w:r>
      <w:r w:rsidR="00A73283">
        <w:t xml:space="preserve"> concluded at [22] that:</w:t>
      </w:r>
    </w:p>
    <w:p w14:paraId="483F36E1" w14:textId="45E55305" w:rsidR="00A73283" w:rsidRDefault="00A73283" w:rsidP="0075782B">
      <w:pPr>
        <w:pStyle w:val="Quote1"/>
      </w:pPr>
      <w:r w:rsidRPr="00A73283">
        <w:t>In my opinion, it would be very difficult to distinguish the present cl</w:t>
      </w:r>
      <w:r w:rsidR="00643D1E">
        <w:t>ause</w:t>
      </w:r>
      <w:r w:rsidR="00040E42">
        <w:t xml:space="preserve"> </w:t>
      </w:r>
      <w:r w:rsidRPr="00A73283">
        <w:t>8.6 from the cl</w:t>
      </w:r>
      <w:r w:rsidR="00040E42">
        <w:t> </w:t>
      </w:r>
      <w:r w:rsidRPr="00A73283">
        <w:t xml:space="preserve">27(b) the subject of the decision of </w:t>
      </w:r>
      <w:proofErr w:type="spellStart"/>
      <w:r w:rsidRPr="00A73283">
        <w:t>Carr</w:t>
      </w:r>
      <w:proofErr w:type="spellEnd"/>
      <w:r w:rsidRPr="00A73283">
        <w:t xml:space="preserve"> J. Each provision is similarly structured, and the elements of each are virtually the same. Each imposes an ob</w:t>
      </w:r>
      <w:r w:rsidR="00081EE8">
        <w:t>ligation in respect of costs – “Lessee must pay ... all costs”</w:t>
      </w:r>
      <w:r w:rsidRPr="00A73283">
        <w:t xml:space="preserve"> (cl</w:t>
      </w:r>
      <w:r w:rsidR="00040E42">
        <w:t xml:space="preserve"> </w:t>
      </w:r>
      <w:r w:rsidR="00081EE8">
        <w:t>27(b); “</w:t>
      </w:r>
      <w:r w:rsidRPr="00A73283">
        <w:t>Tenant ... indemnifies the Landlord against ... any costs</w:t>
      </w:r>
      <w:r w:rsidR="00081EE8">
        <w:t>”</w:t>
      </w:r>
      <w:r w:rsidRPr="00A73283">
        <w:t xml:space="preserve"> (cl</w:t>
      </w:r>
      <w:r w:rsidR="00040E42">
        <w:t xml:space="preserve"> </w:t>
      </w:r>
      <w:r w:rsidR="00081EE8">
        <w:t>8.6). The costs are “</w:t>
      </w:r>
      <w:r w:rsidRPr="00A73283">
        <w:t>of or incidental to: (</w:t>
      </w:r>
      <w:proofErr w:type="spellStart"/>
      <w:r w:rsidRPr="00A73283">
        <w:t>i</w:t>
      </w:r>
      <w:proofErr w:type="spellEnd"/>
      <w:r w:rsidRPr="00A73283">
        <w:t>) any breach or default by the Lessee under this lease; or (ii) the exercise or attempted exercise of any right ... or remedy of the Lessor u</w:t>
      </w:r>
      <w:r w:rsidR="00081EE8">
        <w:t>nder or by virtue of this lease”</w:t>
      </w:r>
      <w:r w:rsidRPr="00A73283">
        <w:t xml:space="preserve"> (cl</w:t>
      </w:r>
      <w:r w:rsidR="00040E42">
        <w:t xml:space="preserve"> </w:t>
      </w:r>
      <w:r w:rsidRPr="00A73283">
        <w:t>27(b); or "incurred in connection with (</w:t>
      </w:r>
      <w:proofErr w:type="spellStart"/>
      <w:r w:rsidRPr="00A73283">
        <w:t>i</w:t>
      </w:r>
      <w:proofErr w:type="spellEnd"/>
      <w:r w:rsidRPr="00A73283">
        <w:t>) an Event of Default; or (ii) the Tenant's non-compliance with it</w:t>
      </w:r>
      <w:r w:rsidR="00081EE8">
        <w:t>s obligations under [the lease]”</w:t>
      </w:r>
      <w:r w:rsidRPr="00A73283">
        <w:t xml:space="preserve"> (cl</w:t>
      </w:r>
      <w:r w:rsidR="00040E42">
        <w:t xml:space="preserve"> </w:t>
      </w:r>
      <w:r w:rsidRPr="00A73283">
        <w:t>8.</w:t>
      </w:r>
      <w:r w:rsidR="00081EE8">
        <w:t>6). In each case, “a full indemnity basis”</w:t>
      </w:r>
      <w:r w:rsidRPr="00A73283">
        <w:t xml:space="preserve"> is specified. I do not see a relevant distinction in favour of th</w:t>
      </w:r>
      <w:r w:rsidR="00081EE8">
        <w:t>e cross-claimant between costs “</w:t>
      </w:r>
      <w:r w:rsidRPr="00A73283">
        <w:t>of or incident</w:t>
      </w:r>
      <w:r w:rsidR="00081EE8">
        <w:t>al to ... any breach or default” and costs “</w:t>
      </w:r>
      <w:r w:rsidRPr="00A73283">
        <w:t>in connection with</w:t>
      </w:r>
      <w:r w:rsidR="00081EE8">
        <w:t>”</w:t>
      </w:r>
      <w:r w:rsidRPr="00A73283">
        <w:t xml:space="preserve"> a breach of one of the kinds comprehended by cl</w:t>
      </w:r>
      <w:r w:rsidR="006C57D7">
        <w:t xml:space="preserve"> </w:t>
      </w:r>
      <w:r w:rsidRPr="00A73283">
        <w:t>8.6. The meaning</w:t>
      </w:r>
      <w:r w:rsidR="00081EE8">
        <w:t xml:space="preserve"> to be attributed to the words “</w:t>
      </w:r>
      <w:r w:rsidRPr="00A73283">
        <w:t>in connection with</w:t>
      </w:r>
      <w:r w:rsidR="00081EE8">
        <w:t>” depends on the context, and “</w:t>
      </w:r>
      <w:r w:rsidRPr="00A73283">
        <w:t>they do not usually carry the widest possible ambit</w:t>
      </w:r>
      <w:r w:rsidR="00081EE8">
        <w:t>”</w:t>
      </w:r>
      <w:r w:rsidRPr="00A73283">
        <w:t xml:space="preserve">, being subject to that context: </w:t>
      </w:r>
      <w:r w:rsidRPr="0075782B">
        <w:rPr>
          <w:i/>
        </w:rPr>
        <w:t>Burswood Management Ltd v Attorney-General (</w:t>
      </w:r>
      <w:proofErr w:type="spellStart"/>
      <w:r w:rsidRPr="0075782B">
        <w:rPr>
          <w:i/>
        </w:rPr>
        <w:t>Cth</w:t>
      </w:r>
      <w:proofErr w:type="spellEnd"/>
      <w:r w:rsidRPr="0075782B">
        <w:rPr>
          <w:i/>
        </w:rPr>
        <w:t>)</w:t>
      </w:r>
      <w:r w:rsidRPr="00A73283">
        <w:t xml:space="preserve"> (1990) 23 FCR 144 at 146, per Lockhart, Wilcox and Hill JJ, citing an earlier statement of Davies J. The context here is that of a provision imposing a liability to indemnity costs, which requires a clear connection, according to the authorities. Returning to the comparison with cl</w:t>
      </w:r>
      <w:r w:rsidR="00040E42">
        <w:t xml:space="preserve"> </w:t>
      </w:r>
      <w:r w:rsidRPr="00A73283">
        <w:t>27(b), it is cl</w:t>
      </w:r>
      <w:r w:rsidR="00040E42">
        <w:t xml:space="preserve"> </w:t>
      </w:r>
      <w:r w:rsidRPr="00A73283">
        <w:t>27(b) which is the wider, for it extends to the exercise or attempted exercise of a right or remedy.</w:t>
      </w:r>
    </w:p>
    <w:p w14:paraId="6AB36E77" w14:textId="74F5F290" w:rsidR="00A73283" w:rsidRDefault="00F227EA" w:rsidP="003C1A9A">
      <w:pPr>
        <w:pStyle w:val="ParaNumbering"/>
      </w:pPr>
      <w:r>
        <w:t>His Honour emphasised at [23] that:</w:t>
      </w:r>
    </w:p>
    <w:p w14:paraId="1A677C58" w14:textId="15FDDB5E" w:rsidR="00F227EA" w:rsidRDefault="00F227EA" w:rsidP="0075782B">
      <w:pPr>
        <w:pStyle w:val="Quote1"/>
      </w:pPr>
      <w:r w:rsidRPr="00F227EA">
        <w:t xml:space="preserve">The costs of the principal action were not incurred in connection with any non-compliance with obligations </w:t>
      </w:r>
      <w:r w:rsidRPr="00081EE8">
        <w:rPr>
          <w:i/>
        </w:rPr>
        <w:t>under</w:t>
      </w:r>
      <w:r w:rsidRPr="00F227EA">
        <w:t xml:space="preserve"> the lease, but in connection with a claim of contravention of a statutory protection which related to the circumstances in which the lease came into existence. Nor were the costs incurred in connection with any repudiation of the agreement for lease; the claim for relief in respect of the lease under s</w:t>
      </w:r>
      <w:r w:rsidR="006C57D7">
        <w:t xml:space="preserve"> </w:t>
      </w:r>
      <w:r w:rsidRPr="00F227EA">
        <w:t>87 did not involve a repudiation of either the agreement for lease or the lease its</w:t>
      </w:r>
      <w:r w:rsidR="00081EE8">
        <w:t>elf, but an appeal to the Court’</w:t>
      </w:r>
      <w:r w:rsidRPr="00F227EA">
        <w:t>s statutory power to relieve against a valid document by reason of the alleged misleading conduct lying behind its execution.</w:t>
      </w:r>
    </w:p>
    <w:p w14:paraId="03D3D8B1" w14:textId="6CCC5332" w:rsidR="00EA2CEF" w:rsidRPr="00173517" w:rsidRDefault="00EA2CEF" w:rsidP="00EA2CEF">
      <w:pPr>
        <w:pStyle w:val="ParaNumbering"/>
      </w:pPr>
      <w:r>
        <w:t xml:space="preserve">An </w:t>
      </w:r>
      <w:r w:rsidR="00945E1A">
        <w:t>unambiguously</w:t>
      </w:r>
      <w:r>
        <w:t xml:space="preserve"> </w:t>
      </w:r>
      <w:r w:rsidR="00DB7E52">
        <w:t xml:space="preserve">worded </w:t>
      </w:r>
      <w:r>
        <w:t xml:space="preserve">contractual provision providing for the payment of legal costs on a “special” basis is only a factor informing the exercise of the Court’s discretion, it does not require the discretion to be exercised in a particular manner: </w:t>
      </w:r>
      <w:r w:rsidRPr="0052536D">
        <w:rPr>
          <w:i/>
        </w:rPr>
        <w:t xml:space="preserve">Chen v </w:t>
      </w:r>
      <w:r w:rsidR="00081EE8">
        <w:rPr>
          <w:i/>
        </w:rPr>
        <w:t xml:space="preserve">Kevin </w:t>
      </w:r>
      <w:r w:rsidRPr="0052536D">
        <w:rPr>
          <w:i/>
        </w:rPr>
        <w:t>McNamara &amp; Son Pty Ltd</w:t>
      </w:r>
      <w:r>
        <w:t xml:space="preserve"> [2012] VSCA 229 at [8] (Redlich JA, with whom Maxwell P and Robson AJA agreed).</w:t>
      </w:r>
    </w:p>
    <w:p w14:paraId="338D641A" w14:textId="520C36D0" w:rsidR="00357E1A" w:rsidRDefault="00B36829" w:rsidP="00357E1A">
      <w:pPr>
        <w:pStyle w:val="Heading1"/>
      </w:pPr>
      <w:r>
        <w:t>C</w:t>
      </w:r>
      <w:r w:rsidR="008C15BE">
        <w:t>onsideration</w:t>
      </w:r>
    </w:p>
    <w:p w14:paraId="68EE2A84" w14:textId="79137145" w:rsidR="000C6C8B" w:rsidRDefault="00AE416A" w:rsidP="0075782B">
      <w:pPr>
        <w:pStyle w:val="Heading2"/>
      </w:pPr>
      <w:r>
        <w:t>C</w:t>
      </w:r>
      <w:r w:rsidR="002D77D7">
        <w:t>ontractual provisions</w:t>
      </w:r>
      <w:r>
        <w:t xml:space="preserve"> relied upon by Rabobank</w:t>
      </w:r>
    </w:p>
    <w:p w14:paraId="52461648" w14:textId="3962086E" w:rsidR="00357E1A" w:rsidRDefault="00EA2CEF" w:rsidP="00357E1A">
      <w:pPr>
        <w:pStyle w:val="ParaNumbering"/>
      </w:pPr>
      <w:r>
        <w:t>Rabobank seeks to establish its entitlement to indemnity costs on c</w:t>
      </w:r>
      <w:r w:rsidR="008C15BE">
        <w:t xml:space="preserve">lause </w:t>
      </w:r>
      <w:r w:rsidR="001E45BE">
        <w:t>P</w:t>
      </w:r>
      <w:r w:rsidR="008C15BE">
        <w:t xml:space="preserve">5 of </w:t>
      </w:r>
      <w:r w:rsidR="007E3743">
        <w:t xml:space="preserve">the </w:t>
      </w:r>
      <w:r w:rsidR="00357E1A">
        <w:t>Standard Credit Terms</w:t>
      </w:r>
      <w:r w:rsidR="007E3743">
        <w:t xml:space="preserve">. </w:t>
      </w:r>
      <w:r>
        <w:t xml:space="preserve">That clause </w:t>
      </w:r>
      <w:r w:rsidR="000C6C8B">
        <w:t>relevantly provides that the following indemnities are to be provided to Rabobank:</w:t>
      </w:r>
    </w:p>
    <w:p w14:paraId="65D1A404" w14:textId="77777777" w:rsidR="00357E1A" w:rsidRDefault="00357E1A" w:rsidP="00AC15AA">
      <w:pPr>
        <w:pStyle w:val="Quote1"/>
        <w:keepNext/>
        <w:keepLines/>
        <w:rPr>
          <w:b/>
        </w:rPr>
      </w:pPr>
      <w:r>
        <w:rPr>
          <w:b/>
        </w:rPr>
        <w:t xml:space="preserve">P. </w:t>
      </w:r>
      <w:r>
        <w:rPr>
          <w:b/>
        </w:rPr>
        <w:tab/>
        <w:t>General Provisions</w:t>
      </w:r>
    </w:p>
    <w:p w14:paraId="368E21D1" w14:textId="77777777" w:rsidR="00357E1A" w:rsidRDefault="00357E1A" w:rsidP="00AC15AA">
      <w:pPr>
        <w:pStyle w:val="Quote1"/>
        <w:keepNext/>
        <w:keepLines/>
      </w:pPr>
      <w:r>
        <w:t>…</w:t>
      </w:r>
    </w:p>
    <w:p w14:paraId="05B42C24" w14:textId="77777777" w:rsidR="00357E1A" w:rsidRDefault="00357E1A" w:rsidP="00AC15AA">
      <w:pPr>
        <w:pStyle w:val="Quote1"/>
        <w:keepNext/>
        <w:keepLines/>
      </w:pPr>
      <w:r>
        <w:t>5. Account Owner’s indemnities</w:t>
      </w:r>
    </w:p>
    <w:p w14:paraId="6C0E130E" w14:textId="77777777" w:rsidR="00357E1A" w:rsidRDefault="00357E1A" w:rsidP="00357E1A">
      <w:pPr>
        <w:pStyle w:val="Quote1"/>
        <w:ind w:left="1440" w:hanging="703"/>
      </w:pPr>
      <w:r>
        <w:t xml:space="preserve">(a) </w:t>
      </w:r>
      <w:r>
        <w:tab/>
        <w:t xml:space="preserve">In addition to the Account Owner’s obligations to pay compensation under clauses </w:t>
      </w:r>
      <w:proofErr w:type="gramStart"/>
      <w:r>
        <w:t>I(</w:t>
      </w:r>
      <w:proofErr w:type="gramEnd"/>
      <w:r>
        <w:t>1) or (2), the Account Owner indemnifies Rabobank against all actions, claims, demands, losses, damages, liabilities, costs, charges or expenses of any nature (including legal costs on a full indemnity basis) suffered or incurred at any time actually or contingently by Rabobank arising at any time directly or indirectly from:</w:t>
      </w:r>
    </w:p>
    <w:p w14:paraId="72FDDFD7" w14:textId="77777777" w:rsidR="00357E1A" w:rsidRDefault="00357E1A" w:rsidP="00080019">
      <w:pPr>
        <w:pStyle w:val="Quote2"/>
        <w:ind w:left="2160" w:hanging="720"/>
      </w:pPr>
      <w:r>
        <w:t>(</w:t>
      </w:r>
      <w:proofErr w:type="spellStart"/>
      <w:r>
        <w:t>i</w:t>
      </w:r>
      <w:proofErr w:type="spellEnd"/>
      <w:r>
        <w:t>)</w:t>
      </w:r>
      <w:r>
        <w:tab/>
      </w:r>
      <w:proofErr w:type="gramStart"/>
      <w:r>
        <w:t>the</w:t>
      </w:r>
      <w:proofErr w:type="gramEnd"/>
      <w:r>
        <w:t xml:space="preserve"> occurrence of any Event of Default or Rabobank exercising or attempting to exercise any right or option arising upon an Event of Default;</w:t>
      </w:r>
    </w:p>
    <w:p w14:paraId="108140B5" w14:textId="77777777" w:rsidR="00357E1A" w:rsidRDefault="00357E1A" w:rsidP="00080019">
      <w:pPr>
        <w:pStyle w:val="Quote2"/>
        <w:ind w:left="2160" w:hanging="720"/>
      </w:pPr>
      <w:r>
        <w:t>…</w:t>
      </w:r>
    </w:p>
    <w:p w14:paraId="499C0E22" w14:textId="77777777" w:rsidR="00357E1A" w:rsidRDefault="00617869" w:rsidP="00080019">
      <w:pPr>
        <w:pStyle w:val="Quote2"/>
        <w:ind w:left="2160" w:hanging="720"/>
      </w:pPr>
      <w:r>
        <w:t>(iii)</w:t>
      </w:r>
      <w:r>
        <w:tab/>
        <w:t>a claim or payment, obligation, settlement, transaction, conveyance or transfer in connection with an amount owing by any Relevant Person to Rabobank (or an amount which would be owing if the claim was not invalid) is void or voidable under any Insolvency Provisions or for any other reason;</w:t>
      </w:r>
    </w:p>
    <w:p w14:paraId="02D718E7" w14:textId="77777777" w:rsidR="00617869" w:rsidRDefault="00617869" w:rsidP="00357E1A">
      <w:pPr>
        <w:pStyle w:val="Quote2"/>
        <w:ind w:left="2160" w:hanging="720"/>
      </w:pPr>
      <w:r>
        <w:t>…</w:t>
      </w:r>
    </w:p>
    <w:p w14:paraId="10E314A3" w14:textId="77777777" w:rsidR="00617869" w:rsidRDefault="00617869" w:rsidP="00357E1A">
      <w:pPr>
        <w:pStyle w:val="Quote2"/>
        <w:ind w:left="2160" w:hanging="720"/>
      </w:pPr>
      <w:proofErr w:type="gramStart"/>
      <w:r>
        <w:t>(vi)</w:t>
      </w:r>
      <w:r>
        <w:tab/>
        <w:t>Rabobank</w:t>
      </w:r>
      <w:proofErr w:type="gramEnd"/>
      <w:r>
        <w:t xml:space="preserve"> entering into any agreement or transaction in connection with the Account (including the Facility Agreement); … </w:t>
      </w:r>
    </w:p>
    <w:p w14:paraId="729B65F7" w14:textId="77777777" w:rsidR="00805970" w:rsidRDefault="00805970" w:rsidP="00805970">
      <w:pPr>
        <w:pStyle w:val="Quote1"/>
        <w:ind w:left="1440" w:hanging="703"/>
      </w:pPr>
      <w:r>
        <w:t>(b)</w:t>
      </w:r>
      <w:r>
        <w:tab/>
        <w:t xml:space="preserve">The Account Owner’s obligations to indemnify Rabobank under this clause </w:t>
      </w:r>
      <w:proofErr w:type="gramStart"/>
      <w:r>
        <w:t>P(</w:t>
      </w:r>
      <w:proofErr w:type="gramEnd"/>
      <w:r>
        <w:t xml:space="preserve">5) are absolute, irrevocable and unconditional and continue until an express release is given irrespective of closure of the Account or the discharge of any Security. Rabobank may debit the Account with any amount payable under this clause </w:t>
      </w:r>
      <w:proofErr w:type="gramStart"/>
      <w:r>
        <w:t>P(</w:t>
      </w:r>
      <w:proofErr w:type="gramEnd"/>
      <w:r>
        <w:t xml:space="preserve">5). The Account Owner waives any right or claim which has or may have the effect of denying, reducing or impairing the indemnities given by it. </w:t>
      </w:r>
    </w:p>
    <w:p w14:paraId="4EA3A0C7" w14:textId="27A547A0" w:rsidR="00441743" w:rsidRDefault="00FC449C" w:rsidP="00441743">
      <w:pPr>
        <w:pStyle w:val="ParaNumbering"/>
      </w:pPr>
      <w:r>
        <w:t>I accept that clause P5 express</w:t>
      </w:r>
      <w:r w:rsidR="00D44DA8">
        <w:t>ly extends to the “payment of legal costs on a full indemnity basis” and that the language of “arising at any time directly or indirectly”,</w:t>
      </w:r>
      <w:r w:rsidR="006E004B">
        <w:t xml:space="preserve"> </w:t>
      </w:r>
      <w:r w:rsidR="00D44DA8">
        <w:t xml:space="preserve">“arising upon an Event of Default” and “in connection with an amount owing” is of wide import. </w:t>
      </w:r>
      <w:r w:rsidR="00441743">
        <w:t xml:space="preserve">I also </w:t>
      </w:r>
      <w:r w:rsidR="00945E1A">
        <w:t xml:space="preserve">accept </w:t>
      </w:r>
      <w:r w:rsidR="00441743">
        <w:t xml:space="preserve">that contractual provisions in mortgages and leases </w:t>
      </w:r>
      <w:r w:rsidR="00D852E6">
        <w:t xml:space="preserve">expressly providing for the payment of indemnity costs </w:t>
      </w:r>
      <w:r w:rsidR="00945E1A">
        <w:t xml:space="preserve">generally </w:t>
      </w:r>
      <w:r w:rsidR="00441743">
        <w:t xml:space="preserve">have been construed as giving rise to an entitlement to an order for the payment of legal costs on an indemnity basis. </w:t>
      </w:r>
    </w:p>
    <w:p w14:paraId="3A4B8AAE" w14:textId="045BDEB8" w:rsidR="00441743" w:rsidRDefault="00441743" w:rsidP="00FC449C">
      <w:pPr>
        <w:pStyle w:val="ParaNumbering"/>
      </w:pPr>
      <w:r>
        <w:t>Here, the relevant question</w:t>
      </w:r>
      <w:r w:rsidR="00D852E6">
        <w:t>s</w:t>
      </w:r>
      <w:r>
        <w:t xml:space="preserve"> </w:t>
      </w:r>
      <w:r w:rsidR="00D852E6">
        <w:t xml:space="preserve">are </w:t>
      </w:r>
      <w:r w:rsidR="00D852E6" w:rsidRPr="0075782B">
        <w:rPr>
          <w:i/>
        </w:rPr>
        <w:t>first</w:t>
      </w:r>
      <w:r w:rsidR="007E3743">
        <w:t>, whether</w:t>
      </w:r>
      <w:r>
        <w:t xml:space="preserve"> clause P5 </w:t>
      </w:r>
      <w:r w:rsidR="00D852E6">
        <w:t xml:space="preserve">on its true construction extends </w:t>
      </w:r>
      <w:r>
        <w:t>to costs incurred by Rabobank in connection with</w:t>
      </w:r>
      <w:r w:rsidR="00945E1A">
        <w:t xml:space="preserve"> </w:t>
      </w:r>
      <w:r w:rsidR="007E3743">
        <w:t>both defending</w:t>
      </w:r>
      <w:r w:rsidR="002F3A8D">
        <w:t xml:space="preserve"> </w:t>
      </w:r>
      <w:r>
        <w:t>the claims advanced by the Stuarts in the proceedings and in advancing its cross</w:t>
      </w:r>
      <w:r w:rsidR="00DC5045">
        <w:t>-</w:t>
      </w:r>
      <w:r>
        <w:t xml:space="preserve">claim against the Stuarts. </w:t>
      </w:r>
      <w:r w:rsidR="00D852E6" w:rsidRPr="0075782B">
        <w:rPr>
          <w:i/>
        </w:rPr>
        <w:t>Second</w:t>
      </w:r>
      <w:r w:rsidR="00D852E6">
        <w:t xml:space="preserve">, to the extent that the clause on its true construction does extend to the costs incurred by Rabobank in the proceedings should the Court, nevertheless on public policy grounds or otherwise in the exercise of its discretion, determine not to give effect to it. </w:t>
      </w:r>
    </w:p>
    <w:p w14:paraId="7F1409A7" w14:textId="1F874639" w:rsidR="00441743" w:rsidRDefault="00441743" w:rsidP="00FC449C">
      <w:pPr>
        <w:pStyle w:val="ParaNumbering"/>
      </w:pPr>
      <w:proofErr w:type="spellStart"/>
      <w:r>
        <w:t>Rabobank’s</w:t>
      </w:r>
      <w:proofErr w:type="spellEnd"/>
      <w:r>
        <w:t xml:space="preserve"> submissions proceed on the basis that all the costs that it has incurred in the pro</w:t>
      </w:r>
      <w:r w:rsidR="00AA7889">
        <w:t>ceedings fall within clause P5</w:t>
      </w:r>
      <w:r>
        <w:t>.</w:t>
      </w:r>
    </w:p>
    <w:p w14:paraId="59066DB3" w14:textId="72AD6863" w:rsidR="002F3A8D" w:rsidRDefault="002F3A8D" w:rsidP="00FC449C">
      <w:pPr>
        <w:pStyle w:val="ParaNumbering"/>
      </w:pPr>
      <w:r>
        <w:t>It is therefore necessary to identify with some precision the issues addressed in the proceedings and the relative significance and nature of the issues rai</w:t>
      </w:r>
      <w:r w:rsidR="00DC5045">
        <w:t>sed in the cross-</w:t>
      </w:r>
      <w:r>
        <w:t>claim compared with the issues raised in the substantive claims advanced by the Stuarts against Rabobank.</w:t>
      </w:r>
    </w:p>
    <w:p w14:paraId="6BDDB84B" w14:textId="77777777" w:rsidR="002D77D7" w:rsidRDefault="002D77D7" w:rsidP="0075782B">
      <w:pPr>
        <w:pStyle w:val="Heading2"/>
      </w:pPr>
      <w:r>
        <w:t>Issues in the proceedings</w:t>
      </w:r>
    </w:p>
    <w:p w14:paraId="33F414ED" w14:textId="6FB00378" w:rsidR="002D77D7" w:rsidRDefault="002D77D7" w:rsidP="002D77D7">
      <w:pPr>
        <w:pStyle w:val="ParaNumbering"/>
      </w:pPr>
      <w:r>
        <w:t xml:space="preserve">The Stuarts advanced the following </w:t>
      </w:r>
      <w:r w:rsidR="00945E1A">
        <w:t xml:space="preserve">substantive </w:t>
      </w:r>
      <w:r>
        <w:t>claims against Rabobank in the proceedings:</w:t>
      </w:r>
    </w:p>
    <w:p w14:paraId="35D38F5B" w14:textId="77777777" w:rsidR="002D77D7" w:rsidRDefault="002D77D7" w:rsidP="002D77D7">
      <w:pPr>
        <w:pStyle w:val="ListNo1alt"/>
        <w:numPr>
          <w:ilvl w:val="0"/>
          <w:numId w:val="36"/>
        </w:numPr>
      </w:pPr>
      <w:r w:rsidRPr="00F4404C">
        <w:t xml:space="preserve">Rabobank </w:t>
      </w:r>
      <w:r>
        <w:t xml:space="preserve">made </w:t>
      </w:r>
      <w:r w:rsidRPr="00F4404C">
        <w:t>representation</w:t>
      </w:r>
      <w:r>
        <w:t xml:space="preserve">s that were false and </w:t>
      </w:r>
      <w:r w:rsidRPr="00F4404C">
        <w:t xml:space="preserve">thereby misleading or deceptive or likely to mislead or deceive in contravention of s 12DA of the </w:t>
      </w:r>
      <w:r w:rsidRPr="00F2549A">
        <w:rPr>
          <w:i/>
        </w:rPr>
        <w:t xml:space="preserve">Australian Securities and Investments Commission Act 2001 </w:t>
      </w:r>
      <w:r w:rsidRPr="00F4404C">
        <w:t>(</w:t>
      </w:r>
      <w:proofErr w:type="spellStart"/>
      <w:r w:rsidRPr="007E3743">
        <w:rPr>
          <w:i/>
        </w:rPr>
        <w:t>Cth</w:t>
      </w:r>
      <w:proofErr w:type="spellEnd"/>
      <w:r w:rsidRPr="00F4404C">
        <w:t>) (</w:t>
      </w:r>
      <w:r w:rsidRPr="00F2549A">
        <w:rPr>
          <w:b/>
        </w:rPr>
        <w:t>ASIC Act</w:t>
      </w:r>
      <w:r w:rsidRPr="00F4404C">
        <w:t xml:space="preserve">). </w:t>
      </w:r>
    </w:p>
    <w:p w14:paraId="102F65EF" w14:textId="0CF7A836" w:rsidR="002D77D7" w:rsidRPr="00F4404C" w:rsidRDefault="002D77D7" w:rsidP="002D77D7">
      <w:pPr>
        <w:pStyle w:val="ListNo1alt"/>
        <w:numPr>
          <w:ilvl w:val="0"/>
          <w:numId w:val="36"/>
        </w:numPr>
      </w:pPr>
      <w:r w:rsidRPr="00F4404C">
        <w:t xml:space="preserve">Rabobank </w:t>
      </w:r>
      <w:r>
        <w:t xml:space="preserve">made </w:t>
      </w:r>
      <w:r w:rsidRPr="00F4404C">
        <w:t>representation</w:t>
      </w:r>
      <w:r>
        <w:t>s</w:t>
      </w:r>
      <w:r w:rsidR="006E004B">
        <w:t xml:space="preserve"> </w:t>
      </w:r>
      <w:r w:rsidRPr="00F4404C">
        <w:t xml:space="preserve">knowing </w:t>
      </w:r>
      <w:r>
        <w:t>them</w:t>
      </w:r>
      <w:r w:rsidRPr="00F4404C">
        <w:t xml:space="preserve"> to be false or </w:t>
      </w:r>
      <w:r>
        <w:t>they were</w:t>
      </w:r>
      <w:r w:rsidRPr="00F4404C">
        <w:t xml:space="preserve"> made recklessly as to </w:t>
      </w:r>
      <w:r>
        <w:t>their</w:t>
      </w:r>
      <w:r w:rsidRPr="00F4404C">
        <w:t xml:space="preserve"> falsity;</w:t>
      </w:r>
    </w:p>
    <w:p w14:paraId="05664D6E" w14:textId="77777777" w:rsidR="002D77D7" w:rsidRPr="00F4404C" w:rsidRDefault="002D77D7" w:rsidP="002D77D7">
      <w:pPr>
        <w:pStyle w:val="ListNo1alt"/>
        <w:numPr>
          <w:ilvl w:val="0"/>
          <w:numId w:val="36"/>
        </w:numPr>
      </w:pPr>
      <w:r w:rsidRPr="00F4404C">
        <w:t>Rabobank engaged in unconscionable conduct by providing finance to the Stuarts in breach of its lending, credit and valuation policies and that the finance was unsuitable for the Stuarts, unserviceable by them, financially imprudent, comprised asset lending and was not fit for purpose and that Rabobank took advantage of the Stuarts’ inferior bargaining position in contravention of s 12CB(1)(a) of the ASIC Act;</w:t>
      </w:r>
    </w:p>
    <w:p w14:paraId="40B53300" w14:textId="77777777" w:rsidR="002D77D7" w:rsidRPr="00F4404C" w:rsidRDefault="002D77D7" w:rsidP="002D77D7">
      <w:pPr>
        <w:pStyle w:val="ListNo1alt"/>
        <w:numPr>
          <w:ilvl w:val="0"/>
          <w:numId w:val="36"/>
        </w:numPr>
      </w:pPr>
      <w:r w:rsidRPr="00F4404C">
        <w:t xml:space="preserve">Rabobank breached a binding contract or arrangement reached between them in relation to a proposed carbon farming initiative on </w:t>
      </w:r>
      <w:r w:rsidRPr="00F2549A">
        <w:rPr>
          <w:i/>
        </w:rPr>
        <w:t>Mt Morris</w:t>
      </w:r>
      <w:r w:rsidRPr="00F4404C">
        <w:t>;</w:t>
      </w:r>
    </w:p>
    <w:p w14:paraId="02727021" w14:textId="4A8A17BA" w:rsidR="002D77D7" w:rsidRPr="00F4404C" w:rsidRDefault="002D77D7" w:rsidP="002D77D7">
      <w:pPr>
        <w:pStyle w:val="ListNo1alt"/>
        <w:numPr>
          <w:ilvl w:val="0"/>
          <w:numId w:val="36"/>
        </w:numPr>
      </w:pPr>
      <w:r w:rsidRPr="00F4404C">
        <w:t xml:space="preserve">the Facility should be reopened as an unjust credit transaction pursuant to s 76 of the </w:t>
      </w:r>
      <w:r w:rsidRPr="00F2549A">
        <w:rPr>
          <w:i/>
        </w:rPr>
        <w:t>National Credit Code</w:t>
      </w:r>
      <w:r w:rsidRPr="00F4404C">
        <w:t xml:space="preserve"> contained in </w:t>
      </w:r>
      <w:r w:rsidR="007E3743">
        <w:t>schedule</w:t>
      </w:r>
      <w:r w:rsidRPr="00F4404C">
        <w:t xml:space="preserve"> 1 to the </w:t>
      </w:r>
      <w:r w:rsidRPr="00F2549A">
        <w:rPr>
          <w:i/>
        </w:rPr>
        <w:t>National Consumer Credit Protection Act 2009</w:t>
      </w:r>
      <w:r w:rsidRPr="00F4404C">
        <w:t xml:space="preserve"> (</w:t>
      </w:r>
      <w:proofErr w:type="spellStart"/>
      <w:r w:rsidRPr="007E3743">
        <w:rPr>
          <w:i/>
        </w:rPr>
        <w:t>Cth</w:t>
      </w:r>
      <w:proofErr w:type="spellEnd"/>
      <w:r w:rsidRPr="00F4404C">
        <w:t>) (</w:t>
      </w:r>
      <w:r w:rsidRPr="00F2549A">
        <w:rPr>
          <w:b/>
        </w:rPr>
        <w:t>National Credit Code</w:t>
      </w:r>
      <w:r w:rsidRPr="00F4404C">
        <w:t>)</w:t>
      </w:r>
      <w:r w:rsidR="006C57D7">
        <w:t>;</w:t>
      </w:r>
      <w:r w:rsidRPr="00F4404C">
        <w:t xml:space="preserve"> </w:t>
      </w:r>
    </w:p>
    <w:p w14:paraId="7B444F64" w14:textId="3DE00018" w:rsidR="002D77D7" w:rsidRPr="00F4404C" w:rsidRDefault="002D77D7" w:rsidP="002D77D7">
      <w:pPr>
        <w:pStyle w:val="ListNo1alt"/>
        <w:numPr>
          <w:ilvl w:val="0"/>
          <w:numId w:val="36"/>
        </w:numPr>
      </w:pPr>
      <w:r w:rsidRPr="00F4404C">
        <w:t>the Deed of Forbearance</w:t>
      </w:r>
      <w:r w:rsidR="00B97783">
        <w:t xml:space="preserve"> </w:t>
      </w:r>
      <w:r w:rsidR="00D852E6">
        <w:t>entered into following the mediation conducted on 9 August 2012 (</w:t>
      </w:r>
      <w:r w:rsidR="00D852E6" w:rsidRPr="0075782B">
        <w:rPr>
          <w:b/>
        </w:rPr>
        <w:t>Mediation</w:t>
      </w:r>
      <w:r w:rsidR="00D852E6">
        <w:t>)</w:t>
      </w:r>
      <w:r w:rsidR="00DC5045">
        <w:t>:</w:t>
      </w:r>
      <w:r w:rsidR="00D852E6">
        <w:t xml:space="preserve"> </w:t>
      </w:r>
      <w:r>
        <w:t>did</w:t>
      </w:r>
      <w:r w:rsidR="006E004B">
        <w:t xml:space="preserve"> </w:t>
      </w:r>
      <w:r w:rsidRPr="00F4404C">
        <w:t xml:space="preserve">not bar or release any claims made by them; is invalid and unenforceable as a result of </w:t>
      </w:r>
      <w:proofErr w:type="spellStart"/>
      <w:r w:rsidRPr="00F4404C">
        <w:t>Rabobank’s</w:t>
      </w:r>
      <w:proofErr w:type="spellEnd"/>
      <w:r w:rsidRPr="00F4404C">
        <w:t xml:space="preserve"> alleged financial misconduct; was rendered void by Rabobank making unauthorised alterations; was not entered into pursuant to an authorised dispute resolution scheme; and was an unjust transaction within the meaning of s 76 of the National Credit Code;</w:t>
      </w:r>
    </w:p>
    <w:p w14:paraId="06A6B262" w14:textId="33C848A4" w:rsidR="002D77D7" w:rsidRPr="00F4404C" w:rsidRDefault="001E45BE" w:rsidP="002D77D7">
      <w:pPr>
        <w:pStyle w:val="ListNo1alt"/>
        <w:numPr>
          <w:ilvl w:val="0"/>
          <w:numId w:val="36"/>
        </w:numPr>
      </w:pPr>
      <w:r>
        <w:t>Rabobank</w:t>
      </w:r>
      <w:r w:rsidR="002D77D7" w:rsidRPr="00F4404C">
        <w:t xml:space="preserve"> falsely represented that it intended to give serious consideration to an offer received from the Stuarts immediately prior to the Mediation to refinance the Stuarts’ indebtedness to the bank and that the representation was thereby misleading or deceptive or likely to mislead or deceive in contravention of s 12DA of the ASIC Act;</w:t>
      </w:r>
    </w:p>
    <w:p w14:paraId="4416182B" w14:textId="519DCB4D" w:rsidR="002D77D7" w:rsidRPr="00F4404C" w:rsidRDefault="002D77D7" w:rsidP="002D77D7">
      <w:pPr>
        <w:pStyle w:val="ListNo1alt"/>
        <w:numPr>
          <w:ilvl w:val="0"/>
          <w:numId w:val="36"/>
        </w:numPr>
      </w:pPr>
      <w:r w:rsidRPr="00F4404C">
        <w:t>Rabobank</w:t>
      </w:r>
      <w:r>
        <w:t xml:space="preserve"> </w:t>
      </w:r>
      <w:r w:rsidRPr="00F4404C">
        <w:t xml:space="preserve">engaged in unconscionable conduct at the Mediation and thereafter, </w:t>
      </w:r>
      <w:r w:rsidRPr="00FC2608">
        <w:rPr>
          <w:i/>
        </w:rPr>
        <w:t>inter alia</w:t>
      </w:r>
      <w:r w:rsidRPr="00F4404C">
        <w:t>, by placing undue pressure and/or duress upon the Stuarts to sign the Deed of Forbearance in contravention of s 12CB(1)(a) of the ASIC Act; and</w:t>
      </w:r>
    </w:p>
    <w:p w14:paraId="1EA9F6CD" w14:textId="77777777" w:rsidR="002D77D7" w:rsidRPr="00F4404C" w:rsidRDefault="002D77D7" w:rsidP="002D77D7">
      <w:pPr>
        <w:pStyle w:val="ListNo1alt"/>
        <w:numPr>
          <w:ilvl w:val="0"/>
          <w:numId w:val="36"/>
        </w:numPr>
      </w:pPr>
      <w:r w:rsidRPr="00F4404C">
        <w:t>Rabobank is precluded from relying on the limitation periods advanced by Rabobank in its defence on the grounds that the Stuarts’ claims are based in fraud or deceit or otherwise because each is a cause of action that has been fraudulently concealed, in that each wrongful act was not reasonably discoverable and fully appreciated by the Stuarts prior to June 2018.</w:t>
      </w:r>
    </w:p>
    <w:p w14:paraId="796DCD64" w14:textId="77777777" w:rsidR="002D77D7" w:rsidRPr="00F4404C" w:rsidRDefault="002D77D7" w:rsidP="002D77D7">
      <w:pPr>
        <w:pStyle w:val="ParaNumbering"/>
      </w:pPr>
      <w:r w:rsidRPr="00F4404C">
        <w:t>Rabobank advance</w:t>
      </w:r>
      <w:r>
        <w:t>d</w:t>
      </w:r>
      <w:r w:rsidRPr="00F4404C">
        <w:t xml:space="preserve"> the following claims in its amended statement of cross-claim:</w:t>
      </w:r>
    </w:p>
    <w:p w14:paraId="046D7B01" w14:textId="77777777" w:rsidR="002D77D7" w:rsidRPr="00F4404C" w:rsidRDefault="002D77D7" w:rsidP="002D77D7">
      <w:pPr>
        <w:pStyle w:val="ListNo1alt"/>
        <w:numPr>
          <w:ilvl w:val="0"/>
          <w:numId w:val="37"/>
        </w:numPr>
      </w:pPr>
      <w:r w:rsidRPr="00F4404C">
        <w:t>the Stuarts are in default under the Facility and that although it has served a valid demand for payment of all amounts outstanding (together with accrued interest), the Stuarts have failed to pay the amounts demanded and Rabobank has thereby suffered loss and damage;</w:t>
      </w:r>
    </w:p>
    <w:p w14:paraId="77148AA2" w14:textId="0E1ECA1C" w:rsidR="002D77D7" w:rsidRPr="00F4404C" w:rsidRDefault="002D77D7" w:rsidP="002D77D7">
      <w:pPr>
        <w:pStyle w:val="ListNo1alt"/>
        <w:numPr>
          <w:ilvl w:val="0"/>
          <w:numId w:val="37"/>
        </w:numPr>
      </w:pPr>
      <w:r w:rsidRPr="00F4404C">
        <w:t xml:space="preserve">Rabobank contends that, independently of the Breach of the Facility claim, the Stuarts are obliged to indemnify Rabobank pursuant to the indemnity contained in the </w:t>
      </w:r>
      <w:r w:rsidR="00FD0930">
        <w:t>S</w:t>
      </w:r>
      <w:r w:rsidR="00FD0930" w:rsidRPr="00F4404C">
        <w:t xml:space="preserve">tandard </w:t>
      </w:r>
      <w:r w:rsidR="00FD0930">
        <w:t>Credit T</w:t>
      </w:r>
      <w:r w:rsidRPr="00F4404C">
        <w:t xml:space="preserve">erms. This includes indemnity against any losses that Rabobank has suffered as a result of the Stuarts’ defaults, </w:t>
      </w:r>
      <w:proofErr w:type="spellStart"/>
      <w:r w:rsidRPr="00F4404C">
        <w:t>Rabobank’s</w:t>
      </w:r>
      <w:proofErr w:type="spellEnd"/>
      <w:r w:rsidRPr="00F4404C">
        <w:t xml:space="preserve"> costs of exercising its rights pursuant to those defaults and any losses that Rabobank may suffer as a result of the Stuarts bringing this proceeding; and</w:t>
      </w:r>
    </w:p>
    <w:p w14:paraId="6A176EAC" w14:textId="77777777" w:rsidR="002D77D7" w:rsidRDefault="002D77D7" w:rsidP="002D77D7">
      <w:pPr>
        <w:pStyle w:val="ListNo1alt"/>
        <w:numPr>
          <w:ilvl w:val="0"/>
          <w:numId w:val="37"/>
        </w:numPr>
      </w:pPr>
      <w:r w:rsidRPr="00F4404C">
        <w:t xml:space="preserve">the Stuarts made misleading or deceptive representations to it in relation to loan applications they made in May 2008 and May 2010, six Rabobank letters of offer between June 2008 and June 2010 and the mortgage that the Stuarts provided to Rabobank over </w:t>
      </w:r>
      <w:r w:rsidRPr="00F2549A">
        <w:rPr>
          <w:i/>
        </w:rPr>
        <w:t>Mt Morris</w:t>
      </w:r>
      <w:r w:rsidRPr="00F4404C">
        <w:t xml:space="preserve"> in June 2008, and thereby engaged in misleading or deceptive conduct in contravention of s 12DA of the ASIC Act.</w:t>
      </w:r>
    </w:p>
    <w:p w14:paraId="1FFDA636" w14:textId="29330833" w:rsidR="002D77D7" w:rsidRDefault="002D77D7" w:rsidP="002D77D7">
      <w:pPr>
        <w:pStyle w:val="ParaNumbering"/>
      </w:pPr>
      <w:r>
        <w:t>The hearing of the proceedings occupied 18 sitting days. The majority of the hearing was devoted to the claims advanced by the Stuarts</w:t>
      </w:r>
      <w:r w:rsidR="00D852E6">
        <w:t xml:space="preserve">, more particularly, the three alleged representations comprising the misleading and deceptive conduct </w:t>
      </w:r>
      <w:r w:rsidR="00DB7E52">
        <w:t xml:space="preserve">and deceit causes of action </w:t>
      </w:r>
      <w:r w:rsidR="00F51C63">
        <w:t xml:space="preserve">that also </w:t>
      </w:r>
      <w:r w:rsidR="00DB7E52">
        <w:t>g</w:t>
      </w:r>
      <w:r w:rsidR="00F51C63">
        <w:t xml:space="preserve">ave </w:t>
      </w:r>
      <w:r w:rsidR="00DB7E52">
        <w:t xml:space="preserve">rise to significant elements of the </w:t>
      </w:r>
      <w:proofErr w:type="spellStart"/>
      <w:r w:rsidR="00DB7E52">
        <w:t>unconscionability</w:t>
      </w:r>
      <w:proofErr w:type="spellEnd"/>
      <w:r w:rsidR="00DB7E52">
        <w:t xml:space="preserve"> claims</w:t>
      </w:r>
      <w:r>
        <w:t>.</w:t>
      </w:r>
      <w:r w:rsidR="00DC5045">
        <w:t xml:space="preserve"> The minimal focus on the cross-</w:t>
      </w:r>
      <w:r>
        <w:t xml:space="preserve">claim was highlighted in </w:t>
      </w:r>
      <w:proofErr w:type="spellStart"/>
      <w:r>
        <w:t>Rabobank’s</w:t>
      </w:r>
      <w:proofErr w:type="spellEnd"/>
      <w:r>
        <w:t xml:space="preserve"> closing written submission in which only </w:t>
      </w:r>
      <w:r w:rsidR="0013516C">
        <w:t xml:space="preserve">four </w:t>
      </w:r>
      <w:r>
        <w:t>out of 255 paragr</w:t>
      </w:r>
      <w:r w:rsidR="00DC5045">
        <w:t>aphs were directed at the cross-</w:t>
      </w:r>
      <w:r>
        <w:t>claim. Those paragraphs were limited to the following submissions:</w:t>
      </w:r>
    </w:p>
    <w:p w14:paraId="60DE2468" w14:textId="77777777" w:rsidR="002D77D7" w:rsidRPr="00E6693F" w:rsidRDefault="002D77D7" w:rsidP="002D77D7">
      <w:pPr>
        <w:pStyle w:val="Quote1"/>
        <w:rPr>
          <w:b/>
        </w:rPr>
      </w:pPr>
      <w:r w:rsidRPr="00E6693F">
        <w:rPr>
          <w:b/>
        </w:rPr>
        <w:t xml:space="preserve">The Bank’s Cross Claim </w:t>
      </w:r>
    </w:p>
    <w:p w14:paraId="45278BDD" w14:textId="77777777" w:rsidR="002D77D7" w:rsidRDefault="002D77D7" w:rsidP="002D77D7">
      <w:pPr>
        <w:pStyle w:val="Quote1"/>
      </w:pPr>
      <w:r>
        <w:rPr>
          <w:i/>
          <w:iCs/>
        </w:rPr>
        <w:t xml:space="preserve">Is the debt claimed under the Cross Claim proved? </w:t>
      </w:r>
    </w:p>
    <w:p w14:paraId="192D6E36" w14:textId="77777777" w:rsidR="002D77D7" w:rsidRDefault="002D77D7" w:rsidP="002D77D7">
      <w:pPr>
        <w:pStyle w:val="Quote1"/>
        <w:ind w:left="1440" w:hanging="731"/>
      </w:pPr>
      <w:r>
        <w:t xml:space="preserve">252. </w:t>
      </w:r>
      <w:r>
        <w:tab/>
        <w:t xml:space="preserve">The Bank brings a cross-claim in respect of the amount owing to it under the AIO Facility ([1]-[19]) and a claim for contractual indemnity ([20]-[27]) and a claim for misleading or deceptive conduct ([28]-[69]). </w:t>
      </w:r>
    </w:p>
    <w:p w14:paraId="7EE9C7AF" w14:textId="77777777" w:rsidR="002D77D7" w:rsidRDefault="002D77D7" w:rsidP="002D77D7">
      <w:pPr>
        <w:pStyle w:val="Quote1"/>
        <w:ind w:left="1440" w:hanging="731"/>
      </w:pPr>
      <w:r>
        <w:t xml:space="preserve">253. </w:t>
      </w:r>
      <w:r>
        <w:tab/>
        <w:t xml:space="preserve">Although the Stuarts’ filed defence to the cross claim, in effect, puts in issue every paragraph within the cross-claim it appears that the heart of the defence are the matters set out in the 2FASOC. As those matters are addressed above they will not be repeated here. </w:t>
      </w:r>
    </w:p>
    <w:p w14:paraId="699E7C02" w14:textId="77777777" w:rsidR="002D77D7" w:rsidRDefault="002D77D7" w:rsidP="002D77D7">
      <w:pPr>
        <w:pStyle w:val="Quote1"/>
        <w:ind w:left="1440" w:hanging="731"/>
      </w:pPr>
      <w:r>
        <w:t xml:space="preserve">254. </w:t>
      </w:r>
      <w:r>
        <w:tab/>
        <w:t xml:space="preserve">As permitted under clause 4.6 and 21 of the AIO Facility conditions of use (A30 1270) (incorporated by the June 2010 LOO (A30 1999)) the Bank has issued a statement of indebtedness (R15). The statement of indebtedness is signed by Mr Ole, a person whose title includes the word “manager”. The statement identifies the debt as being $2,972,705.42 as at 31 March 2021. </w:t>
      </w:r>
    </w:p>
    <w:p w14:paraId="00084740" w14:textId="77777777" w:rsidR="002D77D7" w:rsidRDefault="002D77D7" w:rsidP="002D77D7">
      <w:pPr>
        <w:pStyle w:val="Quote1"/>
        <w:ind w:left="1437" w:hanging="700"/>
      </w:pPr>
      <w:r>
        <w:t xml:space="preserve">255. </w:t>
      </w:r>
      <w:r>
        <w:tab/>
        <w:t xml:space="preserve">In light of these matters, it is unnecessary for the Court to determine the claim for contractual indemnity and the claim for misleading or deceptive conduct. </w:t>
      </w:r>
    </w:p>
    <w:p w14:paraId="0C05A4DB" w14:textId="2A122950" w:rsidR="002D77D7" w:rsidRDefault="00E30F63" w:rsidP="0075782B">
      <w:pPr>
        <w:pStyle w:val="Heading2"/>
      </w:pPr>
      <w:r>
        <w:t xml:space="preserve">Potential application of indemnity in clause </w:t>
      </w:r>
      <w:proofErr w:type="gramStart"/>
      <w:r>
        <w:t>P</w:t>
      </w:r>
      <w:r w:rsidR="006360F0">
        <w:t>5</w:t>
      </w:r>
      <w:r>
        <w:t>(</w:t>
      </w:r>
      <w:proofErr w:type="gramEnd"/>
      <w:r>
        <w:t>a)(</w:t>
      </w:r>
      <w:proofErr w:type="spellStart"/>
      <w:r w:rsidR="00173517">
        <w:t>i</w:t>
      </w:r>
      <w:proofErr w:type="spellEnd"/>
      <w:r w:rsidR="00173517">
        <w:t xml:space="preserve">) </w:t>
      </w:r>
    </w:p>
    <w:p w14:paraId="479CB30B" w14:textId="45F32395" w:rsidR="00DB61E2" w:rsidRDefault="00DB61E2" w:rsidP="00FC449C">
      <w:pPr>
        <w:pStyle w:val="ParaNumbering"/>
      </w:pPr>
      <w:r>
        <w:t xml:space="preserve">I consider first the reliance by Rabobank on clause </w:t>
      </w:r>
      <w:proofErr w:type="gramStart"/>
      <w:r>
        <w:t>P5(</w:t>
      </w:r>
      <w:proofErr w:type="gramEnd"/>
      <w:r>
        <w:t>a)(</w:t>
      </w:r>
      <w:proofErr w:type="spellStart"/>
      <w:r>
        <w:t>i</w:t>
      </w:r>
      <w:proofErr w:type="spellEnd"/>
      <w:r>
        <w:t xml:space="preserve">) of the Standard </w:t>
      </w:r>
      <w:r w:rsidR="00FD0930">
        <w:t xml:space="preserve">Credit </w:t>
      </w:r>
      <w:r>
        <w:t>Terms. The clause is relevantly directed at costs arising directly or indirectly from the “occurrence of an Event of Default” and the “exercise or attempted exercise” of any right arising upon an Event of Default.</w:t>
      </w:r>
    </w:p>
    <w:p w14:paraId="3EC340B5" w14:textId="06A8A84A" w:rsidR="00704121" w:rsidRDefault="00441743" w:rsidP="00FC449C">
      <w:pPr>
        <w:pStyle w:val="ParaNumbering"/>
      </w:pPr>
      <w:r>
        <w:t xml:space="preserve">To my mind, </w:t>
      </w:r>
      <w:r w:rsidR="00704121">
        <w:t xml:space="preserve">consistently with the effect of the reasoning by </w:t>
      </w:r>
      <w:proofErr w:type="spellStart"/>
      <w:r w:rsidR="00704121">
        <w:t>Carr</w:t>
      </w:r>
      <w:proofErr w:type="spellEnd"/>
      <w:r w:rsidR="00704121">
        <w:t xml:space="preserve"> J in </w:t>
      </w:r>
      <w:proofErr w:type="spellStart"/>
      <w:r w:rsidR="00704121" w:rsidRPr="0075782B">
        <w:rPr>
          <w:i/>
        </w:rPr>
        <w:t>Quadrascan</w:t>
      </w:r>
      <w:proofErr w:type="spellEnd"/>
      <w:r w:rsidR="00704121" w:rsidRPr="0075782B">
        <w:rPr>
          <w:i/>
        </w:rPr>
        <w:t xml:space="preserve"> </w:t>
      </w:r>
      <w:r w:rsidR="00704121">
        <w:t>at</w:t>
      </w:r>
      <w:r w:rsidR="006E004B">
        <w:t xml:space="preserve"> </w:t>
      </w:r>
      <w:r w:rsidR="001E45BE">
        <w:t>166-</w:t>
      </w:r>
      <w:r w:rsidR="000C6C8B">
        <w:t>7</w:t>
      </w:r>
      <w:r w:rsidR="00DB7E52">
        <w:t xml:space="preserve"> and Burchett J in </w:t>
      </w:r>
      <w:r w:rsidR="00DB7E52">
        <w:rPr>
          <w:i/>
        </w:rPr>
        <w:t xml:space="preserve">Leda Holdings </w:t>
      </w:r>
      <w:r w:rsidR="00DB7E52">
        <w:t>at [</w:t>
      </w:r>
      <w:r w:rsidR="00401D29">
        <w:t>23</w:t>
      </w:r>
      <w:r w:rsidR="00DB7E52">
        <w:t>]</w:t>
      </w:r>
      <w:r w:rsidR="00704121">
        <w:t>,</w:t>
      </w:r>
      <w:r w:rsidR="00623202">
        <w:t xml:space="preserve"> </w:t>
      </w:r>
      <w:r w:rsidR="00704121">
        <w:t xml:space="preserve">I consider that </w:t>
      </w:r>
      <w:r>
        <w:t>there is a fundamental distinction</w:t>
      </w:r>
      <w:r w:rsidR="00704121">
        <w:t xml:space="preserve"> </w:t>
      </w:r>
      <w:r>
        <w:t>between costs incurred in connection with proceedings to enforce entitlements under a mortgage or a lease</w:t>
      </w:r>
      <w:r w:rsidR="000C6C8B">
        <w:t>, such as proceedings for possession following default</w:t>
      </w:r>
      <w:r w:rsidR="001E45BE">
        <w:t>,</w:t>
      </w:r>
      <w:r w:rsidR="000C6C8B">
        <w:t xml:space="preserve"> </w:t>
      </w:r>
      <w:r w:rsidR="00AA7889">
        <w:t>and substantive claims advanced by a mortgagor or a lessee</w:t>
      </w:r>
      <w:r w:rsidR="00E42C3E">
        <w:t xml:space="preserve"> </w:t>
      </w:r>
      <w:r w:rsidR="000C6C8B">
        <w:t xml:space="preserve">against a mortgagee or lessor </w:t>
      </w:r>
      <w:r w:rsidR="00E42C3E">
        <w:t>for</w:t>
      </w:r>
      <w:r w:rsidR="006E004B">
        <w:t xml:space="preserve"> </w:t>
      </w:r>
      <w:r w:rsidR="00AA7889">
        <w:t xml:space="preserve">misleading and deceptive conduct, </w:t>
      </w:r>
      <w:r w:rsidR="00DB61E2">
        <w:t xml:space="preserve">deceit, </w:t>
      </w:r>
      <w:r w:rsidR="00AA7889">
        <w:t>unconscionable conduct or contraventions of credit legislation.</w:t>
      </w:r>
      <w:r w:rsidR="004B2174">
        <w:t xml:space="preserve"> </w:t>
      </w:r>
    </w:p>
    <w:p w14:paraId="0BD6A943" w14:textId="5B9EFFC7" w:rsidR="00043779" w:rsidRDefault="004B2174" w:rsidP="00FC449C">
      <w:pPr>
        <w:pStyle w:val="ParaNumbering"/>
      </w:pPr>
      <w:r>
        <w:t xml:space="preserve">In that context, I consider that the </w:t>
      </w:r>
      <w:r w:rsidR="00E42C3E">
        <w:t>contractual costs</w:t>
      </w:r>
      <w:r>
        <w:t xml:space="preserve"> provision</w:t>
      </w:r>
      <w:r w:rsidR="00043779">
        <w:t>s</w:t>
      </w:r>
      <w:r>
        <w:t xml:space="preserve"> in </w:t>
      </w:r>
      <w:proofErr w:type="spellStart"/>
      <w:r w:rsidRPr="00704121">
        <w:rPr>
          <w:i/>
        </w:rPr>
        <w:t>Quadrascan</w:t>
      </w:r>
      <w:proofErr w:type="spellEnd"/>
      <w:r>
        <w:t xml:space="preserve"> </w:t>
      </w:r>
      <w:r w:rsidR="00DB7E52">
        <w:t xml:space="preserve">and </w:t>
      </w:r>
      <w:r w:rsidR="00DB7E52" w:rsidRPr="0075782B">
        <w:rPr>
          <w:i/>
        </w:rPr>
        <w:t>Leda Holdings</w:t>
      </w:r>
      <w:r w:rsidR="001E45BE">
        <w:t xml:space="preserve"> </w:t>
      </w:r>
      <w:r w:rsidR="00DB7E52">
        <w:t xml:space="preserve">are </w:t>
      </w:r>
      <w:r w:rsidR="00704121">
        <w:t>substantially to the same effect</w:t>
      </w:r>
      <w:r>
        <w:t xml:space="preserve"> to </w:t>
      </w:r>
      <w:r w:rsidR="00043779">
        <w:t xml:space="preserve">the contractual costs provisions relied upon by Rabobank in </w:t>
      </w:r>
      <w:r>
        <w:t>cl</w:t>
      </w:r>
      <w:r w:rsidR="000C6C8B">
        <w:t>ause</w:t>
      </w:r>
      <w:r>
        <w:t xml:space="preserve"> </w:t>
      </w:r>
      <w:proofErr w:type="gramStart"/>
      <w:r>
        <w:t>P</w:t>
      </w:r>
      <w:r w:rsidR="00381FE3">
        <w:t>5</w:t>
      </w:r>
      <w:r w:rsidR="00E30F63">
        <w:t>(</w:t>
      </w:r>
      <w:proofErr w:type="gramEnd"/>
      <w:r w:rsidR="00E30F63">
        <w:t>a)</w:t>
      </w:r>
      <w:r w:rsidR="00173517">
        <w:t>(</w:t>
      </w:r>
      <w:proofErr w:type="spellStart"/>
      <w:r w:rsidR="00173517">
        <w:t>i</w:t>
      </w:r>
      <w:proofErr w:type="spellEnd"/>
      <w:r w:rsidR="00173517">
        <w:t>)</w:t>
      </w:r>
      <w:r>
        <w:t xml:space="preserve">. </w:t>
      </w:r>
    </w:p>
    <w:p w14:paraId="41F4276D" w14:textId="6F3BCFF8" w:rsidR="00043779" w:rsidRDefault="008C12D4" w:rsidP="00FC449C">
      <w:pPr>
        <w:pStyle w:val="ParaNumbering"/>
      </w:pPr>
      <w:r>
        <w:t xml:space="preserve">In </w:t>
      </w:r>
      <w:proofErr w:type="spellStart"/>
      <w:r w:rsidRPr="0075782B">
        <w:rPr>
          <w:i/>
        </w:rPr>
        <w:t>Quadrascan</w:t>
      </w:r>
      <w:proofErr w:type="spellEnd"/>
      <w:r>
        <w:t xml:space="preserve">, </w:t>
      </w:r>
      <w:r w:rsidR="009019CC">
        <w:t xml:space="preserve">clause </w:t>
      </w:r>
      <w:r w:rsidR="004B2174">
        <w:t xml:space="preserve">27(b) extended to all costs “of and incidental to” </w:t>
      </w:r>
      <w:r w:rsidR="00704121">
        <w:t>either “any breach or default” by the lessee or “the exercise or attempted exercise of any right, power, privilege, authority or remedy of the Lessor under or by virtue of” the lease. It expressly extended to “legal costs on a full indemnity basis”.</w:t>
      </w:r>
      <w:r>
        <w:t xml:space="preserve"> </w:t>
      </w:r>
    </w:p>
    <w:p w14:paraId="12A2064F" w14:textId="0E7184A7" w:rsidR="009019CC" w:rsidRDefault="008C12D4" w:rsidP="00FC449C">
      <w:pPr>
        <w:pStyle w:val="ParaNumbering"/>
      </w:pPr>
      <w:r>
        <w:t xml:space="preserve">In </w:t>
      </w:r>
      <w:r w:rsidRPr="0075782B">
        <w:rPr>
          <w:i/>
        </w:rPr>
        <w:t>Leda Holdings</w:t>
      </w:r>
      <w:r w:rsidR="00043779" w:rsidRPr="0075782B">
        <w:t>:</w:t>
      </w:r>
      <w:r w:rsidR="006E004B">
        <w:t xml:space="preserve"> </w:t>
      </w:r>
    </w:p>
    <w:p w14:paraId="0D900532" w14:textId="341CC5EC" w:rsidR="009019CC" w:rsidRDefault="009019CC" w:rsidP="001E45BE">
      <w:pPr>
        <w:pStyle w:val="ListNo1alt"/>
        <w:numPr>
          <w:ilvl w:val="0"/>
          <w:numId w:val="38"/>
        </w:numPr>
      </w:pPr>
      <w:r>
        <w:t>c</w:t>
      </w:r>
      <w:r w:rsidR="008C12D4">
        <w:t>lause 8.6 of the agreement for lease extended to any costs, charges and exp</w:t>
      </w:r>
      <w:r w:rsidR="00043779">
        <w:t>e</w:t>
      </w:r>
      <w:r w:rsidR="008C12D4">
        <w:t xml:space="preserve">nses incurred </w:t>
      </w:r>
      <w:r w:rsidR="00043779">
        <w:t>“in connection with” an Event of Default, non-compliance and payments required to be made, including legal costs and expenses on “a full indemnity basis or solicitor and own client basis, whichever is the higher”</w:t>
      </w:r>
      <w:r w:rsidR="00D81AE2">
        <w:t>;</w:t>
      </w:r>
      <w:r w:rsidR="006E004B">
        <w:t xml:space="preserve"> </w:t>
      </w:r>
    </w:p>
    <w:p w14:paraId="36E93A49" w14:textId="36AC3E9B" w:rsidR="009019CC" w:rsidRDefault="008C12D4" w:rsidP="00080019">
      <w:pPr>
        <w:pStyle w:val="ListNo1alt"/>
        <w:numPr>
          <w:ilvl w:val="0"/>
          <w:numId w:val="38"/>
        </w:numPr>
      </w:pPr>
      <w:r>
        <w:t xml:space="preserve">clause 18.6 </w:t>
      </w:r>
      <w:r w:rsidR="009019CC">
        <w:t xml:space="preserve">of the lease </w:t>
      </w:r>
      <w:r w:rsidR="00043779">
        <w:t xml:space="preserve">extended to “any liability or loss arising from” </w:t>
      </w:r>
      <w:r w:rsidR="00FD0930">
        <w:t xml:space="preserve">and any costs, charges or expenses </w:t>
      </w:r>
      <w:r w:rsidR="00043779">
        <w:t xml:space="preserve">incurred by the lessor </w:t>
      </w:r>
      <w:r w:rsidR="00FD0930">
        <w:t>“</w:t>
      </w:r>
      <w:r w:rsidR="00043779">
        <w:t>in connection with</w:t>
      </w:r>
      <w:r w:rsidR="00FD0930">
        <w:t>”</w:t>
      </w:r>
      <w:r w:rsidR="00A84078">
        <w:t>,</w:t>
      </w:r>
      <w:r w:rsidR="00043779">
        <w:t xml:space="preserve"> an Event of Default</w:t>
      </w:r>
      <w:r w:rsidR="009019CC">
        <w:t>;</w:t>
      </w:r>
      <w:r w:rsidR="00DB1F29">
        <w:t xml:space="preserve"> </w:t>
      </w:r>
      <w:r>
        <w:t xml:space="preserve">and </w:t>
      </w:r>
    </w:p>
    <w:p w14:paraId="63962F1A" w14:textId="57E7E792" w:rsidR="003E2F7F" w:rsidRDefault="009019CC" w:rsidP="00080019">
      <w:pPr>
        <w:pStyle w:val="ListNo1alt"/>
        <w:numPr>
          <w:ilvl w:val="0"/>
          <w:numId w:val="38"/>
        </w:numPr>
      </w:pPr>
      <w:r>
        <w:t xml:space="preserve">clause </w:t>
      </w:r>
      <w:r w:rsidR="008C12D4">
        <w:t>23.1(b) of the lease</w:t>
      </w:r>
      <w:r>
        <w:t xml:space="preserve"> extended to the costs, charges and expenses of the lessor in connection with a broad range of matters “in connection with any Transaction Document” including in each case, without limitation, “legal costs and expenses on a full indemnity basis or solicitor and own client basis, whichever is the higher”.</w:t>
      </w:r>
    </w:p>
    <w:p w14:paraId="68DEED30" w14:textId="6E30E6C8" w:rsidR="00173517" w:rsidRDefault="00E8262A" w:rsidP="00FC449C">
      <w:pPr>
        <w:pStyle w:val="ParaNumbering"/>
      </w:pPr>
      <w:r>
        <w:t xml:space="preserve">The costs incurred by Rabobank in resisting the claims advanced by the Stuarts in the proceedings were not costs incurred in connection with any non-compliance with the Stuarts’ obligations under the </w:t>
      </w:r>
      <w:r w:rsidR="00362838">
        <w:t>Stuart’s facilities with Rabobank but rather</w:t>
      </w:r>
      <w:r w:rsidR="0075782B">
        <w:t>, with the exception of the relatively insignificant carbon farming contractual claim,</w:t>
      </w:r>
      <w:r w:rsidR="00362838">
        <w:t xml:space="preserve"> </w:t>
      </w:r>
      <w:r w:rsidR="006B33FA">
        <w:t>were incurred</w:t>
      </w:r>
      <w:r w:rsidR="00273D30">
        <w:t xml:space="preserve"> </w:t>
      </w:r>
      <w:r w:rsidR="00362838">
        <w:t>in connection with claims concerned with contraventions of statutory protections:</w:t>
      </w:r>
      <w:r w:rsidR="00D81AE2">
        <w:t xml:space="preserve"> see</w:t>
      </w:r>
      <w:r w:rsidR="00362838">
        <w:t xml:space="preserve"> </w:t>
      </w:r>
      <w:r w:rsidR="00362838" w:rsidRPr="0075782B">
        <w:rPr>
          <w:i/>
        </w:rPr>
        <w:t>Leda Holdings</w:t>
      </w:r>
      <w:r w:rsidR="00362838">
        <w:t xml:space="preserve"> at [23].</w:t>
      </w:r>
      <w:r w:rsidR="00273D30">
        <w:t xml:space="preserve"> </w:t>
      </w:r>
    </w:p>
    <w:p w14:paraId="7AEEFA71" w14:textId="7F771570" w:rsidR="0038616E" w:rsidRDefault="0038616E" w:rsidP="00FC449C">
      <w:pPr>
        <w:pStyle w:val="ParaNumbering"/>
      </w:pPr>
      <w:r>
        <w:t xml:space="preserve">A further and related difficulty with </w:t>
      </w:r>
      <w:proofErr w:type="spellStart"/>
      <w:r>
        <w:t>Rabobank’s</w:t>
      </w:r>
      <w:proofErr w:type="spellEnd"/>
      <w:r>
        <w:t xml:space="preserve"> unqualified expansive approach to the operation of clause </w:t>
      </w:r>
      <w:proofErr w:type="gramStart"/>
      <w:r>
        <w:t>P5(</w:t>
      </w:r>
      <w:proofErr w:type="gramEnd"/>
      <w:r>
        <w:t>a) is that it would lead to the surprising conclusion that</w:t>
      </w:r>
      <w:r w:rsidR="000B4B61">
        <w:t>,</w:t>
      </w:r>
      <w:r>
        <w:t xml:space="preserve"> </w:t>
      </w:r>
      <w:r w:rsidR="000B4B61">
        <w:t xml:space="preserve">even if the Stuarts had otherwise succeeded on their principal claims for contraventions of statutory protective provisions and deceit, </w:t>
      </w:r>
      <w:r>
        <w:t>the parties</w:t>
      </w:r>
      <w:r w:rsidR="001E45BE">
        <w:t>’</w:t>
      </w:r>
      <w:r>
        <w:t xml:space="preserve"> objective intention was that the Stuarts would have to pay </w:t>
      </w:r>
      <w:proofErr w:type="spellStart"/>
      <w:r>
        <w:t>Rabobank’s</w:t>
      </w:r>
      <w:proofErr w:type="spellEnd"/>
      <w:r>
        <w:t xml:space="preserve"> costs on an indemnity basis</w:t>
      </w:r>
      <w:r w:rsidR="000B4B61">
        <w:t>.</w:t>
      </w:r>
      <w:r>
        <w:t xml:space="preserve"> Such a result would </w:t>
      </w:r>
      <w:r w:rsidR="009536DA">
        <w:t xml:space="preserve">clearly </w:t>
      </w:r>
      <w:r>
        <w:t>be contrary to public policy</w:t>
      </w:r>
      <w:r w:rsidR="009536DA">
        <w:t xml:space="preserve"> and otherwise lead to an absurd result</w:t>
      </w:r>
      <w:r w:rsidR="00117A63">
        <w:t xml:space="preserve"> — </w:t>
      </w:r>
      <w:r w:rsidR="009536DA">
        <w:t>that Rabobank would be entitled to rely on its indemnity in clause P5 to recover from the Stuarts any damages, compensation or costs awarded against it on the basis that such amounts arose “at any time directly or indirectly” following an event of default</w:t>
      </w:r>
      <w:r w:rsidR="000B4B61">
        <w:t>,</w:t>
      </w:r>
      <w:r w:rsidR="009536DA">
        <w:t xml:space="preserve"> or from Rabobank seeking to exercise any right or option arising upon an event of default.</w:t>
      </w:r>
      <w:r w:rsidR="006E004B">
        <w:t xml:space="preserve"> </w:t>
      </w:r>
    </w:p>
    <w:p w14:paraId="4C53CC7E" w14:textId="673001AD" w:rsidR="006B33FA" w:rsidRDefault="00401D29" w:rsidP="00FC449C">
      <w:pPr>
        <w:pStyle w:val="ParaNumbering"/>
      </w:pPr>
      <w:r>
        <w:t xml:space="preserve">Clause </w:t>
      </w:r>
      <w:proofErr w:type="gramStart"/>
      <w:r>
        <w:t>P5(</w:t>
      </w:r>
      <w:proofErr w:type="gramEnd"/>
      <w:r>
        <w:t>a)(</w:t>
      </w:r>
      <w:proofErr w:type="spellStart"/>
      <w:r>
        <w:t>i</w:t>
      </w:r>
      <w:proofErr w:type="spellEnd"/>
      <w:r>
        <w:t xml:space="preserve">) cannot be relied upon by </w:t>
      </w:r>
      <w:r w:rsidR="006B33FA">
        <w:t xml:space="preserve">Rabobank to </w:t>
      </w:r>
      <w:r>
        <w:t>establish an entitlement</w:t>
      </w:r>
      <w:r w:rsidR="006E004B">
        <w:t xml:space="preserve"> </w:t>
      </w:r>
      <w:r>
        <w:t xml:space="preserve">to </w:t>
      </w:r>
      <w:r w:rsidR="006B33FA">
        <w:t>an order that its costs incurred in defending the claims advanced by the Stuarts</w:t>
      </w:r>
      <w:r>
        <w:t xml:space="preserve"> be paid on an indemnity basis</w:t>
      </w:r>
      <w:r w:rsidR="006B33FA">
        <w:t>. I address subsequently in these reasons the pos</w:t>
      </w:r>
      <w:r>
        <w:t>i</w:t>
      </w:r>
      <w:r w:rsidR="006B33FA">
        <w:t xml:space="preserve">tion in relation to the </w:t>
      </w:r>
      <w:r w:rsidR="00DC5045">
        <w:t>cross-</w:t>
      </w:r>
      <w:r w:rsidR="00273D30">
        <w:t>claim</w:t>
      </w:r>
      <w:r w:rsidR="006B33FA">
        <w:t>.</w:t>
      </w:r>
      <w:r w:rsidR="006E004B">
        <w:t xml:space="preserve"> </w:t>
      </w:r>
    </w:p>
    <w:p w14:paraId="5FEC42AF" w14:textId="77777777" w:rsidR="0075782B" w:rsidRDefault="00E8262A" w:rsidP="0075782B">
      <w:pPr>
        <w:pStyle w:val="Heading2"/>
      </w:pPr>
      <w:r>
        <w:t>Potential application of indemnity in</w:t>
      </w:r>
      <w:r w:rsidR="000C6C8B">
        <w:t xml:space="preserve"> clause </w:t>
      </w:r>
      <w:proofErr w:type="gramStart"/>
      <w:r w:rsidR="000C6C8B">
        <w:t>P</w:t>
      </w:r>
      <w:r w:rsidR="00DB1F29">
        <w:t>5(</w:t>
      </w:r>
      <w:proofErr w:type="gramEnd"/>
      <w:r w:rsidR="00DB1F29">
        <w:t>a)</w:t>
      </w:r>
      <w:r w:rsidR="000C6C8B">
        <w:t>(iii)</w:t>
      </w:r>
    </w:p>
    <w:p w14:paraId="534F8171" w14:textId="5E4A3551" w:rsidR="00623202" w:rsidRDefault="00E8262A" w:rsidP="00FC449C">
      <w:pPr>
        <w:pStyle w:val="ParaNumbering"/>
      </w:pPr>
      <w:r>
        <w:t>C</w:t>
      </w:r>
      <w:r w:rsidR="00E42C3E">
        <w:t>l</w:t>
      </w:r>
      <w:r w:rsidR="00E30F63">
        <w:t>ause</w:t>
      </w:r>
      <w:r w:rsidR="00E42C3E">
        <w:t xml:space="preserve"> </w:t>
      </w:r>
      <w:proofErr w:type="gramStart"/>
      <w:r w:rsidR="00E42C3E">
        <w:t>P</w:t>
      </w:r>
      <w:r w:rsidR="00695730">
        <w:t>5</w:t>
      </w:r>
      <w:r w:rsidR="00E30F63">
        <w:t>(</w:t>
      </w:r>
      <w:proofErr w:type="gramEnd"/>
      <w:r w:rsidR="00E30F63">
        <w:t>a)</w:t>
      </w:r>
      <w:r w:rsidR="00E42C3E">
        <w:t xml:space="preserve">(iii) encompasses costs incurred in connection with claims that payment obligations are void or voidable under any “Insolvency Provisions” or for “any other reason”. </w:t>
      </w:r>
      <w:r>
        <w:t xml:space="preserve">There is no equivalent to this clause in the contractual indemnity costs provisions in </w:t>
      </w:r>
      <w:proofErr w:type="spellStart"/>
      <w:r w:rsidRPr="0075782B">
        <w:rPr>
          <w:i/>
        </w:rPr>
        <w:t>Quadrascan</w:t>
      </w:r>
      <w:proofErr w:type="spellEnd"/>
      <w:r>
        <w:t xml:space="preserve"> and </w:t>
      </w:r>
      <w:r w:rsidRPr="0075782B">
        <w:rPr>
          <w:i/>
        </w:rPr>
        <w:t>Leda Holdings</w:t>
      </w:r>
      <w:r>
        <w:t>.</w:t>
      </w:r>
    </w:p>
    <w:p w14:paraId="71E76D2C" w14:textId="630CAD0F" w:rsidR="00E30F63" w:rsidRDefault="00E30F63" w:rsidP="00FC449C">
      <w:pPr>
        <w:pStyle w:val="ParaNumbering"/>
      </w:pPr>
      <w:r>
        <w:t xml:space="preserve">For the reasons that follow I am satisfied that the costs incurred by Rabobank in defending the claims advanced by the Stuarts in the proceedings do not fall within the costs indemnity in clause </w:t>
      </w:r>
      <w:proofErr w:type="gramStart"/>
      <w:r>
        <w:t>P</w:t>
      </w:r>
      <w:r w:rsidR="00DB1F29">
        <w:t>5</w:t>
      </w:r>
      <w:r>
        <w:t>(</w:t>
      </w:r>
      <w:proofErr w:type="gramEnd"/>
      <w:r>
        <w:t>a)(iii).</w:t>
      </w:r>
    </w:p>
    <w:p w14:paraId="35DCB745" w14:textId="04DB8CFB" w:rsidR="00623202" w:rsidRDefault="00623202" w:rsidP="00623202">
      <w:pPr>
        <w:pStyle w:val="ParaNumbering"/>
      </w:pPr>
      <w:r>
        <w:t xml:space="preserve">The rationale for inserting general words into contracts, such as “for any other reason” was explained by Lord </w:t>
      </w:r>
      <w:proofErr w:type="spellStart"/>
      <w:r>
        <w:t>McNaghten</w:t>
      </w:r>
      <w:proofErr w:type="spellEnd"/>
      <w:r>
        <w:t xml:space="preserve"> in the context of the extent of coverage provided by a marine insurance policy in</w:t>
      </w:r>
      <w:r w:rsidR="006E004B">
        <w:t xml:space="preserve"> </w:t>
      </w:r>
      <w:r w:rsidR="00D81AE2">
        <w:rPr>
          <w:i/>
        </w:rPr>
        <w:t xml:space="preserve">The </w:t>
      </w:r>
      <w:r w:rsidRPr="0052536D">
        <w:rPr>
          <w:i/>
        </w:rPr>
        <w:t xml:space="preserve">Thames </w:t>
      </w:r>
      <w:r w:rsidR="00D81AE2">
        <w:rPr>
          <w:i/>
        </w:rPr>
        <w:t>and</w:t>
      </w:r>
      <w:r w:rsidRPr="0052536D">
        <w:rPr>
          <w:i/>
        </w:rPr>
        <w:t xml:space="preserve"> Mersey Marine Insurance Co</w:t>
      </w:r>
      <w:r w:rsidR="00D81AE2">
        <w:rPr>
          <w:i/>
        </w:rPr>
        <w:t>mpany,</w:t>
      </w:r>
      <w:r w:rsidRPr="0052536D">
        <w:rPr>
          <w:i/>
        </w:rPr>
        <w:t xml:space="preserve"> L</w:t>
      </w:r>
      <w:r w:rsidR="00D81AE2">
        <w:rPr>
          <w:i/>
        </w:rPr>
        <w:t>imi</w:t>
      </w:r>
      <w:r w:rsidRPr="0052536D">
        <w:rPr>
          <w:i/>
        </w:rPr>
        <w:t>t</w:t>
      </w:r>
      <w:r w:rsidR="00D81AE2">
        <w:rPr>
          <w:i/>
        </w:rPr>
        <w:t>e</w:t>
      </w:r>
      <w:r w:rsidRPr="0052536D">
        <w:rPr>
          <w:i/>
        </w:rPr>
        <w:t>d v Hamilton, Fraser &amp; Co</w:t>
      </w:r>
      <w:r w:rsidR="00D81AE2">
        <w:rPr>
          <w:i/>
        </w:rPr>
        <w:t>mpany</w:t>
      </w:r>
      <w:r>
        <w:t xml:space="preserve"> (1887) 12 App </w:t>
      </w:r>
      <w:proofErr w:type="spellStart"/>
      <w:r>
        <w:t>Cas</w:t>
      </w:r>
      <w:proofErr w:type="spellEnd"/>
      <w:r>
        <w:t xml:space="preserve"> 484 at 501 as:</w:t>
      </w:r>
    </w:p>
    <w:p w14:paraId="396A6AA0" w14:textId="77777777" w:rsidR="00D81AE2" w:rsidRDefault="00623202" w:rsidP="00D81AE2">
      <w:pPr>
        <w:pStyle w:val="Quote1"/>
      </w:pPr>
      <w:r>
        <w:t>The question is, was the loss which resulted from this mishap covered by the policy or not? The policy contained the common clause describing the risks which the underwriters were content to bear. The clause begins in the usual way by speci</w:t>
      </w:r>
      <w:r w:rsidR="00D81AE2">
        <w:t>fying certain particular cases,—</w:t>
      </w:r>
      <w:r>
        <w:t>perils of the s</w:t>
      </w:r>
      <w:r w:rsidR="00D81AE2">
        <w:t>eas and other well-known risks,—</w:t>
      </w:r>
      <w:r>
        <w:t>to which the indemnity was to extend. Then follow general words apparently providing for every conceivable loss or misfortune that could happen to the subject-matter of the insurance.</w:t>
      </w:r>
    </w:p>
    <w:p w14:paraId="2A374BDE" w14:textId="6CC4151A" w:rsidR="00623202" w:rsidRDefault="00623202" w:rsidP="00D81AE2">
      <w:pPr>
        <w:pStyle w:val="Quote1"/>
      </w:pPr>
      <w:r>
        <w:t>It was not contended that the mishap in question fell within any of the particular cases enumerated. The argument turned on the effect of the general words. According to the ordinary rules of construction these words must be interpreted with reference to the words which immediately precede them. They were no doubt inserted in order to prevent disputes founded on nice distinctions. Their office is to cover in terms whatever may be within the spirit of the cases previously enumerated, and so they have a greater or less effect as a narrower or broader view is taken of those cases.</w:t>
      </w:r>
    </w:p>
    <w:p w14:paraId="1399E000" w14:textId="5480A526" w:rsidR="00704121" w:rsidRDefault="00E42C3E" w:rsidP="00FC449C">
      <w:pPr>
        <w:pStyle w:val="ParaNumbering"/>
      </w:pPr>
      <w:r>
        <w:t xml:space="preserve">The term “Insolvency Provision” is defined in the </w:t>
      </w:r>
      <w:r w:rsidR="000C2050">
        <w:t xml:space="preserve">Standard </w:t>
      </w:r>
      <w:r w:rsidR="00FD0930">
        <w:t xml:space="preserve">Credit </w:t>
      </w:r>
      <w:r w:rsidR="000C2050">
        <w:t xml:space="preserve">Terms </w:t>
      </w:r>
      <w:r w:rsidR="00936ED7">
        <w:t>in these terms</w:t>
      </w:r>
      <w:r w:rsidR="000C2050">
        <w:t>:</w:t>
      </w:r>
    </w:p>
    <w:p w14:paraId="11331487" w14:textId="7A966C91" w:rsidR="000C2050" w:rsidRDefault="000C2050" w:rsidP="000C2050">
      <w:pPr>
        <w:pStyle w:val="Quote1"/>
      </w:pPr>
      <w:r w:rsidRPr="000C2050">
        <w:rPr>
          <w:b/>
        </w:rPr>
        <w:t>Insolvency Provision</w:t>
      </w:r>
      <w:r w:rsidR="00A70393" w:rsidRPr="00117A63">
        <w:t xml:space="preserve"> – </w:t>
      </w:r>
      <w:r>
        <w:t xml:space="preserve">means any law relating to insolvency, sequestration, liquidation, or bankruptcy (including any law relating to the avoidance of conveyances in fraud of creditors and of preferences, and any law under which a liquidator or trustee in bankruptcy may set aside or avoid transactions) and any provision of any agreement, arrangement or scheme, formal or informal, relating to the administration of any of the assets of any person; </w:t>
      </w:r>
    </w:p>
    <w:p w14:paraId="6FA73F2E" w14:textId="61B46FBD" w:rsidR="00E70012" w:rsidRDefault="00E70012" w:rsidP="00FC449C">
      <w:pPr>
        <w:pStyle w:val="ParaNumbering"/>
      </w:pPr>
      <w:r>
        <w:t xml:space="preserve">I am </w:t>
      </w:r>
      <w:r w:rsidR="0075782B">
        <w:t>satisfied</w:t>
      </w:r>
      <w:r>
        <w:t xml:space="preserve"> that t</w:t>
      </w:r>
      <w:r w:rsidR="000C2050">
        <w:t xml:space="preserve">he definition of “Insolvency Provision” provides a </w:t>
      </w:r>
      <w:r>
        <w:t xml:space="preserve">“genus” for the application of the </w:t>
      </w:r>
      <w:proofErr w:type="spellStart"/>
      <w:r w:rsidRPr="0011674A">
        <w:rPr>
          <w:i/>
        </w:rPr>
        <w:t>ejusdem</w:t>
      </w:r>
      <w:proofErr w:type="spellEnd"/>
      <w:r w:rsidRPr="0011674A">
        <w:rPr>
          <w:i/>
        </w:rPr>
        <w:t xml:space="preserve"> generis </w:t>
      </w:r>
      <w:r>
        <w:t xml:space="preserve">principle and a </w:t>
      </w:r>
      <w:r w:rsidR="000C2050">
        <w:t xml:space="preserve">specific context in which to construe the </w:t>
      </w:r>
      <w:r w:rsidR="00903770">
        <w:t>meaning</w:t>
      </w:r>
      <w:r w:rsidR="000C2050">
        <w:t xml:space="preserve"> of “any other reason”</w:t>
      </w:r>
      <w:r w:rsidR="003551E4">
        <w:t xml:space="preserve"> in cl</w:t>
      </w:r>
      <w:r w:rsidR="00A70393">
        <w:t>ause</w:t>
      </w:r>
      <w:r w:rsidR="003551E4">
        <w:t xml:space="preserve"> P</w:t>
      </w:r>
      <w:r w:rsidR="00695730">
        <w:t>5(a)</w:t>
      </w:r>
      <w:r w:rsidR="003551E4">
        <w:t>(iii)</w:t>
      </w:r>
      <w:r w:rsidR="00903770">
        <w:t xml:space="preserve"> of the Standard </w:t>
      </w:r>
      <w:r w:rsidR="00FD0930">
        <w:t xml:space="preserve">Credit </w:t>
      </w:r>
      <w:r w:rsidR="00903770">
        <w:t xml:space="preserve">Terms: see </w:t>
      </w:r>
      <w:r w:rsidR="00903770" w:rsidRPr="00903770">
        <w:rPr>
          <w:i/>
        </w:rPr>
        <w:t xml:space="preserve">R v Regos </w:t>
      </w:r>
      <w:r w:rsidR="00424BD3">
        <w:rPr>
          <w:i/>
        </w:rPr>
        <w:t>and</w:t>
      </w:r>
      <w:r w:rsidR="00903770" w:rsidRPr="00903770">
        <w:rPr>
          <w:i/>
        </w:rPr>
        <w:t xml:space="preserve"> Morgan</w:t>
      </w:r>
      <w:r w:rsidR="00903770">
        <w:t xml:space="preserve"> (1947) 74 CLR 613 at 624 (Latham CJ); </w:t>
      </w:r>
      <w:r w:rsidR="00903770" w:rsidRPr="00903770">
        <w:rPr>
          <w:i/>
        </w:rPr>
        <w:t>Deputy Commissioner of Taxation v Clark</w:t>
      </w:r>
      <w:r w:rsidR="00903770">
        <w:t xml:space="preserve"> (2003) 57 NSWLR 113</w:t>
      </w:r>
      <w:r w:rsidR="00424BD3">
        <w:t>; [2003] NSWCA 91</w:t>
      </w:r>
      <w:r w:rsidR="00903770">
        <w:t xml:space="preserve"> at [126] (</w:t>
      </w:r>
      <w:proofErr w:type="spellStart"/>
      <w:r w:rsidR="00903770">
        <w:t>Spigelman</w:t>
      </w:r>
      <w:proofErr w:type="spellEnd"/>
      <w:r w:rsidR="00903770">
        <w:t xml:space="preserve"> CJ)</w:t>
      </w:r>
      <w:r w:rsidR="000C2050">
        <w:t xml:space="preserve">. </w:t>
      </w:r>
    </w:p>
    <w:p w14:paraId="7E2FB421" w14:textId="5364C0A4" w:rsidR="00B30C53" w:rsidRDefault="00936ED7" w:rsidP="00FC449C">
      <w:pPr>
        <w:pStyle w:val="ParaNumbering"/>
      </w:pPr>
      <w:r>
        <w:t xml:space="preserve">As </w:t>
      </w:r>
      <w:proofErr w:type="spellStart"/>
      <w:r w:rsidR="00B30C53">
        <w:t>Spigelman</w:t>
      </w:r>
      <w:proofErr w:type="spellEnd"/>
      <w:r w:rsidR="00B30C53">
        <w:t xml:space="preserve"> CJ</w:t>
      </w:r>
      <w:r w:rsidR="00424BD3">
        <w:t xml:space="preserve">, with whom McColl and </w:t>
      </w:r>
      <w:proofErr w:type="spellStart"/>
      <w:r w:rsidR="00424BD3">
        <w:t>Basten</w:t>
      </w:r>
      <w:proofErr w:type="spellEnd"/>
      <w:r w:rsidR="00424BD3">
        <w:t xml:space="preserve"> JJA agreed,</w:t>
      </w:r>
      <w:r>
        <w:t xml:space="preserve"> explained in </w:t>
      </w:r>
      <w:r w:rsidR="00B30C53" w:rsidRPr="00B30C53">
        <w:rPr>
          <w:i/>
        </w:rPr>
        <w:t xml:space="preserve">Lend Lease Real Estate Investments Ltd </w:t>
      </w:r>
      <w:r w:rsidR="00424BD3">
        <w:rPr>
          <w:i/>
        </w:rPr>
        <w:t xml:space="preserve">&amp; Anor </w:t>
      </w:r>
      <w:r w:rsidR="00B30C53" w:rsidRPr="00B30C53">
        <w:rPr>
          <w:i/>
        </w:rPr>
        <w:t>v GPT RE Ltd</w:t>
      </w:r>
      <w:r w:rsidR="00B30C53">
        <w:t xml:space="preserve"> [2006] NSWCA 207 at [30]:</w:t>
      </w:r>
    </w:p>
    <w:p w14:paraId="071E4FE7" w14:textId="0305C78A" w:rsidR="00B30C53" w:rsidRDefault="00B30C53" w:rsidP="00B30C53">
      <w:pPr>
        <w:pStyle w:val="Quote1"/>
      </w:pPr>
      <w:r>
        <w:t xml:space="preserve">The general principle of the law of interpretation that the meaning of a word can be gathered from its associated words – </w:t>
      </w:r>
      <w:proofErr w:type="spellStart"/>
      <w:r w:rsidRPr="008A5855">
        <w:rPr>
          <w:i/>
        </w:rPr>
        <w:t>noscitur</w:t>
      </w:r>
      <w:proofErr w:type="spellEnd"/>
      <w:r w:rsidRPr="008A5855">
        <w:rPr>
          <w:i/>
        </w:rPr>
        <w:t xml:space="preserve"> a </w:t>
      </w:r>
      <w:proofErr w:type="spellStart"/>
      <w:r w:rsidRPr="008A5855">
        <w:rPr>
          <w:i/>
        </w:rPr>
        <w:t>sociis</w:t>
      </w:r>
      <w:proofErr w:type="spellEnd"/>
      <w:r>
        <w:t xml:space="preserve"> – has a number of specific sub-principles with respect to the immediate textual context. The most frequently cited such sub-principle is the </w:t>
      </w:r>
      <w:proofErr w:type="spellStart"/>
      <w:r w:rsidRPr="008A5855">
        <w:rPr>
          <w:i/>
        </w:rPr>
        <w:t>ejusdem</w:t>
      </w:r>
      <w:proofErr w:type="spellEnd"/>
      <w:r w:rsidRPr="008A5855">
        <w:rPr>
          <w:i/>
        </w:rPr>
        <w:t xml:space="preserve"> generis</w:t>
      </w:r>
      <w:r>
        <w:t xml:space="preserve"> rule. The relevant sub</w:t>
      </w:r>
      <w:r w:rsidR="00424BD3">
        <w:t>-</w:t>
      </w:r>
      <w:r>
        <w:t xml:space="preserve">principle for the present case is the maxim propounded by Lord Bacon: </w:t>
      </w:r>
      <w:proofErr w:type="spellStart"/>
      <w:r w:rsidRPr="008A5855">
        <w:rPr>
          <w:i/>
        </w:rPr>
        <w:t>copulatio</w:t>
      </w:r>
      <w:proofErr w:type="spellEnd"/>
      <w:r w:rsidRPr="008A5855">
        <w:rPr>
          <w:i/>
        </w:rPr>
        <w:t xml:space="preserve"> </w:t>
      </w:r>
      <w:proofErr w:type="spellStart"/>
      <w:r w:rsidRPr="008A5855">
        <w:rPr>
          <w:i/>
        </w:rPr>
        <w:t>verborum</w:t>
      </w:r>
      <w:proofErr w:type="spellEnd"/>
      <w:r w:rsidRPr="008A5855">
        <w:rPr>
          <w:i/>
        </w:rPr>
        <w:t xml:space="preserve"> </w:t>
      </w:r>
      <w:proofErr w:type="spellStart"/>
      <w:r w:rsidRPr="008A5855">
        <w:rPr>
          <w:i/>
        </w:rPr>
        <w:t>indicat</w:t>
      </w:r>
      <w:proofErr w:type="spellEnd"/>
      <w:r w:rsidRPr="008A5855">
        <w:rPr>
          <w:i/>
        </w:rPr>
        <w:t xml:space="preserve"> </w:t>
      </w:r>
      <w:proofErr w:type="spellStart"/>
      <w:r w:rsidRPr="008A5855">
        <w:rPr>
          <w:i/>
        </w:rPr>
        <w:t>acceptationem</w:t>
      </w:r>
      <w:proofErr w:type="spellEnd"/>
      <w:r w:rsidRPr="008A5855">
        <w:rPr>
          <w:i/>
        </w:rPr>
        <w:t xml:space="preserve"> in </w:t>
      </w:r>
      <w:proofErr w:type="spellStart"/>
      <w:r w:rsidRPr="008A5855">
        <w:rPr>
          <w:i/>
        </w:rPr>
        <w:t>eodem</w:t>
      </w:r>
      <w:proofErr w:type="spellEnd"/>
      <w:r w:rsidRPr="008A5855">
        <w:rPr>
          <w:i/>
        </w:rPr>
        <w:t xml:space="preserve"> </w:t>
      </w:r>
      <w:proofErr w:type="spellStart"/>
      <w:r w:rsidRPr="008A5855">
        <w:rPr>
          <w:i/>
        </w:rPr>
        <w:t>sensu</w:t>
      </w:r>
      <w:proofErr w:type="spellEnd"/>
      <w:r>
        <w:t xml:space="preserve"> – the linking of words indicates that they should be understood in the same sense. As Lord Kenyon CJ once put it, where a word “stands with” other words it “must mean something analogous to them”. (</w:t>
      </w:r>
      <w:r w:rsidRPr="000B554D">
        <w:rPr>
          <w:i/>
        </w:rPr>
        <w:t>Evans v Stevens</w:t>
      </w:r>
      <w:r>
        <w:t xml:space="preserve"> (1791) 4 TR 224; 100 ER 986 at 987. See also W J Byrne (</w:t>
      </w:r>
      <w:proofErr w:type="spellStart"/>
      <w:proofErr w:type="gramStart"/>
      <w:r>
        <w:t>ed</w:t>
      </w:r>
      <w:proofErr w:type="spellEnd"/>
      <w:proofErr w:type="gramEnd"/>
      <w:r>
        <w:t xml:space="preserve">) </w:t>
      </w:r>
      <w:proofErr w:type="spellStart"/>
      <w:r w:rsidRPr="000B554D">
        <w:rPr>
          <w:i/>
        </w:rPr>
        <w:t>Broomes</w:t>
      </w:r>
      <w:proofErr w:type="spellEnd"/>
      <w:r w:rsidRPr="000B554D">
        <w:rPr>
          <w:i/>
        </w:rPr>
        <w:t xml:space="preserve"> Legal Maxim</w:t>
      </w:r>
      <w:r>
        <w:t xml:space="preserve"> (9th </w:t>
      </w:r>
      <w:proofErr w:type="spellStart"/>
      <w:r>
        <w:t>ed</w:t>
      </w:r>
      <w:proofErr w:type="spellEnd"/>
      <w:r>
        <w:t>) Sweet and Maxwell, London (1924) pp373-374.)</w:t>
      </w:r>
    </w:p>
    <w:p w14:paraId="30EBF26A" w14:textId="77777777" w:rsidR="00B36829" w:rsidRDefault="00B36829" w:rsidP="00FC449C">
      <w:pPr>
        <w:pStyle w:val="ParaNumbering"/>
      </w:pPr>
      <w:r>
        <w:t xml:space="preserve">In </w:t>
      </w:r>
      <w:r w:rsidR="00E70012" w:rsidRPr="00E70012">
        <w:rPr>
          <w:i/>
        </w:rPr>
        <w:t>Wong v Hutchinson</w:t>
      </w:r>
      <w:r w:rsidR="00E70012">
        <w:t xml:space="preserve"> (1950) 68 WN (NSW) 55 </w:t>
      </w:r>
      <w:r w:rsidR="007A2E7C">
        <w:t xml:space="preserve">at 57 (Owen J) </w:t>
      </w:r>
      <w:r w:rsidR="00E70012">
        <w:t>the relevant provision in a contract for the sale of goods excluded liability for delay or non-delivery:</w:t>
      </w:r>
    </w:p>
    <w:p w14:paraId="66BF8766" w14:textId="77777777" w:rsidR="00E70012" w:rsidRDefault="00E70012" w:rsidP="00E70012">
      <w:pPr>
        <w:pStyle w:val="Quote1"/>
      </w:pPr>
      <w:proofErr w:type="gramStart"/>
      <w:r>
        <w:t>resulting</w:t>
      </w:r>
      <w:proofErr w:type="gramEnd"/>
      <w:r>
        <w:t xml:space="preserve"> from restrictions imposed by any Government on the transport of or trade in the commodity or from any other cause beyond the control of the sellers.</w:t>
      </w:r>
    </w:p>
    <w:p w14:paraId="5CBA4B6A" w14:textId="74AF9C67" w:rsidR="00E70012" w:rsidRDefault="007A2E7C" w:rsidP="00FC449C">
      <w:pPr>
        <w:pStyle w:val="ParaNumbering"/>
      </w:pPr>
      <w:r>
        <w:t>T</w:t>
      </w:r>
      <w:r w:rsidR="00E70012">
        <w:t xml:space="preserve">he </w:t>
      </w:r>
      <w:r>
        <w:t>Court found that the general words</w:t>
      </w:r>
      <w:r w:rsidR="00E70012">
        <w:t xml:space="preserve"> “or from any other cause” should be read as applying to causes </w:t>
      </w:r>
      <w:proofErr w:type="spellStart"/>
      <w:r w:rsidR="00E70012" w:rsidRPr="00067BB5">
        <w:rPr>
          <w:i/>
        </w:rPr>
        <w:t>ejusdem</w:t>
      </w:r>
      <w:proofErr w:type="spellEnd"/>
      <w:r w:rsidR="00E70012" w:rsidRPr="00067BB5">
        <w:rPr>
          <w:i/>
        </w:rPr>
        <w:t xml:space="preserve"> generis</w:t>
      </w:r>
      <w:r w:rsidR="00E70012">
        <w:t xml:space="preserve"> with </w:t>
      </w:r>
      <w:r w:rsidR="00067BB5">
        <w:t xml:space="preserve">“governmental </w:t>
      </w:r>
      <w:r w:rsidR="00E70012">
        <w:t>restrictions on transport or trade</w:t>
      </w:r>
      <w:r w:rsidR="003E38B9">
        <w:t>”, citing the decision</w:t>
      </w:r>
      <w:r w:rsidR="00360913">
        <w:t xml:space="preserve">s of </w:t>
      </w:r>
      <w:r w:rsidR="00360913">
        <w:rPr>
          <w:i/>
        </w:rPr>
        <w:t xml:space="preserve">In the matter of an arbitration between </w:t>
      </w:r>
      <w:proofErr w:type="spellStart"/>
      <w:r w:rsidR="00360913">
        <w:rPr>
          <w:i/>
        </w:rPr>
        <w:t>Richardsons</w:t>
      </w:r>
      <w:proofErr w:type="spellEnd"/>
      <w:r w:rsidR="00360913">
        <w:rPr>
          <w:i/>
        </w:rPr>
        <w:t xml:space="preserve"> and M Samuel &amp; Co</w:t>
      </w:r>
      <w:r w:rsidR="003E38B9">
        <w:t xml:space="preserve"> [1898] 1 QB 261 </w:t>
      </w:r>
      <w:r w:rsidR="00F2549A">
        <w:t>(</w:t>
      </w:r>
      <w:proofErr w:type="spellStart"/>
      <w:r w:rsidR="00F2549A">
        <w:rPr>
          <w:b/>
          <w:i/>
        </w:rPr>
        <w:t>Richardsons</w:t>
      </w:r>
      <w:proofErr w:type="spellEnd"/>
      <w:r w:rsidR="00F2549A">
        <w:t xml:space="preserve">) </w:t>
      </w:r>
      <w:r w:rsidR="00360913">
        <w:t xml:space="preserve">(AL Smith, Rigby and Collins LJJ) </w:t>
      </w:r>
      <w:r w:rsidR="003E38B9">
        <w:t xml:space="preserve">and </w:t>
      </w:r>
      <w:proofErr w:type="spellStart"/>
      <w:r w:rsidR="00360913">
        <w:rPr>
          <w:i/>
        </w:rPr>
        <w:t>Thorman</w:t>
      </w:r>
      <w:proofErr w:type="spellEnd"/>
      <w:r w:rsidR="00360913">
        <w:rPr>
          <w:i/>
        </w:rPr>
        <w:t xml:space="preserve"> v </w:t>
      </w:r>
      <w:proofErr w:type="spellStart"/>
      <w:r w:rsidR="00360913">
        <w:rPr>
          <w:i/>
        </w:rPr>
        <w:t>Dowgate</w:t>
      </w:r>
      <w:proofErr w:type="spellEnd"/>
      <w:r w:rsidR="00360913">
        <w:rPr>
          <w:i/>
        </w:rPr>
        <w:t xml:space="preserve"> Steamship Company </w:t>
      </w:r>
      <w:r w:rsidR="003E38B9" w:rsidRPr="003E38B9">
        <w:rPr>
          <w:i/>
        </w:rPr>
        <w:t>L</w:t>
      </w:r>
      <w:r w:rsidR="00360913">
        <w:rPr>
          <w:i/>
        </w:rPr>
        <w:t>imited</w:t>
      </w:r>
      <w:r w:rsidR="003E38B9" w:rsidRPr="003E38B9">
        <w:rPr>
          <w:i/>
        </w:rPr>
        <w:t xml:space="preserve"> </w:t>
      </w:r>
      <w:r w:rsidR="00360913">
        <w:t>[1910] 1 KB 410</w:t>
      </w:r>
      <w:r w:rsidR="001045F4">
        <w:t xml:space="preserve"> (</w:t>
      </w:r>
      <w:proofErr w:type="spellStart"/>
      <w:r w:rsidR="001045F4">
        <w:rPr>
          <w:b/>
          <w:i/>
        </w:rPr>
        <w:t>Thorman</w:t>
      </w:r>
      <w:proofErr w:type="spellEnd"/>
      <w:r w:rsidR="001045F4">
        <w:t>)</w:t>
      </w:r>
      <w:r w:rsidR="00360913">
        <w:t xml:space="preserve"> (Hamilton J).</w:t>
      </w:r>
      <w:r w:rsidR="00F3486E">
        <w:t xml:space="preserve"> </w:t>
      </w:r>
    </w:p>
    <w:p w14:paraId="4008EC72" w14:textId="5BDDBF86" w:rsidR="00F2549A" w:rsidRDefault="00F2549A" w:rsidP="00F2549A">
      <w:pPr>
        <w:pStyle w:val="ParaNumbering"/>
      </w:pPr>
      <w:proofErr w:type="spellStart"/>
      <w:r>
        <w:rPr>
          <w:i/>
        </w:rPr>
        <w:t>Richardsons</w:t>
      </w:r>
      <w:proofErr w:type="spellEnd"/>
      <w:r>
        <w:t xml:space="preserve"> concerned a ship</w:t>
      </w:r>
      <w:r w:rsidR="001045F4">
        <w:t xml:space="preserve">, the </w:t>
      </w:r>
      <w:proofErr w:type="gramStart"/>
      <w:r w:rsidR="001045F4">
        <w:rPr>
          <w:i/>
        </w:rPr>
        <w:t>Nanshan</w:t>
      </w:r>
      <w:r w:rsidR="001045F4">
        <w:t>,</w:t>
      </w:r>
      <w:r>
        <w:t xml:space="preserve"> that</w:t>
      </w:r>
      <w:proofErr w:type="gramEnd"/>
      <w:r>
        <w:t xml:space="preserve"> was chartered to load oil from </w:t>
      </w:r>
      <w:proofErr w:type="spellStart"/>
      <w:r>
        <w:t>Batoum</w:t>
      </w:r>
      <w:proofErr w:type="spellEnd"/>
      <w:r>
        <w:t xml:space="preserve">. The </w:t>
      </w:r>
      <w:proofErr w:type="spellStart"/>
      <w:r w:rsidR="0075782B">
        <w:t>charterparty</w:t>
      </w:r>
      <w:proofErr w:type="spellEnd"/>
      <w:r>
        <w:t xml:space="preserve"> </w:t>
      </w:r>
      <w:proofErr w:type="gramStart"/>
      <w:r>
        <w:t>excepted</w:t>
      </w:r>
      <w:proofErr w:type="gramEnd"/>
      <w:r>
        <w:t>, among other things, “strikes lock-outs accidents to railway” and “other causes beyond the charterer’</w:t>
      </w:r>
      <w:r w:rsidR="001E45BE">
        <w:t>s</w:t>
      </w:r>
      <w:r>
        <w:t xml:space="preserve"> control”</w:t>
      </w:r>
      <w:r w:rsidR="001045F4">
        <w:t xml:space="preserve">. It </w:t>
      </w:r>
      <w:r w:rsidR="00F826CC">
        <w:t xml:space="preserve">subsequently </w:t>
      </w:r>
      <w:r w:rsidR="004F0891">
        <w:t xml:space="preserve">transpired that </w:t>
      </w:r>
      <w:r w:rsidR="001045F4">
        <w:t xml:space="preserve">oil could not be brought to </w:t>
      </w:r>
      <w:proofErr w:type="spellStart"/>
      <w:r w:rsidR="001045F4">
        <w:t>Batoum</w:t>
      </w:r>
      <w:proofErr w:type="spellEnd"/>
      <w:r w:rsidR="001045F4">
        <w:t xml:space="preserve"> due to floods, and the factory workmen were discharged. When oil was once again supplied, and the workmen brought back in smaller numbers and after some delay, other ships were loaded with oil before </w:t>
      </w:r>
      <w:proofErr w:type="spellStart"/>
      <w:r w:rsidR="001045F4">
        <w:rPr>
          <w:i/>
        </w:rPr>
        <w:t>Nanshun</w:t>
      </w:r>
      <w:proofErr w:type="spellEnd"/>
      <w:r w:rsidR="001045F4">
        <w:t xml:space="preserve">: </w:t>
      </w:r>
      <w:proofErr w:type="spellStart"/>
      <w:r w:rsidR="001045F4">
        <w:rPr>
          <w:i/>
        </w:rPr>
        <w:t>Richardsons</w:t>
      </w:r>
      <w:proofErr w:type="spellEnd"/>
      <w:r w:rsidR="001045F4">
        <w:rPr>
          <w:i/>
        </w:rPr>
        <w:t xml:space="preserve"> </w:t>
      </w:r>
      <w:r w:rsidR="001045F4">
        <w:t xml:space="preserve">at 262-4. The Divisional Court held that the plaintiffs were entitled to recover damages on the footing that the </w:t>
      </w:r>
      <w:proofErr w:type="spellStart"/>
      <w:r w:rsidR="001045F4">
        <w:rPr>
          <w:i/>
        </w:rPr>
        <w:t>Nanshun</w:t>
      </w:r>
      <w:proofErr w:type="spellEnd"/>
      <w:r w:rsidR="001045F4">
        <w:rPr>
          <w:i/>
        </w:rPr>
        <w:t xml:space="preserve"> </w:t>
      </w:r>
      <w:r w:rsidR="001045F4">
        <w:t xml:space="preserve">should have commenced to load the oil on April 17, when a sufficient quantity of oil had arrived at </w:t>
      </w:r>
      <w:proofErr w:type="spellStart"/>
      <w:r w:rsidR="001045F4">
        <w:t>Batoum</w:t>
      </w:r>
      <w:proofErr w:type="spellEnd"/>
      <w:r w:rsidR="001045F4">
        <w:t xml:space="preserve">. </w:t>
      </w:r>
      <w:r w:rsidR="0020506F">
        <w:t xml:space="preserve">On appeal </w:t>
      </w:r>
      <w:r w:rsidR="001045F4">
        <w:t>Smith</w:t>
      </w:r>
      <w:r w:rsidR="00E11860">
        <w:t xml:space="preserve"> LJ</w:t>
      </w:r>
      <w:r w:rsidR="001045F4">
        <w:t xml:space="preserve"> found that</w:t>
      </w:r>
      <w:r w:rsidR="00F826CC">
        <w:t>,</w:t>
      </w:r>
      <w:r w:rsidR="001045F4">
        <w:t xml:space="preserve"> </w:t>
      </w:r>
      <w:r w:rsidR="00F826CC">
        <w:t xml:space="preserve">contrary to the submissions of the appellant, </w:t>
      </w:r>
      <w:r w:rsidR="001045F4">
        <w:t xml:space="preserve">the clause in the </w:t>
      </w:r>
      <w:proofErr w:type="spellStart"/>
      <w:r w:rsidR="001045F4">
        <w:t>charterparty</w:t>
      </w:r>
      <w:proofErr w:type="spellEnd"/>
      <w:r w:rsidR="001045F4">
        <w:t xml:space="preserve"> could not be “intended to cover all acts of the agent which he has carried out for his own purposes”: at 266. His </w:t>
      </w:r>
      <w:r w:rsidR="00E11860">
        <w:t xml:space="preserve">Lordship </w:t>
      </w:r>
      <w:r w:rsidR="001045F4">
        <w:t xml:space="preserve">noted that “there must be some limitation put upon these words, otherwise the words that precede would be mere </w:t>
      </w:r>
      <w:proofErr w:type="spellStart"/>
      <w:r w:rsidR="001045F4">
        <w:t>surplasage</w:t>
      </w:r>
      <w:proofErr w:type="spellEnd"/>
      <w:r w:rsidR="001045F4">
        <w:t xml:space="preserve">”: at 266. </w:t>
      </w:r>
      <w:r w:rsidR="0020506F">
        <w:t>His Lordship</w:t>
      </w:r>
      <w:r w:rsidR="001045F4">
        <w:t xml:space="preserve"> found that the clause must be read as “covering exceptions </w:t>
      </w:r>
      <w:proofErr w:type="spellStart"/>
      <w:r w:rsidR="001045F4" w:rsidRPr="0075782B">
        <w:rPr>
          <w:i/>
        </w:rPr>
        <w:t>ejusdem</w:t>
      </w:r>
      <w:proofErr w:type="spellEnd"/>
      <w:r w:rsidR="001045F4" w:rsidRPr="0075782B">
        <w:rPr>
          <w:i/>
        </w:rPr>
        <w:t xml:space="preserve"> generis</w:t>
      </w:r>
      <w:r w:rsidR="001045F4">
        <w:t xml:space="preserve"> with those that precede it—that is, matter</w:t>
      </w:r>
      <w:r w:rsidR="00F826CC">
        <w:t>s</w:t>
      </w:r>
      <w:r w:rsidR="001045F4">
        <w:t xml:space="preserve"> that deal with the impossibility of getting the oil to the port and into the ship” an</w:t>
      </w:r>
      <w:r w:rsidR="00FE2A6A">
        <w:t xml:space="preserve">d dismissed the appeal: at 267( </w:t>
      </w:r>
      <w:r w:rsidR="001045F4">
        <w:t>Rigby and Collins LJJ agreeing at 267-8</w:t>
      </w:r>
      <w:r w:rsidR="00FE2A6A">
        <w:t>)</w:t>
      </w:r>
      <w:r w:rsidR="001045F4">
        <w:t>.</w:t>
      </w:r>
    </w:p>
    <w:p w14:paraId="6A5A1B2F" w14:textId="0FEF4387" w:rsidR="001045F4" w:rsidRDefault="00F826CC" w:rsidP="00F2549A">
      <w:pPr>
        <w:pStyle w:val="ParaNumbering"/>
      </w:pPr>
      <w:r w:rsidRPr="0075782B">
        <w:t>The decision of the Court of Appeal in</w:t>
      </w:r>
      <w:r>
        <w:rPr>
          <w:i/>
        </w:rPr>
        <w:t xml:space="preserve"> </w:t>
      </w:r>
      <w:proofErr w:type="spellStart"/>
      <w:r w:rsidR="001045F4">
        <w:rPr>
          <w:i/>
        </w:rPr>
        <w:t>Richardsons</w:t>
      </w:r>
      <w:proofErr w:type="spellEnd"/>
      <w:r w:rsidR="001045F4">
        <w:rPr>
          <w:i/>
        </w:rPr>
        <w:t xml:space="preserve"> </w:t>
      </w:r>
      <w:r w:rsidR="001045F4">
        <w:t xml:space="preserve">was followed in </w:t>
      </w:r>
      <w:proofErr w:type="spellStart"/>
      <w:r w:rsidR="001045F4">
        <w:rPr>
          <w:i/>
        </w:rPr>
        <w:t>Thorman</w:t>
      </w:r>
      <w:proofErr w:type="spellEnd"/>
      <w:r w:rsidR="001045F4">
        <w:t xml:space="preserve">, in which the ship </w:t>
      </w:r>
      <w:r w:rsidR="001045F4">
        <w:rPr>
          <w:i/>
        </w:rPr>
        <w:t xml:space="preserve">Aldgate </w:t>
      </w:r>
      <w:r w:rsidR="001045F4">
        <w:t xml:space="preserve">was charted to load a cargo of coal at Hull </w:t>
      </w:r>
      <w:r w:rsidR="00117A63">
        <w:t>with</w:t>
      </w:r>
      <w:r w:rsidR="001045F4">
        <w:t>in 120 hours on conditions of usual colliery guarantee</w:t>
      </w:r>
      <w:r w:rsidR="000F1450">
        <w:t xml:space="preserve">, including lock-outs and delay on the part of the railway company supplying the coal, or </w:t>
      </w:r>
      <w:r>
        <w:t>“</w:t>
      </w:r>
      <w:r w:rsidR="000F1450">
        <w:t>any other cause beyond the charterer</w:t>
      </w:r>
      <w:r w:rsidR="00FE2A6A">
        <w:t>’</w:t>
      </w:r>
      <w:r w:rsidR="000F1450">
        <w:t>s control</w:t>
      </w:r>
      <w:r>
        <w:t>”</w:t>
      </w:r>
      <w:r w:rsidR="000F1450">
        <w:t>.</w:t>
      </w:r>
      <w:r w:rsidR="002D77D7">
        <w:t xml:space="preserve"> The</w:t>
      </w:r>
      <w:r w:rsidR="000F1450">
        <w:t xml:space="preserve"> </w:t>
      </w:r>
      <w:r w:rsidR="000F1450">
        <w:rPr>
          <w:i/>
        </w:rPr>
        <w:t xml:space="preserve">Aldgate </w:t>
      </w:r>
      <w:r w:rsidR="000F1450">
        <w:t xml:space="preserve">arrived and gave notice of readiness to load on 23 July, but was not loaded until 1 August due to other ships arriving </w:t>
      </w:r>
      <w:r>
        <w:t>before</w:t>
      </w:r>
      <w:r w:rsidR="002D77D7">
        <w:t xml:space="preserve"> her</w:t>
      </w:r>
      <w:r w:rsidR="000F1450">
        <w:t xml:space="preserve">. Justice Hamilton stated that the </w:t>
      </w:r>
      <w:proofErr w:type="spellStart"/>
      <w:r w:rsidR="000F1450">
        <w:rPr>
          <w:i/>
        </w:rPr>
        <w:t>ejusdem</w:t>
      </w:r>
      <w:proofErr w:type="spellEnd"/>
      <w:r w:rsidR="000F1450">
        <w:rPr>
          <w:i/>
        </w:rPr>
        <w:t xml:space="preserve"> generis </w:t>
      </w:r>
      <w:r w:rsidR="000F1450">
        <w:t xml:space="preserve">rule is a canon of construction only, and the object is to find the intention of the parties: </w:t>
      </w:r>
      <w:proofErr w:type="spellStart"/>
      <w:r w:rsidR="000F1450">
        <w:rPr>
          <w:i/>
        </w:rPr>
        <w:t>Thorman</w:t>
      </w:r>
      <w:proofErr w:type="spellEnd"/>
      <w:r w:rsidR="000F1450">
        <w:rPr>
          <w:i/>
        </w:rPr>
        <w:t xml:space="preserve"> </w:t>
      </w:r>
      <w:r w:rsidR="000F1450">
        <w:t xml:space="preserve">at 416. His Honour found that the cause of the delay (loading the other ships first) was not a matter of </w:t>
      </w:r>
      <w:proofErr w:type="spellStart"/>
      <w:r w:rsidR="000F1450">
        <w:rPr>
          <w:i/>
        </w:rPr>
        <w:t>ejusdem</w:t>
      </w:r>
      <w:proofErr w:type="spellEnd"/>
      <w:r w:rsidR="000F1450">
        <w:rPr>
          <w:i/>
        </w:rPr>
        <w:t xml:space="preserve"> generis </w:t>
      </w:r>
      <w:r w:rsidR="000F1450">
        <w:t>within the antecedent exceptions and that the charterer was therefore liable for demurrage: at 423-4.</w:t>
      </w:r>
      <w:r w:rsidR="006E004B">
        <w:t xml:space="preserve"> </w:t>
      </w:r>
    </w:p>
    <w:p w14:paraId="1C2442EC" w14:textId="7252247C" w:rsidR="0038616E" w:rsidRDefault="000C2050" w:rsidP="00FC449C">
      <w:pPr>
        <w:pStyle w:val="ParaNumbering"/>
      </w:pPr>
      <w:r>
        <w:t xml:space="preserve">To construe “any other reason” as effectively </w:t>
      </w:r>
      <w:r w:rsidR="003551E4">
        <w:t>“</w:t>
      </w:r>
      <w:r>
        <w:t>at large</w:t>
      </w:r>
      <w:r w:rsidR="003551E4">
        <w:t>”</w:t>
      </w:r>
      <w:r>
        <w:t xml:space="preserve"> would on the objective theory of contract impute to the parties an intention that cl</w:t>
      </w:r>
      <w:r w:rsidR="006360F0">
        <w:t>ause</w:t>
      </w:r>
      <w:r>
        <w:t xml:space="preserve"> P</w:t>
      </w:r>
      <w:r w:rsidR="006360F0">
        <w:t>5</w:t>
      </w:r>
      <w:r>
        <w:t xml:space="preserve"> would </w:t>
      </w:r>
      <w:r w:rsidR="0043700B">
        <w:t>require a mortgagor to pay, and on an indemnity basis,</w:t>
      </w:r>
      <w:r>
        <w:t xml:space="preserve"> costs incurred by a mortgagee in </w:t>
      </w:r>
      <w:r w:rsidR="00695730">
        <w:t xml:space="preserve">seeking to </w:t>
      </w:r>
      <w:r>
        <w:t>resist</w:t>
      </w:r>
      <w:r w:rsidR="0075782B">
        <w:t xml:space="preserve"> </w:t>
      </w:r>
      <w:r w:rsidR="00695730">
        <w:t>any</w:t>
      </w:r>
      <w:r>
        <w:t xml:space="preserve"> claim by </w:t>
      </w:r>
      <w:r w:rsidR="0043700B">
        <w:t>the</w:t>
      </w:r>
      <w:r>
        <w:t xml:space="preserve"> mortgagor that a mortgage was void or voidable</w:t>
      </w:r>
      <w:r w:rsidR="00695730">
        <w:t>, independently of an Insolvency Provision, as defined, or a reason of a similar character</w:t>
      </w:r>
      <w:r w:rsidR="0043700B">
        <w:t>.</w:t>
      </w:r>
      <w:r w:rsidR="006E004B">
        <w:t xml:space="preserve"> </w:t>
      </w:r>
    </w:p>
    <w:p w14:paraId="4A6CB65D" w14:textId="7AADAA1A" w:rsidR="0038616E" w:rsidRDefault="0038616E" w:rsidP="00FC449C">
      <w:pPr>
        <w:pStyle w:val="ParaNumbering"/>
      </w:pPr>
      <w:r>
        <w:t xml:space="preserve">In </w:t>
      </w:r>
      <w:r w:rsidR="00695730">
        <w:t xml:space="preserve">the absence of clear and </w:t>
      </w:r>
      <w:r>
        <w:t>unambiguous</w:t>
      </w:r>
      <w:r w:rsidR="00695730">
        <w:t xml:space="preserve"> language from which such an objective intention of the parties could be identified, </w:t>
      </w:r>
      <w:r>
        <w:t xml:space="preserve">both the </w:t>
      </w:r>
      <w:proofErr w:type="spellStart"/>
      <w:r w:rsidRPr="0075782B">
        <w:rPr>
          <w:i/>
        </w:rPr>
        <w:t>ejusdem</w:t>
      </w:r>
      <w:proofErr w:type="spellEnd"/>
      <w:r w:rsidRPr="0075782B">
        <w:rPr>
          <w:i/>
        </w:rPr>
        <w:t xml:space="preserve"> generis</w:t>
      </w:r>
      <w:r>
        <w:t xml:space="preserve"> and </w:t>
      </w:r>
      <w:r w:rsidR="00695730">
        <w:t xml:space="preserve">the </w:t>
      </w:r>
      <w:r w:rsidR="00695730" w:rsidRPr="0075782B">
        <w:rPr>
          <w:i/>
        </w:rPr>
        <w:t xml:space="preserve">contra </w:t>
      </w:r>
      <w:proofErr w:type="spellStart"/>
      <w:r w:rsidR="00695730" w:rsidRPr="0075782B">
        <w:rPr>
          <w:i/>
        </w:rPr>
        <w:t>proferent</w:t>
      </w:r>
      <w:r w:rsidR="0075782B">
        <w:rPr>
          <w:i/>
        </w:rPr>
        <w:t>e</w:t>
      </w:r>
      <w:r w:rsidR="00695730" w:rsidRPr="0075782B">
        <w:rPr>
          <w:i/>
        </w:rPr>
        <w:t>m</w:t>
      </w:r>
      <w:proofErr w:type="spellEnd"/>
      <w:r w:rsidR="00695730">
        <w:t xml:space="preserve"> rule would preclude such a construction. </w:t>
      </w:r>
      <w:r>
        <w:t xml:space="preserve">The reference in Clause </w:t>
      </w:r>
      <w:proofErr w:type="gramStart"/>
      <w:r>
        <w:t>P5(</w:t>
      </w:r>
      <w:proofErr w:type="gramEnd"/>
      <w:r>
        <w:t xml:space="preserve">a)(iii) to “any other reason” must be construed in the context of the matters falling within the definition of “Insolvency Provision”. </w:t>
      </w:r>
    </w:p>
    <w:p w14:paraId="071E9F9A" w14:textId="3DAF77D9" w:rsidR="000C2050" w:rsidRDefault="0038616E" w:rsidP="00FC449C">
      <w:pPr>
        <w:pStyle w:val="ParaNumbering"/>
      </w:pPr>
      <w:r>
        <w:t xml:space="preserve">Clause </w:t>
      </w:r>
      <w:proofErr w:type="gramStart"/>
      <w:r>
        <w:t>P5(</w:t>
      </w:r>
      <w:proofErr w:type="gramEnd"/>
      <w:r>
        <w:t xml:space="preserve">a)(iii) does not provide a basis for Rabobank to seek the payment of its costs of the proceedings on an indemnity basis. </w:t>
      </w:r>
    </w:p>
    <w:p w14:paraId="35AF15B0" w14:textId="79CE5017" w:rsidR="00F51C63" w:rsidRDefault="00F51C63" w:rsidP="0075782B">
      <w:pPr>
        <w:pStyle w:val="Heading2"/>
      </w:pPr>
      <w:r>
        <w:t xml:space="preserve">Potential application of indemnity in clause </w:t>
      </w:r>
      <w:proofErr w:type="gramStart"/>
      <w:r>
        <w:t>P</w:t>
      </w:r>
      <w:r w:rsidR="006360F0">
        <w:t>5</w:t>
      </w:r>
      <w:r w:rsidR="0075782B">
        <w:t>(</w:t>
      </w:r>
      <w:proofErr w:type="gramEnd"/>
      <w:r w:rsidR="0075782B">
        <w:t>a)</w:t>
      </w:r>
      <w:r>
        <w:t>(</w:t>
      </w:r>
      <w:r w:rsidR="006B33FA">
        <w:t>vi</w:t>
      </w:r>
      <w:r>
        <w:t>)</w:t>
      </w:r>
    </w:p>
    <w:p w14:paraId="36374335" w14:textId="2D3A5D12" w:rsidR="006360F0" w:rsidRDefault="006360F0" w:rsidP="00FC449C">
      <w:pPr>
        <w:pStyle w:val="ParaNumbering"/>
      </w:pPr>
      <w:r>
        <w:t xml:space="preserve">Clause </w:t>
      </w:r>
      <w:proofErr w:type="gramStart"/>
      <w:r>
        <w:t>P5</w:t>
      </w:r>
      <w:r w:rsidR="00381FE3">
        <w:t>(</w:t>
      </w:r>
      <w:proofErr w:type="gramEnd"/>
      <w:r w:rsidR="00381FE3">
        <w:t>a)</w:t>
      </w:r>
      <w:r>
        <w:t xml:space="preserve">(vi) </w:t>
      </w:r>
      <w:r w:rsidR="00FD0930">
        <w:t xml:space="preserve">of the Standard Credit Terms </w:t>
      </w:r>
      <w:r>
        <w:t>is relevantly directed at “any agreement” that Rabobank enter</w:t>
      </w:r>
      <w:r w:rsidR="00B97783">
        <w:t>ed</w:t>
      </w:r>
      <w:r>
        <w:t xml:space="preserve"> into “in connection with” the Stuarts’ facility. </w:t>
      </w:r>
      <w:r w:rsidR="00DB61E2">
        <w:t xml:space="preserve">In </w:t>
      </w:r>
      <w:r w:rsidR="00DB61E2" w:rsidRPr="0075782B">
        <w:rPr>
          <w:i/>
        </w:rPr>
        <w:t>Leda Holdings</w:t>
      </w:r>
      <w:r w:rsidR="00DB61E2">
        <w:t xml:space="preserve">, </w:t>
      </w:r>
      <w:r w:rsidR="00273D30">
        <w:t xml:space="preserve">the cost indemnity included costs in relation to “Transaction Documents” and </w:t>
      </w:r>
      <w:r w:rsidR="00DB61E2">
        <w:t>clause</w:t>
      </w:r>
      <w:r w:rsidR="00273D30">
        <w:t xml:space="preserve"> 1.1 of the schedule to the lease provided that the term extended to</w:t>
      </w:r>
      <w:r w:rsidR="00DB61E2">
        <w:t xml:space="preserve"> </w:t>
      </w:r>
      <w:r w:rsidR="00273D30">
        <w:t>“</w:t>
      </w:r>
      <w:r w:rsidR="00273D30" w:rsidRPr="00424BD3">
        <w:t>any other instrument connected w</w:t>
      </w:r>
      <w:r w:rsidR="00273D30" w:rsidRPr="00BA3A1F">
        <w:t>ith any of them</w:t>
      </w:r>
      <w:r w:rsidR="00273D30">
        <w:t>”.</w:t>
      </w:r>
    </w:p>
    <w:p w14:paraId="6D762F8B" w14:textId="1AC2CECF" w:rsidR="006360F0" w:rsidRDefault="006360F0" w:rsidP="00FC449C">
      <w:pPr>
        <w:pStyle w:val="ParaNumbering"/>
      </w:pPr>
      <w:r>
        <w:t xml:space="preserve">Unlike the positon in </w:t>
      </w:r>
      <w:r w:rsidRPr="0075782B">
        <w:rPr>
          <w:i/>
        </w:rPr>
        <w:t>Leda Holdings</w:t>
      </w:r>
      <w:r>
        <w:t xml:space="preserve">, clause </w:t>
      </w:r>
      <w:proofErr w:type="gramStart"/>
      <w:r>
        <w:t>P5</w:t>
      </w:r>
      <w:r w:rsidR="00381FE3">
        <w:t>(</w:t>
      </w:r>
      <w:proofErr w:type="gramEnd"/>
      <w:r w:rsidR="00381FE3">
        <w:t>a)</w:t>
      </w:r>
      <w:r>
        <w:t>(vi) is concerned with “entering into” an agreement rather than the “exercise of rights” in relation to an agreement.</w:t>
      </w:r>
      <w:r w:rsidR="00381FE3">
        <w:t xml:space="preserve"> I do not consider, however, that in substance there is any meaningful difference between the two expressions. Costs incurred in exercising rights </w:t>
      </w:r>
      <w:r w:rsidR="00381FE3" w:rsidRPr="0075782B">
        <w:rPr>
          <w:i/>
        </w:rPr>
        <w:t>under</w:t>
      </w:r>
      <w:r w:rsidR="00381FE3">
        <w:t xml:space="preserve"> an agreement would appear to be readily capable of being characterised as costs arising </w:t>
      </w:r>
      <w:r w:rsidR="00381FE3" w:rsidRPr="0075782B">
        <w:rPr>
          <w:i/>
        </w:rPr>
        <w:t>from</w:t>
      </w:r>
      <w:r w:rsidR="00381FE3">
        <w:t xml:space="preserve"> entering into an agreement.</w:t>
      </w:r>
      <w:r w:rsidR="00273D30">
        <w:t xml:space="preserve"> In both cases there must be an extant agreement.</w:t>
      </w:r>
    </w:p>
    <w:p w14:paraId="390A9D6D" w14:textId="60BA77C9" w:rsidR="00381FE3" w:rsidRDefault="00381FE3" w:rsidP="00381FE3">
      <w:pPr>
        <w:pStyle w:val="ParaNumbering"/>
      </w:pPr>
      <w:r>
        <w:t>Rabobank seeks to support its claim for indemnity costs by submitting that the Deed of Forbearance</w:t>
      </w:r>
      <w:r w:rsidRPr="00381FE3">
        <w:t xml:space="preserve"> </w:t>
      </w:r>
      <w:r>
        <w:t xml:space="preserve">is an agreement that falls within clause </w:t>
      </w:r>
      <w:proofErr w:type="gramStart"/>
      <w:r>
        <w:t>P5(</w:t>
      </w:r>
      <w:proofErr w:type="gramEnd"/>
      <w:r>
        <w:t xml:space="preserve">a)(vi). </w:t>
      </w:r>
    </w:p>
    <w:p w14:paraId="6C92556D" w14:textId="33235030" w:rsidR="00B97783" w:rsidRDefault="00B97783" w:rsidP="00381FE3">
      <w:pPr>
        <w:pStyle w:val="ParaNumbering"/>
      </w:pPr>
      <w:r>
        <w:t xml:space="preserve">I accept that the Deed of Forbearance would constitute an agreement “in connection” with the Stuarts’ Facility. The more relevant question, however, is whether </w:t>
      </w:r>
      <w:proofErr w:type="spellStart"/>
      <w:r>
        <w:t>Rabobank’s</w:t>
      </w:r>
      <w:proofErr w:type="spellEnd"/>
      <w:r>
        <w:t xml:space="preserve"> costs that it has incurred in the proceedings arose directly or indirectly from it enteri</w:t>
      </w:r>
      <w:r w:rsidR="006E004B">
        <w:t>ng into the Deed of Forbearance.</w:t>
      </w:r>
    </w:p>
    <w:p w14:paraId="4D2A05C5" w14:textId="7703D9E9" w:rsidR="00381FE3" w:rsidRDefault="00B97783" w:rsidP="00FC449C">
      <w:pPr>
        <w:pStyle w:val="ParaNumbering"/>
      </w:pPr>
      <w:r>
        <w:t>Rabobank sought to rely on the release in the Deed of Forbearance as an answer to the claims advanced by the Stuarts in the proceedings. As explained above, the Stuarts sought to challenge the release</w:t>
      </w:r>
      <w:r w:rsidR="00ED6B10">
        <w:t>s on the basis that</w:t>
      </w:r>
      <w:r w:rsidR="00802C6B">
        <w:t>:</w:t>
      </w:r>
      <w:r w:rsidR="00ED6B10">
        <w:t xml:space="preserve"> the Deed of Forbearance w</w:t>
      </w:r>
      <w:r>
        <w:t>as</w:t>
      </w:r>
      <w:r w:rsidRPr="00F4404C">
        <w:t xml:space="preserve"> invalid and unenforceable as a result of </w:t>
      </w:r>
      <w:proofErr w:type="spellStart"/>
      <w:r w:rsidRPr="00F4404C">
        <w:t>Rabobank’s</w:t>
      </w:r>
      <w:proofErr w:type="spellEnd"/>
      <w:r w:rsidRPr="00F4404C">
        <w:t xml:space="preserve"> alleged financial misconduct; was rendered void by Rabobank making unauthorised alterations; was not entered into pursuant to an authorised dispute resolution scheme; and was an unjust transaction within the meaning of s 76 of the National Credit Code</w:t>
      </w:r>
      <w:r w:rsidR="00ED6B10">
        <w:t>.</w:t>
      </w:r>
    </w:p>
    <w:p w14:paraId="2007999C" w14:textId="745E8366" w:rsidR="00ED6B10" w:rsidRDefault="00ED6B10" w:rsidP="00FC449C">
      <w:pPr>
        <w:pStyle w:val="ParaNumbering"/>
      </w:pPr>
      <w:r>
        <w:t>In substance, the proceedings were concerned with disentitling conduct that preceded entry into the Deed of Forbearance rather than costs incurred by Rabobank following entry into the deed.</w:t>
      </w:r>
      <w:r w:rsidR="00D22B30">
        <w:t xml:space="preserve"> </w:t>
      </w:r>
      <w:r>
        <w:t xml:space="preserve">I consider the approach and reasoning </w:t>
      </w:r>
      <w:r w:rsidR="00273D30">
        <w:t xml:space="preserve">outlined above </w:t>
      </w:r>
      <w:r>
        <w:t xml:space="preserve">in </w:t>
      </w:r>
      <w:proofErr w:type="spellStart"/>
      <w:r w:rsidR="00DB1F29" w:rsidRPr="0075782B">
        <w:rPr>
          <w:i/>
        </w:rPr>
        <w:t>Quadrascan</w:t>
      </w:r>
      <w:proofErr w:type="spellEnd"/>
      <w:r w:rsidR="00DB1F29">
        <w:t xml:space="preserve"> and </w:t>
      </w:r>
      <w:r w:rsidRPr="0075782B">
        <w:rPr>
          <w:i/>
        </w:rPr>
        <w:t>Leda Holdings</w:t>
      </w:r>
      <w:r>
        <w:t xml:space="preserve"> </w:t>
      </w:r>
      <w:r w:rsidR="00DB1F29">
        <w:t xml:space="preserve">is equally applicable to the </w:t>
      </w:r>
      <w:r w:rsidR="00D22B30">
        <w:t xml:space="preserve">attempt by Rabobank to seek indemnity costs by relying on its entry into the Deed of Forbearance and clause </w:t>
      </w:r>
      <w:proofErr w:type="gramStart"/>
      <w:r w:rsidR="00D22B30">
        <w:t>P5(</w:t>
      </w:r>
      <w:proofErr w:type="gramEnd"/>
      <w:r w:rsidR="00D22B30">
        <w:t>a)(vi).</w:t>
      </w:r>
      <w:r w:rsidR="006E004B">
        <w:t xml:space="preserve"> </w:t>
      </w:r>
    </w:p>
    <w:p w14:paraId="48F20197" w14:textId="37B5013F" w:rsidR="00CC3A10" w:rsidRDefault="006360F0" w:rsidP="00FC449C">
      <w:pPr>
        <w:pStyle w:val="ParaNumbering"/>
      </w:pPr>
      <w:proofErr w:type="spellStart"/>
      <w:r>
        <w:t>Rabobank</w:t>
      </w:r>
      <w:r w:rsidR="0036638A">
        <w:t>’s</w:t>
      </w:r>
      <w:proofErr w:type="spellEnd"/>
      <w:r>
        <w:t xml:space="preserve"> </w:t>
      </w:r>
      <w:r w:rsidR="00273D30">
        <w:t>reliance</w:t>
      </w:r>
      <w:r>
        <w:t xml:space="preserve"> on clause </w:t>
      </w:r>
      <w:proofErr w:type="gramStart"/>
      <w:r>
        <w:t>P</w:t>
      </w:r>
      <w:r w:rsidR="007F0385">
        <w:t>5(</w:t>
      </w:r>
      <w:proofErr w:type="gramEnd"/>
      <w:r w:rsidR="007F0385">
        <w:t>a)</w:t>
      </w:r>
      <w:r>
        <w:t>(vi)</w:t>
      </w:r>
      <w:r w:rsidR="00273D30">
        <w:t xml:space="preserve"> is misplaced. It cannot support its claim for indemnity costs.</w:t>
      </w:r>
    </w:p>
    <w:p w14:paraId="0CB31338" w14:textId="6C63574C" w:rsidR="00D22B30" w:rsidRDefault="00DC5045" w:rsidP="0075782B">
      <w:pPr>
        <w:pStyle w:val="Heading2"/>
      </w:pPr>
      <w:r>
        <w:t>Costs of the cross-</w:t>
      </w:r>
      <w:r w:rsidR="00D22B30">
        <w:t>claim</w:t>
      </w:r>
    </w:p>
    <w:p w14:paraId="3D16FB8A" w14:textId="3D2BA096" w:rsidR="00421260" w:rsidRDefault="00421260" w:rsidP="006B33FA">
      <w:pPr>
        <w:pStyle w:val="ParaNumbering"/>
      </w:pPr>
      <w:r>
        <w:t>I turn now to consider the costs incurred by Raboba</w:t>
      </w:r>
      <w:r w:rsidR="00DC5045">
        <w:t>nk in connection with the cross-</w:t>
      </w:r>
      <w:r>
        <w:t>claim.</w:t>
      </w:r>
    </w:p>
    <w:p w14:paraId="248AFAFF" w14:textId="6C68AF10" w:rsidR="006B33FA" w:rsidRDefault="00D22B30" w:rsidP="006B33FA">
      <w:pPr>
        <w:pStyle w:val="ParaNumbering"/>
      </w:pPr>
      <w:r>
        <w:t>T</w:t>
      </w:r>
      <w:r w:rsidR="006B33FA">
        <w:t xml:space="preserve">he proceedings were </w:t>
      </w:r>
      <w:r w:rsidR="00421260">
        <w:t>principally</w:t>
      </w:r>
      <w:r w:rsidR="006B33FA">
        <w:t xml:space="preserve"> concerned with the claims advanced by the Stuarts. As acknowledged by Rabobank in its written closing submissions, at the “heart of the Stuarts’ defence to the cross claim” were the issues that they raised in the application and statement of claim. The </w:t>
      </w:r>
      <w:r>
        <w:t xml:space="preserve">principal </w:t>
      </w:r>
      <w:r w:rsidR="006B33FA">
        <w:t>evidence in suppo</w:t>
      </w:r>
      <w:r w:rsidR="00DC5045">
        <w:t>rt of the cross-</w:t>
      </w:r>
      <w:r w:rsidR="006B33FA">
        <w:t xml:space="preserve">claim was </w:t>
      </w:r>
      <w:r>
        <w:t>the</w:t>
      </w:r>
      <w:r w:rsidR="006B33FA">
        <w:t xml:space="preserve"> statement of indebtedness</w:t>
      </w:r>
      <w:r>
        <w:t>, the only potential challenge being whether the senior officer who had signed the statement was a “manager”</w:t>
      </w:r>
      <w:r w:rsidR="00FE2A6A">
        <w:t>,</w:t>
      </w:r>
      <w:r>
        <w:t xml:space="preserve"> which was addressed by the tender of a revised statement of indebtedness from an officer of Rabobank with the formal title of manger.</w:t>
      </w:r>
      <w:r w:rsidR="006B33FA">
        <w:t xml:space="preserve"> </w:t>
      </w:r>
      <w:r>
        <w:t>N</w:t>
      </w:r>
      <w:r w:rsidR="006B33FA">
        <w:t xml:space="preserve">o substantive attention was devoted to the </w:t>
      </w:r>
      <w:r>
        <w:t xml:space="preserve">alleged </w:t>
      </w:r>
      <w:r w:rsidR="006B33FA">
        <w:t xml:space="preserve">misleading conduct on the part of the Stuarts </w:t>
      </w:r>
      <w:r w:rsidR="00DC5045">
        <w:t>pleaded in the cross-</w:t>
      </w:r>
      <w:r>
        <w:t xml:space="preserve">claim </w:t>
      </w:r>
      <w:r w:rsidR="006B33FA">
        <w:t xml:space="preserve">and the only </w:t>
      </w:r>
      <w:r w:rsidR="00DC5045">
        <w:t>other issue raised in the cross-</w:t>
      </w:r>
      <w:r w:rsidR="006B33FA">
        <w:t xml:space="preserve">claim, independently of the matters raised in the </w:t>
      </w:r>
      <w:r w:rsidR="00FE2A6A">
        <w:t>Second Further Amended Statement of Claim</w:t>
      </w:r>
      <w:r w:rsidR="0036638A">
        <w:t>,</w:t>
      </w:r>
      <w:r w:rsidR="006B33FA">
        <w:t xml:space="preserve"> was the contractual claim for indemnity, relevantly now limited to the costs of the proceedings.</w:t>
      </w:r>
      <w:r w:rsidR="006E004B">
        <w:t xml:space="preserve"> </w:t>
      </w:r>
    </w:p>
    <w:p w14:paraId="2B7B6979" w14:textId="42E20BB7" w:rsidR="00DA46C2" w:rsidRDefault="00421260" w:rsidP="00FC449C">
      <w:pPr>
        <w:pStyle w:val="ParaNumbering"/>
      </w:pPr>
      <w:r>
        <w:t>I accept that in the ordinary course</w:t>
      </w:r>
      <w:r w:rsidR="00DA46C2">
        <w:t xml:space="preserve"> and consistently with the approach taken by Burchett J in </w:t>
      </w:r>
      <w:r w:rsidR="00DA46C2" w:rsidRPr="0075782B">
        <w:rPr>
          <w:i/>
        </w:rPr>
        <w:t>Leda Holdings</w:t>
      </w:r>
      <w:r w:rsidR="00DA46C2">
        <w:t xml:space="preserve"> at [27] with respect to provisions in a lease, the Court </w:t>
      </w:r>
      <w:r>
        <w:t>would give effect to a plainly</w:t>
      </w:r>
      <w:r w:rsidR="00FE2A6A">
        <w:t xml:space="preserve"> </w:t>
      </w:r>
      <w:r>
        <w:t>and unambiguously expressed contractual provision in mortgage documentation providing for the payment of indemnity costs</w:t>
      </w:r>
      <w:r w:rsidR="00DA46C2">
        <w:t>,</w:t>
      </w:r>
      <w:r>
        <w:t xml:space="preserve"> but this is not such a case. Here</w:t>
      </w:r>
      <w:r w:rsidR="0036638A">
        <w:t>,</w:t>
      </w:r>
      <w:r>
        <w:t xml:space="preserve"> given the extent of the interrelationship between the claims advanced by the Stuarts and their defence to the </w:t>
      </w:r>
      <w:r w:rsidR="00FE2A6A">
        <w:t>cross-</w:t>
      </w:r>
      <w:r>
        <w:t>claim</w:t>
      </w:r>
      <w:r w:rsidR="00FE2A6A">
        <w:t>,</w:t>
      </w:r>
      <w:r>
        <w:t xml:space="preserve"> an order that the Stuarts pay </w:t>
      </w:r>
      <w:proofErr w:type="spellStart"/>
      <w:r>
        <w:t>Rabobank’s</w:t>
      </w:r>
      <w:proofErr w:type="spellEnd"/>
      <w:r>
        <w:t xml:space="preserve"> </w:t>
      </w:r>
      <w:r w:rsidR="00DC5045">
        <w:t>costs with respect to the cross-</w:t>
      </w:r>
      <w:r>
        <w:t>claim would</w:t>
      </w:r>
      <w:r w:rsidR="00427F53">
        <w:t xml:space="preserve"> be inherently problematic. Any attempt to isolate anything other than relatively insignificant costs i</w:t>
      </w:r>
      <w:r w:rsidR="00DC5045">
        <w:t>ncurred in respect of the cross-</w:t>
      </w:r>
      <w:r w:rsidR="00427F53">
        <w:t xml:space="preserve">claim would be artificial and fail to do justice between the parties. The reality </w:t>
      </w:r>
      <w:r w:rsidR="00187A06">
        <w:t>is</w:t>
      </w:r>
      <w:r w:rsidR="00FC2608">
        <w:t>,</w:t>
      </w:r>
      <w:r w:rsidR="00187A06">
        <w:t xml:space="preserve"> </w:t>
      </w:r>
      <w:r w:rsidR="00427F53">
        <w:t>these proceedings were concerned with the substantive claims raised by the Stuarts. If the Stuarts failed to establish those claims then it would necessarily follow that Rabo</w:t>
      </w:r>
      <w:r w:rsidR="00DC5045">
        <w:t>bank would succeed on its cross-</w:t>
      </w:r>
      <w:r w:rsidR="00427F53">
        <w:t xml:space="preserve">claim. </w:t>
      </w:r>
    </w:p>
    <w:p w14:paraId="1FE2A40F" w14:textId="186C0742" w:rsidR="00DA46C2" w:rsidRDefault="00DA46C2" w:rsidP="0075782B">
      <w:pPr>
        <w:pStyle w:val="Heading2"/>
      </w:pPr>
      <w:r>
        <w:t>Stuarts’ foreshadowed late discovery indemnity costs claim</w:t>
      </w:r>
    </w:p>
    <w:p w14:paraId="4C133EF7" w14:textId="354DCD6C" w:rsidR="006B33FA" w:rsidRDefault="00DA46C2" w:rsidP="00FC449C">
      <w:pPr>
        <w:pStyle w:val="ParaNumbering"/>
      </w:pPr>
      <w:r>
        <w:t xml:space="preserve">The Stuarts have not advanced any submissions in support of their foreshadowed application for indemnity costs in respect of the alleged late discovery of material documents. The Stuarts were expressly given an opportunity to advance the claim but chose not to </w:t>
      </w:r>
      <w:r w:rsidR="00695730">
        <w:t>make any submissions on costs.</w:t>
      </w:r>
    </w:p>
    <w:p w14:paraId="63CB1409" w14:textId="64D5D116" w:rsidR="00DA46C2" w:rsidRDefault="00DA46C2" w:rsidP="0075782B">
      <w:pPr>
        <w:pStyle w:val="Heading1"/>
      </w:pPr>
      <w:r>
        <w:t>Disposition</w:t>
      </w:r>
    </w:p>
    <w:p w14:paraId="79C33658" w14:textId="1EC0286D" w:rsidR="00DA46C2" w:rsidRDefault="00DA46C2" w:rsidP="00FC449C">
      <w:pPr>
        <w:pStyle w:val="ParaNumbering"/>
      </w:pPr>
      <w:r>
        <w:t xml:space="preserve">Rabobank has been successful on all issues </w:t>
      </w:r>
      <w:r w:rsidR="00695730">
        <w:t xml:space="preserve">in the proceedings </w:t>
      </w:r>
      <w:r>
        <w:t xml:space="preserve">and is entitled to an order that the Stuarts pay its costs of the proceedings but for the reasons outlined above, not on an indemnity basis. </w:t>
      </w:r>
    </w:p>
    <w:p w14:paraId="2741279D" w14:textId="77777777" w:rsidR="0077074B" w:rsidRDefault="0077074B" w:rsidP="00815065">
      <w:pPr>
        <w:pStyle w:val="BodyText"/>
      </w:pPr>
      <w:bookmarkStart w:id="23" w:name="Certification"/>
    </w:p>
    <w:tbl>
      <w:tblPr>
        <w:tblW w:w="0" w:type="auto"/>
        <w:tblLook w:val="04A0" w:firstRow="1" w:lastRow="0" w:firstColumn="1" w:lastColumn="0" w:noHBand="0" w:noVBand="1"/>
      </w:tblPr>
      <w:tblGrid>
        <w:gridCol w:w="3794"/>
      </w:tblGrid>
      <w:tr w:rsidR="0077074B" w:rsidRPr="0077074B" w14:paraId="5F05CB2C" w14:textId="77777777">
        <w:tc>
          <w:tcPr>
            <w:tcW w:w="3794" w:type="dxa"/>
            <w:shd w:val="clear" w:color="auto" w:fill="auto"/>
          </w:tcPr>
          <w:p w14:paraId="0999740D" w14:textId="1CE610EF" w:rsidR="0077074B" w:rsidRPr="0077074B" w:rsidRDefault="0077074B" w:rsidP="0077074B">
            <w:pPr>
              <w:pStyle w:val="Normal1linespace"/>
            </w:pPr>
            <w:r w:rsidRPr="0077074B">
              <w:t xml:space="preserve">I certify that the preceding </w:t>
            </w:r>
            <w:bookmarkStart w:id="24" w:name="NumberWord"/>
            <w:r>
              <w:t>sixty-nine</w:t>
            </w:r>
            <w:bookmarkEnd w:id="24"/>
            <w:r w:rsidRPr="0077074B">
              <w:t xml:space="preserve"> (</w:t>
            </w:r>
            <w:bookmarkStart w:id="25" w:name="NumberNumeral"/>
            <w:r>
              <w:t>69</w:t>
            </w:r>
            <w:bookmarkEnd w:id="25"/>
            <w:r w:rsidRPr="0077074B">
              <w:t xml:space="preserve">) numbered </w:t>
            </w:r>
            <w:bookmarkStart w:id="26" w:name="CertPara"/>
            <w:r>
              <w:t>paragraphs are</w:t>
            </w:r>
            <w:bookmarkEnd w:id="26"/>
            <w:r w:rsidRPr="0077074B">
              <w:t xml:space="preserve"> a true copy of the Reasons for Judgment of </w:t>
            </w:r>
            <w:bookmarkStart w:id="27" w:name="bkHonourable"/>
            <w:r w:rsidRPr="0077074B">
              <w:t xml:space="preserve">the Honourable </w:t>
            </w:r>
            <w:bookmarkStart w:id="28" w:name="Justice"/>
            <w:bookmarkEnd w:id="27"/>
            <w:r>
              <w:t>Justice Halley</w:t>
            </w:r>
            <w:bookmarkEnd w:id="28"/>
            <w:r w:rsidRPr="0077074B">
              <w:t>.</w:t>
            </w:r>
          </w:p>
        </w:tc>
      </w:tr>
    </w:tbl>
    <w:p w14:paraId="7C503684" w14:textId="77777777" w:rsidR="0077074B" w:rsidRDefault="0077074B" w:rsidP="00815065">
      <w:pPr>
        <w:pStyle w:val="BodyText"/>
      </w:pPr>
    </w:p>
    <w:p w14:paraId="6E2B1961" w14:textId="77777777" w:rsidR="0077074B" w:rsidRDefault="0077074B" w:rsidP="00815065">
      <w:pPr>
        <w:pStyle w:val="BodyText"/>
      </w:pPr>
      <w:bookmarkStart w:id="29" w:name="_GoBack"/>
      <w:bookmarkEnd w:id="29"/>
    </w:p>
    <w:p w14:paraId="067996E0" w14:textId="204684BC" w:rsidR="0077074B" w:rsidRDefault="0077074B" w:rsidP="00815065">
      <w:pPr>
        <w:pStyle w:val="BodyText"/>
      </w:pPr>
      <w:r>
        <w:t>Associate:</w:t>
      </w:r>
      <w:r>
        <w:tab/>
      </w:r>
    </w:p>
    <w:p w14:paraId="019DD3F0" w14:textId="77777777" w:rsidR="0077074B" w:rsidRDefault="0077074B" w:rsidP="00815065">
      <w:pPr>
        <w:pStyle w:val="BodyText"/>
      </w:pPr>
    </w:p>
    <w:p w14:paraId="1ED85962" w14:textId="6289C39C" w:rsidR="0077074B" w:rsidRDefault="0077074B" w:rsidP="00815065">
      <w:pPr>
        <w:pStyle w:val="BodyText"/>
        <w:tabs>
          <w:tab w:val="left" w:pos="1134"/>
        </w:tabs>
      </w:pPr>
      <w:r>
        <w:t>Dated:</w:t>
      </w:r>
      <w:r>
        <w:tab/>
      </w:r>
      <w:bookmarkStart w:id="30" w:name="CertifyDated"/>
      <w:r>
        <w:t>22 December 2021</w:t>
      </w:r>
      <w:bookmarkEnd w:id="30"/>
    </w:p>
    <w:p w14:paraId="6CE9CB1C" w14:textId="77777777" w:rsidR="0077074B" w:rsidRDefault="0077074B" w:rsidP="00815065">
      <w:pPr>
        <w:pStyle w:val="BodyText"/>
      </w:pPr>
    </w:p>
    <w:bookmarkEnd w:id="23"/>
    <w:p w14:paraId="6A03838D" w14:textId="77777777" w:rsidR="00357E1A" w:rsidRPr="00357E1A" w:rsidRDefault="00357E1A" w:rsidP="0077074B">
      <w:pPr>
        <w:pStyle w:val="BodyText"/>
      </w:pPr>
    </w:p>
    <w:p w14:paraId="23DAA445" w14:textId="77777777" w:rsidR="00357E1A" w:rsidRDefault="00357E1A" w:rsidP="00357E1A">
      <w:pPr>
        <w:spacing w:line="240" w:lineRule="auto"/>
        <w:jc w:val="left"/>
      </w:pPr>
    </w:p>
    <w:sectPr w:rsidR="00357E1A"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D9D9A" w14:textId="77777777" w:rsidR="000B2249" w:rsidRDefault="000B2249">
      <w:pPr>
        <w:spacing w:line="20" w:lineRule="exact"/>
      </w:pPr>
    </w:p>
    <w:p w14:paraId="66C40219" w14:textId="77777777" w:rsidR="000B2249" w:rsidRDefault="000B2249"/>
    <w:p w14:paraId="08915B51" w14:textId="77777777" w:rsidR="000B2249" w:rsidRDefault="000B2249"/>
  </w:endnote>
  <w:endnote w:type="continuationSeparator" w:id="0">
    <w:p w14:paraId="130937EE" w14:textId="77777777" w:rsidR="000B2249" w:rsidRDefault="000B2249">
      <w:r>
        <w:t xml:space="preserve"> </w:t>
      </w:r>
    </w:p>
    <w:p w14:paraId="63B350EB" w14:textId="77777777" w:rsidR="000B2249" w:rsidRDefault="000B2249"/>
    <w:p w14:paraId="71342EB2" w14:textId="77777777" w:rsidR="000B2249" w:rsidRDefault="000B2249"/>
  </w:endnote>
  <w:endnote w:type="continuationNotice" w:id="1">
    <w:p w14:paraId="1313F2BF" w14:textId="77777777" w:rsidR="000B2249" w:rsidRDefault="000B2249">
      <w:r>
        <w:t xml:space="preserve"> </w:t>
      </w:r>
    </w:p>
    <w:p w14:paraId="7F5435F7" w14:textId="77777777" w:rsidR="000B2249" w:rsidRDefault="000B2249"/>
    <w:p w14:paraId="5CA747DB" w14:textId="77777777" w:rsidR="000B2249" w:rsidRDefault="000B22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22951" w14:textId="77777777" w:rsidR="000B2249" w:rsidRDefault="000B2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4FA11" w14:textId="32E1610E" w:rsidR="000B2249" w:rsidRPr="00C47B9D" w:rsidRDefault="000B2249"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CBBD7C6" wp14:editId="6D5187E4">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C29701"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A84078">
          <w:rPr>
            <w:bCs/>
            <w:sz w:val="18"/>
            <w:szCs w:val="18"/>
          </w:rPr>
          <w:t>Stuart v Rabobank Australia Ltd (No 2) [2021] FCA 1626</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FB396" w14:textId="77777777" w:rsidR="000B2249" w:rsidRPr="00D81149" w:rsidRDefault="000B2249" w:rsidP="00D811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0311C" w14:textId="5CFA15D4" w:rsidR="000B2249" w:rsidRPr="00C47B9D" w:rsidRDefault="000B2249"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6BD7222C" wp14:editId="3746E500">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D41678"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7CD0CDFAC90D4D3CA9AAD1D81606F944"/>
        </w:placeholder>
        <w:dataBinding w:prefixMappings="xmlns:ns0='http://schemas.globalmacros.com/FCA'" w:xpath="/ns0:root[1]/ns0:Name[1]" w:storeItemID="{687E7CCB-4AA5-44E7-B148-17BA2B6F57C0}"/>
        <w:text w:multiLine="1"/>
      </w:sdtPr>
      <w:sdtEndPr/>
      <w:sdtContent>
        <w:r w:rsidR="00A84078">
          <w:rPr>
            <w:bCs/>
            <w:sz w:val="18"/>
            <w:szCs w:val="18"/>
          </w:rPr>
          <w:t>Stuart v Rabobank Australia Ltd (No 2) [2021] FCA 1626</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5CB1C" w14:textId="79BBB0CB" w:rsidR="000B2249" w:rsidRPr="00C47B9D" w:rsidRDefault="000B2249"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C03F2" wp14:editId="6EC037AC">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1978E3"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05CCBCE1FAF84DD7AC3FC809B84C95BF"/>
        </w:placeholder>
        <w:dataBinding w:prefixMappings="xmlns:ns0='http://schemas.globalmacros.com/FCA'" w:xpath="/ns0:root[1]/ns0:Name[1]" w:storeItemID="{687E7CCB-4AA5-44E7-B148-17BA2B6F57C0}"/>
        <w:text w:multiLine="1"/>
      </w:sdtPr>
      <w:sdtEndPr/>
      <w:sdtContent>
        <w:r w:rsidR="00A84078">
          <w:rPr>
            <w:bCs/>
            <w:sz w:val="18"/>
            <w:szCs w:val="18"/>
          </w:rPr>
          <w:t>Stuart v Rabobank Australia Ltd (No 2) [2021] FCA 1626</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C3607C">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0686D" w14:textId="063BDCEA" w:rsidR="000B2249" w:rsidRPr="00C47B9D" w:rsidRDefault="000B2249"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5F24BCBD" wp14:editId="1F699739">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5605BD"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4093EAAE68134DC5BB6D0A665244D040"/>
        </w:placeholder>
        <w:dataBinding w:prefixMappings="xmlns:ns0='http://schemas.globalmacros.com/FCA'" w:xpath="/ns0:root[1]/ns0:Name[1]" w:storeItemID="{687E7CCB-4AA5-44E7-B148-17BA2B6F57C0}"/>
        <w:text w:multiLine="1"/>
      </w:sdtPr>
      <w:sdtEndPr/>
      <w:sdtContent>
        <w:r w:rsidR="00A84078">
          <w:rPr>
            <w:bCs/>
            <w:sz w:val="18"/>
            <w:szCs w:val="18"/>
          </w:rPr>
          <w:t>Stuart v Rabobank Australia Ltd (No 2) [2021] FCA 1626</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C3607C">
      <w:rPr>
        <w:bCs/>
        <w:noProof/>
        <w:sz w:val="20"/>
      </w:rPr>
      <w:t>16</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1FE1D" w14:textId="091986F3" w:rsidR="000B2249" w:rsidRPr="00C47B9D" w:rsidRDefault="000B2249"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30DB2326" wp14:editId="61E0408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ACA5D0"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C06B9666F9904DAF9137E1ECDAF93FF3"/>
        </w:placeholder>
        <w:dataBinding w:prefixMappings="xmlns:ns0='http://schemas.globalmacros.com/FCA'" w:xpath="/ns0:root[1]/ns0:Name[1]" w:storeItemID="{687E7CCB-4AA5-44E7-B148-17BA2B6F57C0}"/>
        <w:text w:multiLine="1"/>
      </w:sdtPr>
      <w:sdtEndPr/>
      <w:sdtContent>
        <w:r w:rsidR="00A84078">
          <w:rPr>
            <w:bCs/>
            <w:sz w:val="18"/>
            <w:szCs w:val="18"/>
          </w:rPr>
          <w:t>Stuart v Rabobank Australia Ltd (No 2) [2021] FCA 1626</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C3607C">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4667A" w14:textId="77777777" w:rsidR="000B2249" w:rsidRDefault="000B2249"/>
  </w:footnote>
  <w:footnote w:type="continuationSeparator" w:id="0">
    <w:p w14:paraId="2BAE5E7F" w14:textId="77777777" w:rsidR="000B2249" w:rsidRDefault="000B2249">
      <w:r>
        <w:continuationSeparator/>
      </w:r>
    </w:p>
    <w:p w14:paraId="5B6C05CD" w14:textId="77777777" w:rsidR="000B2249" w:rsidRDefault="000B2249"/>
    <w:p w14:paraId="5A27773E" w14:textId="77777777" w:rsidR="000B2249" w:rsidRDefault="000B22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F0100" w14:textId="77777777" w:rsidR="000B2249" w:rsidRDefault="000B22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92EB1" w14:textId="77777777" w:rsidR="000B2249" w:rsidRDefault="000B22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45636" w14:textId="77777777" w:rsidR="000B2249" w:rsidRDefault="000B22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384A9" w14:textId="77777777" w:rsidR="000B2249" w:rsidRDefault="000B2249">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58ED9" w14:textId="77777777" w:rsidR="000B2249" w:rsidRDefault="000B2249">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FECE2" w14:textId="77777777" w:rsidR="000B2249" w:rsidRDefault="000B2249"/>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9EA42" w14:textId="77777777" w:rsidR="000B2249" w:rsidRDefault="000B2249">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FCB79" w14:textId="77777777" w:rsidR="000B2249" w:rsidRDefault="000B2249"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0"/>
  </w:num>
  <w:num w:numId="14">
    <w:abstractNumId w:val="21"/>
  </w:num>
  <w:num w:numId="15">
    <w:abstractNumId w:val="24"/>
  </w:num>
  <w:num w:numId="16">
    <w:abstractNumId w:val="13"/>
  </w:num>
  <w:num w:numId="17">
    <w:abstractNumId w:val="23"/>
  </w:num>
  <w:num w:numId="18">
    <w:abstractNumId w:val="11"/>
  </w:num>
  <w:num w:numId="19">
    <w:abstractNumId w:val="18"/>
  </w:num>
  <w:num w:numId="20">
    <w:abstractNumId w:val="15"/>
  </w:num>
  <w:num w:numId="21">
    <w:abstractNumId w:val="16"/>
  </w:num>
  <w:num w:numId="22">
    <w:abstractNumId w:val="19"/>
  </w:num>
  <w:num w:numId="23">
    <w:abstractNumId w:val="10"/>
  </w:num>
  <w:num w:numId="24">
    <w:abstractNumId w:val="10"/>
  </w:num>
  <w:num w:numId="25">
    <w:abstractNumId w:val="12"/>
  </w:num>
  <w:num w:numId="26">
    <w:abstractNumId w:val="17"/>
  </w:num>
  <w:num w:numId="27">
    <w:abstractNumId w:val="17"/>
  </w:num>
  <w:num w:numId="28">
    <w:abstractNumId w:val="17"/>
  </w:num>
  <w:num w:numId="29">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lvl w:ilvl="1">
        <w:start w:val="1"/>
        <w:numFmt w:val="lowerRoman"/>
        <w:pStyle w:val="ListNo2alt"/>
        <w:lvlText w:val="(%2)"/>
        <w:lvlJc w:val="left"/>
        <w:pPr>
          <w:tabs>
            <w:tab w:val="num" w:pos="1440"/>
          </w:tabs>
          <w:ind w:left="1440" w:hanging="720"/>
        </w:pPr>
        <w:rPr>
          <w:rFonts w:hint="default"/>
        </w:rPr>
      </w:lvl>
    </w:lvlOverride>
    <w:lvlOverride w:ilvl="2">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32">
    <w:abstractNumId w:val="10"/>
    <w:lvlOverride w:ilvl="0">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lvl w:ilvl="1">
        <w:start w:val="1"/>
        <w:numFmt w:val="lowerRoman"/>
        <w:pStyle w:val="ListNo2alt"/>
        <w:lvlText w:val="(%2)"/>
        <w:lvlJc w:val="left"/>
        <w:pPr>
          <w:tabs>
            <w:tab w:val="num" w:pos="1440"/>
          </w:tabs>
          <w:ind w:left="1440" w:hanging="720"/>
        </w:pPr>
        <w:rPr>
          <w:rFonts w:hint="default"/>
        </w:rPr>
      </w:lvl>
    </w:lvlOverride>
    <w:lvlOverride w:ilvl="2">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33">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4">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5">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Mark Lindsay Stuart|Catherine Enid Stuart"/>
    <w:docVar w:name="CounselParties" w:val="Applicant"/>
    <w:docVar w:name="CounselType" w:val="Solicitor for the "/>
    <w:docVar w:name="Court" w:val="Federal Court of Australia (FCA)"/>
    <w:docVar w:name="Cross1AndAnother" w:val="True"/>
    <w:docVar w:name="Cross1AndOthers" w:val="False"/>
    <w:docVar w:name="Cross2AndAnother" w:val="True"/>
    <w:docVar w:name="Cross2AndOthers" w:val="False"/>
    <w:docVar w:name="Cross-Claimant" w:val="Rabobank Australia Ltd"/>
    <w:docVar w:name="Cross-Respondent" w:val="Mark Lindsay Stuart|Catherine Enid Stuart"/>
    <w:docVar w:name="Defenders" w:val="(and another named in the Schedule)"/>
    <w:docVar w:name="Division" w:val="FCA General Division"/>
    <w:docVar w:name="DocCreated" w:val="True"/>
    <w:docVar w:name="FileNumbers" w:val="NSD471/2021"/>
    <w:docVar w:name="Initiators" w:val="(and another named in the Schedule)"/>
    <w:docVar w:name="Judgdate" w:val="22 December 2021"/>
    <w:docVar w:name="Judge" w:val="Halley"/>
    <w:docVar w:name="JudgeType" w:val="Justice"/>
    <w:docVar w:name="lstEntryList" w:val="-1"/>
    <w:docVar w:name="myEntryList" w:val="Counsel for the Applicants=No submissions?|Counsel for the Respondent=Mr S Gray|Solicitor for the Respondent=Gadens Lawyers"/>
    <w:docVar w:name="NSD" w:val="NSD "/>
    <w:docVar w:name="NumApps" w:val="2"/>
    <w:docVar w:name="NumApps_" w:val="2"/>
    <w:docVar w:name="NumCrossResps" w:val="2"/>
    <w:docVar w:name="NumDefs" w:val="1"/>
    <w:docVar w:name="NumOthers" w:val="1"/>
    <w:docVar w:name="OtherNum" w:val="0"/>
    <w:docVar w:name="Parties1" w:val="Applicant"/>
    <w:docVar w:name="Parties2" w:val="Respondent"/>
    <w:docVar w:name="Parties3" w:val="Cross-Claimant"/>
    <w:docVar w:name="Parties4" w:val="Cross-Respondent"/>
    <w:docVar w:name="Parties5" w:val="Intervener"/>
    <w:docVar w:name="Place" w:val="N/A FCA"/>
    <w:docVar w:name="PracticeArea" w:val="Commercial and Corporations"/>
    <w:docVar w:name="RESAndAnother" w:val="True"/>
    <w:docVar w:name="RESAndOthers" w:val="False"/>
    <w:docVar w:name="Respondent" w:val="Rabobank Australia Ltd"/>
    <w:docVar w:name="ResState" w:val="New South Wales"/>
    <w:docVar w:name="SubArea" w:val="Commercial Contracts, Banking, Finance and Insurance (C &amp; C)"/>
  </w:docVars>
  <w:rsids>
    <w:rsidRoot w:val="00357E1A"/>
    <w:rsid w:val="00000747"/>
    <w:rsid w:val="000048AF"/>
    <w:rsid w:val="000115C5"/>
    <w:rsid w:val="0001469E"/>
    <w:rsid w:val="00015993"/>
    <w:rsid w:val="00021CCB"/>
    <w:rsid w:val="00022289"/>
    <w:rsid w:val="000237E9"/>
    <w:rsid w:val="00027398"/>
    <w:rsid w:val="0003201A"/>
    <w:rsid w:val="0003207A"/>
    <w:rsid w:val="00032F9F"/>
    <w:rsid w:val="00040E42"/>
    <w:rsid w:val="00041C07"/>
    <w:rsid w:val="00043779"/>
    <w:rsid w:val="00045BB7"/>
    <w:rsid w:val="00055719"/>
    <w:rsid w:val="0005641B"/>
    <w:rsid w:val="0006196A"/>
    <w:rsid w:val="000650F0"/>
    <w:rsid w:val="00067BB5"/>
    <w:rsid w:val="00071FB3"/>
    <w:rsid w:val="00076A0B"/>
    <w:rsid w:val="00076C4E"/>
    <w:rsid w:val="00077768"/>
    <w:rsid w:val="00080019"/>
    <w:rsid w:val="00081497"/>
    <w:rsid w:val="00081EE8"/>
    <w:rsid w:val="000831EC"/>
    <w:rsid w:val="00084126"/>
    <w:rsid w:val="00085255"/>
    <w:rsid w:val="000A2E76"/>
    <w:rsid w:val="000A4807"/>
    <w:rsid w:val="000A4BE4"/>
    <w:rsid w:val="000B2249"/>
    <w:rsid w:val="000B4B61"/>
    <w:rsid w:val="000B554D"/>
    <w:rsid w:val="000C023E"/>
    <w:rsid w:val="000C2050"/>
    <w:rsid w:val="000C405D"/>
    <w:rsid w:val="000C5195"/>
    <w:rsid w:val="000C62EF"/>
    <w:rsid w:val="000C6C8B"/>
    <w:rsid w:val="000D2137"/>
    <w:rsid w:val="000D3FD2"/>
    <w:rsid w:val="000D4B2E"/>
    <w:rsid w:val="000E3FC8"/>
    <w:rsid w:val="000E7BAE"/>
    <w:rsid w:val="000F133D"/>
    <w:rsid w:val="000F1450"/>
    <w:rsid w:val="001045F4"/>
    <w:rsid w:val="0010536B"/>
    <w:rsid w:val="0011145C"/>
    <w:rsid w:val="001128BD"/>
    <w:rsid w:val="0011419D"/>
    <w:rsid w:val="00114B02"/>
    <w:rsid w:val="0011674A"/>
    <w:rsid w:val="00117A63"/>
    <w:rsid w:val="001226C0"/>
    <w:rsid w:val="00126EC8"/>
    <w:rsid w:val="0012731C"/>
    <w:rsid w:val="00132054"/>
    <w:rsid w:val="00134964"/>
    <w:rsid w:val="0013516C"/>
    <w:rsid w:val="001351B9"/>
    <w:rsid w:val="00155CD2"/>
    <w:rsid w:val="00156BF6"/>
    <w:rsid w:val="001727A4"/>
    <w:rsid w:val="00173517"/>
    <w:rsid w:val="0017376C"/>
    <w:rsid w:val="001738AB"/>
    <w:rsid w:val="0017410A"/>
    <w:rsid w:val="001765E0"/>
    <w:rsid w:val="00177759"/>
    <w:rsid w:val="001801BA"/>
    <w:rsid w:val="00180BB3"/>
    <w:rsid w:val="00185DD6"/>
    <w:rsid w:val="00185E6B"/>
    <w:rsid w:val="0018640C"/>
    <w:rsid w:val="00187A06"/>
    <w:rsid w:val="00187BBC"/>
    <w:rsid w:val="001932F3"/>
    <w:rsid w:val="001A2B40"/>
    <w:rsid w:val="001A4309"/>
    <w:rsid w:val="001A46AE"/>
    <w:rsid w:val="001A6C52"/>
    <w:rsid w:val="001B1053"/>
    <w:rsid w:val="001B14AC"/>
    <w:rsid w:val="001B7940"/>
    <w:rsid w:val="001C171A"/>
    <w:rsid w:val="001C2FE0"/>
    <w:rsid w:val="001C37CA"/>
    <w:rsid w:val="001C4085"/>
    <w:rsid w:val="001D4303"/>
    <w:rsid w:val="001D6746"/>
    <w:rsid w:val="001D7B21"/>
    <w:rsid w:val="001E0C61"/>
    <w:rsid w:val="001E3B49"/>
    <w:rsid w:val="001E45BE"/>
    <w:rsid w:val="001E4A05"/>
    <w:rsid w:val="001E6A19"/>
    <w:rsid w:val="001E7388"/>
    <w:rsid w:val="001F13DD"/>
    <w:rsid w:val="001F2473"/>
    <w:rsid w:val="001F2DBC"/>
    <w:rsid w:val="001F73E8"/>
    <w:rsid w:val="0020262C"/>
    <w:rsid w:val="00202723"/>
    <w:rsid w:val="0020506F"/>
    <w:rsid w:val="00211A3E"/>
    <w:rsid w:val="00213F20"/>
    <w:rsid w:val="00214055"/>
    <w:rsid w:val="00215BCA"/>
    <w:rsid w:val="002160F5"/>
    <w:rsid w:val="00217AC4"/>
    <w:rsid w:val="00221461"/>
    <w:rsid w:val="00224537"/>
    <w:rsid w:val="00235956"/>
    <w:rsid w:val="00243E5E"/>
    <w:rsid w:val="002467A6"/>
    <w:rsid w:val="00247C9A"/>
    <w:rsid w:val="0025160C"/>
    <w:rsid w:val="002535D0"/>
    <w:rsid w:val="002539B3"/>
    <w:rsid w:val="00256336"/>
    <w:rsid w:val="00257C3E"/>
    <w:rsid w:val="002602C2"/>
    <w:rsid w:val="002666C9"/>
    <w:rsid w:val="00270136"/>
    <w:rsid w:val="00270FD7"/>
    <w:rsid w:val="00273D30"/>
    <w:rsid w:val="00274F5B"/>
    <w:rsid w:val="00280836"/>
    <w:rsid w:val="00282E1A"/>
    <w:rsid w:val="002840F1"/>
    <w:rsid w:val="002854F9"/>
    <w:rsid w:val="00285922"/>
    <w:rsid w:val="0029113B"/>
    <w:rsid w:val="002934C0"/>
    <w:rsid w:val="00293E1F"/>
    <w:rsid w:val="0029764C"/>
    <w:rsid w:val="002A1B50"/>
    <w:rsid w:val="002B0E91"/>
    <w:rsid w:val="002B132C"/>
    <w:rsid w:val="002B3F23"/>
    <w:rsid w:val="002B4EB5"/>
    <w:rsid w:val="002B5AF5"/>
    <w:rsid w:val="002B6779"/>
    <w:rsid w:val="002B71C0"/>
    <w:rsid w:val="002B7A34"/>
    <w:rsid w:val="002C31AD"/>
    <w:rsid w:val="002C6D55"/>
    <w:rsid w:val="002C7385"/>
    <w:rsid w:val="002D2DBB"/>
    <w:rsid w:val="002D37D8"/>
    <w:rsid w:val="002D54A6"/>
    <w:rsid w:val="002D77D7"/>
    <w:rsid w:val="002E3779"/>
    <w:rsid w:val="002E5BF9"/>
    <w:rsid w:val="002E6A7A"/>
    <w:rsid w:val="002F1E49"/>
    <w:rsid w:val="002F3A8D"/>
    <w:rsid w:val="002F4E9C"/>
    <w:rsid w:val="002F6E15"/>
    <w:rsid w:val="00302F4E"/>
    <w:rsid w:val="003058A9"/>
    <w:rsid w:val="0030629C"/>
    <w:rsid w:val="0031256C"/>
    <w:rsid w:val="00314D6C"/>
    <w:rsid w:val="00316D2A"/>
    <w:rsid w:val="00322A7C"/>
    <w:rsid w:val="00322EEC"/>
    <w:rsid w:val="00323061"/>
    <w:rsid w:val="003266E3"/>
    <w:rsid w:val="003402D3"/>
    <w:rsid w:val="0034068E"/>
    <w:rsid w:val="00343ABC"/>
    <w:rsid w:val="003463FE"/>
    <w:rsid w:val="003472FC"/>
    <w:rsid w:val="0034770B"/>
    <w:rsid w:val="00347D41"/>
    <w:rsid w:val="003551E4"/>
    <w:rsid w:val="003554B3"/>
    <w:rsid w:val="00356632"/>
    <w:rsid w:val="00357C7E"/>
    <w:rsid w:val="00357E1A"/>
    <w:rsid w:val="00360913"/>
    <w:rsid w:val="00362838"/>
    <w:rsid w:val="003653B6"/>
    <w:rsid w:val="0036638A"/>
    <w:rsid w:val="00370327"/>
    <w:rsid w:val="00374CC4"/>
    <w:rsid w:val="003774B2"/>
    <w:rsid w:val="00380F2D"/>
    <w:rsid w:val="00381FE3"/>
    <w:rsid w:val="003845A9"/>
    <w:rsid w:val="00384AC6"/>
    <w:rsid w:val="003850C9"/>
    <w:rsid w:val="0038616E"/>
    <w:rsid w:val="00390883"/>
    <w:rsid w:val="003922F8"/>
    <w:rsid w:val="00395B24"/>
    <w:rsid w:val="003A2D38"/>
    <w:rsid w:val="003A7ECC"/>
    <w:rsid w:val="003B2C72"/>
    <w:rsid w:val="003B58B4"/>
    <w:rsid w:val="003C1333"/>
    <w:rsid w:val="003C1A9A"/>
    <w:rsid w:val="003C20FF"/>
    <w:rsid w:val="003C2F2C"/>
    <w:rsid w:val="003C3A42"/>
    <w:rsid w:val="003C550A"/>
    <w:rsid w:val="003C6055"/>
    <w:rsid w:val="003D2650"/>
    <w:rsid w:val="003D560C"/>
    <w:rsid w:val="003D5C00"/>
    <w:rsid w:val="003E2F7F"/>
    <w:rsid w:val="003E3154"/>
    <w:rsid w:val="003E38B9"/>
    <w:rsid w:val="003E5874"/>
    <w:rsid w:val="003E72D3"/>
    <w:rsid w:val="003F193E"/>
    <w:rsid w:val="003F242C"/>
    <w:rsid w:val="003F34F1"/>
    <w:rsid w:val="00401D29"/>
    <w:rsid w:val="004031D8"/>
    <w:rsid w:val="004104B6"/>
    <w:rsid w:val="00411AE8"/>
    <w:rsid w:val="00413B74"/>
    <w:rsid w:val="00421260"/>
    <w:rsid w:val="00424BD3"/>
    <w:rsid w:val="00427F53"/>
    <w:rsid w:val="004342F3"/>
    <w:rsid w:val="00435C5F"/>
    <w:rsid w:val="00436155"/>
    <w:rsid w:val="00436460"/>
    <w:rsid w:val="0043700B"/>
    <w:rsid w:val="00441743"/>
    <w:rsid w:val="00441E98"/>
    <w:rsid w:val="00450F3A"/>
    <w:rsid w:val="004532F7"/>
    <w:rsid w:val="00464D51"/>
    <w:rsid w:val="00466E35"/>
    <w:rsid w:val="00472027"/>
    <w:rsid w:val="004804CF"/>
    <w:rsid w:val="00483314"/>
    <w:rsid w:val="00484962"/>
    <w:rsid w:val="00484F6D"/>
    <w:rsid w:val="00484FB7"/>
    <w:rsid w:val="0048554D"/>
    <w:rsid w:val="0049338A"/>
    <w:rsid w:val="0049417F"/>
    <w:rsid w:val="00496D41"/>
    <w:rsid w:val="004A6602"/>
    <w:rsid w:val="004B2174"/>
    <w:rsid w:val="004B3EFA"/>
    <w:rsid w:val="004B4046"/>
    <w:rsid w:val="004C2A87"/>
    <w:rsid w:val="004C4D7B"/>
    <w:rsid w:val="004C4ED3"/>
    <w:rsid w:val="004C667B"/>
    <w:rsid w:val="004C791E"/>
    <w:rsid w:val="004C7ECD"/>
    <w:rsid w:val="004D2EA5"/>
    <w:rsid w:val="004D32A6"/>
    <w:rsid w:val="004D53E5"/>
    <w:rsid w:val="004D7950"/>
    <w:rsid w:val="004E6DC4"/>
    <w:rsid w:val="004F0891"/>
    <w:rsid w:val="004F21C1"/>
    <w:rsid w:val="00501A12"/>
    <w:rsid w:val="0050266E"/>
    <w:rsid w:val="0050309C"/>
    <w:rsid w:val="0051327C"/>
    <w:rsid w:val="0051346D"/>
    <w:rsid w:val="00513EAE"/>
    <w:rsid w:val="0051434F"/>
    <w:rsid w:val="00516806"/>
    <w:rsid w:val="0052098C"/>
    <w:rsid w:val="00525A49"/>
    <w:rsid w:val="005262D1"/>
    <w:rsid w:val="00530876"/>
    <w:rsid w:val="00535613"/>
    <w:rsid w:val="005359EB"/>
    <w:rsid w:val="0054254A"/>
    <w:rsid w:val="0054500B"/>
    <w:rsid w:val="005466B5"/>
    <w:rsid w:val="00554314"/>
    <w:rsid w:val="00562829"/>
    <w:rsid w:val="005629B3"/>
    <w:rsid w:val="0057128A"/>
    <w:rsid w:val="005724F6"/>
    <w:rsid w:val="00573AC4"/>
    <w:rsid w:val="005801FC"/>
    <w:rsid w:val="00585BA9"/>
    <w:rsid w:val="00587359"/>
    <w:rsid w:val="00595016"/>
    <w:rsid w:val="00595261"/>
    <w:rsid w:val="00597AAE"/>
    <w:rsid w:val="005A222C"/>
    <w:rsid w:val="005A280F"/>
    <w:rsid w:val="005A4DF8"/>
    <w:rsid w:val="005A61E0"/>
    <w:rsid w:val="005A78C8"/>
    <w:rsid w:val="005B1426"/>
    <w:rsid w:val="005C0A8E"/>
    <w:rsid w:val="005C1767"/>
    <w:rsid w:val="005C185C"/>
    <w:rsid w:val="005C42EF"/>
    <w:rsid w:val="005D5E3C"/>
    <w:rsid w:val="005E02F5"/>
    <w:rsid w:val="005E0510"/>
    <w:rsid w:val="005E176E"/>
    <w:rsid w:val="005E218E"/>
    <w:rsid w:val="005E35A0"/>
    <w:rsid w:val="005F0D1B"/>
    <w:rsid w:val="005F1865"/>
    <w:rsid w:val="006007BD"/>
    <w:rsid w:val="006013C8"/>
    <w:rsid w:val="0060270D"/>
    <w:rsid w:val="00604342"/>
    <w:rsid w:val="00604611"/>
    <w:rsid w:val="00611586"/>
    <w:rsid w:val="00612D26"/>
    <w:rsid w:val="00615855"/>
    <w:rsid w:val="00617869"/>
    <w:rsid w:val="00620DA8"/>
    <w:rsid w:val="00621887"/>
    <w:rsid w:val="00623202"/>
    <w:rsid w:val="00624520"/>
    <w:rsid w:val="006271F5"/>
    <w:rsid w:val="00632300"/>
    <w:rsid w:val="00632BB7"/>
    <w:rsid w:val="00635B36"/>
    <w:rsid w:val="006360F0"/>
    <w:rsid w:val="00636871"/>
    <w:rsid w:val="00640EE1"/>
    <w:rsid w:val="00640F4E"/>
    <w:rsid w:val="00643D1E"/>
    <w:rsid w:val="00643DE0"/>
    <w:rsid w:val="0064437D"/>
    <w:rsid w:val="00644E85"/>
    <w:rsid w:val="00645B3C"/>
    <w:rsid w:val="006516D8"/>
    <w:rsid w:val="00652C52"/>
    <w:rsid w:val="0066063F"/>
    <w:rsid w:val="00662BB0"/>
    <w:rsid w:val="00663878"/>
    <w:rsid w:val="00667773"/>
    <w:rsid w:val="00670743"/>
    <w:rsid w:val="00680A85"/>
    <w:rsid w:val="00681ADF"/>
    <w:rsid w:val="00690EE2"/>
    <w:rsid w:val="00693854"/>
    <w:rsid w:val="00694BEB"/>
    <w:rsid w:val="00695730"/>
    <w:rsid w:val="006A0E20"/>
    <w:rsid w:val="006A24E3"/>
    <w:rsid w:val="006A5695"/>
    <w:rsid w:val="006B0439"/>
    <w:rsid w:val="006B33FA"/>
    <w:rsid w:val="006B3904"/>
    <w:rsid w:val="006B5B7D"/>
    <w:rsid w:val="006C57D7"/>
    <w:rsid w:val="006C5B46"/>
    <w:rsid w:val="006C6E39"/>
    <w:rsid w:val="006D0ECF"/>
    <w:rsid w:val="006D3D5B"/>
    <w:rsid w:val="006D4C92"/>
    <w:rsid w:val="006D4EB6"/>
    <w:rsid w:val="006D7FBC"/>
    <w:rsid w:val="006E004B"/>
    <w:rsid w:val="006E35BF"/>
    <w:rsid w:val="006E7850"/>
    <w:rsid w:val="006F19D8"/>
    <w:rsid w:val="006F46D6"/>
    <w:rsid w:val="006F4BBB"/>
    <w:rsid w:val="007028D9"/>
    <w:rsid w:val="00704121"/>
    <w:rsid w:val="00707218"/>
    <w:rsid w:val="00710D04"/>
    <w:rsid w:val="00712B1D"/>
    <w:rsid w:val="00715751"/>
    <w:rsid w:val="007171BA"/>
    <w:rsid w:val="00717616"/>
    <w:rsid w:val="007325D9"/>
    <w:rsid w:val="0073413F"/>
    <w:rsid w:val="0073583B"/>
    <w:rsid w:val="007360CA"/>
    <w:rsid w:val="0074667B"/>
    <w:rsid w:val="007470BD"/>
    <w:rsid w:val="0075782B"/>
    <w:rsid w:val="00760EC0"/>
    <w:rsid w:val="0077074B"/>
    <w:rsid w:val="007711BD"/>
    <w:rsid w:val="0078003A"/>
    <w:rsid w:val="00780771"/>
    <w:rsid w:val="007929CF"/>
    <w:rsid w:val="00797BA8"/>
    <w:rsid w:val="007A081D"/>
    <w:rsid w:val="007A2E7C"/>
    <w:rsid w:val="007A3731"/>
    <w:rsid w:val="007A49E7"/>
    <w:rsid w:val="007A6F28"/>
    <w:rsid w:val="007B03C6"/>
    <w:rsid w:val="007B0DB1"/>
    <w:rsid w:val="007B5673"/>
    <w:rsid w:val="007B7238"/>
    <w:rsid w:val="007B76FF"/>
    <w:rsid w:val="007C3BF6"/>
    <w:rsid w:val="007C67B3"/>
    <w:rsid w:val="007D0FD2"/>
    <w:rsid w:val="007D2EF8"/>
    <w:rsid w:val="007D561F"/>
    <w:rsid w:val="007D7FD2"/>
    <w:rsid w:val="007E13D9"/>
    <w:rsid w:val="007E2AEC"/>
    <w:rsid w:val="007E3743"/>
    <w:rsid w:val="007E3DE6"/>
    <w:rsid w:val="007E41BE"/>
    <w:rsid w:val="007E4DB6"/>
    <w:rsid w:val="007E6733"/>
    <w:rsid w:val="007E7CD4"/>
    <w:rsid w:val="007F0385"/>
    <w:rsid w:val="007F12AC"/>
    <w:rsid w:val="007F4501"/>
    <w:rsid w:val="007F60DF"/>
    <w:rsid w:val="00801800"/>
    <w:rsid w:val="00801861"/>
    <w:rsid w:val="00801B5B"/>
    <w:rsid w:val="00802C6B"/>
    <w:rsid w:val="00805970"/>
    <w:rsid w:val="00805A30"/>
    <w:rsid w:val="008216E7"/>
    <w:rsid w:val="00825BE6"/>
    <w:rsid w:val="008276B4"/>
    <w:rsid w:val="00831927"/>
    <w:rsid w:val="00837288"/>
    <w:rsid w:val="00841BD3"/>
    <w:rsid w:val="0084273D"/>
    <w:rsid w:val="00844E3F"/>
    <w:rsid w:val="00845A83"/>
    <w:rsid w:val="00846BB9"/>
    <w:rsid w:val="008649D5"/>
    <w:rsid w:val="008712BB"/>
    <w:rsid w:val="008830E7"/>
    <w:rsid w:val="00890EDE"/>
    <w:rsid w:val="00892B38"/>
    <w:rsid w:val="008A1741"/>
    <w:rsid w:val="008A2484"/>
    <w:rsid w:val="008A52F3"/>
    <w:rsid w:val="008A5855"/>
    <w:rsid w:val="008B4956"/>
    <w:rsid w:val="008C12D4"/>
    <w:rsid w:val="008C15BE"/>
    <w:rsid w:val="008C26D9"/>
    <w:rsid w:val="008C6D50"/>
    <w:rsid w:val="008C7167"/>
    <w:rsid w:val="008C7503"/>
    <w:rsid w:val="008D1617"/>
    <w:rsid w:val="008D330F"/>
    <w:rsid w:val="008D48C1"/>
    <w:rsid w:val="008E6315"/>
    <w:rsid w:val="008F0480"/>
    <w:rsid w:val="008F07FC"/>
    <w:rsid w:val="008F11E0"/>
    <w:rsid w:val="008F3EA7"/>
    <w:rsid w:val="008F6A2B"/>
    <w:rsid w:val="008F78BC"/>
    <w:rsid w:val="008F7B63"/>
    <w:rsid w:val="008F7D6A"/>
    <w:rsid w:val="009019CC"/>
    <w:rsid w:val="00901C86"/>
    <w:rsid w:val="00903603"/>
    <w:rsid w:val="00903770"/>
    <w:rsid w:val="009054CB"/>
    <w:rsid w:val="00907024"/>
    <w:rsid w:val="00911F8D"/>
    <w:rsid w:val="00912F94"/>
    <w:rsid w:val="009171BC"/>
    <w:rsid w:val="0092497E"/>
    <w:rsid w:val="0092590B"/>
    <w:rsid w:val="00925BF3"/>
    <w:rsid w:val="00925E60"/>
    <w:rsid w:val="009264B3"/>
    <w:rsid w:val="00931E4C"/>
    <w:rsid w:val="009365E0"/>
    <w:rsid w:val="00936ED7"/>
    <w:rsid w:val="00942BA2"/>
    <w:rsid w:val="009432B7"/>
    <w:rsid w:val="00944C86"/>
    <w:rsid w:val="00945E1A"/>
    <w:rsid w:val="00947C02"/>
    <w:rsid w:val="00950BE6"/>
    <w:rsid w:val="009536DA"/>
    <w:rsid w:val="00957DE8"/>
    <w:rsid w:val="00960ECB"/>
    <w:rsid w:val="009615D6"/>
    <w:rsid w:val="00967855"/>
    <w:rsid w:val="00971CD1"/>
    <w:rsid w:val="00973ABC"/>
    <w:rsid w:val="00974709"/>
    <w:rsid w:val="00977FA7"/>
    <w:rsid w:val="009801AE"/>
    <w:rsid w:val="00980736"/>
    <w:rsid w:val="00981A39"/>
    <w:rsid w:val="00982D56"/>
    <w:rsid w:val="00983DBF"/>
    <w:rsid w:val="00987097"/>
    <w:rsid w:val="00991123"/>
    <w:rsid w:val="00991CAB"/>
    <w:rsid w:val="009A3A9C"/>
    <w:rsid w:val="009B046C"/>
    <w:rsid w:val="009B13FA"/>
    <w:rsid w:val="009B1E2D"/>
    <w:rsid w:val="009B62F3"/>
    <w:rsid w:val="009C59FB"/>
    <w:rsid w:val="009C6F3B"/>
    <w:rsid w:val="009D1467"/>
    <w:rsid w:val="009D29C9"/>
    <w:rsid w:val="009D328D"/>
    <w:rsid w:val="009E1777"/>
    <w:rsid w:val="009E4FA6"/>
    <w:rsid w:val="009E7D93"/>
    <w:rsid w:val="009F3C34"/>
    <w:rsid w:val="009F462C"/>
    <w:rsid w:val="009F5C33"/>
    <w:rsid w:val="00A026F0"/>
    <w:rsid w:val="00A03EAC"/>
    <w:rsid w:val="00A04DBB"/>
    <w:rsid w:val="00A07EA0"/>
    <w:rsid w:val="00A11CA6"/>
    <w:rsid w:val="00A20C49"/>
    <w:rsid w:val="00A22932"/>
    <w:rsid w:val="00A269CA"/>
    <w:rsid w:val="00A30220"/>
    <w:rsid w:val="00A336EE"/>
    <w:rsid w:val="00A33F46"/>
    <w:rsid w:val="00A3427E"/>
    <w:rsid w:val="00A359AC"/>
    <w:rsid w:val="00A40F83"/>
    <w:rsid w:val="00A410FB"/>
    <w:rsid w:val="00A41413"/>
    <w:rsid w:val="00A431E6"/>
    <w:rsid w:val="00A436E8"/>
    <w:rsid w:val="00A45FB1"/>
    <w:rsid w:val="00A46A0F"/>
    <w:rsid w:val="00A46CCC"/>
    <w:rsid w:val="00A47996"/>
    <w:rsid w:val="00A51CFE"/>
    <w:rsid w:val="00A5204D"/>
    <w:rsid w:val="00A56E77"/>
    <w:rsid w:val="00A61605"/>
    <w:rsid w:val="00A65F97"/>
    <w:rsid w:val="00A70393"/>
    <w:rsid w:val="00A73283"/>
    <w:rsid w:val="00A73B04"/>
    <w:rsid w:val="00A76C13"/>
    <w:rsid w:val="00A82EE4"/>
    <w:rsid w:val="00A84078"/>
    <w:rsid w:val="00A84FD0"/>
    <w:rsid w:val="00A92E79"/>
    <w:rsid w:val="00A950B6"/>
    <w:rsid w:val="00A95D45"/>
    <w:rsid w:val="00AA3EA8"/>
    <w:rsid w:val="00AA7889"/>
    <w:rsid w:val="00AB41C1"/>
    <w:rsid w:val="00AB4CF2"/>
    <w:rsid w:val="00AB6CCA"/>
    <w:rsid w:val="00AC15AA"/>
    <w:rsid w:val="00AC223F"/>
    <w:rsid w:val="00AC33B1"/>
    <w:rsid w:val="00AD12A8"/>
    <w:rsid w:val="00AE023F"/>
    <w:rsid w:val="00AE416A"/>
    <w:rsid w:val="00AF3577"/>
    <w:rsid w:val="00AF35F9"/>
    <w:rsid w:val="00B0424C"/>
    <w:rsid w:val="00B05C7D"/>
    <w:rsid w:val="00B14198"/>
    <w:rsid w:val="00B15D57"/>
    <w:rsid w:val="00B16347"/>
    <w:rsid w:val="00B17D6E"/>
    <w:rsid w:val="00B203A5"/>
    <w:rsid w:val="00B2435E"/>
    <w:rsid w:val="00B30C53"/>
    <w:rsid w:val="00B346C3"/>
    <w:rsid w:val="00B36829"/>
    <w:rsid w:val="00B4005C"/>
    <w:rsid w:val="00B4227E"/>
    <w:rsid w:val="00B4471C"/>
    <w:rsid w:val="00B451A6"/>
    <w:rsid w:val="00B56D6E"/>
    <w:rsid w:val="00B57E68"/>
    <w:rsid w:val="00B64347"/>
    <w:rsid w:val="00B65DC6"/>
    <w:rsid w:val="00B67AC2"/>
    <w:rsid w:val="00B722DE"/>
    <w:rsid w:val="00B751E3"/>
    <w:rsid w:val="00B75BA6"/>
    <w:rsid w:val="00B76C44"/>
    <w:rsid w:val="00B8184A"/>
    <w:rsid w:val="00B82283"/>
    <w:rsid w:val="00B82839"/>
    <w:rsid w:val="00B828D8"/>
    <w:rsid w:val="00B83F87"/>
    <w:rsid w:val="00B87CDC"/>
    <w:rsid w:val="00B910C1"/>
    <w:rsid w:val="00B97783"/>
    <w:rsid w:val="00BA2CA4"/>
    <w:rsid w:val="00BA2EFA"/>
    <w:rsid w:val="00BA3DBC"/>
    <w:rsid w:val="00BA42ED"/>
    <w:rsid w:val="00BA707A"/>
    <w:rsid w:val="00BB1AFB"/>
    <w:rsid w:val="00BB27AE"/>
    <w:rsid w:val="00BB2DA2"/>
    <w:rsid w:val="00BB56DC"/>
    <w:rsid w:val="00BE183D"/>
    <w:rsid w:val="00BF24C2"/>
    <w:rsid w:val="00BF2922"/>
    <w:rsid w:val="00BF5D7A"/>
    <w:rsid w:val="00C01C2E"/>
    <w:rsid w:val="00C02D33"/>
    <w:rsid w:val="00C04B53"/>
    <w:rsid w:val="00C1232C"/>
    <w:rsid w:val="00C27C6B"/>
    <w:rsid w:val="00C3594D"/>
    <w:rsid w:val="00C3607C"/>
    <w:rsid w:val="00C36442"/>
    <w:rsid w:val="00C400CE"/>
    <w:rsid w:val="00C410FD"/>
    <w:rsid w:val="00C457DE"/>
    <w:rsid w:val="00C47DD3"/>
    <w:rsid w:val="00C5316F"/>
    <w:rsid w:val="00C53562"/>
    <w:rsid w:val="00C539FB"/>
    <w:rsid w:val="00C56F03"/>
    <w:rsid w:val="00C66AA3"/>
    <w:rsid w:val="00C66E57"/>
    <w:rsid w:val="00C724D7"/>
    <w:rsid w:val="00C74150"/>
    <w:rsid w:val="00C74216"/>
    <w:rsid w:val="00C75594"/>
    <w:rsid w:val="00C85982"/>
    <w:rsid w:val="00CA0466"/>
    <w:rsid w:val="00CA246D"/>
    <w:rsid w:val="00CA50D9"/>
    <w:rsid w:val="00CB3054"/>
    <w:rsid w:val="00CB5636"/>
    <w:rsid w:val="00CB5F30"/>
    <w:rsid w:val="00CC3A10"/>
    <w:rsid w:val="00CC3EE5"/>
    <w:rsid w:val="00CC6E47"/>
    <w:rsid w:val="00CD1346"/>
    <w:rsid w:val="00CD4956"/>
    <w:rsid w:val="00CE425C"/>
    <w:rsid w:val="00CE58AC"/>
    <w:rsid w:val="00CF0770"/>
    <w:rsid w:val="00CF5A80"/>
    <w:rsid w:val="00D045EE"/>
    <w:rsid w:val="00D04953"/>
    <w:rsid w:val="00D05091"/>
    <w:rsid w:val="00D10CA6"/>
    <w:rsid w:val="00D10F21"/>
    <w:rsid w:val="00D134CF"/>
    <w:rsid w:val="00D1573B"/>
    <w:rsid w:val="00D16804"/>
    <w:rsid w:val="00D22B30"/>
    <w:rsid w:val="00D24806"/>
    <w:rsid w:val="00D2513D"/>
    <w:rsid w:val="00D34040"/>
    <w:rsid w:val="00D34E69"/>
    <w:rsid w:val="00D36C78"/>
    <w:rsid w:val="00D375EE"/>
    <w:rsid w:val="00D44DA8"/>
    <w:rsid w:val="00D47DA8"/>
    <w:rsid w:val="00D55456"/>
    <w:rsid w:val="00D55AE8"/>
    <w:rsid w:val="00D56056"/>
    <w:rsid w:val="00D6085F"/>
    <w:rsid w:val="00D62699"/>
    <w:rsid w:val="00D64040"/>
    <w:rsid w:val="00D778E9"/>
    <w:rsid w:val="00D81149"/>
    <w:rsid w:val="00D812BF"/>
    <w:rsid w:val="00D81AE2"/>
    <w:rsid w:val="00D82620"/>
    <w:rsid w:val="00D852E6"/>
    <w:rsid w:val="00D85707"/>
    <w:rsid w:val="00D94A24"/>
    <w:rsid w:val="00D9725F"/>
    <w:rsid w:val="00DA01B1"/>
    <w:rsid w:val="00DA11A2"/>
    <w:rsid w:val="00DA14ED"/>
    <w:rsid w:val="00DA26D6"/>
    <w:rsid w:val="00DA423B"/>
    <w:rsid w:val="00DA46C2"/>
    <w:rsid w:val="00DB1F29"/>
    <w:rsid w:val="00DB2EF1"/>
    <w:rsid w:val="00DB3DE1"/>
    <w:rsid w:val="00DB5DA0"/>
    <w:rsid w:val="00DB61E2"/>
    <w:rsid w:val="00DB716C"/>
    <w:rsid w:val="00DB7E52"/>
    <w:rsid w:val="00DC5045"/>
    <w:rsid w:val="00DC5C85"/>
    <w:rsid w:val="00DC7C5D"/>
    <w:rsid w:val="00DD4236"/>
    <w:rsid w:val="00DD44F1"/>
    <w:rsid w:val="00DD6957"/>
    <w:rsid w:val="00DD6E7A"/>
    <w:rsid w:val="00DE3067"/>
    <w:rsid w:val="00DE66DE"/>
    <w:rsid w:val="00DF3EEE"/>
    <w:rsid w:val="00DF6F16"/>
    <w:rsid w:val="00DF75E1"/>
    <w:rsid w:val="00E027BC"/>
    <w:rsid w:val="00E045BE"/>
    <w:rsid w:val="00E10F0D"/>
    <w:rsid w:val="00E11860"/>
    <w:rsid w:val="00E14EA5"/>
    <w:rsid w:val="00E2070E"/>
    <w:rsid w:val="00E21133"/>
    <w:rsid w:val="00E2327E"/>
    <w:rsid w:val="00E23577"/>
    <w:rsid w:val="00E266EF"/>
    <w:rsid w:val="00E30F63"/>
    <w:rsid w:val="00E326A8"/>
    <w:rsid w:val="00E42C3E"/>
    <w:rsid w:val="00E47428"/>
    <w:rsid w:val="00E56C8E"/>
    <w:rsid w:val="00E5716B"/>
    <w:rsid w:val="00E57F1F"/>
    <w:rsid w:val="00E6693F"/>
    <w:rsid w:val="00E66B9F"/>
    <w:rsid w:val="00E70012"/>
    <w:rsid w:val="00E70A6A"/>
    <w:rsid w:val="00E710D6"/>
    <w:rsid w:val="00E73DA4"/>
    <w:rsid w:val="00E76E45"/>
    <w:rsid w:val="00E777C9"/>
    <w:rsid w:val="00E81DA6"/>
    <w:rsid w:val="00E8262A"/>
    <w:rsid w:val="00E84212"/>
    <w:rsid w:val="00E9086C"/>
    <w:rsid w:val="00E90AAA"/>
    <w:rsid w:val="00E91A0F"/>
    <w:rsid w:val="00E94A71"/>
    <w:rsid w:val="00E94CBF"/>
    <w:rsid w:val="00EA03CE"/>
    <w:rsid w:val="00EA23E5"/>
    <w:rsid w:val="00EA2CEF"/>
    <w:rsid w:val="00EA4E2E"/>
    <w:rsid w:val="00EB2417"/>
    <w:rsid w:val="00EB2CCB"/>
    <w:rsid w:val="00EB7A25"/>
    <w:rsid w:val="00EC0F3E"/>
    <w:rsid w:val="00EC57A7"/>
    <w:rsid w:val="00ED0817"/>
    <w:rsid w:val="00ED6B10"/>
    <w:rsid w:val="00ED7DD9"/>
    <w:rsid w:val="00EE445B"/>
    <w:rsid w:val="00EF3113"/>
    <w:rsid w:val="00EF3F84"/>
    <w:rsid w:val="00F176AC"/>
    <w:rsid w:val="00F227EA"/>
    <w:rsid w:val="00F2442D"/>
    <w:rsid w:val="00F2549A"/>
    <w:rsid w:val="00F26F28"/>
    <w:rsid w:val="00F27714"/>
    <w:rsid w:val="00F3276E"/>
    <w:rsid w:val="00F33D3C"/>
    <w:rsid w:val="00F3486E"/>
    <w:rsid w:val="00F37A91"/>
    <w:rsid w:val="00F408A0"/>
    <w:rsid w:val="00F4404C"/>
    <w:rsid w:val="00F4410B"/>
    <w:rsid w:val="00F45CF5"/>
    <w:rsid w:val="00F47DB0"/>
    <w:rsid w:val="00F50C3F"/>
    <w:rsid w:val="00F50E34"/>
    <w:rsid w:val="00F51AFB"/>
    <w:rsid w:val="00F51C63"/>
    <w:rsid w:val="00F53EF7"/>
    <w:rsid w:val="00F54BF2"/>
    <w:rsid w:val="00F67F63"/>
    <w:rsid w:val="00F775AC"/>
    <w:rsid w:val="00F826CC"/>
    <w:rsid w:val="00F8792F"/>
    <w:rsid w:val="00F9214D"/>
    <w:rsid w:val="00F92355"/>
    <w:rsid w:val="00F93963"/>
    <w:rsid w:val="00F94291"/>
    <w:rsid w:val="00FA298A"/>
    <w:rsid w:val="00FA5B66"/>
    <w:rsid w:val="00FB0B9C"/>
    <w:rsid w:val="00FB30EB"/>
    <w:rsid w:val="00FB4539"/>
    <w:rsid w:val="00FB7982"/>
    <w:rsid w:val="00FC0734"/>
    <w:rsid w:val="00FC0FC5"/>
    <w:rsid w:val="00FC2608"/>
    <w:rsid w:val="00FC449C"/>
    <w:rsid w:val="00FC588F"/>
    <w:rsid w:val="00FC6879"/>
    <w:rsid w:val="00FD0930"/>
    <w:rsid w:val="00FD43C2"/>
    <w:rsid w:val="00FD57CC"/>
    <w:rsid w:val="00FD7A11"/>
    <w:rsid w:val="00FE1B30"/>
    <w:rsid w:val="00FE2A6A"/>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2841C7D"/>
  <w15:docId w15:val="{4DAD0BB3-E7BA-467F-93AC-B9B4786F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character" w:customStyle="1" w:styleId="ssbf">
    <w:name w:val="ss_bf"/>
    <w:basedOn w:val="DefaultParagraphFont"/>
    <w:rsid w:val="0034770B"/>
  </w:style>
  <w:style w:type="character" w:customStyle="1" w:styleId="ssit">
    <w:name w:val="ss_it"/>
    <w:basedOn w:val="DefaultParagraphFont"/>
    <w:rsid w:val="0034770B"/>
  </w:style>
  <w:style w:type="numbering" w:customStyle="1" w:styleId="ArticleSection1">
    <w:name w:val="Article / Section1"/>
    <w:basedOn w:val="NoList"/>
    <w:next w:val="ArticleSection"/>
    <w:semiHidden/>
    <w:unhideWhenUsed/>
    <w:rsid w:val="00F4404C"/>
  </w:style>
  <w:style w:type="numbering" w:customStyle="1" w:styleId="FCListNoalt4">
    <w:name w:val="FC List No (alt)4"/>
    <w:uiPriority w:val="99"/>
    <w:rsid w:val="00F4404C"/>
  </w:style>
  <w:style w:type="paragraph" w:customStyle="1" w:styleId="Default">
    <w:name w:val="Default"/>
    <w:rsid w:val="00E6693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25793">
      <w:bodyDiv w:val="1"/>
      <w:marLeft w:val="0"/>
      <w:marRight w:val="0"/>
      <w:marTop w:val="0"/>
      <w:marBottom w:val="0"/>
      <w:divBdr>
        <w:top w:val="none" w:sz="0" w:space="0" w:color="auto"/>
        <w:left w:val="none" w:sz="0" w:space="0" w:color="auto"/>
        <w:bottom w:val="none" w:sz="0" w:space="0" w:color="auto"/>
        <w:right w:val="none" w:sz="0" w:space="0" w:color="auto"/>
      </w:divBdr>
    </w:div>
    <w:div w:id="906845967">
      <w:bodyDiv w:val="1"/>
      <w:marLeft w:val="0"/>
      <w:marRight w:val="0"/>
      <w:marTop w:val="0"/>
      <w:marBottom w:val="0"/>
      <w:divBdr>
        <w:top w:val="none" w:sz="0" w:space="0" w:color="auto"/>
        <w:left w:val="none" w:sz="0" w:space="0" w:color="auto"/>
        <w:bottom w:val="none" w:sz="0" w:space="0" w:color="auto"/>
        <w:right w:val="none" w:sz="0" w:space="0" w:color="auto"/>
      </w:divBdr>
      <w:divsChild>
        <w:div w:id="168175433">
          <w:marLeft w:val="0"/>
          <w:marRight w:val="300"/>
          <w:marTop w:val="0"/>
          <w:marBottom w:val="0"/>
          <w:divBdr>
            <w:top w:val="single" w:sz="6" w:space="26" w:color="BCBEC0"/>
            <w:left w:val="single" w:sz="6" w:space="26" w:color="BCBEC0"/>
            <w:bottom w:val="single" w:sz="6" w:space="26" w:color="BCBEC0"/>
            <w:right w:val="single" w:sz="6" w:space="26" w:color="BCBEC0"/>
          </w:divBdr>
          <w:divsChild>
            <w:div w:id="1589848554">
              <w:marLeft w:val="0"/>
              <w:marRight w:val="0"/>
              <w:marTop w:val="0"/>
              <w:marBottom w:val="0"/>
              <w:divBdr>
                <w:top w:val="none" w:sz="0" w:space="0" w:color="auto"/>
                <w:left w:val="none" w:sz="0" w:space="0" w:color="auto"/>
                <w:bottom w:val="none" w:sz="0" w:space="0" w:color="auto"/>
                <w:right w:val="none" w:sz="0" w:space="0" w:color="auto"/>
              </w:divBdr>
              <w:divsChild>
                <w:div w:id="403843708">
                  <w:marLeft w:val="0"/>
                  <w:marRight w:val="0"/>
                  <w:marTop w:val="0"/>
                  <w:marBottom w:val="0"/>
                  <w:divBdr>
                    <w:top w:val="none" w:sz="0" w:space="0" w:color="auto"/>
                    <w:left w:val="none" w:sz="0" w:space="0" w:color="auto"/>
                    <w:bottom w:val="none" w:sz="0" w:space="0" w:color="auto"/>
                    <w:right w:val="none" w:sz="0" w:space="0" w:color="auto"/>
                  </w:divBdr>
                  <w:divsChild>
                    <w:div w:id="5328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86627">
          <w:marLeft w:val="0"/>
          <w:marRight w:val="0"/>
          <w:marTop w:val="0"/>
          <w:marBottom w:val="0"/>
          <w:divBdr>
            <w:top w:val="none" w:sz="0" w:space="0" w:color="auto"/>
            <w:left w:val="none" w:sz="0" w:space="0" w:color="auto"/>
            <w:bottom w:val="none" w:sz="0" w:space="0" w:color="auto"/>
            <w:right w:val="none" w:sz="0" w:space="0" w:color="auto"/>
          </w:divBdr>
          <w:divsChild>
            <w:div w:id="2019118914">
              <w:marLeft w:val="0"/>
              <w:marRight w:val="0"/>
              <w:marTop w:val="0"/>
              <w:marBottom w:val="0"/>
              <w:divBdr>
                <w:top w:val="none" w:sz="0" w:space="0" w:color="auto"/>
                <w:left w:val="none" w:sz="0" w:space="0" w:color="auto"/>
                <w:bottom w:val="none" w:sz="0" w:space="0" w:color="auto"/>
                <w:right w:val="none" w:sz="0" w:space="0" w:color="auto"/>
              </w:divBdr>
              <w:divsChild>
                <w:div w:id="443882991">
                  <w:marLeft w:val="0"/>
                  <w:marRight w:val="0"/>
                  <w:marTop w:val="0"/>
                  <w:marBottom w:val="0"/>
                  <w:divBdr>
                    <w:top w:val="none" w:sz="0" w:space="0" w:color="auto"/>
                    <w:left w:val="none" w:sz="0" w:space="0" w:color="auto"/>
                    <w:bottom w:val="none" w:sz="0" w:space="0" w:color="auto"/>
                    <w:right w:val="none" w:sz="0" w:space="0" w:color="auto"/>
                  </w:divBdr>
                  <w:divsChild>
                    <w:div w:id="2027511198">
                      <w:marLeft w:val="0"/>
                      <w:marRight w:val="0"/>
                      <w:marTop w:val="0"/>
                      <w:marBottom w:val="0"/>
                      <w:divBdr>
                        <w:top w:val="none" w:sz="0" w:space="0" w:color="auto"/>
                        <w:left w:val="none" w:sz="0" w:space="0" w:color="auto"/>
                        <w:bottom w:val="none" w:sz="0" w:space="0" w:color="auto"/>
                        <w:right w:val="none" w:sz="0" w:space="0" w:color="auto"/>
                      </w:divBdr>
                      <w:divsChild>
                        <w:div w:id="2022314298">
                          <w:marLeft w:val="0"/>
                          <w:marRight w:val="0"/>
                          <w:marTop w:val="0"/>
                          <w:marBottom w:val="0"/>
                          <w:divBdr>
                            <w:top w:val="single" w:sz="36" w:space="0" w:color="FFFFFF"/>
                            <w:left w:val="none" w:sz="0" w:space="0" w:color="auto"/>
                            <w:bottom w:val="none" w:sz="0" w:space="0" w:color="auto"/>
                            <w:right w:val="none" w:sz="0" w:space="0" w:color="auto"/>
                          </w:divBdr>
                          <w:divsChild>
                            <w:div w:id="1873109732">
                              <w:marLeft w:val="0"/>
                              <w:marRight w:val="0"/>
                              <w:marTop w:val="0"/>
                              <w:marBottom w:val="0"/>
                              <w:divBdr>
                                <w:top w:val="none" w:sz="0" w:space="0" w:color="auto"/>
                                <w:left w:val="none" w:sz="0" w:space="0" w:color="auto"/>
                                <w:bottom w:val="none" w:sz="0" w:space="0" w:color="auto"/>
                                <w:right w:val="none" w:sz="0" w:space="0" w:color="auto"/>
                              </w:divBdr>
                              <w:divsChild>
                                <w:div w:id="1969897302">
                                  <w:marLeft w:val="120"/>
                                  <w:marRight w:val="120"/>
                                  <w:marTop w:val="60"/>
                                  <w:marBottom w:val="60"/>
                                  <w:divBdr>
                                    <w:top w:val="none" w:sz="0" w:space="0" w:color="auto"/>
                                    <w:left w:val="none" w:sz="0" w:space="0" w:color="auto"/>
                                    <w:bottom w:val="none" w:sz="0" w:space="0" w:color="auto"/>
                                    <w:right w:val="none" w:sz="0" w:space="0" w:color="auto"/>
                                  </w:divBdr>
                                </w:div>
                                <w:div w:id="253053709">
                                  <w:marLeft w:val="0"/>
                                  <w:marRight w:val="0"/>
                                  <w:marTop w:val="90"/>
                                  <w:marBottom w:val="90"/>
                                  <w:divBdr>
                                    <w:top w:val="none" w:sz="0" w:space="0" w:color="auto"/>
                                    <w:left w:val="none" w:sz="0" w:space="0" w:color="auto"/>
                                    <w:bottom w:val="none" w:sz="0" w:space="0" w:color="auto"/>
                                    <w:right w:val="none" w:sz="0" w:space="0" w:color="auto"/>
                                  </w:divBdr>
                                  <w:divsChild>
                                    <w:div w:id="1399211741">
                                      <w:marLeft w:val="240"/>
                                      <w:marRight w:val="0"/>
                                      <w:marTop w:val="0"/>
                                      <w:marBottom w:val="0"/>
                                      <w:divBdr>
                                        <w:top w:val="none" w:sz="0" w:space="0" w:color="auto"/>
                                        <w:left w:val="none" w:sz="0" w:space="0" w:color="auto"/>
                                        <w:bottom w:val="none" w:sz="0" w:space="0" w:color="auto"/>
                                        <w:right w:val="none" w:sz="0" w:space="0" w:color="auto"/>
                                      </w:divBdr>
                                    </w:div>
                                    <w:div w:id="846359596">
                                      <w:marLeft w:val="0"/>
                                      <w:marRight w:val="165"/>
                                      <w:marTop w:val="0"/>
                                      <w:marBottom w:val="0"/>
                                      <w:divBdr>
                                        <w:top w:val="none" w:sz="0" w:space="0" w:color="auto"/>
                                        <w:left w:val="none" w:sz="0" w:space="0" w:color="auto"/>
                                        <w:bottom w:val="none" w:sz="0" w:space="0" w:color="auto"/>
                                        <w:right w:val="none" w:sz="0" w:space="0" w:color="auto"/>
                                      </w:divBdr>
                                    </w:div>
                                  </w:divsChild>
                                </w:div>
                                <w:div w:id="1465385029">
                                  <w:marLeft w:val="0"/>
                                  <w:marRight w:val="0"/>
                                  <w:marTop w:val="0"/>
                                  <w:marBottom w:val="0"/>
                                  <w:divBdr>
                                    <w:top w:val="none" w:sz="0" w:space="0" w:color="auto"/>
                                    <w:left w:val="none" w:sz="0" w:space="0" w:color="auto"/>
                                    <w:bottom w:val="none" w:sz="0" w:space="0" w:color="auto"/>
                                    <w:right w:val="none" w:sz="0" w:space="0" w:color="auto"/>
                                  </w:divBdr>
                                  <w:divsChild>
                                    <w:div w:id="12855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4062">
      <w:bodyDiv w:val="1"/>
      <w:marLeft w:val="0"/>
      <w:marRight w:val="0"/>
      <w:marTop w:val="0"/>
      <w:marBottom w:val="0"/>
      <w:divBdr>
        <w:top w:val="none" w:sz="0" w:space="0" w:color="auto"/>
        <w:left w:val="none" w:sz="0" w:space="0" w:color="auto"/>
        <w:bottom w:val="none" w:sz="0" w:space="0" w:color="auto"/>
        <w:right w:val="none" w:sz="0" w:space="0" w:color="auto"/>
      </w:divBdr>
    </w:div>
    <w:div w:id="195817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636581AB8142B38CCE3B862590A2CB"/>
        <w:category>
          <w:name w:val="General"/>
          <w:gallery w:val="placeholder"/>
        </w:category>
        <w:types>
          <w:type w:val="bbPlcHdr"/>
        </w:types>
        <w:behaviors>
          <w:behavior w:val="content"/>
        </w:behaviors>
        <w:guid w:val="{A3C9D062-8EEF-4416-8738-93A65B14AA1B}"/>
      </w:docPartPr>
      <w:docPartBody>
        <w:p w:rsidR="00670E41" w:rsidRDefault="00670E41">
          <w:pPr>
            <w:pStyle w:val="A6636581AB8142B38CCE3B862590A2CB"/>
          </w:pPr>
          <w:r>
            <w:rPr>
              <w:rStyle w:val="PlaceholderText"/>
            </w:rPr>
            <w:t>MNC Text</w:t>
          </w:r>
        </w:p>
      </w:docPartBody>
    </w:docPart>
    <w:docPart>
      <w:docPartPr>
        <w:name w:val="7CD0CDFAC90D4D3CA9AAD1D81606F944"/>
        <w:category>
          <w:name w:val="General"/>
          <w:gallery w:val="placeholder"/>
        </w:category>
        <w:types>
          <w:type w:val="bbPlcHdr"/>
        </w:types>
        <w:behaviors>
          <w:behavior w:val="content"/>
        </w:behaviors>
        <w:guid w:val="{BF27CD64-E73A-4C28-A938-996761E595E3}"/>
      </w:docPartPr>
      <w:docPartBody>
        <w:p w:rsidR="00670E41" w:rsidRDefault="00670E41">
          <w:pPr>
            <w:pStyle w:val="7CD0CDFAC90D4D3CA9AAD1D81606F944"/>
          </w:pPr>
          <w:r w:rsidRPr="005C44BE">
            <w:rPr>
              <w:rStyle w:val="PlaceholderText"/>
            </w:rPr>
            <w:t>Click or tap here to enter text.</w:t>
          </w:r>
        </w:p>
      </w:docPartBody>
    </w:docPart>
    <w:docPart>
      <w:docPartPr>
        <w:name w:val="05CCBCE1FAF84DD7AC3FC809B84C95BF"/>
        <w:category>
          <w:name w:val="General"/>
          <w:gallery w:val="placeholder"/>
        </w:category>
        <w:types>
          <w:type w:val="bbPlcHdr"/>
        </w:types>
        <w:behaviors>
          <w:behavior w:val="content"/>
        </w:behaviors>
        <w:guid w:val="{5DD5A584-2ED9-4D2A-970D-F638B4CED1B0}"/>
      </w:docPartPr>
      <w:docPartBody>
        <w:p w:rsidR="00670E41" w:rsidRDefault="00670E41">
          <w:pPr>
            <w:pStyle w:val="05CCBCE1FAF84DD7AC3FC809B84C95BF"/>
          </w:pPr>
          <w:r w:rsidRPr="005C44BE">
            <w:rPr>
              <w:rStyle w:val="PlaceholderText"/>
            </w:rPr>
            <w:t>Click or tap here to enter text.</w:t>
          </w:r>
        </w:p>
      </w:docPartBody>
    </w:docPart>
    <w:docPart>
      <w:docPartPr>
        <w:name w:val="4093EAAE68134DC5BB6D0A665244D040"/>
        <w:category>
          <w:name w:val="General"/>
          <w:gallery w:val="placeholder"/>
        </w:category>
        <w:types>
          <w:type w:val="bbPlcHdr"/>
        </w:types>
        <w:behaviors>
          <w:behavior w:val="content"/>
        </w:behaviors>
        <w:guid w:val="{EA759189-6A21-4BE2-AB90-34E6185040A0}"/>
      </w:docPartPr>
      <w:docPartBody>
        <w:p w:rsidR="00670E41" w:rsidRDefault="00670E41">
          <w:pPr>
            <w:pStyle w:val="4093EAAE68134DC5BB6D0A665244D040"/>
          </w:pPr>
          <w:r w:rsidRPr="005C44BE">
            <w:rPr>
              <w:rStyle w:val="PlaceholderText"/>
            </w:rPr>
            <w:t>Click or tap here to enter text.</w:t>
          </w:r>
        </w:p>
      </w:docPartBody>
    </w:docPart>
    <w:docPart>
      <w:docPartPr>
        <w:name w:val="C06B9666F9904DAF9137E1ECDAF93FF3"/>
        <w:category>
          <w:name w:val="General"/>
          <w:gallery w:val="placeholder"/>
        </w:category>
        <w:types>
          <w:type w:val="bbPlcHdr"/>
        </w:types>
        <w:behaviors>
          <w:behavior w:val="content"/>
        </w:behaviors>
        <w:guid w:val="{CDC75EA9-B740-448B-82B3-552CC0E393E9}"/>
      </w:docPartPr>
      <w:docPartBody>
        <w:p w:rsidR="00670E41" w:rsidRDefault="00670E41">
          <w:pPr>
            <w:pStyle w:val="C06B9666F9904DAF9137E1ECDAF93FF3"/>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41"/>
    <w:rsid w:val="00616711"/>
    <w:rsid w:val="00622767"/>
    <w:rsid w:val="00670E41"/>
    <w:rsid w:val="006F3082"/>
    <w:rsid w:val="00B75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711"/>
    <w:rPr>
      <w:color w:val="808080"/>
    </w:rPr>
  </w:style>
  <w:style w:type="paragraph" w:customStyle="1" w:styleId="A6636581AB8142B38CCE3B862590A2CB">
    <w:name w:val="A6636581AB8142B38CCE3B862590A2CB"/>
  </w:style>
  <w:style w:type="paragraph" w:customStyle="1" w:styleId="7CD0CDFAC90D4D3CA9AAD1D81606F944">
    <w:name w:val="7CD0CDFAC90D4D3CA9AAD1D81606F944"/>
  </w:style>
  <w:style w:type="paragraph" w:customStyle="1" w:styleId="05CCBCE1FAF84DD7AC3FC809B84C95BF">
    <w:name w:val="05CCBCE1FAF84DD7AC3FC809B84C95BF"/>
  </w:style>
  <w:style w:type="paragraph" w:customStyle="1" w:styleId="4093EAAE68134DC5BB6D0A665244D040">
    <w:name w:val="4093EAAE68134DC5BB6D0A665244D040"/>
  </w:style>
  <w:style w:type="paragraph" w:customStyle="1" w:styleId="C06B9666F9904DAF9137E1ECDAF93FF3">
    <w:name w:val="C06B9666F9904DAF9137E1ECDAF93FF3"/>
  </w:style>
  <w:style w:type="paragraph" w:customStyle="1" w:styleId="A4381B04564C4D43AFF47748DE76A52B">
    <w:name w:val="A4381B04564C4D43AFF47748DE76A52B"/>
    <w:rsid w:val="006167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Stuart v Rabobank Australia Ltd (No 2) [2021] FCA 1626</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2B9EB0AD-AEF6-4925-A304-36C2B4425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22</Pages>
  <Words>7763</Words>
  <Characters>39734</Characters>
  <Application>Microsoft Office Word</Application>
  <DocSecurity>0</DocSecurity>
  <Lines>764</Lines>
  <Paragraphs>284</Paragraphs>
  <ScaleCrop>false</ScaleCrop>
  <HeadingPairs>
    <vt:vector size="2" baseType="variant">
      <vt:variant>
        <vt:lpstr>Title</vt:lpstr>
      </vt:variant>
      <vt:variant>
        <vt:i4>1</vt:i4>
      </vt:variant>
    </vt:vector>
  </HeadingPairs>
  <TitlesOfParts>
    <vt:vector size="1" baseType="lpstr">
      <vt:lpstr>Stuart v Rabobank Australia Ltd (No 2) [2021] FCA 1626</vt:lpstr>
    </vt:vector>
  </TitlesOfParts>
  <Company>Federal Court of Australia</Company>
  <LinksUpToDate>false</LinksUpToDate>
  <CharactersWithSpaces>47213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Stuart v Rabobank Australia Ltd (No 2) [2021] FCA 1626</dc:title>
  <dc:creator>Sona Muradyan</dc:creator>
  <dc:description>v1.3</dc:description>
  <cp:lastModifiedBy>Sona Muradyan</cp:lastModifiedBy>
  <cp:revision>3</cp:revision>
  <cp:lastPrinted>2006-02-06T01:31:00Z</cp:lastPrinted>
  <dcterms:created xsi:type="dcterms:W3CDTF">2021-12-21T22:44:00Z</dcterms:created>
  <dcterms:modified xsi:type="dcterms:W3CDTF">2021-12-21T22:45:00Z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4</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Commercial Contracts, Banking, Finance and Insurance</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