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B63870" w:rsidP="00A22932">
      <w:pPr>
        <w:pStyle w:val="CourtTitle"/>
      </w:pPr>
      <w:fldSimple w:instr=" DOCPROPERTY  Court  \* MERGEFORMAT ">
        <w:r w:rsidR="001E75F1">
          <w:t>Federal Court of Australia</w:t>
        </w:r>
      </w:fldSimple>
    </w:p>
    <w:p w:rsidR="00395B24" w:rsidRDefault="00395B24">
      <w:pPr>
        <w:pStyle w:val="NormalHeadings"/>
        <w:jc w:val="center"/>
        <w:rPr>
          <w:sz w:val="32"/>
        </w:rPr>
      </w:pPr>
    </w:p>
    <w:p w:rsidR="00374CC4" w:rsidRDefault="001E75F1" w:rsidP="001A2B40">
      <w:pPr>
        <w:pStyle w:val="MNC"/>
      </w:pPr>
      <w:bookmarkStart w:id="0" w:name="MNC"/>
      <w:r w:rsidRPr="001E75F1">
        <w:rPr>
          <w:color w:val="000000"/>
          <w:szCs w:val="24"/>
          <w:lang w:eastAsia="en-AU"/>
        </w:rPr>
        <w:t>A</w:t>
      </w:r>
      <w:r w:rsidR="00500FF0">
        <w:rPr>
          <w:color w:val="000000"/>
          <w:szCs w:val="24"/>
          <w:lang w:eastAsia="en-AU"/>
        </w:rPr>
        <w:t xml:space="preserve">ustralian </w:t>
      </w:r>
      <w:r w:rsidRPr="001E75F1">
        <w:rPr>
          <w:color w:val="000000"/>
          <w:szCs w:val="24"/>
          <w:lang w:eastAsia="en-AU"/>
        </w:rPr>
        <w:t>C</w:t>
      </w:r>
      <w:r w:rsidR="00500FF0">
        <w:rPr>
          <w:color w:val="000000"/>
          <w:szCs w:val="24"/>
          <w:lang w:eastAsia="en-AU"/>
        </w:rPr>
        <w:t xml:space="preserve">ompetition and </w:t>
      </w:r>
      <w:r w:rsidRPr="001E75F1">
        <w:rPr>
          <w:color w:val="000000"/>
          <w:szCs w:val="24"/>
          <w:lang w:eastAsia="en-AU"/>
        </w:rPr>
        <w:t>C</w:t>
      </w:r>
      <w:r w:rsidR="00500FF0">
        <w:rPr>
          <w:color w:val="000000"/>
          <w:szCs w:val="24"/>
          <w:lang w:eastAsia="en-AU"/>
        </w:rPr>
        <w:t xml:space="preserve">onsumer </w:t>
      </w:r>
      <w:r w:rsidRPr="001E75F1">
        <w:rPr>
          <w:color w:val="000000"/>
          <w:szCs w:val="24"/>
          <w:lang w:eastAsia="en-AU"/>
        </w:rPr>
        <w:t>C</w:t>
      </w:r>
      <w:r w:rsidR="00500FF0">
        <w:rPr>
          <w:color w:val="000000"/>
          <w:szCs w:val="24"/>
          <w:lang w:eastAsia="en-AU"/>
        </w:rPr>
        <w:t>ommission</w:t>
      </w:r>
      <w:r w:rsidRPr="001E75F1">
        <w:rPr>
          <w:color w:val="000000"/>
          <w:szCs w:val="24"/>
          <w:lang w:eastAsia="en-AU"/>
        </w:rPr>
        <w:t xml:space="preserve"> v Tasmanian Ports Corporation Pty Ltd</w:t>
      </w:r>
      <w:r>
        <w:rPr>
          <w:color w:val="000000"/>
          <w:szCs w:val="24"/>
          <w:lang w:eastAsia="en-AU"/>
        </w:rPr>
        <w:t xml:space="preserve"> [2021] FCA </w:t>
      </w:r>
      <w:r w:rsidR="007538A0">
        <w:rPr>
          <w:color w:val="000000"/>
          <w:szCs w:val="24"/>
          <w:lang w:eastAsia="en-AU"/>
        </w:rPr>
        <w:t>482</w:t>
      </w:r>
      <w:r w:rsidRPr="001E75F1">
        <w:rPr>
          <w:color w:val="000000"/>
          <w:szCs w:val="24"/>
          <w:lang w:eastAsia="en-AU"/>
        </w:rPr>
        <w:t xml:space="preserve"> </w:t>
      </w:r>
      <w:bookmarkEnd w:id="0"/>
      <w:r w:rsidR="005C185C">
        <w:t xml:space="preserve"> </w:t>
      </w:r>
    </w:p>
    <w:tbl>
      <w:tblPr>
        <w:tblW w:w="9073" w:type="dxa"/>
        <w:tblLayout w:type="fixed"/>
        <w:tblLook w:val="01E0" w:firstRow="1" w:lastRow="1" w:firstColumn="1" w:lastColumn="1" w:noHBand="0" w:noVBand="0"/>
      </w:tblPr>
      <w:tblGrid>
        <w:gridCol w:w="3083"/>
        <w:gridCol w:w="5990"/>
      </w:tblGrid>
      <w:tr w:rsidR="00395B24" w:rsidTr="00D1697D">
        <w:tc>
          <w:tcPr>
            <w:tcW w:w="3083" w:type="dxa"/>
            <w:shd w:val="clear" w:color="auto" w:fill="auto"/>
          </w:tcPr>
          <w:p w:rsidR="00395B24" w:rsidRDefault="002C7385" w:rsidP="00663878">
            <w:pPr>
              <w:pStyle w:val="Normal1linespace"/>
              <w:widowControl w:val="0"/>
              <w:jc w:val="left"/>
            </w:pPr>
            <w:r>
              <w:t>File number(s):</w:t>
            </w:r>
          </w:p>
        </w:tc>
        <w:tc>
          <w:tcPr>
            <w:tcW w:w="5990" w:type="dxa"/>
            <w:shd w:val="clear" w:color="auto" w:fill="auto"/>
          </w:tcPr>
          <w:p w:rsidR="00395B24" w:rsidRPr="001E75F1" w:rsidRDefault="00EE0DCD" w:rsidP="001E75F1">
            <w:pPr>
              <w:pStyle w:val="Normal1linespace"/>
              <w:jc w:val="left"/>
            </w:pPr>
            <w:fldSimple w:instr=" REF  FileNo  \* MERGEFORMAT " w:fldLock="1">
              <w:r w:rsidR="001E75F1" w:rsidRPr="001E75F1">
                <w:t>VID 1328 of 2019</w:t>
              </w:r>
            </w:fldSimple>
          </w:p>
        </w:tc>
      </w:tr>
      <w:tr w:rsidR="00395B24" w:rsidTr="00D1697D">
        <w:tc>
          <w:tcPr>
            <w:tcW w:w="3083" w:type="dxa"/>
            <w:shd w:val="clear" w:color="auto" w:fill="auto"/>
          </w:tcPr>
          <w:p w:rsidR="00395B24" w:rsidRDefault="00395B24" w:rsidP="00663878">
            <w:pPr>
              <w:pStyle w:val="Normal1linespace"/>
              <w:widowControl w:val="0"/>
              <w:jc w:val="left"/>
            </w:pPr>
          </w:p>
        </w:tc>
        <w:tc>
          <w:tcPr>
            <w:tcW w:w="5990" w:type="dxa"/>
            <w:shd w:val="clear" w:color="auto" w:fill="auto"/>
          </w:tcPr>
          <w:p w:rsidR="00395B24" w:rsidRDefault="00395B24" w:rsidP="00663878">
            <w:pPr>
              <w:pStyle w:val="Normal1linespace"/>
              <w:widowControl w:val="0"/>
              <w:jc w:val="left"/>
            </w:pPr>
          </w:p>
        </w:tc>
      </w:tr>
      <w:tr w:rsidR="00395B24" w:rsidTr="00D1697D">
        <w:tc>
          <w:tcPr>
            <w:tcW w:w="3083" w:type="dxa"/>
            <w:shd w:val="clear" w:color="auto" w:fill="auto"/>
          </w:tcPr>
          <w:p w:rsidR="00395B24" w:rsidRDefault="002C7385" w:rsidP="00663878">
            <w:pPr>
              <w:pStyle w:val="Normal1linespace"/>
              <w:widowControl w:val="0"/>
              <w:jc w:val="left"/>
            </w:pPr>
            <w:r>
              <w:t>Judg</w:t>
            </w:r>
            <w:r w:rsidR="005724F6">
              <w:t>ment of</w:t>
            </w:r>
            <w:r>
              <w:t>:</w:t>
            </w:r>
          </w:p>
        </w:tc>
        <w:tc>
          <w:tcPr>
            <w:tcW w:w="5990" w:type="dxa"/>
            <w:shd w:val="clear" w:color="auto" w:fill="auto"/>
          </w:tcPr>
          <w:p w:rsidR="00395B24" w:rsidRDefault="002C7385" w:rsidP="00663878">
            <w:pPr>
              <w:pStyle w:val="Normal1linespace"/>
              <w:widowControl w:val="0"/>
              <w:jc w:val="left"/>
              <w:rPr>
                <w:b/>
              </w:rPr>
            </w:pPr>
            <w:r w:rsidRPr="001E75F1">
              <w:rPr>
                <w:b/>
              </w:rPr>
              <w:fldChar w:fldCharType="begin" w:fldLock="1"/>
            </w:r>
            <w:r w:rsidRPr="001E75F1">
              <w:rPr>
                <w:b/>
              </w:rPr>
              <w:instrText xml:space="preserve"> REF  Judge  \* MERGEFORMAT </w:instrText>
            </w:r>
            <w:r w:rsidRPr="001E75F1">
              <w:rPr>
                <w:b/>
              </w:rPr>
              <w:fldChar w:fldCharType="separate"/>
            </w:r>
            <w:r w:rsidR="001E75F1" w:rsidRPr="001E75F1">
              <w:rPr>
                <w:b/>
                <w:caps/>
                <w:szCs w:val="24"/>
              </w:rPr>
              <w:t>DAVIES J</w:t>
            </w:r>
            <w:r w:rsidRPr="001E75F1">
              <w:rPr>
                <w:b/>
              </w:rPr>
              <w:fldChar w:fldCharType="end"/>
            </w:r>
          </w:p>
        </w:tc>
      </w:tr>
      <w:tr w:rsidR="00395B24" w:rsidTr="00D1697D">
        <w:tc>
          <w:tcPr>
            <w:tcW w:w="3083" w:type="dxa"/>
            <w:shd w:val="clear" w:color="auto" w:fill="auto"/>
          </w:tcPr>
          <w:p w:rsidR="00395B24" w:rsidRDefault="00395B24" w:rsidP="00663878">
            <w:pPr>
              <w:pStyle w:val="Normal1linespace"/>
              <w:widowControl w:val="0"/>
              <w:jc w:val="left"/>
            </w:pPr>
          </w:p>
        </w:tc>
        <w:tc>
          <w:tcPr>
            <w:tcW w:w="5990" w:type="dxa"/>
            <w:shd w:val="clear" w:color="auto" w:fill="auto"/>
          </w:tcPr>
          <w:p w:rsidR="00395B24" w:rsidRDefault="00395B24" w:rsidP="00663878">
            <w:pPr>
              <w:pStyle w:val="Normal1linespace"/>
              <w:widowControl w:val="0"/>
              <w:jc w:val="left"/>
            </w:pPr>
          </w:p>
        </w:tc>
      </w:tr>
      <w:tr w:rsidR="00395B24" w:rsidTr="00D1697D">
        <w:tc>
          <w:tcPr>
            <w:tcW w:w="3083" w:type="dxa"/>
            <w:shd w:val="clear" w:color="auto" w:fill="auto"/>
          </w:tcPr>
          <w:p w:rsidR="00395B24" w:rsidRDefault="002C7385" w:rsidP="00663878">
            <w:pPr>
              <w:pStyle w:val="Normal1linespace"/>
              <w:widowControl w:val="0"/>
              <w:jc w:val="left"/>
            </w:pPr>
            <w:r>
              <w:t>Date of judgment:</w:t>
            </w:r>
          </w:p>
        </w:tc>
        <w:tc>
          <w:tcPr>
            <w:tcW w:w="5990" w:type="dxa"/>
            <w:shd w:val="clear" w:color="auto" w:fill="auto"/>
          </w:tcPr>
          <w:p w:rsidR="00395B24" w:rsidRDefault="00291C3E" w:rsidP="00663878">
            <w:pPr>
              <w:pStyle w:val="Normal1linespace"/>
              <w:widowControl w:val="0"/>
              <w:jc w:val="left"/>
            </w:pPr>
            <w:r>
              <w:t>7 May 2021</w:t>
            </w:r>
          </w:p>
        </w:tc>
      </w:tr>
      <w:tr w:rsidR="00395B24" w:rsidTr="00D1697D">
        <w:tc>
          <w:tcPr>
            <w:tcW w:w="3083" w:type="dxa"/>
            <w:shd w:val="clear" w:color="auto" w:fill="auto"/>
          </w:tcPr>
          <w:p w:rsidR="00395B24" w:rsidRDefault="00395B24" w:rsidP="00663878">
            <w:pPr>
              <w:pStyle w:val="Normal1linespace"/>
              <w:widowControl w:val="0"/>
              <w:jc w:val="left"/>
            </w:pPr>
          </w:p>
        </w:tc>
        <w:tc>
          <w:tcPr>
            <w:tcW w:w="5990" w:type="dxa"/>
            <w:shd w:val="clear" w:color="auto" w:fill="auto"/>
          </w:tcPr>
          <w:p w:rsidR="00395B24" w:rsidRDefault="00395B24" w:rsidP="00663878">
            <w:pPr>
              <w:pStyle w:val="Normal1linespace"/>
              <w:widowControl w:val="0"/>
              <w:jc w:val="left"/>
            </w:pPr>
          </w:p>
        </w:tc>
      </w:tr>
      <w:tr w:rsidR="00395B24" w:rsidTr="00D1697D">
        <w:tc>
          <w:tcPr>
            <w:tcW w:w="3083" w:type="dxa"/>
            <w:shd w:val="clear" w:color="auto" w:fill="auto"/>
          </w:tcPr>
          <w:p w:rsidR="00395B24" w:rsidRDefault="002C7385" w:rsidP="00663878">
            <w:pPr>
              <w:pStyle w:val="Normal1linespace"/>
              <w:widowControl w:val="0"/>
              <w:jc w:val="left"/>
            </w:pPr>
            <w:r>
              <w:t>Catchwords:</w:t>
            </w:r>
          </w:p>
        </w:tc>
        <w:tc>
          <w:tcPr>
            <w:tcW w:w="5990" w:type="dxa"/>
            <w:shd w:val="clear" w:color="auto" w:fill="auto"/>
          </w:tcPr>
          <w:p w:rsidR="00AB4DA8" w:rsidRPr="00954313" w:rsidRDefault="0082262A" w:rsidP="00BE5894">
            <w:pPr>
              <w:pStyle w:val="Normal1linespace"/>
              <w:widowControl w:val="0"/>
              <w:jc w:val="left"/>
            </w:pPr>
            <w:bookmarkStart w:id="1" w:name="Catchwords"/>
            <w:r w:rsidRPr="00954313">
              <w:rPr>
                <w:b/>
              </w:rPr>
              <w:t>COMPETITION</w:t>
            </w:r>
            <w:r w:rsidRPr="00954313">
              <w:t xml:space="preserve"> – </w:t>
            </w:r>
            <w:r w:rsidR="00BE5894" w:rsidRPr="00954313">
              <w:t xml:space="preserve">imposition of a “Marine Precinct Tonnage Charge” (MPTC) after advice of intention to </w:t>
            </w:r>
            <w:r w:rsidR="002F597B" w:rsidRPr="00954313">
              <w:t xml:space="preserve">obtain towage and pilotage services from another port services provider </w:t>
            </w:r>
            <w:r w:rsidR="00BE5894" w:rsidRPr="00954313">
              <w:t xml:space="preserve">– substantial degree of market power </w:t>
            </w:r>
            <w:r w:rsidR="001A25D3">
              <w:t xml:space="preserve">– </w:t>
            </w:r>
            <w:r w:rsidR="00BE5894" w:rsidRPr="00954313">
              <w:t xml:space="preserve">MPTC advised to be payable for the performance of regulatory responsibilities to the State of Tasmania – no assessment of costs of performing these responsibilities – no legal right to request MPTC – charge imposed as a direct response to the attempted entry of a competitor – commercial likelihood of raising future costs of acquiring services from a competitor - </w:t>
            </w:r>
            <w:r w:rsidR="002F597B" w:rsidRPr="00954313">
              <w:t>conduct had the “likely effect” of substantially lessening competition in the towage market and the pilotage market</w:t>
            </w:r>
            <w:r w:rsidR="00BE5894" w:rsidRPr="00954313">
              <w:t>.</w:t>
            </w:r>
          </w:p>
          <w:p w:rsidR="00AB4DA8" w:rsidRPr="00954313" w:rsidRDefault="00AB4DA8" w:rsidP="00BE5894">
            <w:pPr>
              <w:pStyle w:val="Normal1linespace"/>
              <w:widowControl w:val="0"/>
              <w:jc w:val="left"/>
            </w:pPr>
          </w:p>
          <w:p w:rsidR="00395B24" w:rsidRDefault="00AB4DA8" w:rsidP="00AB4DA8">
            <w:pPr>
              <w:pStyle w:val="Normal1linespace"/>
              <w:widowControl w:val="0"/>
              <w:jc w:val="left"/>
            </w:pPr>
            <w:r w:rsidRPr="00954313">
              <w:rPr>
                <w:b/>
              </w:rPr>
              <w:t>PRACTICE AND PROCEDURE</w:t>
            </w:r>
            <w:r w:rsidRPr="00954313">
              <w:t xml:space="preserve"> – declaratory relief in circumstances where no other relief sought or granted – utility in declaratory relief in cases involving regulatory bodies and the public interest – declaratory relief to deter other corporations</w:t>
            </w:r>
            <w:bookmarkEnd w:id="1"/>
            <w:r>
              <w:t>.</w:t>
            </w:r>
          </w:p>
        </w:tc>
      </w:tr>
      <w:tr w:rsidR="00395B24" w:rsidTr="00D1697D">
        <w:tc>
          <w:tcPr>
            <w:tcW w:w="3083" w:type="dxa"/>
            <w:shd w:val="clear" w:color="auto" w:fill="auto"/>
          </w:tcPr>
          <w:p w:rsidR="00395B24" w:rsidRDefault="00395B24" w:rsidP="00663878">
            <w:pPr>
              <w:pStyle w:val="Normal1linespace"/>
              <w:widowControl w:val="0"/>
              <w:jc w:val="left"/>
            </w:pPr>
          </w:p>
        </w:tc>
        <w:tc>
          <w:tcPr>
            <w:tcW w:w="5990" w:type="dxa"/>
            <w:shd w:val="clear" w:color="auto" w:fill="auto"/>
          </w:tcPr>
          <w:p w:rsidR="00395B24" w:rsidRDefault="00395B24" w:rsidP="00663878">
            <w:pPr>
              <w:pStyle w:val="Normal1linespace"/>
              <w:widowControl w:val="0"/>
              <w:jc w:val="left"/>
            </w:pPr>
          </w:p>
        </w:tc>
      </w:tr>
      <w:tr w:rsidR="00395B24" w:rsidTr="00D1697D">
        <w:tc>
          <w:tcPr>
            <w:tcW w:w="3083" w:type="dxa"/>
            <w:shd w:val="clear" w:color="auto" w:fill="auto"/>
          </w:tcPr>
          <w:p w:rsidR="00395B24" w:rsidRDefault="002C7385" w:rsidP="00663878">
            <w:pPr>
              <w:pStyle w:val="Normal1linespace"/>
              <w:widowControl w:val="0"/>
              <w:jc w:val="left"/>
            </w:pPr>
            <w:r>
              <w:t>Legislation:</w:t>
            </w:r>
          </w:p>
        </w:tc>
        <w:tc>
          <w:tcPr>
            <w:tcW w:w="5990" w:type="dxa"/>
            <w:shd w:val="clear" w:color="auto" w:fill="auto"/>
          </w:tcPr>
          <w:p w:rsidR="00EA5809" w:rsidRDefault="000D3990" w:rsidP="00D82620">
            <w:pPr>
              <w:pStyle w:val="CasesLegislationAppealFrom"/>
              <w:spacing w:after="60"/>
            </w:pPr>
            <w:bookmarkStart w:id="2" w:name="Legislation"/>
            <w:r>
              <w:t xml:space="preserve"> </w:t>
            </w:r>
            <w:r w:rsidRPr="00FB733E">
              <w:rPr>
                <w:i/>
              </w:rPr>
              <w:t xml:space="preserve">Competition and Consumer </w:t>
            </w:r>
            <w:r w:rsidRPr="00DC6A71">
              <w:rPr>
                <w:i/>
              </w:rPr>
              <w:t xml:space="preserve">Act 2010 </w:t>
            </w:r>
            <w:r w:rsidRPr="00DC6A71">
              <w:t>(Cth)</w:t>
            </w:r>
            <w:r w:rsidR="00EA5809">
              <w:t xml:space="preserve"> </w:t>
            </w:r>
          </w:p>
          <w:p w:rsidR="000D3990" w:rsidRPr="000D3990" w:rsidRDefault="00EA5809" w:rsidP="00D82620">
            <w:pPr>
              <w:pStyle w:val="CasesLegislationAppealFrom"/>
              <w:spacing w:after="60"/>
            </w:pPr>
            <w:r>
              <w:t>ss 46(1), 76(1), 80, 87B</w:t>
            </w:r>
          </w:p>
          <w:p w:rsidR="00395B24" w:rsidRDefault="000D3990" w:rsidP="000359B6">
            <w:pPr>
              <w:pStyle w:val="CasesLegislationAppealFrom"/>
              <w:spacing w:after="60"/>
            </w:pPr>
            <w:r>
              <w:rPr>
                <w:i/>
                <w:iCs/>
              </w:rPr>
              <w:t xml:space="preserve">Federal Court of Australia Act 1976 </w:t>
            </w:r>
            <w:r>
              <w:t>(Cth)</w:t>
            </w:r>
            <w:r w:rsidR="00DF1C53">
              <w:t xml:space="preserve"> s 21</w:t>
            </w:r>
            <w:r>
              <w:t xml:space="preserve">  </w:t>
            </w:r>
            <w:bookmarkEnd w:id="2"/>
          </w:p>
        </w:tc>
      </w:tr>
      <w:tr w:rsidR="00395B24" w:rsidTr="00D1697D">
        <w:tc>
          <w:tcPr>
            <w:tcW w:w="3083" w:type="dxa"/>
            <w:shd w:val="clear" w:color="auto" w:fill="auto"/>
          </w:tcPr>
          <w:p w:rsidR="00395B24" w:rsidRDefault="00395B24" w:rsidP="00663878">
            <w:pPr>
              <w:pStyle w:val="Normal1linespace"/>
              <w:widowControl w:val="0"/>
              <w:jc w:val="left"/>
            </w:pPr>
          </w:p>
        </w:tc>
        <w:tc>
          <w:tcPr>
            <w:tcW w:w="5990" w:type="dxa"/>
            <w:shd w:val="clear" w:color="auto" w:fill="auto"/>
          </w:tcPr>
          <w:p w:rsidR="00395B24" w:rsidRDefault="00395B24" w:rsidP="00663878">
            <w:pPr>
              <w:pStyle w:val="Normal1linespace"/>
              <w:widowControl w:val="0"/>
              <w:jc w:val="left"/>
            </w:pPr>
          </w:p>
        </w:tc>
      </w:tr>
      <w:tr w:rsidR="00395B24" w:rsidTr="00D1697D">
        <w:tc>
          <w:tcPr>
            <w:tcW w:w="3083" w:type="dxa"/>
            <w:shd w:val="clear" w:color="auto" w:fill="auto"/>
          </w:tcPr>
          <w:p w:rsidR="00395B24" w:rsidRDefault="002C7385" w:rsidP="00663878">
            <w:pPr>
              <w:pStyle w:val="Normal1linespace"/>
              <w:widowControl w:val="0"/>
              <w:jc w:val="left"/>
            </w:pPr>
            <w:r>
              <w:t>Cases cited:</w:t>
            </w:r>
          </w:p>
        </w:tc>
        <w:tc>
          <w:tcPr>
            <w:tcW w:w="5990" w:type="dxa"/>
            <w:shd w:val="clear" w:color="auto" w:fill="auto"/>
          </w:tcPr>
          <w:p w:rsidR="000D3990" w:rsidRPr="000D3990" w:rsidRDefault="000D3990" w:rsidP="000D3990">
            <w:pPr>
              <w:pStyle w:val="CasesLegislationAppealFrom"/>
              <w:spacing w:after="60"/>
            </w:pPr>
            <w:bookmarkStart w:id="3" w:name="Cases_Cited"/>
            <w:r w:rsidRPr="000D3990">
              <w:rPr>
                <w:i/>
              </w:rPr>
              <w:t>Australian Competition &amp; Consumer Commission v Eurong Beach Resort Ltd</w:t>
            </w:r>
            <w:r w:rsidRPr="000D3990">
              <w:t xml:space="preserve"> [2005] FCA 1134</w:t>
            </w:r>
          </w:p>
          <w:p w:rsidR="000D3990" w:rsidRPr="000D3990" w:rsidRDefault="000D3990" w:rsidP="000D3990">
            <w:pPr>
              <w:pStyle w:val="CasesLegislationAppealFrom"/>
              <w:spacing w:after="60"/>
            </w:pPr>
            <w:r w:rsidRPr="000D3990">
              <w:rPr>
                <w:i/>
              </w:rPr>
              <w:t xml:space="preserve">Australian Competition and Consumer Commission v Coles Supermarket Pty Ltd </w:t>
            </w:r>
            <w:r w:rsidRPr="000D3990">
              <w:t>[2014] FCA 1405</w:t>
            </w:r>
          </w:p>
          <w:p w:rsidR="000D3990" w:rsidRPr="000D3990" w:rsidRDefault="000D3990" w:rsidP="000D3990">
            <w:pPr>
              <w:pStyle w:val="CasesLegislationAppealFrom"/>
              <w:spacing w:after="60"/>
            </w:pPr>
            <w:r w:rsidRPr="000D3990">
              <w:rPr>
                <w:i/>
              </w:rPr>
              <w:t xml:space="preserve">Australian Competition and Consumer Commission v Woolworths (South Australia) Pty Ltd </w:t>
            </w:r>
            <w:r w:rsidRPr="000D3990">
              <w:t>(2003) 198 ALR 417; [2003] FCA 530</w:t>
            </w:r>
          </w:p>
          <w:p w:rsidR="004950D5" w:rsidRDefault="000D3990" w:rsidP="000D3990">
            <w:pPr>
              <w:pStyle w:val="CasesLegislationAppealFrom"/>
              <w:spacing w:after="60"/>
              <w:rPr>
                <w:i/>
              </w:rPr>
            </w:pPr>
            <w:r w:rsidRPr="000D3990">
              <w:rPr>
                <w:i/>
              </w:rPr>
              <w:t>Australian Competition and Consumer Commission v Woolworths (South Australia) Pty Ltd [No 2]</w:t>
            </w:r>
          </w:p>
          <w:p w:rsidR="000D3990" w:rsidRPr="000D3990" w:rsidRDefault="000D3990" w:rsidP="000D3990">
            <w:pPr>
              <w:pStyle w:val="CasesLegislationAppealFrom"/>
              <w:spacing w:after="60"/>
            </w:pPr>
            <w:r w:rsidRPr="000D3990">
              <w:t>[2004] FCA 128</w:t>
            </w:r>
            <w:bookmarkEnd w:id="3"/>
          </w:p>
        </w:tc>
      </w:tr>
      <w:tr w:rsidR="001E75F1" w:rsidTr="00D1697D">
        <w:tc>
          <w:tcPr>
            <w:tcW w:w="3083" w:type="dxa"/>
            <w:shd w:val="clear" w:color="auto" w:fill="auto"/>
          </w:tcPr>
          <w:p w:rsidR="001E75F1" w:rsidRDefault="001E75F1" w:rsidP="005E2FB3">
            <w:pPr>
              <w:pStyle w:val="Normal1linespace"/>
              <w:widowControl w:val="0"/>
            </w:pPr>
          </w:p>
        </w:tc>
        <w:tc>
          <w:tcPr>
            <w:tcW w:w="5990" w:type="dxa"/>
            <w:shd w:val="clear" w:color="auto" w:fill="auto"/>
          </w:tcPr>
          <w:p w:rsidR="001E75F1" w:rsidRDefault="001E75F1" w:rsidP="005E2FB3">
            <w:pPr>
              <w:pStyle w:val="Normal1linespace"/>
              <w:widowControl w:val="0"/>
              <w:jc w:val="left"/>
            </w:pPr>
          </w:p>
        </w:tc>
      </w:tr>
      <w:tr w:rsidR="001E75F1" w:rsidTr="00D1697D">
        <w:tc>
          <w:tcPr>
            <w:tcW w:w="3083" w:type="dxa"/>
            <w:shd w:val="clear" w:color="auto" w:fill="auto"/>
          </w:tcPr>
          <w:p w:rsidR="001E75F1" w:rsidRDefault="001E75F1" w:rsidP="00501A12">
            <w:pPr>
              <w:pStyle w:val="Normal1linespace"/>
              <w:widowControl w:val="0"/>
            </w:pPr>
            <w:r>
              <w:lastRenderedPageBreak/>
              <w:t>Division:</w:t>
            </w:r>
          </w:p>
        </w:tc>
        <w:tc>
          <w:tcPr>
            <w:tcW w:w="5990" w:type="dxa"/>
            <w:shd w:val="clear" w:color="auto" w:fill="auto"/>
          </w:tcPr>
          <w:p w:rsidR="001E75F1" w:rsidRPr="00F17599" w:rsidRDefault="00671976" w:rsidP="00501A12">
            <w:pPr>
              <w:pStyle w:val="Normal1linespace"/>
              <w:widowControl w:val="0"/>
              <w:jc w:val="left"/>
            </w:pPr>
            <w:fldSimple w:instr=" DOCPROPERTY  Division ">
              <w:r w:rsidR="001E75F1">
                <w:t>General Division</w:t>
              </w:r>
            </w:fldSimple>
          </w:p>
        </w:tc>
      </w:tr>
      <w:tr w:rsidR="001E75F1" w:rsidTr="00D1697D">
        <w:tc>
          <w:tcPr>
            <w:tcW w:w="3083" w:type="dxa"/>
            <w:shd w:val="clear" w:color="auto" w:fill="auto"/>
          </w:tcPr>
          <w:p w:rsidR="001E75F1" w:rsidRDefault="001E75F1" w:rsidP="00501A12">
            <w:pPr>
              <w:pStyle w:val="Normal1linespace"/>
              <w:widowControl w:val="0"/>
            </w:pPr>
            <w:bookmarkStart w:id="4" w:name="Registry_rows" w:colFirst="0" w:colLast="1"/>
          </w:p>
        </w:tc>
        <w:tc>
          <w:tcPr>
            <w:tcW w:w="5990" w:type="dxa"/>
            <w:shd w:val="clear" w:color="auto" w:fill="auto"/>
          </w:tcPr>
          <w:p w:rsidR="001E75F1" w:rsidRDefault="001E75F1" w:rsidP="00501A12">
            <w:pPr>
              <w:pStyle w:val="Normal1linespace"/>
              <w:widowControl w:val="0"/>
              <w:jc w:val="left"/>
            </w:pPr>
          </w:p>
        </w:tc>
      </w:tr>
      <w:tr w:rsidR="001E75F1" w:rsidTr="00D1697D">
        <w:tc>
          <w:tcPr>
            <w:tcW w:w="3083" w:type="dxa"/>
            <w:shd w:val="clear" w:color="auto" w:fill="auto"/>
          </w:tcPr>
          <w:p w:rsidR="001E75F1" w:rsidRDefault="001E75F1" w:rsidP="00501A12">
            <w:pPr>
              <w:pStyle w:val="Normal1linespace"/>
              <w:widowControl w:val="0"/>
            </w:pPr>
            <w:r>
              <w:t>Registry:</w:t>
            </w:r>
          </w:p>
        </w:tc>
        <w:tc>
          <w:tcPr>
            <w:tcW w:w="5990" w:type="dxa"/>
            <w:shd w:val="clear" w:color="auto" w:fill="auto"/>
          </w:tcPr>
          <w:p w:rsidR="001E75F1" w:rsidRPr="00F17599" w:rsidRDefault="00671976" w:rsidP="00501A12">
            <w:pPr>
              <w:pStyle w:val="Normal1linespace"/>
              <w:widowControl w:val="0"/>
              <w:jc w:val="left"/>
            </w:pPr>
            <w:fldSimple w:instr=" DOCPROPERTY  Registry ">
              <w:r w:rsidR="001E75F1">
                <w:t>Victoria</w:t>
              </w:r>
            </w:fldSimple>
          </w:p>
        </w:tc>
      </w:tr>
      <w:tr w:rsidR="001E75F1" w:rsidTr="00D1697D">
        <w:tc>
          <w:tcPr>
            <w:tcW w:w="3083" w:type="dxa"/>
            <w:shd w:val="clear" w:color="auto" w:fill="auto"/>
          </w:tcPr>
          <w:p w:rsidR="001E75F1" w:rsidRDefault="001E75F1" w:rsidP="00501A12">
            <w:pPr>
              <w:pStyle w:val="Normal1linespace"/>
              <w:widowControl w:val="0"/>
            </w:pPr>
            <w:bookmarkStart w:id="5" w:name="NPARow" w:colFirst="0" w:colLast="1"/>
            <w:bookmarkEnd w:id="4"/>
          </w:p>
        </w:tc>
        <w:tc>
          <w:tcPr>
            <w:tcW w:w="5990" w:type="dxa"/>
            <w:shd w:val="clear" w:color="auto" w:fill="auto"/>
          </w:tcPr>
          <w:p w:rsidR="001E75F1" w:rsidRPr="00F17599" w:rsidRDefault="001E75F1" w:rsidP="00501A12">
            <w:pPr>
              <w:pStyle w:val="Normal1linespace"/>
              <w:widowControl w:val="0"/>
              <w:jc w:val="left"/>
              <w:rPr>
                <w:b/>
              </w:rPr>
            </w:pPr>
          </w:p>
        </w:tc>
      </w:tr>
      <w:tr w:rsidR="001E75F1" w:rsidTr="00D1697D">
        <w:tc>
          <w:tcPr>
            <w:tcW w:w="3083" w:type="dxa"/>
            <w:shd w:val="clear" w:color="auto" w:fill="auto"/>
          </w:tcPr>
          <w:p w:rsidR="001E75F1" w:rsidRDefault="001E75F1" w:rsidP="00501A12">
            <w:pPr>
              <w:pStyle w:val="Normal1linespace"/>
              <w:widowControl w:val="0"/>
            </w:pPr>
            <w:r>
              <w:t>National Practice Area:</w:t>
            </w:r>
          </w:p>
        </w:tc>
        <w:tc>
          <w:tcPr>
            <w:tcW w:w="5990" w:type="dxa"/>
            <w:shd w:val="clear" w:color="auto" w:fill="auto"/>
          </w:tcPr>
          <w:p w:rsidR="001E75F1" w:rsidRPr="00F17599" w:rsidRDefault="00671976" w:rsidP="005E2FB3">
            <w:pPr>
              <w:pStyle w:val="Normal1linespace"/>
              <w:widowControl w:val="0"/>
              <w:jc w:val="left"/>
              <w:rPr>
                <w:b/>
              </w:rPr>
            </w:pPr>
            <w:fldSimple w:instr=" DOCPROPERTY  &quot;Practice Area&quot;  \* MERGEFORMAT ">
              <w:r w:rsidR="001E75F1">
                <w:t>Commercial and Corporations</w:t>
              </w:r>
            </w:fldSimple>
          </w:p>
        </w:tc>
      </w:tr>
      <w:tr w:rsidR="001E75F1" w:rsidTr="00D1697D">
        <w:tc>
          <w:tcPr>
            <w:tcW w:w="3083" w:type="dxa"/>
            <w:shd w:val="clear" w:color="auto" w:fill="auto"/>
          </w:tcPr>
          <w:p w:rsidR="001E75F1" w:rsidRDefault="001E75F1" w:rsidP="00501A12">
            <w:pPr>
              <w:pStyle w:val="Normal1linespace"/>
              <w:widowControl w:val="0"/>
            </w:pPr>
            <w:bookmarkStart w:id="6" w:name="SubAreaRow" w:colFirst="0" w:colLast="1"/>
            <w:bookmarkEnd w:id="5"/>
          </w:p>
        </w:tc>
        <w:tc>
          <w:tcPr>
            <w:tcW w:w="5990" w:type="dxa"/>
            <w:shd w:val="clear" w:color="auto" w:fill="auto"/>
          </w:tcPr>
          <w:p w:rsidR="001E75F1" w:rsidRDefault="001E75F1" w:rsidP="005E2FB3">
            <w:pPr>
              <w:pStyle w:val="Normal1linespace"/>
              <w:widowControl w:val="0"/>
              <w:jc w:val="left"/>
            </w:pPr>
          </w:p>
        </w:tc>
      </w:tr>
      <w:tr w:rsidR="001E75F1" w:rsidTr="00D1697D">
        <w:tc>
          <w:tcPr>
            <w:tcW w:w="3083" w:type="dxa"/>
            <w:shd w:val="clear" w:color="auto" w:fill="auto"/>
          </w:tcPr>
          <w:p w:rsidR="001E75F1" w:rsidRDefault="001E75F1" w:rsidP="00501A12">
            <w:pPr>
              <w:pStyle w:val="Normal1linespace"/>
              <w:widowControl w:val="0"/>
            </w:pPr>
            <w:r>
              <w:t>Sub-area:</w:t>
            </w:r>
          </w:p>
        </w:tc>
        <w:tc>
          <w:tcPr>
            <w:tcW w:w="5990" w:type="dxa"/>
            <w:shd w:val="clear" w:color="auto" w:fill="auto"/>
          </w:tcPr>
          <w:p w:rsidR="001E75F1" w:rsidRPr="00837288" w:rsidRDefault="00671976" w:rsidP="005E2FB3">
            <w:pPr>
              <w:pStyle w:val="Normal1linespace"/>
              <w:widowControl w:val="0"/>
              <w:jc w:val="left"/>
            </w:pPr>
            <w:fldSimple w:instr=" DOCPROPERTY  &quot;Sub Area&quot;  \* MERGEFORMAT ">
              <w:r w:rsidR="001E75F1" w:rsidRPr="001E75F1">
                <w:rPr>
                  <w:lang w:val="en-US"/>
                </w:rPr>
                <w:t xml:space="preserve">Economic Regulator, </w:t>
              </w:r>
              <w:r w:rsidR="001E75F1">
                <w:t>Competition and Access</w:t>
              </w:r>
            </w:fldSimple>
          </w:p>
        </w:tc>
      </w:tr>
      <w:bookmarkEnd w:id="6"/>
      <w:tr w:rsidR="001E75F1" w:rsidTr="00D1697D">
        <w:tc>
          <w:tcPr>
            <w:tcW w:w="3083" w:type="dxa"/>
            <w:shd w:val="clear" w:color="auto" w:fill="auto"/>
          </w:tcPr>
          <w:p w:rsidR="001E75F1" w:rsidRDefault="001E75F1" w:rsidP="00501A12">
            <w:pPr>
              <w:pStyle w:val="Normal1linespace"/>
              <w:widowControl w:val="0"/>
            </w:pPr>
          </w:p>
        </w:tc>
        <w:tc>
          <w:tcPr>
            <w:tcW w:w="5990" w:type="dxa"/>
            <w:shd w:val="clear" w:color="auto" w:fill="auto"/>
          </w:tcPr>
          <w:p w:rsidR="001E75F1" w:rsidRDefault="001E75F1" w:rsidP="00501A12">
            <w:pPr>
              <w:pStyle w:val="Normal1linespace"/>
              <w:widowControl w:val="0"/>
              <w:jc w:val="left"/>
            </w:pPr>
          </w:p>
        </w:tc>
      </w:tr>
      <w:tr w:rsidR="001E75F1" w:rsidTr="00D1697D">
        <w:tc>
          <w:tcPr>
            <w:tcW w:w="3083" w:type="dxa"/>
            <w:shd w:val="clear" w:color="auto" w:fill="auto"/>
          </w:tcPr>
          <w:p w:rsidR="001E75F1" w:rsidRDefault="001E75F1" w:rsidP="00501A12">
            <w:pPr>
              <w:pStyle w:val="Normal1linespace"/>
              <w:widowControl w:val="0"/>
            </w:pPr>
            <w:r>
              <w:t>Number of paragraphs:</w:t>
            </w:r>
          </w:p>
        </w:tc>
        <w:tc>
          <w:tcPr>
            <w:tcW w:w="5990" w:type="dxa"/>
            <w:shd w:val="clear" w:color="auto" w:fill="auto"/>
          </w:tcPr>
          <w:p w:rsidR="001E75F1" w:rsidRDefault="00595C25" w:rsidP="00501A12">
            <w:pPr>
              <w:pStyle w:val="Normal1linespace"/>
              <w:widowControl w:val="0"/>
              <w:jc w:val="left"/>
            </w:pPr>
            <w:bookmarkStart w:id="7" w:name="PlaceCategoryParagraphs"/>
            <w:r>
              <w:t>20</w:t>
            </w:r>
            <w:r w:rsidR="001E75F1">
              <w:t xml:space="preserve"> </w:t>
            </w:r>
            <w:bookmarkEnd w:id="7"/>
          </w:p>
        </w:tc>
      </w:tr>
      <w:tr w:rsidR="001E75F1" w:rsidTr="00D1697D">
        <w:tc>
          <w:tcPr>
            <w:tcW w:w="3083" w:type="dxa"/>
            <w:shd w:val="clear" w:color="auto" w:fill="auto"/>
          </w:tcPr>
          <w:p w:rsidR="001E75F1" w:rsidRDefault="001E75F1" w:rsidP="001E75F1">
            <w:pPr>
              <w:pStyle w:val="Normal1linespace"/>
              <w:widowControl w:val="0"/>
              <w:jc w:val="left"/>
            </w:pPr>
          </w:p>
        </w:tc>
        <w:tc>
          <w:tcPr>
            <w:tcW w:w="5990" w:type="dxa"/>
            <w:shd w:val="clear" w:color="auto" w:fill="auto"/>
          </w:tcPr>
          <w:p w:rsidR="001E75F1" w:rsidRDefault="001E75F1" w:rsidP="001E75F1">
            <w:pPr>
              <w:pStyle w:val="Normal1linespace"/>
              <w:widowControl w:val="0"/>
              <w:jc w:val="left"/>
            </w:pPr>
          </w:p>
        </w:tc>
      </w:tr>
      <w:tr w:rsidR="001E75F1" w:rsidTr="00D1697D">
        <w:tc>
          <w:tcPr>
            <w:tcW w:w="3083" w:type="dxa"/>
            <w:shd w:val="clear" w:color="auto" w:fill="auto"/>
          </w:tcPr>
          <w:p w:rsidR="001E75F1" w:rsidRDefault="001E75F1" w:rsidP="001E75F1">
            <w:pPr>
              <w:pStyle w:val="Normal1linespace"/>
              <w:widowControl w:val="0"/>
              <w:jc w:val="left"/>
            </w:pPr>
            <w:bookmarkStart w:id="8" w:name="CounselDate" w:colFirst="0" w:colLast="2"/>
            <w:r w:rsidRPr="006A24E3">
              <w:t>Date of hearing:</w:t>
            </w:r>
          </w:p>
        </w:tc>
        <w:tc>
          <w:tcPr>
            <w:tcW w:w="5990" w:type="dxa"/>
            <w:shd w:val="clear" w:color="auto" w:fill="auto"/>
          </w:tcPr>
          <w:p w:rsidR="001E75F1" w:rsidRDefault="00113A62" w:rsidP="001E75F1">
            <w:pPr>
              <w:pStyle w:val="Normal1linespace"/>
              <w:widowControl w:val="0"/>
              <w:jc w:val="left"/>
            </w:pPr>
            <w:bookmarkStart w:id="9" w:name="HearingDate"/>
            <w:r>
              <w:t>4 May 2021</w:t>
            </w:r>
            <w:r w:rsidR="001E75F1">
              <w:t xml:space="preserve"> </w:t>
            </w:r>
            <w:bookmarkEnd w:id="9"/>
          </w:p>
        </w:tc>
      </w:tr>
      <w:tr w:rsidR="001E75F1" w:rsidTr="00D1697D">
        <w:tc>
          <w:tcPr>
            <w:tcW w:w="3083" w:type="dxa"/>
            <w:shd w:val="clear" w:color="auto" w:fill="auto"/>
          </w:tcPr>
          <w:p w:rsidR="001E75F1" w:rsidRDefault="001E75F1" w:rsidP="001E75F1">
            <w:pPr>
              <w:pStyle w:val="Normal1linespace"/>
              <w:widowControl w:val="0"/>
              <w:jc w:val="left"/>
            </w:pPr>
          </w:p>
        </w:tc>
        <w:tc>
          <w:tcPr>
            <w:tcW w:w="5990" w:type="dxa"/>
            <w:shd w:val="clear" w:color="auto" w:fill="auto"/>
          </w:tcPr>
          <w:p w:rsidR="001E75F1" w:rsidRDefault="001E75F1" w:rsidP="001E75F1">
            <w:pPr>
              <w:pStyle w:val="Normal1linespace"/>
              <w:widowControl w:val="0"/>
              <w:jc w:val="left"/>
            </w:pPr>
          </w:p>
        </w:tc>
      </w:tr>
      <w:tr w:rsidR="00D1697D" w:rsidTr="00D1697D">
        <w:tc>
          <w:tcPr>
            <w:tcW w:w="3083" w:type="dxa"/>
            <w:shd w:val="clear" w:color="auto" w:fill="auto"/>
          </w:tcPr>
          <w:p w:rsidR="00D1697D" w:rsidRDefault="00D1697D" w:rsidP="00D1697D">
            <w:pPr>
              <w:pStyle w:val="Normal1linespace"/>
              <w:widowControl w:val="0"/>
              <w:jc w:val="left"/>
            </w:pPr>
            <w:bookmarkStart w:id="10" w:name="Counsel" w:colFirst="0" w:colLast="2"/>
            <w:bookmarkEnd w:id="8"/>
            <w:r>
              <w:t>Counsel for the Applicant:</w:t>
            </w:r>
          </w:p>
        </w:tc>
        <w:tc>
          <w:tcPr>
            <w:tcW w:w="5990" w:type="dxa"/>
            <w:shd w:val="clear" w:color="auto" w:fill="auto"/>
          </w:tcPr>
          <w:p w:rsidR="00D1697D" w:rsidRDefault="00D1697D" w:rsidP="00D1697D">
            <w:pPr>
              <w:pStyle w:val="Normal1linespace"/>
              <w:widowControl w:val="0"/>
              <w:jc w:val="left"/>
            </w:pPr>
            <w:bookmarkStart w:id="11" w:name="AppCounsel"/>
            <w:bookmarkEnd w:id="11"/>
            <w:r>
              <w:t xml:space="preserve">Mr N. de Young QC with Mr </w:t>
            </w:r>
            <w:r w:rsidR="005842F1">
              <w:t xml:space="preserve">C. </w:t>
            </w:r>
            <w:r>
              <w:t xml:space="preserve">Tran </w:t>
            </w:r>
          </w:p>
        </w:tc>
      </w:tr>
      <w:tr w:rsidR="00D1697D" w:rsidTr="00D1697D">
        <w:tc>
          <w:tcPr>
            <w:tcW w:w="3083" w:type="dxa"/>
            <w:shd w:val="clear" w:color="auto" w:fill="auto"/>
          </w:tcPr>
          <w:p w:rsidR="00D1697D" w:rsidRDefault="00D1697D" w:rsidP="00D1697D">
            <w:pPr>
              <w:pStyle w:val="Normal1linespace"/>
              <w:widowControl w:val="0"/>
              <w:jc w:val="left"/>
            </w:pPr>
          </w:p>
        </w:tc>
        <w:tc>
          <w:tcPr>
            <w:tcW w:w="5990" w:type="dxa"/>
            <w:shd w:val="clear" w:color="auto" w:fill="auto"/>
          </w:tcPr>
          <w:p w:rsidR="00D1697D" w:rsidRDefault="00D1697D" w:rsidP="00D1697D">
            <w:pPr>
              <w:pStyle w:val="Normal1linespace"/>
              <w:widowControl w:val="0"/>
              <w:jc w:val="left"/>
            </w:pPr>
          </w:p>
        </w:tc>
      </w:tr>
      <w:tr w:rsidR="00D1697D" w:rsidTr="00D1697D">
        <w:tc>
          <w:tcPr>
            <w:tcW w:w="3083" w:type="dxa"/>
            <w:shd w:val="clear" w:color="auto" w:fill="auto"/>
          </w:tcPr>
          <w:p w:rsidR="00D1697D" w:rsidRDefault="00D1697D" w:rsidP="00D1697D">
            <w:pPr>
              <w:pStyle w:val="Normal1linespace"/>
              <w:widowControl w:val="0"/>
              <w:jc w:val="left"/>
            </w:pPr>
            <w:r>
              <w:t>Solicitor for the Applicant</w:t>
            </w:r>
            <w:r w:rsidR="005842F1">
              <w:t>:</w:t>
            </w:r>
          </w:p>
        </w:tc>
        <w:tc>
          <w:tcPr>
            <w:tcW w:w="5990" w:type="dxa"/>
            <w:shd w:val="clear" w:color="auto" w:fill="auto"/>
          </w:tcPr>
          <w:p w:rsidR="00D1697D" w:rsidRDefault="005842F1" w:rsidP="00D1697D">
            <w:pPr>
              <w:pStyle w:val="Normal1linespace"/>
              <w:widowControl w:val="0"/>
              <w:jc w:val="left"/>
            </w:pPr>
            <w:r>
              <w:t>Norton Rose Fulbright</w:t>
            </w:r>
          </w:p>
        </w:tc>
      </w:tr>
      <w:tr w:rsidR="00D1697D" w:rsidTr="00D1697D">
        <w:tc>
          <w:tcPr>
            <w:tcW w:w="3083" w:type="dxa"/>
            <w:shd w:val="clear" w:color="auto" w:fill="auto"/>
          </w:tcPr>
          <w:p w:rsidR="00D1697D" w:rsidRDefault="00D1697D" w:rsidP="00D1697D">
            <w:pPr>
              <w:pStyle w:val="Normal1linespace"/>
              <w:widowControl w:val="0"/>
              <w:jc w:val="left"/>
            </w:pPr>
          </w:p>
        </w:tc>
        <w:tc>
          <w:tcPr>
            <w:tcW w:w="5989" w:type="dxa"/>
            <w:shd w:val="clear" w:color="auto" w:fill="auto"/>
          </w:tcPr>
          <w:p w:rsidR="00D1697D" w:rsidRDefault="00D1697D" w:rsidP="00D1697D">
            <w:pPr>
              <w:pStyle w:val="Normal1linespace"/>
              <w:widowControl w:val="0"/>
              <w:jc w:val="left"/>
            </w:pPr>
          </w:p>
        </w:tc>
      </w:tr>
      <w:tr w:rsidR="00D1697D" w:rsidTr="00D1697D">
        <w:tc>
          <w:tcPr>
            <w:tcW w:w="3083" w:type="dxa"/>
            <w:shd w:val="clear" w:color="auto" w:fill="auto"/>
          </w:tcPr>
          <w:p w:rsidR="00D1697D" w:rsidRDefault="00D1697D" w:rsidP="00D1697D">
            <w:pPr>
              <w:pStyle w:val="Normal1linespace"/>
              <w:widowControl w:val="0"/>
              <w:jc w:val="left"/>
            </w:pPr>
            <w:r>
              <w:t>Counsel for the Respondent:</w:t>
            </w:r>
          </w:p>
        </w:tc>
        <w:tc>
          <w:tcPr>
            <w:tcW w:w="5989" w:type="dxa"/>
            <w:shd w:val="clear" w:color="auto" w:fill="auto"/>
          </w:tcPr>
          <w:p w:rsidR="005842F1" w:rsidRDefault="00D1697D" w:rsidP="00D1697D">
            <w:pPr>
              <w:pStyle w:val="Normal1linespace"/>
              <w:widowControl w:val="0"/>
              <w:jc w:val="left"/>
            </w:pPr>
            <w:r>
              <w:t xml:space="preserve">Mr M. Hodge QC with Ms </w:t>
            </w:r>
            <w:r w:rsidR="005842F1">
              <w:t xml:space="preserve">C. </w:t>
            </w:r>
            <w:r>
              <w:t xml:space="preserve">Van Proctor and </w:t>
            </w:r>
          </w:p>
          <w:p w:rsidR="00D1697D" w:rsidRDefault="00D1697D" w:rsidP="00D1697D">
            <w:pPr>
              <w:pStyle w:val="Normal1linespace"/>
              <w:widowControl w:val="0"/>
              <w:jc w:val="left"/>
            </w:pPr>
            <w:r>
              <w:t xml:space="preserve">Mr </w:t>
            </w:r>
            <w:r w:rsidR="005842F1">
              <w:t xml:space="preserve">D. </w:t>
            </w:r>
            <w:r>
              <w:t>Preston</w:t>
            </w:r>
          </w:p>
        </w:tc>
      </w:tr>
      <w:tr w:rsidR="00D1697D" w:rsidTr="00D1697D">
        <w:tc>
          <w:tcPr>
            <w:tcW w:w="3083" w:type="dxa"/>
            <w:shd w:val="clear" w:color="auto" w:fill="auto"/>
          </w:tcPr>
          <w:p w:rsidR="00D1697D" w:rsidRDefault="00D1697D" w:rsidP="00D1697D">
            <w:pPr>
              <w:pStyle w:val="Normal1linespace"/>
              <w:widowControl w:val="0"/>
              <w:jc w:val="left"/>
            </w:pPr>
          </w:p>
        </w:tc>
        <w:tc>
          <w:tcPr>
            <w:tcW w:w="5989" w:type="dxa"/>
            <w:shd w:val="clear" w:color="auto" w:fill="auto"/>
          </w:tcPr>
          <w:p w:rsidR="00D1697D" w:rsidRDefault="00D1697D" w:rsidP="00D1697D">
            <w:pPr>
              <w:pStyle w:val="Normal1linespace"/>
              <w:widowControl w:val="0"/>
              <w:jc w:val="left"/>
            </w:pPr>
          </w:p>
        </w:tc>
      </w:tr>
      <w:tr w:rsidR="00D1697D" w:rsidTr="00D1697D">
        <w:tc>
          <w:tcPr>
            <w:tcW w:w="3083" w:type="dxa"/>
            <w:shd w:val="clear" w:color="auto" w:fill="auto"/>
          </w:tcPr>
          <w:p w:rsidR="00D1697D" w:rsidRDefault="00D1697D" w:rsidP="00D1697D">
            <w:pPr>
              <w:pStyle w:val="Normal1linespace"/>
              <w:widowControl w:val="0"/>
              <w:jc w:val="left"/>
            </w:pPr>
            <w:r>
              <w:t>Solicitor for the Respondent:</w:t>
            </w:r>
          </w:p>
        </w:tc>
        <w:tc>
          <w:tcPr>
            <w:tcW w:w="5989" w:type="dxa"/>
            <w:shd w:val="clear" w:color="auto" w:fill="auto"/>
          </w:tcPr>
          <w:p w:rsidR="00D1697D" w:rsidRDefault="005842F1" w:rsidP="00D1697D">
            <w:pPr>
              <w:pStyle w:val="Normal1linespace"/>
              <w:widowControl w:val="0"/>
              <w:jc w:val="left"/>
            </w:pPr>
            <w:r>
              <w:t>Arnold Bloch Leibler</w:t>
            </w:r>
          </w:p>
        </w:tc>
      </w:tr>
      <w:bookmarkEnd w:id="10"/>
    </w:tbl>
    <w:p w:rsidR="00395B24" w:rsidRDefault="00395B24">
      <w:pPr>
        <w:pStyle w:val="Normal1linespace"/>
        <w:sectPr w:rsidR="00395B24" w:rsidSect="001F2473">
          <w:footerReference w:type="default" r:id="rId9"/>
          <w:endnotePr>
            <w:numFmt w:val="decimal"/>
          </w:endnotePr>
          <w:type w:val="continuous"/>
          <w:pgSz w:w="11907" w:h="16840" w:code="9"/>
          <w:pgMar w:top="1440" w:right="1440" w:bottom="1440" w:left="1440" w:header="851" w:footer="768"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1E75F1" w:rsidP="00F92355">
            <w:pPr>
              <w:pStyle w:val="NormalHeadings"/>
              <w:jc w:val="right"/>
            </w:pPr>
            <w:bookmarkStart w:id="12" w:name="FileNo"/>
            <w:r>
              <w:t>VID 1328 of 2019</w:t>
            </w:r>
            <w:bookmarkEnd w:id="12"/>
          </w:p>
        </w:tc>
      </w:tr>
      <w:tr w:rsidR="00A76C13" w:rsidTr="005E2FB3">
        <w:tc>
          <w:tcPr>
            <w:tcW w:w="9242" w:type="dxa"/>
            <w:gridSpan w:val="3"/>
          </w:tcPr>
          <w:p w:rsidR="00A76C13" w:rsidRPr="00A76C13" w:rsidRDefault="001E75F1" w:rsidP="001E75F1">
            <w:pPr>
              <w:pStyle w:val="NormalHeadings"/>
              <w:jc w:val="left"/>
            </w:pPr>
            <w:bookmarkStart w:id="13" w:name="InTheMatterOf"/>
            <w:r>
              <w:t xml:space="preserve"> </w:t>
            </w:r>
            <w:bookmarkEnd w:id="13"/>
          </w:p>
        </w:tc>
      </w:tr>
      <w:tr w:rsidR="00A46CCC" w:rsidTr="005E2FB3">
        <w:trPr>
          <w:trHeight w:val="386"/>
        </w:trPr>
        <w:tc>
          <w:tcPr>
            <w:tcW w:w="2376" w:type="dxa"/>
          </w:tcPr>
          <w:p w:rsidR="00A46CCC" w:rsidRDefault="00A46CCC" w:rsidP="005E2FB3">
            <w:pPr>
              <w:pStyle w:val="NormalHeadings"/>
              <w:jc w:val="left"/>
              <w:rPr>
                <w:caps/>
                <w:szCs w:val="24"/>
              </w:rPr>
            </w:pPr>
            <w:bookmarkStart w:id="14" w:name="Parties"/>
            <w:r>
              <w:rPr>
                <w:caps/>
                <w:szCs w:val="24"/>
              </w:rPr>
              <w:t>BETWEEN:</w:t>
            </w:r>
          </w:p>
        </w:tc>
        <w:tc>
          <w:tcPr>
            <w:tcW w:w="6866" w:type="dxa"/>
            <w:gridSpan w:val="2"/>
          </w:tcPr>
          <w:p w:rsidR="001E75F1" w:rsidRDefault="001E75F1" w:rsidP="001E75F1">
            <w:pPr>
              <w:pStyle w:val="NormalHeadings"/>
              <w:jc w:val="left"/>
            </w:pPr>
            <w:bookmarkStart w:id="15" w:name="Applicant"/>
            <w:r>
              <w:t>AUSTRALIAN COMPETITION AND CONSUMER COMMISSION</w:t>
            </w:r>
          </w:p>
          <w:p w:rsidR="001E75F1" w:rsidRDefault="001E75F1" w:rsidP="001E75F1">
            <w:pPr>
              <w:pStyle w:val="PartyType"/>
            </w:pPr>
            <w:r>
              <w:t>Applicant</w:t>
            </w:r>
          </w:p>
          <w:bookmarkEnd w:id="15"/>
          <w:p w:rsidR="00A46CCC" w:rsidRPr="006555B4" w:rsidRDefault="00A46CCC" w:rsidP="005E2FB3">
            <w:pPr>
              <w:pStyle w:val="NormalHeadings"/>
              <w:jc w:val="left"/>
            </w:pPr>
          </w:p>
        </w:tc>
      </w:tr>
      <w:tr w:rsidR="00A46CCC" w:rsidTr="005E2FB3">
        <w:trPr>
          <w:trHeight w:val="386"/>
        </w:trPr>
        <w:tc>
          <w:tcPr>
            <w:tcW w:w="2376" w:type="dxa"/>
          </w:tcPr>
          <w:p w:rsidR="00A46CCC" w:rsidRDefault="00A46CCC" w:rsidP="005E2FB3">
            <w:pPr>
              <w:pStyle w:val="NormalHeadings"/>
              <w:jc w:val="left"/>
              <w:rPr>
                <w:caps/>
                <w:szCs w:val="24"/>
              </w:rPr>
            </w:pPr>
            <w:r>
              <w:rPr>
                <w:caps/>
                <w:szCs w:val="24"/>
              </w:rPr>
              <w:t>AND:</w:t>
            </w:r>
          </w:p>
        </w:tc>
        <w:tc>
          <w:tcPr>
            <w:tcW w:w="6866" w:type="dxa"/>
            <w:gridSpan w:val="2"/>
          </w:tcPr>
          <w:p w:rsidR="001E75F1" w:rsidRDefault="001E75F1" w:rsidP="001E75F1">
            <w:pPr>
              <w:pStyle w:val="NormalHeadings"/>
              <w:jc w:val="left"/>
            </w:pPr>
            <w:bookmarkStart w:id="16" w:name="Respondent"/>
            <w:r>
              <w:t>TASMANIAN PORTS CORPORATION PTY LTD</w:t>
            </w:r>
          </w:p>
          <w:p w:rsidR="001E75F1" w:rsidRDefault="001E75F1" w:rsidP="001E75F1">
            <w:pPr>
              <w:pStyle w:val="PartyType"/>
            </w:pPr>
            <w:r>
              <w:t>Respondent</w:t>
            </w:r>
          </w:p>
          <w:bookmarkEnd w:id="16"/>
          <w:p w:rsidR="00A46CCC" w:rsidRPr="006555B4" w:rsidRDefault="00A46CCC" w:rsidP="005E2FB3">
            <w:pPr>
              <w:pStyle w:val="NormalHeadings"/>
              <w:jc w:val="left"/>
            </w:pPr>
          </w:p>
        </w:tc>
      </w:tr>
    </w:tbl>
    <w:p w:rsidR="00395B24" w:rsidRDefault="00395B24">
      <w:pPr>
        <w:pStyle w:val="NormalHeadings"/>
      </w:pPr>
      <w:bookmarkStart w:id="17" w:name="CrossClaimPosition"/>
      <w:bookmarkEnd w:id="14"/>
      <w:bookmarkEnd w:id="17"/>
    </w:p>
    <w:tbl>
      <w:tblPr>
        <w:tblW w:w="0" w:type="auto"/>
        <w:tblLayout w:type="fixed"/>
        <w:tblLook w:val="0000" w:firstRow="0" w:lastRow="0" w:firstColumn="0" w:lastColumn="0" w:noHBand="0" w:noVBand="0"/>
      </w:tblPr>
      <w:tblGrid>
        <w:gridCol w:w="2376"/>
        <w:gridCol w:w="6866"/>
      </w:tblGrid>
      <w:tr w:rsidR="00395B24">
        <w:tc>
          <w:tcPr>
            <w:tcW w:w="2376" w:type="dxa"/>
          </w:tcPr>
          <w:p w:rsidR="00395B24" w:rsidRDefault="00974709">
            <w:pPr>
              <w:pStyle w:val="NormalHeadings"/>
              <w:spacing w:after="120"/>
              <w:jc w:val="left"/>
              <w:rPr>
                <w:caps/>
                <w:szCs w:val="24"/>
              </w:rPr>
            </w:pPr>
            <w:bookmarkStart w:id="18" w:name="JudgeText"/>
            <w:r>
              <w:rPr>
                <w:caps/>
                <w:szCs w:val="24"/>
              </w:rPr>
              <w:t>order made by</w:t>
            </w:r>
            <w:bookmarkEnd w:id="18"/>
            <w:r w:rsidR="002C7385">
              <w:rPr>
                <w:caps/>
                <w:szCs w:val="24"/>
              </w:rPr>
              <w:t>:</w:t>
            </w:r>
          </w:p>
        </w:tc>
        <w:tc>
          <w:tcPr>
            <w:tcW w:w="6866" w:type="dxa"/>
          </w:tcPr>
          <w:p w:rsidR="00395B24" w:rsidRDefault="001E75F1">
            <w:pPr>
              <w:pStyle w:val="NormalHeadings"/>
              <w:jc w:val="left"/>
              <w:rPr>
                <w:caps/>
                <w:szCs w:val="24"/>
              </w:rPr>
            </w:pPr>
            <w:bookmarkStart w:id="19" w:name="Judge"/>
            <w:r>
              <w:rPr>
                <w:caps/>
                <w:szCs w:val="24"/>
              </w:rPr>
              <w:t>DAVIES J</w:t>
            </w:r>
            <w:bookmarkEnd w:id="19"/>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DF1C53">
            <w:pPr>
              <w:pStyle w:val="NormalHeadings"/>
              <w:jc w:val="left"/>
              <w:rPr>
                <w:caps/>
                <w:szCs w:val="24"/>
              </w:rPr>
            </w:pPr>
            <w:r>
              <w:rPr>
                <w:caps/>
                <w:szCs w:val="24"/>
              </w:rPr>
              <w:t>4 May 2021</w:t>
            </w:r>
          </w:p>
        </w:tc>
      </w:tr>
    </w:tbl>
    <w:p w:rsidR="00395B24" w:rsidRDefault="00395B24">
      <w:pPr>
        <w:pStyle w:val="NormalHeadings"/>
        <w:rPr>
          <w:b w:val="0"/>
        </w:rPr>
      </w:pPr>
    </w:p>
    <w:p w:rsidR="008D1617" w:rsidRDefault="008D1617">
      <w:pPr>
        <w:pStyle w:val="NormalHeadings"/>
        <w:rPr>
          <w:b w:val="0"/>
        </w:rPr>
      </w:pPr>
    </w:p>
    <w:p w:rsidR="005C1EAF" w:rsidRPr="001A25D3" w:rsidRDefault="005C1EAF" w:rsidP="001A25D3">
      <w:pPr>
        <w:pStyle w:val="Order1"/>
        <w:numPr>
          <w:ilvl w:val="0"/>
          <w:numId w:val="0"/>
        </w:numPr>
        <w:ind w:left="720" w:hanging="720"/>
        <w:rPr>
          <w:b/>
        </w:rPr>
      </w:pPr>
      <w:r w:rsidRPr="001A25D3">
        <w:rPr>
          <w:b/>
        </w:rPr>
        <w:t xml:space="preserve">THE COURT NOTES THAT: </w:t>
      </w:r>
    </w:p>
    <w:p w:rsidR="005C1EAF" w:rsidRDefault="005C1EAF" w:rsidP="005C1EAF">
      <w:pPr>
        <w:pStyle w:val="Order1"/>
      </w:pPr>
      <w:r>
        <w:t xml:space="preserve">In order to resolve the issues between the Applicant and the Respondent without a lengthy and expensive proceeding, the Respondent: </w:t>
      </w:r>
    </w:p>
    <w:p w:rsidR="005C1EAF" w:rsidRDefault="005C1EAF" w:rsidP="00EE0DCD">
      <w:pPr>
        <w:pStyle w:val="Order2"/>
      </w:pPr>
      <w:r>
        <w:t xml:space="preserve">consents to the orders contained in this proposed minute of order; and </w:t>
      </w:r>
    </w:p>
    <w:p w:rsidR="005C1EAF" w:rsidRPr="005C1EAF" w:rsidRDefault="005C1EAF" w:rsidP="00EE0DCD">
      <w:pPr>
        <w:pStyle w:val="Order2"/>
      </w:pPr>
      <w:r w:rsidRPr="005C1EAF">
        <w:rPr>
          <w:sz w:val="23"/>
          <w:szCs w:val="23"/>
        </w:rPr>
        <w:t xml:space="preserve">has agreed to provide an undertaking to the Applicant pursuant to section 87B of the </w:t>
      </w:r>
      <w:r w:rsidRPr="005C1EAF">
        <w:rPr>
          <w:i/>
          <w:iCs/>
          <w:sz w:val="23"/>
          <w:szCs w:val="23"/>
        </w:rPr>
        <w:t xml:space="preserve">Competition and Consumer Act 2010 </w:t>
      </w:r>
      <w:r w:rsidRPr="005C1EAF">
        <w:rPr>
          <w:sz w:val="23"/>
          <w:szCs w:val="23"/>
        </w:rPr>
        <w:t>(Cth), in the terms of the Annexure to these orders.</w:t>
      </w:r>
    </w:p>
    <w:p w:rsidR="00AE6360" w:rsidRPr="00AE6360" w:rsidRDefault="00AE6360" w:rsidP="00AE6360">
      <w:pPr>
        <w:pStyle w:val="Order1"/>
        <w:numPr>
          <w:ilvl w:val="0"/>
          <w:numId w:val="0"/>
        </w:numPr>
        <w:ind w:left="720" w:hanging="720"/>
        <w:rPr>
          <w:b/>
        </w:rPr>
      </w:pPr>
      <w:r w:rsidRPr="00AE6360">
        <w:rPr>
          <w:b/>
        </w:rPr>
        <w:t xml:space="preserve">THE COURT DECLARES THAT: </w:t>
      </w:r>
    </w:p>
    <w:p w:rsidR="005C1EAF" w:rsidRPr="00AE6360" w:rsidRDefault="00AE6360" w:rsidP="00AE6360">
      <w:pPr>
        <w:pStyle w:val="Order1"/>
      </w:pPr>
      <w:r>
        <w:t xml:space="preserve">Pursuant to section 21 of the </w:t>
      </w:r>
      <w:r>
        <w:rPr>
          <w:i/>
          <w:iCs/>
        </w:rPr>
        <w:t xml:space="preserve">Federal Court of Australia Act 1976 </w:t>
      </w:r>
      <w:r>
        <w:t xml:space="preserve">(Cth), the Respondent contravened section 46(1) of the </w:t>
      </w:r>
      <w:r>
        <w:rPr>
          <w:i/>
          <w:iCs/>
        </w:rPr>
        <w:t xml:space="preserve">Competition and Consumer Act 2010 </w:t>
      </w:r>
      <w:r>
        <w:t>(Cth) by engaging in conduct, between 6 November 2017 and 1 July 2019, in response to the entry or attempted entry of Engage Marine Tasmania Pty Ltd (</w:t>
      </w:r>
      <w:r w:rsidRPr="00CC4B37">
        <w:rPr>
          <w:b/>
        </w:rPr>
        <w:t>Engage Marine</w:t>
      </w:r>
      <w:r>
        <w:t>) as a competitor, that had the likely effect of substantially lessening competition in the markets for towage and pilotage services in Northern Tasmania, by maintaining to Grange Resources Limited (</w:t>
      </w:r>
      <w:r>
        <w:rPr>
          <w:b/>
          <w:bCs/>
        </w:rPr>
        <w:t>Grange</w:t>
      </w:r>
      <w:r>
        <w:t xml:space="preserve">) that Grange was required to pay </w:t>
      </w:r>
      <w:r>
        <w:rPr>
          <w:sz w:val="23"/>
          <w:szCs w:val="23"/>
        </w:rPr>
        <w:t>a new “marine precinct tonnage charge” (</w:t>
      </w:r>
      <w:r>
        <w:rPr>
          <w:b/>
          <w:bCs/>
          <w:sz w:val="23"/>
          <w:szCs w:val="23"/>
        </w:rPr>
        <w:t>MPTC</w:t>
      </w:r>
      <w:r>
        <w:rPr>
          <w:sz w:val="23"/>
          <w:szCs w:val="23"/>
        </w:rPr>
        <w:t>) for vessels calling at Port Latta, in circumstances where:</w:t>
      </w:r>
    </w:p>
    <w:p w:rsidR="00AE6360" w:rsidRDefault="00AE6360" w:rsidP="00AE6360">
      <w:pPr>
        <w:pStyle w:val="Order2"/>
        <w:numPr>
          <w:ilvl w:val="0"/>
          <w:numId w:val="32"/>
        </w:numPr>
      </w:pPr>
      <w:r>
        <w:t>the Respondent first sought the MPTC from Grange after Grange had notified the Respondent that it would cease acquiring marine services from the Respondent at Port Latta and begin acquiring those services from Engage Marine;</w:t>
      </w:r>
    </w:p>
    <w:p w:rsidR="00AE6360" w:rsidRPr="00AE6360" w:rsidRDefault="00AE6360" w:rsidP="00AE6360">
      <w:pPr>
        <w:pStyle w:val="Order2"/>
        <w:numPr>
          <w:ilvl w:val="0"/>
          <w:numId w:val="32"/>
        </w:numPr>
      </w:pPr>
      <w:r>
        <w:rPr>
          <w:sz w:val="23"/>
          <w:szCs w:val="23"/>
        </w:rPr>
        <w:lastRenderedPageBreak/>
        <w:t>there was a real commercial likelihood if Grange agreed to pay the MPTC that this would have the effect of raising Grange’s future costs of acquiring services from Engage Marine compared with if there had been no MPTC;</w:t>
      </w:r>
    </w:p>
    <w:p w:rsidR="00AE6360" w:rsidRPr="00AE6360" w:rsidRDefault="00AE6360" w:rsidP="00AE6360">
      <w:pPr>
        <w:pStyle w:val="Order2"/>
        <w:numPr>
          <w:ilvl w:val="0"/>
          <w:numId w:val="32"/>
        </w:numPr>
      </w:pPr>
      <w:r>
        <w:rPr>
          <w:sz w:val="23"/>
          <w:szCs w:val="23"/>
        </w:rPr>
        <w:t>the Respondent did not, without Grange’s agreement, have a legal right to require Grange to pay the charge; and</w:t>
      </w:r>
    </w:p>
    <w:p w:rsidR="00AE6360" w:rsidRDefault="00AE6360" w:rsidP="00AE6360">
      <w:pPr>
        <w:pStyle w:val="Order2"/>
        <w:numPr>
          <w:ilvl w:val="0"/>
          <w:numId w:val="32"/>
        </w:numPr>
      </w:pPr>
      <w:r>
        <w:rPr>
          <w:sz w:val="23"/>
          <w:szCs w:val="23"/>
        </w:rPr>
        <w:t>the Respondent sought to impose the MPTC without having conducted a full assessment of the costs to the Respondent of providing the services that the Respondent would need to provide at Port Latta in order to perform the responsibilities imposed on the Respondent under the Deed dated 10 January 2014 between the Respondent, the Marine and Safety Authority and the Crown in right of the State of Tasmania.</w:t>
      </w:r>
    </w:p>
    <w:p w:rsidR="007F60DF" w:rsidRPr="001A25D3" w:rsidRDefault="002C7385" w:rsidP="001A25D3">
      <w:pPr>
        <w:pStyle w:val="Order1"/>
        <w:numPr>
          <w:ilvl w:val="0"/>
          <w:numId w:val="0"/>
        </w:numPr>
        <w:ind w:left="720" w:hanging="720"/>
        <w:rPr>
          <w:b/>
        </w:rPr>
      </w:pPr>
      <w:r w:rsidRPr="001A25D3">
        <w:rPr>
          <w:b/>
        </w:rPr>
        <w:t>THE COURT ORDERS THAT:</w:t>
      </w:r>
    </w:p>
    <w:p w:rsidR="00AE6360" w:rsidRDefault="00AE6360" w:rsidP="00AE6360">
      <w:pPr>
        <w:pStyle w:val="Order1"/>
      </w:pPr>
      <w:r>
        <w:t xml:space="preserve">The Respondent pay the Applicant, within 30 days of the date of this order, a contribution to the Applicant’s costs of and incidental to this proceeding fixed in the sum of $200,000. </w:t>
      </w:r>
    </w:p>
    <w:p w:rsidR="001A6C52" w:rsidRDefault="00AE6360" w:rsidP="00AE6360">
      <w:pPr>
        <w:pStyle w:val="Order1"/>
      </w:pPr>
      <w:r>
        <w:t>The proceedings otherwise be dismissed.</w:t>
      </w:r>
    </w:p>
    <w:p w:rsidR="001A6C52" w:rsidRDefault="001A6C52" w:rsidP="001A6C52">
      <w:pPr>
        <w:pStyle w:val="BodyText"/>
      </w:pPr>
    </w:p>
    <w:p w:rsidR="00671976" w:rsidRDefault="00671976">
      <w:pPr>
        <w:spacing w:line="240" w:lineRule="auto"/>
        <w:jc w:val="left"/>
      </w:pPr>
    </w:p>
    <w:p w:rsidR="00671976" w:rsidRDefault="00671976">
      <w:pPr>
        <w:spacing w:line="240" w:lineRule="auto"/>
        <w:jc w:val="left"/>
      </w:pPr>
    </w:p>
    <w:p w:rsidR="00671976" w:rsidRDefault="00671976">
      <w:pPr>
        <w:spacing w:line="240" w:lineRule="auto"/>
        <w:jc w:val="left"/>
      </w:pPr>
    </w:p>
    <w:p w:rsidR="00671976" w:rsidRDefault="00671976">
      <w:pPr>
        <w:spacing w:line="240" w:lineRule="auto"/>
        <w:jc w:val="left"/>
      </w:pPr>
    </w:p>
    <w:p w:rsidR="00671976" w:rsidRDefault="00671976">
      <w:pPr>
        <w:spacing w:line="240" w:lineRule="auto"/>
        <w:jc w:val="left"/>
      </w:pPr>
    </w:p>
    <w:p w:rsidR="006751AA" w:rsidRDefault="00671976">
      <w:pPr>
        <w:spacing w:line="240" w:lineRule="auto"/>
        <w:jc w:val="left"/>
      </w:pPr>
      <w:bookmarkStart w:id="20" w:name="OrdersStatement"/>
      <w:r>
        <w:t>Note:</w:t>
      </w:r>
      <w:r>
        <w:tab/>
        <w:t xml:space="preserve">Entry of orders is dealt with in Rule 39.32 of the </w:t>
      </w:r>
      <w:r>
        <w:rPr>
          <w:i/>
        </w:rPr>
        <w:t>Federal Court Rules 2011</w:t>
      </w:r>
      <w:r>
        <w:t>.</w:t>
      </w:r>
      <w:bookmarkEnd w:id="20"/>
    </w:p>
    <w:p w:rsidR="00A431E6" w:rsidRDefault="004C3CB7" w:rsidP="001A6C52">
      <w:pPr>
        <w:pStyle w:val="BodyText"/>
      </w:pPr>
      <w:r w:rsidRPr="00BB2BC5">
        <w:rPr>
          <w:noProof/>
          <w:lang w:eastAsia="en-AU"/>
        </w:rPr>
        <w:lastRenderedPageBreak/>
        <w:drawing>
          <wp:inline distT="0" distB="0" distL="0" distR="0">
            <wp:extent cx="5734050" cy="8105775"/>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BB2BC5">
        <w:rPr>
          <w:noProof/>
          <w:lang w:eastAsia="en-AU"/>
        </w:rPr>
        <w:lastRenderedPageBreak/>
        <w:drawing>
          <wp:inline distT="0" distB="0" distL="0" distR="0">
            <wp:extent cx="5734050" cy="8105775"/>
            <wp:effectExtent l="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BB2BC5">
        <w:rPr>
          <w:noProof/>
          <w:lang w:eastAsia="en-AU"/>
        </w:rPr>
        <w:lastRenderedPageBreak/>
        <w:drawing>
          <wp:inline distT="0" distB="0" distL="0" distR="0">
            <wp:extent cx="5734050" cy="8105775"/>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BB2BC5">
        <w:rPr>
          <w:noProof/>
          <w:lang w:eastAsia="en-AU"/>
        </w:rPr>
        <w:lastRenderedPageBreak/>
        <w:drawing>
          <wp:inline distT="0" distB="0" distL="0" distR="0">
            <wp:extent cx="5734050" cy="8105775"/>
            <wp:effectExtent l="0" t="0" r="0" b="0"/>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BB2BC5">
        <w:rPr>
          <w:noProof/>
          <w:lang w:eastAsia="en-AU"/>
        </w:rPr>
        <w:lastRenderedPageBreak/>
        <w:drawing>
          <wp:inline distT="0" distB="0" distL="0" distR="0">
            <wp:extent cx="5734050" cy="8105775"/>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BB2BC5">
        <w:rPr>
          <w:noProof/>
          <w:lang w:eastAsia="en-AU"/>
        </w:rPr>
        <w:lastRenderedPageBreak/>
        <w:drawing>
          <wp:inline distT="0" distB="0" distL="0" distR="0">
            <wp:extent cx="5734050" cy="8105775"/>
            <wp:effectExtent l="0" t="0" r="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BB2BC5">
        <w:rPr>
          <w:noProof/>
          <w:lang w:eastAsia="en-AU"/>
        </w:rPr>
        <w:lastRenderedPageBreak/>
        <w:drawing>
          <wp:inline distT="0" distB="0" distL="0" distR="0">
            <wp:extent cx="5734050" cy="8105775"/>
            <wp:effectExtent l="0" t="0" r="0"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BB2BC5">
        <w:rPr>
          <w:noProof/>
          <w:lang w:eastAsia="en-AU"/>
        </w:rPr>
        <w:lastRenderedPageBreak/>
        <w:drawing>
          <wp:inline distT="0" distB="0" distL="0" distR="0">
            <wp:extent cx="5734050" cy="8105775"/>
            <wp:effectExtent l="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BB2BC5">
        <w:rPr>
          <w:noProof/>
          <w:lang w:eastAsia="en-AU"/>
        </w:rPr>
        <w:lastRenderedPageBreak/>
        <w:drawing>
          <wp:inline distT="0" distB="0" distL="0" distR="0">
            <wp:extent cx="5734050" cy="8105775"/>
            <wp:effectExtent l="0" t="0" r="0"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rsidR="0050309C" w:rsidRDefault="0050309C" w:rsidP="004D53E5">
      <w:pPr>
        <w:pStyle w:val="SingleSpace"/>
      </w:pPr>
    </w:p>
    <w:p w:rsidR="009D328D" w:rsidRDefault="009D328D" w:rsidP="002B0E91">
      <w:pPr>
        <w:pStyle w:val="BodyText"/>
      </w:pPr>
    </w:p>
    <w:p w:rsidR="00395B24" w:rsidRDefault="00395B24">
      <w:pPr>
        <w:pStyle w:val="NormalHeadings"/>
        <w:spacing w:before="240" w:after="120"/>
        <w:rPr>
          <w:b w:val="0"/>
        </w:rPr>
        <w:sectPr w:rsidR="00395B24" w:rsidSect="0092590B">
          <w:headerReference w:type="default" r:id="rId19"/>
          <w:footerReference w:type="default" r:id="rId20"/>
          <w:headerReference w:type="first" r:id="rId21"/>
          <w:footerReference w:type="first" r:id="rId22"/>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1" w:name="ReasonsPage"/>
      <w:bookmarkEnd w:id="21"/>
      <w:r w:rsidRPr="00045BB7">
        <w:rPr>
          <w:sz w:val="28"/>
          <w:szCs w:val="28"/>
        </w:rPr>
        <w:lastRenderedPageBreak/>
        <w:t>REASONS FOR JUDGMENT</w:t>
      </w:r>
    </w:p>
    <w:p w:rsidR="00694BEB" w:rsidRDefault="001E75F1" w:rsidP="005E0510">
      <w:pPr>
        <w:pStyle w:val="NormalHeadings"/>
        <w:spacing w:line="360" w:lineRule="auto"/>
        <w:jc w:val="left"/>
        <w:rPr>
          <w:sz w:val="26"/>
          <w:szCs w:val="26"/>
        </w:rPr>
      </w:pPr>
      <w:r>
        <w:rPr>
          <w:sz w:val="26"/>
          <w:szCs w:val="26"/>
        </w:rPr>
        <w:t>DAVIES J:</w:t>
      </w:r>
    </w:p>
    <w:p w:rsidR="0051434F" w:rsidRDefault="001E75F1" w:rsidP="0051434F">
      <w:pPr>
        <w:pStyle w:val="ParaNumbering"/>
      </w:pPr>
      <w:r>
        <w:t>On 4 May 2021 I made orders in this proceeding in accordance with the proposed minute of order provided by the parties.  These are my reasons for making those orders.</w:t>
      </w:r>
    </w:p>
    <w:p w:rsidR="001D4CB3" w:rsidRDefault="001D4CB3" w:rsidP="001D4CB3">
      <w:pPr>
        <w:pStyle w:val="Heading2"/>
      </w:pPr>
      <w:r>
        <w:t>Background</w:t>
      </w:r>
    </w:p>
    <w:p w:rsidR="00E16E54" w:rsidRDefault="001E75F1" w:rsidP="0051434F">
      <w:pPr>
        <w:pStyle w:val="ParaNumbering"/>
      </w:pPr>
      <w:r>
        <w:t xml:space="preserve">The </w:t>
      </w:r>
      <w:r w:rsidR="008B7462" w:rsidRPr="00F13A49">
        <w:t>R</w:t>
      </w:r>
      <w:r w:rsidRPr="00F13A49">
        <w:t>espondent</w:t>
      </w:r>
      <w:r>
        <w:t xml:space="preserve"> (</w:t>
      </w:r>
      <w:r w:rsidR="00F87F7E">
        <w:rPr>
          <w:b/>
        </w:rPr>
        <w:t>Tas</w:t>
      </w:r>
      <w:r>
        <w:rPr>
          <w:b/>
        </w:rPr>
        <w:t>Ports</w:t>
      </w:r>
      <w:r>
        <w:t xml:space="preserve">) </w:t>
      </w:r>
      <w:r w:rsidR="005C34B8">
        <w:t xml:space="preserve">is a State owned </w:t>
      </w:r>
      <w:r w:rsidR="005C34B8" w:rsidRPr="00F13A49">
        <w:t>company</w:t>
      </w:r>
      <w:r w:rsidR="00EA40EC">
        <w:t xml:space="preserve"> which</w:t>
      </w:r>
      <w:r w:rsidR="00221B86">
        <w:t xml:space="preserve"> </w:t>
      </w:r>
      <w:r w:rsidR="00BE0AE2">
        <w:t xml:space="preserve">provides marine services </w:t>
      </w:r>
      <w:r w:rsidR="00C87C86">
        <w:t xml:space="preserve">at </w:t>
      </w:r>
      <w:r w:rsidR="00000A30">
        <w:t>11 </w:t>
      </w:r>
      <w:r w:rsidR="00C87C86" w:rsidRPr="00F13A49">
        <w:t>ports</w:t>
      </w:r>
      <w:r w:rsidR="00C87C86">
        <w:t xml:space="preserve"> in </w:t>
      </w:r>
      <w:r w:rsidR="00C87C86" w:rsidRPr="00DF1C53">
        <w:t>Tasmani</w:t>
      </w:r>
      <w:r w:rsidR="00221B86">
        <w:t>a</w:t>
      </w:r>
      <w:r w:rsidR="0020099E">
        <w:t>, including</w:t>
      </w:r>
      <w:r w:rsidR="00C87C86">
        <w:t xml:space="preserve"> </w:t>
      </w:r>
      <w:r w:rsidR="00BE0AE2">
        <w:t>towage and pilotage services</w:t>
      </w:r>
      <w:r w:rsidR="0020099E">
        <w:t xml:space="preserve"> and various </w:t>
      </w:r>
      <w:r w:rsidR="00BE0AE2">
        <w:t xml:space="preserve">functions </w:t>
      </w:r>
      <w:r w:rsidR="009F2C58">
        <w:t xml:space="preserve">it is engaged to perform </w:t>
      </w:r>
      <w:r w:rsidR="00221B86" w:rsidRPr="00000A30">
        <w:t>under a deed between TasPorts, Marine and Safety Authority and the Crown in the right of the State of Tasmania (</w:t>
      </w:r>
      <w:r w:rsidR="00221B86" w:rsidRPr="00000A30">
        <w:rPr>
          <w:b/>
        </w:rPr>
        <w:t>the MAST Deed</w:t>
      </w:r>
      <w:r w:rsidR="00221B86" w:rsidRPr="00000A30">
        <w:t>)</w:t>
      </w:r>
      <w:r w:rsidR="00D46304" w:rsidRPr="00000A30">
        <w:t>.</w:t>
      </w:r>
      <w:r w:rsidR="00000A30">
        <w:t xml:space="preserve"> </w:t>
      </w:r>
      <w:r w:rsidR="00D46304">
        <w:t xml:space="preserve"> </w:t>
      </w:r>
      <w:r w:rsidR="00584D3E">
        <w:t>Its revenue is derived primarily from charges to port users and other customers and from the lease of its assets.</w:t>
      </w:r>
      <w:r w:rsidR="00C50995">
        <w:t xml:space="preserve"> </w:t>
      </w:r>
      <w:r w:rsidR="00584D3E">
        <w:t xml:space="preserve"> </w:t>
      </w:r>
    </w:p>
    <w:p w:rsidR="00592F07" w:rsidRDefault="00B036D3" w:rsidP="00F713D3">
      <w:pPr>
        <w:pStyle w:val="ParaNumbering"/>
      </w:pPr>
      <w:r w:rsidRPr="00000A30">
        <w:t>F</w:t>
      </w:r>
      <w:r w:rsidR="00F713D3" w:rsidRPr="00000A30">
        <w:t>or</w:t>
      </w:r>
      <w:r w:rsidR="00F713D3">
        <w:t xml:space="preserve"> a number of years prior to 1 July 2018, </w:t>
      </w:r>
      <w:r w:rsidR="00F87F7E">
        <w:t>Tas</w:t>
      </w:r>
      <w:r w:rsidR="00F713D3">
        <w:t xml:space="preserve">Ports was the sole provider of </w:t>
      </w:r>
      <w:r w:rsidR="00193023">
        <w:t xml:space="preserve">marine </w:t>
      </w:r>
      <w:r w:rsidR="00F713D3">
        <w:t xml:space="preserve">services at major ports in Tasmania, including </w:t>
      </w:r>
      <w:r w:rsidR="00C13384">
        <w:t>Port Latta</w:t>
      </w:r>
      <w:r w:rsidR="00F87F7E">
        <w:t>.</w:t>
      </w:r>
      <w:r w:rsidR="00DC3B69">
        <w:t xml:space="preserve"> </w:t>
      </w:r>
      <w:r w:rsidR="00C13384">
        <w:t xml:space="preserve"> </w:t>
      </w:r>
      <w:r w:rsidR="00F87F7E" w:rsidRPr="005E7329">
        <w:t xml:space="preserve">Port Latta is privately owned and operated by </w:t>
      </w:r>
      <w:r w:rsidR="00C13384" w:rsidRPr="005E7329">
        <w:t>Grange Resources Limited (</w:t>
      </w:r>
      <w:r w:rsidR="00C13384" w:rsidRPr="00B036D3">
        <w:rPr>
          <w:b/>
        </w:rPr>
        <w:t>Grange</w:t>
      </w:r>
      <w:r w:rsidR="00F13A49" w:rsidRPr="00B036D3">
        <w:rPr>
          <w:b/>
        </w:rPr>
        <w:t xml:space="preserve"> Resources</w:t>
      </w:r>
      <w:r w:rsidR="00C13384" w:rsidRPr="005E7329">
        <w:t>)</w:t>
      </w:r>
      <w:r w:rsidR="00CF3503" w:rsidRPr="00CF3503">
        <w:t xml:space="preserve"> </w:t>
      </w:r>
      <w:r w:rsidR="00F87F7E">
        <w:t>and TasPorts provided towage, pilotage and other marine services to Grange</w:t>
      </w:r>
      <w:r w:rsidR="00F13A49">
        <w:t xml:space="preserve"> Resources</w:t>
      </w:r>
      <w:r w:rsidR="00F87F7E">
        <w:t xml:space="preserve"> </w:t>
      </w:r>
      <w:r w:rsidR="00CF3503">
        <w:t>under an agreement titled the Port Latta Services Agreement</w:t>
      </w:r>
      <w:r w:rsidR="00F87F7E">
        <w:t>.</w:t>
      </w:r>
      <w:r w:rsidR="00F87F7E" w:rsidRPr="00F87F7E">
        <w:t xml:space="preserve"> </w:t>
      </w:r>
      <w:r w:rsidR="005E7329">
        <w:t xml:space="preserve"> </w:t>
      </w:r>
      <w:r w:rsidR="00730ECB">
        <w:t xml:space="preserve">From late 2016, </w:t>
      </w:r>
      <w:r w:rsidR="00730ECB" w:rsidRPr="00F13A49">
        <w:t>Grange</w:t>
      </w:r>
      <w:r w:rsidR="00F13A49">
        <w:t xml:space="preserve"> Resources</w:t>
      </w:r>
      <w:r w:rsidR="00730ECB" w:rsidRPr="00F13A49">
        <w:t xml:space="preserve"> and </w:t>
      </w:r>
      <w:r w:rsidR="005E7329" w:rsidRPr="00F13A49">
        <w:t xml:space="preserve">TasPorts </w:t>
      </w:r>
      <w:r w:rsidR="00730ECB" w:rsidRPr="00F13A49">
        <w:t>we</w:t>
      </w:r>
      <w:r w:rsidR="00F87F7E" w:rsidRPr="00F13A49">
        <w:t>re in negotiation</w:t>
      </w:r>
      <w:r w:rsidR="005E7329" w:rsidRPr="00F13A49">
        <w:t>s</w:t>
      </w:r>
      <w:r w:rsidR="00F87F7E" w:rsidRPr="00F13A49">
        <w:t xml:space="preserve"> for Tas</w:t>
      </w:r>
      <w:r w:rsidR="00730ECB" w:rsidRPr="00F13A49">
        <w:t xml:space="preserve">Ports to continue supplying Grange </w:t>
      </w:r>
      <w:r w:rsidR="00F13A49">
        <w:t>Resources</w:t>
      </w:r>
      <w:r w:rsidR="00F13A49" w:rsidRPr="00F13A49">
        <w:t xml:space="preserve"> </w:t>
      </w:r>
      <w:r w:rsidR="00730ECB" w:rsidRPr="00F13A49">
        <w:t>with towage and pilotage services (among other services) at Port Latta after the initial expiry date of the Port Latta Services Agreement</w:t>
      </w:r>
      <w:r w:rsidR="005B55D8">
        <w:t>, however,</w:t>
      </w:r>
      <w:r w:rsidR="00571C33" w:rsidRPr="00F13A49">
        <w:t xml:space="preserve"> </w:t>
      </w:r>
      <w:r w:rsidR="005B55D8">
        <w:t xml:space="preserve">in </w:t>
      </w:r>
      <w:r w:rsidR="00730ECB" w:rsidRPr="00F13A49">
        <w:t>August 2017</w:t>
      </w:r>
      <w:r w:rsidR="005E7329" w:rsidRPr="00F13A49">
        <w:t>,</w:t>
      </w:r>
      <w:r w:rsidR="00730ECB">
        <w:t xml:space="preserve"> Grange </w:t>
      </w:r>
      <w:r w:rsidR="00F13A49">
        <w:t xml:space="preserve">Resources </w:t>
      </w:r>
      <w:r w:rsidR="00571C33">
        <w:t>advise</w:t>
      </w:r>
      <w:r w:rsidR="00B54AAA">
        <w:t>d</w:t>
      </w:r>
      <w:r w:rsidR="00571C33">
        <w:t xml:space="preserve"> TasPorts that it had </w:t>
      </w:r>
      <w:r w:rsidR="00730ECB">
        <w:t>decided not to conti</w:t>
      </w:r>
      <w:r w:rsidR="00571C33">
        <w:t xml:space="preserve">nue negotiations </w:t>
      </w:r>
      <w:r w:rsidR="00B54AAA">
        <w:t>and, instead,</w:t>
      </w:r>
      <w:r w:rsidR="00730ECB">
        <w:t xml:space="preserve"> </w:t>
      </w:r>
      <w:r w:rsidR="00780E4F">
        <w:t xml:space="preserve">to </w:t>
      </w:r>
      <w:r w:rsidR="00730ECB">
        <w:t xml:space="preserve">obtain towage and pilotage services (among other services) from </w:t>
      </w:r>
      <w:r w:rsidR="00B54AAA">
        <w:t>another</w:t>
      </w:r>
      <w:r w:rsidR="00780E4F">
        <w:t xml:space="preserve"> </w:t>
      </w:r>
      <w:r w:rsidR="00B54AAA">
        <w:t xml:space="preserve">port services provider, </w:t>
      </w:r>
      <w:r w:rsidR="00730ECB">
        <w:t>Engage Marine Pty Ltd (</w:t>
      </w:r>
      <w:r w:rsidR="00730ECB" w:rsidRPr="00F713D3">
        <w:rPr>
          <w:b/>
        </w:rPr>
        <w:t>Engage Marine</w:t>
      </w:r>
      <w:r w:rsidR="00780E4F">
        <w:t>)</w:t>
      </w:r>
      <w:r w:rsidR="00730ECB">
        <w:t xml:space="preserve">.  </w:t>
      </w:r>
    </w:p>
    <w:p w:rsidR="00D5254B" w:rsidRDefault="00730ECB" w:rsidP="00F713D3">
      <w:pPr>
        <w:pStyle w:val="ParaNumbering"/>
      </w:pPr>
      <w:r>
        <w:t xml:space="preserve">On </w:t>
      </w:r>
      <w:r w:rsidR="00592F07">
        <w:t>31 October 2017, Tas</w:t>
      </w:r>
      <w:r>
        <w:t xml:space="preserve">Ports advised Grange </w:t>
      </w:r>
      <w:r w:rsidR="00592F07">
        <w:t xml:space="preserve">Resources </w:t>
      </w:r>
      <w:r>
        <w:t xml:space="preserve">that it would need to </w:t>
      </w:r>
      <w:r w:rsidRPr="00F13A49">
        <w:t>pay a “</w:t>
      </w:r>
      <w:r w:rsidR="005E7329" w:rsidRPr="00F13A49">
        <w:t>M</w:t>
      </w:r>
      <w:r w:rsidRPr="00F13A49">
        <w:t xml:space="preserve">arine </w:t>
      </w:r>
      <w:r w:rsidR="005E7329" w:rsidRPr="00F13A49">
        <w:t>P</w:t>
      </w:r>
      <w:r w:rsidRPr="00F13A49">
        <w:t xml:space="preserve">recinct </w:t>
      </w:r>
      <w:r w:rsidR="005E7329" w:rsidRPr="00F13A49">
        <w:t>T</w:t>
      </w:r>
      <w:r w:rsidRPr="00F13A49">
        <w:t xml:space="preserve">onnage </w:t>
      </w:r>
      <w:r w:rsidR="005E7329" w:rsidRPr="00B036D3">
        <w:t>C</w:t>
      </w:r>
      <w:r w:rsidRPr="00B036D3">
        <w:t xml:space="preserve">harge” </w:t>
      </w:r>
      <w:r w:rsidR="005E7329" w:rsidRPr="00B036D3">
        <w:t>(</w:t>
      </w:r>
      <w:r w:rsidR="00F13A49" w:rsidRPr="00B036D3">
        <w:rPr>
          <w:b/>
        </w:rPr>
        <w:t>tonnage charge</w:t>
      </w:r>
      <w:r w:rsidR="005E7329" w:rsidRPr="00B036D3">
        <w:t xml:space="preserve">) </w:t>
      </w:r>
      <w:r w:rsidR="00684904" w:rsidRPr="00B036D3">
        <w:t>for vessels</w:t>
      </w:r>
      <w:r w:rsidR="00684904">
        <w:t xml:space="preserve"> calling at Port Latta </w:t>
      </w:r>
      <w:r>
        <w:t xml:space="preserve">after the expiry </w:t>
      </w:r>
      <w:r w:rsidRPr="00F13A49">
        <w:t>of the</w:t>
      </w:r>
      <w:r w:rsidR="00592F07" w:rsidRPr="00F13A49">
        <w:t xml:space="preserve"> Port Latta Services</w:t>
      </w:r>
      <w:r w:rsidRPr="00F13A49">
        <w:t xml:space="preserve"> </w:t>
      </w:r>
      <w:r w:rsidR="0002399D">
        <w:t>A</w:t>
      </w:r>
      <w:r w:rsidR="00592F07" w:rsidRPr="00F13A49">
        <w:t>greement</w:t>
      </w:r>
      <w:r w:rsidR="00D30C3E">
        <w:t xml:space="preserve">. </w:t>
      </w:r>
      <w:r w:rsidR="00FB733E" w:rsidRPr="00F13A49">
        <w:t xml:space="preserve"> </w:t>
      </w:r>
      <w:r w:rsidR="00684904" w:rsidRPr="00F13A49">
        <w:t xml:space="preserve">TasPorts had previously not imposed such a charge on Grange Resources. </w:t>
      </w:r>
      <w:r w:rsidR="00543B93">
        <w:t xml:space="preserve"> </w:t>
      </w:r>
      <w:r w:rsidR="00684904" w:rsidRPr="00F13A49">
        <w:t>Tas</w:t>
      </w:r>
      <w:r w:rsidR="00FB733E" w:rsidRPr="00F13A49">
        <w:t xml:space="preserve">Ports represented to Grange </w:t>
      </w:r>
      <w:r w:rsidR="00F13A49" w:rsidRPr="00F13A49">
        <w:t>Resources</w:t>
      </w:r>
      <w:r w:rsidR="00684904" w:rsidRPr="00F13A49">
        <w:t xml:space="preserve"> </w:t>
      </w:r>
      <w:r w:rsidR="00FB733E" w:rsidRPr="00F13A49">
        <w:t>that the tonnage charge was payable f</w:t>
      </w:r>
      <w:r w:rsidR="00684904" w:rsidRPr="00F13A49">
        <w:t>or the performance by Tas</w:t>
      </w:r>
      <w:r w:rsidR="00FB733E" w:rsidRPr="00F13A49">
        <w:t>Ports of its regulatory responsibilities to the State o</w:t>
      </w:r>
      <w:r w:rsidR="00D52F6B" w:rsidRPr="00F13A49">
        <w:t xml:space="preserve">f </w:t>
      </w:r>
      <w:r w:rsidR="00D52F6B" w:rsidRPr="00D30C3E">
        <w:t>Tasmania</w:t>
      </w:r>
      <w:r w:rsidR="00B036D3" w:rsidRPr="00D30C3E">
        <w:t xml:space="preserve"> under the MAST Deed</w:t>
      </w:r>
      <w:r w:rsidR="00D52F6B" w:rsidRPr="00D30C3E">
        <w:t>,</w:t>
      </w:r>
      <w:r w:rsidR="00FB733E" w:rsidRPr="00D30C3E">
        <w:t xml:space="preserve"> </w:t>
      </w:r>
      <w:r w:rsidR="00D52F6B" w:rsidRPr="00D30C3E">
        <w:t>h</w:t>
      </w:r>
      <w:r w:rsidR="00FB733E" w:rsidRPr="00D30C3E">
        <w:t>owever</w:t>
      </w:r>
      <w:r w:rsidR="00FB733E">
        <w:t xml:space="preserve"> it neither conducted a full assessment of its costs of performing those resp</w:t>
      </w:r>
      <w:r w:rsidR="000E5590">
        <w:t xml:space="preserve">onsibilities at Port Latta nor </w:t>
      </w:r>
      <w:r w:rsidR="00D5254B">
        <w:t xml:space="preserve">had the </w:t>
      </w:r>
      <w:r w:rsidR="00DA3ECB">
        <w:t>legal right to require Grange </w:t>
      </w:r>
      <w:r w:rsidR="000E5590">
        <w:t xml:space="preserve">Resources </w:t>
      </w:r>
      <w:r w:rsidR="00FB733E">
        <w:t>to pay that tonnage charge</w:t>
      </w:r>
      <w:r w:rsidR="000E5590" w:rsidRPr="000E5590">
        <w:t xml:space="preserve"> </w:t>
      </w:r>
      <w:r w:rsidR="000E5590">
        <w:t xml:space="preserve">(without Grange </w:t>
      </w:r>
      <w:r w:rsidR="000E5590" w:rsidRPr="003D27B2">
        <w:t>Resources</w:t>
      </w:r>
      <w:r w:rsidR="000E5590">
        <w:t>’ agreement, which it did not have)</w:t>
      </w:r>
      <w:r w:rsidR="00FB733E">
        <w:t>.</w:t>
      </w:r>
      <w:r w:rsidR="00BA5138">
        <w:t xml:space="preserve"> </w:t>
      </w:r>
      <w:r w:rsidR="00FB733E">
        <w:t xml:space="preserve"> </w:t>
      </w:r>
      <w:r w:rsidR="006C153E">
        <w:t>Grange </w:t>
      </w:r>
      <w:r w:rsidR="003D27B2" w:rsidRPr="003D27B2">
        <w:t xml:space="preserve">Resources </w:t>
      </w:r>
      <w:r w:rsidR="00BA5138" w:rsidRPr="003D27B2">
        <w:t xml:space="preserve">disputed TasPorts’ entitlement to the charge and TasPorts subsequently offered a </w:t>
      </w:r>
      <w:r w:rsidR="00BA5138" w:rsidRPr="00543B93">
        <w:t xml:space="preserve">reduced </w:t>
      </w:r>
      <w:r w:rsidR="00B036D3" w:rsidRPr="00543B93">
        <w:t>tonnage charge</w:t>
      </w:r>
      <w:r w:rsidR="00BA5138" w:rsidRPr="00543B93">
        <w:t xml:space="preserve"> for a</w:t>
      </w:r>
      <w:r w:rsidR="00BA5138" w:rsidRPr="003D27B2">
        <w:t xml:space="preserve"> fixed period</w:t>
      </w:r>
      <w:r w:rsidR="006C32C7" w:rsidRPr="003D27B2">
        <w:t xml:space="preserve">.  </w:t>
      </w:r>
      <w:r w:rsidR="00FB733E" w:rsidRPr="003D27B2">
        <w:t>Alth</w:t>
      </w:r>
      <w:r w:rsidR="000E5590" w:rsidRPr="003D27B2">
        <w:t>ough</w:t>
      </w:r>
      <w:r w:rsidR="000E5590">
        <w:t xml:space="preserve"> </w:t>
      </w:r>
      <w:r w:rsidR="003D27B2">
        <w:t>i</w:t>
      </w:r>
      <w:r w:rsidR="000E5590">
        <w:t xml:space="preserve">n July 2018, </w:t>
      </w:r>
      <w:r w:rsidR="000E5590">
        <w:lastRenderedPageBreak/>
        <w:t>Tas</w:t>
      </w:r>
      <w:r w:rsidR="00FB733E">
        <w:t xml:space="preserve">Ports began invoicing Grange </w:t>
      </w:r>
      <w:r w:rsidR="000E5590">
        <w:t xml:space="preserve">Resources </w:t>
      </w:r>
      <w:r w:rsidR="003D27B2">
        <w:t xml:space="preserve">for the tonnage charge, </w:t>
      </w:r>
      <w:r w:rsidR="00FB733E">
        <w:t xml:space="preserve">Grange </w:t>
      </w:r>
      <w:r w:rsidR="000E5590">
        <w:t xml:space="preserve">Resources </w:t>
      </w:r>
      <w:r w:rsidR="00FB733E">
        <w:t xml:space="preserve">did not pay the </w:t>
      </w:r>
      <w:r w:rsidR="008636E0">
        <w:t>invoiced</w:t>
      </w:r>
      <w:r w:rsidR="00FB733E">
        <w:t xml:space="preserve"> amount.  </w:t>
      </w:r>
    </w:p>
    <w:p w:rsidR="001E75F1" w:rsidRDefault="006C32C7" w:rsidP="00F713D3">
      <w:pPr>
        <w:pStyle w:val="ParaNumbering"/>
      </w:pPr>
      <w:r w:rsidRPr="00DC6A71">
        <w:t xml:space="preserve">On 15 </w:t>
      </w:r>
      <w:r w:rsidR="00D5254B" w:rsidRPr="00DC6A71">
        <w:t>July 2019</w:t>
      </w:r>
      <w:r w:rsidR="003D6099" w:rsidRPr="00DC6A71">
        <w:t>,</w:t>
      </w:r>
      <w:r w:rsidR="00D5254B" w:rsidRPr="00DC6A71">
        <w:t xml:space="preserve"> </w:t>
      </w:r>
      <w:r w:rsidR="00FB733E" w:rsidRPr="00DC6A71">
        <w:t xml:space="preserve">the </w:t>
      </w:r>
      <w:r w:rsidR="003D6099" w:rsidRPr="00DC6A71">
        <w:t>Australian Competition and Consumer Commission (</w:t>
      </w:r>
      <w:r w:rsidR="00FB733E" w:rsidRPr="00DC6A71">
        <w:rPr>
          <w:b/>
        </w:rPr>
        <w:t>ACCC</w:t>
      </w:r>
      <w:r w:rsidR="003D6099" w:rsidRPr="00DC6A71">
        <w:t>)</w:t>
      </w:r>
      <w:r w:rsidR="00FB733E" w:rsidRPr="00DC6A71">
        <w:t xml:space="preserve"> </w:t>
      </w:r>
      <w:r w:rsidR="00D5254B" w:rsidRPr="00DC6A71">
        <w:t xml:space="preserve">notified TasPorts </w:t>
      </w:r>
      <w:r w:rsidR="00FB733E" w:rsidRPr="00DC6A71">
        <w:t>that it was investigating allegations of anti</w:t>
      </w:r>
      <w:r w:rsidR="006751AA" w:rsidRPr="00DC6A71">
        <w:noBreakHyphen/>
      </w:r>
      <w:r w:rsidR="000E5590" w:rsidRPr="00DC6A71">
        <w:t>competitive co</w:t>
      </w:r>
      <w:r w:rsidR="00D5254B" w:rsidRPr="00DC6A71">
        <w:t>nduct.</w:t>
      </w:r>
      <w:r w:rsidR="003D6099" w:rsidRPr="00DC6A71">
        <w:t xml:space="preserve"> </w:t>
      </w:r>
      <w:r w:rsidR="000E5590" w:rsidRPr="00DC6A71">
        <w:t xml:space="preserve"> </w:t>
      </w:r>
      <w:r w:rsidR="00D5254B" w:rsidRPr="00DC6A71">
        <w:t xml:space="preserve">Following that notification, </w:t>
      </w:r>
      <w:r w:rsidR="000E5590" w:rsidRPr="00DC6A71">
        <w:t>Tas</w:t>
      </w:r>
      <w:r w:rsidR="00FB733E" w:rsidRPr="00DC6A71">
        <w:t xml:space="preserve">Ports </w:t>
      </w:r>
      <w:r w:rsidR="006B5FCE" w:rsidRPr="00DC6A71">
        <w:t>agreed to not impose</w:t>
      </w:r>
      <w:r w:rsidR="006B5FCE" w:rsidRPr="00DA3ECB">
        <w:t xml:space="preserve"> the charge</w:t>
      </w:r>
      <w:r w:rsidR="006B5FCE" w:rsidRPr="00DC6A71">
        <w:t xml:space="preserve"> without providing 30 days’ notice to the ACCC </w:t>
      </w:r>
      <w:r w:rsidR="006B5FCE">
        <w:t>and has not</w:t>
      </w:r>
      <w:r w:rsidR="00246FB7">
        <w:t>, since then,</w:t>
      </w:r>
      <w:r w:rsidR="006B5FCE">
        <w:t xml:space="preserve"> </w:t>
      </w:r>
      <w:r w:rsidR="003D6099" w:rsidRPr="00DC6A71">
        <w:t>take</w:t>
      </w:r>
      <w:r w:rsidR="006B5FCE">
        <w:t>n</w:t>
      </w:r>
      <w:r w:rsidR="00D5254B" w:rsidRPr="00DC6A71">
        <w:t xml:space="preserve"> </w:t>
      </w:r>
      <w:r w:rsidR="00FB733E" w:rsidRPr="00DC6A71">
        <w:t xml:space="preserve">any steps to charge a tonnage charge for </w:t>
      </w:r>
      <w:r w:rsidR="00CC022D" w:rsidRPr="00DC6A71">
        <w:t>vessels that enter Port Latta.</w:t>
      </w:r>
    </w:p>
    <w:p w:rsidR="00FB733E" w:rsidRDefault="00FB733E" w:rsidP="005E2FB3">
      <w:pPr>
        <w:pStyle w:val="ParaNumbering"/>
      </w:pPr>
      <w:r>
        <w:t xml:space="preserve">The ACCC </w:t>
      </w:r>
      <w:r w:rsidRPr="00DA3ECB">
        <w:t xml:space="preserve">commenced </w:t>
      </w:r>
      <w:r w:rsidR="00B036D3" w:rsidRPr="00DA3ECB">
        <w:t>this</w:t>
      </w:r>
      <w:r w:rsidRPr="00DA3ECB">
        <w:t xml:space="preserve"> proceeding in 2019 seeking declarations of contravention of s 46</w:t>
      </w:r>
      <w:r w:rsidR="00DC6A71" w:rsidRPr="00DA3ECB">
        <w:t>(1)</w:t>
      </w:r>
      <w:r w:rsidRPr="00DA3ECB">
        <w:t xml:space="preserve"> of the </w:t>
      </w:r>
      <w:r w:rsidRPr="00DA3ECB">
        <w:rPr>
          <w:i/>
        </w:rPr>
        <w:t>Competition and Consumer Act</w:t>
      </w:r>
      <w:r w:rsidR="00DA2CD5" w:rsidRPr="00DA3ECB">
        <w:rPr>
          <w:i/>
        </w:rPr>
        <w:t xml:space="preserve"> 2010 </w:t>
      </w:r>
      <w:r w:rsidR="00DA2CD5" w:rsidRPr="00DA3ECB">
        <w:t>(Cth) (</w:t>
      </w:r>
      <w:r w:rsidR="00FE0847" w:rsidRPr="00DA3ECB">
        <w:rPr>
          <w:b/>
          <w:i/>
        </w:rPr>
        <w:t>Competition and Consumer Act</w:t>
      </w:r>
      <w:r w:rsidR="00DA2CD5" w:rsidRPr="00DA3ECB">
        <w:t>)</w:t>
      </w:r>
      <w:r w:rsidR="00B036D3" w:rsidRPr="00DA3ECB">
        <w:t xml:space="preserve"> by TasPorts</w:t>
      </w:r>
      <w:r w:rsidRPr="00DA3ECB">
        <w:t>, pecuniary penalties pursuant to s 7</w:t>
      </w:r>
      <w:r w:rsidRPr="00DC6A71">
        <w:t xml:space="preserve">6(1) of the </w:t>
      </w:r>
      <w:r w:rsidR="00FE0847" w:rsidRPr="00DC6A71">
        <w:rPr>
          <w:i/>
        </w:rPr>
        <w:t xml:space="preserve">Competition and Consumer Act </w:t>
      </w:r>
      <w:r w:rsidRPr="00DC6A71">
        <w:t>and</w:t>
      </w:r>
      <w:r w:rsidRPr="00DC6A71">
        <w:rPr>
          <w:i/>
        </w:rPr>
        <w:t xml:space="preserve"> </w:t>
      </w:r>
      <w:r w:rsidRPr="00DC6A71">
        <w:t xml:space="preserve">injunctive relief pursuant to s 80 of the </w:t>
      </w:r>
      <w:r w:rsidR="00FE0847" w:rsidRPr="00DC6A71">
        <w:rPr>
          <w:i/>
        </w:rPr>
        <w:t>Competition and</w:t>
      </w:r>
      <w:r w:rsidR="00FE0847" w:rsidRPr="00FB733E">
        <w:rPr>
          <w:i/>
        </w:rPr>
        <w:t xml:space="preserve"> Consumer Act</w:t>
      </w:r>
      <w:r>
        <w:t>.  The parties</w:t>
      </w:r>
      <w:r w:rsidR="00696B95">
        <w:t xml:space="preserve"> </w:t>
      </w:r>
      <w:r>
        <w:t>agreed to resolve the proceeding and jointly filed the following documents:</w:t>
      </w:r>
    </w:p>
    <w:p w:rsidR="00FB733E" w:rsidRDefault="00FB733E" w:rsidP="00FB733E">
      <w:pPr>
        <w:pStyle w:val="ListNo2"/>
      </w:pPr>
      <w:r>
        <w:t xml:space="preserve">a statement of agreed facts and admissions made by </w:t>
      </w:r>
      <w:r w:rsidR="00DA2CD5" w:rsidRPr="00DC6A71">
        <w:t>TasPorts</w:t>
      </w:r>
      <w:r w:rsidRPr="00DC6A71">
        <w:t>;</w:t>
      </w:r>
      <w:r>
        <w:t xml:space="preserve"> </w:t>
      </w:r>
    </w:p>
    <w:p w:rsidR="00061E08" w:rsidRDefault="00FB733E" w:rsidP="00FB733E">
      <w:pPr>
        <w:pStyle w:val="ListNo2"/>
      </w:pPr>
      <w:r>
        <w:t>a proposed minute of order setting out the relief which the par</w:t>
      </w:r>
      <w:r w:rsidR="009459FC">
        <w:t xml:space="preserve">ties submitted was appropriate; </w:t>
      </w:r>
    </w:p>
    <w:p w:rsidR="009459FC" w:rsidRDefault="00061E08" w:rsidP="00061E08">
      <w:pPr>
        <w:pStyle w:val="ListNo2"/>
      </w:pPr>
      <w:bookmarkStart w:id="22" w:name="_GoBack"/>
      <w:bookmarkEnd w:id="22"/>
      <w:r w:rsidRPr="00DC6A71">
        <w:t>submissions on the proposed minute of order;</w:t>
      </w:r>
      <w:r>
        <w:t xml:space="preserve"> </w:t>
      </w:r>
      <w:r w:rsidR="009459FC">
        <w:t>and</w:t>
      </w:r>
    </w:p>
    <w:p w:rsidR="00FB733E" w:rsidRDefault="009459FC" w:rsidP="00FB733E">
      <w:pPr>
        <w:pStyle w:val="ListNo2"/>
      </w:pPr>
      <w:r>
        <w:t xml:space="preserve">an undertaking </w:t>
      </w:r>
      <w:r w:rsidR="00940E7F">
        <w:t xml:space="preserve">given </w:t>
      </w:r>
      <w:r>
        <w:t>by TasPorts to the ACCC under</w:t>
      </w:r>
      <w:r w:rsidR="00FB733E">
        <w:t xml:space="preserve"> </w:t>
      </w:r>
      <w:r>
        <w:t xml:space="preserve">s 87B of the </w:t>
      </w:r>
      <w:r w:rsidRPr="00FB733E">
        <w:rPr>
          <w:i/>
        </w:rPr>
        <w:t>Competition and Consumer Act</w:t>
      </w:r>
      <w:r w:rsidR="00940E7F">
        <w:rPr>
          <w:i/>
        </w:rPr>
        <w:t>.</w:t>
      </w:r>
    </w:p>
    <w:p w:rsidR="00FB733E" w:rsidRDefault="00FB733E" w:rsidP="005E2FB3">
      <w:pPr>
        <w:pStyle w:val="ParaNumbering"/>
      </w:pPr>
      <w:r>
        <w:t xml:space="preserve">The statement of agreed facts is </w:t>
      </w:r>
      <w:r w:rsidR="00674C03">
        <w:t>A</w:t>
      </w:r>
      <w:r>
        <w:t xml:space="preserve">nnexure 1 to these reasons.  On the </w:t>
      </w:r>
      <w:r w:rsidRPr="00A820F0">
        <w:t>basis</w:t>
      </w:r>
      <w:r w:rsidR="00696B95" w:rsidRPr="00A820F0">
        <w:t xml:space="preserve"> </w:t>
      </w:r>
      <w:r w:rsidR="006B5FCE" w:rsidRPr="00A820F0">
        <w:t>of the</w:t>
      </w:r>
      <w:r w:rsidR="00696B95" w:rsidRPr="00A820F0">
        <w:t xml:space="preserve"> facts</w:t>
      </w:r>
      <w:r w:rsidRPr="00A820F0">
        <w:t xml:space="preserve"> </w:t>
      </w:r>
      <w:r w:rsidR="006B5FCE" w:rsidRPr="00A820F0">
        <w:t>and</w:t>
      </w:r>
      <w:r w:rsidR="006B5FCE">
        <w:t xml:space="preserve"> matters set out</w:t>
      </w:r>
      <w:r w:rsidRPr="00DC6A71">
        <w:t xml:space="preserve">, </w:t>
      </w:r>
      <w:r w:rsidR="007D0652" w:rsidRPr="00DC6A71">
        <w:t>TasPorts</w:t>
      </w:r>
      <w:r>
        <w:t xml:space="preserve"> has admitted that between 6 November 2017 and 1 July 2019</w:t>
      </w:r>
      <w:r w:rsidR="00A73E5C">
        <w:t xml:space="preserve"> (</w:t>
      </w:r>
      <w:r w:rsidR="006B5FCE">
        <w:rPr>
          <w:b/>
        </w:rPr>
        <w:t xml:space="preserve">the </w:t>
      </w:r>
      <w:r w:rsidR="00A73E5C" w:rsidRPr="00A73E5C">
        <w:rPr>
          <w:b/>
        </w:rPr>
        <w:t>relevant period</w:t>
      </w:r>
      <w:r w:rsidR="00A73E5C">
        <w:t>)</w:t>
      </w:r>
      <w:r>
        <w:t xml:space="preserve">, it engaged in the following conduct in contravention </w:t>
      </w:r>
      <w:r w:rsidRPr="00696B95">
        <w:t>of s 46</w:t>
      </w:r>
      <w:r w:rsidR="00DC6A71" w:rsidRPr="00696B95">
        <w:t>(1)</w:t>
      </w:r>
      <w:r>
        <w:t xml:space="preserve"> of the </w:t>
      </w:r>
      <w:r w:rsidR="00FE0847" w:rsidRPr="00FB733E">
        <w:rPr>
          <w:i/>
        </w:rPr>
        <w:t>Competition and Consumer Act</w:t>
      </w:r>
      <w:r>
        <w:t>:</w:t>
      </w:r>
      <w:r w:rsidR="00F77635">
        <w:t xml:space="preserve"> specifically in response to the entry or attempted entry of Engage Marine as a competitor, TasPorts maintained to Grange </w:t>
      </w:r>
      <w:r w:rsidR="0053536B" w:rsidRPr="00DC6A71">
        <w:t>Resources</w:t>
      </w:r>
      <w:r w:rsidR="0053536B">
        <w:t xml:space="preserve"> </w:t>
      </w:r>
      <w:r w:rsidR="00674C03">
        <w:t xml:space="preserve">that Grange </w:t>
      </w:r>
      <w:r w:rsidR="007D0652" w:rsidRPr="00DC6A71">
        <w:t>Resources</w:t>
      </w:r>
      <w:r w:rsidR="007D0652">
        <w:t xml:space="preserve"> </w:t>
      </w:r>
      <w:r w:rsidR="00F77635">
        <w:t xml:space="preserve">was required to pay a new </w:t>
      </w:r>
      <w:r w:rsidR="00F77635" w:rsidRPr="00696B95">
        <w:t xml:space="preserve">charge </w:t>
      </w:r>
      <w:r w:rsidR="00DC6A71" w:rsidRPr="00696B95">
        <w:t>(r</w:t>
      </w:r>
      <w:r w:rsidR="00F77635" w:rsidRPr="00696B95">
        <w:t xml:space="preserve">eferred to as the </w:t>
      </w:r>
      <w:r w:rsidR="000D1847" w:rsidRPr="00696B95">
        <w:t>“MPTC”</w:t>
      </w:r>
      <w:r w:rsidR="00DC6A71" w:rsidRPr="00696B95">
        <w:t xml:space="preserve"> in the agreed statement of facts)</w:t>
      </w:r>
      <w:r w:rsidR="000D1847">
        <w:t xml:space="preserve"> </w:t>
      </w:r>
      <w:r w:rsidR="00F77635">
        <w:t>for vessels calling at Port Latta, in circumstances where:</w:t>
      </w:r>
    </w:p>
    <w:p w:rsidR="00FB733E" w:rsidRDefault="00F77635" w:rsidP="00E705B3">
      <w:pPr>
        <w:pStyle w:val="ListNo2"/>
        <w:numPr>
          <w:ilvl w:val="1"/>
          <w:numId w:val="26"/>
        </w:numPr>
      </w:pPr>
      <w:r w:rsidRPr="003F33A5">
        <w:t>TasPorts first sought the</w:t>
      </w:r>
      <w:r w:rsidR="00234138" w:rsidRPr="003F33A5">
        <w:t xml:space="preserve"> charge</w:t>
      </w:r>
      <w:r w:rsidRPr="003F33A5">
        <w:t xml:space="preserve"> from Grange</w:t>
      </w:r>
      <w:r w:rsidR="00234138" w:rsidRPr="003F33A5">
        <w:t xml:space="preserve"> </w:t>
      </w:r>
      <w:r w:rsidR="000D1847" w:rsidRPr="003F33A5">
        <w:t xml:space="preserve">Resources </w:t>
      </w:r>
      <w:r w:rsidRPr="003F33A5">
        <w:t>after</w:t>
      </w:r>
      <w:r>
        <w:t xml:space="preserve"> Grange </w:t>
      </w:r>
      <w:r w:rsidR="000D1847" w:rsidRPr="00DC6A71">
        <w:t xml:space="preserve">Resources </w:t>
      </w:r>
      <w:r>
        <w:t xml:space="preserve">had notified TasPorts that </w:t>
      </w:r>
      <w:r w:rsidR="00234138">
        <w:t xml:space="preserve">it </w:t>
      </w:r>
      <w:r>
        <w:t>would cease acquiring marine services from TasPorts at Port Latta and begin acquiring those services from Engage Marine;</w:t>
      </w:r>
    </w:p>
    <w:p w:rsidR="00F77635" w:rsidRDefault="00F77635" w:rsidP="00E705B3">
      <w:pPr>
        <w:pStyle w:val="ListNo2"/>
        <w:numPr>
          <w:ilvl w:val="1"/>
          <w:numId w:val="26"/>
        </w:numPr>
      </w:pPr>
      <w:r>
        <w:t xml:space="preserve">TasPorts did not, without </w:t>
      </w:r>
      <w:r w:rsidRPr="00DC6A71">
        <w:t>Grange</w:t>
      </w:r>
      <w:r w:rsidR="00234138" w:rsidRPr="00DC6A71">
        <w:t xml:space="preserve"> </w:t>
      </w:r>
      <w:r w:rsidR="000D1847" w:rsidRPr="00DC6A71">
        <w:t>Resources</w:t>
      </w:r>
      <w:r w:rsidR="006C153E">
        <w:t>’</w:t>
      </w:r>
      <w:r>
        <w:t xml:space="preserve"> agreement, have a legal right to require Grange </w:t>
      </w:r>
      <w:r w:rsidR="00234138">
        <w:t xml:space="preserve">Resources </w:t>
      </w:r>
      <w:r>
        <w:t>to pay the charge;</w:t>
      </w:r>
    </w:p>
    <w:p w:rsidR="00F77635" w:rsidRDefault="00F77635" w:rsidP="00E705B3">
      <w:pPr>
        <w:pStyle w:val="ListNo2"/>
        <w:numPr>
          <w:ilvl w:val="1"/>
          <w:numId w:val="26"/>
        </w:numPr>
      </w:pPr>
      <w:r>
        <w:lastRenderedPageBreak/>
        <w:t xml:space="preserve">TasPorts sought to impose the </w:t>
      </w:r>
      <w:r w:rsidR="00234138">
        <w:t xml:space="preserve">charge </w:t>
      </w:r>
      <w:r>
        <w:t>without having conducted a full assessment of its costs of providing the services that it would need to provide at Port Latta in order to perform the responsibilities imposed on it under the MAST Deed; and</w:t>
      </w:r>
    </w:p>
    <w:p w:rsidR="00F77635" w:rsidRDefault="00F77635" w:rsidP="00E705B3">
      <w:pPr>
        <w:pStyle w:val="ListNo2"/>
        <w:numPr>
          <w:ilvl w:val="1"/>
          <w:numId w:val="26"/>
        </w:numPr>
      </w:pPr>
      <w:r>
        <w:t xml:space="preserve">there was a real commercial likelihood if Grange </w:t>
      </w:r>
      <w:r w:rsidR="000D1847" w:rsidRPr="00DC6A71">
        <w:t>Resources</w:t>
      </w:r>
      <w:r w:rsidR="00DE1F3E">
        <w:t xml:space="preserve"> </w:t>
      </w:r>
      <w:r>
        <w:t>agreed to pay the</w:t>
      </w:r>
      <w:r w:rsidR="00DE1F3E">
        <w:t xml:space="preserve"> charge</w:t>
      </w:r>
      <w:r>
        <w:t xml:space="preserve"> that this would have the effect of raising </w:t>
      </w:r>
      <w:r w:rsidR="000D1847">
        <w:t>Gran</w:t>
      </w:r>
      <w:r w:rsidR="000D1847" w:rsidRPr="00DC6A71">
        <w:t>ge</w:t>
      </w:r>
      <w:r w:rsidR="006C153E">
        <w:t xml:space="preserve"> </w:t>
      </w:r>
      <w:r w:rsidR="000D1847" w:rsidRPr="00DC6A71">
        <w:t>Resources</w:t>
      </w:r>
      <w:r w:rsidR="006C153E">
        <w:t>’</w:t>
      </w:r>
      <w:r w:rsidR="000D1847">
        <w:t xml:space="preserve"> </w:t>
      </w:r>
      <w:r>
        <w:t xml:space="preserve">future costs of acquiring services from Engage </w:t>
      </w:r>
      <w:r w:rsidRPr="00DC6A71">
        <w:t>Marine</w:t>
      </w:r>
      <w:r w:rsidR="000D1847" w:rsidRPr="00DC6A71">
        <w:t>,</w:t>
      </w:r>
      <w:r>
        <w:t xml:space="preserve"> compared with if there had been no</w:t>
      </w:r>
      <w:r w:rsidR="00DE1F3E">
        <w:t xml:space="preserve"> charge</w:t>
      </w:r>
      <w:r>
        <w:t>.</w:t>
      </w:r>
    </w:p>
    <w:p w:rsidR="00F77635" w:rsidRDefault="00F77635" w:rsidP="008F2471">
      <w:pPr>
        <w:pStyle w:val="ParaNumbering"/>
        <w:numPr>
          <w:ilvl w:val="0"/>
          <w:numId w:val="0"/>
        </w:numPr>
      </w:pPr>
      <w:r>
        <w:t>TasPorts has admitted, for the purposes of this proceeding, that this conduct was likely to have the effect of substantially lessening competition in the markets for towage and pilotage services in Northern Tasmania.</w:t>
      </w:r>
    </w:p>
    <w:p w:rsidR="008D34EE" w:rsidRPr="008D34EE" w:rsidRDefault="008D34EE" w:rsidP="005E2FB3">
      <w:pPr>
        <w:pStyle w:val="ParaNumbering"/>
      </w:pPr>
      <w:r>
        <w:rPr>
          <w:szCs w:val="24"/>
          <w:lang w:eastAsia="en-AU"/>
        </w:rPr>
        <w:t xml:space="preserve">The </w:t>
      </w:r>
      <w:r w:rsidR="00F52C40">
        <w:rPr>
          <w:szCs w:val="24"/>
          <w:lang w:eastAsia="en-AU"/>
        </w:rPr>
        <w:t>parties agreed on the following orders</w:t>
      </w:r>
      <w:r>
        <w:rPr>
          <w:szCs w:val="24"/>
          <w:lang w:eastAsia="en-AU"/>
        </w:rPr>
        <w:t>:</w:t>
      </w:r>
    </w:p>
    <w:p w:rsidR="008D34EE" w:rsidRPr="008E197B" w:rsidRDefault="008D34EE" w:rsidP="00E705B3">
      <w:pPr>
        <w:pStyle w:val="ListNo2"/>
        <w:numPr>
          <w:ilvl w:val="1"/>
          <w:numId w:val="27"/>
        </w:numPr>
      </w:pPr>
      <w:r w:rsidRPr="008E197B">
        <w:t xml:space="preserve">a declaration pursuant to s 21 of the </w:t>
      </w:r>
      <w:r w:rsidRPr="008E197B">
        <w:rPr>
          <w:i/>
        </w:rPr>
        <w:t>Federal Court of Australia Act 1976</w:t>
      </w:r>
      <w:r w:rsidRPr="008E197B">
        <w:t xml:space="preserve"> (Cth) (</w:t>
      </w:r>
      <w:r w:rsidRPr="008E197B">
        <w:rPr>
          <w:b/>
          <w:i/>
        </w:rPr>
        <w:t>FCA Act</w:t>
      </w:r>
      <w:r w:rsidRPr="008E197B">
        <w:t xml:space="preserve">) in the </w:t>
      </w:r>
      <w:r w:rsidR="00EA07E1" w:rsidRPr="008E197B">
        <w:t xml:space="preserve">terms of the </w:t>
      </w:r>
      <w:r w:rsidR="00140CC9" w:rsidRPr="008E197B">
        <w:t xml:space="preserve">declaratory order now made; </w:t>
      </w:r>
    </w:p>
    <w:p w:rsidR="008D34EE" w:rsidRDefault="008D34EE" w:rsidP="00E705B3">
      <w:pPr>
        <w:pStyle w:val="ListNo2"/>
        <w:numPr>
          <w:ilvl w:val="1"/>
          <w:numId w:val="27"/>
        </w:numPr>
      </w:pPr>
      <w:r>
        <w:t>an order that TasPorts pay to the ACCC, within 30 days of the date of the order, a contribution to the ACCC’s costs of and incidental to this proceeding fixed in the sum of $200,000; and</w:t>
      </w:r>
    </w:p>
    <w:p w:rsidR="008D34EE" w:rsidRPr="008D34EE" w:rsidRDefault="008D34EE" w:rsidP="00E705B3">
      <w:pPr>
        <w:pStyle w:val="ListNo2"/>
        <w:numPr>
          <w:ilvl w:val="1"/>
          <w:numId w:val="27"/>
        </w:numPr>
      </w:pPr>
      <w:r>
        <w:t>the proceedings otherwise be dismissed.</w:t>
      </w:r>
    </w:p>
    <w:p w:rsidR="008D34EE" w:rsidRDefault="008D34EE" w:rsidP="005E2FB3">
      <w:pPr>
        <w:pStyle w:val="ParaNumbering"/>
      </w:pPr>
      <w:r>
        <w:t>The ACCC did not press for a pecuniary penal</w:t>
      </w:r>
      <w:r w:rsidR="00B63870">
        <w:t>ty against Tasmanian Ports, nor</w:t>
      </w:r>
      <w:r>
        <w:t xml:space="preserve"> injunctive relief.</w:t>
      </w:r>
    </w:p>
    <w:p w:rsidR="00FE0847" w:rsidRDefault="009459FC" w:rsidP="00FE0847">
      <w:pPr>
        <w:pStyle w:val="ParaNumbering"/>
      </w:pPr>
      <w:r>
        <w:t>Part of the settlement reached between the parties involved TasPorts agreeing</w:t>
      </w:r>
      <w:r w:rsidR="008D34EE">
        <w:t xml:space="preserve"> to offer the ACCC an undertaking under s 87B of the </w:t>
      </w:r>
      <w:r w:rsidR="00FE0847" w:rsidRPr="00FB733E">
        <w:rPr>
          <w:i/>
        </w:rPr>
        <w:t>Competition and Consumer Act</w:t>
      </w:r>
      <w:r w:rsidR="0029279F" w:rsidRPr="0029279F">
        <w:t xml:space="preserve">. </w:t>
      </w:r>
      <w:r w:rsidR="0029279F">
        <w:t xml:space="preserve"> </w:t>
      </w:r>
      <w:r>
        <w:t xml:space="preserve">TasPorts has since executed that undertaking.  </w:t>
      </w:r>
    </w:p>
    <w:p w:rsidR="00FE0847" w:rsidRDefault="00BD7F6B" w:rsidP="00BD7F6B">
      <w:pPr>
        <w:pStyle w:val="Heading2"/>
      </w:pPr>
      <w:r w:rsidRPr="00AF7690">
        <w:t>Legislative Framework</w:t>
      </w:r>
    </w:p>
    <w:p w:rsidR="008D34EE" w:rsidRDefault="008D34EE" w:rsidP="005E2FB3">
      <w:pPr>
        <w:pStyle w:val="ParaNumbering"/>
      </w:pPr>
      <w:r>
        <w:t>Section 46</w:t>
      </w:r>
      <w:r w:rsidR="00FE0847" w:rsidRPr="00AF7690">
        <w:t>(1)</w:t>
      </w:r>
      <w:r w:rsidRPr="00AF7690">
        <w:t xml:space="preserve"> of</w:t>
      </w:r>
      <w:r>
        <w:t xml:space="preserve"> the </w:t>
      </w:r>
      <w:r w:rsidR="00E705B3">
        <w:rPr>
          <w:i/>
        </w:rPr>
        <w:t>Competition</w:t>
      </w:r>
      <w:r>
        <w:rPr>
          <w:i/>
        </w:rPr>
        <w:t xml:space="preserve"> and </w:t>
      </w:r>
      <w:r w:rsidRPr="00696B95">
        <w:rPr>
          <w:i/>
        </w:rPr>
        <w:t>Consumer Act</w:t>
      </w:r>
      <w:r w:rsidRPr="00696B95">
        <w:t xml:space="preserve"> </w:t>
      </w:r>
      <w:r w:rsidR="00AF7690" w:rsidRPr="00696B95">
        <w:t xml:space="preserve">(in its current form) </w:t>
      </w:r>
      <w:r w:rsidRPr="00696B95">
        <w:t>provides</w:t>
      </w:r>
      <w:r>
        <w:t>:</w:t>
      </w:r>
    </w:p>
    <w:p w:rsidR="005E2FB3" w:rsidRPr="005E2FB3" w:rsidRDefault="005E2FB3" w:rsidP="005E2FB3">
      <w:pPr>
        <w:pStyle w:val="Quote1"/>
        <w:rPr>
          <w:b/>
        </w:rPr>
      </w:pPr>
      <w:r w:rsidRPr="005E2FB3">
        <w:rPr>
          <w:b/>
        </w:rPr>
        <w:t>Misuse of market power</w:t>
      </w:r>
    </w:p>
    <w:p w:rsidR="005E2FB3" w:rsidRDefault="005E2FB3" w:rsidP="005E2FB3">
      <w:pPr>
        <w:pStyle w:val="Quote1"/>
        <w:ind w:left="1440" w:hanging="703"/>
      </w:pPr>
      <w:r>
        <w:t xml:space="preserve">(1) </w:t>
      </w:r>
      <w:r>
        <w:tab/>
        <w:t>A corporation that has a substantial degree of power in a market must not engage in conduct that has the purpose, or has or is likely to have the effect, of substantially lessening competition in:</w:t>
      </w:r>
    </w:p>
    <w:p w:rsidR="005E2FB3" w:rsidRDefault="005E2FB3" w:rsidP="005E2FB3">
      <w:pPr>
        <w:pStyle w:val="Quote2"/>
      </w:pPr>
      <w:r>
        <w:t xml:space="preserve">(a)  </w:t>
      </w:r>
      <w:r>
        <w:tab/>
        <w:t>that market; or</w:t>
      </w:r>
    </w:p>
    <w:p w:rsidR="005E2FB3" w:rsidRDefault="005E2FB3" w:rsidP="005E2FB3">
      <w:pPr>
        <w:pStyle w:val="Quote2"/>
        <w:ind w:left="2160" w:hanging="720"/>
      </w:pPr>
      <w:r>
        <w:t xml:space="preserve">(b)  </w:t>
      </w:r>
      <w:r>
        <w:tab/>
        <w:t xml:space="preserve">any other market in which that corporation, or a body corporate that </w:t>
      </w:r>
      <w:r>
        <w:lastRenderedPageBreak/>
        <w:t>is related to that corporation:</w:t>
      </w:r>
    </w:p>
    <w:p w:rsidR="005E2FB3" w:rsidRDefault="005E2FB3" w:rsidP="005E2FB3">
      <w:pPr>
        <w:pStyle w:val="Quote3"/>
        <w:ind w:left="2880" w:hanging="720"/>
      </w:pPr>
      <w:r>
        <w:t xml:space="preserve">(i)  </w:t>
      </w:r>
      <w:r>
        <w:tab/>
        <w:t>supplies goods or services, or is likely to supply goods or services; or</w:t>
      </w:r>
    </w:p>
    <w:p w:rsidR="005E2FB3" w:rsidRDefault="005E2FB3" w:rsidP="005E2FB3">
      <w:pPr>
        <w:pStyle w:val="Quote3"/>
        <w:ind w:left="2880" w:hanging="720"/>
      </w:pPr>
      <w:r>
        <w:t xml:space="preserve">(ii)  </w:t>
      </w:r>
      <w:r>
        <w:tab/>
        <w:t>supplies goods or services, or is likely to supply goods or services, indirectly through one or more other persons; or</w:t>
      </w:r>
    </w:p>
    <w:p w:rsidR="005E2FB3" w:rsidRDefault="005E2FB3" w:rsidP="005E2FB3">
      <w:pPr>
        <w:pStyle w:val="Quote2"/>
        <w:ind w:left="2160" w:hanging="720"/>
      </w:pPr>
      <w:r>
        <w:t xml:space="preserve">(c)  </w:t>
      </w:r>
      <w:r>
        <w:tab/>
        <w:t>any other market in which that corporation, or a body corporate that is related to that corporation:</w:t>
      </w:r>
    </w:p>
    <w:p w:rsidR="005E2FB3" w:rsidRDefault="005E2FB3" w:rsidP="005E2FB3">
      <w:pPr>
        <w:pStyle w:val="Quote3"/>
        <w:ind w:left="2880" w:hanging="720"/>
      </w:pPr>
      <w:r>
        <w:t xml:space="preserve">(i)  </w:t>
      </w:r>
      <w:r>
        <w:tab/>
        <w:t>acquires goods or services, or is likely to acquire goods or services; or</w:t>
      </w:r>
    </w:p>
    <w:p w:rsidR="005E2FB3" w:rsidRDefault="005E2FB3" w:rsidP="005E2FB3">
      <w:pPr>
        <w:pStyle w:val="Quote3"/>
        <w:ind w:left="2880" w:hanging="720"/>
      </w:pPr>
      <w:r>
        <w:t xml:space="preserve">(ii)  </w:t>
      </w:r>
      <w:r>
        <w:tab/>
        <w:t>acquires goods or services, or is likely to acquire goods or services, indirectly through one or more other persons.</w:t>
      </w:r>
    </w:p>
    <w:p w:rsidR="00AB4EED" w:rsidRDefault="009E07AF" w:rsidP="00EE0DCD">
      <w:pPr>
        <w:pStyle w:val="ParaNumbering"/>
      </w:pPr>
      <w:r w:rsidRPr="008E197B">
        <w:t>Section 46</w:t>
      </w:r>
      <w:r w:rsidR="00083242" w:rsidRPr="008E197B">
        <w:t>,</w:t>
      </w:r>
      <w:r w:rsidRPr="008E197B">
        <w:t xml:space="preserve"> in its present form</w:t>
      </w:r>
      <w:r w:rsidR="00083242" w:rsidRPr="008E197B">
        <w:t>,</w:t>
      </w:r>
      <w:r w:rsidRPr="008E197B">
        <w:t xml:space="preserve"> </w:t>
      </w:r>
      <w:r w:rsidR="00083242" w:rsidRPr="008E197B">
        <w:t xml:space="preserve">commenced operation on 6 November 2017. </w:t>
      </w:r>
      <w:r w:rsidR="00D30C3E" w:rsidRPr="008E197B">
        <w:t xml:space="preserve"> </w:t>
      </w:r>
      <w:r w:rsidR="005422A4" w:rsidRPr="008E197B">
        <w:t>Relevantly, under the provision</w:t>
      </w:r>
      <w:r w:rsidR="00083242" w:rsidRPr="008E197B">
        <w:t xml:space="preserve"> as it now is, </w:t>
      </w:r>
      <w:r w:rsidR="005422A4" w:rsidRPr="008E197B">
        <w:t>the</w:t>
      </w:r>
      <w:r w:rsidR="00083242" w:rsidRPr="008E197B">
        <w:t xml:space="preserve"> test focusses on whether the conduct by a corporation with substantial market power has the purpose, effect or likely effect of substantially lessening competition. </w:t>
      </w:r>
      <w:r w:rsidR="008E197B" w:rsidRPr="008E197B">
        <w:t xml:space="preserve"> </w:t>
      </w:r>
      <w:r w:rsidR="00EA07E1" w:rsidRPr="008E197B">
        <w:t>Thus, f</w:t>
      </w:r>
      <w:r w:rsidR="00940E7F" w:rsidRPr="008E197B">
        <w:t>or</w:t>
      </w:r>
      <w:r w:rsidR="00940E7F">
        <w:t xml:space="preserve"> </w:t>
      </w:r>
      <w:r w:rsidR="00443DDC">
        <w:t>a</w:t>
      </w:r>
      <w:r w:rsidR="00CA5600">
        <w:t xml:space="preserve"> corporation</w:t>
      </w:r>
      <w:r w:rsidR="00443DDC">
        <w:t xml:space="preserve"> to contravene</w:t>
      </w:r>
      <w:r w:rsidR="00AF7690">
        <w:t xml:space="preserve"> </w:t>
      </w:r>
      <w:r w:rsidR="00940E7F">
        <w:t xml:space="preserve">s </w:t>
      </w:r>
      <w:r w:rsidR="00AB4EED">
        <w:t>46</w:t>
      </w:r>
      <w:r w:rsidR="00FE0847" w:rsidRPr="00696B95">
        <w:t>(1)</w:t>
      </w:r>
      <w:r w:rsidR="00443DDC" w:rsidRPr="00696B95">
        <w:t>, the</w:t>
      </w:r>
      <w:r w:rsidR="00CA5600">
        <w:t xml:space="preserve"> corporation, relevantly</w:t>
      </w:r>
      <w:r w:rsidR="00940E7F">
        <w:t>:</w:t>
      </w:r>
    </w:p>
    <w:p w:rsidR="00AB4EED" w:rsidRDefault="00443DDC" w:rsidP="00E705B3">
      <w:pPr>
        <w:pStyle w:val="ListNo2"/>
        <w:numPr>
          <w:ilvl w:val="1"/>
          <w:numId w:val="28"/>
        </w:numPr>
      </w:pPr>
      <w:r>
        <w:t xml:space="preserve">must </w:t>
      </w:r>
      <w:r w:rsidR="00CA5600">
        <w:t xml:space="preserve">have </w:t>
      </w:r>
      <w:r w:rsidR="00AB4EED">
        <w:t>a substant</w:t>
      </w:r>
      <w:r>
        <w:t>ial degree of power in a market; and</w:t>
      </w:r>
    </w:p>
    <w:p w:rsidR="008D34EE" w:rsidRDefault="00AB4EED" w:rsidP="00E705B3">
      <w:pPr>
        <w:pStyle w:val="ListNo2"/>
        <w:numPr>
          <w:ilvl w:val="1"/>
          <w:numId w:val="28"/>
        </w:numPr>
      </w:pPr>
      <w:r>
        <w:t xml:space="preserve">must engage in conduct which, relevantly, </w:t>
      </w:r>
      <w:r w:rsidR="00CA5600">
        <w:t xml:space="preserve">is </w:t>
      </w:r>
      <w:r>
        <w:t>likely to have the effect of substantially lessening competition in that market or another market in which it trades or is likely to trade.</w:t>
      </w:r>
    </w:p>
    <w:p w:rsidR="00BD7F6B" w:rsidRDefault="00BD7F6B" w:rsidP="00BD7F6B">
      <w:pPr>
        <w:pStyle w:val="Heading2"/>
      </w:pPr>
      <w:r w:rsidRPr="00AF7690">
        <w:t>Contravening Conduct</w:t>
      </w:r>
    </w:p>
    <w:p w:rsidR="00EA07E1" w:rsidRDefault="00AB4EED" w:rsidP="00C23D7F">
      <w:pPr>
        <w:pStyle w:val="ParaNumbering"/>
      </w:pPr>
      <w:r>
        <w:t>The parties agree</w:t>
      </w:r>
      <w:r w:rsidR="00443DDC">
        <w:t>d</w:t>
      </w:r>
      <w:r>
        <w:t xml:space="preserve"> that there are two markets relevant to an assessment of the likely effects of TasPorts’ impugned conduct. </w:t>
      </w:r>
      <w:r w:rsidR="00FE0847">
        <w:t xml:space="preserve"> </w:t>
      </w:r>
      <w:r>
        <w:t xml:space="preserve">One is the market for towage services in Northern Tasmania </w:t>
      </w:r>
      <w:r w:rsidRPr="00010D5D">
        <w:t>(</w:t>
      </w:r>
      <w:r w:rsidRPr="00010D5D">
        <w:rPr>
          <w:b/>
        </w:rPr>
        <w:t>towage market</w:t>
      </w:r>
      <w:r w:rsidRPr="00010D5D">
        <w:t>), and the other is the market for pilotage services in Northern Tasmania (</w:t>
      </w:r>
      <w:r w:rsidRPr="00010D5D">
        <w:rPr>
          <w:b/>
        </w:rPr>
        <w:t>pilotage market</w:t>
      </w:r>
      <w:r w:rsidRPr="00010D5D">
        <w:t>).</w:t>
      </w:r>
      <w:r w:rsidR="00BD7F6B">
        <w:t xml:space="preserve"> </w:t>
      </w:r>
      <w:r>
        <w:t xml:space="preserve"> </w:t>
      </w:r>
      <w:r w:rsidR="00C272C7">
        <w:t>Both markets are apparent from the matters set out in par</w:t>
      </w:r>
      <w:r w:rsidR="00ED458E">
        <w:t>a</w:t>
      </w:r>
      <w:r w:rsidR="00C272C7">
        <w:t>s 1 to 14 of the statement of agreed facts.</w:t>
      </w:r>
      <w:r w:rsidR="00BD7F6B">
        <w:t xml:space="preserve"> </w:t>
      </w:r>
      <w:r w:rsidR="00C272C7">
        <w:t xml:space="preserve"> </w:t>
      </w:r>
    </w:p>
    <w:p w:rsidR="00AB4EED" w:rsidRDefault="005E5257">
      <w:pPr>
        <w:pStyle w:val="ParaNumbering"/>
      </w:pPr>
      <w:r>
        <w:t>TasPorts has</w:t>
      </w:r>
      <w:r w:rsidR="00CB04F6">
        <w:t xml:space="preserve"> admitted that </w:t>
      </w:r>
      <w:r>
        <w:t>during the relevant period</w:t>
      </w:r>
      <w:r w:rsidR="00EA07E1">
        <w:t>,</w:t>
      </w:r>
      <w:r>
        <w:t xml:space="preserve"> it had a substantial degree of market power in managing and maintaining infrastructure in ports (other than Port Latta) in Northern Tasmania.</w:t>
      </w:r>
      <w:r w:rsidR="00BD7F6B">
        <w:t xml:space="preserve"> </w:t>
      </w:r>
      <w:r>
        <w:t xml:space="preserve"> </w:t>
      </w:r>
      <w:r w:rsidRPr="00696B95">
        <w:t>This</w:t>
      </w:r>
      <w:r w:rsidR="00AF7690" w:rsidRPr="00696B95">
        <w:t xml:space="preserve"> admission</w:t>
      </w:r>
      <w:r>
        <w:t xml:space="preserve"> is </w:t>
      </w:r>
      <w:r w:rsidR="005422A4">
        <w:t>supported by the facts contained in par</w:t>
      </w:r>
      <w:r w:rsidR="007243AB">
        <w:t>a</w:t>
      </w:r>
      <w:r w:rsidR="005422A4">
        <w:t xml:space="preserve">s 15 to 20 and 23 of the statement of agreed facts and, the court was informed, </w:t>
      </w:r>
      <w:r>
        <w:t>consistent w</w:t>
      </w:r>
      <w:r w:rsidR="006751AA">
        <w:t>ith the opinion expressed by Dr </w:t>
      </w:r>
      <w:r>
        <w:t>Williams, the expert economist that the ACCC had proposed to call at trial</w:t>
      </w:r>
      <w:r w:rsidR="005422A4">
        <w:t xml:space="preserve">. </w:t>
      </w:r>
    </w:p>
    <w:p w:rsidR="00000C08" w:rsidRDefault="00CB04F6" w:rsidP="00CB04F6">
      <w:pPr>
        <w:pStyle w:val="ParaNumbering"/>
      </w:pPr>
      <w:r>
        <w:t xml:space="preserve">TasPorts has admitted that </w:t>
      </w:r>
      <w:r w:rsidR="00000C08">
        <w:t>its conduct had the “likely effect” of substantially lessening competition in the towage market and the pilotage market.</w:t>
      </w:r>
      <w:r w:rsidR="007243AB">
        <w:t xml:space="preserve"> </w:t>
      </w:r>
      <w:r w:rsidR="00000C08">
        <w:t xml:space="preserve"> </w:t>
      </w:r>
      <w:r w:rsidR="00FB65B3">
        <w:t xml:space="preserve">From 31 October 2017, based on </w:t>
      </w:r>
      <w:r w:rsidR="00FB65B3">
        <w:lastRenderedPageBreak/>
        <w:t xml:space="preserve">the historical and expected size and number of vessels calling at Port Latta, the tonnage charge would have cost Grange </w:t>
      </w:r>
      <w:r w:rsidR="00010D5D">
        <w:t>Resources</w:t>
      </w:r>
      <w:r w:rsidR="00FB65B3" w:rsidRPr="00232417">
        <w:t xml:space="preserve"> an estimated $940,000 a year.  From 15 December 2017, after TasPorts offered to charge Grange Resources a reduced tonnage for a period of </w:t>
      </w:r>
      <w:r w:rsidR="007243AB">
        <w:t>two</w:t>
      </w:r>
      <w:r w:rsidR="00FB65B3" w:rsidRPr="00232417">
        <w:t xml:space="preserve"> years, it would have cost Grange Resources about $600,000</w:t>
      </w:r>
      <w:r w:rsidR="00FB65B3">
        <w:t xml:space="preserve"> a year for those first two years.  In March 2019, TasPorts reduced the amount to approximately $200,000 per annum, based on expected shipping levels. </w:t>
      </w:r>
      <w:r w:rsidR="00A322E4">
        <w:t xml:space="preserve"> </w:t>
      </w:r>
      <w:r w:rsidR="00FB65B3">
        <w:t>TasPorts</w:t>
      </w:r>
      <w:r>
        <w:t xml:space="preserve"> </w:t>
      </w:r>
      <w:r w:rsidR="00B02A68">
        <w:t xml:space="preserve">has </w:t>
      </w:r>
      <w:r>
        <w:t>admitted that h</w:t>
      </w:r>
      <w:r w:rsidR="00000C08" w:rsidRPr="00696B95">
        <w:t>ad</w:t>
      </w:r>
      <w:r w:rsidR="00000C08">
        <w:t xml:space="preserve"> Grange Resources had agreed to pay </w:t>
      </w:r>
      <w:r w:rsidR="00000C08" w:rsidRPr="00A322E4">
        <w:t>the tonnage charge, there</w:t>
      </w:r>
      <w:r w:rsidR="00000C08">
        <w:t xml:space="preserve"> was a real commercial likelihood that this would have had the effect of raising Grange Resources’ future costs of acquiring services from Engage Marine compared with if there had </w:t>
      </w:r>
      <w:r w:rsidR="00000C08" w:rsidRPr="00A322E4">
        <w:t>been no</w:t>
      </w:r>
      <w:r w:rsidR="00A322E4" w:rsidRPr="00A322E4">
        <w:t xml:space="preserve"> </w:t>
      </w:r>
      <w:r w:rsidR="00000C08" w:rsidRPr="00A322E4">
        <w:t>tonnage charge.</w:t>
      </w:r>
      <w:r w:rsidR="00000C08">
        <w:t xml:space="preserve"> </w:t>
      </w:r>
      <w:r w:rsidR="00000C08" w:rsidRPr="006A15A8">
        <w:t xml:space="preserve"> </w:t>
      </w:r>
    </w:p>
    <w:p w:rsidR="0016655E" w:rsidRDefault="00886640" w:rsidP="0016655E">
      <w:pPr>
        <w:pStyle w:val="ParaNumbering"/>
      </w:pPr>
      <w:r>
        <w:t xml:space="preserve">The relevant period </w:t>
      </w:r>
      <w:r w:rsidR="00CB04F6">
        <w:t xml:space="preserve">of the contravening conduct </w:t>
      </w:r>
      <w:r>
        <w:t>is between 6 November 2017 and 1 July 2019  by reason that:</w:t>
      </w:r>
    </w:p>
    <w:p w:rsidR="003E3B65" w:rsidRDefault="0016655E" w:rsidP="003E3B65">
      <w:pPr>
        <w:pStyle w:val="ListNo2"/>
        <w:numPr>
          <w:ilvl w:val="1"/>
          <w:numId w:val="30"/>
        </w:numPr>
      </w:pPr>
      <w:r>
        <w:t>the current version of s 46(1) commenced operation</w:t>
      </w:r>
      <w:r w:rsidR="003E3B65">
        <w:t xml:space="preserve"> on 6 November 2017;</w:t>
      </w:r>
    </w:p>
    <w:p w:rsidR="0016655E" w:rsidRDefault="0016655E" w:rsidP="003E3B65">
      <w:pPr>
        <w:pStyle w:val="ListNo2"/>
        <w:numPr>
          <w:ilvl w:val="1"/>
          <w:numId w:val="30"/>
        </w:numPr>
      </w:pPr>
      <w:r>
        <w:t xml:space="preserve">on </w:t>
      </w:r>
      <w:r w:rsidR="003E3B65">
        <w:t xml:space="preserve">about 1 July 2019 </w:t>
      </w:r>
      <w:r>
        <w:t>TasPorts sought to deal directly with shipping lines in relation to port charges for vessels that entered Port Latta and not long after that, following correspondence from the ACCC, TasPorts agreed with the ACCC not to charge any such tonnage charge at Port Latta without first giving the ACCC 30 days’ notice.</w:t>
      </w:r>
      <w:r w:rsidR="00C17FF7">
        <w:t xml:space="preserve"> </w:t>
      </w:r>
      <w:r>
        <w:t xml:space="preserve"> Since that time, whilst it waited for the resolution of this proceeding, TasPorts has not taken any steps to charge a tonnage charge for vessels that enter Port Latta.</w:t>
      </w:r>
    </w:p>
    <w:p w:rsidR="00AB7441" w:rsidRDefault="00AB7441" w:rsidP="00712F6D">
      <w:pPr>
        <w:pStyle w:val="ParaNumbering"/>
      </w:pPr>
      <w:r w:rsidRPr="00232417">
        <w:t>On the basis</w:t>
      </w:r>
      <w:r>
        <w:t xml:space="preserve"> of the facts </w:t>
      </w:r>
      <w:r w:rsidR="007C02E9">
        <w:t xml:space="preserve">and admissions </w:t>
      </w:r>
      <w:r>
        <w:t xml:space="preserve">in the statement of agreed facts, I </w:t>
      </w:r>
      <w:r w:rsidR="002862FE">
        <w:t xml:space="preserve">was </w:t>
      </w:r>
      <w:r w:rsidR="00E705B3">
        <w:t>satisfied</w:t>
      </w:r>
      <w:r>
        <w:t xml:space="preserve"> </w:t>
      </w:r>
      <w:r w:rsidRPr="00232417">
        <w:t>that</w:t>
      </w:r>
      <w:r w:rsidR="00F11254" w:rsidRPr="00232417">
        <w:t xml:space="preserve"> </w:t>
      </w:r>
      <w:r w:rsidR="007C02E9">
        <w:t>t</w:t>
      </w:r>
      <w:r>
        <w:t xml:space="preserve">he agreed declaratory relief is appropriate in the </w:t>
      </w:r>
      <w:r w:rsidR="00E705B3">
        <w:t>circumstances</w:t>
      </w:r>
      <w:r>
        <w:t xml:space="preserve"> of this case.</w:t>
      </w:r>
      <w:r w:rsidR="00F11254">
        <w:t xml:space="preserve"> </w:t>
      </w:r>
      <w:r>
        <w:t xml:space="preserve">  In matters of public interest, declaratory relief would ordinarily be regarded as appropriate, and not </w:t>
      </w:r>
      <w:r w:rsidRPr="00F11254">
        <w:t xml:space="preserve">lacking </w:t>
      </w:r>
      <w:r w:rsidR="003801FF" w:rsidRPr="00F11254">
        <w:t>any</w:t>
      </w:r>
      <w:r w:rsidR="00AC2419" w:rsidRPr="00F11254">
        <w:t xml:space="preserve"> utility</w:t>
      </w:r>
      <w:r w:rsidRPr="00F11254">
        <w:t>,</w:t>
      </w:r>
      <w:r w:rsidR="003801FF" w:rsidRPr="00F11254">
        <w:t xml:space="preserve"> even</w:t>
      </w:r>
      <w:r w:rsidR="003801FF">
        <w:t xml:space="preserve"> though other relief is not sought or granted.  In </w:t>
      </w:r>
      <w:r w:rsidR="003801FF" w:rsidRPr="000D3990">
        <w:rPr>
          <w:i/>
        </w:rPr>
        <w:t>Australian Competition &amp; Consumer Commission v Eurong Beach Resort Ltd</w:t>
      </w:r>
      <w:r w:rsidR="003801FF" w:rsidRPr="000D3990">
        <w:t xml:space="preserve"> [2005] FCA 1134</w:t>
      </w:r>
      <w:r w:rsidR="003801FF">
        <w:t xml:space="preserve">, Kiefel J </w:t>
      </w:r>
      <w:r w:rsidR="003801FF" w:rsidRPr="00232417">
        <w:t>stated</w:t>
      </w:r>
      <w:r w:rsidR="002F597B" w:rsidRPr="00232417">
        <w:t xml:space="preserve"> at </w:t>
      </w:r>
      <w:r w:rsidR="00712F6D">
        <w:t xml:space="preserve">           </w:t>
      </w:r>
      <w:r w:rsidR="002F597B" w:rsidRPr="00232417">
        <w:t>[5]</w:t>
      </w:r>
      <w:r w:rsidR="00A87FB0" w:rsidRPr="00232417">
        <w:t>-[6]</w:t>
      </w:r>
      <w:r w:rsidR="003801FF" w:rsidRPr="00232417">
        <w:t>:</w:t>
      </w:r>
    </w:p>
    <w:p w:rsidR="003801FF" w:rsidRPr="00232417" w:rsidRDefault="003801FF" w:rsidP="003801FF">
      <w:pPr>
        <w:pStyle w:val="Quote1"/>
      </w:pPr>
      <w:r>
        <w:t xml:space="preserve">Declarations in relation to conduct by competitors in the market would be of general </w:t>
      </w:r>
      <w:r w:rsidRPr="00232417">
        <w:t xml:space="preserve">importance. They show that the conduct will not be condoned and serve to educate the public. This submission finds support in the decision of a Full Court in </w:t>
      </w:r>
      <w:r w:rsidRPr="00232417">
        <w:rPr>
          <w:i/>
        </w:rPr>
        <w:t>Tobacco Institute of Australia Limited v Australian Federation of Consumer Organisations Inc</w:t>
      </w:r>
      <w:r w:rsidRPr="00232417">
        <w:t xml:space="preserve"> (1993) 41 FCR 89. Sheppard J (at page 94) considered it appropriate to make declarations that the appellant had engaged in misleading and deceptive conduct as it gave formal effect to the court’s conclusion and the litigation involved the public interest. The latter was especially influential to his Honour’s decision. Hill J put the matter in even stronger terms, (at page 110):</w:t>
      </w:r>
    </w:p>
    <w:p w:rsidR="003801FF" w:rsidRPr="00A87FB0" w:rsidRDefault="00A87FB0" w:rsidP="003B511B">
      <w:pPr>
        <w:pStyle w:val="Quote2"/>
        <w:rPr>
          <w:i/>
        </w:rPr>
      </w:pPr>
      <w:r w:rsidRPr="00232417">
        <w:rPr>
          <w:i/>
        </w:rPr>
        <w:t>‘</w:t>
      </w:r>
      <w:r w:rsidR="003801FF" w:rsidRPr="00232417">
        <w:rPr>
          <w:i/>
        </w:rPr>
        <w:t xml:space="preserve">There can be little doubt that a declaration might be obtained by a </w:t>
      </w:r>
      <w:r w:rsidR="003801FF" w:rsidRPr="00232417">
        <w:rPr>
          <w:i/>
        </w:rPr>
        <w:lastRenderedPageBreak/>
        <w:t xml:space="preserve">regulatory authority that particular conduct is in breach of a statutory provision, whether or not injunctive relief is appropriate: cf </w:t>
      </w:r>
      <w:r w:rsidR="003801FF" w:rsidRPr="00232417">
        <w:t>Australian Softwood Forests Pty Ltd v Attorney-General (NSW) (Ex rel Corporate Affairs Commission) (1981) 148 CLR 121 at 125</w:t>
      </w:r>
      <w:r w:rsidR="003801FF" w:rsidRPr="00232417">
        <w:rPr>
          <w:i/>
        </w:rPr>
        <w:t>. It has never been suggested that no power exists to grant such declaratory relief merely because the consequence of a declaration is to declare the existence of a wrong. The declaration that an offence has been committed is the concomitant of the non-existence of a right.</w:t>
      </w:r>
      <w:r w:rsidR="003B511B" w:rsidRPr="00232417">
        <w:rPr>
          <w:i/>
        </w:rPr>
        <w:t xml:space="preserve"> </w:t>
      </w:r>
      <w:r w:rsidR="003801FF" w:rsidRPr="00232417">
        <w:rPr>
          <w:i/>
        </w:rPr>
        <w:t>Semantically, it may be said to be the declaration of a negative right. It</w:t>
      </w:r>
      <w:r w:rsidR="003B511B" w:rsidRPr="00232417">
        <w:rPr>
          <w:i/>
        </w:rPr>
        <w:t xml:space="preserve"> </w:t>
      </w:r>
      <w:r w:rsidR="003801FF" w:rsidRPr="00232417">
        <w:rPr>
          <w:i/>
        </w:rPr>
        <w:t>is appropriate, in my view, to refer to it as a declaration of right.</w:t>
      </w:r>
      <w:r w:rsidRPr="00232417">
        <w:rPr>
          <w:i/>
        </w:rPr>
        <w:t>’</w:t>
      </w:r>
    </w:p>
    <w:p w:rsidR="003801FF" w:rsidRDefault="003801FF" w:rsidP="003B511B">
      <w:pPr>
        <w:pStyle w:val="Quote1"/>
      </w:pPr>
      <w:r>
        <w:t>The statement of principle in that case should be followed in cases involving</w:t>
      </w:r>
      <w:r w:rsidR="003B511B">
        <w:t xml:space="preserve"> </w:t>
      </w:r>
      <w:r>
        <w:t>the public interest.</w:t>
      </w:r>
    </w:p>
    <w:p w:rsidR="003B511B" w:rsidRDefault="003B511B" w:rsidP="003B511B">
      <w:pPr>
        <w:pStyle w:val="NoNum"/>
      </w:pPr>
      <w:r>
        <w:t xml:space="preserve">In </w:t>
      </w:r>
      <w:r w:rsidRPr="00232417">
        <w:t>this case</w:t>
      </w:r>
      <w:r w:rsidR="00AD2C49" w:rsidRPr="00232417">
        <w:t>,</w:t>
      </w:r>
      <w:r w:rsidRPr="00232417">
        <w:t xml:space="preserve"> the declaratory relief serves to record the Court’s disapproval of the contravening conduct</w:t>
      </w:r>
      <w:r w:rsidR="00AD2C49" w:rsidRPr="00232417">
        <w:t>;</w:t>
      </w:r>
      <w:r w:rsidRPr="00232417">
        <w:t xml:space="preserve"> vindicate the ACCC’s claim that </w:t>
      </w:r>
      <w:r w:rsidR="00AD2C49" w:rsidRPr="00232417">
        <w:t xml:space="preserve">TasPorts </w:t>
      </w:r>
      <w:r w:rsidRPr="00232417">
        <w:t xml:space="preserve">contravened s 46(1) of the </w:t>
      </w:r>
      <w:r w:rsidRPr="00232417">
        <w:rPr>
          <w:i/>
        </w:rPr>
        <w:t>Competition and Consumer Act</w:t>
      </w:r>
      <w:r w:rsidRPr="00232417">
        <w:t xml:space="preserve">; </w:t>
      </w:r>
      <w:r w:rsidR="00AD2C49" w:rsidRPr="00232417">
        <w:t xml:space="preserve">and </w:t>
      </w:r>
      <w:r w:rsidRPr="00232417">
        <w:t xml:space="preserve">informs the public of </w:t>
      </w:r>
      <w:r w:rsidR="00AD2C49" w:rsidRPr="00232417">
        <w:t xml:space="preserve">TasPorts’ </w:t>
      </w:r>
      <w:r w:rsidRPr="00232417">
        <w:t>contravening conduct</w:t>
      </w:r>
      <w:r w:rsidR="00AD2C49" w:rsidRPr="00232417">
        <w:t>.</w:t>
      </w:r>
      <w:r w:rsidRPr="00232417">
        <w:t xml:space="preserve">  </w:t>
      </w:r>
      <w:r w:rsidR="00AD2C49" w:rsidRPr="00232417">
        <w:t>T</w:t>
      </w:r>
      <w:r w:rsidRPr="00232417">
        <w:t xml:space="preserve">here is public benefit in the contravening conduct being clearly identified, </w:t>
      </w:r>
      <w:r w:rsidR="00AD2C49" w:rsidRPr="00232417">
        <w:t xml:space="preserve">as it </w:t>
      </w:r>
      <w:r w:rsidRPr="00232417">
        <w:t>assists the</w:t>
      </w:r>
      <w:r>
        <w:t xml:space="preserve"> ACCC to carry out its duties conferred upon it by the </w:t>
      </w:r>
      <w:r w:rsidRPr="00FB733E">
        <w:rPr>
          <w:i/>
        </w:rPr>
        <w:t>Competition and Consumer Act</w:t>
      </w:r>
      <w:r>
        <w:t xml:space="preserve"> and operates to deter other corporations from </w:t>
      </w:r>
      <w:r w:rsidRPr="00644AA4">
        <w:t xml:space="preserve">contravening </w:t>
      </w:r>
      <w:r w:rsidR="00AC4624" w:rsidRPr="00644AA4">
        <w:rPr>
          <w:i/>
        </w:rPr>
        <w:t>Competition and Consumer Act</w:t>
      </w:r>
      <w:r w:rsidRPr="00644AA4">
        <w:t>.  There</w:t>
      </w:r>
      <w:r>
        <w:t xml:space="preserve"> is also a considerable public interest in corporations </w:t>
      </w:r>
      <w:r w:rsidR="003A5B2E">
        <w:t>ob</w:t>
      </w:r>
      <w:r>
        <w:t xml:space="preserve">serving the requirements of the </w:t>
      </w:r>
      <w:r w:rsidRPr="00FB733E">
        <w:rPr>
          <w:i/>
        </w:rPr>
        <w:t>Competition and Consumer Act</w:t>
      </w:r>
      <w:r>
        <w:rPr>
          <w:i/>
        </w:rPr>
        <w:t xml:space="preserve"> </w:t>
      </w:r>
      <w:r>
        <w:t>which warrants the grant of declaratory relief when the Act is breached.</w:t>
      </w:r>
    </w:p>
    <w:p w:rsidR="003B511B" w:rsidRDefault="003B511B" w:rsidP="003B511B">
      <w:pPr>
        <w:pStyle w:val="ParaNumbering"/>
      </w:pPr>
      <w:r>
        <w:t xml:space="preserve">The </w:t>
      </w:r>
      <w:r w:rsidRPr="00232417">
        <w:t xml:space="preserve">undertaking that </w:t>
      </w:r>
      <w:r w:rsidR="00B85CBE" w:rsidRPr="00232417">
        <w:t xml:space="preserve">TasPorts </w:t>
      </w:r>
      <w:r w:rsidRPr="00232417">
        <w:t>has</w:t>
      </w:r>
      <w:r>
        <w:t xml:space="preserve"> given the ACCC </w:t>
      </w:r>
      <w:r w:rsidR="007B7C94">
        <w:t xml:space="preserve">is </w:t>
      </w:r>
      <w:r>
        <w:t>an important part of the parties’ agreement to seek the proposed declaration jointly.  The und</w:t>
      </w:r>
      <w:r w:rsidR="007B7C94">
        <w:t>ertaking provides that Tas</w:t>
      </w:r>
      <w:r>
        <w:t>Ports will:</w:t>
      </w:r>
    </w:p>
    <w:p w:rsidR="006C6C7E" w:rsidRDefault="006C6C7E" w:rsidP="00E705B3">
      <w:pPr>
        <w:pStyle w:val="ListNo2"/>
        <w:numPr>
          <w:ilvl w:val="1"/>
          <w:numId w:val="31"/>
        </w:numPr>
      </w:pPr>
      <w:r>
        <w:t xml:space="preserve">charge the </w:t>
      </w:r>
      <w:r w:rsidR="007B7C94">
        <w:t xml:space="preserve">tonnage charge </w:t>
      </w:r>
      <w:r>
        <w:t xml:space="preserve">only: (1) with </w:t>
      </w:r>
      <w:r w:rsidRPr="00232417">
        <w:t>Grange</w:t>
      </w:r>
      <w:r w:rsidR="007B7C94" w:rsidRPr="00232417">
        <w:t xml:space="preserve"> </w:t>
      </w:r>
      <w:r w:rsidR="00232417" w:rsidRPr="00232417">
        <w:t>Resource</w:t>
      </w:r>
      <w:r w:rsidR="003A5B2E">
        <w:t>s</w:t>
      </w:r>
      <w:r w:rsidR="00C26893">
        <w:t>’</w:t>
      </w:r>
      <w:r w:rsidR="007B7C94">
        <w:t xml:space="preserve"> agreement;</w:t>
      </w:r>
      <w:r w:rsidR="00D52112">
        <w:t xml:space="preserve"> (2) </w:t>
      </w:r>
      <w:r>
        <w:t xml:space="preserve">where TasPorts is entitled to do so pursuant to legislation and the amount is </w:t>
      </w:r>
      <w:r w:rsidRPr="00232417">
        <w:t>determined by reference to TasPorts’ costs</w:t>
      </w:r>
      <w:r w:rsidR="008F571D" w:rsidRPr="00232417">
        <w:t>,</w:t>
      </w:r>
      <w:r w:rsidRPr="00232417">
        <w:t xml:space="preserve"> unless otherwi</w:t>
      </w:r>
      <w:r w:rsidR="007B7C94" w:rsidRPr="00232417">
        <w:t>se specified by the legislation;</w:t>
      </w:r>
      <w:r w:rsidRPr="00232417">
        <w:t xml:space="preserve"> </w:t>
      </w:r>
      <w:r w:rsidR="00E57059" w:rsidRPr="00232417">
        <w:t>and</w:t>
      </w:r>
      <w:r w:rsidRPr="00232417">
        <w:t xml:space="preserve"> (3) where the amount has been determined to be reasonable by an independent expert</w:t>
      </w:r>
      <w:r w:rsidR="00ED1475" w:rsidRPr="00232417">
        <w:t xml:space="preserve"> approved by the ACCC</w:t>
      </w:r>
      <w:r w:rsidRPr="00232417">
        <w:t>;</w:t>
      </w:r>
    </w:p>
    <w:p w:rsidR="006C6C7E" w:rsidRDefault="006C6C7E" w:rsidP="00E705B3">
      <w:pPr>
        <w:pStyle w:val="ListNo2"/>
        <w:numPr>
          <w:ilvl w:val="1"/>
          <w:numId w:val="31"/>
        </w:numPr>
      </w:pPr>
      <w:r>
        <w:t>offer Engage Marine berth space at Inspection Head</w:t>
      </w:r>
      <w:r w:rsidR="00ED1475">
        <w:t xml:space="preserve"> </w:t>
      </w:r>
      <w:r>
        <w:t xml:space="preserve">on reasonable commercial terms, including making the berth space fit for purpose and charging a reasonable commercial fee for access; </w:t>
      </w:r>
    </w:p>
    <w:p w:rsidR="006C6C7E" w:rsidRDefault="006C6C7E" w:rsidP="00E705B3">
      <w:pPr>
        <w:pStyle w:val="ListNo2"/>
        <w:numPr>
          <w:ilvl w:val="1"/>
          <w:numId w:val="31"/>
        </w:numPr>
      </w:pPr>
      <w:r>
        <w:t>invest a minimum of $1,000,000 in wharf infrastr</w:t>
      </w:r>
      <w:r w:rsidR="000359B6">
        <w:t>ucture at Inspection Head over five</w:t>
      </w:r>
      <w:r>
        <w:t xml:space="preserve"> years to mitigate the risk of it becoming unsuitable for berthing tugs; and </w:t>
      </w:r>
    </w:p>
    <w:p w:rsidR="006C6C7E" w:rsidRDefault="006C6C7E" w:rsidP="00E705B3">
      <w:pPr>
        <w:pStyle w:val="ListNo2"/>
        <w:numPr>
          <w:ilvl w:val="1"/>
          <w:numId w:val="31"/>
        </w:numPr>
      </w:pPr>
      <w:r>
        <w:t>enable port users to book towage services provided by Engage Marine using TasPorts’ port communications system.</w:t>
      </w:r>
    </w:p>
    <w:p w:rsidR="006C6C7E" w:rsidRDefault="006C6C7E" w:rsidP="006C6C7E">
      <w:pPr>
        <w:pStyle w:val="ParaNumbering"/>
      </w:pPr>
      <w:r w:rsidRPr="00232417">
        <w:lastRenderedPageBreak/>
        <w:t xml:space="preserve">I </w:t>
      </w:r>
      <w:r w:rsidR="002862FE">
        <w:t xml:space="preserve">was </w:t>
      </w:r>
      <w:r w:rsidR="00E705B3" w:rsidRPr="00232417">
        <w:t>satisfied</w:t>
      </w:r>
      <w:r w:rsidRPr="00232417">
        <w:t xml:space="preserve"> that the undertaking is within the power of the ACCC to accept (</w:t>
      </w:r>
      <w:r w:rsidR="00D37F38" w:rsidRPr="000D3990">
        <w:rPr>
          <w:i/>
        </w:rPr>
        <w:t xml:space="preserve">Australian Competition </w:t>
      </w:r>
      <w:r w:rsidR="00976BD8" w:rsidRPr="000D3990">
        <w:rPr>
          <w:i/>
        </w:rPr>
        <w:t>and</w:t>
      </w:r>
      <w:r w:rsidR="00D37F38" w:rsidRPr="000D3990">
        <w:rPr>
          <w:i/>
        </w:rPr>
        <w:t xml:space="preserve"> Consumer Commission v Woolworths (South Australia) Pty Ltd </w:t>
      </w:r>
      <w:r w:rsidR="00D37F38" w:rsidRPr="000D3990">
        <w:t>(2003) 198 ALR 417</w:t>
      </w:r>
      <w:r w:rsidR="00B4433D" w:rsidRPr="000D3990">
        <w:t>; [2003] FCA 530</w:t>
      </w:r>
      <w:r w:rsidR="00D37F38" w:rsidRPr="00232417">
        <w:t xml:space="preserve"> at </w:t>
      </w:r>
      <w:r w:rsidR="00B4433D" w:rsidRPr="00232417">
        <w:t>[</w:t>
      </w:r>
      <w:r w:rsidR="00D37F38" w:rsidRPr="00232417">
        <w:t>44</w:t>
      </w:r>
      <w:r w:rsidR="00B4433D" w:rsidRPr="00232417">
        <w:t>]</w:t>
      </w:r>
      <w:r w:rsidR="00D37F38" w:rsidRPr="00232417">
        <w:t>;</w:t>
      </w:r>
      <w:r w:rsidR="00D37F38" w:rsidRPr="000D3990">
        <w:t xml:space="preserve"> </w:t>
      </w:r>
      <w:r w:rsidR="00D37F38" w:rsidRPr="000D3990">
        <w:rPr>
          <w:i/>
        </w:rPr>
        <w:t xml:space="preserve">Australian Competition </w:t>
      </w:r>
      <w:r w:rsidR="00976BD8" w:rsidRPr="000D3990">
        <w:rPr>
          <w:i/>
        </w:rPr>
        <w:t>and</w:t>
      </w:r>
      <w:r w:rsidR="00D37F38" w:rsidRPr="000D3990">
        <w:rPr>
          <w:i/>
        </w:rPr>
        <w:t xml:space="preserve"> Consumer Commission v Woolworths (South Australia) Pty Ltd [No 2] </w:t>
      </w:r>
      <w:r w:rsidR="00D37F38" w:rsidRPr="000D3990">
        <w:t xml:space="preserve">[2004] FCA </w:t>
      </w:r>
      <w:r w:rsidR="00B4433D" w:rsidRPr="000D3990">
        <w:t>128</w:t>
      </w:r>
      <w:r w:rsidR="00B4433D" w:rsidRPr="00232417">
        <w:t xml:space="preserve"> </w:t>
      </w:r>
      <w:r w:rsidR="00D37F38" w:rsidRPr="00232417">
        <w:t xml:space="preserve">at [16]; </w:t>
      </w:r>
      <w:r w:rsidR="00D37F38" w:rsidRPr="000D3990">
        <w:rPr>
          <w:i/>
        </w:rPr>
        <w:t xml:space="preserve">Australian Competition </w:t>
      </w:r>
      <w:r w:rsidR="00976BD8" w:rsidRPr="000D3990">
        <w:rPr>
          <w:i/>
        </w:rPr>
        <w:t>and</w:t>
      </w:r>
      <w:r w:rsidR="00D37F38" w:rsidRPr="000D3990">
        <w:rPr>
          <w:i/>
        </w:rPr>
        <w:t xml:space="preserve"> Consumer Commission v Coles Supermarket Pty Ltd </w:t>
      </w:r>
      <w:r w:rsidR="00D37F38" w:rsidRPr="000D3990">
        <w:t>[2014] FCA 1405</w:t>
      </w:r>
      <w:r w:rsidR="00D37F38">
        <w:t xml:space="preserve"> at [10], [123]).  As the settlement in this matter involved the undertaking, it </w:t>
      </w:r>
      <w:r w:rsidR="002862FE">
        <w:t xml:space="preserve">was </w:t>
      </w:r>
      <w:r w:rsidR="00D17391">
        <w:t xml:space="preserve">also </w:t>
      </w:r>
      <w:r w:rsidR="00D37F38">
        <w:t>appropriate that the undertaking be noted in the orders.</w:t>
      </w:r>
    </w:p>
    <w:p w:rsidR="00D37F38" w:rsidRDefault="00D37F38" w:rsidP="006C6C7E">
      <w:pPr>
        <w:pStyle w:val="ParaNumbering"/>
      </w:pPr>
      <w:r>
        <w:t>For those reasons, the orders were made.</w:t>
      </w:r>
    </w:p>
    <w:tbl>
      <w:tblPr>
        <w:tblW w:w="0" w:type="auto"/>
        <w:tblLook w:val="04A0" w:firstRow="1" w:lastRow="0" w:firstColumn="1" w:lastColumn="0" w:noHBand="0" w:noVBand="1"/>
      </w:tblPr>
      <w:tblGrid>
        <w:gridCol w:w="3794"/>
      </w:tblGrid>
      <w:tr w:rsidR="00854840" w:rsidTr="00854840">
        <w:tc>
          <w:tcPr>
            <w:tcW w:w="3794" w:type="dxa"/>
            <w:hideMark/>
          </w:tcPr>
          <w:p w:rsidR="00854840" w:rsidRDefault="00854840" w:rsidP="00854840">
            <w:pPr>
              <w:pStyle w:val="ParaNumbering"/>
            </w:pPr>
            <w:r>
              <w:t xml:space="preserve">I certify that the preceding </w:t>
            </w:r>
            <w:bookmarkStart w:id="23" w:name="NumberWord"/>
            <w:r>
              <w:t>twenty</w:t>
            </w:r>
            <w:bookmarkEnd w:id="23"/>
            <w:r>
              <w:t xml:space="preserve"> (</w:t>
            </w:r>
            <w:bookmarkStart w:id="24" w:name="NumberNumeral"/>
            <w:r>
              <w:t>20</w:t>
            </w:r>
            <w:bookmarkEnd w:id="24"/>
            <w:r>
              <w:t xml:space="preserve">) numbered </w:t>
            </w:r>
            <w:bookmarkStart w:id="25" w:name="CertPara"/>
            <w:r>
              <w:t>paragraphs are</w:t>
            </w:r>
            <w:bookmarkEnd w:id="25"/>
            <w:r>
              <w:t xml:space="preserve"> a true copy of the Reasons for Judgment of </w:t>
            </w:r>
            <w:bookmarkStart w:id="26" w:name="bkHonourable"/>
            <w:r>
              <w:t xml:space="preserve">the Honourable </w:t>
            </w:r>
            <w:bookmarkStart w:id="27" w:name="Justice"/>
            <w:bookmarkEnd w:id="26"/>
            <w:r>
              <w:t>Justice Davies</w:t>
            </w:r>
            <w:bookmarkEnd w:id="27"/>
            <w:r>
              <w:t>.</w:t>
            </w:r>
          </w:p>
        </w:tc>
      </w:tr>
    </w:tbl>
    <w:p w:rsidR="00854840" w:rsidRDefault="00854840" w:rsidP="00854840">
      <w:pPr>
        <w:pStyle w:val="BodyText"/>
      </w:pPr>
    </w:p>
    <w:p w:rsidR="00854840" w:rsidRDefault="00854840" w:rsidP="00854840">
      <w:pPr>
        <w:pStyle w:val="BodyText"/>
      </w:pPr>
    </w:p>
    <w:p w:rsidR="00854840" w:rsidRDefault="00854840" w:rsidP="00854840">
      <w:pPr>
        <w:pStyle w:val="BodyText"/>
      </w:pPr>
    </w:p>
    <w:p w:rsidR="00854840" w:rsidRDefault="00854840" w:rsidP="00854840">
      <w:pPr>
        <w:pStyle w:val="BodyText"/>
      </w:pPr>
      <w:r>
        <w:t>Associate:</w:t>
      </w:r>
    </w:p>
    <w:p w:rsidR="00854840" w:rsidRDefault="00854840" w:rsidP="00854840">
      <w:pPr>
        <w:pStyle w:val="BodyText"/>
      </w:pPr>
    </w:p>
    <w:p w:rsidR="00854840" w:rsidRDefault="00854840" w:rsidP="00854840">
      <w:pPr>
        <w:pStyle w:val="BodyText"/>
        <w:tabs>
          <w:tab w:val="left" w:pos="1134"/>
        </w:tabs>
      </w:pPr>
      <w:r>
        <w:t>Dated:</w:t>
      </w:r>
      <w:r>
        <w:tab/>
      </w:r>
      <w:bookmarkStart w:id="28" w:name="CertifyDated"/>
      <w:r>
        <w:t>10 May 2021</w:t>
      </w:r>
      <w:bookmarkEnd w:id="28"/>
    </w:p>
    <w:p w:rsidR="00D37F38" w:rsidRDefault="00D37F38">
      <w:pPr>
        <w:spacing w:line="240" w:lineRule="auto"/>
        <w:jc w:val="left"/>
      </w:pPr>
      <w:r>
        <w:br w:type="page"/>
      </w:r>
    </w:p>
    <w:p w:rsidR="00E705B3" w:rsidRDefault="00E705B3" w:rsidP="008636E0">
      <w:pPr>
        <w:pStyle w:val="ParaNumbering"/>
        <w:numPr>
          <w:ilvl w:val="0"/>
          <w:numId w:val="0"/>
        </w:numPr>
        <w:jc w:val="center"/>
        <w:rPr>
          <w:b/>
        </w:rPr>
      </w:pPr>
    </w:p>
    <w:p w:rsidR="00E705B3" w:rsidRDefault="00E705B3" w:rsidP="008636E0">
      <w:pPr>
        <w:pStyle w:val="ParaNumbering"/>
        <w:numPr>
          <w:ilvl w:val="0"/>
          <w:numId w:val="0"/>
        </w:numPr>
        <w:jc w:val="center"/>
        <w:rPr>
          <w:b/>
        </w:rPr>
      </w:pPr>
    </w:p>
    <w:p w:rsidR="00E705B3" w:rsidRDefault="00E705B3" w:rsidP="008636E0">
      <w:pPr>
        <w:pStyle w:val="ParaNumbering"/>
        <w:numPr>
          <w:ilvl w:val="0"/>
          <w:numId w:val="0"/>
        </w:numPr>
        <w:jc w:val="center"/>
        <w:rPr>
          <w:b/>
        </w:rPr>
      </w:pPr>
    </w:p>
    <w:p w:rsidR="00E705B3" w:rsidRDefault="00E705B3" w:rsidP="008636E0">
      <w:pPr>
        <w:pStyle w:val="ParaNumbering"/>
        <w:numPr>
          <w:ilvl w:val="0"/>
          <w:numId w:val="0"/>
        </w:numPr>
        <w:jc w:val="center"/>
        <w:rPr>
          <w:b/>
          <w:sz w:val="48"/>
          <w:szCs w:val="48"/>
        </w:rPr>
      </w:pPr>
    </w:p>
    <w:p w:rsidR="00E705B3" w:rsidRDefault="00E705B3" w:rsidP="008636E0">
      <w:pPr>
        <w:pStyle w:val="ParaNumbering"/>
        <w:numPr>
          <w:ilvl w:val="0"/>
          <w:numId w:val="0"/>
        </w:numPr>
        <w:jc w:val="center"/>
        <w:rPr>
          <w:b/>
          <w:sz w:val="48"/>
          <w:szCs w:val="48"/>
        </w:rPr>
      </w:pPr>
    </w:p>
    <w:p w:rsidR="00D37F38" w:rsidRPr="00E705B3" w:rsidRDefault="008636E0" w:rsidP="008636E0">
      <w:pPr>
        <w:pStyle w:val="ParaNumbering"/>
        <w:numPr>
          <w:ilvl w:val="0"/>
          <w:numId w:val="0"/>
        </w:numPr>
        <w:jc w:val="center"/>
        <w:rPr>
          <w:b/>
          <w:sz w:val="48"/>
          <w:szCs w:val="48"/>
        </w:rPr>
      </w:pPr>
      <w:r w:rsidRPr="00E705B3">
        <w:rPr>
          <w:b/>
          <w:sz w:val="48"/>
          <w:szCs w:val="48"/>
        </w:rPr>
        <w:t>ANNEXURE 1</w:t>
      </w:r>
    </w:p>
    <w:p w:rsidR="008636E0" w:rsidRPr="008636E0" w:rsidRDefault="004C3CB7" w:rsidP="008636E0">
      <w:pPr>
        <w:pStyle w:val="ParaNumbering"/>
        <w:numPr>
          <w:ilvl w:val="0"/>
          <w:numId w:val="0"/>
        </w:numPr>
        <w:jc w:val="center"/>
        <w:rPr>
          <w:b/>
        </w:rPr>
      </w:pPr>
      <w:r w:rsidRPr="00E25915">
        <w:rPr>
          <w:b/>
          <w:noProof/>
          <w:lang w:eastAsia="en-AU"/>
        </w:rPr>
        <w:lastRenderedPageBreak/>
        <w:drawing>
          <wp:inline distT="0" distB="0" distL="0" distR="0">
            <wp:extent cx="5734050" cy="810577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E25915">
        <w:rPr>
          <w:b/>
          <w:noProof/>
          <w:lang w:eastAsia="en-AU"/>
        </w:rPr>
        <w:drawing>
          <wp:inline distT="0" distB="0" distL="0" distR="0">
            <wp:extent cx="5734050" cy="810577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E25915">
        <w:rPr>
          <w:b/>
          <w:noProof/>
          <w:lang w:eastAsia="en-AU"/>
        </w:rPr>
        <w:drawing>
          <wp:inline distT="0" distB="0" distL="0" distR="0">
            <wp:extent cx="5734050" cy="8105775"/>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E25915">
        <w:rPr>
          <w:b/>
          <w:noProof/>
          <w:lang w:eastAsia="en-AU"/>
        </w:rPr>
        <w:drawing>
          <wp:inline distT="0" distB="0" distL="0" distR="0">
            <wp:extent cx="5734050" cy="8105775"/>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E25915">
        <w:rPr>
          <w:b/>
          <w:noProof/>
          <w:lang w:eastAsia="en-AU"/>
        </w:rPr>
        <w:drawing>
          <wp:inline distT="0" distB="0" distL="0" distR="0">
            <wp:extent cx="5734050" cy="8105775"/>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E25915">
        <w:rPr>
          <w:b/>
          <w:noProof/>
          <w:lang w:eastAsia="en-AU"/>
        </w:rPr>
        <w:drawing>
          <wp:inline distT="0" distB="0" distL="0" distR="0">
            <wp:extent cx="5734050" cy="8105775"/>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E25915">
        <w:rPr>
          <w:b/>
          <w:noProof/>
          <w:lang w:eastAsia="en-AU"/>
        </w:rPr>
        <w:drawing>
          <wp:inline distT="0" distB="0" distL="0" distR="0">
            <wp:extent cx="5734050" cy="8105775"/>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E25915">
        <w:rPr>
          <w:b/>
          <w:noProof/>
          <w:lang w:eastAsia="en-AU"/>
        </w:rPr>
        <w:drawing>
          <wp:inline distT="0" distB="0" distL="0" distR="0">
            <wp:extent cx="5734050" cy="8105775"/>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E25915">
        <w:rPr>
          <w:b/>
          <w:noProof/>
          <w:lang w:eastAsia="en-AU"/>
        </w:rPr>
        <w:drawing>
          <wp:inline distT="0" distB="0" distL="0" distR="0">
            <wp:extent cx="5734050" cy="8105775"/>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E25915">
        <w:rPr>
          <w:b/>
          <w:noProof/>
          <w:lang w:eastAsia="en-AU"/>
        </w:rPr>
        <w:drawing>
          <wp:inline distT="0" distB="0" distL="0" distR="0">
            <wp:extent cx="5734050" cy="8105775"/>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E25915">
        <w:rPr>
          <w:b/>
          <w:noProof/>
          <w:lang w:eastAsia="en-AU"/>
        </w:rPr>
        <w:drawing>
          <wp:inline distT="0" distB="0" distL="0" distR="0">
            <wp:extent cx="5734050" cy="8105775"/>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Pr="00E25915">
        <w:rPr>
          <w:b/>
          <w:noProof/>
          <w:lang w:eastAsia="en-AU"/>
        </w:rPr>
        <w:drawing>
          <wp:inline distT="0" distB="0" distL="0" distR="0">
            <wp:extent cx="5734050" cy="4048125"/>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sectPr w:rsidR="008636E0" w:rsidRPr="008636E0" w:rsidSect="00A84FD0">
      <w:headerReference w:type="even" r:id="rId35"/>
      <w:headerReference w:type="default" r:id="rId36"/>
      <w:footerReference w:type="default" r:id="rId37"/>
      <w:headerReference w:type="first" r:id="rId38"/>
      <w:footerReference w:type="first" r:id="rId39"/>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B3B" w:rsidRDefault="00DB3B3B">
      <w:pPr>
        <w:spacing w:line="20" w:lineRule="exact"/>
      </w:pPr>
    </w:p>
    <w:p w:rsidR="00DB3B3B" w:rsidRDefault="00DB3B3B"/>
    <w:p w:rsidR="00DB3B3B" w:rsidRDefault="00DB3B3B"/>
  </w:endnote>
  <w:endnote w:type="continuationSeparator" w:id="0">
    <w:p w:rsidR="00DB3B3B" w:rsidRDefault="00DB3B3B">
      <w:r>
        <w:t xml:space="preserve"> </w:t>
      </w:r>
    </w:p>
    <w:p w:rsidR="00DB3B3B" w:rsidRDefault="00DB3B3B"/>
    <w:p w:rsidR="00DB3B3B" w:rsidRDefault="00DB3B3B"/>
  </w:endnote>
  <w:endnote w:type="continuationNotice" w:id="1">
    <w:p w:rsidR="00DB3B3B" w:rsidRDefault="00DB3B3B">
      <w:r>
        <w:t xml:space="preserve"> </w:t>
      </w:r>
    </w:p>
    <w:p w:rsidR="00DB3B3B" w:rsidRDefault="00DB3B3B"/>
    <w:p w:rsidR="00DB3B3B" w:rsidRDefault="00DB3B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B3" w:rsidRPr="003F3071" w:rsidRDefault="004C3CB7" w:rsidP="003F3071">
    <w:pPr>
      <w:pStyle w:val="Footer"/>
      <w:tabs>
        <w:tab w:val="clear" w:pos="4320"/>
        <w:tab w:val="clear" w:pos="8640"/>
        <w:tab w:val="right" w:pos="8931"/>
      </w:tabs>
      <w:spacing w:before="180" w:line="240" w:lineRule="auto"/>
      <w:jc w:val="left"/>
      <w:rPr>
        <w:bCs/>
        <w:sz w:val="18"/>
        <w:szCs w:val="18"/>
      </w:rPr>
    </w:pPr>
    <w:r>
      <w:rPr>
        <w:noProof/>
        <w:lang w:eastAsia="en-AU"/>
      </w:rPr>
      <mc:AlternateContent>
        <mc:Choice Requires="wps">
          <w:drawing>
            <wp:anchor distT="4294967295" distB="4294967295" distL="114300" distR="114300" simplePos="0" relativeHeight="251655680" behindDoc="0" locked="0" layoutInCell="1" allowOverlap="1">
              <wp:simplePos x="0" y="0"/>
              <wp:positionH relativeFrom="column">
                <wp:posOffset>-28575</wp:posOffset>
              </wp:positionH>
              <wp:positionV relativeFrom="paragraph">
                <wp:posOffset>-636</wp:posOffset>
              </wp:positionV>
              <wp:extent cx="2943225" cy="0"/>
              <wp:effectExtent l="0" t="0" r="9525"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10BC00" id="Straight Connector 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" strokecolor="windowText">
              <o:lock v:ext="edit" shapetype="f"/>
            </v:line>
          </w:pict>
        </mc:Fallback>
      </mc:AlternateContent>
    </w:r>
    <w:r w:rsidR="007538A0">
      <w:rPr>
        <w:bCs/>
        <w:sz w:val="18"/>
        <w:szCs w:val="18"/>
      </w:rPr>
      <w:t xml:space="preserve">Australian Competition and Consumer Commission v Tasmanian Ports Corporation Pty Ltd [2021] FCA 482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B3" w:rsidRPr="003F3071" w:rsidRDefault="004C3CB7" w:rsidP="003F3071">
    <w:pPr>
      <w:pStyle w:val="Footer"/>
      <w:tabs>
        <w:tab w:val="clear" w:pos="4320"/>
        <w:tab w:val="clear" w:pos="8640"/>
        <w:tab w:val="right" w:pos="8931"/>
      </w:tabs>
      <w:spacing w:before="180" w:line="240" w:lineRule="auto"/>
      <w:jc w:val="left"/>
      <w:rPr>
        <w:bCs/>
        <w:sz w:val="18"/>
        <w:szCs w:val="18"/>
      </w:rPr>
    </w:pPr>
    <w:r>
      <w:rPr>
        <w:noProof/>
        <w:lang w:eastAsia="en-AU"/>
      </w:rPr>
      <mc:AlternateContent>
        <mc:Choice Requires="wps">
          <w:drawing>
            <wp:anchor distT="4294967295" distB="4294967295" distL="114300" distR="114300" simplePos="0" relativeHeight="251657728" behindDoc="0" locked="0" layoutInCell="1" allowOverlap="1">
              <wp:simplePos x="0" y="0"/>
              <wp:positionH relativeFrom="column">
                <wp:posOffset>-28575</wp:posOffset>
              </wp:positionH>
              <wp:positionV relativeFrom="paragraph">
                <wp:posOffset>21589</wp:posOffset>
              </wp:positionV>
              <wp:extent cx="2943225" cy="0"/>
              <wp:effectExtent l="0" t="0" r="9525"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3D957A" id="Straight Connector 6"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" strokecolor="windowText">
              <o:lock v:ext="edit" shapetype="f"/>
            </v:line>
          </w:pict>
        </mc:Fallback>
      </mc:AlternateContent>
    </w:r>
    <w:r w:rsidR="007538A0">
      <w:rPr>
        <w:bCs/>
        <w:sz w:val="18"/>
        <w:szCs w:val="18"/>
      </w:rPr>
      <w:t xml:space="preserve">Australian Competition and Consumer Commission v Tasmanian Ports Corporation Pty Ltd [2021] FCA 482 </w:t>
    </w:r>
    <w:r w:rsidR="005E2FB3">
      <w:rPr>
        <w:bCs/>
        <w:sz w:val="18"/>
        <w:szCs w:val="18"/>
      </w:rPr>
      <w:tab/>
    </w:r>
    <w:r w:rsidR="005E2FB3" w:rsidRPr="00EA7F6D">
      <w:rPr>
        <w:bCs/>
        <w:sz w:val="20"/>
      </w:rPr>
      <w:fldChar w:fldCharType="begin"/>
    </w:r>
    <w:r w:rsidR="005E2FB3" w:rsidRPr="00EA7F6D">
      <w:rPr>
        <w:bCs/>
        <w:sz w:val="20"/>
      </w:rPr>
      <w:instrText xml:space="preserve"> PAGE   \* MERGEFORMAT </w:instrText>
    </w:r>
    <w:r w:rsidR="005E2FB3" w:rsidRPr="00EA7F6D">
      <w:rPr>
        <w:bCs/>
        <w:sz w:val="20"/>
      </w:rPr>
      <w:fldChar w:fldCharType="separate"/>
    </w:r>
    <w:r>
      <w:rPr>
        <w:bCs/>
        <w:noProof/>
        <w:sz w:val="20"/>
      </w:rPr>
      <w:t>xi</w:t>
    </w:r>
    <w:r w:rsidR="005E2FB3" w:rsidRPr="00EA7F6D">
      <w:rPr>
        <w:bC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B3" w:rsidRPr="003F3071" w:rsidRDefault="004C3CB7" w:rsidP="003F3071">
    <w:pPr>
      <w:pStyle w:val="Footer"/>
      <w:tabs>
        <w:tab w:val="clear" w:pos="4320"/>
        <w:tab w:val="clear" w:pos="8640"/>
        <w:tab w:val="right" w:pos="8931"/>
      </w:tabs>
      <w:spacing w:before="180" w:line="240" w:lineRule="auto"/>
      <w:jc w:val="left"/>
      <w:rPr>
        <w:bCs/>
        <w:sz w:val="18"/>
        <w:szCs w:val="18"/>
      </w:rPr>
    </w:pPr>
    <w:r>
      <w:rPr>
        <w:noProof/>
        <w:lang w:eastAsia="en-AU"/>
      </w:rPr>
      <mc:AlternateContent>
        <mc:Choice Requires="wps">
          <w:drawing>
            <wp:anchor distT="4294967295" distB="4294967295" distL="114300" distR="114300" simplePos="0" relativeHeight="251656704" behindDoc="0" locked="0" layoutInCell="1" allowOverlap="1">
              <wp:simplePos x="0" y="0"/>
              <wp:positionH relativeFrom="column">
                <wp:posOffset>-28575</wp:posOffset>
              </wp:positionH>
              <wp:positionV relativeFrom="paragraph">
                <wp:posOffset>21589</wp:posOffset>
              </wp:positionV>
              <wp:extent cx="2943225" cy="0"/>
              <wp:effectExtent l="0" t="0" r="9525"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61CF52" id="Straight Connector 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" strokecolor="windowText">
              <o:lock v:ext="edit" shapetype="f"/>
            </v:line>
          </w:pict>
        </mc:Fallback>
      </mc:AlternateContent>
    </w:r>
    <w:r w:rsidR="007538A0">
      <w:rPr>
        <w:bCs/>
        <w:sz w:val="18"/>
        <w:szCs w:val="18"/>
      </w:rPr>
      <w:t xml:space="preserve">Australian Competition and Consumer Commission v Tasmanian Ports Corporation Pty Ltd [2021] FCA 482 </w:t>
    </w:r>
    <w:r w:rsidR="005E2FB3">
      <w:rPr>
        <w:bCs/>
        <w:sz w:val="18"/>
        <w:szCs w:val="18"/>
      </w:rPr>
      <w:tab/>
    </w:r>
    <w:r w:rsidR="005E2FB3" w:rsidRPr="00EA7F6D">
      <w:rPr>
        <w:bCs/>
        <w:sz w:val="20"/>
      </w:rPr>
      <w:fldChar w:fldCharType="begin"/>
    </w:r>
    <w:r w:rsidR="005E2FB3" w:rsidRPr="00EA7F6D">
      <w:rPr>
        <w:bCs/>
        <w:sz w:val="20"/>
      </w:rPr>
      <w:instrText xml:space="preserve"> PAGE   \* MERGEFORMAT </w:instrText>
    </w:r>
    <w:r w:rsidR="005E2FB3" w:rsidRPr="00EA7F6D">
      <w:rPr>
        <w:bCs/>
        <w:sz w:val="20"/>
      </w:rPr>
      <w:fldChar w:fldCharType="separate"/>
    </w:r>
    <w:r>
      <w:rPr>
        <w:bCs/>
        <w:noProof/>
        <w:sz w:val="20"/>
      </w:rPr>
      <w:t>i</w:t>
    </w:r>
    <w:r w:rsidR="005E2FB3" w:rsidRPr="00EA7F6D">
      <w:rPr>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B3" w:rsidRPr="00D30C3E" w:rsidRDefault="004C3CB7" w:rsidP="00D30C3E">
    <w:pPr>
      <w:pStyle w:val="Footer"/>
      <w:tabs>
        <w:tab w:val="clear" w:pos="4320"/>
        <w:tab w:val="clear" w:pos="8640"/>
        <w:tab w:val="right" w:pos="8931"/>
      </w:tabs>
      <w:spacing w:before="180" w:line="240" w:lineRule="auto"/>
      <w:jc w:val="left"/>
      <w:rPr>
        <w:bCs/>
        <w:sz w:val="18"/>
        <w:szCs w:val="18"/>
      </w:rPr>
    </w:pPr>
    <w:r>
      <w:rPr>
        <w:noProof/>
        <w:lang w:eastAsia="en-AU"/>
      </w:rPr>
      <mc:AlternateContent>
        <mc:Choice Requires="wps">
          <w:drawing>
            <wp:anchor distT="4294967295" distB="4294967295" distL="114300" distR="114300" simplePos="0" relativeHeight="251659776" behindDoc="0" locked="0" layoutInCell="1" allowOverlap="1">
              <wp:simplePos x="0" y="0"/>
              <wp:positionH relativeFrom="column">
                <wp:posOffset>-28575</wp:posOffset>
              </wp:positionH>
              <wp:positionV relativeFrom="paragraph">
                <wp:posOffset>21589</wp:posOffset>
              </wp:positionV>
              <wp:extent cx="2943225" cy="0"/>
              <wp:effectExtent l="0" t="0" r="9525"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38D0001" id="Straight Connector 7"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" strokecolor="windowText">
              <o:lock v:ext="edit" shapetype="f"/>
            </v:line>
          </w:pict>
        </mc:Fallback>
      </mc:AlternateContent>
    </w:r>
    <w:r w:rsidR="007538A0">
      <w:rPr>
        <w:bCs/>
        <w:sz w:val="18"/>
        <w:szCs w:val="18"/>
      </w:rPr>
      <w:t xml:space="preserve">Australian Competition and Consumer Commission v Tasmanian Ports Corporation Pty Ltd [2021] FCA 482 </w:t>
    </w:r>
    <w:r w:rsidR="005E2FB3">
      <w:rPr>
        <w:bCs/>
        <w:sz w:val="18"/>
        <w:szCs w:val="18"/>
      </w:rPr>
      <w:tab/>
    </w:r>
    <w:r w:rsidR="005E2FB3" w:rsidRPr="00EA7F6D">
      <w:rPr>
        <w:bCs/>
        <w:sz w:val="20"/>
      </w:rPr>
      <w:fldChar w:fldCharType="begin"/>
    </w:r>
    <w:r w:rsidR="005E2FB3" w:rsidRPr="00EA7F6D">
      <w:rPr>
        <w:bCs/>
        <w:sz w:val="20"/>
      </w:rPr>
      <w:instrText xml:space="preserve"> PAGE   \* MERGEFORMAT </w:instrText>
    </w:r>
    <w:r w:rsidR="005E2FB3" w:rsidRPr="00EA7F6D">
      <w:rPr>
        <w:bCs/>
        <w:sz w:val="20"/>
      </w:rPr>
      <w:fldChar w:fldCharType="separate"/>
    </w:r>
    <w:r>
      <w:rPr>
        <w:bCs/>
        <w:noProof/>
        <w:sz w:val="20"/>
      </w:rPr>
      <w:t>2</w:t>
    </w:r>
    <w:r w:rsidR="005E2FB3"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B3" w:rsidRPr="00D30C3E" w:rsidRDefault="004C3CB7" w:rsidP="00D30C3E">
    <w:pPr>
      <w:pStyle w:val="Footer"/>
      <w:tabs>
        <w:tab w:val="clear" w:pos="4320"/>
        <w:tab w:val="clear" w:pos="8640"/>
        <w:tab w:val="right" w:pos="8931"/>
      </w:tabs>
      <w:spacing w:before="180" w:line="240" w:lineRule="auto"/>
      <w:jc w:val="left"/>
      <w:rPr>
        <w:bCs/>
        <w:sz w:val="18"/>
        <w:szCs w:val="18"/>
      </w:rPr>
    </w:pPr>
    <w:r>
      <w:rPr>
        <w:noProof/>
        <w:lang w:eastAsia="en-AU"/>
      </w:rPr>
      <mc:AlternateContent>
        <mc:Choice Requires="wps">
          <w:drawing>
            <wp:anchor distT="4294967295" distB="4294967295" distL="114300" distR="114300" simplePos="0" relativeHeight="251658752" behindDoc="0" locked="0" layoutInCell="1" allowOverlap="1">
              <wp:simplePos x="0" y="0"/>
              <wp:positionH relativeFrom="column">
                <wp:posOffset>-28575</wp:posOffset>
              </wp:positionH>
              <wp:positionV relativeFrom="paragraph">
                <wp:posOffset>21589</wp:posOffset>
              </wp:positionV>
              <wp:extent cx="2943225" cy="0"/>
              <wp:effectExtent l="0" t="0" r="9525"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E49DC0" id="Straight Connector 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" strokecolor="windowText">
              <o:lock v:ext="edit" shapetype="f"/>
            </v:line>
          </w:pict>
        </mc:Fallback>
      </mc:AlternateContent>
    </w:r>
    <w:r w:rsidR="007538A0">
      <w:rPr>
        <w:bCs/>
        <w:sz w:val="18"/>
        <w:szCs w:val="18"/>
      </w:rPr>
      <w:t xml:space="preserve">Australian Competition and Consumer Commission v Tasmanian Ports Corporation Pty Ltd [2021] FCA 482 </w:t>
    </w:r>
    <w:r w:rsidR="005E2FB3">
      <w:rPr>
        <w:bCs/>
        <w:sz w:val="18"/>
        <w:szCs w:val="18"/>
      </w:rPr>
      <w:tab/>
    </w:r>
    <w:r w:rsidR="005E2FB3" w:rsidRPr="00EA7F6D">
      <w:rPr>
        <w:bCs/>
        <w:sz w:val="20"/>
      </w:rPr>
      <w:fldChar w:fldCharType="begin"/>
    </w:r>
    <w:r w:rsidR="005E2FB3" w:rsidRPr="00EA7F6D">
      <w:rPr>
        <w:bCs/>
        <w:sz w:val="20"/>
      </w:rPr>
      <w:instrText xml:space="preserve"> PAGE   \* MERGEFORMAT </w:instrText>
    </w:r>
    <w:r w:rsidR="005E2FB3" w:rsidRPr="00EA7F6D">
      <w:rPr>
        <w:bCs/>
        <w:sz w:val="20"/>
      </w:rPr>
      <w:fldChar w:fldCharType="separate"/>
    </w:r>
    <w:r>
      <w:rPr>
        <w:bCs/>
        <w:noProof/>
        <w:sz w:val="20"/>
      </w:rPr>
      <w:t>1</w:t>
    </w:r>
    <w:r w:rsidR="005E2FB3"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B3B" w:rsidRDefault="00DB3B3B"/>
    <w:p w:rsidR="00DB3B3B" w:rsidRDefault="00DB3B3B"/>
    <w:p w:rsidR="00DB3B3B" w:rsidRDefault="00DB3B3B"/>
  </w:footnote>
  <w:footnote w:type="continuationSeparator" w:id="0">
    <w:p w:rsidR="00DB3B3B" w:rsidRDefault="00DB3B3B">
      <w:r>
        <w:continuationSeparator/>
      </w:r>
    </w:p>
    <w:p w:rsidR="00DB3B3B" w:rsidRDefault="00DB3B3B"/>
    <w:p w:rsidR="00DB3B3B" w:rsidRDefault="00DB3B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B3" w:rsidRDefault="005E2FB3">
    <w:pPr>
      <w:tabs>
        <w:tab w:val="center" w:pos="4512"/>
      </w:tabs>
      <w:suppressAutoHyphen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B3" w:rsidRDefault="005E2FB3">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B3" w:rsidRDefault="005E2FB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B3" w:rsidRDefault="005E2FB3">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B3" w:rsidRDefault="005E2FB3"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3251A26"/>
    <w:multiLevelType w:val="hybridMultilevel"/>
    <w:tmpl w:val="65BAE908"/>
    <w:lvl w:ilvl="0" w:tplc="4418A982">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29AE3DD1"/>
    <w:multiLevelType w:val="singleLevel"/>
    <w:tmpl w:val="5C92B9B0"/>
    <w:lvl w:ilvl="0">
      <w:start w:val="1"/>
      <w:numFmt w:val="decimal"/>
      <w:lvlRestart w:val="0"/>
      <w:pStyle w:val="ParaNumbering"/>
      <w:lvlText w:val="%1"/>
      <w:lvlJc w:val="left"/>
      <w:pPr>
        <w:tabs>
          <w:tab w:val="num" w:pos="1581"/>
        </w:tabs>
        <w:ind w:left="861" w:hanging="720"/>
      </w:pPr>
      <w:rPr>
        <w:rFonts w:hint="default"/>
        <w:sz w:val="20"/>
      </w:rPr>
    </w:lvl>
  </w:abstractNum>
  <w:abstractNum w:abstractNumId="16"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94817A7"/>
    <w:multiLevelType w:val="multilevel"/>
    <w:tmpl w:val="0F0EC90E"/>
    <w:numStyleLink w:val="FCListNo"/>
  </w:abstractNum>
  <w:abstractNum w:abstractNumId="20"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5"/>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0"/>
  </w:num>
  <w:num w:numId="15">
    <w:abstractNumId w:val="21"/>
  </w:num>
  <w:num w:numId="16">
    <w:abstractNumId w:val="24"/>
  </w:num>
  <w:num w:numId="17">
    <w:abstractNumId w:val="14"/>
  </w:num>
  <w:num w:numId="18">
    <w:abstractNumId w:val="23"/>
  </w:num>
  <w:num w:numId="19">
    <w:abstractNumId w:val="11"/>
  </w:num>
  <w:num w:numId="20">
    <w:abstractNumId w:val="18"/>
  </w:num>
  <w:num w:numId="21">
    <w:abstractNumId w:val="16"/>
  </w:num>
  <w:num w:numId="22">
    <w:abstractNumId w:val="17"/>
  </w:num>
  <w:num w:numId="23">
    <w:abstractNumId w:val="19"/>
  </w:num>
  <w:num w:numId="24">
    <w:abstractNumId w:val="10"/>
  </w:num>
  <w:num w:numId="25">
    <w:abstractNumId w:val="10"/>
  </w:num>
  <w:num w:numId="26">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6"/>
  </w:num>
  <w:num w:numId="34">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AUSTRALIAN COMPETITION AND CONSUMER COMMISSION"/>
    <w:docVar w:name="CounselParties" w:val="Respondent"/>
    <w:docVar w:name="CounselType" w:val="Counsel for the "/>
    <w:docVar w:name="Court" w:val="Federal Court of Australia"/>
    <w:docVar w:name="Cross1AndAnother" w:val="True"/>
    <w:docVar w:name="Cross1AndOthers" w:val="False"/>
    <w:docVar w:name="Cross2AndAnother" w:val="True"/>
    <w:docVar w:name="Cross2AndOthers" w:val="False"/>
    <w:docVar w:name="Defenders" w:val="(and another named in the Schedule)"/>
    <w:docVar w:name="Division" w:val="General Division of the FCA"/>
    <w:docVar w:name="DocCreated" w:val="True"/>
    <w:docVar w:name="FileNumbers" w:val="VID 1328 of 2019"/>
    <w:docVar w:name="grpRadioJudges" w:val="Justice"/>
    <w:docVar w:name="Initiators" w:val="(and another named in the Schedule)"/>
    <w:docVar w:name="Judgdate" w:val="#"/>
    <w:docVar w:name="Judge" w:val="Davies"/>
    <w:docVar w:name="lstEntryList" w:val="-1"/>
    <w:docVar w:name="myEntryList" w:val="Counsel for the Applicant=Mr N. de Young QC with Mr Tran of Counsel|Counsel for the Respondent=Mr M. Hodge QC with Ms Van Proctor and Mr Preston"/>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lace" w:val="N/A FCA"/>
    <w:docVar w:name="PracticeArea" w:val="Commercial and Corporations"/>
    <w:docVar w:name="RadioJudge" w:val="False"/>
    <w:docVar w:name="RadioJustice" w:val="True"/>
    <w:docVar w:name="RadioJustices" w:val="False"/>
    <w:docVar w:name="RESAndAnother" w:val="True"/>
    <w:docVar w:name="RESAndOthers" w:val="False"/>
    <w:docVar w:name="Respondent" w:val="TASMANIAN PORTS CORPORATION PTY LTD"/>
    <w:docVar w:name="ResState" w:val="Victoria"/>
    <w:docVar w:name="SubArea" w:val="Economic Regulator, Competition and Access (C &amp; C)"/>
  </w:docVars>
  <w:rsids>
    <w:rsidRoot w:val="001E75F1"/>
    <w:rsid w:val="00000747"/>
    <w:rsid w:val="00000A30"/>
    <w:rsid w:val="00000C08"/>
    <w:rsid w:val="00010D5D"/>
    <w:rsid w:val="000115C5"/>
    <w:rsid w:val="0001469E"/>
    <w:rsid w:val="00015993"/>
    <w:rsid w:val="00021CCB"/>
    <w:rsid w:val="00022289"/>
    <w:rsid w:val="0002399D"/>
    <w:rsid w:val="00027398"/>
    <w:rsid w:val="0003201A"/>
    <w:rsid w:val="0003207A"/>
    <w:rsid w:val="00032F9F"/>
    <w:rsid w:val="000359B6"/>
    <w:rsid w:val="00041C07"/>
    <w:rsid w:val="00045BB7"/>
    <w:rsid w:val="00055719"/>
    <w:rsid w:val="0005641B"/>
    <w:rsid w:val="0006196A"/>
    <w:rsid w:val="00061E08"/>
    <w:rsid w:val="00076A10"/>
    <w:rsid w:val="00081497"/>
    <w:rsid w:val="000814D6"/>
    <w:rsid w:val="00083242"/>
    <w:rsid w:val="00085255"/>
    <w:rsid w:val="000A2E76"/>
    <w:rsid w:val="000A4807"/>
    <w:rsid w:val="000A4BE4"/>
    <w:rsid w:val="000C023E"/>
    <w:rsid w:val="000C4123"/>
    <w:rsid w:val="000C5195"/>
    <w:rsid w:val="000C62EF"/>
    <w:rsid w:val="000D1847"/>
    <w:rsid w:val="000D2137"/>
    <w:rsid w:val="000D3990"/>
    <w:rsid w:val="000D3FD2"/>
    <w:rsid w:val="000D4B2E"/>
    <w:rsid w:val="000E3FC8"/>
    <w:rsid w:val="000E5590"/>
    <w:rsid w:val="000E7BAE"/>
    <w:rsid w:val="000F133D"/>
    <w:rsid w:val="000F2DE0"/>
    <w:rsid w:val="000F5AAE"/>
    <w:rsid w:val="0010536B"/>
    <w:rsid w:val="0011145C"/>
    <w:rsid w:val="001128BD"/>
    <w:rsid w:val="00113A62"/>
    <w:rsid w:val="0011419D"/>
    <w:rsid w:val="00114B02"/>
    <w:rsid w:val="001226C0"/>
    <w:rsid w:val="00126EC8"/>
    <w:rsid w:val="0012731C"/>
    <w:rsid w:val="00132054"/>
    <w:rsid w:val="00134964"/>
    <w:rsid w:val="001351B9"/>
    <w:rsid w:val="00140CC9"/>
    <w:rsid w:val="00155CD2"/>
    <w:rsid w:val="00160214"/>
    <w:rsid w:val="0016655E"/>
    <w:rsid w:val="001727A4"/>
    <w:rsid w:val="0017376C"/>
    <w:rsid w:val="001738AB"/>
    <w:rsid w:val="001765E0"/>
    <w:rsid w:val="00177759"/>
    <w:rsid w:val="00180BB3"/>
    <w:rsid w:val="00185E6B"/>
    <w:rsid w:val="00187BBC"/>
    <w:rsid w:val="00193023"/>
    <w:rsid w:val="001932F3"/>
    <w:rsid w:val="001A25D3"/>
    <w:rsid w:val="001A2B40"/>
    <w:rsid w:val="001A4309"/>
    <w:rsid w:val="001A46AE"/>
    <w:rsid w:val="001A6C52"/>
    <w:rsid w:val="001B1053"/>
    <w:rsid w:val="001B14AC"/>
    <w:rsid w:val="001B7940"/>
    <w:rsid w:val="001C171A"/>
    <w:rsid w:val="001C37CA"/>
    <w:rsid w:val="001C4085"/>
    <w:rsid w:val="001D3B5D"/>
    <w:rsid w:val="001D4303"/>
    <w:rsid w:val="001D4CB3"/>
    <w:rsid w:val="001D6746"/>
    <w:rsid w:val="001E3B49"/>
    <w:rsid w:val="001E4A05"/>
    <w:rsid w:val="001E7388"/>
    <w:rsid w:val="001E75A2"/>
    <w:rsid w:val="001E75F1"/>
    <w:rsid w:val="001F13DD"/>
    <w:rsid w:val="001F2473"/>
    <w:rsid w:val="001F2DBC"/>
    <w:rsid w:val="001F73E8"/>
    <w:rsid w:val="0020099E"/>
    <w:rsid w:val="0020262C"/>
    <w:rsid w:val="00202723"/>
    <w:rsid w:val="00211A3E"/>
    <w:rsid w:val="00215BCA"/>
    <w:rsid w:val="00217AC4"/>
    <w:rsid w:val="00221461"/>
    <w:rsid w:val="00221B86"/>
    <w:rsid w:val="00224537"/>
    <w:rsid w:val="00232417"/>
    <w:rsid w:val="00234138"/>
    <w:rsid w:val="00235956"/>
    <w:rsid w:val="00240712"/>
    <w:rsid w:val="00243E5E"/>
    <w:rsid w:val="00246FB7"/>
    <w:rsid w:val="00247C9A"/>
    <w:rsid w:val="0025160C"/>
    <w:rsid w:val="002535D0"/>
    <w:rsid w:val="002539B3"/>
    <w:rsid w:val="00256336"/>
    <w:rsid w:val="00257C3E"/>
    <w:rsid w:val="002602C2"/>
    <w:rsid w:val="002666C9"/>
    <w:rsid w:val="00270136"/>
    <w:rsid w:val="00270FD7"/>
    <w:rsid w:val="00274F5B"/>
    <w:rsid w:val="00280836"/>
    <w:rsid w:val="00282E1A"/>
    <w:rsid w:val="002840F1"/>
    <w:rsid w:val="002862FE"/>
    <w:rsid w:val="0029113B"/>
    <w:rsid w:val="00291C3E"/>
    <w:rsid w:val="0029279F"/>
    <w:rsid w:val="002934C0"/>
    <w:rsid w:val="0029764C"/>
    <w:rsid w:val="002A1B50"/>
    <w:rsid w:val="002B0E91"/>
    <w:rsid w:val="002B132C"/>
    <w:rsid w:val="002B3F23"/>
    <w:rsid w:val="002B4EB5"/>
    <w:rsid w:val="002B5AF5"/>
    <w:rsid w:val="002B6779"/>
    <w:rsid w:val="002B71C0"/>
    <w:rsid w:val="002B7A34"/>
    <w:rsid w:val="002C31AD"/>
    <w:rsid w:val="002C7385"/>
    <w:rsid w:val="002D2DBB"/>
    <w:rsid w:val="002D37D8"/>
    <w:rsid w:val="002D54A6"/>
    <w:rsid w:val="002E5BF9"/>
    <w:rsid w:val="002E6A7A"/>
    <w:rsid w:val="002F1E49"/>
    <w:rsid w:val="002F4E9C"/>
    <w:rsid w:val="002F597B"/>
    <w:rsid w:val="00302F4E"/>
    <w:rsid w:val="0031256C"/>
    <w:rsid w:val="00314D6C"/>
    <w:rsid w:val="00316D2A"/>
    <w:rsid w:val="00322A7C"/>
    <w:rsid w:val="00322EEC"/>
    <w:rsid w:val="00323061"/>
    <w:rsid w:val="00337722"/>
    <w:rsid w:val="003402D3"/>
    <w:rsid w:val="00343ABC"/>
    <w:rsid w:val="003463FE"/>
    <w:rsid w:val="00347D41"/>
    <w:rsid w:val="003554B3"/>
    <w:rsid w:val="00356632"/>
    <w:rsid w:val="00357C7E"/>
    <w:rsid w:val="003653B6"/>
    <w:rsid w:val="00374CC4"/>
    <w:rsid w:val="003774B2"/>
    <w:rsid w:val="003801FF"/>
    <w:rsid w:val="00380F2D"/>
    <w:rsid w:val="00383984"/>
    <w:rsid w:val="003845A9"/>
    <w:rsid w:val="003850C9"/>
    <w:rsid w:val="00390883"/>
    <w:rsid w:val="003922F8"/>
    <w:rsid w:val="00395B24"/>
    <w:rsid w:val="003A2D38"/>
    <w:rsid w:val="003A5B2E"/>
    <w:rsid w:val="003A7ECC"/>
    <w:rsid w:val="003B2C72"/>
    <w:rsid w:val="003B511B"/>
    <w:rsid w:val="003B58B4"/>
    <w:rsid w:val="003C1333"/>
    <w:rsid w:val="003C20FF"/>
    <w:rsid w:val="003C43E3"/>
    <w:rsid w:val="003C550A"/>
    <w:rsid w:val="003C6055"/>
    <w:rsid w:val="003D2650"/>
    <w:rsid w:val="003D27B2"/>
    <w:rsid w:val="003D44BE"/>
    <w:rsid w:val="003D560C"/>
    <w:rsid w:val="003D5C00"/>
    <w:rsid w:val="003D6099"/>
    <w:rsid w:val="003E13F8"/>
    <w:rsid w:val="003E3154"/>
    <w:rsid w:val="003E3B65"/>
    <w:rsid w:val="003E5874"/>
    <w:rsid w:val="003E72D3"/>
    <w:rsid w:val="003F193E"/>
    <w:rsid w:val="003F242C"/>
    <w:rsid w:val="003F3071"/>
    <w:rsid w:val="003F33A5"/>
    <w:rsid w:val="003F34F1"/>
    <w:rsid w:val="003F5F3B"/>
    <w:rsid w:val="004104B6"/>
    <w:rsid w:val="00411AE8"/>
    <w:rsid w:val="00413B74"/>
    <w:rsid w:val="00423C67"/>
    <w:rsid w:val="004342F3"/>
    <w:rsid w:val="00435C5F"/>
    <w:rsid w:val="00436155"/>
    <w:rsid w:val="00441E98"/>
    <w:rsid w:val="00443DDC"/>
    <w:rsid w:val="00450F3A"/>
    <w:rsid w:val="004532F7"/>
    <w:rsid w:val="00464D51"/>
    <w:rsid w:val="00472027"/>
    <w:rsid w:val="0047689A"/>
    <w:rsid w:val="004804CF"/>
    <w:rsid w:val="00484962"/>
    <w:rsid w:val="00484F6D"/>
    <w:rsid w:val="00484FB7"/>
    <w:rsid w:val="0048554D"/>
    <w:rsid w:val="0049338A"/>
    <w:rsid w:val="0049417F"/>
    <w:rsid w:val="004950D5"/>
    <w:rsid w:val="00496D41"/>
    <w:rsid w:val="0049724E"/>
    <w:rsid w:val="004A6602"/>
    <w:rsid w:val="004B3EFA"/>
    <w:rsid w:val="004C0F77"/>
    <w:rsid w:val="004C2A87"/>
    <w:rsid w:val="004C3CB7"/>
    <w:rsid w:val="004C4D7B"/>
    <w:rsid w:val="004C4ED3"/>
    <w:rsid w:val="004C667B"/>
    <w:rsid w:val="004C7ECD"/>
    <w:rsid w:val="004D2EA5"/>
    <w:rsid w:val="004D32A6"/>
    <w:rsid w:val="004D53E5"/>
    <w:rsid w:val="004E6DC4"/>
    <w:rsid w:val="004F21C1"/>
    <w:rsid w:val="00500FF0"/>
    <w:rsid w:val="00501A12"/>
    <w:rsid w:val="0050309C"/>
    <w:rsid w:val="0051327C"/>
    <w:rsid w:val="0051346D"/>
    <w:rsid w:val="00513EAE"/>
    <w:rsid w:val="0051434F"/>
    <w:rsid w:val="00516806"/>
    <w:rsid w:val="0052098C"/>
    <w:rsid w:val="00521190"/>
    <w:rsid w:val="00525A49"/>
    <w:rsid w:val="005262D1"/>
    <w:rsid w:val="00530876"/>
    <w:rsid w:val="0053536B"/>
    <w:rsid w:val="00535613"/>
    <w:rsid w:val="005359EB"/>
    <w:rsid w:val="005422A4"/>
    <w:rsid w:val="0054254A"/>
    <w:rsid w:val="00543B93"/>
    <w:rsid w:val="0054500B"/>
    <w:rsid w:val="005466B5"/>
    <w:rsid w:val="00554314"/>
    <w:rsid w:val="00562829"/>
    <w:rsid w:val="005629B3"/>
    <w:rsid w:val="00571C33"/>
    <w:rsid w:val="005724F6"/>
    <w:rsid w:val="00573AC4"/>
    <w:rsid w:val="005801FC"/>
    <w:rsid w:val="005842F1"/>
    <w:rsid w:val="00584D3E"/>
    <w:rsid w:val="00585BA9"/>
    <w:rsid w:val="00587359"/>
    <w:rsid w:val="00592F07"/>
    <w:rsid w:val="00595016"/>
    <w:rsid w:val="00595C25"/>
    <w:rsid w:val="00597AAE"/>
    <w:rsid w:val="005A222C"/>
    <w:rsid w:val="005A4DF8"/>
    <w:rsid w:val="005A78C8"/>
    <w:rsid w:val="005B1426"/>
    <w:rsid w:val="005B55D8"/>
    <w:rsid w:val="005C0A8E"/>
    <w:rsid w:val="005C1767"/>
    <w:rsid w:val="005C185C"/>
    <w:rsid w:val="005C1EAF"/>
    <w:rsid w:val="005C34B8"/>
    <w:rsid w:val="005C42EF"/>
    <w:rsid w:val="005D1EE7"/>
    <w:rsid w:val="005E02F5"/>
    <w:rsid w:val="005E0510"/>
    <w:rsid w:val="005E176E"/>
    <w:rsid w:val="005E218E"/>
    <w:rsid w:val="005E2FB3"/>
    <w:rsid w:val="005E35A0"/>
    <w:rsid w:val="005E5257"/>
    <w:rsid w:val="005E7329"/>
    <w:rsid w:val="005F0D1B"/>
    <w:rsid w:val="005F1865"/>
    <w:rsid w:val="006007BD"/>
    <w:rsid w:val="006013C8"/>
    <w:rsid w:val="0060270D"/>
    <w:rsid w:val="00604611"/>
    <w:rsid w:val="00611586"/>
    <w:rsid w:val="00612D26"/>
    <w:rsid w:val="00615855"/>
    <w:rsid w:val="00620DA8"/>
    <w:rsid w:val="00621887"/>
    <w:rsid w:val="00624520"/>
    <w:rsid w:val="006271F5"/>
    <w:rsid w:val="00632300"/>
    <w:rsid w:val="00632BB7"/>
    <w:rsid w:val="00635B36"/>
    <w:rsid w:val="00636871"/>
    <w:rsid w:val="00640EE1"/>
    <w:rsid w:val="00640F4E"/>
    <w:rsid w:val="00643DE0"/>
    <w:rsid w:val="0064437D"/>
    <w:rsid w:val="00644AA4"/>
    <w:rsid w:val="00644E85"/>
    <w:rsid w:val="00652C52"/>
    <w:rsid w:val="0066063F"/>
    <w:rsid w:val="00662BB0"/>
    <w:rsid w:val="00663878"/>
    <w:rsid w:val="00667773"/>
    <w:rsid w:val="00670743"/>
    <w:rsid w:val="00671976"/>
    <w:rsid w:val="00674C03"/>
    <w:rsid w:val="006751AA"/>
    <w:rsid w:val="006803CC"/>
    <w:rsid w:val="00680A85"/>
    <w:rsid w:val="00681ADF"/>
    <w:rsid w:val="00684904"/>
    <w:rsid w:val="00690EE2"/>
    <w:rsid w:val="00693854"/>
    <w:rsid w:val="00694BEB"/>
    <w:rsid w:val="00696B95"/>
    <w:rsid w:val="006A035A"/>
    <w:rsid w:val="006A0E20"/>
    <w:rsid w:val="006A15A8"/>
    <w:rsid w:val="006A24E3"/>
    <w:rsid w:val="006A5695"/>
    <w:rsid w:val="006B0439"/>
    <w:rsid w:val="006B3904"/>
    <w:rsid w:val="006B5B7D"/>
    <w:rsid w:val="006B5FCE"/>
    <w:rsid w:val="006C153E"/>
    <w:rsid w:val="006C32C7"/>
    <w:rsid w:val="006C5B46"/>
    <w:rsid w:val="006C6C7E"/>
    <w:rsid w:val="006C6E39"/>
    <w:rsid w:val="006D0ECF"/>
    <w:rsid w:val="006D3D5B"/>
    <w:rsid w:val="006D4C92"/>
    <w:rsid w:val="006D4EB6"/>
    <w:rsid w:val="006E35BF"/>
    <w:rsid w:val="006E7850"/>
    <w:rsid w:val="006F46D6"/>
    <w:rsid w:val="007028D9"/>
    <w:rsid w:val="00707218"/>
    <w:rsid w:val="00710D04"/>
    <w:rsid w:val="00711FE5"/>
    <w:rsid w:val="00712B1D"/>
    <w:rsid w:val="00712F6D"/>
    <w:rsid w:val="00715751"/>
    <w:rsid w:val="007171BA"/>
    <w:rsid w:val="00717616"/>
    <w:rsid w:val="007243AB"/>
    <w:rsid w:val="00730ECB"/>
    <w:rsid w:val="007325D9"/>
    <w:rsid w:val="0073583B"/>
    <w:rsid w:val="007360CA"/>
    <w:rsid w:val="0074667B"/>
    <w:rsid w:val="007470BD"/>
    <w:rsid w:val="007538A0"/>
    <w:rsid w:val="00760EC0"/>
    <w:rsid w:val="007711BD"/>
    <w:rsid w:val="0078003A"/>
    <w:rsid w:val="00780771"/>
    <w:rsid w:val="00780E4F"/>
    <w:rsid w:val="007929CF"/>
    <w:rsid w:val="007A49E7"/>
    <w:rsid w:val="007A6F28"/>
    <w:rsid w:val="007B03C6"/>
    <w:rsid w:val="007B0DB1"/>
    <w:rsid w:val="007B5673"/>
    <w:rsid w:val="007B7238"/>
    <w:rsid w:val="007B76FF"/>
    <w:rsid w:val="007B7C94"/>
    <w:rsid w:val="007C02E9"/>
    <w:rsid w:val="007C3BF6"/>
    <w:rsid w:val="007C67B3"/>
    <w:rsid w:val="007D0652"/>
    <w:rsid w:val="007D0FD2"/>
    <w:rsid w:val="007D2EF8"/>
    <w:rsid w:val="007D561F"/>
    <w:rsid w:val="007D7FD2"/>
    <w:rsid w:val="007E13D9"/>
    <w:rsid w:val="007E2AEC"/>
    <w:rsid w:val="007E41BE"/>
    <w:rsid w:val="007E4DB6"/>
    <w:rsid w:val="007E6733"/>
    <w:rsid w:val="007E7CD4"/>
    <w:rsid w:val="007F12AC"/>
    <w:rsid w:val="007F4501"/>
    <w:rsid w:val="007F60DF"/>
    <w:rsid w:val="00801800"/>
    <w:rsid w:val="00801861"/>
    <w:rsid w:val="00801B5B"/>
    <w:rsid w:val="008216E7"/>
    <w:rsid w:val="0082262A"/>
    <w:rsid w:val="00825BE6"/>
    <w:rsid w:val="008276B4"/>
    <w:rsid w:val="008311E5"/>
    <w:rsid w:val="00831927"/>
    <w:rsid w:val="00837288"/>
    <w:rsid w:val="00841BD3"/>
    <w:rsid w:val="0084273D"/>
    <w:rsid w:val="00844E3F"/>
    <w:rsid w:val="00845A83"/>
    <w:rsid w:val="00846BB9"/>
    <w:rsid w:val="00854840"/>
    <w:rsid w:val="00862EF7"/>
    <w:rsid w:val="008636E0"/>
    <w:rsid w:val="008649D5"/>
    <w:rsid w:val="008712BB"/>
    <w:rsid w:val="00876387"/>
    <w:rsid w:val="008830E7"/>
    <w:rsid w:val="00886640"/>
    <w:rsid w:val="00890EDE"/>
    <w:rsid w:val="00892B38"/>
    <w:rsid w:val="008A1741"/>
    <w:rsid w:val="008A2484"/>
    <w:rsid w:val="008A52F3"/>
    <w:rsid w:val="008B5765"/>
    <w:rsid w:val="008B7462"/>
    <w:rsid w:val="008C26D9"/>
    <w:rsid w:val="008C6D50"/>
    <w:rsid w:val="008C7167"/>
    <w:rsid w:val="008C7503"/>
    <w:rsid w:val="008D1617"/>
    <w:rsid w:val="008D330F"/>
    <w:rsid w:val="008D34EE"/>
    <w:rsid w:val="008D3B7F"/>
    <w:rsid w:val="008D48C1"/>
    <w:rsid w:val="008D5F2B"/>
    <w:rsid w:val="008E197B"/>
    <w:rsid w:val="008E6315"/>
    <w:rsid w:val="008F07FC"/>
    <w:rsid w:val="008F11E0"/>
    <w:rsid w:val="008F2471"/>
    <w:rsid w:val="008F3EA7"/>
    <w:rsid w:val="008F571D"/>
    <w:rsid w:val="008F78BC"/>
    <w:rsid w:val="008F7B63"/>
    <w:rsid w:val="008F7D6A"/>
    <w:rsid w:val="00901C86"/>
    <w:rsid w:val="00903603"/>
    <w:rsid w:val="009054CB"/>
    <w:rsid w:val="00911F8D"/>
    <w:rsid w:val="00912F94"/>
    <w:rsid w:val="009171BC"/>
    <w:rsid w:val="0092497E"/>
    <w:rsid w:val="0092590B"/>
    <w:rsid w:val="00925BF3"/>
    <w:rsid w:val="00925E60"/>
    <w:rsid w:val="009264B3"/>
    <w:rsid w:val="009365E0"/>
    <w:rsid w:val="00940E7F"/>
    <w:rsid w:val="00942BA2"/>
    <w:rsid w:val="009432B7"/>
    <w:rsid w:val="00944C86"/>
    <w:rsid w:val="009459FC"/>
    <w:rsid w:val="00947C02"/>
    <w:rsid w:val="00950BE6"/>
    <w:rsid w:val="00954313"/>
    <w:rsid w:val="00957DE8"/>
    <w:rsid w:val="00960ECB"/>
    <w:rsid w:val="009615D6"/>
    <w:rsid w:val="00967855"/>
    <w:rsid w:val="00974709"/>
    <w:rsid w:val="00976BD8"/>
    <w:rsid w:val="00980736"/>
    <w:rsid w:val="00981A39"/>
    <w:rsid w:val="00982D56"/>
    <w:rsid w:val="00983DBF"/>
    <w:rsid w:val="00987097"/>
    <w:rsid w:val="00991123"/>
    <w:rsid w:val="00991CAB"/>
    <w:rsid w:val="009A3A9C"/>
    <w:rsid w:val="009B046C"/>
    <w:rsid w:val="009B13FA"/>
    <w:rsid w:val="009B1E2D"/>
    <w:rsid w:val="009C3CD1"/>
    <w:rsid w:val="009C59FB"/>
    <w:rsid w:val="009C6F3B"/>
    <w:rsid w:val="009D1467"/>
    <w:rsid w:val="009D328D"/>
    <w:rsid w:val="009D7AF2"/>
    <w:rsid w:val="009E07AF"/>
    <w:rsid w:val="009E4FA6"/>
    <w:rsid w:val="009E7D93"/>
    <w:rsid w:val="009F2C58"/>
    <w:rsid w:val="009F3C34"/>
    <w:rsid w:val="009F462C"/>
    <w:rsid w:val="009F5C33"/>
    <w:rsid w:val="00A026F0"/>
    <w:rsid w:val="00A03EAC"/>
    <w:rsid w:val="00A04DBB"/>
    <w:rsid w:val="00A07EA0"/>
    <w:rsid w:val="00A11CA6"/>
    <w:rsid w:val="00A20C49"/>
    <w:rsid w:val="00A22932"/>
    <w:rsid w:val="00A269CA"/>
    <w:rsid w:val="00A322E4"/>
    <w:rsid w:val="00A336EE"/>
    <w:rsid w:val="00A33F46"/>
    <w:rsid w:val="00A3427E"/>
    <w:rsid w:val="00A359AC"/>
    <w:rsid w:val="00A40F83"/>
    <w:rsid w:val="00A410FB"/>
    <w:rsid w:val="00A41413"/>
    <w:rsid w:val="00A431E6"/>
    <w:rsid w:val="00A436E8"/>
    <w:rsid w:val="00A45FB1"/>
    <w:rsid w:val="00A46693"/>
    <w:rsid w:val="00A46CCC"/>
    <w:rsid w:val="00A47996"/>
    <w:rsid w:val="00A51CFE"/>
    <w:rsid w:val="00A5204D"/>
    <w:rsid w:val="00A539C8"/>
    <w:rsid w:val="00A61605"/>
    <w:rsid w:val="00A65F97"/>
    <w:rsid w:val="00A73E5C"/>
    <w:rsid w:val="00A76C13"/>
    <w:rsid w:val="00A80C29"/>
    <w:rsid w:val="00A80F83"/>
    <w:rsid w:val="00A820F0"/>
    <w:rsid w:val="00A84FD0"/>
    <w:rsid w:val="00A87FB0"/>
    <w:rsid w:val="00A92E79"/>
    <w:rsid w:val="00A950B6"/>
    <w:rsid w:val="00A95D45"/>
    <w:rsid w:val="00AB41C1"/>
    <w:rsid w:val="00AB4CF2"/>
    <w:rsid w:val="00AB4DA8"/>
    <w:rsid w:val="00AB4EED"/>
    <w:rsid w:val="00AB6CCA"/>
    <w:rsid w:val="00AB7441"/>
    <w:rsid w:val="00AC223F"/>
    <w:rsid w:val="00AC2419"/>
    <w:rsid w:val="00AC33B1"/>
    <w:rsid w:val="00AC4624"/>
    <w:rsid w:val="00AD12A8"/>
    <w:rsid w:val="00AD2C49"/>
    <w:rsid w:val="00AE023F"/>
    <w:rsid w:val="00AE204E"/>
    <w:rsid w:val="00AE6360"/>
    <w:rsid w:val="00AF3577"/>
    <w:rsid w:val="00AF35F9"/>
    <w:rsid w:val="00AF7690"/>
    <w:rsid w:val="00B02A68"/>
    <w:rsid w:val="00B036D3"/>
    <w:rsid w:val="00B0424C"/>
    <w:rsid w:val="00B05C7D"/>
    <w:rsid w:val="00B13D5A"/>
    <w:rsid w:val="00B15D57"/>
    <w:rsid w:val="00B16347"/>
    <w:rsid w:val="00B17D6E"/>
    <w:rsid w:val="00B2435E"/>
    <w:rsid w:val="00B346C3"/>
    <w:rsid w:val="00B4005C"/>
    <w:rsid w:val="00B4227E"/>
    <w:rsid w:val="00B4433D"/>
    <w:rsid w:val="00B4471C"/>
    <w:rsid w:val="00B451A6"/>
    <w:rsid w:val="00B54AAA"/>
    <w:rsid w:val="00B54B7F"/>
    <w:rsid w:val="00B56D6E"/>
    <w:rsid w:val="00B63870"/>
    <w:rsid w:val="00B64347"/>
    <w:rsid w:val="00B65DC6"/>
    <w:rsid w:val="00B67AC2"/>
    <w:rsid w:val="00B722DE"/>
    <w:rsid w:val="00B751E3"/>
    <w:rsid w:val="00B75BA6"/>
    <w:rsid w:val="00B76C44"/>
    <w:rsid w:val="00B8184A"/>
    <w:rsid w:val="00B82283"/>
    <w:rsid w:val="00B828D8"/>
    <w:rsid w:val="00B83F87"/>
    <w:rsid w:val="00B85CBE"/>
    <w:rsid w:val="00B87CDC"/>
    <w:rsid w:val="00B910C1"/>
    <w:rsid w:val="00BA2CA4"/>
    <w:rsid w:val="00BA2EFA"/>
    <w:rsid w:val="00BA3DBC"/>
    <w:rsid w:val="00BA5138"/>
    <w:rsid w:val="00BA707A"/>
    <w:rsid w:val="00BB1AFB"/>
    <w:rsid w:val="00BB27AE"/>
    <w:rsid w:val="00BB2DA2"/>
    <w:rsid w:val="00BB56DC"/>
    <w:rsid w:val="00BD7F6B"/>
    <w:rsid w:val="00BE0AE2"/>
    <w:rsid w:val="00BE183D"/>
    <w:rsid w:val="00BE5894"/>
    <w:rsid w:val="00BF5D7A"/>
    <w:rsid w:val="00C01C2E"/>
    <w:rsid w:val="00C02D33"/>
    <w:rsid w:val="00C04B53"/>
    <w:rsid w:val="00C1232C"/>
    <w:rsid w:val="00C13384"/>
    <w:rsid w:val="00C17FF7"/>
    <w:rsid w:val="00C23D7F"/>
    <w:rsid w:val="00C26893"/>
    <w:rsid w:val="00C272C7"/>
    <w:rsid w:val="00C27C6B"/>
    <w:rsid w:val="00C3594D"/>
    <w:rsid w:val="00C36442"/>
    <w:rsid w:val="00C400CE"/>
    <w:rsid w:val="00C410FD"/>
    <w:rsid w:val="00C457DE"/>
    <w:rsid w:val="00C47DD3"/>
    <w:rsid w:val="00C50995"/>
    <w:rsid w:val="00C53562"/>
    <w:rsid w:val="00C539FB"/>
    <w:rsid w:val="00C66E57"/>
    <w:rsid w:val="00C74150"/>
    <w:rsid w:val="00C75594"/>
    <w:rsid w:val="00C85982"/>
    <w:rsid w:val="00C87C86"/>
    <w:rsid w:val="00CA0466"/>
    <w:rsid w:val="00CA246D"/>
    <w:rsid w:val="00CA50D9"/>
    <w:rsid w:val="00CA5600"/>
    <w:rsid w:val="00CB04F6"/>
    <w:rsid w:val="00CB3054"/>
    <w:rsid w:val="00CB5636"/>
    <w:rsid w:val="00CC022D"/>
    <w:rsid w:val="00CC3EE5"/>
    <w:rsid w:val="00CC4B37"/>
    <w:rsid w:val="00CE425C"/>
    <w:rsid w:val="00CE58AC"/>
    <w:rsid w:val="00CF3503"/>
    <w:rsid w:val="00CF5A80"/>
    <w:rsid w:val="00D045EE"/>
    <w:rsid w:val="00D05091"/>
    <w:rsid w:val="00D10CA6"/>
    <w:rsid w:val="00D10F21"/>
    <w:rsid w:val="00D134CF"/>
    <w:rsid w:val="00D1573B"/>
    <w:rsid w:val="00D1697D"/>
    <w:rsid w:val="00D17391"/>
    <w:rsid w:val="00D24806"/>
    <w:rsid w:val="00D30C3E"/>
    <w:rsid w:val="00D34040"/>
    <w:rsid w:val="00D34E69"/>
    <w:rsid w:val="00D36C78"/>
    <w:rsid w:val="00D375EE"/>
    <w:rsid w:val="00D37F38"/>
    <w:rsid w:val="00D420BB"/>
    <w:rsid w:val="00D46304"/>
    <w:rsid w:val="00D52112"/>
    <w:rsid w:val="00D5254B"/>
    <w:rsid w:val="00D52F6B"/>
    <w:rsid w:val="00D55AE8"/>
    <w:rsid w:val="00D56056"/>
    <w:rsid w:val="00D6085F"/>
    <w:rsid w:val="00D62699"/>
    <w:rsid w:val="00D778E9"/>
    <w:rsid w:val="00D812BF"/>
    <w:rsid w:val="00D82620"/>
    <w:rsid w:val="00D82CCA"/>
    <w:rsid w:val="00D85707"/>
    <w:rsid w:val="00D9725F"/>
    <w:rsid w:val="00DA01B1"/>
    <w:rsid w:val="00DA11A2"/>
    <w:rsid w:val="00DA14ED"/>
    <w:rsid w:val="00DA26D6"/>
    <w:rsid w:val="00DA2CD5"/>
    <w:rsid w:val="00DA3ECB"/>
    <w:rsid w:val="00DB2EF1"/>
    <w:rsid w:val="00DB3B3B"/>
    <w:rsid w:val="00DB3DE1"/>
    <w:rsid w:val="00DB5DA0"/>
    <w:rsid w:val="00DB716C"/>
    <w:rsid w:val="00DC3B69"/>
    <w:rsid w:val="00DC5C85"/>
    <w:rsid w:val="00DC6A71"/>
    <w:rsid w:val="00DC7C5D"/>
    <w:rsid w:val="00DD4236"/>
    <w:rsid w:val="00DD44F1"/>
    <w:rsid w:val="00DD6957"/>
    <w:rsid w:val="00DD6E7A"/>
    <w:rsid w:val="00DE1F3E"/>
    <w:rsid w:val="00DE3067"/>
    <w:rsid w:val="00DF1C53"/>
    <w:rsid w:val="00DF33E3"/>
    <w:rsid w:val="00DF3EEE"/>
    <w:rsid w:val="00DF75E1"/>
    <w:rsid w:val="00E02118"/>
    <w:rsid w:val="00E027BC"/>
    <w:rsid w:val="00E10F0D"/>
    <w:rsid w:val="00E14EA5"/>
    <w:rsid w:val="00E16E54"/>
    <w:rsid w:val="00E2070E"/>
    <w:rsid w:val="00E21133"/>
    <w:rsid w:val="00E2327E"/>
    <w:rsid w:val="00E25915"/>
    <w:rsid w:val="00E266EF"/>
    <w:rsid w:val="00E326A8"/>
    <w:rsid w:val="00E44572"/>
    <w:rsid w:val="00E47428"/>
    <w:rsid w:val="00E56C8E"/>
    <w:rsid w:val="00E57059"/>
    <w:rsid w:val="00E5716B"/>
    <w:rsid w:val="00E57F1F"/>
    <w:rsid w:val="00E64989"/>
    <w:rsid w:val="00E66B9F"/>
    <w:rsid w:val="00E705B3"/>
    <w:rsid w:val="00E70A6A"/>
    <w:rsid w:val="00E710D6"/>
    <w:rsid w:val="00E73DA4"/>
    <w:rsid w:val="00E76E45"/>
    <w:rsid w:val="00E777C9"/>
    <w:rsid w:val="00E81DA6"/>
    <w:rsid w:val="00E84212"/>
    <w:rsid w:val="00E9086C"/>
    <w:rsid w:val="00E90AAA"/>
    <w:rsid w:val="00E91A0F"/>
    <w:rsid w:val="00E9319C"/>
    <w:rsid w:val="00E94A71"/>
    <w:rsid w:val="00E94CBF"/>
    <w:rsid w:val="00EA03CE"/>
    <w:rsid w:val="00EA07E1"/>
    <w:rsid w:val="00EA23E5"/>
    <w:rsid w:val="00EA40EC"/>
    <w:rsid w:val="00EA4E2E"/>
    <w:rsid w:val="00EA5809"/>
    <w:rsid w:val="00EB2417"/>
    <w:rsid w:val="00EB2CCB"/>
    <w:rsid w:val="00EB7A25"/>
    <w:rsid w:val="00EC0F3E"/>
    <w:rsid w:val="00EC57A7"/>
    <w:rsid w:val="00ED0817"/>
    <w:rsid w:val="00ED1475"/>
    <w:rsid w:val="00ED458E"/>
    <w:rsid w:val="00ED7DD9"/>
    <w:rsid w:val="00EE0DCD"/>
    <w:rsid w:val="00EE445B"/>
    <w:rsid w:val="00EF3113"/>
    <w:rsid w:val="00EF3F84"/>
    <w:rsid w:val="00F11254"/>
    <w:rsid w:val="00F12B7F"/>
    <w:rsid w:val="00F132D4"/>
    <w:rsid w:val="00F13A49"/>
    <w:rsid w:val="00F176AC"/>
    <w:rsid w:val="00F26F28"/>
    <w:rsid w:val="00F27714"/>
    <w:rsid w:val="00F3276E"/>
    <w:rsid w:val="00F33D3C"/>
    <w:rsid w:val="00F37A91"/>
    <w:rsid w:val="00F408A0"/>
    <w:rsid w:val="00F45CF5"/>
    <w:rsid w:val="00F47DB0"/>
    <w:rsid w:val="00F50C3F"/>
    <w:rsid w:val="00F50E34"/>
    <w:rsid w:val="00F52C40"/>
    <w:rsid w:val="00F53EF7"/>
    <w:rsid w:val="00F54BF2"/>
    <w:rsid w:val="00F713D3"/>
    <w:rsid w:val="00F72FE7"/>
    <w:rsid w:val="00F775AC"/>
    <w:rsid w:val="00F77635"/>
    <w:rsid w:val="00F87F7E"/>
    <w:rsid w:val="00F92355"/>
    <w:rsid w:val="00F93963"/>
    <w:rsid w:val="00F94291"/>
    <w:rsid w:val="00FA298A"/>
    <w:rsid w:val="00FA5B66"/>
    <w:rsid w:val="00FB30EB"/>
    <w:rsid w:val="00FB65B3"/>
    <w:rsid w:val="00FB733E"/>
    <w:rsid w:val="00FB7982"/>
    <w:rsid w:val="00FC0734"/>
    <w:rsid w:val="00FC0FC5"/>
    <w:rsid w:val="00FC588F"/>
    <w:rsid w:val="00FC6879"/>
    <w:rsid w:val="00FE0847"/>
    <w:rsid w:val="00FE1B30"/>
    <w:rsid w:val="00FE7B44"/>
    <w:rsid w:val="00FF47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17033D0"/>
  <w15:docId w15:val="{B56555BE-9AD2-46A5-BFA1-5FEC6E213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1581"/>
      </w:tabs>
      <w:spacing w:before="180" w:after="180"/>
      <w:ind w:left="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3"/>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3774B2"/>
    <w:pPr>
      <w:tabs>
        <w:tab w:val="right" w:leader="dot" w:pos="9072"/>
      </w:tabs>
      <w:spacing w:before="120" w:after="60" w:line="240" w:lineRule="auto"/>
      <w:ind w:left="709" w:hanging="709"/>
      <w:jc w:val="left"/>
    </w:pPr>
    <w:rPr>
      <w:b/>
      <w:kern w:val="28"/>
    </w:rPr>
  </w:style>
  <w:style w:type="paragraph" w:customStyle="1" w:styleId="FTOC6">
    <w:name w:val="FTOC 6"/>
    <w:basedOn w:val="Normal"/>
    <w:semiHidden/>
    <w:rsid w:val="003774B2"/>
    <w:pPr>
      <w:tabs>
        <w:tab w:val="right" w:leader="dot" w:pos="9072"/>
      </w:tabs>
      <w:spacing w:before="120" w:after="60" w:line="240" w:lineRule="auto"/>
      <w:ind w:left="1418" w:hanging="709"/>
      <w:jc w:val="left"/>
    </w:pPr>
    <w:rPr>
      <w:b/>
    </w:rPr>
  </w:style>
  <w:style w:type="paragraph" w:customStyle="1" w:styleId="FTOC7">
    <w:name w:val="FTOC 7"/>
    <w:basedOn w:val="Normal"/>
    <w:semiHidden/>
    <w:rsid w:val="003774B2"/>
    <w:pPr>
      <w:tabs>
        <w:tab w:val="right" w:leader="dot" w:pos="9072"/>
      </w:tabs>
      <w:spacing w:before="120" w:after="60" w:line="240" w:lineRule="auto"/>
      <w:ind w:left="2127" w:hanging="709"/>
      <w:jc w:val="left"/>
    </w:pPr>
    <w:rPr>
      <w:b/>
    </w:rPr>
  </w:style>
  <w:style w:type="paragraph" w:customStyle="1" w:styleId="FTOC8">
    <w:name w:val="FTOC 8"/>
    <w:basedOn w:val="Normal"/>
    <w:semiHidden/>
    <w:rsid w:val="003774B2"/>
    <w:pPr>
      <w:tabs>
        <w:tab w:val="right" w:leader="dot" w:pos="9072"/>
      </w:tabs>
      <w:spacing w:before="120" w:after="60" w:line="240" w:lineRule="auto"/>
      <w:ind w:left="3260" w:hanging="1134"/>
      <w:jc w:val="left"/>
    </w:pPr>
    <w:rPr>
      <w:b/>
    </w:rPr>
  </w:style>
  <w:style w:type="paragraph" w:customStyle="1" w:styleId="FTOC9">
    <w:name w:val="FTOC 9"/>
    <w:basedOn w:val="Normal"/>
    <w:semiHidden/>
    <w:rsid w:val="003774B2"/>
    <w:pPr>
      <w:tabs>
        <w:tab w:val="right" w:leader="dot" w:pos="9072"/>
      </w:tabs>
      <w:spacing w:before="120" w:after="60" w:line="240" w:lineRule="auto"/>
      <w:ind w:left="3969" w:hanging="1134"/>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323061"/>
    <w:pPr>
      <w:tabs>
        <w:tab w:val="right" w:leader="dot" w:pos="9072"/>
      </w:tabs>
      <w:spacing w:before="120" w:after="60" w:line="240" w:lineRule="auto"/>
      <w:ind w:left="2127" w:hanging="709"/>
      <w:jc w:val="left"/>
    </w:pPr>
  </w:style>
  <w:style w:type="paragraph" w:customStyle="1" w:styleId="bTOC8">
    <w:name w:val="bTOC 8"/>
    <w:basedOn w:val="Normal"/>
    <w:semiHidden/>
    <w:rsid w:val="00323061"/>
    <w:pPr>
      <w:keepNext/>
      <w:tabs>
        <w:tab w:val="right" w:leader="dot" w:pos="9072"/>
      </w:tabs>
      <w:spacing w:before="120" w:after="60" w:line="240" w:lineRule="auto"/>
      <w:ind w:left="3260" w:hanging="1134"/>
      <w:jc w:val="left"/>
    </w:pPr>
  </w:style>
  <w:style w:type="paragraph" w:customStyle="1" w:styleId="bTOC9">
    <w:name w:val="bTOC 9"/>
    <w:basedOn w:val="Normal"/>
    <w:semiHidden/>
    <w:rsid w:val="00323061"/>
    <w:pPr>
      <w:keepNext/>
      <w:tabs>
        <w:tab w:val="right" w:leader="dot" w:pos="9072"/>
      </w:tabs>
      <w:spacing w:before="120" w:after="60" w:line="240" w:lineRule="auto"/>
      <w:ind w:left="3969" w:hanging="1134"/>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E445B"/>
    <w:pPr>
      <w:numPr>
        <w:numId w:val="20"/>
      </w:numPr>
      <w:ind w:hanging="720"/>
    </w:pPr>
  </w:style>
  <w:style w:type="paragraph" w:customStyle="1" w:styleId="Order1">
    <w:name w:val="Order 1"/>
    <w:basedOn w:val="Normal"/>
    <w:rsid w:val="004104B6"/>
    <w:pPr>
      <w:numPr>
        <w:numId w:val="21"/>
      </w:numPr>
      <w:spacing w:before="60" w:after="60"/>
    </w:pPr>
  </w:style>
  <w:style w:type="numbering" w:customStyle="1" w:styleId="FCOrders">
    <w:name w:val="FCOrders"/>
    <w:uiPriority w:val="99"/>
    <w:rsid w:val="004104B6"/>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link w:val="BodyText"/>
    <w:rsid w:val="00E91A0F"/>
    <w:rPr>
      <w:sz w:val="24"/>
      <w:lang w:eastAsia="en-US"/>
    </w:rPr>
  </w:style>
  <w:style w:type="character" w:customStyle="1" w:styleId="NormalHeadingsChar">
    <w:name w:val="Normal Headings Char"/>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2"/>
      </w:numPr>
      <w:ind w:hanging="720"/>
    </w:pPr>
  </w:style>
  <w:style w:type="character" w:styleId="PlaceholderText">
    <w:name w:val="Placeholder Tex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5"/>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4"/>
      </w:numPr>
    </w:pPr>
  </w:style>
  <w:style w:type="paragraph" w:customStyle="1" w:styleId="Order4">
    <w:name w:val="Order 4"/>
    <w:basedOn w:val="Order3"/>
    <w:rsid w:val="004104B6"/>
    <w:pPr>
      <w:numPr>
        <w:ilvl w:val="3"/>
      </w:numPr>
    </w:pPr>
  </w:style>
  <w:style w:type="paragraph" w:customStyle="1" w:styleId="Default">
    <w:name w:val="Default"/>
    <w:rsid w:val="005C1EA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53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header" Target="header1.xml"/><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oskin\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Australian Competition and Consumer Commission v Tasmanian Ports Corporation Pty Ltd [2021] FCA 482 </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AB5ADBD7-B2F4-47A1-B646-93BC0CFFF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2</TotalTime>
  <Pages>33</Pages>
  <Words>3274</Words>
  <Characters>16535</Characters>
  <Application>Microsoft Office Word</Application>
  <DocSecurity>4</DocSecurity>
  <Lines>446</Lines>
  <Paragraphs>271</Paragraphs>
  <ScaleCrop>false</ScaleCrop>
  <HeadingPairs>
    <vt:vector size="2" baseType="variant">
      <vt:variant>
        <vt:lpstr>Title</vt:lpstr>
      </vt:variant>
      <vt:variant>
        <vt:i4>1</vt:i4>
      </vt:variant>
    </vt:vector>
  </HeadingPairs>
  <TitlesOfParts>
    <vt:vector size="1" baseType="lpstr">
      <vt:lpstr>Judgment Template</vt:lpstr>
    </vt:vector>
  </TitlesOfParts>
  <Company>Federal Court of Australia</Company>
  <LinksUpToDate>false</LinksUpToDate>
  <CharactersWithSpaces>19538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Judgment Template</dc:title>
  <dc:subject/>
  <dc:creator>Wendy Hawkless</dc:creator>
  <cp:keywords/>
  <cp:lastModifiedBy>Sona Muradyan</cp:lastModifiedBy>
  <cp:revision>2</cp:revision>
  <cp:lastPrinted>2021-05-10T01:11:00Z</cp:lastPrinted>
  <dcterms:created xsi:type="dcterms:W3CDTF">2021-05-10T02:34:00Z</dcterms:created>
  <dcterms:modified xsi:type="dcterms:W3CDTF">2021-05-10T02:34:00Z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3</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Victoria</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Commercial and Corporations</vt:lpwstr>
  </property>
  <property fmtid="{D5CDD505-2E9C-101B-9397-08002B2CF9AE}" pid="16" name="Court">
    <vt:lpwstr>Federal Court of Australia</vt:lpwstr>
  </property>
  <property fmtid="{D5CDD505-2E9C-101B-9397-08002B2CF9AE}" pid="17" name="Sub Area">
    <vt:lpwstr>Economic Regulator, Competition and Access</vt:lpwstr>
  </property>
  <property fmtid="{D5CDD505-2E9C-101B-9397-08002B2CF9AE}" pid="18" name="AppealFrom">
    <vt:lpwstr>&lt;AppealFrom&gt;</vt:lpwstr>
  </property>
  <property fmtid="{D5CDD505-2E9C-101B-9397-08002B2CF9AE}" pid="19" name="Judge">
    <vt:lpwstr>Judge</vt:lpwstr>
  </property>
  <property fmtid="{D5CDD505-2E9C-101B-9397-08002B2CF9AE}" pid="20" name="Judgment_dated">
    <vt:lpwstr>Judgment_dated</vt:lpwstr>
  </property>
  <property fmtid="{D5CDD505-2E9C-101B-9397-08002B2CF9AE}" pid="21" name="Legislation">
    <vt:lpwstr>Legislation</vt:lpwstr>
  </property>
  <property fmtid="{D5CDD505-2E9C-101B-9397-08002B2CF9AE}" pid="22" name="Catchwords">
    <vt:lpwstr>Catchwords</vt:lpwstr>
  </property>
  <property fmtid="{D5CDD505-2E9C-101B-9397-08002B2CF9AE}" pid="23" name="Words_Phrases">
    <vt:lpwstr>WordsPhrases</vt:lpwstr>
  </property>
  <property fmtid="{D5CDD505-2E9C-101B-9397-08002B2CF9AE}" pid="24" name="Cases_Cited">
    <vt:lpwstr>CasesCited</vt:lpwstr>
  </property>
  <property fmtid="{D5CDD505-2E9C-101B-9397-08002B2CF9AE}" pid="25" name="File_Number">
    <vt:lpwstr>Num</vt:lpwstr>
  </property>
  <property fmtid="{D5CDD505-2E9C-101B-9397-08002B2CF9AE}" pid="26" name="State">
    <vt:lpwstr>State</vt:lpwstr>
  </property>
</Properties>
</file>