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0B73F4">
      <w:pPr>
        <w:pStyle w:val="NormalHeadings"/>
        <w:jc w:val="center"/>
        <w:rPr>
          <w:sz w:val="32"/>
        </w:rPr>
      </w:pPr>
      <w:r>
        <w:rPr>
          <w:sz w:val="32"/>
        </w:rPr>
        <w:t>AUSTRALIAN COMPETITION TRIBUNAL</w:t>
      </w:r>
    </w:p>
    <w:p w:rsidR="00395B24" w:rsidRDefault="00395B24">
      <w:pPr>
        <w:pStyle w:val="NormalHeadings"/>
        <w:jc w:val="center"/>
        <w:rPr>
          <w:sz w:val="32"/>
        </w:rPr>
      </w:pPr>
    </w:p>
    <w:p w:rsidR="00395B24" w:rsidRDefault="000B73F4">
      <w:pPr>
        <w:pStyle w:val="MediaNeutralStyle"/>
      </w:pPr>
      <w:bookmarkStart w:id="0" w:name="MNC"/>
      <w:r>
        <w:t xml:space="preserve">Application by </w:t>
      </w:r>
      <w:r w:rsidR="00821BE2">
        <w:t xml:space="preserve">South Australian Council of Social Service Incorporated </w:t>
      </w:r>
      <w:r>
        <w:t>[2016] ACompT</w:t>
      </w:r>
      <w:r w:rsidR="001263F9">
        <w:t>8</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E7F88">
        <w:tc>
          <w:tcPr>
            <w:tcW w:w="3085" w:type="dxa"/>
            <w:shd w:val="clear" w:color="auto" w:fill="auto"/>
          </w:tcPr>
          <w:p w:rsidR="00395B24" w:rsidRDefault="000B73F4" w:rsidP="000B73F4">
            <w:pPr>
              <w:pStyle w:val="Normal1linespace"/>
              <w:widowControl w:val="0"/>
              <w:jc w:val="left"/>
            </w:pPr>
            <w:r>
              <w:t>Review from</w:t>
            </w:r>
            <w:r w:rsidR="002C7385">
              <w:t>:</w:t>
            </w:r>
          </w:p>
        </w:tc>
        <w:tc>
          <w:tcPr>
            <w:tcW w:w="5989" w:type="dxa"/>
            <w:shd w:val="clear" w:color="auto" w:fill="auto"/>
          </w:tcPr>
          <w:p w:rsidR="00395B24" w:rsidRPr="00B030F9" w:rsidRDefault="000B73F4" w:rsidP="00DD4D8B">
            <w:pPr>
              <w:pStyle w:val="Normal1linespace"/>
              <w:jc w:val="left"/>
            </w:pPr>
            <w:r>
              <w:t>Australian Energy Regulator</w:t>
            </w:r>
          </w:p>
        </w:tc>
      </w:tr>
      <w:tr w:rsidR="000B73F4" w:rsidTr="000E7F88">
        <w:tc>
          <w:tcPr>
            <w:tcW w:w="3085" w:type="dxa"/>
            <w:shd w:val="clear" w:color="auto" w:fill="auto"/>
          </w:tcPr>
          <w:p w:rsidR="000B73F4" w:rsidRDefault="000B73F4" w:rsidP="000B73F4">
            <w:pPr>
              <w:pStyle w:val="Normal1linespace"/>
              <w:widowControl w:val="0"/>
              <w:jc w:val="left"/>
            </w:pPr>
          </w:p>
        </w:tc>
        <w:tc>
          <w:tcPr>
            <w:tcW w:w="5989" w:type="dxa"/>
            <w:shd w:val="clear" w:color="auto" w:fill="auto"/>
          </w:tcPr>
          <w:p w:rsidR="000B73F4" w:rsidRDefault="000B73F4" w:rsidP="00DD4D8B">
            <w:pPr>
              <w:pStyle w:val="Normal1linespace"/>
              <w:jc w:val="left"/>
            </w:pPr>
          </w:p>
        </w:tc>
      </w:tr>
      <w:tr w:rsidR="000B73F4" w:rsidRPr="00B030F9" w:rsidTr="000E7F88">
        <w:tc>
          <w:tcPr>
            <w:tcW w:w="3085" w:type="dxa"/>
            <w:shd w:val="clear" w:color="auto" w:fill="auto"/>
          </w:tcPr>
          <w:p w:rsidR="000B73F4" w:rsidRDefault="000B73F4" w:rsidP="00C934AD">
            <w:pPr>
              <w:pStyle w:val="Normal1linespace"/>
              <w:widowControl w:val="0"/>
              <w:jc w:val="left"/>
            </w:pPr>
            <w:r>
              <w:t>File number:</w:t>
            </w:r>
          </w:p>
        </w:tc>
        <w:tc>
          <w:tcPr>
            <w:tcW w:w="5989" w:type="dxa"/>
            <w:shd w:val="clear" w:color="auto" w:fill="auto"/>
          </w:tcPr>
          <w:p w:rsidR="000B73F4" w:rsidRPr="00B030F9" w:rsidRDefault="000B73F4" w:rsidP="00C934AD">
            <w:pPr>
              <w:pStyle w:val="Normal1linespace"/>
              <w:jc w:val="left"/>
            </w:pPr>
            <w:r w:rsidRPr="00B030F9">
              <w:t>ACT 12 of 2015</w:t>
            </w:r>
          </w:p>
        </w:tc>
      </w:tr>
      <w:tr w:rsidR="00395B24" w:rsidTr="000E7F8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E7F88">
        <w:tc>
          <w:tcPr>
            <w:tcW w:w="3085" w:type="dxa"/>
            <w:shd w:val="clear" w:color="auto" w:fill="auto"/>
          </w:tcPr>
          <w:p w:rsidR="00395B24" w:rsidRDefault="000B73F4" w:rsidP="00663878">
            <w:pPr>
              <w:pStyle w:val="Normal1linespace"/>
              <w:widowControl w:val="0"/>
              <w:jc w:val="left"/>
            </w:pPr>
            <w:r>
              <w:t>Tribunal</w:t>
            </w:r>
            <w:r w:rsidR="002C7385">
              <w:t>:</w:t>
            </w:r>
          </w:p>
        </w:tc>
        <w:tc>
          <w:tcPr>
            <w:tcW w:w="5989" w:type="dxa"/>
            <w:shd w:val="clear" w:color="auto" w:fill="auto"/>
          </w:tcPr>
          <w:p w:rsidR="00395B24" w:rsidRDefault="00B030F9" w:rsidP="00663878">
            <w:pPr>
              <w:pStyle w:val="Normal1linespace"/>
              <w:widowControl w:val="0"/>
              <w:jc w:val="left"/>
              <w:rPr>
                <w:b/>
              </w:rPr>
            </w:pPr>
            <w:r w:rsidRPr="00B030F9">
              <w:rPr>
                <w:b/>
                <w:caps/>
                <w:szCs w:val="24"/>
              </w:rPr>
              <w:t>MIDDLETON J</w:t>
            </w:r>
            <w:r w:rsidR="000B73F4">
              <w:rPr>
                <w:b/>
              </w:rPr>
              <w:t xml:space="preserve"> </w:t>
            </w:r>
            <w:r w:rsidR="00A33A0D">
              <w:rPr>
                <w:b/>
              </w:rPr>
              <w:t>(</w:t>
            </w:r>
            <w:r w:rsidR="000B73F4">
              <w:rPr>
                <w:b/>
              </w:rPr>
              <w:t>DEPUTY PRESIDENT</w:t>
            </w:r>
            <w:r w:rsidR="00A33A0D">
              <w:rPr>
                <w:b/>
              </w:rPr>
              <w:t>)</w:t>
            </w:r>
          </w:p>
          <w:p w:rsidR="000B73F4" w:rsidRDefault="000B73F4" w:rsidP="00663878">
            <w:pPr>
              <w:pStyle w:val="Normal1linespace"/>
              <w:widowControl w:val="0"/>
              <w:jc w:val="left"/>
              <w:rPr>
                <w:b/>
              </w:rPr>
            </w:pPr>
            <w:r>
              <w:rPr>
                <w:b/>
              </w:rPr>
              <w:t xml:space="preserve">PROFESSOR K DAVIS </w:t>
            </w:r>
            <w:r w:rsidR="00A33A0D">
              <w:rPr>
                <w:b/>
              </w:rPr>
              <w:t>(</w:t>
            </w:r>
            <w:r>
              <w:rPr>
                <w:b/>
              </w:rPr>
              <w:t>MEMBER</w:t>
            </w:r>
            <w:r w:rsidR="00A33A0D">
              <w:rPr>
                <w:b/>
              </w:rPr>
              <w:t>)</w:t>
            </w:r>
          </w:p>
          <w:p w:rsidR="000B73F4" w:rsidRDefault="000B73F4" w:rsidP="00A33A0D">
            <w:pPr>
              <w:pStyle w:val="Normal1linespace"/>
              <w:widowControl w:val="0"/>
              <w:jc w:val="left"/>
              <w:rPr>
                <w:b/>
              </w:rPr>
            </w:pPr>
            <w:r>
              <w:rPr>
                <w:b/>
              </w:rPr>
              <w:t xml:space="preserve">MR R STEINWALL </w:t>
            </w:r>
            <w:r w:rsidR="00A33A0D">
              <w:rPr>
                <w:b/>
              </w:rPr>
              <w:t>(</w:t>
            </w:r>
            <w:r>
              <w:rPr>
                <w:b/>
              </w:rPr>
              <w:t>MEMBER</w:t>
            </w:r>
            <w:r w:rsidR="00A33A0D">
              <w:rPr>
                <w:b/>
              </w:rPr>
              <w:t>)</w:t>
            </w:r>
          </w:p>
        </w:tc>
      </w:tr>
      <w:tr w:rsidR="00395B24" w:rsidTr="000E7F8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E7F88">
        <w:tc>
          <w:tcPr>
            <w:tcW w:w="3085" w:type="dxa"/>
            <w:shd w:val="clear" w:color="auto" w:fill="auto"/>
          </w:tcPr>
          <w:p w:rsidR="00395B24" w:rsidRDefault="002C7385" w:rsidP="000B73F4">
            <w:pPr>
              <w:pStyle w:val="Normal1linespace"/>
              <w:widowControl w:val="0"/>
              <w:jc w:val="left"/>
            </w:pPr>
            <w:r>
              <w:t xml:space="preserve">Date of </w:t>
            </w:r>
            <w:r w:rsidR="000B73F4">
              <w:t>Determination</w:t>
            </w:r>
            <w:r>
              <w:t>:</w:t>
            </w:r>
          </w:p>
        </w:tc>
        <w:tc>
          <w:tcPr>
            <w:tcW w:w="5989" w:type="dxa"/>
            <w:shd w:val="clear" w:color="auto" w:fill="auto"/>
          </w:tcPr>
          <w:p w:rsidR="00395B24" w:rsidRDefault="000D202D" w:rsidP="00663878">
            <w:pPr>
              <w:pStyle w:val="Normal1linespace"/>
              <w:widowControl w:val="0"/>
              <w:jc w:val="left"/>
            </w:pPr>
            <w:r>
              <w:t>2 May 2016</w:t>
            </w:r>
          </w:p>
        </w:tc>
      </w:tr>
      <w:tr w:rsidR="00395B24" w:rsidTr="000E7F8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E7F88">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8109DF" w:rsidRDefault="008109DF" w:rsidP="00A77591">
            <w:pPr>
              <w:pStyle w:val="Normal1linespace"/>
              <w:widowControl w:val="0"/>
              <w:jc w:val="left"/>
            </w:pPr>
            <w:r w:rsidRPr="008109DF">
              <w:rPr>
                <w:b/>
              </w:rPr>
              <w:t>CONSUMER LAW</w:t>
            </w:r>
            <w:r w:rsidRPr="008109DF">
              <w:t xml:space="preserve"> – application for leave to review decision of </w:t>
            </w:r>
            <w:r>
              <w:t>Australian Energy Regulator</w:t>
            </w:r>
            <w:r w:rsidRPr="008109DF">
              <w:t xml:space="preserve"> –</w:t>
            </w:r>
            <w:r w:rsidR="00A77591">
              <w:t xml:space="preserve"> </w:t>
            </w:r>
            <w:r w:rsidR="00A77591" w:rsidRPr="008109DF">
              <w:t xml:space="preserve">application for leave to </w:t>
            </w:r>
            <w:r w:rsidR="00A77591">
              <w:t>amend application for review</w:t>
            </w:r>
            <w:r w:rsidR="00A77591" w:rsidRPr="008109DF">
              <w:t xml:space="preserve"> –</w:t>
            </w:r>
            <w:r w:rsidRPr="008109DF">
              <w:t xml:space="preserve"> consideration of </w:t>
            </w:r>
            <w:r w:rsidR="00A77591">
              <w:t>serious issue to be heard</w:t>
            </w:r>
            <w:r w:rsidRPr="008109DF">
              <w:t xml:space="preserve"> – </w:t>
            </w:r>
            <w:r w:rsidR="00A77591">
              <w:t xml:space="preserve">consideration of s 71O(2)(c) of the </w:t>
            </w:r>
            <w:r w:rsidR="00A77591" w:rsidRPr="00A77591">
              <w:rPr>
                <w:i/>
              </w:rPr>
              <w:t>National Electricity Law</w:t>
            </w:r>
            <w:r w:rsidR="00A77591">
              <w:t xml:space="preserve"> – whether applicant</w:t>
            </w:r>
            <w:r w:rsidR="00A77591" w:rsidRPr="00A77591">
              <w:t xml:space="preserve"> raised matter in a submission to the AER before reviewable regulatory decision made</w:t>
            </w:r>
            <w:r w:rsidR="005809E9">
              <w:t>.</w:t>
            </w:r>
          </w:p>
        </w:tc>
      </w:tr>
      <w:tr w:rsidR="00395B24" w:rsidTr="000E7F8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E7F88">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82955" w:rsidRDefault="00982955" w:rsidP="00D82620">
            <w:pPr>
              <w:pStyle w:val="CasesLegislationAppealFrom"/>
              <w:spacing w:after="60"/>
            </w:pPr>
            <w:r w:rsidRPr="00982955">
              <w:rPr>
                <w:i/>
              </w:rPr>
              <w:t>National Electricity (South Australia) Act 1996</w:t>
            </w:r>
            <w:r w:rsidRPr="00982955">
              <w:t xml:space="preserve"> (SA)</w:t>
            </w:r>
          </w:p>
          <w:p w:rsidR="00982955" w:rsidRDefault="00982955" w:rsidP="00D82620">
            <w:pPr>
              <w:pStyle w:val="CasesLegislationAppealFrom"/>
              <w:spacing w:after="60"/>
              <w:rPr>
                <w:i/>
              </w:rPr>
            </w:pPr>
            <w:r w:rsidRPr="001C732E">
              <w:rPr>
                <w:i/>
              </w:rPr>
              <w:t>National Electricity Law</w:t>
            </w:r>
          </w:p>
          <w:p w:rsidR="00982955" w:rsidRDefault="00982955" w:rsidP="00D82620">
            <w:pPr>
              <w:pStyle w:val="CasesLegislationAppealFrom"/>
              <w:spacing w:after="60"/>
            </w:pPr>
            <w:r w:rsidRPr="00055638">
              <w:rPr>
                <w:i/>
              </w:rPr>
              <w:t>National E</w:t>
            </w:r>
            <w:r>
              <w:rPr>
                <w:i/>
              </w:rPr>
              <w:t>lec</w:t>
            </w:r>
            <w:r w:rsidRPr="00055638">
              <w:rPr>
                <w:i/>
              </w:rPr>
              <w:t>tricity Rules</w:t>
            </w:r>
          </w:p>
        </w:tc>
      </w:tr>
      <w:tr w:rsidR="00395B24" w:rsidTr="000E7F8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E7F88">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C21C18" w:rsidRPr="00C21C18" w:rsidRDefault="00C21C18" w:rsidP="00982955">
            <w:pPr>
              <w:pStyle w:val="CasesLegislationAppealFrom"/>
              <w:spacing w:after="60"/>
            </w:pPr>
            <w:r w:rsidRPr="00D267D3">
              <w:rPr>
                <w:i/>
              </w:rPr>
              <w:t xml:space="preserve">Application by </w:t>
            </w:r>
            <w:proofErr w:type="spellStart"/>
            <w:r w:rsidRPr="00D267D3">
              <w:rPr>
                <w:i/>
              </w:rPr>
              <w:t>EnergyAustralia</w:t>
            </w:r>
            <w:proofErr w:type="spellEnd"/>
            <w:r w:rsidRPr="00D267D3">
              <w:rPr>
                <w:i/>
              </w:rPr>
              <w:t xml:space="preserve"> and Others</w:t>
            </w:r>
            <w:r>
              <w:rPr>
                <w:i/>
              </w:rPr>
              <w:t xml:space="preserve"> </w:t>
            </w:r>
            <w:r w:rsidRPr="00D267D3">
              <w:t xml:space="preserve">[2009] </w:t>
            </w:r>
            <w:proofErr w:type="spellStart"/>
            <w:r w:rsidRPr="00D267D3">
              <w:t>ACompT</w:t>
            </w:r>
            <w:proofErr w:type="spellEnd"/>
            <w:r w:rsidRPr="00D267D3">
              <w:t xml:space="preserve"> 8</w:t>
            </w:r>
          </w:p>
          <w:p w:rsidR="00982955" w:rsidRDefault="00982955" w:rsidP="00982955">
            <w:pPr>
              <w:pStyle w:val="CasesLegislationAppealFrom"/>
              <w:spacing w:after="60"/>
            </w:pPr>
            <w:r w:rsidRPr="00982955">
              <w:rPr>
                <w:i/>
              </w:rPr>
              <w:t>Application by Ergon Energy Corporation Limited (Street Lighting Services) (No 6)</w:t>
            </w:r>
            <w:r w:rsidRPr="00982955">
              <w:t xml:space="preserve"> [2010] </w:t>
            </w:r>
            <w:proofErr w:type="spellStart"/>
            <w:r w:rsidRPr="00982955">
              <w:t>ACompT</w:t>
            </w:r>
            <w:proofErr w:type="spellEnd"/>
            <w:r w:rsidRPr="00982955">
              <w:t xml:space="preserve"> 14</w:t>
            </w:r>
          </w:p>
          <w:p w:rsidR="00982955" w:rsidRDefault="00982955" w:rsidP="00982955">
            <w:pPr>
              <w:pStyle w:val="CasesLegislationAppealFrom"/>
              <w:spacing w:after="60"/>
              <w:rPr>
                <w:i/>
              </w:rPr>
            </w:pPr>
            <w:r w:rsidRPr="00982955">
              <w:rPr>
                <w:i/>
              </w:rPr>
              <w:t xml:space="preserve">Applications by Public Interest Advocacy Centre Ltd and </w:t>
            </w:r>
            <w:proofErr w:type="spellStart"/>
            <w:r w:rsidRPr="00982955">
              <w:rPr>
                <w:i/>
              </w:rPr>
              <w:t>Ausgrid</w:t>
            </w:r>
            <w:proofErr w:type="spellEnd"/>
            <w:r w:rsidRPr="00982955">
              <w:rPr>
                <w:i/>
              </w:rPr>
              <w:t xml:space="preserve"> </w:t>
            </w:r>
            <w:r w:rsidRPr="00982955">
              <w:t xml:space="preserve">[2016] </w:t>
            </w:r>
            <w:proofErr w:type="spellStart"/>
            <w:r w:rsidRPr="00982955">
              <w:t>ACompT</w:t>
            </w:r>
            <w:proofErr w:type="spellEnd"/>
            <w:r w:rsidRPr="00982955">
              <w:t xml:space="preserve"> 1</w:t>
            </w:r>
          </w:p>
          <w:p w:rsidR="00395B24" w:rsidRDefault="00D267D3" w:rsidP="00A33A0D">
            <w:pPr>
              <w:pStyle w:val="CasesLegislationAppealFrom"/>
              <w:spacing w:after="60"/>
            </w:pPr>
            <w:r w:rsidRPr="00D267D3">
              <w:rPr>
                <w:i/>
              </w:rPr>
              <w:t>Application by United Energy Distribution Pty Limited (No</w:t>
            </w:r>
            <w:r>
              <w:rPr>
                <w:i/>
              </w:rPr>
              <w:t> </w:t>
            </w:r>
            <w:r w:rsidRPr="00D267D3">
              <w:rPr>
                <w:i/>
              </w:rPr>
              <w:t xml:space="preserve">2) </w:t>
            </w:r>
            <w:r w:rsidR="00C21C18">
              <w:t xml:space="preserve">[2012] </w:t>
            </w:r>
            <w:proofErr w:type="spellStart"/>
            <w:r w:rsidR="00C21C18">
              <w:t>ACompT</w:t>
            </w:r>
            <w:proofErr w:type="spellEnd"/>
            <w:r w:rsidR="00C21C18">
              <w:t xml:space="preserve"> 1</w:t>
            </w:r>
          </w:p>
        </w:tc>
      </w:tr>
      <w:tr w:rsidR="000E7F88" w:rsidRPr="000E7F88" w:rsidTr="000E7F88">
        <w:tc>
          <w:tcPr>
            <w:tcW w:w="3085" w:type="dxa"/>
            <w:shd w:val="clear" w:color="auto" w:fill="auto"/>
          </w:tcPr>
          <w:p w:rsidR="000E7F88" w:rsidRPr="000E7F88" w:rsidRDefault="000E7F88" w:rsidP="000E7F88">
            <w:pPr>
              <w:pStyle w:val="Normal1linespace"/>
              <w:jc w:val="left"/>
            </w:pPr>
          </w:p>
        </w:tc>
        <w:tc>
          <w:tcPr>
            <w:tcW w:w="5989" w:type="dxa"/>
            <w:shd w:val="clear" w:color="auto" w:fill="auto"/>
          </w:tcPr>
          <w:p w:rsidR="000E7F88" w:rsidRPr="000E7F88" w:rsidRDefault="000E7F88" w:rsidP="000E7F88">
            <w:pPr>
              <w:pStyle w:val="Normal1linespace"/>
              <w:jc w:val="left"/>
            </w:pPr>
          </w:p>
        </w:tc>
      </w:tr>
      <w:tr w:rsidR="000E7F88" w:rsidRPr="000E7F88" w:rsidTr="000E7F88">
        <w:tc>
          <w:tcPr>
            <w:tcW w:w="3085" w:type="dxa"/>
            <w:shd w:val="clear" w:color="auto" w:fill="auto"/>
          </w:tcPr>
          <w:p w:rsidR="000E7F88" w:rsidRPr="000E7F88" w:rsidRDefault="000E7F88" w:rsidP="000E7F88">
            <w:pPr>
              <w:pStyle w:val="Normal1linespace"/>
              <w:jc w:val="left"/>
            </w:pPr>
            <w:bookmarkStart w:id="1" w:name="CounselDate" w:colFirst="0" w:colLast="2"/>
            <w:r w:rsidRPr="000E7F88">
              <w:t>Date of hearing:</w:t>
            </w:r>
          </w:p>
        </w:tc>
        <w:tc>
          <w:tcPr>
            <w:tcW w:w="5989" w:type="dxa"/>
            <w:shd w:val="clear" w:color="auto" w:fill="auto"/>
          </w:tcPr>
          <w:p w:rsidR="000E7F88" w:rsidRPr="000E7F88" w:rsidRDefault="000E7F88" w:rsidP="000E7F88">
            <w:pPr>
              <w:pStyle w:val="Normal1linespace"/>
              <w:jc w:val="left"/>
            </w:pPr>
            <w:bookmarkStart w:id="2" w:name="HearingDate"/>
            <w:r>
              <w:t>2 May 2016</w:t>
            </w:r>
            <w:bookmarkEnd w:id="2"/>
          </w:p>
        </w:tc>
      </w:tr>
      <w:tr w:rsidR="000E7F88" w:rsidRPr="000E7F88" w:rsidTr="000E7F88">
        <w:tc>
          <w:tcPr>
            <w:tcW w:w="3085" w:type="dxa"/>
            <w:shd w:val="clear" w:color="auto" w:fill="auto"/>
          </w:tcPr>
          <w:p w:rsidR="000E7F88" w:rsidRPr="000E7F88" w:rsidRDefault="000E7F88" w:rsidP="000E7F88">
            <w:pPr>
              <w:pStyle w:val="Normal1linespace"/>
              <w:jc w:val="left"/>
            </w:pPr>
          </w:p>
        </w:tc>
        <w:tc>
          <w:tcPr>
            <w:tcW w:w="5989" w:type="dxa"/>
            <w:shd w:val="clear" w:color="auto" w:fill="auto"/>
          </w:tcPr>
          <w:p w:rsidR="000E7F88" w:rsidRPr="000E7F88" w:rsidRDefault="000E7F88" w:rsidP="000E7F88">
            <w:pPr>
              <w:pStyle w:val="Normal1linespace"/>
              <w:jc w:val="left"/>
            </w:pPr>
          </w:p>
        </w:tc>
      </w:tr>
      <w:bookmarkEnd w:id="1"/>
      <w:tr w:rsidR="000E7F88" w:rsidTr="000E7F88">
        <w:tc>
          <w:tcPr>
            <w:tcW w:w="3085" w:type="dxa"/>
            <w:shd w:val="clear" w:color="auto" w:fill="auto"/>
          </w:tcPr>
          <w:p w:rsidR="000E7F88" w:rsidRDefault="000E7F88" w:rsidP="000E7F88">
            <w:pPr>
              <w:pStyle w:val="Normal1linespace"/>
              <w:widowControl w:val="0"/>
              <w:jc w:val="left"/>
            </w:pPr>
            <w:r>
              <w:t>Category:</w:t>
            </w:r>
          </w:p>
        </w:tc>
        <w:tc>
          <w:tcPr>
            <w:tcW w:w="5989" w:type="dxa"/>
            <w:shd w:val="clear" w:color="auto" w:fill="auto"/>
          </w:tcPr>
          <w:p w:rsidR="000E7F88" w:rsidRDefault="000E7F88" w:rsidP="00A33A0D">
            <w:pPr>
              <w:pStyle w:val="Normal1linespace"/>
              <w:widowControl w:val="0"/>
              <w:jc w:val="left"/>
            </w:pPr>
            <w:r w:rsidRPr="00A33A0D">
              <w:t>Catchwords</w:t>
            </w:r>
          </w:p>
        </w:tc>
      </w:tr>
      <w:tr w:rsidR="000E7F88" w:rsidTr="000E7F88">
        <w:tc>
          <w:tcPr>
            <w:tcW w:w="3085" w:type="dxa"/>
            <w:shd w:val="clear" w:color="auto" w:fill="auto"/>
          </w:tcPr>
          <w:p w:rsidR="000E7F88" w:rsidRDefault="000E7F88" w:rsidP="000E7F88">
            <w:pPr>
              <w:pStyle w:val="Normal1linespace"/>
              <w:widowControl w:val="0"/>
              <w:jc w:val="left"/>
            </w:pPr>
          </w:p>
        </w:tc>
        <w:tc>
          <w:tcPr>
            <w:tcW w:w="5989" w:type="dxa"/>
            <w:shd w:val="clear" w:color="auto" w:fill="auto"/>
          </w:tcPr>
          <w:p w:rsidR="000E7F88" w:rsidRDefault="000E7F88" w:rsidP="000E7F88">
            <w:pPr>
              <w:pStyle w:val="Normal1linespace"/>
              <w:widowControl w:val="0"/>
              <w:jc w:val="left"/>
            </w:pPr>
          </w:p>
        </w:tc>
      </w:tr>
      <w:tr w:rsidR="000E7F88" w:rsidTr="000E7F88">
        <w:tc>
          <w:tcPr>
            <w:tcW w:w="3085" w:type="dxa"/>
            <w:shd w:val="clear" w:color="auto" w:fill="auto"/>
          </w:tcPr>
          <w:p w:rsidR="000E7F88" w:rsidRDefault="000E7F88" w:rsidP="000E7F88">
            <w:pPr>
              <w:pStyle w:val="Normal1linespace"/>
              <w:widowControl w:val="0"/>
              <w:jc w:val="left"/>
            </w:pPr>
            <w:r>
              <w:t>Number of paragraphs:</w:t>
            </w:r>
          </w:p>
        </w:tc>
        <w:tc>
          <w:tcPr>
            <w:tcW w:w="5989" w:type="dxa"/>
            <w:shd w:val="clear" w:color="auto" w:fill="auto"/>
          </w:tcPr>
          <w:p w:rsidR="000E7F88" w:rsidRDefault="000E7F88" w:rsidP="000E7F88">
            <w:pPr>
              <w:pStyle w:val="Normal1linespace"/>
              <w:widowControl w:val="0"/>
              <w:jc w:val="left"/>
            </w:pPr>
            <w:bookmarkStart w:id="3" w:name="PlaceCategoryParagraphs"/>
            <w:r>
              <w:t>43</w:t>
            </w:r>
            <w:bookmarkEnd w:id="3"/>
          </w:p>
        </w:tc>
      </w:tr>
      <w:tr w:rsidR="000E7F88" w:rsidTr="000E7F88">
        <w:tc>
          <w:tcPr>
            <w:tcW w:w="3085" w:type="dxa"/>
            <w:shd w:val="clear" w:color="auto" w:fill="auto"/>
          </w:tcPr>
          <w:p w:rsidR="000E7F88" w:rsidRDefault="000E7F88" w:rsidP="000E7F88">
            <w:pPr>
              <w:pStyle w:val="Normal1linespace"/>
              <w:widowControl w:val="0"/>
              <w:jc w:val="left"/>
            </w:pPr>
          </w:p>
        </w:tc>
        <w:tc>
          <w:tcPr>
            <w:tcW w:w="5989" w:type="dxa"/>
            <w:shd w:val="clear" w:color="auto" w:fill="auto"/>
          </w:tcPr>
          <w:p w:rsidR="000E7F88" w:rsidRDefault="000E7F88" w:rsidP="000E7F88">
            <w:pPr>
              <w:pStyle w:val="Normal1linespace"/>
              <w:widowControl w:val="0"/>
              <w:jc w:val="left"/>
            </w:pPr>
          </w:p>
        </w:tc>
      </w:tr>
      <w:tr w:rsidR="000E7F88" w:rsidTr="000E7F88">
        <w:tc>
          <w:tcPr>
            <w:tcW w:w="3085" w:type="dxa"/>
            <w:shd w:val="clear" w:color="auto" w:fill="auto"/>
          </w:tcPr>
          <w:p w:rsidR="000E7F88" w:rsidRDefault="000E7F88" w:rsidP="00A33A0D">
            <w:pPr>
              <w:pStyle w:val="Normal1linespace"/>
              <w:widowControl w:val="0"/>
              <w:jc w:val="left"/>
            </w:pPr>
            <w:bookmarkStart w:id="4" w:name="Counsel" w:colFirst="0" w:colLast="2"/>
            <w:r>
              <w:t xml:space="preserve">Counsel for </w:t>
            </w:r>
            <w:r w:rsidR="00A33A0D">
              <w:t>South Australian Council of Social Service Incorporated</w:t>
            </w:r>
            <w:r>
              <w:t>:</w:t>
            </w:r>
          </w:p>
        </w:tc>
        <w:tc>
          <w:tcPr>
            <w:tcW w:w="5989" w:type="dxa"/>
            <w:shd w:val="clear" w:color="auto" w:fill="auto"/>
          </w:tcPr>
          <w:p w:rsidR="000E7F88" w:rsidRDefault="000E7F88" w:rsidP="000E7F88">
            <w:pPr>
              <w:pStyle w:val="Normal1linespace"/>
              <w:widowControl w:val="0"/>
              <w:jc w:val="left"/>
            </w:pPr>
            <w:bookmarkStart w:id="5" w:name="AppCounsel"/>
            <w:bookmarkEnd w:id="5"/>
            <w:r>
              <w:t xml:space="preserve">Mr R Dick SC with Dr V </w:t>
            </w:r>
            <w:proofErr w:type="spellStart"/>
            <w:r>
              <w:t>Priskich</w:t>
            </w:r>
            <w:proofErr w:type="spellEnd"/>
          </w:p>
        </w:tc>
      </w:tr>
      <w:tr w:rsidR="000E7F88" w:rsidTr="000E7F88">
        <w:tc>
          <w:tcPr>
            <w:tcW w:w="3085" w:type="dxa"/>
            <w:shd w:val="clear" w:color="auto" w:fill="auto"/>
          </w:tcPr>
          <w:p w:rsidR="000E7F88" w:rsidRDefault="000E7F88" w:rsidP="000E7F88">
            <w:pPr>
              <w:pStyle w:val="Normal1linespace"/>
              <w:widowControl w:val="0"/>
              <w:jc w:val="left"/>
            </w:pPr>
          </w:p>
        </w:tc>
        <w:tc>
          <w:tcPr>
            <w:tcW w:w="5989" w:type="dxa"/>
            <w:shd w:val="clear" w:color="auto" w:fill="auto"/>
          </w:tcPr>
          <w:p w:rsidR="000E7F88" w:rsidRDefault="000E7F88" w:rsidP="000E7F88">
            <w:pPr>
              <w:pStyle w:val="Normal1linespace"/>
              <w:widowControl w:val="0"/>
              <w:jc w:val="left"/>
            </w:pPr>
          </w:p>
        </w:tc>
      </w:tr>
    </w:tbl>
    <w:p w:rsidR="00C274EF" w:rsidRDefault="00C274EF">
      <w:r>
        <w:br w:type="page"/>
      </w:r>
    </w:p>
    <w:tbl>
      <w:tblPr>
        <w:tblW w:w="9074" w:type="dxa"/>
        <w:tblLayout w:type="fixed"/>
        <w:tblLook w:val="01E0" w:firstRow="1" w:lastRow="1" w:firstColumn="1" w:lastColumn="1" w:noHBand="0" w:noVBand="0"/>
        <w:tblCaption w:val="Cover Table"/>
        <w:tblDescription w:val="Cover Table"/>
      </w:tblPr>
      <w:tblGrid>
        <w:gridCol w:w="3085"/>
        <w:gridCol w:w="5989"/>
      </w:tblGrid>
      <w:tr w:rsidR="00A33A0D" w:rsidTr="000E7F88">
        <w:tc>
          <w:tcPr>
            <w:tcW w:w="3085" w:type="dxa"/>
            <w:shd w:val="clear" w:color="auto" w:fill="auto"/>
          </w:tcPr>
          <w:p w:rsidR="00A33A0D" w:rsidRDefault="00A33A0D" w:rsidP="00A33A0D">
            <w:pPr>
              <w:pStyle w:val="Normal1linespace"/>
              <w:widowControl w:val="0"/>
              <w:jc w:val="left"/>
            </w:pPr>
            <w:r>
              <w:lastRenderedPageBreak/>
              <w:t>Solicitor for South Australian Council of Social Service Incorporated:</w:t>
            </w:r>
          </w:p>
          <w:p w:rsidR="00A33A0D" w:rsidRDefault="00A33A0D" w:rsidP="000E7F88">
            <w:pPr>
              <w:pStyle w:val="Normal1linespace"/>
              <w:widowControl w:val="0"/>
              <w:jc w:val="left"/>
            </w:pPr>
          </w:p>
        </w:tc>
        <w:tc>
          <w:tcPr>
            <w:tcW w:w="5989" w:type="dxa"/>
            <w:shd w:val="clear" w:color="auto" w:fill="auto"/>
          </w:tcPr>
          <w:p w:rsidR="00A33A0D" w:rsidRDefault="00A33A0D" w:rsidP="000E7F88">
            <w:pPr>
              <w:pStyle w:val="Normal1linespace"/>
              <w:widowControl w:val="0"/>
              <w:jc w:val="left"/>
            </w:pPr>
            <w:r>
              <w:t>Public Interest Advocacy Centre</w:t>
            </w:r>
          </w:p>
        </w:tc>
      </w:tr>
      <w:tr w:rsidR="00A33A0D" w:rsidTr="000E7F88">
        <w:tc>
          <w:tcPr>
            <w:tcW w:w="3085" w:type="dxa"/>
            <w:shd w:val="clear" w:color="auto" w:fill="auto"/>
          </w:tcPr>
          <w:p w:rsidR="00A33A0D" w:rsidRDefault="00A33A0D" w:rsidP="000E7F88">
            <w:pPr>
              <w:pStyle w:val="Normal1linespace"/>
              <w:widowControl w:val="0"/>
              <w:jc w:val="left"/>
            </w:pPr>
            <w:r>
              <w:t>Counsel for Australian Energy Regulator:</w:t>
            </w:r>
          </w:p>
        </w:tc>
        <w:tc>
          <w:tcPr>
            <w:tcW w:w="5989" w:type="dxa"/>
            <w:shd w:val="clear" w:color="auto" w:fill="auto"/>
          </w:tcPr>
          <w:p w:rsidR="00A33A0D" w:rsidRDefault="00A33A0D" w:rsidP="000E7F88">
            <w:pPr>
              <w:pStyle w:val="Normal1linespace"/>
              <w:widowControl w:val="0"/>
              <w:jc w:val="left"/>
            </w:pPr>
            <w:r>
              <w:t>Mr M O’Bryan QC with Mr T Clarke</w:t>
            </w:r>
          </w:p>
        </w:tc>
      </w:tr>
      <w:tr w:rsidR="00A33A0D" w:rsidTr="000E7F88">
        <w:tc>
          <w:tcPr>
            <w:tcW w:w="3085" w:type="dxa"/>
            <w:shd w:val="clear" w:color="auto" w:fill="auto"/>
          </w:tcPr>
          <w:p w:rsidR="00A33A0D" w:rsidRDefault="00A33A0D" w:rsidP="000E7F88">
            <w:pPr>
              <w:pStyle w:val="Normal1linespace"/>
              <w:widowControl w:val="0"/>
              <w:jc w:val="left"/>
            </w:pPr>
          </w:p>
        </w:tc>
        <w:tc>
          <w:tcPr>
            <w:tcW w:w="5989" w:type="dxa"/>
            <w:shd w:val="clear" w:color="auto" w:fill="auto"/>
          </w:tcPr>
          <w:p w:rsidR="00A33A0D" w:rsidRDefault="00A33A0D" w:rsidP="000E7F88">
            <w:pPr>
              <w:pStyle w:val="Normal1linespace"/>
              <w:widowControl w:val="0"/>
              <w:jc w:val="left"/>
            </w:pPr>
          </w:p>
        </w:tc>
      </w:tr>
      <w:tr w:rsidR="00A33A0D" w:rsidTr="000E7F88">
        <w:tc>
          <w:tcPr>
            <w:tcW w:w="3085" w:type="dxa"/>
            <w:shd w:val="clear" w:color="auto" w:fill="auto"/>
          </w:tcPr>
          <w:p w:rsidR="00A33A0D" w:rsidRDefault="00A33A0D" w:rsidP="000E7F88">
            <w:pPr>
              <w:pStyle w:val="Normal1linespace"/>
              <w:widowControl w:val="0"/>
              <w:jc w:val="left"/>
            </w:pPr>
            <w:r>
              <w:t>Solicitor for Australian Energy Regulator:</w:t>
            </w:r>
          </w:p>
        </w:tc>
        <w:tc>
          <w:tcPr>
            <w:tcW w:w="5989" w:type="dxa"/>
            <w:shd w:val="clear" w:color="auto" w:fill="auto"/>
          </w:tcPr>
          <w:p w:rsidR="00A33A0D" w:rsidRDefault="00C274EF" w:rsidP="000E7F88">
            <w:pPr>
              <w:pStyle w:val="Normal1linespace"/>
              <w:widowControl w:val="0"/>
              <w:jc w:val="left"/>
            </w:pPr>
            <w:r>
              <w:t>Australian Government Solicitor</w:t>
            </w:r>
          </w:p>
        </w:tc>
      </w:tr>
      <w:tr w:rsidR="000E7F88" w:rsidTr="000E7F88">
        <w:tc>
          <w:tcPr>
            <w:tcW w:w="3085" w:type="dxa"/>
            <w:shd w:val="clear" w:color="auto" w:fill="auto"/>
          </w:tcPr>
          <w:p w:rsidR="00A33A0D" w:rsidRDefault="00A33A0D" w:rsidP="000E7F88">
            <w:pPr>
              <w:pStyle w:val="Normal1linespace"/>
              <w:widowControl w:val="0"/>
              <w:jc w:val="left"/>
            </w:pPr>
          </w:p>
        </w:tc>
        <w:tc>
          <w:tcPr>
            <w:tcW w:w="5989" w:type="dxa"/>
            <w:shd w:val="clear" w:color="auto" w:fill="auto"/>
          </w:tcPr>
          <w:p w:rsidR="000E7F88" w:rsidRDefault="000E7F88" w:rsidP="000E7F88">
            <w:pPr>
              <w:pStyle w:val="Normal1linespace"/>
              <w:widowControl w:val="0"/>
              <w:jc w:val="left"/>
            </w:pPr>
          </w:p>
        </w:tc>
      </w:tr>
      <w:tr w:rsidR="00C274EF" w:rsidTr="000E7F88">
        <w:tc>
          <w:tcPr>
            <w:tcW w:w="3085" w:type="dxa"/>
            <w:shd w:val="clear" w:color="auto" w:fill="auto"/>
          </w:tcPr>
          <w:p w:rsidR="00C274EF" w:rsidRDefault="00C274EF" w:rsidP="00B01AD4">
            <w:pPr>
              <w:pStyle w:val="Normal1linespace"/>
              <w:widowControl w:val="0"/>
              <w:jc w:val="left"/>
            </w:pPr>
            <w:r>
              <w:t xml:space="preserve">Council for </w:t>
            </w:r>
            <w:r w:rsidR="00E31E9F">
              <w:t>South Australia Power Network:</w:t>
            </w:r>
          </w:p>
        </w:tc>
        <w:tc>
          <w:tcPr>
            <w:tcW w:w="5989" w:type="dxa"/>
            <w:shd w:val="clear" w:color="auto" w:fill="auto"/>
          </w:tcPr>
          <w:p w:rsidR="00C274EF" w:rsidRDefault="00C274EF" w:rsidP="000E7F88">
            <w:pPr>
              <w:pStyle w:val="Normal1linespace"/>
              <w:widowControl w:val="0"/>
              <w:jc w:val="left"/>
            </w:pPr>
            <w:r>
              <w:t>Miss R C A Higgins</w:t>
            </w:r>
          </w:p>
        </w:tc>
      </w:tr>
      <w:tr w:rsidR="00C274EF" w:rsidTr="000E7F88">
        <w:tc>
          <w:tcPr>
            <w:tcW w:w="3085" w:type="dxa"/>
            <w:shd w:val="clear" w:color="auto" w:fill="auto"/>
          </w:tcPr>
          <w:p w:rsidR="00C274EF" w:rsidRDefault="00C274EF" w:rsidP="000E7F88">
            <w:pPr>
              <w:pStyle w:val="Normal1linespace"/>
              <w:widowControl w:val="0"/>
              <w:jc w:val="left"/>
            </w:pPr>
          </w:p>
        </w:tc>
        <w:tc>
          <w:tcPr>
            <w:tcW w:w="5989" w:type="dxa"/>
            <w:shd w:val="clear" w:color="auto" w:fill="auto"/>
          </w:tcPr>
          <w:p w:rsidR="00C274EF" w:rsidRDefault="00C274EF" w:rsidP="000E7F88">
            <w:pPr>
              <w:pStyle w:val="Normal1linespace"/>
              <w:widowControl w:val="0"/>
              <w:jc w:val="left"/>
            </w:pPr>
          </w:p>
        </w:tc>
      </w:tr>
      <w:tr w:rsidR="00A33A0D" w:rsidTr="000E7F88">
        <w:tc>
          <w:tcPr>
            <w:tcW w:w="3085" w:type="dxa"/>
            <w:shd w:val="clear" w:color="auto" w:fill="auto"/>
          </w:tcPr>
          <w:p w:rsidR="00A33A0D" w:rsidRDefault="00C274EF" w:rsidP="00B01AD4">
            <w:pPr>
              <w:pStyle w:val="Normal1linespace"/>
              <w:widowControl w:val="0"/>
              <w:jc w:val="left"/>
            </w:pPr>
            <w:r>
              <w:t xml:space="preserve">Solicitor for </w:t>
            </w:r>
            <w:r w:rsidR="00E31E9F">
              <w:t>South Australia Power Network:</w:t>
            </w:r>
          </w:p>
        </w:tc>
        <w:tc>
          <w:tcPr>
            <w:tcW w:w="5989" w:type="dxa"/>
            <w:shd w:val="clear" w:color="auto" w:fill="auto"/>
          </w:tcPr>
          <w:p w:rsidR="00A33A0D" w:rsidRDefault="00C274EF" w:rsidP="000E7F88">
            <w:pPr>
              <w:pStyle w:val="Normal1linespace"/>
              <w:widowControl w:val="0"/>
              <w:jc w:val="left"/>
            </w:pPr>
            <w:r>
              <w:t>Gilbert + Tobin</w:t>
            </w:r>
          </w:p>
        </w:tc>
      </w:tr>
      <w:bookmarkEnd w:id="4"/>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p w:rsidR="008C7167" w:rsidRPr="00F029D1" w:rsidRDefault="00F029D1" w:rsidP="00F029D1">
      <w:pPr>
        <w:pStyle w:val="NormalHeadings"/>
        <w:spacing w:line="480" w:lineRule="auto"/>
        <w:jc w:val="left"/>
        <w:rPr>
          <w:szCs w:val="24"/>
        </w:rPr>
      </w:pPr>
      <w:r>
        <w:rPr>
          <w:szCs w:val="24"/>
        </w:rPr>
        <w:lastRenderedPageBreak/>
        <w:t>IN THE AUSTRALIAN COMPETITION TRIBUNAL</w:t>
      </w:r>
    </w:p>
    <w:tbl>
      <w:tblPr>
        <w:tblW w:w="9526" w:type="dxa"/>
        <w:tblLayout w:type="fixed"/>
        <w:tblLook w:val="0000" w:firstRow="0" w:lastRow="0" w:firstColumn="0" w:lastColumn="0" w:noHBand="0" w:noVBand="0"/>
        <w:tblCaption w:val="Parties"/>
        <w:tblDescription w:val="Parties"/>
      </w:tblPr>
      <w:tblGrid>
        <w:gridCol w:w="2660"/>
        <w:gridCol w:w="4536"/>
        <w:gridCol w:w="2330"/>
      </w:tblGrid>
      <w:tr w:rsidR="00A46CCC" w:rsidTr="00F029D1">
        <w:tc>
          <w:tcPr>
            <w:tcW w:w="7196" w:type="dxa"/>
            <w:gridSpan w:val="2"/>
          </w:tcPr>
          <w:p w:rsidR="00A46CCC" w:rsidRPr="001765E0" w:rsidRDefault="00A46CCC" w:rsidP="00525A49">
            <w:pPr>
              <w:pStyle w:val="NormalHeadings"/>
            </w:pPr>
          </w:p>
        </w:tc>
        <w:tc>
          <w:tcPr>
            <w:tcW w:w="2330" w:type="dxa"/>
          </w:tcPr>
          <w:p w:rsidR="00A46CCC" w:rsidRDefault="00B030F9" w:rsidP="007D22D7">
            <w:pPr>
              <w:pStyle w:val="NormalHeadings"/>
              <w:jc w:val="right"/>
            </w:pPr>
            <w:bookmarkStart w:id="6" w:name="FileNo"/>
            <w:r>
              <w:t>ACT 12 of 2015</w:t>
            </w:r>
            <w:bookmarkEnd w:id="6"/>
          </w:p>
        </w:tc>
      </w:tr>
      <w:tr w:rsidR="00A76C13" w:rsidTr="00F029D1">
        <w:tc>
          <w:tcPr>
            <w:tcW w:w="9526" w:type="dxa"/>
            <w:gridSpan w:val="3"/>
          </w:tcPr>
          <w:p w:rsidR="00A76C13" w:rsidRPr="00A76C13" w:rsidRDefault="00A76C13" w:rsidP="00B030F9">
            <w:pPr>
              <w:pStyle w:val="NormalHeadings"/>
              <w:spacing w:before="240" w:after="240"/>
              <w:jc w:val="left"/>
            </w:pPr>
          </w:p>
        </w:tc>
      </w:tr>
      <w:tr w:rsidR="00A46CCC" w:rsidTr="00F029D1">
        <w:trPr>
          <w:trHeight w:val="386"/>
        </w:trPr>
        <w:tc>
          <w:tcPr>
            <w:tcW w:w="2660" w:type="dxa"/>
          </w:tcPr>
          <w:p w:rsidR="00A46CCC" w:rsidRDefault="00F029D1" w:rsidP="00B10AF7">
            <w:pPr>
              <w:pStyle w:val="NormalHeadings"/>
              <w:jc w:val="left"/>
              <w:rPr>
                <w:caps/>
                <w:szCs w:val="24"/>
              </w:rPr>
            </w:pPr>
            <w:bookmarkStart w:id="7" w:name="Parties"/>
            <w:r>
              <w:rPr>
                <w:caps/>
                <w:szCs w:val="24"/>
              </w:rPr>
              <w:t>RE</w:t>
            </w:r>
            <w:r w:rsidR="00A46CCC">
              <w:rPr>
                <w:caps/>
                <w:szCs w:val="24"/>
              </w:rPr>
              <w:t>:</w:t>
            </w:r>
          </w:p>
        </w:tc>
        <w:tc>
          <w:tcPr>
            <w:tcW w:w="6866" w:type="dxa"/>
            <w:gridSpan w:val="2"/>
          </w:tcPr>
          <w:p w:rsidR="00B030F9" w:rsidRPr="00F029D1" w:rsidRDefault="00F029D1" w:rsidP="00B030F9">
            <w:pPr>
              <w:pStyle w:val="PartyType"/>
              <w:rPr>
                <w:b/>
              </w:rPr>
            </w:pPr>
            <w:bookmarkStart w:id="8" w:name="Applicant"/>
            <w:r>
              <w:rPr>
                <w:b/>
              </w:rPr>
              <w:t>APPLICATION UNDER SECTION 71B OF THE NATIONAL ELECTRICITY LAW FOR A REVIEW OF A DISTRIBUTION DETERMINATION BY THE AUSTRALIAN ENERGY REGULATOR IN RELATION TO SA POWER NETWORKS PURSUANT TO CLAUSE 6.11.1 OF CHAPTER 6 OF THE NATIONAL ELECTRICITY RULES</w:t>
            </w:r>
          </w:p>
          <w:bookmarkEnd w:id="8"/>
          <w:p w:rsidR="00A46CCC" w:rsidRPr="006555B4" w:rsidRDefault="00A46CCC" w:rsidP="00B10AF7">
            <w:pPr>
              <w:pStyle w:val="NormalHeadings"/>
              <w:jc w:val="left"/>
            </w:pPr>
          </w:p>
        </w:tc>
      </w:tr>
      <w:tr w:rsidR="00A46CCC" w:rsidTr="00F029D1">
        <w:trPr>
          <w:trHeight w:val="386"/>
        </w:trPr>
        <w:tc>
          <w:tcPr>
            <w:tcW w:w="2660" w:type="dxa"/>
          </w:tcPr>
          <w:p w:rsidR="00A46CCC" w:rsidRDefault="00F029D1" w:rsidP="00B10AF7">
            <w:pPr>
              <w:pStyle w:val="NormalHeadings"/>
              <w:jc w:val="left"/>
              <w:rPr>
                <w:caps/>
                <w:szCs w:val="24"/>
              </w:rPr>
            </w:pPr>
            <w:r>
              <w:rPr>
                <w:caps/>
                <w:szCs w:val="24"/>
              </w:rPr>
              <w:t>BY</w:t>
            </w:r>
            <w:r w:rsidR="00A46CCC">
              <w:rPr>
                <w:caps/>
                <w:szCs w:val="24"/>
              </w:rPr>
              <w:t>:</w:t>
            </w:r>
          </w:p>
        </w:tc>
        <w:tc>
          <w:tcPr>
            <w:tcW w:w="6866" w:type="dxa"/>
            <w:gridSpan w:val="2"/>
          </w:tcPr>
          <w:p w:rsidR="00F029D1" w:rsidRDefault="00F029D1" w:rsidP="00F029D1">
            <w:pPr>
              <w:pStyle w:val="NormalHeadings"/>
              <w:jc w:val="left"/>
            </w:pPr>
            <w:bookmarkStart w:id="9" w:name="Respondent"/>
            <w:bookmarkEnd w:id="9"/>
            <w:r>
              <w:t>SOUTH AUSTRALIAN COUNCIL OF SOCIAL SERVICE INCORPORATED (ABN 93 197 662 296)</w:t>
            </w:r>
          </w:p>
          <w:p w:rsidR="00F029D1" w:rsidRDefault="00F029D1" w:rsidP="00F029D1">
            <w:pPr>
              <w:pStyle w:val="PartyType"/>
            </w:pPr>
            <w:r>
              <w:t>Applicant</w:t>
            </w:r>
          </w:p>
          <w:p w:rsidR="00A46CCC" w:rsidRPr="006555B4" w:rsidRDefault="00A46CCC" w:rsidP="00B030F9">
            <w:pPr>
              <w:pStyle w:val="NormalHeadings"/>
              <w:jc w:val="left"/>
            </w:pPr>
          </w:p>
        </w:tc>
      </w:tr>
    </w:tbl>
    <w:p w:rsidR="00395B24" w:rsidRDefault="00395B24">
      <w:pPr>
        <w:pStyle w:val="NormalHeadings"/>
      </w:pPr>
      <w:bookmarkStart w:id="10" w:name="CrossClaimPosition"/>
      <w:bookmarkEnd w:id="7"/>
      <w:bookmarkEnd w:id="10"/>
    </w:p>
    <w:tbl>
      <w:tblPr>
        <w:tblW w:w="9668" w:type="dxa"/>
        <w:tblLayout w:type="fixed"/>
        <w:tblLook w:val="0000" w:firstRow="0" w:lastRow="0" w:firstColumn="0" w:lastColumn="0" w:noHBand="0" w:noVBand="0"/>
        <w:tblCaption w:val="Judge"/>
        <w:tblDescription w:val="Judge"/>
      </w:tblPr>
      <w:tblGrid>
        <w:gridCol w:w="2802"/>
        <w:gridCol w:w="6866"/>
      </w:tblGrid>
      <w:tr w:rsidR="00395B24" w:rsidTr="00F029D1">
        <w:tc>
          <w:tcPr>
            <w:tcW w:w="2802" w:type="dxa"/>
          </w:tcPr>
          <w:p w:rsidR="00395B24" w:rsidRDefault="00F029D1" w:rsidP="00F029D1">
            <w:pPr>
              <w:pStyle w:val="NormalHeadings"/>
              <w:spacing w:after="120"/>
              <w:jc w:val="left"/>
              <w:rPr>
                <w:caps/>
                <w:szCs w:val="24"/>
              </w:rPr>
            </w:pPr>
            <w:bookmarkStart w:id="11" w:name="JudgeText"/>
            <w:r>
              <w:rPr>
                <w:caps/>
                <w:szCs w:val="24"/>
              </w:rPr>
              <w:t>TRIBUNAL</w:t>
            </w:r>
            <w:bookmarkEnd w:id="11"/>
            <w:r w:rsidR="002C7385">
              <w:rPr>
                <w:caps/>
                <w:szCs w:val="24"/>
              </w:rPr>
              <w:t>:</w:t>
            </w:r>
          </w:p>
        </w:tc>
        <w:tc>
          <w:tcPr>
            <w:tcW w:w="6866" w:type="dxa"/>
          </w:tcPr>
          <w:p w:rsidR="00F029D1" w:rsidRDefault="00B030F9" w:rsidP="00A73CD3">
            <w:pPr>
              <w:pStyle w:val="NormalHeadings"/>
              <w:ind w:left="-108"/>
              <w:jc w:val="left"/>
              <w:rPr>
                <w:caps/>
                <w:szCs w:val="24"/>
              </w:rPr>
            </w:pPr>
            <w:bookmarkStart w:id="12" w:name="Judge"/>
            <w:r>
              <w:rPr>
                <w:caps/>
                <w:szCs w:val="24"/>
              </w:rPr>
              <w:t>MIDDLETON</w:t>
            </w:r>
            <w:r w:rsidR="00F029D1">
              <w:rPr>
                <w:caps/>
                <w:szCs w:val="24"/>
              </w:rPr>
              <w:t xml:space="preserve"> J, (DEPUTY PRESIDENT)</w:t>
            </w:r>
          </w:p>
          <w:p w:rsidR="00F029D1" w:rsidRDefault="00F029D1" w:rsidP="00A73CD3">
            <w:pPr>
              <w:pStyle w:val="NormalHeadings"/>
              <w:ind w:left="-108"/>
              <w:jc w:val="left"/>
              <w:rPr>
                <w:caps/>
                <w:szCs w:val="24"/>
              </w:rPr>
            </w:pPr>
            <w:r>
              <w:rPr>
                <w:caps/>
                <w:szCs w:val="24"/>
              </w:rPr>
              <w:t>PROFESSOR K DAVIS</w:t>
            </w:r>
            <w:r w:rsidR="00B01AD4">
              <w:rPr>
                <w:caps/>
                <w:szCs w:val="24"/>
              </w:rPr>
              <w:t xml:space="preserve"> (MEMBER)</w:t>
            </w:r>
          </w:p>
          <w:p w:rsidR="00395B24" w:rsidRDefault="00F029D1" w:rsidP="00A73CD3">
            <w:pPr>
              <w:pStyle w:val="NormalHeadings"/>
              <w:ind w:left="-108"/>
              <w:jc w:val="left"/>
              <w:rPr>
                <w:caps/>
                <w:szCs w:val="24"/>
              </w:rPr>
            </w:pPr>
            <w:r>
              <w:rPr>
                <w:caps/>
                <w:szCs w:val="24"/>
              </w:rPr>
              <w:t>MR R S</w:t>
            </w:r>
            <w:r w:rsidR="00B01AD4">
              <w:rPr>
                <w:caps/>
                <w:szCs w:val="24"/>
              </w:rPr>
              <w:t>T</w:t>
            </w:r>
            <w:r>
              <w:rPr>
                <w:caps/>
                <w:szCs w:val="24"/>
              </w:rPr>
              <w:t>EINWAL</w:t>
            </w:r>
            <w:r w:rsidR="00B01AD4">
              <w:rPr>
                <w:caps/>
                <w:szCs w:val="24"/>
              </w:rPr>
              <w:t>L (MEMBER)</w:t>
            </w:r>
            <w:bookmarkEnd w:id="12"/>
          </w:p>
          <w:p w:rsidR="00F029D1" w:rsidRDefault="00F029D1" w:rsidP="00F029D1">
            <w:pPr>
              <w:pStyle w:val="NormalHeadings"/>
              <w:jc w:val="left"/>
              <w:rPr>
                <w:caps/>
                <w:szCs w:val="24"/>
              </w:rPr>
            </w:pPr>
          </w:p>
        </w:tc>
      </w:tr>
      <w:tr w:rsidR="00395B24" w:rsidTr="00F029D1">
        <w:tc>
          <w:tcPr>
            <w:tcW w:w="2802" w:type="dxa"/>
          </w:tcPr>
          <w:p w:rsidR="00395B24" w:rsidRDefault="002C7385" w:rsidP="00F029D1">
            <w:pPr>
              <w:pStyle w:val="NormalHeadings"/>
              <w:spacing w:after="120"/>
              <w:jc w:val="left"/>
              <w:rPr>
                <w:caps/>
                <w:szCs w:val="24"/>
              </w:rPr>
            </w:pPr>
            <w:r>
              <w:rPr>
                <w:caps/>
                <w:szCs w:val="24"/>
              </w:rPr>
              <w:t xml:space="preserve">DATE OF </w:t>
            </w:r>
            <w:r w:rsidR="00F029D1">
              <w:rPr>
                <w:caps/>
                <w:szCs w:val="24"/>
              </w:rPr>
              <w:t>DETERMINATION</w:t>
            </w:r>
            <w:r>
              <w:rPr>
                <w:caps/>
                <w:szCs w:val="24"/>
              </w:rPr>
              <w:t>:</w:t>
            </w:r>
          </w:p>
        </w:tc>
        <w:tc>
          <w:tcPr>
            <w:tcW w:w="6866" w:type="dxa"/>
          </w:tcPr>
          <w:p w:rsidR="00395B24" w:rsidRDefault="000D202D">
            <w:pPr>
              <w:pStyle w:val="NormalHeadings"/>
              <w:jc w:val="left"/>
              <w:rPr>
                <w:caps/>
                <w:szCs w:val="24"/>
              </w:rPr>
            </w:pPr>
            <w:r>
              <w:rPr>
                <w:caps/>
                <w:szCs w:val="24"/>
              </w:rPr>
              <w:t>2 May 2016</w:t>
            </w:r>
          </w:p>
        </w:tc>
      </w:tr>
      <w:tr w:rsidR="00F029D1" w:rsidTr="00F029D1">
        <w:tc>
          <w:tcPr>
            <w:tcW w:w="2802" w:type="dxa"/>
          </w:tcPr>
          <w:p w:rsidR="00F029D1" w:rsidRDefault="00F029D1" w:rsidP="00F029D1">
            <w:pPr>
              <w:pStyle w:val="NormalHeadings"/>
              <w:spacing w:after="120"/>
              <w:jc w:val="left"/>
              <w:rPr>
                <w:caps/>
                <w:szCs w:val="24"/>
              </w:rPr>
            </w:pPr>
            <w:r>
              <w:rPr>
                <w:caps/>
                <w:szCs w:val="24"/>
              </w:rPr>
              <w:t>where made:</w:t>
            </w:r>
          </w:p>
        </w:tc>
        <w:tc>
          <w:tcPr>
            <w:tcW w:w="6866" w:type="dxa"/>
          </w:tcPr>
          <w:p w:rsidR="00F029D1" w:rsidRDefault="000D202D">
            <w:pPr>
              <w:pStyle w:val="NormalHeadings"/>
              <w:jc w:val="left"/>
              <w:rPr>
                <w:caps/>
                <w:szCs w:val="24"/>
              </w:rPr>
            </w:pPr>
            <w:r>
              <w:rPr>
                <w:caps/>
                <w:szCs w:val="24"/>
              </w:rPr>
              <w:t>Melbourne</w:t>
            </w:r>
          </w:p>
        </w:tc>
      </w:tr>
    </w:tbl>
    <w:p w:rsidR="00395B24" w:rsidRDefault="00395B24">
      <w:pPr>
        <w:pStyle w:val="NormalHeadings"/>
        <w:rPr>
          <w:b w:val="0"/>
        </w:rPr>
      </w:pPr>
    </w:p>
    <w:p w:rsidR="00395B24" w:rsidRDefault="002C7385">
      <w:pPr>
        <w:pStyle w:val="NormalHeadings"/>
      </w:pPr>
      <w:r>
        <w:t xml:space="preserve">THE </w:t>
      </w:r>
      <w:r w:rsidR="00F029D1">
        <w:t>TRIBUNAL DETERMIN</w:t>
      </w:r>
      <w:r w:rsidR="004D63D9">
        <w:t>E</w:t>
      </w:r>
      <w:r w:rsidR="00F029D1">
        <w:t xml:space="preserve">S </w:t>
      </w:r>
      <w:r>
        <w:t>THAT:</w:t>
      </w:r>
    </w:p>
    <w:p w:rsidR="00395B24" w:rsidRDefault="00395B24">
      <w:pPr>
        <w:pStyle w:val="NormalHeadings"/>
      </w:pPr>
    </w:p>
    <w:p w:rsidR="00636871" w:rsidRDefault="00C029AE" w:rsidP="00C029AE">
      <w:pPr>
        <w:pStyle w:val="Order1"/>
        <w:numPr>
          <w:ilvl w:val="0"/>
          <w:numId w:val="0"/>
        </w:numPr>
        <w:ind w:left="720" w:hanging="720"/>
      </w:pPr>
      <w:bookmarkStart w:id="13" w:name="Order_Start_Text"/>
      <w:bookmarkEnd w:id="13"/>
      <w:r>
        <w:t>1.</w:t>
      </w:r>
      <w:r>
        <w:tab/>
      </w:r>
      <w:r w:rsidR="004D362F">
        <w:t xml:space="preserve">The application for leave </w:t>
      </w:r>
      <w:r w:rsidR="000D202D">
        <w:t>to</w:t>
      </w:r>
      <w:r w:rsidR="004D362F">
        <w:t xml:space="preserve"> review</w:t>
      </w:r>
      <w:r w:rsidR="006A1E26">
        <w:t xml:space="preserve"> the distribution determination </w:t>
      </w:r>
      <w:r w:rsidR="00CD33BE">
        <w:t>of</w:t>
      </w:r>
      <w:r w:rsidR="006A1E26">
        <w:t xml:space="preserve"> the Australian Energy Regulator in relation to SA Power Networks</w:t>
      </w:r>
      <w:r w:rsidR="004D362F">
        <w:t xml:space="preserve"> by South Australian Council of Social Service Incorporated </w:t>
      </w:r>
      <w:r w:rsidR="006A1E26">
        <w:t>be dismissed.</w:t>
      </w:r>
    </w:p>
    <w:p w:rsidR="00395B24" w:rsidRDefault="00395B24" w:rsidP="002B0E91">
      <w:pPr>
        <w:pStyle w:val="BodyText"/>
      </w:pP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5"/>
          <w:headerReference w:type="first" r:id="rId16"/>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4" w:name="ReasonsPage"/>
      <w:bookmarkEnd w:id="14"/>
      <w:r w:rsidRPr="00045BB7">
        <w:rPr>
          <w:sz w:val="28"/>
          <w:szCs w:val="28"/>
        </w:rPr>
        <w:lastRenderedPageBreak/>
        <w:t xml:space="preserve">REASONS FOR </w:t>
      </w:r>
      <w:r w:rsidR="00F029D1">
        <w:rPr>
          <w:sz w:val="28"/>
          <w:szCs w:val="28"/>
        </w:rPr>
        <w:t>DETERMINATION</w:t>
      </w:r>
    </w:p>
    <w:p w:rsidR="0080029B" w:rsidRDefault="00C029AE" w:rsidP="005E1D9E">
      <w:pPr>
        <w:pStyle w:val="Heading1"/>
      </w:pPr>
      <w:r>
        <w:rPr>
          <w:caps w:val="0"/>
        </w:rPr>
        <w:t>INTRODUCTION</w:t>
      </w:r>
    </w:p>
    <w:p w:rsidR="001C0DA0" w:rsidRDefault="00C029AE" w:rsidP="00C029AE">
      <w:pPr>
        <w:pStyle w:val="ParaNumbering"/>
        <w:numPr>
          <w:ilvl w:val="0"/>
          <w:numId w:val="0"/>
        </w:numPr>
        <w:ind w:hanging="720"/>
      </w:pPr>
      <w:r>
        <w:rPr>
          <w:sz w:val="20"/>
        </w:rPr>
        <w:t>1</w:t>
      </w:r>
      <w:r>
        <w:rPr>
          <w:sz w:val="20"/>
        </w:rPr>
        <w:tab/>
      </w:r>
      <w:r w:rsidR="001C0DA0">
        <w:t xml:space="preserve">On </w:t>
      </w:r>
      <w:r w:rsidR="00975AB1">
        <w:t>29</w:t>
      </w:r>
      <w:r w:rsidR="001C0DA0">
        <w:t xml:space="preserve"> October 2015, the Australian Energy Regulator (</w:t>
      </w:r>
      <w:r w:rsidR="001C0DA0" w:rsidRPr="001C0DA0">
        <w:rPr>
          <w:b/>
        </w:rPr>
        <w:t>AER</w:t>
      </w:r>
      <w:r w:rsidR="001C0DA0">
        <w:t>) made a distribution determination regarding SA Power Networks</w:t>
      </w:r>
      <w:r w:rsidR="005E1D9E">
        <w:t xml:space="preserve"> (‘</w:t>
      </w:r>
      <w:r w:rsidR="005E1D9E">
        <w:rPr>
          <w:b/>
        </w:rPr>
        <w:t>SAPN</w:t>
      </w:r>
      <w:r w:rsidR="005E1D9E">
        <w:t>’)</w:t>
      </w:r>
      <w:r w:rsidR="001C0DA0">
        <w:t xml:space="preserve"> for the regulatory control period 1</w:t>
      </w:r>
      <w:r w:rsidR="002435E9">
        <w:t> </w:t>
      </w:r>
      <w:r w:rsidR="001C0DA0">
        <w:t>July 2015 to 30 June 2020 (</w:t>
      </w:r>
      <w:r w:rsidR="001C0DA0" w:rsidRPr="001C0DA0">
        <w:t>‘</w:t>
      </w:r>
      <w:r w:rsidR="001C0DA0" w:rsidRPr="001C0DA0">
        <w:rPr>
          <w:b/>
        </w:rPr>
        <w:t>Final Decision</w:t>
      </w:r>
      <w:r w:rsidR="001C0DA0" w:rsidRPr="001C0DA0">
        <w:t>’</w:t>
      </w:r>
      <w:r w:rsidR="001C0DA0">
        <w:t>).</w:t>
      </w:r>
    </w:p>
    <w:p w:rsidR="001C0DA0" w:rsidRDefault="00C029AE" w:rsidP="00C029AE">
      <w:pPr>
        <w:pStyle w:val="ParaNumbering"/>
        <w:numPr>
          <w:ilvl w:val="0"/>
          <w:numId w:val="0"/>
        </w:numPr>
        <w:ind w:hanging="720"/>
      </w:pPr>
      <w:r>
        <w:rPr>
          <w:sz w:val="20"/>
        </w:rPr>
        <w:t>2</w:t>
      </w:r>
      <w:r>
        <w:rPr>
          <w:sz w:val="20"/>
        </w:rPr>
        <w:tab/>
      </w:r>
      <w:r w:rsidR="001C0DA0">
        <w:t>On 19 November 2015, South Australian Council of Social Service Incorporated (‘</w:t>
      </w:r>
      <w:r w:rsidR="001C0DA0" w:rsidRPr="001C0DA0">
        <w:rPr>
          <w:b/>
        </w:rPr>
        <w:t>SACOSS</w:t>
      </w:r>
      <w:r w:rsidR="001C0DA0">
        <w:t xml:space="preserve">’) filed an application for review of the Final Decision pursuant to s 71B of the </w:t>
      </w:r>
      <w:r w:rsidR="005E1D9E" w:rsidRPr="001C732E">
        <w:rPr>
          <w:i/>
        </w:rPr>
        <w:t>National Electricity Law</w:t>
      </w:r>
      <w:r w:rsidR="005E1D9E">
        <w:t xml:space="preserve"> (being the Schedule to the </w:t>
      </w:r>
      <w:r w:rsidR="005E1D9E">
        <w:rPr>
          <w:i/>
        </w:rPr>
        <w:t xml:space="preserve">National Electricity (South Australia) Act </w:t>
      </w:r>
      <w:r w:rsidR="005E1D9E" w:rsidRPr="009410E7">
        <w:rPr>
          <w:i/>
        </w:rPr>
        <w:t>1996</w:t>
      </w:r>
      <w:r w:rsidR="005E1D9E" w:rsidRPr="009410E7">
        <w:t xml:space="preserve"> (SA)</w:t>
      </w:r>
      <w:r w:rsidR="00DD4D8B">
        <w:t>)</w:t>
      </w:r>
      <w:r w:rsidR="005E1D9E" w:rsidRPr="009410E7">
        <w:t xml:space="preserve"> </w:t>
      </w:r>
      <w:r w:rsidR="001C0DA0">
        <w:t>(</w:t>
      </w:r>
      <w:r w:rsidR="001C0DA0" w:rsidRPr="001C0DA0">
        <w:t>‘</w:t>
      </w:r>
      <w:r w:rsidR="001C0DA0" w:rsidRPr="001C0DA0">
        <w:rPr>
          <w:b/>
        </w:rPr>
        <w:t>SACOSS’</w:t>
      </w:r>
      <w:r w:rsidR="00E150D0">
        <w:rPr>
          <w:b/>
        </w:rPr>
        <w:t>s</w:t>
      </w:r>
      <w:r w:rsidR="001C0DA0">
        <w:t xml:space="preserve"> </w:t>
      </w:r>
      <w:r w:rsidR="001C0DA0" w:rsidRPr="001C0DA0">
        <w:rPr>
          <w:b/>
        </w:rPr>
        <w:t>Application</w:t>
      </w:r>
      <w:r w:rsidR="001C0DA0" w:rsidRPr="001C0DA0">
        <w:t>’</w:t>
      </w:r>
      <w:r w:rsidR="001C0DA0">
        <w:t>).</w:t>
      </w:r>
      <w:r w:rsidR="00551287">
        <w:t xml:space="preserve"> </w:t>
      </w:r>
      <w:r w:rsidR="001C0DA0">
        <w:t xml:space="preserve"> </w:t>
      </w:r>
      <w:r w:rsidR="00055638">
        <w:t>SACOSS contended</w:t>
      </w:r>
      <w:r w:rsidR="001C0DA0">
        <w:t xml:space="preserve"> that</w:t>
      </w:r>
      <w:r w:rsidR="00055638">
        <w:t xml:space="preserve">, in respect of </w:t>
      </w:r>
      <w:r w:rsidR="00DD4D8B">
        <w:t xml:space="preserve">the </w:t>
      </w:r>
      <w:r w:rsidR="00055638">
        <w:t xml:space="preserve">AER’s </w:t>
      </w:r>
      <w:r w:rsidR="00592649">
        <w:t>determination on</w:t>
      </w:r>
      <w:r w:rsidR="00055638">
        <w:t xml:space="preserve"> operating expenditure (‘</w:t>
      </w:r>
      <w:proofErr w:type="spellStart"/>
      <w:r w:rsidR="00055638" w:rsidRPr="001C0DA0">
        <w:rPr>
          <w:b/>
        </w:rPr>
        <w:t>opex</w:t>
      </w:r>
      <w:proofErr w:type="spellEnd"/>
      <w:r w:rsidR="00055638" w:rsidRPr="001C0DA0">
        <w:t>’</w:t>
      </w:r>
      <w:r w:rsidR="00055638">
        <w:t>) in the Final Decision,</w:t>
      </w:r>
      <w:r w:rsidR="001C0DA0">
        <w:t xml:space="preserve"> the AER erred by failing to properly assess whether </w:t>
      </w:r>
      <w:r w:rsidR="005E1D9E">
        <w:t>SAPN’s 'c</w:t>
      </w:r>
      <w:r w:rsidR="001C0DA0">
        <w:t xml:space="preserve">orporate and other operating costs' (being a component of </w:t>
      </w:r>
      <w:r w:rsidR="00592649">
        <w:t xml:space="preserve">base </w:t>
      </w:r>
      <w:proofErr w:type="spellStart"/>
      <w:r w:rsidR="001C0DA0">
        <w:t>opex</w:t>
      </w:r>
      <w:proofErr w:type="spellEnd"/>
      <w:r w:rsidR="001C0DA0">
        <w:t>) were efficient costs.</w:t>
      </w:r>
      <w:r w:rsidR="005809E9">
        <w:t xml:space="preserve"> </w:t>
      </w:r>
      <w:r w:rsidR="002435E9">
        <w:t xml:space="preserve"> </w:t>
      </w:r>
      <w:r w:rsidR="00E150D0">
        <w:t>SACOSS’s</w:t>
      </w:r>
      <w:r w:rsidR="005809E9">
        <w:t xml:space="preserve"> Application also included an application for leave to intervene on various grounds in </w:t>
      </w:r>
      <w:r w:rsidR="004D63D9">
        <w:t>the</w:t>
      </w:r>
      <w:r w:rsidR="00F82BC0">
        <w:t xml:space="preserve"> application for review </w:t>
      </w:r>
      <w:r w:rsidR="004D63D9">
        <w:t xml:space="preserve">of the Final Decision also filed by SAPN on 19 November 2015 </w:t>
      </w:r>
      <w:r w:rsidR="001C1797">
        <w:t>(‘</w:t>
      </w:r>
      <w:r w:rsidR="001C1797">
        <w:rPr>
          <w:b/>
        </w:rPr>
        <w:t>SAPN’s Review Application</w:t>
      </w:r>
      <w:r w:rsidR="001C1797">
        <w:t>)</w:t>
      </w:r>
      <w:r w:rsidR="005809E9">
        <w:t>.</w:t>
      </w:r>
    </w:p>
    <w:p w:rsidR="00F82BC0" w:rsidRDefault="00C029AE" w:rsidP="00C029AE">
      <w:pPr>
        <w:pStyle w:val="ParaNumbering"/>
        <w:numPr>
          <w:ilvl w:val="0"/>
          <w:numId w:val="0"/>
        </w:numPr>
        <w:ind w:hanging="720"/>
      </w:pPr>
      <w:r>
        <w:rPr>
          <w:sz w:val="20"/>
        </w:rPr>
        <w:t>3</w:t>
      </w:r>
      <w:r>
        <w:rPr>
          <w:sz w:val="20"/>
        </w:rPr>
        <w:tab/>
      </w:r>
      <w:r w:rsidR="001C0DA0">
        <w:t xml:space="preserve">Pursuant to the directions of the Tribunal </w:t>
      </w:r>
      <w:r w:rsidR="001C0DA0" w:rsidRPr="009410E7">
        <w:t>on 10 March 2016, SACOSS filed</w:t>
      </w:r>
      <w:r w:rsidR="001C0DA0">
        <w:t xml:space="preserve"> an application for leave and </w:t>
      </w:r>
      <w:r w:rsidR="00055638">
        <w:t xml:space="preserve">a proposed </w:t>
      </w:r>
      <w:r w:rsidR="001C0DA0">
        <w:t>amended application for review</w:t>
      </w:r>
      <w:r w:rsidR="005E1D9E">
        <w:t xml:space="preserve"> on 17 March 2016</w:t>
      </w:r>
      <w:r w:rsidR="001C0DA0">
        <w:t xml:space="preserve"> (‘</w:t>
      </w:r>
      <w:r w:rsidR="001C0DA0" w:rsidRPr="001C0DA0">
        <w:rPr>
          <w:b/>
        </w:rPr>
        <w:t>Proposed Amended Application</w:t>
      </w:r>
      <w:r w:rsidR="001C0DA0">
        <w:t xml:space="preserve">’). </w:t>
      </w:r>
      <w:r w:rsidR="00551287">
        <w:t xml:space="preserve"> </w:t>
      </w:r>
      <w:r w:rsidR="001C0DA0">
        <w:t xml:space="preserve">SACOSS proposed an additional ground in respect of </w:t>
      </w:r>
      <w:proofErr w:type="spellStart"/>
      <w:r w:rsidR="001C0DA0">
        <w:t>opex</w:t>
      </w:r>
      <w:proofErr w:type="spellEnd"/>
      <w:r w:rsidR="001C0DA0">
        <w:t xml:space="preserve"> (as a new paragraph 49(a)), </w:t>
      </w:r>
      <w:r w:rsidR="001A0644">
        <w:t>which asserted</w:t>
      </w:r>
      <w:r w:rsidR="001C0DA0">
        <w:t xml:space="preserve"> that the AER </w:t>
      </w:r>
      <w:r w:rsidR="004D63D9">
        <w:t xml:space="preserve">had </w:t>
      </w:r>
      <w:r w:rsidR="001C0DA0">
        <w:t xml:space="preserve">erred by placing too much weight on benchmarking analysis when assessing whether </w:t>
      </w:r>
      <w:r w:rsidR="00592649">
        <w:t xml:space="preserve">SAPN’s </w:t>
      </w:r>
      <w:r w:rsidR="001C0DA0">
        <w:t xml:space="preserve">base year </w:t>
      </w:r>
      <w:proofErr w:type="spellStart"/>
      <w:r w:rsidR="001C0DA0">
        <w:t>opex</w:t>
      </w:r>
      <w:proofErr w:type="spellEnd"/>
      <w:r w:rsidR="001C0DA0">
        <w:t xml:space="preserve"> was efficient.</w:t>
      </w:r>
      <w:r w:rsidR="00F82BC0">
        <w:t xml:space="preserve"> </w:t>
      </w:r>
      <w:r w:rsidR="002435E9">
        <w:t xml:space="preserve"> </w:t>
      </w:r>
      <w:r w:rsidR="00E150D0">
        <w:t>SACOSS’s</w:t>
      </w:r>
      <w:r w:rsidR="00F82BC0">
        <w:t xml:space="preserve"> Proposed Amended Application also included an amended application for leave to intervene in SAPN’s </w:t>
      </w:r>
      <w:r w:rsidR="001C1797">
        <w:t>Review Application.</w:t>
      </w:r>
    </w:p>
    <w:p w:rsidR="00975AB1" w:rsidRDefault="00C029AE" w:rsidP="00975AB1">
      <w:pPr>
        <w:pStyle w:val="Heading1"/>
      </w:pPr>
      <w:r>
        <w:rPr>
          <w:caps w:val="0"/>
        </w:rPr>
        <w:t>BACKGROUND</w:t>
      </w:r>
    </w:p>
    <w:p w:rsidR="00975AB1" w:rsidRDefault="00C029AE" w:rsidP="00C029AE">
      <w:pPr>
        <w:pStyle w:val="ParaNumbering"/>
        <w:numPr>
          <w:ilvl w:val="0"/>
          <w:numId w:val="0"/>
        </w:numPr>
        <w:ind w:hanging="720"/>
      </w:pPr>
      <w:r>
        <w:rPr>
          <w:sz w:val="20"/>
        </w:rPr>
        <w:t>4</w:t>
      </w:r>
      <w:r>
        <w:rPr>
          <w:sz w:val="20"/>
        </w:rPr>
        <w:tab/>
      </w:r>
      <w:r w:rsidR="00975AB1">
        <w:t xml:space="preserve">On or about 30 October 2014, SAPN submitted a regulatory proposal to the AER for the </w:t>
      </w:r>
      <w:r w:rsidR="00592649">
        <w:t xml:space="preserve">regulatory control </w:t>
      </w:r>
      <w:r w:rsidR="00975AB1">
        <w:t>period 1 July 2015 to 31 June 2020.</w:t>
      </w:r>
    </w:p>
    <w:p w:rsidR="00975AB1" w:rsidRDefault="00C029AE" w:rsidP="00C029AE">
      <w:pPr>
        <w:pStyle w:val="ParaNumbering"/>
        <w:numPr>
          <w:ilvl w:val="0"/>
          <w:numId w:val="0"/>
        </w:numPr>
        <w:ind w:hanging="720"/>
      </w:pPr>
      <w:r>
        <w:rPr>
          <w:sz w:val="20"/>
        </w:rPr>
        <w:t>5</w:t>
      </w:r>
      <w:r>
        <w:rPr>
          <w:sz w:val="20"/>
        </w:rPr>
        <w:tab/>
      </w:r>
      <w:r w:rsidR="0095370F">
        <w:t>In</w:t>
      </w:r>
      <w:r w:rsidR="00975AB1">
        <w:t xml:space="preserve"> November 2014, the AER invited submissions on SAPN’s regulatory proposal. </w:t>
      </w:r>
      <w:r w:rsidR="00551287">
        <w:t xml:space="preserve"> </w:t>
      </w:r>
      <w:r w:rsidR="00975AB1">
        <w:t>On 30</w:t>
      </w:r>
      <w:r w:rsidR="002435E9">
        <w:t> </w:t>
      </w:r>
      <w:r w:rsidR="00975AB1">
        <w:t>January 2015, SACOSS made a written submission to the AER on the regulatory proposal titled ‘SACOSS Submission to Australian Energy Regulator on SA Power Networks’ 2015-2020 Regulatory Proposal’ (‘</w:t>
      </w:r>
      <w:r w:rsidR="00975AB1" w:rsidRPr="00975AB1">
        <w:rPr>
          <w:b/>
        </w:rPr>
        <w:t>January Submission</w:t>
      </w:r>
      <w:r w:rsidR="00975AB1">
        <w:t>’).</w:t>
      </w:r>
    </w:p>
    <w:p w:rsidR="00975AB1" w:rsidRDefault="00C029AE" w:rsidP="00C029AE">
      <w:pPr>
        <w:pStyle w:val="ParaNumbering"/>
        <w:numPr>
          <w:ilvl w:val="0"/>
          <w:numId w:val="0"/>
        </w:numPr>
        <w:ind w:hanging="720"/>
      </w:pPr>
      <w:r>
        <w:rPr>
          <w:sz w:val="20"/>
        </w:rPr>
        <w:t>6</w:t>
      </w:r>
      <w:r>
        <w:rPr>
          <w:sz w:val="20"/>
        </w:rPr>
        <w:tab/>
      </w:r>
      <w:r w:rsidR="00975AB1">
        <w:t>On 30 April 2015, the AER made a preliminary decision on SAPN’s regulatory proposal</w:t>
      </w:r>
      <w:r w:rsidR="0095370F">
        <w:t>,</w:t>
      </w:r>
      <w:r w:rsidR="00975AB1">
        <w:t xml:space="preserve"> under cl 6.10.3 of the </w:t>
      </w:r>
      <w:r w:rsidR="00975AB1" w:rsidRPr="00055638">
        <w:rPr>
          <w:i/>
        </w:rPr>
        <w:t>N</w:t>
      </w:r>
      <w:r w:rsidR="00055638" w:rsidRPr="00055638">
        <w:rPr>
          <w:i/>
        </w:rPr>
        <w:t xml:space="preserve">ational </w:t>
      </w:r>
      <w:r w:rsidR="00975AB1" w:rsidRPr="00055638">
        <w:rPr>
          <w:i/>
        </w:rPr>
        <w:t>E</w:t>
      </w:r>
      <w:r w:rsidR="00055638">
        <w:rPr>
          <w:i/>
        </w:rPr>
        <w:t>lec</w:t>
      </w:r>
      <w:r w:rsidR="00055638" w:rsidRPr="00055638">
        <w:rPr>
          <w:i/>
        </w:rPr>
        <w:t xml:space="preserve">tricity </w:t>
      </w:r>
      <w:r w:rsidR="00975AB1" w:rsidRPr="00055638">
        <w:rPr>
          <w:i/>
        </w:rPr>
        <w:t>R</w:t>
      </w:r>
      <w:r w:rsidR="00055638" w:rsidRPr="00055638">
        <w:rPr>
          <w:i/>
        </w:rPr>
        <w:t>ules</w:t>
      </w:r>
      <w:r w:rsidR="00055638">
        <w:rPr>
          <w:i/>
        </w:rPr>
        <w:t xml:space="preserve"> </w:t>
      </w:r>
      <w:r w:rsidR="00055638" w:rsidRPr="00055638">
        <w:t>(‘</w:t>
      </w:r>
      <w:r w:rsidR="00055638" w:rsidRPr="00055638">
        <w:rPr>
          <w:b/>
        </w:rPr>
        <w:t>NER</w:t>
      </w:r>
      <w:r w:rsidR="00055638" w:rsidRPr="00055638">
        <w:t>’)</w:t>
      </w:r>
      <w:r w:rsidR="00975AB1" w:rsidRPr="00055638">
        <w:t>.</w:t>
      </w:r>
    </w:p>
    <w:p w:rsidR="00975AB1" w:rsidRDefault="00C029AE" w:rsidP="00C029AE">
      <w:pPr>
        <w:pStyle w:val="ParaNumbering"/>
        <w:numPr>
          <w:ilvl w:val="0"/>
          <w:numId w:val="0"/>
        </w:numPr>
        <w:ind w:hanging="720"/>
      </w:pPr>
      <w:r>
        <w:rPr>
          <w:sz w:val="20"/>
        </w:rPr>
        <w:lastRenderedPageBreak/>
        <w:t>7</w:t>
      </w:r>
      <w:r>
        <w:rPr>
          <w:sz w:val="20"/>
        </w:rPr>
        <w:tab/>
      </w:r>
      <w:r w:rsidR="00592649">
        <w:t>T</w:t>
      </w:r>
      <w:r w:rsidR="00975AB1">
        <w:t>he AER</w:t>
      </w:r>
      <w:r w:rsidR="00592649">
        <w:t xml:space="preserve"> then</w:t>
      </w:r>
      <w:r w:rsidR="00975AB1">
        <w:t xml:space="preserve"> invited submissions on the preliminary decision. </w:t>
      </w:r>
      <w:r w:rsidR="00551287">
        <w:t xml:space="preserve"> </w:t>
      </w:r>
      <w:r w:rsidR="00975AB1">
        <w:t>On 2 July 2015, SACOSS made a written submission to the AER on the preliminary decision titled ‘SACOSS Submission to the Australian Energy Regulator on SA Power Networks’ 2015-2020 AER Preliminary Decision’ (‘</w:t>
      </w:r>
      <w:r w:rsidR="00975AB1">
        <w:rPr>
          <w:b/>
        </w:rPr>
        <w:t>2 July Submission</w:t>
      </w:r>
      <w:r w:rsidR="00975AB1">
        <w:t>’).</w:t>
      </w:r>
    </w:p>
    <w:p w:rsidR="00975AB1" w:rsidRDefault="00C029AE" w:rsidP="00C029AE">
      <w:pPr>
        <w:pStyle w:val="ParaNumbering"/>
        <w:numPr>
          <w:ilvl w:val="0"/>
          <w:numId w:val="0"/>
        </w:numPr>
        <w:ind w:hanging="720"/>
      </w:pPr>
      <w:r>
        <w:rPr>
          <w:sz w:val="20"/>
        </w:rPr>
        <w:t>8</w:t>
      </w:r>
      <w:r>
        <w:rPr>
          <w:sz w:val="20"/>
        </w:rPr>
        <w:tab/>
      </w:r>
      <w:r w:rsidR="00975AB1" w:rsidRPr="00975AB1">
        <w:t>On 3 July 2015, SA</w:t>
      </w:r>
      <w:r w:rsidR="00975AB1">
        <w:t>PN</w:t>
      </w:r>
      <w:r w:rsidR="00975AB1" w:rsidRPr="00975AB1">
        <w:t xml:space="preserve"> submitted a revised regulatory proposal to the AER.</w:t>
      </w:r>
    </w:p>
    <w:p w:rsidR="00975AB1" w:rsidRDefault="00C029AE" w:rsidP="00C029AE">
      <w:pPr>
        <w:pStyle w:val="ParaNumbering"/>
        <w:numPr>
          <w:ilvl w:val="0"/>
          <w:numId w:val="0"/>
        </w:numPr>
        <w:ind w:hanging="720"/>
      </w:pPr>
      <w:r>
        <w:rPr>
          <w:sz w:val="20"/>
        </w:rPr>
        <w:t>9</w:t>
      </w:r>
      <w:r>
        <w:rPr>
          <w:sz w:val="20"/>
        </w:rPr>
        <w:tab/>
      </w:r>
      <w:r w:rsidR="00A1055C">
        <w:t>T</w:t>
      </w:r>
      <w:r w:rsidR="00975AB1">
        <w:t xml:space="preserve">he AER invited submissions on </w:t>
      </w:r>
      <w:r w:rsidR="00592649">
        <w:t>the revised regulatory proposal</w:t>
      </w:r>
      <w:r w:rsidR="002435E9">
        <w:t xml:space="preserve">.  </w:t>
      </w:r>
      <w:r w:rsidR="00A1055C">
        <w:t>On</w:t>
      </w:r>
      <w:r w:rsidR="00975AB1">
        <w:t xml:space="preserve"> 24 July 2015, SACOSS made a written submission to the AER on the revised regulatory proposal titled ‘Submission to the Australian Energy Regulator on SA Power Networks’ Revised</w:t>
      </w:r>
      <w:r w:rsidR="00055638">
        <w:t xml:space="preserve"> Regulatory Proposal 2015-20’ (‘</w:t>
      </w:r>
      <w:r w:rsidR="00975AB1">
        <w:rPr>
          <w:b/>
        </w:rPr>
        <w:t>24 July Submission</w:t>
      </w:r>
      <w:r w:rsidR="00975AB1">
        <w:t>’).</w:t>
      </w:r>
    </w:p>
    <w:p w:rsidR="00975AB1" w:rsidRPr="00975AB1" w:rsidRDefault="00C029AE" w:rsidP="00C029AE">
      <w:pPr>
        <w:pStyle w:val="ParaNumbering"/>
        <w:numPr>
          <w:ilvl w:val="0"/>
          <w:numId w:val="0"/>
        </w:numPr>
        <w:ind w:hanging="720"/>
      </w:pPr>
      <w:r w:rsidRPr="00975AB1">
        <w:rPr>
          <w:sz w:val="20"/>
        </w:rPr>
        <w:t>10</w:t>
      </w:r>
      <w:r w:rsidRPr="00975AB1">
        <w:rPr>
          <w:sz w:val="20"/>
        </w:rPr>
        <w:tab/>
      </w:r>
      <w:r w:rsidR="00975AB1">
        <w:t xml:space="preserve">On 29 October 2015, the AER </w:t>
      </w:r>
      <w:r w:rsidR="00592649">
        <w:t xml:space="preserve">made </w:t>
      </w:r>
      <w:r w:rsidR="00975AB1">
        <w:t>the Final Decision under cl 6.11.1 of the NER.</w:t>
      </w:r>
    </w:p>
    <w:p w:rsidR="001C0DA0" w:rsidRDefault="00C029AE" w:rsidP="00C029AE">
      <w:pPr>
        <w:pStyle w:val="ParaNumbering"/>
        <w:numPr>
          <w:ilvl w:val="0"/>
          <w:numId w:val="0"/>
        </w:numPr>
        <w:ind w:hanging="720"/>
      </w:pPr>
      <w:r>
        <w:rPr>
          <w:sz w:val="20"/>
        </w:rPr>
        <w:t>11</w:t>
      </w:r>
      <w:r>
        <w:rPr>
          <w:sz w:val="20"/>
        </w:rPr>
        <w:tab/>
      </w:r>
      <w:r w:rsidR="00975AB1">
        <w:t xml:space="preserve">On 19 November 2015, </w:t>
      </w:r>
      <w:r w:rsidR="00E150D0">
        <w:t>SAPN’s</w:t>
      </w:r>
      <w:r w:rsidR="001C1797">
        <w:t xml:space="preserve"> Review Application</w:t>
      </w:r>
      <w:r w:rsidR="00E150D0">
        <w:t xml:space="preserve"> was filed</w:t>
      </w:r>
      <w:r w:rsidR="002435E9">
        <w:t xml:space="preserve">.  </w:t>
      </w:r>
      <w:r w:rsidR="005E1D9E">
        <w:t>On 2 May 2016, the Tribunal granted leave to SAPN to apply for review.</w:t>
      </w:r>
      <w:r w:rsidR="008378C4" w:rsidRPr="008378C4">
        <w:t xml:space="preserve"> </w:t>
      </w:r>
    </w:p>
    <w:p w:rsidR="001C0DA0" w:rsidRDefault="00C029AE" w:rsidP="001C0DA0">
      <w:pPr>
        <w:pStyle w:val="Heading1"/>
      </w:pPr>
      <w:r>
        <w:rPr>
          <w:caps w:val="0"/>
        </w:rPr>
        <w:t xml:space="preserve">LEGISLATIVE FRAMEWORK </w:t>
      </w:r>
    </w:p>
    <w:p w:rsidR="005E1D9E" w:rsidRDefault="00C029AE" w:rsidP="00C029AE">
      <w:pPr>
        <w:pStyle w:val="ParaNumbering"/>
        <w:numPr>
          <w:ilvl w:val="0"/>
          <w:numId w:val="0"/>
        </w:numPr>
        <w:ind w:hanging="720"/>
      </w:pPr>
      <w:r>
        <w:rPr>
          <w:sz w:val="20"/>
        </w:rPr>
        <w:t>12</w:t>
      </w:r>
      <w:r>
        <w:rPr>
          <w:sz w:val="20"/>
        </w:rPr>
        <w:tab/>
      </w:r>
      <w:r w:rsidR="005E1D9E">
        <w:t xml:space="preserve">Section 71B of the </w:t>
      </w:r>
      <w:r w:rsidR="005E1D9E" w:rsidRPr="00E42F6B">
        <w:rPr>
          <w:i/>
        </w:rPr>
        <w:t>N</w:t>
      </w:r>
      <w:r w:rsidR="00E42F6B" w:rsidRPr="00E42F6B">
        <w:rPr>
          <w:i/>
        </w:rPr>
        <w:t xml:space="preserve">ational </w:t>
      </w:r>
      <w:r w:rsidR="005E1D9E" w:rsidRPr="00E42F6B">
        <w:rPr>
          <w:i/>
        </w:rPr>
        <w:t>E</w:t>
      </w:r>
      <w:r w:rsidR="00E42F6B" w:rsidRPr="00E42F6B">
        <w:rPr>
          <w:i/>
        </w:rPr>
        <w:t xml:space="preserve">lectricity </w:t>
      </w:r>
      <w:r w:rsidR="005E1D9E" w:rsidRPr="00E42F6B">
        <w:rPr>
          <w:i/>
        </w:rPr>
        <w:t>L</w:t>
      </w:r>
      <w:r w:rsidR="00E42F6B" w:rsidRPr="00E42F6B">
        <w:rPr>
          <w:i/>
        </w:rPr>
        <w:t>aw</w:t>
      </w:r>
      <w:r w:rsidR="00E42F6B">
        <w:t xml:space="preserve"> (‘</w:t>
      </w:r>
      <w:r w:rsidR="00E42F6B">
        <w:rPr>
          <w:b/>
        </w:rPr>
        <w:t>NEL</w:t>
      </w:r>
      <w:r w:rsidR="00E42F6B">
        <w:t>’)</w:t>
      </w:r>
      <w:r w:rsidR="005E1D9E">
        <w:t xml:space="preserve"> provides that an affected or interested person or body may, with the leave of the Tribunal, apply to the Tribunal for a review of a reviewable regulatory decision</w:t>
      </w:r>
      <w:r w:rsidR="005E1D9E" w:rsidRPr="008378C4">
        <w:t xml:space="preserve">.  </w:t>
      </w:r>
      <w:r w:rsidR="005E1D9E">
        <w:t>An application</w:t>
      </w:r>
      <w:r w:rsidR="00A1055C">
        <w:t xml:space="preserve"> for review</w:t>
      </w:r>
      <w:r w:rsidR="005E1D9E">
        <w:t xml:space="preserve"> must specify the grounds of review upon which the application is made: s 71B(2)(b) of the NEL.</w:t>
      </w:r>
    </w:p>
    <w:p w:rsidR="00DE4FD3" w:rsidRDefault="00C029AE" w:rsidP="00C029AE">
      <w:pPr>
        <w:pStyle w:val="ParaNumbering"/>
        <w:numPr>
          <w:ilvl w:val="0"/>
          <w:numId w:val="0"/>
        </w:numPr>
        <w:ind w:hanging="720"/>
      </w:pPr>
      <w:r>
        <w:rPr>
          <w:sz w:val="20"/>
        </w:rPr>
        <w:t>13</w:t>
      </w:r>
      <w:r>
        <w:rPr>
          <w:sz w:val="20"/>
        </w:rPr>
        <w:tab/>
      </w:r>
      <w:r w:rsidR="00DE4FD3">
        <w:t>It is</w:t>
      </w:r>
      <w:r w:rsidR="00592649">
        <w:t xml:space="preserve"> not disputed that</w:t>
      </w:r>
      <w:r w:rsidR="004E2009">
        <w:t>,</w:t>
      </w:r>
      <w:r w:rsidR="00592649">
        <w:t xml:space="preserve"> </w:t>
      </w:r>
      <w:r w:rsidR="00A1055C">
        <w:t>as a ‘reviewable regulatory decision process participan</w:t>
      </w:r>
      <w:r w:rsidR="001A0644">
        <w:t>t’ within the meaning of s</w:t>
      </w:r>
      <w:r w:rsidR="00A1055C">
        <w:t xml:space="preserve"> 71A of the NEL, </w:t>
      </w:r>
      <w:r w:rsidR="00592649">
        <w:t xml:space="preserve">SACOSS is </w:t>
      </w:r>
      <w:r w:rsidR="00DD4D8B">
        <w:t>an ‘affected or interested person or body’</w:t>
      </w:r>
      <w:r w:rsidR="00DE4FD3">
        <w:t>, nor that SACOSS has standing to seek leave</w:t>
      </w:r>
      <w:r w:rsidR="00A1055C">
        <w:t xml:space="preserve"> to apply</w:t>
      </w:r>
      <w:r w:rsidR="00DE4FD3">
        <w:t xml:space="preserve"> for review of the Final Decision.</w:t>
      </w:r>
      <w:r w:rsidR="00551287">
        <w:t xml:space="preserve"> </w:t>
      </w:r>
      <w:r w:rsidR="00EC35CB">
        <w:t xml:space="preserve"> </w:t>
      </w:r>
      <w:r w:rsidR="00DD4D8B">
        <w:t>In addition, i</w:t>
      </w:r>
      <w:r w:rsidR="00592649">
        <w:t xml:space="preserve">t is </w:t>
      </w:r>
      <w:r w:rsidR="00DD4D8B">
        <w:t>accepted</w:t>
      </w:r>
      <w:r w:rsidR="00592649">
        <w:t xml:space="preserve"> that </w:t>
      </w:r>
      <w:r w:rsidR="00EC35CB">
        <w:t xml:space="preserve">the Final Decision is a </w:t>
      </w:r>
      <w:r w:rsidR="00DD4D8B">
        <w:t>‘</w:t>
      </w:r>
      <w:r w:rsidR="00EC35CB">
        <w:t>reviewable regulatory decision</w:t>
      </w:r>
      <w:r w:rsidR="00DD4D8B">
        <w:t>’</w:t>
      </w:r>
      <w:r w:rsidR="001A0644">
        <w:t xml:space="preserve"> for the purposes of s</w:t>
      </w:r>
      <w:r w:rsidR="00D800BB">
        <w:t> </w:t>
      </w:r>
      <w:r w:rsidR="00EC35CB">
        <w:t>71B(1) of the NEL, as it is a network revenue or pricing determination that sets a regulatory period.</w:t>
      </w:r>
    </w:p>
    <w:p w:rsidR="00C612B8" w:rsidRDefault="00C029AE" w:rsidP="00C029AE">
      <w:pPr>
        <w:pStyle w:val="ParaNumbering"/>
        <w:numPr>
          <w:ilvl w:val="0"/>
          <w:numId w:val="0"/>
        </w:numPr>
        <w:ind w:hanging="720"/>
      </w:pPr>
      <w:r>
        <w:rPr>
          <w:sz w:val="20"/>
        </w:rPr>
        <w:t>14</w:t>
      </w:r>
      <w:r>
        <w:rPr>
          <w:sz w:val="20"/>
        </w:rPr>
        <w:tab/>
      </w:r>
      <w:r w:rsidR="00C612B8">
        <w:t xml:space="preserve">Pursuant to s 71E of the NEL, the Tribunal must not grant leave to apply </w:t>
      </w:r>
      <w:r w:rsidR="005E1D9E">
        <w:t xml:space="preserve">for review </w:t>
      </w:r>
      <w:r w:rsidR="00C612B8">
        <w:t>unless it appears to the Tribunal that:</w:t>
      </w:r>
    </w:p>
    <w:p w:rsidR="00C612B8" w:rsidRDefault="00C029AE" w:rsidP="00C029AE">
      <w:pPr>
        <w:pStyle w:val="ListNo1"/>
        <w:numPr>
          <w:ilvl w:val="0"/>
          <w:numId w:val="0"/>
        </w:numPr>
        <w:tabs>
          <w:tab w:val="left" w:pos="720"/>
        </w:tabs>
        <w:ind w:left="720" w:hanging="720"/>
      </w:pPr>
      <w:r>
        <w:t>(a)</w:t>
      </w:r>
      <w:r>
        <w:tab/>
      </w:r>
      <w:r w:rsidR="00C612B8">
        <w:t>there is a serious issue to be heard and determined as to whether each ground for review exists; and</w:t>
      </w:r>
    </w:p>
    <w:p w:rsidR="00C612B8" w:rsidRDefault="00C029AE" w:rsidP="00C029AE">
      <w:pPr>
        <w:pStyle w:val="ListNo1"/>
        <w:numPr>
          <w:ilvl w:val="0"/>
          <w:numId w:val="0"/>
        </w:numPr>
        <w:tabs>
          <w:tab w:val="left" w:pos="720"/>
        </w:tabs>
        <w:ind w:left="720" w:hanging="720"/>
      </w:pPr>
      <w:r>
        <w:t>(b)</w:t>
      </w:r>
      <w:r>
        <w:tab/>
      </w:r>
      <w:r w:rsidR="00C612B8">
        <w:t xml:space="preserve">the applicant has established a </w:t>
      </w:r>
      <w:r w:rsidR="00C612B8" w:rsidRPr="00FD6893">
        <w:rPr>
          <w:i/>
        </w:rPr>
        <w:t>prima facie</w:t>
      </w:r>
      <w:r w:rsidR="00C612B8">
        <w:t xml:space="preserve"> case that a determination made by the Tribunal varying the reviewable regulatory decision, or the setting aside and remittal and consequent fresh AER decision, on the basis of one or more grounds raised in the </w:t>
      </w:r>
      <w:r w:rsidR="00C612B8">
        <w:lastRenderedPageBreak/>
        <w:t>application, either separately or collectively, would</w:t>
      </w:r>
      <w:r w:rsidR="00DA5D04">
        <w:t>,</w:t>
      </w:r>
      <w:r w:rsidR="00C612B8">
        <w:t xml:space="preserve"> or would be likely to</w:t>
      </w:r>
      <w:r w:rsidR="00DA5D04">
        <w:t>,</w:t>
      </w:r>
      <w:r w:rsidR="00C612B8">
        <w:t xml:space="preserve"> result in a materially preferable N</w:t>
      </w:r>
      <w:r w:rsidR="00F11CE8">
        <w:t xml:space="preserve">ational </w:t>
      </w:r>
      <w:r w:rsidR="00C612B8">
        <w:t>E</w:t>
      </w:r>
      <w:r w:rsidR="00F11CE8">
        <w:t xml:space="preserve">lectricity </w:t>
      </w:r>
      <w:r w:rsidR="00C612B8">
        <w:t>O</w:t>
      </w:r>
      <w:r w:rsidR="00F11CE8">
        <w:t>bjective (‘</w:t>
      </w:r>
      <w:r w:rsidR="00F11CE8">
        <w:rPr>
          <w:b/>
        </w:rPr>
        <w:t>NEO</w:t>
      </w:r>
      <w:r w:rsidR="00F11CE8">
        <w:t>’)</w:t>
      </w:r>
      <w:r w:rsidR="00C612B8">
        <w:t xml:space="preserve"> decision.</w:t>
      </w:r>
    </w:p>
    <w:p w:rsidR="00A73CD3" w:rsidRDefault="00C029AE" w:rsidP="00C029AE">
      <w:pPr>
        <w:pStyle w:val="ParaNumbering"/>
        <w:numPr>
          <w:ilvl w:val="0"/>
          <w:numId w:val="0"/>
        </w:numPr>
        <w:ind w:hanging="720"/>
      </w:pPr>
      <w:r>
        <w:rPr>
          <w:sz w:val="20"/>
        </w:rPr>
        <w:t>15</w:t>
      </w:r>
      <w:r>
        <w:rPr>
          <w:sz w:val="20"/>
        </w:rPr>
        <w:tab/>
      </w:r>
      <w:r w:rsidR="00F11CE8">
        <w:t xml:space="preserve">Pursuant to s 7 of the NEL, the NEO is </w:t>
      </w:r>
    </w:p>
    <w:p w:rsidR="00F11CE8" w:rsidRPr="00A73CD3" w:rsidRDefault="00F11CE8" w:rsidP="00A73CD3">
      <w:pPr>
        <w:pStyle w:val="Quote1"/>
        <w:rPr>
          <w:i/>
        </w:rPr>
      </w:pPr>
      <w:proofErr w:type="gramStart"/>
      <w:r w:rsidRPr="00A73CD3">
        <w:rPr>
          <w:i/>
        </w:rPr>
        <w:t>to</w:t>
      </w:r>
      <w:proofErr w:type="gramEnd"/>
      <w:r w:rsidRPr="00A73CD3">
        <w:rPr>
          <w:i/>
        </w:rPr>
        <w:t xml:space="preserve"> p</w:t>
      </w:r>
      <w:r w:rsidR="00AD0DAC">
        <w:rPr>
          <w:i/>
        </w:rPr>
        <w:t xml:space="preserve">romote efficient investment in, </w:t>
      </w:r>
      <w:r w:rsidRPr="00A73CD3">
        <w:rPr>
          <w:i/>
        </w:rPr>
        <w:t>and efficient operation and use of, electricity services for the long term interests of consumers of electricity with respect to</w:t>
      </w:r>
      <w:r w:rsidR="00C21C18">
        <w:rPr>
          <w:i/>
        </w:rPr>
        <w:t xml:space="preserve"> – </w:t>
      </w:r>
    </w:p>
    <w:p w:rsidR="00A73CD3" w:rsidRDefault="00A73CD3" w:rsidP="00A73CD3">
      <w:pPr>
        <w:pStyle w:val="Quote1"/>
        <w:ind w:firstLine="703"/>
        <w:rPr>
          <w:i/>
        </w:rPr>
      </w:pPr>
      <w:r>
        <w:rPr>
          <w:i/>
        </w:rPr>
        <w:t xml:space="preserve">(a) </w:t>
      </w:r>
      <w:proofErr w:type="gramStart"/>
      <w:r w:rsidR="00F11CE8" w:rsidRPr="00A73CD3">
        <w:rPr>
          <w:i/>
        </w:rPr>
        <w:t>price</w:t>
      </w:r>
      <w:proofErr w:type="gramEnd"/>
      <w:r w:rsidR="00F11CE8" w:rsidRPr="00A73CD3">
        <w:rPr>
          <w:i/>
        </w:rPr>
        <w:t xml:space="preserve">, quality, safety, reliability and security of supply of electricity; and </w:t>
      </w:r>
    </w:p>
    <w:p w:rsidR="00F11CE8" w:rsidRPr="00A73CD3" w:rsidRDefault="00A73CD3" w:rsidP="00A73CD3">
      <w:pPr>
        <w:pStyle w:val="Quote1"/>
        <w:ind w:firstLine="703"/>
        <w:rPr>
          <w:i/>
        </w:rPr>
      </w:pPr>
      <w:r>
        <w:rPr>
          <w:i/>
        </w:rPr>
        <w:t xml:space="preserve">(b) </w:t>
      </w:r>
      <w:proofErr w:type="gramStart"/>
      <w:r w:rsidR="00F11CE8" w:rsidRPr="00A73CD3">
        <w:rPr>
          <w:i/>
        </w:rPr>
        <w:t>the</w:t>
      </w:r>
      <w:proofErr w:type="gramEnd"/>
      <w:r w:rsidR="00F11CE8" w:rsidRPr="00A73CD3">
        <w:rPr>
          <w:i/>
        </w:rPr>
        <w:t xml:space="preserve"> reliability, safety and security of the national electricity system.</w:t>
      </w:r>
    </w:p>
    <w:p w:rsidR="001C0DA0" w:rsidRDefault="00C029AE" w:rsidP="00C029AE">
      <w:pPr>
        <w:pStyle w:val="ParaNumbering"/>
        <w:numPr>
          <w:ilvl w:val="0"/>
          <w:numId w:val="0"/>
        </w:numPr>
        <w:ind w:hanging="720"/>
      </w:pPr>
      <w:r>
        <w:rPr>
          <w:sz w:val="20"/>
        </w:rPr>
        <w:t>16</w:t>
      </w:r>
      <w:r>
        <w:rPr>
          <w:sz w:val="20"/>
        </w:rPr>
        <w:tab/>
      </w:r>
      <w:r w:rsidR="003C633F">
        <w:t xml:space="preserve">Most </w:t>
      </w:r>
      <w:r w:rsidR="00592649">
        <w:t>relevant</w:t>
      </w:r>
      <w:r w:rsidR="00656763">
        <w:t xml:space="preserve"> to </w:t>
      </w:r>
      <w:r w:rsidR="00E150D0">
        <w:t>SACOSS’s</w:t>
      </w:r>
      <w:r w:rsidR="004E2009">
        <w:t xml:space="preserve"> Application and Proposed Amended Application and </w:t>
      </w:r>
      <w:r w:rsidR="00EB6128">
        <w:t xml:space="preserve">the question of whether </w:t>
      </w:r>
      <w:r w:rsidR="004E2009">
        <w:t xml:space="preserve">it </w:t>
      </w:r>
      <w:r w:rsidR="00EB6128">
        <w:t xml:space="preserve">should be granted </w:t>
      </w:r>
      <w:r w:rsidR="004E2009">
        <w:t xml:space="preserve">leave </w:t>
      </w:r>
      <w:r w:rsidR="00EB6128">
        <w:t xml:space="preserve">to apply for review </w:t>
      </w:r>
      <w:r w:rsidR="00656763">
        <w:t>is s</w:t>
      </w:r>
      <w:r w:rsidR="001C0DA0">
        <w:t xml:space="preserve"> 71O(2)</w:t>
      </w:r>
      <w:r w:rsidR="00656763">
        <w:t>(c)</w:t>
      </w:r>
      <w:r w:rsidR="001C0DA0">
        <w:t xml:space="preserve"> of the NEL </w:t>
      </w:r>
      <w:r w:rsidR="00656763">
        <w:t>which</w:t>
      </w:r>
      <w:r w:rsidR="001C0DA0">
        <w:t xml:space="preserve"> provides:</w:t>
      </w:r>
    </w:p>
    <w:p w:rsidR="001C0DA0" w:rsidRPr="001C0DA0" w:rsidRDefault="001C0DA0" w:rsidP="001C0DA0">
      <w:pPr>
        <w:pStyle w:val="Quote1"/>
        <w:rPr>
          <w:i/>
        </w:rPr>
      </w:pPr>
      <w:r w:rsidRPr="001C0DA0">
        <w:rPr>
          <w:i/>
        </w:rPr>
        <w:t>[</w:t>
      </w:r>
      <w:proofErr w:type="spellStart"/>
      <w:r w:rsidRPr="001C0DA0">
        <w:rPr>
          <w:i/>
        </w:rPr>
        <w:t>i</w:t>
      </w:r>
      <w:proofErr w:type="spellEnd"/>
      <w:r w:rsidRPr="001C0DA0">
        <w:rPr>
          <w:i/>
        </w:rPr>
        <w:t>]n a review under this Subdivision, the following provisions apply in relation to a person or body, other than the AER (and so apply at all stages of the proceedings before the Tribunal):</w:t>
      </w:r>
    </w:p>
    <w:p w:rsidR="001C0DA0" w:rsidRPr="001C0DA0" w:rsidRDefault="001C0DA0" w:rsidP="004E2009">
      <w:pPr>
        <w:pStyle w:val="Quote1"/>
        <w:ind w:left="2160" w:hanging="720"/>
        <w:rPr>
          <w:i/>
        </w:rPr>
      </w:pPr>
      <w:r w:rsidRPr="001C0DA0">
        <w:rPr>
          <w:i/>
        </w:rPr>
        <w:t xml:space="preserve">… </w:t>
      </w:r>
    </w:p>
    <w:p w:rsidR="001C0DA0" w:rsidRDefault="001C0DA0" w:rsidP="004E2009">
      <w:pPr>
        <w:pStyle w:val="Quote2"/>
        <w:ind w:left="2160" w:hanging="720"/>
      </w:pPr>
      <w:r w:rsidRPr="001C0DA0">
        <w:rPr>
          <w:i/>
        </w:rPr>
        <w:t>(c)</w:t>
      </w:r>
      <w:r w:rsidRPr="001C0DA0">
        <w:rPr>
          <w:i/>
        </w:rPr>
        <w:tab/>
        <w:t>an affected or interested person or body (other than a provider under paragraph (a) or (b)) may not raise in relation to the issue of whether a ground for review exists or has been made out any matter that was not raised by the person or body in a submission to the AER before the reviewab</w:t>
      </w:r>
      <w:r w:rsidR="004E2009">
        <w:rPr>
          <w:i/>
        </w:rPr>
        <w:t>le regulatory decision was made…</w:t>
      </w:r>
    </w:p>
    <w:p w:rsidR="0031663C" w:rsidRDefault="00C029AE" w:rsidP="00CE74E1">
      <w:pPr>
        <w:pStyle w:val="Heading1"/>
      </w:pPr>
      <w:r>
        <w:rPr>
          <w:caps w:val="0"/>
        </w:rPr>
        <w:t>SACOSS’S APPLICATION FOR LEAVE AND APPLICATION TO AMEND</w:t>
      </w:r>
    </w:p>
    <w:p w:rsidR="00C612B8" w:rsidRDefault="00E150D0" w:rsidP="003C633F">
      <w:pPr>
        <w:pStyle w:val="Heading2"/>
      </w:pPr>
      <w:r>
        <w:t>SACOSS’s</w:t>
      </w:r>
      <w:r w:rsidR="00C612B8">
        <w:t xml:space="preserve"> </w:t>
      </w:r>
      <w:r w:rsidR="0064439D">
        <w:t>paragraph 49 grounds</w:t>
      </w:r>
      <w:r w:rsidR="003C633F">
        <w:t xml:space="preserve"> (</w:t>
      </w:r>
      <w:r w:rsidR="00C612B8">
        <w:t>as originally formulated</w:t>
      </w:r>
      <w:r w:rsidR="003C633F">
        <w:t>)</w:t>
      </w:r>
    </w:p>
    <w:p w:rsidR="00EA04D9" w:rsidRDefault="00C029AE" w:rsidP="00C029AE">
      <w:pPr>
        <w:pStyle w:val="ParaNumbering"/>
        <w:numPr>
          <w:ilvl w:val="0"/>
          <w:numId w:val="0"/>
        </w:numPr>
        <w:ind w:hanging="720"/>
      </w:pPr>
      <w:r>
        <w:rPr>
          <w:sz w:val="20"/>
        </w:rPr>
        <w:t>17</w:t>
      </w:r>
      <w:r>
        <w:rPr>
          <w:sz w:val="20"/>
        </w:rPr>
        <w:tab/>
      </w:r>
      <w:r w:rsidR="00C612B8">
        <w:t xml:space="preserve">By paragraph 31(a) of </w:t>
      </w:r>
      <w:r w:rsidR="00E150D0">
        <w:t>SACOSS’s</w:t>
      </w:r>
      <w:r w:rsidR="00742475">
        <w:t xml:space="preserve"> Application, SACOSS applied</w:t>
      </w:r>
      <w:r w:rsidR="00C612B8">
        <w:t xml:space="preserve"> for review of the base year </w:t>
      </w:r>
      <w:proofErr w:type="spellStart"/>
      <w:r w:rsidR="00C612B8">
        <w:t>opex</w:t>
      </w:r>
      <w:proofErr w:type="spellEnd"/>
      <w:r w:rsidR="00C612B8">
        <w:t xml:space="preserve"> component of the AER</w:t>
      </w:r>
      <w:r w:rsidR="008378C4" w:rsidRPr="008378C4">
        <w:t>’</w:t>
      </w:r>
      <w:r w:rsidR="00C612B8">
        <w:t xml:space="preserve">s Final Decision.  </w:t>
      </w:r>
      <w:r w:rsidR="00EA04D9">
        <w:t>Paragraph 31(a) provides</w:t>
      </w:r>
      <w:r w:rsidR="00055638">
        <w:t xml:space="preserve"> that SACOSS applies for a review in respect of</w:t>
      </w:r>
      <w:r w:rsidR="00EA04D9">
        <w:t>:</w:t>
      </w:r>
    </w:p>
    <w:p w:rsidR="00EA04D9" w:rsidRPr="001E30EB" w:rsidRDefault="001E30EB" w:rsidP="001E30EB">
      <w:pPr>
        <w:pStyle w:val="Quote1"/>
        <w:rPr>
          <w:i/>
        </w:rPr>
      </w:pPr>
      <w:r w:rsidRPr="00055638">
        <w:t xml:space="preserve">Operating expenditure (base year </w:t>
      </w:r>
      <w:proofErr w:type="spellStart"/>
      <w:r w:rsidRPr="00055638">
        <w:t>opex</w:t>
      </w:r>
      <w:proofErr w:type="spellEnd"/>
      <w:r w:rsidRPr="00055638">
        <w:t xml:space="preserve">): </w:t>
      </w:r>
      <w:r w:rsidRPr="00055638">
        <w:rPr>
          <w:i/>
        </w:rPr>
        <w:t xml:space="preserve">the decision in calculating the forecast of the total of SA Power Networks’ required operating expenditure pursuant to clause 6.5.6 of the NER, to use a base </w:t>
      </w:r>
      <w:proofErr w:type="spellStart"/>
      <w:r w:rsidRPr="00055638">
        <w:rPr>
          <w:i/>
        </w:rPr>
        <w:t>opex</w:t>
      </w:r>
      <w:proofErr w:type="spellEnd"/>
      <w:r w:rsidRPr="00055638">
        <w:rPr>
          <w:i/>
        </w:rPr>
        <w:t xml:space="preserve"> amou</w:t>
      </w:r>
      <w:r w:rsidR="004E2009">
        <w:rPr>
          <w:i/>
        </w:rPr>
        <w:t>nt of $237.9 million ($2014-15)…</w:t>
      </w:r>
    </w:p>
    <w:p w:rsidR="00C612B8" w:rsidRDefault="00C029AE" w:rsidP="00C029AE">
      <w:pPr>
        <w:pStyle w:val="ParaNumbering"/>
        <w:numPr>
          <w:ilvl w:val="0"/>
          <w:numId w:val="0"/>
        </w:numPr>
        <w:ind w:hanging="720"/>
      </w:pPr>
      <w:r>
        <w:rPr>
          <w:sz w:val="20"/>
        </w:rPr>
        <w:t>18</w:t>
      </w:r>
      <w:r>
        <w:rPr>
          <w:sz w:val="20"/>
        </w:rPr>
        <w:tab/>
      </w:r>
      <w:r w:rsidR="00C612B8">
        <w:t>The asserted errors</w:t>
      </w:r>
      <w:r w:rsidR="00742475">
        <w:t>,</w:t>
      </w:r>
      <w:r w:rsidR="00C612B8">
        <w:t xml:space="preserve"> </w:t>
      </w:r>
      <w:r w:rsidR="00742475">
        <w:t>as</w:t>
      </w:r>
      <w:r w:rsidR="00C612B8">
        <w:t xml:space="preserve"> identified in paragraph 49 of </w:t>
      </w:r>
      <w:r w:rsidR="00E150D0">
        <w:t>SACOSS’s</w:t>
      </w:r>
      <w:r w:rsidR="00C612B8">
        <w:t xml:space="preserve"> </w:t>
      </w:r>
      <w:r w:rsidR="00742475">
        <w:t>A</w:t>
      </w:r>
      <w:r w:rsidR="00C612B8">
        <w:t>pplication</w:t>
      </w:r>
      <w:r w:rsidR="00656763">
        <w:t xml:space="preserve"> (‘</w:t>
      </w:r>
      <w:r w:rsidR="00656763">
        <w:rPr>
          <w:b/>
        </w:rPr>
        <w:t>original paragraph 49</w:t>
      </w:r>
      <w:r w:rsidR="00656763">
        <w:t>’)</w:t>
      </w:r>
      <w:r w:rsidR="00F82187">
        <w:t>, are that the AER</w:t>
      </w:r>
      <w:r w:rsidR="00742475">
        <w:t>:</w:t>
      </w:r>
    </w:p>
    <w:p w:rsidR="00742475" w:rsidRPr="00742475" w:rsidRDefault="004E2009" w:rsidP="004E2009">
      <w:pPr>
        <w:pStyle w:val="Quote1"/>
        <w:ind w:left="1440" w:hanging="703"/>
        <w:rPr>
          <w:i/>
        </w:rPr>
      </w:pPr>
      <w:proofErr w:type="gramStart"/>
      <w:r>
        <w:rPr>
          <w:i/>
        </w:rPr>
        <w:t>a</w:t>
      </w:r>
      <w:proofErr w:type="gramEnd"/>
      <w:r>
        <w:rPr>
          <w:i/>
        </w:rPr>
        <w:t>.</w:t>
      </w:r>
      <w:r w:rsidR="00742475" w:rsidRPr="00742475">
        <w:rPr>
          <w:i/>
        </w:rPr>
        <w:t xml:space="preserve"> </w:t>
      </w:r>
      <w:r>
        <w:rPr>
          <w:i/>
        </w:rPr>
        <w:tab/>
      </w:r>
      <w:r w:rsidR="00742475" w:rsidRPr="00742475">
        <w:rPr>
          <w:i/>
        </w:rPr>
        <w:t xml:space="preserve">did not have proper regard to, or alternatively gave insufficient weight to the fact that </w:t>
      </w:r>
      <w:r w:rsidR="00C3101A">
        <w:rPr>
          <w:i/>
        </w:rPr>
        <w:t>SA</w:t>
      </w:r>
      <w:r>
        <w:rPr>
          <w:i/>
        </w:rPr>
        <w:t xml:space="preserve"> </w:t>
      </w:r>
      <w:r w:rsidR="00C3101A">
        <w:rPr>
          <w:i/>
        </w:rPr>
        <w:t>P</w:t>
      </w:r>
      <w:r>
        <w:rPr>
          <w:i/>
        </w:rPr>
        <w:t xml:space="preserve">ower </w:t>
      </w:r>
      <w:r w:rsidR="00C3101A">
        <w:rPr>
          <w:i/>
        </w:rPr>
        <w:t>N</w:t>
      </w:r>
      <w:r>
        <w:rPr>
          <w:i/>
        </w:rPr>
        <w:t>etworks’</w:t>
      </w:r>
      <w:r w:rsidR="00742475" w:rsidRPr="00742475">
        <w:rPr>
          <w:i/>
        </w:rPr>
        <w:t xml:space="preserve"> costs category of “Corporate and other operating costs” had significantly increased from the previous regulatory control period.</w:t>
      </w:r>
    </w:p>
    <w:p w:rsidR="00742475" w:rsidRPr="00742475" w:rsidRDefault="004E2009" w:rsidP="004E2009">
      <w:pPr>
        <w:pStyle w:val="Quote1"/>
        <w:ind w:left="1440" w:hanging="703"/>
        <w:rPr>
          <w:i/>
        </w:rPr>
      </w:pPr>
      <w:proofErr w:type="gramStart"/>
      <w:r>
        <w:rPr>
          <w:i/>
        </w:rPr>
        <w:t>b</w:t>
      </w:r>
      <w:proofErr w:type="gramEnd"/>
      <w:r>
        <w:rPr>
          <w:i/>
        </w:rPr>
        <w:t>.</w:t>
      </w:r>
      <w:r>
        <w:rPr>
          <w:i/>
        </w:rPr>
        <w:tab/>
      </w:r>
      <w:r w:rsidR="00742475" w:rsidRPr="00742475">
        <w:rPr>
          <w:i/>
        </w:rPr>
        <w:t xml:space="preserve">did not have proper regard to whether </w:t>
      </w:r>
      <w:r>
        <w:rPr>
          <w:i/>
        </w:rPr>
        <w:t>SA Power Networks’</w:t>
      </w:r>
      <w:r w:rsidR="00742475" w:rsidRPr="00742475">
        <w:rPr>
          <w:i/>
        </w:rPr>
        <w:t xml:space="preserve"> corporate overhead expenditures for the base year were efficient operating expenditures.</w:t>
      </w:r>
    </w:p>
    <w:p w:rsidR="00742475" w:rsidRPr="00742475" w:rsidRDefault="004E2009" w:rsidP="004E2009">
      <w:pPr>
        <w:pStyle w:val="Quote1"/>
        <w:ind w:left="1440" w:hanging="703"/>
        <w:rPr>
          <w:i/>
        </w:rPr>
      </w:pPr>
      <w:r>
        <w:rPr>
          <w:i/>
        </w:rPr>
        <w:lastRenderedPageBreak/>
        <w:t>c.</w:t>
      </w:r>
      <w:r>
        <w:rPr>
          <w:i/>
        </w:rPr>
        <w:tab/>
      </w:r>
      <w:r w:rsidR="00742475" w:rsidRPr="00742475">
        <w:rPr>
          <w:i/>
        </w:rPr>
        <w:t xml:space="preserve">was inconsistent in its treatment of different cost categories in that the AER considered whether </w:t>
      </w:r>
      <w:r w:rsidR="00C3101A">
        <w:rPr>
          <w:i/>
        </w:rPr>
        <w:t>SA</w:t>
      </w:r>
      <w:r>
        <w:rPr>
          <w:i/>
        </w:rPr>
        <w:t xml:space="preserve"> </w:t>
      </w:r>
      <w:r w:rsidR="00C3101A">
        <w:rPr>
          <w:i/>
        </w:rPr>
        <w:t>P</w:t>
      </w:r>
      <w:r>
        <w:rPr>
          <w:i/>
        </w:rPr>
        <w:t xml:space="preserve">ower </w:t>
      </w:r>
      <w:r w:rsidR="00C3101A">
        <w:rPr>
          <w:i/>
        </w:rPr>
        <w:t>N</w:t>
      </w:r>
      <w:r>
        <w:rPr>
          <w:i/>
        </w:rPr>
        <w:t>etwork</w:t>
      </w:r>
      <w:r w:rsidR="00C3101A">
        <w:rPr>
          <w:i/>
        </w:rPr>
        <w:t>s</w:t>
      </w:r>
      <w:r>
        <w:rPr>
          <w:i/>
        </w:rPr>
        <w:t>’</w:t>
      </w:r>
      <w:r w:rsidR="00742475" w:rsidRPr="00742475">
        <w:rPr>
          <w:i/>
        </w:rPr>
        <w:t xml:space="preserve"> cost category of ‘vegetation management’ were efficient costs but had no or insufficient regard to whether </w:t>
      </w:r>
      <w:r>
        <w:rPr>
          <w:i/>
        </w:rPr>
        <w:t>SA Power Networks’</w:t>
      </w:r>
      <w:r w:rsidR="00742475" w:rsidRPr="00742475">
        <w:rPr>
          <w:i/>
        </w:rPr>
        <w:t xml:space="preserve"> cost category of “Corporate and other operating costs” were efficient costs.</w:t>
      </w:r>
    </w:p>
    <w:p w:rsidR="00742475" w:rsidRPr="00742475" w:rsidRDefault="004E2009" w:rsidP="004E2009">
      <w:pPr>
        <w:pStyle w:val="Quote1"/>
        <w:ind w:left="1440" w:hanging="703"/>
        <w:rPr>
          <w:i/>
        </w:rPr>
      </w:pPr>
      <w:proofErr w:type="gramStart"/>
      <w:r>
        <w:rPr>
          <w:i/>
        </w:rPr>
        <w:t>d</w:t>
      </w:r>
      <w:proofErr w:type="gramEnd"/>
      <w:r>
        <w:rPr>
          <w:i/>
        </w:rPr>
        <w:t>.</w:t>
      </w:r>
      <w:r>
        <w:rPr>
          <w:i/>
        </w:rPr>
        <w:tab/>
      </w:r>
      <w:r w:rsidR="00742475" w:rsidRPr="00742475">
        <w:rPr>
          <w:i/>
        </w:rPr>
        <w:t xml:space="preserve">unreasonably relied upon </w:t>
      </w:r>
      <w:r>
        <w:rPr>
          <w:i/>
        </w:rPr>
        <w:t>SA Power Networks’</w:t>
      </w:r>
      <w:r w:rsidR="00742475" w:rsidRPr="00742475">
        <w:rPr>
          <w:i/>
        </w:rPr>
        <w:t xml:space="preserve"> relative efficiency by reference to other service providers without sufficient consideration to whether </w:t>
      </w:r>
      <w:r>
        <w:rPr>
          <w:i/>
        </w:rPr>
        <w:t>SA Power Networks’</w:t>
      </w:r>
      <w:r w:rsidR="00742475" w:rsidRPr="00742475">
        <w:rPr>
          <w:i/>
        </w:rPr>
        <w:t xml:space="preserve"> cost category of “Corporate and other operating costs” is an efficient component of base year costs.</w:t>
      </w:r>
    </w:p>
    <w:p w:rsidR="00E3080B" w:rsidRDefault="00C029AE" w:rsidP="00C029AE">
      <w:pPr>
        <w:pStyle w:val="ParaNumbering"/>
        <w:numPr>
          <w:ilvl w:val="0"/>
          <w:numId w:val="0"/>
        </w:numPr>
        <w:ind w:hanging="720"/>
      </w:pPr>
      <w:r>
        <w:rPr>
          <w:sz w:val="20"/>
        </w:rPr>
        <w:t>19</w:t>
      </w:r>
      <w:r>
        <w:rPr>
          <w:sz w:val="20"/>
        </w:rPr>
        <w:tab/>
      </w:r>
      <w:r w:rsidR="00F82187">
        <w:t>As such, SACOSS broadly contended</w:t>
      </w:r>
      <w:r w:rsidR="00E3080B">
        <w:t xml:space="preserve"> that the AER erred in failing to scrutinise the ‘corporate and other operating costs’ component of SAPN</w:t>
      </w:r>
      <w:r w:rsidR="00E3080B" w:rsidRPr="008378C4">
        <w:t>’</w:t>
      </w:r>
      <w:r w:rsidR="00055638">
        <w:t xml:space="preserve">s base </w:t>
      </w:r>
      <w:r w:rsidR="00E3080B">
        <w:t xml:space="preserve">year </w:t>
      </w:r>
      <w:proofErr w:type="spellStart"/>
      <w:r w:rsidR="00E3080B">
        <w:t>opex</w:t>
      </w:r>
      <w:proofErr w:type="spellEnd"/>
      <w:r w:rsidR="00E3080B" w:rsidRPr="008378C4">
        <w:t>.</w:t>
      </w:r>
    </w:p>
    <w:p w:rsidR="00C612B8" w:rsidRDefault="00C029AE" w:rsidP="00C029AE">
      <w:pPr>
        <w:pStyle w:val="ParaNumbering"/>
        <w:numPr>
          <w:ilvl w:val="0"/>
          <w:numId w:val="0"/>
        </w:numPr>
        <w:ind w:hanging="720"/>
      </w:pPr>
      <w:r>
        <w:rPr>
          <w:sz w:val="20"/>
        </w:rPr>
        <w:t>20</w:t>
      </w:r>
      <w:r>
        <w:rPr>
          <w:sz w:val="20"/>
        </w:rPr>
        <w:tab/>
      </w:r>
      <w:r w:rsidR="00CE74E1">
        <w:t xml:space="preserve">By its notice dated 30 March 2016, the AER gave notice that it opposed leave to review being granted </w:t>
      </w:r>
      <w:r w:rsidR="00656763">
        <w:t>to SACOSS</w:t>
      </w:r>
      <w:r w:rsidR="00CE74E1">
        <w:t xml:space="preserve"> with respect to the errors asserted in </w:t>
      </w:r>
      <w:r w:rsidR="00656763">
        <w:t xml:space="preserve">the original </w:t>
      </w:r>
      <w:r w:rsidR="00CE74E1">
        <w:t>paragraph 49</w:t>
      </w:r>
      <w:r w:rsidR="004E2009">
        <w:t>.</w:t>
      </w:r>
      <w:r w:rsidR="00CE74E1">
        <w:t xml:space="preserve"> </w:t>
      </w:r>
      <w:r w:rsidR="004E2009">
        <w:t xml:space="preserve"> </w:t>
      </w:r>
      <w:r w:rsidR="008E7AB0">
        <w:t>The AER opposed</w:t>
      </w:r>
      <w:r w:rsidR="00C612B8">
        <w:t xml:space="preserve"> leave being given</w:t>
      </w:r>
      <w:r w:rsidR="008E7AB0">
        <w:t xml:space="preserve"> </w:t>
      </w:r>
      <w:r w:rsidR="00E3080B">
        <w:t xml:space="preserve">on the basis </w:t>
      </w:r>
      <w:r w:rsidR="00CE74E1">
        <w:t>that, pursuant to</w:t>
      </w:r>
      <w:r w:rsidR="00E3080B">
        <w:t xml:space="preserve"> </w:t>
      </w:r>
      <w:r w:rsidR="008E7AB0">
        <w:t>s 71O(2)(c)</w:t>
      </w:r>
      <w:r w:rsidR="001E30EB">
        <w:t xml:space="preserve"> of the NEL</w:t>
      </w:r>
      <w:r w:rsidR="00CE74E1">
        <w:t xml:space="preserve">, </w:t>
      </w:r>
      <w:r w:rsidR="00C612B8">
        <w:t xml:space="preserve">SACOSS </w:t>
      </w:r>
      <w:r w:rsidR="00055638">
        <w:t>had</w:t>
      </w:r>
      <w:r w:rsidR="00C612B8">
        <w:t xml:space="preserve"> not </w:t>
      </w:r>
      <w:r w:rsidR="00656763">
        <w:t xml:space="preserve">fairly </w:t>
      </w:r>
      <w:r w:rsidR="00C612B8">
        <w:t>raise</w:t>
      </w:r>
      <w:r w:rsidR="00055638">
        <w:t>d</w:t>
      </w:r>
      <w:r w:rsidR="00C612B8">
        <w:t xml:space="preserve"> </w:t>
      </w:r>
      <w:r w:rsidR="008E7AB0">
        <w:t>the matters in</w:t>
      </w:r>
      <w:r w:rsidR="00656763">
        <w:t xml:space="preserve"> the original</w:t>
      </w:r>
      <w:r w:rsidR="008E7AB0">
        <w:t xml:space="preserve"> paragraph 49 </w:t>
      </w:r>
      <w:r w:rsidR="00C612B8">
        <w:t>in a submission to the AER bef</w:t>
      </w:r>
      <w:r w:rsidR="00E3080B">
        <w:t xml:space="preserve">ore the Final Decision was made. </w:t>
      </w:r>
      <w:r w:rsidR="00551287">
        <w:t xml:space="preserve"> </w:t>
      </w:r>
      <w:r w:rsidR="00F82187">
        <w:t xml:space="preserve">The AER contended that </w:t>
      </w:r>
      <w:r w:rsidR="00055638">
        <w:t>SACOSS was</w:t>
      </w:r>
      <w:r w:rsidR="00C612B8">
        <w:t xml:space="preserve"> therefore prevented from raising those matters at any stage of the proceedings before the Tribunal</w:t>
      </w:r>
      <w:r w:rsidR="008378C4" w:rsidRPr="008378C4">
        <w:t xml:space="preserve">.  </w:t>
      </w:r>
      <w:r w:rsidR="00F82187">
        <w:t>If</w:t>
      </w:r>
      <w:r w:rsidR="00656763">
        <w:t xml:space="preserve"> found to be the case</w:t>
      </w:r>
      <w:r w:rsidR="00C612B8">
        <w:t>:</w:t>
      </w:r>
    </w:p>
    <w:p w:rsidR="00C612B8" w:rsidRDefault="00C029AE" w:rsidP="00C029AE">
      <w:pPr>
        <w:pStyle w:val="ListNo1"/>
        <w:numPr>
          <w:ilvl w:val="0"/>
          <w:numId w:val="0"/>
        </w:numPr>
        <w:tabs>
          <w:tab w:val="left" w:pos="720"/>
        </w:tabs>
        <w:ind w:left="720" w:hanging="720"/>
      </w:pPr>
      <w:r>
        <w:t>(a)</w:t>
      </w:r>
      <w:r>
        <w:tab/>
      </w:r>
      <w:r w:rsidR="00E3080B">
        <w:t>SACOSS would</w:t>
      </w:r>
      <w:r w:rsidR="00C612B8">
        <w:t xml:space="preserve"> not</w:t>
      </w:r>
      <w:r w:rsidR="00E3080B">
        <w:t xml:space="preserve"> be</w:t>
      </w:r>
      <w:r w:rsidR="00C612B8">
        <w:t xml:space="preserve"> permitted to apply for leave to review in respect of those matters;</w:t>
      </w:r>
      <w:r w:rsidR="00D800BB">
        <w:t xml:space="preserve"> or</w:t>
      </w:r>
    </w:p>
    <w:p w:rsidR="00C612B8" w:rsidRDefault="00C029AE" w:rsidP="00C029AE">
      <w:pPr>
        <w:pStyle w:val="ListNo1"/>
        <w:numPr>
          <w:ilvl w:val="0"/>
          <w:numId w:val="0"/>
        </w:numPr>
        <w:tabs>
          <w:tab w:val="left" w:pos="720"/>
        </w:tabs>
        <w:ind w:left="720" w:hanging="720"/>
      </w:pPr>
      <w:r>
        <w:t>(b)</w:t>
      </w:r>
      <w:r>
        <w:tab/>
      </w:r>
      <w:r w:rsidR="00C612B8">
        <w:t>as a consequence of the operat</w:t>
      </w:r>
      <w:r w:rsidR="00E3080B">
        <w:t xml:space="preserve">ion of s 71O(2)(c), there </w:t>
      </w:r>
      <w:r w:rsidR="00656763">
        <w:t>would be</w:t>
      </w:r>
      <w:r w:rsidR="00E3080B">
        <w:t xml:space="preserve"> no</w:t>
      </w:r>
      <w:r w:rsidR="00C612B8">
        <w:t xml:space="preserve"> serious issue to be heard and determined as to whether a ground of review exists under s 71C</w:t>
      </w:r>
      <w:r w:rsidR="00E3080B">
        <w:t xml:space="preserve"> of the NEL in respect of </w:t>
      </w:r>
      <w:r w:rsidR="00E150D0">
        <w:t>SACOSS’s</w:t>
      </w:r>
      <w:r w:rsidR="00E3080B">
        <w:t xml:space="preserve"> Application</w:t>
      </w:r>
      <w:r w:rsidR="00C612B8">
        <w:t>.</w:t>
      </w:r>
    </w:p>
    <w:p w:rsidR="00C612B8" w:rsidRDefault="00C029AE" w:rsidP="00C029AE">
      <w:pPr>
        <w:pStyle w:val="ParaNumbering"/>
        <w:numPr>
          <w:ilvl w:val="0"/>
          <w:numId w:val="0"/>
        </w:numPr>
        <w:ind w:hanging="720"/>
      </w:pPr>
      <w:r>
        <w:rPr>
          <w:sz w:val="20"/>
        </w:rPr>
        <w:t>21</w:t>
      </w:r>
      <w:r>
        <w:rPr>
          <w:sz w:val="20"/>
        </w:rPr>
        <w:tab/>
      </w:r>
      <w:r w:rsidR="00C612B8" w:rsidRPr="00C612B8">
        <w:t xml:space="preserve">SACOSS </w:t>
      </w:r>
      <w:r w:rsidR="00A407B7">
        <w:t>contended</w:t>
      </w:r>
      <w:r w:rsidR="00C612B8" w:rsidRPr="00C612B8">
        <w:t xml:space="preserve"> that the matter it s</w:t>
      </w:r>
      <w:r w:rsidR="00055638">
        <w:t>ought</w:t>
      </w:r>
      <w:r w:rsidR="00C612B8" w:rsidRPr="00C612B8">
        <w:t xml:space="preserve"> to raise on review is a matter </w:t>
      </w:r>
      <w:r w:rsidR="00A407B7">
        <w:t>‘</w:t>
      </w:r>
      <w:r w:rsidR="00C612B8" w:rsidRPr="00A407B7">
        <w:rPr>
          <w:i/>
        </w:rPr>
        <w:t>broadly arising</w:t>
      </w:r>
      <w:r w:rsidR="00A407B7">
        <w:t xml:space="preserve">’ </w:t>
      </w:r>
      <w:r w:rsidR="00C612B8" w:rsidRPr="00C612B8">
        <w:t>from the submissions it made to the AER during the regulatory review</w:t>
      </w:r>
      <w:r w:rsidR="00A407B7">
        <w:t>.</w:t>
      </w:r>
      <w:r w:rsidR="00656763">
        <w:t xml:space="preserve"> </w:t>
      </w:r>
    </w:p>
    <w:p w:rsidR="00C612B8" w:rsidRDefault="00E150D0" w:rsidP="003C633F">
      <w:pPr>
        <w:pStyle w:val="Heading2"/>
      </w:pPr>
      <w:r>
        <w:t>SACOSS’s</w:t>
      </w:r>
      <w:r w:rsidR="00C612B8">
        <w:t xml:space="preserve"> </w:t>
      </w:r>
      <w:r w:rsidR="00CE74E1">
        <w:t>Proposed Amended Application</w:t>
      </w:r>
    </w:p>
    <w:p w:rsidR="00CE74E1" w:rsidRDefault="00C029AE" w:rsidP="00C029AE">
      <w:pPr>
        <w:pStyle w:val="ParaNumbering"/>
        <w:numPr>
          <w:ilvl w:val="0"/>
          <w:numId w:val="0"/>
        </w:numPr>
        <w:ind w:hanging="720"/>
      </w:pPr>
      <w:r>
        <w:rPr>
          <w:sz w:val="20"/>
        </w:rPr>
        <w:t>22</w:t>
      </w:r>
      <w:r>
        <w:rPr>
          <w:sz w:val="20"/>
        </w:rPr>
        <w:tab/>
      </w:r>
      <w:r w:rsidR="004E2009">
        <w:t xml:space="preserve">SACOSS </w:t>
      </w:r>
      <w:r w:rsidR="00A407B7">
        <w:t>also</w:t>
      </w:r>
      <w:r w:rsidR="00C612B8">
        <w:t xml:space="preserve"> applied to amend its application for review to raise an additional matter for review by the Tribunal</w:t>
      </w:r>
      <w:r w:rsidR="008378C4" w:rsidRPr="008378C4">
        <w:t xml:space="preserve">.  </w:t>
      </w:r>
      <w:r w:rsidR="00C612B8">
        <w:t>The</w:t>
      </w:r>
      <w:r w:rsidR="00656763">
        <w:t xml:space="preserve"> additional ground of review,</w:t>
      </w:r>
      <w:r w:rsidR="0021319D">
        <w:t xml:space="preserve"> contained in</w:t>
      </w:r>
      <w:r w:rsidR="00C612B8">
        <w:t xml:space="preserve"> proposed paragraph 49(a)</w:t>
      </w:r>
      <w:r w:rsidR="00656763">
        <w:t xml:space="preserve"> is as follows:</w:t>
      </w:r>
    </w:p>
    <w:p w:rsidR="00656763" w:rsidRPr="00656763" w:rsidRDefault="004E2009" w:rsidP="00656763">
      <w:pPr>
        <w:pStyle w:val="Quote1"/>
        <w:ind w:left="1134" w:hanging="397"/>
        <w:rPr>
          <w:i/>
        </w:rPr>
      </w:pPr>
      <w:r>
        <w:rPr>
          <w:i/>
        </w:rPr>
        <w:t>49.</w:t>
      </w:r>
      <w:r>
        <w:rPr>
          <w:i/>
        </w:rPr>
        <w:tab/>
      </w:r>
      <w:r w:rsidR="00656763" w:rsidRPr="00656763">
        <w:rPr>
          <w:i/>
        </w:rPr>
        <w:t xml:space="preserve">The exercise of the AER’s discretion in making the Base Year </w:t>
      </w:r>
      <w:proofErr w:type="spellStart"/>
      <w:r w:rsidR="00656763" w:rsidRPr="00656763">
        <w:rPr>
          <w:i/>
        </w:rPr>
        <w:t>Opex</w:t>
      </w:r>
      <w:proofErr w:type="spellEnd"/>
      <w:r w:rsidR="00656763" w:rsidRPr="00656763">
        <w:rPr>
          <w:i/>
        </w:rPr>
        <w:t xml:space="preserve"> Decision was incorrect, further or alternatively the Base Year </w:t>
      </w:r>
      <w:proofErr w:type="spellStart"/>
      <w:r w:rsidR="00656763" w:rsidRPr="00656763">
        <w:rPr>
          <w:i/>
        </w:rPr>
        <w:t>Opex</w:t>
      </w:r>
      <w:proofErr w:type="spellEnd"/>
      <w:r w:rsidR="00656763" w:rsidRPr="00656763">
        <w:rPr>
          <w:i/>
        </w:rPr>
        <w:t xml:space="preserve"> Decision was unreasonable, having regard to al</w:t>
      </w:r>
      <w:r w:rsidR="00656763">
        <w:rPr>
          <w:i/>
        </w:rPr>
        <w:t>l</w:t>
      </w:r>
      <w:r w:rsidR="00656763" w:rsidRPr="00656763">
        <w:rPr>
          <w:i/>
        </w:rPr>
        <w:t xml:space="preserve"> the circumstances because the AER:</w:t>
      </w:r>
    </w:p>
    <w:p w:rsidR="00656763" w:rsidRPr="00656763" w:rsidRDefault="00656763" w:rsidP="004E2009">
      <w:pPr>
        <w:pStyle w:val="Quote2"/>
        <w:ind w:left="2160" w:hanging="720"/>
        <w:rPr>
          <w:i/>
        </w:rPr>
      </w:pPr>
      <w:proofErr w:type="gramStart"/>
      <w:r w:rsidRPr="00656763">
        <w:rPr>
          <w:i/>
        </w:rPr>
        <w:t>a</w:t>
      </w:r>
      <w:proofErr w:type="gramEnd"/>
      <w:r w:rsidR="004E2009">
        <w:rPr>
          <w:i/>
        </w:rPr>
        <w:t>.</w:t>
      </w:r>
      <w:r w:rsidR="004E2009">
        <w:rPr>
          <w:i/>
        </w:rPr>
        <w:tab/>
      </w:r>
      <w:r w:rsidRPr="00656763">
        <w:rPr>
          <w:i/>
        </w:rPr>
        <w:t xml:space="preserve">placed too much weight on benchmarking analysis in assessing whether SAPN’s base year </w:t>
      </w:r>
      <w:proofErr w:type="spellStart"/>
      <w:r w:rsidRPr="00656763">
        <w:rPr>
          <w:i/>
        </w:rPr>
        <w:t>opex</w:t>
      </w:r>
      <w:proofErr w:type="spellEnd"/>
      <w:r w:rsidRPr="00656763">
        <w:rPr>
          <w:i/>
        </w:rPr>
        <w:t xml:space="preserve"> reasonably reflected efficient costs.</w:t>
      </w:r>
    </w:p>
    <w:p w:rsidR="00CE74E1" w:rsidRDefault="00C029AE" w:rsidP="00C029AE">
      <w:pPr>
        <w:pStyle w:val="ParaNumbering"/>
        <w:numPr>
          <w:ilvl w:val="0"/>
          <w:numId w:val="0"/>
        </w:numPr>
        <w:ind w:hanging="720"/>
      </w:pPr>
      <w:r>
        <w:rPr>
          <w:sz w:val="20"/>
        </w:rPr>
        <w:lastRenderedPageBreak/>
        <w:t>23</w:t>
      </w:r>
      <w:r>
        <w:rPr>
          <w:sz w:val="20"/>
        </w:rPr>
        <w:tab/>
      </w:r>
      <w:r w:rsidR="00CE74E1">
        <w:t>The AER contended that, for substantially the same reasons as stated earlier in relation to s</w:t>
      </w:r>
      <w:r w:rsidR="00656763">
        <w:t> </w:t>
      </w:r>
      <w:r w:rsidR="00CE74E1">
        <w:t xml:space="preserve">71O(2)(c), SACOSS ought not be permitted to raise as a matter for review the error alleged in proposed paragraph 49(a). </w:t>
      </w:r>
      <w:r w:rsidR="00551287">
        <w:t xml:space="preserve"> </w:t>
      </w:r>
      <w:r w:rsidR="00CE74E1">
        <w:t>The AER co</w:t>
      </w:r>
      <w:r w:rsidR="00592649">
        <w:t>ntended that the matter</w:t>
      </w:r>
      <w:r w:rsidR="00CE74E1">
        <w:t xml:space="preserve"> was not only not raised in </w:t>
      </w:r>
      <w:r w:rsidR="00E150D0">
        <w:t>SACOSS’s</w:t>
      </w:r>
      <w:r w:rsidR="00CE74E1">
        <w:t xml:space="preserve"> submissions to the</w:t>
      </w:r>
      <w:r w:rsidR="00656763">
        <w:t xml:space="preserve"> </w:t>
      </w:r>
      <w:r w:rsidR="00551287">
        <w:t>AER,</w:t>
      </w:r>
      <w:r w:rsidR="00CE74E1">
        <w:t xml:space="preserve"> but SACOSS had in fact argued that the AER should have done precisely the opposite to what it s</w:t>
      </w:r>
      <w:r w:rsidR="0063607D">
        <w:t>ought</w:t>
      </w:r>
      <w:r w:rsidR="00CE74E1">
        <w:t xml:space="preserve"> to raise in proposed paragraph 49(a).</w:t>
      </w:r>
    </w:p>
    <w:p w:rsidR="00CE74E1" w:rsidRDefault="00C029AE" w:rsidP="00C029AE">
      <w:pPr>
        <w:pStyle w:val="ParaNumbering"/>
        <w:numPr>
          <w:ilvl w:val="0"/>
          <w:numId w:val="0"/>
        </w:numPr>
        <w:ind w:hanging="720"/>
      </w:pPr>
      <w:r>
        <w:rPr>
          <w:sz w:val="20"/>
        </w:rPr>
        <w:t>24</w:t>
      </w:r>
      <w:r>
        <w:rPr>
          <w:sz w:val="20"/>
        </w:rPr>
        <w:tab/>
      </w:r>
      <w:r w:rsidR="00CE74E1" w:rsidRPr="00CA3DC7">
        <w:t>Accordingly, the AER submitted that SACOSS should not be per</w:t>
      </w:r>
      <w:r w:rsidR="00592649">
        <w:t>mitted to amend its application.</w:t>
      </w:r>
      <w:r w:rsidR="00551287">
        <w:t xml:space="preserve"> </w:t>
      </w:r>
      <w:r w:rsidR="00CE74E1" w:rsidRPr="00CA3DC7">
        <w:t xml:space="preserve"> </w:t>
      </w:r>
      <w:r w:rsidR="00592649">
        <w:t xml:space="preserve">In the </w:t>
      </w:r>
      <w:r w:rsidR="00CE74E1" w:rsidRPr="00CA3DC7">
        <w:t>alternative, it should be refused leave to review in respect of its proposed paragraph 49(a).</w:t>
      </w:r>
    </w:p>
    <w:p w:rsidR="00A00523" w:rsidRDefault="00C029AE" w:rsidP="00C029AE">
      <w:pPr>
        <w:pStyle w:val="ParaNumbering"/>
        <w:numPr>
          <w:ilvl w:val="0"/>
          <w:numId w:val="0"/>
        </w:numPr>
        <w:ind w:hanging="720"/>
      </w:pPr>
      <w:r>
        <w:rPr>
          <w:sz w:val="20"/>
        </w:rPr>
        <w:t>25</w:t>
      </w:r>
      <w:r>
        <w:rPr>
          <w:sz w:val="20"/>
        </w:rPr>
        <w:tab/>
      </w:r>
      <w:r w:rsidR="00CE74E1">
        <w:t xml:space="preserve">On 4 April 2016, SAPN also gave notice that it opposed </w:t>
      </w:r>
      <w:r w:rsidR="00E150D0">
        <w:t>SACOSS’s</w:t>
      </w:r>
      <w:r w:rsidR="00CE74E1">
        <w:t xml:space="preserve"> Proposed Amended Application on the basis that the new matter raised in</w:t>
      </w:r>
      <w:r w:rsidR="0063607D">
        <w:t xml:space="preserve"> proposed</w:t>
      </w:r>
      <w:r w:rsidR="00CE74E1">
        <w:t xml:space="preserve"> paragraph 49(a) was not raised within </w:t>
      </w:r>
      <w:r w:rsidR="0063607D">
        <w:t xml:space="preserve">the </w:t>
      </w:r>
      <w:r w:rsidR="00CE74E1">
        <w:t>15 business days allowed by s 71D of the NEL</w:t>
      </w:r>
      <w:r w:rsidR="0063607D">
        <w:t>.</w:t>
      </w:r>
      <w:r w:rsidR="00551287">
        <w:t xml:space="preserve"> </w:t>
      </w:r>
      <w:r w:rsidR="00CE74E1">
        <w:t xml:space="preserve"> </w:t>
      </w:r>
      <w:r w:rsidR="0063607D">
        <w:t>Further,</w:t>
      </w:r>
      <w:r w:rsidR="00CE74E1">
        <w:t xml:space="preserve"> the matters raised </w:t>
      </w:r>
      <w:r w:rsidR="004E2009">
        <w:t>by</w:t>
      </w:r>
      <w:r w:rsidR="00CE74E1">
        <w:t xml:space="preserve"> SACOSS</w:t>
      </w:r>
      <w:r w:rsidR="004E2009">
        <w:t xml:space="preserve"> </w:t>
      </w:r>
      <w:r w:rsidR="0063607D">
        <w:t>both in relation to original paragraph 49 and p</w:t>
      </w:r>
      <w:r w:rsidR="004E2009">
        <w:t>roposed amended paragraph 49(a),</w:t>
      </w:r>
      <w:r w:rsidR="00CE74E1">
        <w:t xml:space="preserve"> were not raised in a submission by SACOSS to the AER before the Final Decision was made. </w:t>
      </w:r>
      <w:r w:rsidR="00551287">
        <w:t xml:space="preserve"> </w:t>
      </w:r>
      <w:r w:rsidR="00CE74E1">
        <w:t>As such, SAPN contended that SACOSS was prevented from raising the matter before the Tribunal by reason of s 71O(2)(c) of the NEL.</w:t>
      </w:r>
    </w:p>
    <w:p w:rsidR="00DC5D95" w:rsidRDefault="00C029AE" w:rsidP="00CA3DC7">
      <w:pPr>
        <w:pStyle w:val="Heading1"/>
      </w:pPr>
      <w:r>
        <w:rPr>
          <w:caps w:val="0"/>
        </w:rPr>
        <w:t>CONSIDERATION</w:t>
      </w:r>
    </w:p>
    <w:p w:rsidR="00DC5D95" w:rsidRDefault="00C029AE" w:rsidP="00C029AE">
      <w:pPr>
        <w:pStyle w:val="ParaNumbering"/>
        <w:numPr>
          <w:ilvl w:val="0"/>
          <w:numId w:val="0"/>
        </w:numPr>
        <w:ind w:hanging="720"/>
      </w:pPr>
      <w:r>
        <w:rPr>
          <w:sz w:val="20"/>
        </w:rPr>
        <w:t>26</w:t>
      </w:r>
      <w:r>
        <w:rPr>
          <w:sz w:val="20"/>
        </w:rPr>
        <w:tab/>
      </w:r>
      <w:r w:rsidR="00502AB0">
        <w:t>T</w:t>
      </w:r>
      <w:r w:rsidR="00DC5D95">
        <w:t xml:space="preserve">he </w:t>
      </w:r>
      <w:r w:rsidR="0021319D">
        <w:t>central</w:t>
      </w:r>
      <w:r w:rsidR="00DC5D95">
        <w:t xml:space="preserve"> question for consideration is whether SACOSS</w:t>
      </w:r>
      <w:r w:rsidR="0021319D">
        <w:t xml:space="preserve"> has</w:t>
      </w:r>
      <w:r w:rsidR="00DC5D95">
        <w:t xml:space="preserve"> satisfied the </w:t>
      </w:r>
      <w:r w:rsidR="0063607D">
        <w:t>criteria in s 71O(2)</w:t>
      </w:r>
      <w:r w:rsidR="00C21C18">
        <w:t>(c)</w:t>
      </w:r>
      <w:r w:rsidR="0063607D">
        <w:t xml:space="preserve"> of the NEL</w:t>
      </w:r>
      <w:r w:rsidR="00DC5D95">
        <w:t xml:space="preserve"> </w:t>
      </w:r>
      <w:r w:rsidR="005854F5">
        <w:t>in respect of</w:t>
      </w:r>
      <w:r w:rsidR="00DC5D95">
        <w:t xml:space="preserve"> the </w:t>
      </w:r>
      <w:r w:rsidR="00502AB0">
        <w:t>grounds</w:t>
      </w:r>
      <w:r w:rsidR="00055638">
        <w:t xml:space="preserve"> of review in relation to </w:t>
      </w:r>
      <w:proofErr w:type="spellStart"/>
      <w:r w:rsidR="00055638">
        <w:t>opex</w:t>
      </w:r>
      <w:proofErr w:type="spellEnd"/>
      <w:r w:rsidR="00055638">
        <w:t xml:space="preserve">, </w:t>
      </w:r>
      <w:r w:rsidR="00502AB0">
        <w:t xml:space="preserve">both in </w:t>
      </w:r>
      <w:r w:rsidR="0063607D">
        <w:t xml:space="preserve">respect of </w:t>
      </w:r>
      <w:r w:rsidR="00E150D0">
        <w:t>SACOSS’s</w:t>
      </w:r>
      <w:r w:rsidR="004E2009">
        <w:t xml:space="preserve"> Application and </w:t>
      </w:r>
      <w:r w:rsidR="00055638">
        <w:t xml:space="preserve">Proposed </w:t>
      </w:r>
      <w:r w:rsidR="00502AB0">
        <w:t>Amended Application (‘</w:t>
      </w:r>
      <w:proofErr w:type="spellStart"/>
      <w:r w:rsidR="00502AB0">
        <w:rPr>
          <w:b/>
        </w:rPr>
        <w:t>opex</w:t>
      </w:r>
      <w:proofErr w:type="spellEnd"/>
      <w:r w:rsidR="00502AB0" w:rsidRPr="00502AB0">
        <w:rPr>
          <w:b/>
        </w:rPr>
        <w:t xml:space="preserve"> grounds</w:t>
      </w:r>
      <w:r w:rsidR="00502AB0">
        <w:t>’)</w:t>
      </w:r>
      <w:r w:rsidR="00DC5D95">
        <w:t>.</w:t>
      </w:r>
    </w:p>
    <w:p w:rsidR="00EA04D9" w:rsidRDefault="00C029AE" w:rsidP="00C029AE">
      <w:pPr>
        <w:pStyle w:val="ParaNumbering"/>
        <w:numPr>
          <w:ilvl w:val="0"/>
          <w:numId w:val="0"/>
        </w:numPr>
        <w:ind w:hanging="720"/>
      </w:pPr>
      <w:r>
        <w:rPr>
          <w:sz w:val="20"/>
        </w:rPr>
        <w:t>27</w:t>
      </w:r>
      <w:r>
        <w:rPr>
          <w:sz w:val="20"/>
        </w:rPr>
        <w:tab/>
      </w:r>
      <w:r w:rsidR="00EA04D9">
        <w:t xml:space="preserve">A party may be permitted to raise an argument before the Tribunal if it can be identified as broadly arising out of a matter fairly raised by that party before the final determination was </w:t>
      </w:r>
      <w:r w:rsidR="0063607D">
        <w:t>made:</w:t>
      </w:r>
      <w:r w:rsidR="00982955" w:rsidRPr="00982955">
        <w:t xml:space="preserve"> </w:t>
      </w:r>
      <w:r w:rsidR="00982955" w:rsidRPr="00982955">
        <w:rPr>
          <w:i/>
        </w:rPr>
        <w:t xml:space="preserve">Applications by Public Interest Advocacy Centre Ltd and </w:t>
      </w:r>
      <w:proofErr w:type="spellStart"/>
      <w:r w:rsidR="00982955" w:rsidRPr="00982955">
        <w:rPr>
          <w:i/>
        </w:rPr>
        <w:t>Ausgrid</w:t>
      </w:r>
      <w:proofErr w:type="spellEnd"/>
      <w:r w:rsidR="00982955" w:rsidRPr="00982955">
        <w:t xml:space="preserve"> [2016] </w:t>
      </w:r>
      <w:proofErr w:type="spellStart"/>
      <w:r w:rsidR="00982955" w:rsidRPr="00982955">
        <w:t>ACompT</w:t>
      </w:r>
      <w:proofErr w:type="spellEnd"/>
      <w:r w:rsidR="002435E9">
        <w:t> </w:t>
      </w:r>
      <w:r w:rsidR="00982955" w:rsidRPr="00982955">
        <w:t>1</w:t>
      </w:r>
      <w:r w:rsidR="00EA04D9">
        <w:t xml:space="preserve"> at [698]</w:t>
      </w:r>
      <w:r w:rsidR="009410E7">
        <w:t xml:space="preserve"> (‘</w:t>
      </w:r>
      <w:r w:rsidR="009410E7">
        <w:rPr>
          <w:b/>
          <w:i/>
        </w:rPr>
        <w:t xml:space="preserve">PIAC and </w:t>
      </w:r>
      <w:proofErr w:type="spellStart"/>
      <w:r w:rsidR="009410E7">
        <w:rPr>
          <w:b/>
          <w:i/>
        </w:rPr>
        <w:t>Ausgrid</w:t>
      </w:r>
      <w:proofErr w:type="spellEnd"/>
      <w:r w:rsidR="009410E7">
        <w:rPr>
          <w:i/>
        </w:rPr>
        <w:t>’)</w:t>
      </w:r>
      <w:r w:rsidR="0063607D">
        <w:t>;</w:t>
      </w:r>
      <w:r w:rsidR="00EA04D9">
        <w:t xml:space="preserve"> </w:t>
      </w:r>
      <w:r w:rsidR="00D267D3" w:rsidRPr="00D267D3">
        <w:rPr>
          <w:i/>
        </w:rPr>
        <w:t xml:space="preserve">Application by </w:t>
      </w:r>
      <w:proofErr w:type="spellStart"/>
      <w:r w:rsidR="00D267D3" w:rsidRPr="00D267D3">
        <w:rPr>
          <w:i/>
        </w:rPr>
        <w:t>EnergyAustralia</w:t>
      </w:r>
      <w:proofErr w:type="spellEnd"/>
      <w:r w:rsidR="00D267D3" w:rsidRPr="00D267D3">
        <w:rPr>
          <w:i/>
        </w:rPr>
        <w:t xml:space="preserve"> and Others</w:t>
      </w:r>
      <w:r w:rsidR="00D267D3" w:rsidRPr="00D267D3">
        <w:t xml:space="preserve"> [2009] </w:t>
      </w:r>
      <w:proofErr w:type="spellStart"/>
      <w:r w:rsidR="00D267D3" w:rsidRPr="00D267D3">
        <w:t>ACompT</w:t>
      </w:r>
      <w:proofErr w:type="spellEnd"/>
      <w:r w:rsidR="002435E9">
        <w:t> </w:t>
      </w:r>
      <w:r w:rsidR="00D267D3" w:rsidRPr="00D267D3">
        <w:t>8</w:t>
      </w:r>
      <w:r w:rsidR="00D267D3">
        <w:t xml:space="preserve"> </w:t>
      </w:r>
      <w:r w:rsidR="004E2009">
        <w:t>at [312</w:t>
      </w:r>
      <w:r w:rsidR="00EA04D9">
        <w:t>(f)].</w:t>
      </w:r>
    </w:p>
    <w:p w:rsidR="0063607D" w:rsidRDefault="00C029AE" w:rsidP="00C029AE">
      <w:pPr>
        <w:pStyle w:val="ParaNumbering"/>
        <w:numPr>
          <w:ilvl w:val="0"/>
          <w:numId w:val="0"/>
        </w:numPr>
        <w:ind w:hanging="720"/>
      </w:pPr>
      <w:r>
        <w:rPr>
          <w:sz w:val="20"/>
        </w:rPr>
        <w:t>28</w:t>
      </w:r>
      <w:r>
        <w:rPr>
          <w:sz w:val="20"/>
        </w:rPr>
        <w:tab/>
      </w:r>
      <w:r w:rsidR="0063607D">
        <w:t>There are two key policy considerations relevant to s 71O(2)</w:t>
      </w:r>
      <w:r w:rsidR="004E2009">
        <w:t>(c)</w:t>
      </w:r>
      <w:r w:rsidR="0063607D">
        <w:t xml:space="preserve"> of NEL:</w:t>
      </w:r>
    </w:p>
    <w:p w:rsidR="0063607D" w:rsidRDefault="00C029AE" w:rsidP="00C029AE">
      <w:pPr>
        <w:pStyle w:val="ListNo1"/>
        <w:numPr>
          <w:ilvl w:val="0"/>
          <w:numId w:val="0"/>
        </w:numPr>
        <w:tabs>
          <w:tab w:val="left" w:pos="720"/>
        </w:tabs>
        <w:ind w:left="720" w:hanging="720"/>
      </w:pPr>
      <w:r>
        <w:t>(a)</w:t>
      </w:r>
      <w:r>
        <w:tab/>
      </w:r>
      <w:r w:rsidR="00055638" w:rsidRPr="00D267D3">
        <w:rPr>
          <w:i/>
        </w:rPr>
        <w:t xml:space="preserve">first, </w:t>
      </w:r>
      <w:r w:rsidR="0063607D">
        <w:t xml:space="preserve">to ensure efficiency in the process of regulatory determinations, by limiting the matters which can properly be the subject of merits review: </w:t>
      </w:r>
      <w:r w:rsidR="00D267D3" w:rsidRPr="00D267D3">
        <w:rPr>
          <w:i/>
        </w:rPr>
        <w:t>Application by Ergon Energy Corporation Limited (Street Lighting Services) (No 6)</w:t>
      </w:r>
      <w:r w:rsidR="00D267D3" w:rsidRPr="00D267D3">
        <w:t xml:space="preserve"> [2010] </w:t>
      </w:r>
      <w:proofErr w:type="spellStart"/>
      <w:r w:rsidR="00D267D3" w:rsidRPr="00D267D3">
        <w:t>ACompT</w:t>
      </w:r>
      <w:proofErr w:type="spellEnd"/>
      <w:r w:rsidR="00D267D3" w:rsidRPr="00D267D3">
        <w:t xml:space="preserve"> 14</w:t>
      </w:r>
      <w:r w:rsidR="004E2009">
        <w:t xml:space="preserve"> </w:t>
      </w:r>
      <w:r w:rsidR="00055638">
        <w:t xml:space="preserve">at </w:t>
      </w:r>
      <w:r w:rsidR="0063607D">
        <w:t>[42]; and</w:t>
      </w:r>
    </w:p>
    <w:p w:rsidR="0063607D" w:rsidRDefault="00C029AE" w:rsidP="00C029AE">
      <w:pPr>
        <w:pStyle w:val="ListNo1"/>
        <w:numPr>
          <w:ilvl w:val="0"/>
          <w:numId w:val="0"/>
        </w:numPr>
        <w:tabs>
          <w:tab w:val="left" w:pos="720"/>
        </w:tabs>
        <w:ind w:left="720" w:hanging="720"/>
      </w:pPr>
      <w:r>
        <w:lastRenderedPageBreak/>
        <w:t>(b)</w:t>
      </w:r>
      <w:r>
        <w:tab/>
      </w:r>
      <w:r w:rsidR="00055638">
        <w:rPr>
          <w:i/>
        </w:rPr>
        <w:t xml:space="preserve">second, </w:t>
      </w:r>
      <w:r w:rsidR="0063607D">
        <w:t>to ensure fairness in the decision making process, by allowing the regulated network service provider, the AER and interested parties to make submissions on matters raised during the decision making process</w:t>
      </w:r>
      <w:r w:rsidR="0063607D" w:rsidRPr="008378C4">
        <w:t xml:space="preserve">.  </w:t>
      </w:r>
    </w:p>
    <w:p w:rsidR="0063607D" w:rsidRDefault="00C029AE" w:rsidP="00C029AE">
      <w:pPr>
        <w:pStyle w:val="ParaNumbering"/>
        <w:numPr>
          <w:ilvl w:val="0"/>
          <w:numId w:val="0"/>
        </w:numPr>
        <w:ind w:hanging="720"/>
      </w:pPr>
      <w:r>
        <w:rPr>
          <w:sz w:val="20"/>
        </w:rPr>
        <w:t>29</w:t>
      </w:r>
      <w:r>
        <w:rPr>
          <w:sz w:val="20"/>
        </w:rPr>
        <w:tab/>
      </w:r>
      <w:r w:rsidR="004E2009">
        <w:t>Relevant to the first</w:t>
      </w:r>
      <w:r w:rsidR="0063607D">
        <w:t xml:space="preserve"> policy consideration outlined above, the Tribunal held in </w:t>
      </w:r>
      <w:r w:rsidR="00D267D3" w:rsidRPr="00D267D3">
        <w:rPr>
          <w:i/>
        </w:rPr>
        <w:t xml:space="preserve">Application by United Energy Distribution Pty Limited </w:t>
      </w:r>
      <w:r w:rsidR="00D267D3" w:rsidRPr="00D267D3">
        <w:t xml:space="preserve">[2012] </w:t>
      </w:r>
      <w:proofErr w:type="spellStart"/>
      <w:r w:rsidR="00D267D3" w:rsidRPr="00D267D3">
        <w:t>ACompT</w:t>
      </w:r>
      <w:proofErr w:type="spellEnd"/>
      <w:r w:rsidR="00D267D3" w:rsidRPr="00D267D3">
        <w:t xml:space="preserve"> </w:t>
      </w:r>
      <w:r w:rsidR="004E2009">
        <w:t xml:space="preserve">1 </w:t>
      </w:r>
      <w:r w:rsidR="0063607D">
        <w:t>at [104]:</w:t>
      </w:r>
    </w:p>
    <w:p w:rsidR="0063607D" w:rsidRPr="00B401A5" w:rsidRDefault="0063607D" w:rsidP="0063607D">
      <w:pPr>
        <w:pStyle w:val="Quote1"/>
        <w:rPr>
          <w:i/>
        </w:rPr>
      </w:pPr>
      <w:r w:rsidRPr="00B401A5">
        <w:rPr>
          <w:i/>
        </w:rPr>
        <w:t xml:space="preserve">There are good reasons why the Tribunal is not permitted to deal with matters (including submissions and arguments) not </w:t>
      </w:r>
      <w:proofErr w:type="gramStart"/>
      <w:r w:rsidRPr="00B401A5">
        <w:rPr>
          <w:i/>
        </w:rPr>
        <w:t>raised</w:t>
      </w:r>
      <w:proofErr w:type="gramEnd"/>
      <w:r w:rsidRPr="00B401A5">
        <w:rPr>
          <w:i/>
        </w:rPr>
        <w:t xml:space="preserve"> in submissions before the AER. The AER is the regulator. The Tribunal is the reviewing authority, not the regulator. A review by the Tribunal is limited to the grounds specified in s 71C. It is not a full-blown reconsideration of the AER</w:t>
      </w:r>
      <w:r w:rsidRPr="008378C4">
        <w:rPr>
          <w:i/>
        </w:rPr>
        <w:t>’</w:t>
      </w:r>
      <w:r w:rsidRPr="00B401A5">
        <w:rPr>
          <w:i/>
        </w:rPr>
        <w:t xml:space="preserve">s decision equivalent to a hearing </w:t>
      </w:r>
      <w:r w:rsidRPr="004E2009">
        <w:t>de novo</w:t>
      </w:r>
      <w:r w:rsidRPr="00B401A5">
        <w:rPr>
          <w:i/>
        </w:rPr>
        <w:t>. The legislature intended to ensure, as far as possible, that the regulation of the industry did not become mired in endless decisions and reconsiderations.</w:t>
      </w:r>
    </w:p>
    <w:p w:rsidR="0063607D" w:rsidRDefault="00C029AE" w:rsidP="00C029AE">
      <w:pPr>
        <w:pStyle w:val="ParaNumbering"/>
        <w:numPr>
          <w:ilvl w:val="0"/>
          <w:numId w:val="0"/>
        </w:numPr>
        <w:ind w:hanging="720"/>
      </w:pPr>
      <w:r>
        <w:rPr>
          <w:sz w:val="20"/>
        </w:rPr>
        <w:t>30</w:t>
      </w:r>
      <w:r>
        <w:rPr>
          <w:sz w:val="20"/>
        </w:rPr>
        <w:tab/>
      </w:r>
      <w:r w:rsidR="0063607D">
        <w:t xml:space="preserve">In relation to the second policy consideration outlined above, in </w:t>
      </w:r>
      <w:r w:rsidR="0063607D" w:rsidRPr="00B401A5">
        <w:rPr>
          <w:i/>
        </w:rPr>
        <w:t>Application by Ergon Energy Corporation Limited (Street Lighting Services) (No 6)</w:t>
      </w:r>
      <w:r w:rsidR="0063607D">
        <w:t xml:space="preserve"> [2010] </w:t>
      </w:r>
      <w:proofErr w:type="spellStart"/>
      <w:r w:rsidR="0063607D">
        <w:t>ACompT</w:t>
      </w:r>
      <w:proofErr w:type="spellEnd"/>
      <w:r w:rsidR="0063607D">
        <w:t xml:space="preserve"> 14 at [31], the Tribunal held:</w:t>
      </w:r>
    </w:p>
    <w:p w:rsidR="0063607D" w:rsidRPr="0063607D" w:rsidRDefault="0063607D" w:rsidP="0063607D">
      <w:pPr>
        <w:pStyle w:val="Quote1"/>
        <w:rPr>
          <w:i/>
        </w:rPr>
      </w:pPr>
      <w:r w:rsidRPr="0063607D">
        <w:rPr>
          <w:i/>
        </w:rPr>
        <w:t>Had Ergon Energy’s Regulatory Proposal not accepted the AER’s classification of services, interested parties may well have made submissions to the AER on the issue. Also, had Ergon Energy been successful in persuading the AER to decide that street lighting is not a distribution service, those interested parties who made such a submission could challenge the decision before the Tribunal. If, however, the issue were to be allowed to be pursued in the manner now proposed by Ergon Energy, those interested parties would be denied an opportunity to be heard unless the Tribunal put a procedure in place to allow such interested parties to come before it. This would involve delay and expense.</w:t>
      </w:r>
    </w:p>
    <w:p w:rsidR="00055638" w:rsidRPr="00592649" w:rsidRDefault="00C029AE" w:rsidP="00C029AE">
      <w:pPr>
        <w:pStyle w:val="ParaNumbering"/>
        <w:numPr>
          <w:ilvl w:val="0"/>
          <w:numId w:val="0"/>
        </w:numPr>
        <w:ind w:hanging="720"/>
      </w:pPr>
      <w:r w:rsidRPr="00592649">
        <w:rPr>
          <w:sz w:val="20"/>
        </w:rPr>
        <w:t>31</w:t>
      </w:r>
      <w:r w:rsidRPr="00592649">
        <w:rPr>
          <w:sz w:val="20"/>
        </w:rPr>
        <w:tab/>
      </w:r>
      <w:r w:rsidR="0063607D" w:rsidRPr="00806E3E">
        <w:t>Therefore</w:t>
      </w:r>
      <w:r w:rsidR="00CA3DC7" w:rsidRPr="00806E3E">
        <w:t xml:space="preserve">, where leave to review is sought by an interested person, it is both costly and unfair to the AER and to the regulated network service provider to allow the interested person to raise, as an alleged error, a matter that was not fairly raised in submissions to the AER during its decision making process.  The object of the prescriptive decision making process under the </w:t>
      </w:r>
      <w:r w:rsidR="005854F5" w:rsidRPr="00806E3E">
        <w:t>NEL</w:t>
      </w:r>
      <w:r w:rsidR="00CA3DC7" w:rsidRPr="00806E3E">
        <w:t xml:space="preserve"> is to enable contentious issues to be identified and resolved.  A review before the Tribunal is confined to such matters; it is not a forum for raising new contentions that could have been raised before the AER but were not.</w:t>
      </w:r>
    </w:p>
    <w:p w:rsidR="00FE03E0" w:rsidRDefault="0064439D" w:rsidP="00767EC9">
      <w:pPr>
        <w:pStyle w:val="Heading2"/>
      </w:pPr>
      <w:r>
        <w:t>Objection</w:t>
      </w:r>
      <w:r w:rsidR="00DD4D8B">
        <w:t>s</w:t>
      </w:r>
      <w:r>
        <w:t xml:space="preserve"> to </w:t>
      </w:r>
      <w:r w:rsidR="0063607D">
        <w:t xml:space="preserve">original </w:t>
      </w:r>
      <w:r>
        <w:t>paragraph</w:t>
      </w:r>
      <w:r w:rsidR="00DD4D8B">
        <w:t xml:space="preserve"> 49</w:t>
      </w:r>
      <w:r>
        <w:t xml:space="preserve"> </w:t>
      </w:r>
      <w:r w:rsidR="005854F5">
        <w:t xml:space="preserve">in </w:t>
      </w:r>
      <w:r w:rsidR="00E150D0">
        <w:t>SACOSS’s</w:t>
      </w:r>
      <w:r w:rsidR="005854F5">
        <w:t xml:space="preserve"> Application</w:t>
      </w:r>
    </w:p>
    <w:p w:rsidR="00172CB6" w:rsidRDefault="00C029AE" w:rsidP="00C029AE">
      <w:pPr>
        <w:pStyle w:val="ParaNumbering"/>
        <w:numPr>
          <w:ilvl w:val="0"/>
          <w:numId w:val="0"/>
        </w:numPr>
        <w:ind w:hanging="720"/>
      </w:pPr>
      <w:r>
        <w:rPr>
          <w:sz w:val="20"/>
        </w:rPr>
        <w:t>32</w:t>
      </w:r>
      <w:r>
        <w:rPr>
          <w:sz w:val="20"/>
        </w:rPr>
        <w:tab/>
      </w:r>
      <w:r w:rsidR="00055638">
        <w:t>SACOSS submitted</w:t>
      </w:r>
      <w:r w:rsidR="00172CB6">
        <w:t xml:space="preserve"> that the grounds of review at </w:t>
      </w:r>
      <w:r w:rsidR="006868F8">
        <w:t>original paragraph</w:t>
      </w:r>
      <w:r w:rsidR="00172CB6">
        <w:t xml:space="preserve"> 49 raise matters that can be identified as broadly arising from the submis</w:t>
      </w:r>
      <w:r w:rsidR="00DD4D8B">
        <w:t xml:space="preserve">sions made by SACOSS to the AER. </w:t>
      </w:r>
    </w:p>
    <w:p w:rsidR="0077416C" w:rsidRDefault="00C029AE" w:rsidP="00C029AE">
      <w:pPr>
        <w:pStyle w:val="ParaNumbering"/>
        <w:numPr>
          <w:ilvl w:val="0"/>
          <w:numId w:val="0"/>
        </w:numPr>
        <w:ind w:hanging="720"/>
      </w:pPr>
      <w:r>
        <w:rPr>
          <w:sz w:val="20"/>
        </w:rPr>
        <w:t>33</w:t>
      </w:r>
      <w:r>
        <w:rPr>
          <w:sz w:val="20"/>
        </w:rPr>
        <w:tab/>
      </w:r>
      <w:r w:rsidR="0077416C">
        <w:t xml:space="preserve">SACOSS raised the following </w:t>
      </w:r>
      <w:r w:rsidR="006868F8">
        <w:t>with regard</w:t>
      </w:r>
      <w:r w:rsidR="0077416C">
        <w:t xml:space="preserve"> to base year </w:t>
      </w:r>
      <w:proofErr w:type="spellStart"/>
      <w:r w:rsidR="0077416C">
        <w:t>opex</w:t>
      </w:r>
      <w:proofErr w:type="spellEnd"/>
      <w:r w:rsidR="0077416C">
        <w:t xml:space="preserve"> in its submissions to the AER prior to the Final Decision:</w:t>
      </w:r>
    </w:p>
    <w:p w:rsidR="0077416C" w:rsidRDefault="00C029AE" w:rsidP="00C029AE">
      <w:pPr>
        <w:pStyle w:val="ListNo1"/>
        <w:numPr>
          <w:ilvl w:val="0"/>
          <w:numId w:val="0"/>
        </w:numPr>
        <w:tabs>
          <w:tab w:val="left" w:pos="720"/>
        </w:tabs>
        <w:ind w:left="720" w:hanging="720"/>
      </w:pPr>
      <w:r>
        <w:lastRenderedPageBreak/>
        <w:t>(a)</w:t>
      </w:r>
      <w:r>
        <w:tab/>
      </w:r>
      <w:r w:rsidR="0077416C">
        <w:t xml:space="preserve">the </w:t>
      </w:r>
      <w:proofErr w:type="spellStart"/>
      <w:r w:rsidR="0077416C">
        <w:t>opex</w:t>
      </w:r>
      <w:proofErr w:type="spellEnd"/>
      <w:r w:rsidR="0077416C">
        <w:t xml:space="preserve"> levels allowed for in the preliminary decision of</w:t>
      </w:r>
      <w:r w:rsidR="00055638">
        <w:t xml:space="preserve"> 3</w:t>
      </w:r>
      <w:r w:rsidR="0077416C">
        <w:t xml:space="preserve">0 April 2015, regarding SAPN’s original regulatory proposal submitted to the AER on 31 October 2014 were higher than those in the 2005-10 regulatory period, and </w:t>
      </w:r>
      <w:r w:rsidR="00592649">
        <w:t xml:space="preserve">SACOSS </w:t>
      </w:r>
      <w:r w:rsidR="0077416C">
        <w:t xml:space="preserve">called on the AER to review its </w:t>
      </w:r>
      <w:proofErr w:type="spellStart"/>
      <w:r w:rsidR="0077416C">
        <w:t>opex</w:t>
      </w:r>
      <w:proofErr w:type="spellEnd"/>
      <w:r w:rsidR="0077416C">
        <w:t xml:space="preserve"> findings and determine the material causes for the increases in the 2005-10 regulatory period; and</w:t>
      </w:r>
    </w:p>
    <w:p w:rsidR="0077416C" w:rsidRDefault="00C029AE" w:rsidP="00C029AE">
      <w:pPr>
        <w:pStyle w:val="ListNo1"/>
        <w:numPr>
          <w:ilvl w:val="0"/>
          <w:numId w:val="0"/>
        </w:numPr>
        <w:tabs>
          <w:tab w:val="left" w:pos="720"/>
        </w:tabs>
        <w:ind w:left="720" w:hanging="720"/>
      </w:pPr>
      <w:r>
        <w:t>(b)</w:t>
      </w:r>
      <w:r>
        <w:tab/>
      </w:r>
      <w:r w:rsidR="0077416C">
        <w:t>its concern that the AER</w:t>
      </w:r>
      <w:r w:rsidR="0077416C" w:rsidRPr="008378C4">
        <w:t>’</w:t>
      </w:r>
      <w:r w:rsidR="0077416C">
        <w:t xml:space="preserve">s approach of using a recent base year rather than examining a long term average of </w:t>
      </w:r>
      <w:proofErr w:type="spellStart"/>
      <w:r w:rsidR="0077416C">
        <w:t>opex</w:t>
      </w:r>
      <w:proofErr w:type="spellEnd"/>
      <w:r w:rsidR="0077416C">
        <w:t xml:space="preserve"> was distortionary, encouraged a </w:t>
      </w:r>
      <w:r w:rsidR="0077416C" w:rsidRPr="008378C4">
        <w:t>‘</w:t>
      </w:r>
      <w:r w:rsidR="0077416C">
        <w:t>status quo</w:t>
      </w:r>
      <w:r w:rsidR="0077416C" w:rsidRPr="008378C4">
        <w:t>’</w:t>
      </w:r>
      <w:r w:rsidR="0077416C">
        <w:t xml:space="preserve"> approach to spending, and undermined the supposed incentive properties of the regulatory regime.</w:t>
      </w:r>
    </w:p>
    <w:p w:rsidR="0064439D" w:rsidRDefault="00C029AE" w:rsidP="00C029AE">
      <w:pPr>
        <w:pStyle w:val="ParaNumbering"/>
        <w:numPr>
          <w:ilvl w:val="0"/>
          <w:numId w:val="0"/>
        </w:numPr>
        <w:ind w:hanging="720"/>
      </w:pPr>
      <w:r>
        <w:rPr>
          <w:sz w:val="20"/>
        </w:rPr>
        <w:t>34</w:t>
      </w:r>
      <w:r>
        <w:rPr>
          <w:sz w:val="20"/>
        </w:rPr>
        <w:tab/>
      </w:r>
      <w:r w:rsidR="00592649">
        <w:t>Despite this, t</w:t>
      </w:r>
      <w:r w:rsidR="00055638">
        <w:t xml:space="preserve">he AER contended </w:t>
      </w:r>
      <w:r w:rsidR="0064439D">
        <w:t xml:space="preserve">that </w:t>
      </w:r>
      <w:r w:rsidR="00E150D0">
        <w:t>SACOSS’s</w:t>
      </w:r>
      <w:r w:rsidR="0064439D">
        <w:t xml:space="preserve"> submission on </w:t>
      </w:r>
      <w:proofErr w:type="spellStart"/>
      <w:r w:rsidR="0064439D">
        <w:t>opex</w:t>
      </w:r>
      <w:proofErr w:type="spellEnd"/>
      <w:r w:rsidR="0064439D">
        <w:t xml:space="preserve"> </w:t>
      </w:r>
      <w:r w:rsidR="00592649">
        <w:t xml:space="preserve">can in fact </w:t>
      </w:r>
      <w:r w:rsidR="0064439D">
        <w:t>be summarised as follows:</w:t>
      </w:r>
    </w:p>
    <w:p w:rsidR="0064439D" w:rsidRDefault="00C029AE" w:rsidP="00C029AE">
      <w:pPr>
        <w:pStyle w:val="ListNo1"/>
        <w:numPr>
          <w:ilvl w:val="0"/>
          <w:numId w:val="0"/>
        </w:numPr>
        <w:tabs>
          <w:tab w:val="left" w:pos="720"/>
        </w:tabs>
        <w:ind w:left="720" w:hanging="720"/>
      </w:pPr>
      <w:r>
        <w:t>(a)</w:t>
      </w:r>
      <w:r>
        <w:tab/>
      </w:r>
      <w:r w:rsidR="00E150D0">
        <w:t>SACOSS’s</w:t>
      </w:r>
      <w:r w:rsidR="0064439D">
        <w:t xml:space="preserve"> January </w:t>
      </w:r>
      <w:r w:rsidR="00055638">
        <w:t>Submission</w:t>
      </w:r>
      <w:r w:rsidR="0064439D">
        <w:t xml:space="preserve"> did not expressly address </w:t>
      </w:r>
      <w:proofErr w:type="spellStart"/>
      <w:r w:rsidR="0064439D">
        <w:t>opex</w:t>
      </w:r>
      <w:proofErr w:type="spellEnd"/>
      <w:r w:rsidR="0064439D">
        <w:t>, let alone the corporate and other operating costs component.</w:t>
      </w:r>
    </w:p>
    <w:p w:rsidR="0064439D" w:rsidRDefault="00C029AE" w:rsidP="00C029AE">
      <w:pPr>
        <w:pStyle w:val="ListNo1"/>
        <w:numPr>
          <w:ilvl w:val="0"/>
          <w:numId w:val="0"/>
        </w:numPr>
        <w:tabs>
          <w:tab w:val="left" w:pos="720"/>
        </w:tabs>
        <w:ind w:left="720" w:hanging="720"/>
      </w:pPr>
      <w:r>
        <w:t>(b)</w:t>
      </w:r>
      <w:r>
        <w:tab/>
      </w:r>
      <w:r w:rsidR="00E150D0">
        <w:t>SACOSS’s</w:t>
      </w:r>
      <w:r w:rsidR="0064439D">
        <w:t xml:space="preserve"> 2 July </w:t>
      </w:r>
      <w:r w:rsidR="00055638">
        <w:t>Submission</w:t>
      </w:r>
      <w:r w:rsidR="0064439D">
        <w:t xml:space="preserve"> urged the AER to determine the cause of the increase in SAPN’s </w:t>
      </w:r>
      <w:proofErr w:type="spellStart"/>
      <w:r w:rsidR="0064439D">
        <w:t>opex</w:t>
      </w:r>
      <w:proofErr w:type="spellEnd"/>
      <w:r w:rsidR="0064439D">
        <w:t xml:space="preserve"> in the previous regulatory period, but did not make any submission concerning the corporate and other operating costs component or otherwise contend that the AER</w:t>
      </w:r>
      <w:r w:rsidR="0064439D" w:rsidRPr="008378C4">
        <w:t>’</w:t>
      </w:r>
      <w:r w:rsidR="0064439D">
        <w:t>s preliminary decision was in error in that respect.</w:t>
      </w:r>
    </w:p>
    <w:p w:rsidR="006868F8" w:rsidRDefault="00C029AE" w:rsidP="00C029AE">
      <w:pPr>
        <w:pStyle w:val="ListNo1"/>
        <w:numPr>
          <w:ilvl w:val="0"/>
          <w:numId w:val="0"/>
        </w:numPr>
        <w:tabs>
          <w:tab w:val="left" w:pos="720"/>
        </w:tabs>
        <w:ind w:left="720" w:hanging="720"/>
      </w:pPr>
      <w:r>
        <w:t>(c)</w:t>
      </w:r>
      <w:r>
        <w:tab/>
      </w:r>
      <w:r w:rsidR="00E150D0">
        <w:t>SACOSS’s</w:t>
      </w:r>
      <w:r w:rsidR="00055638">
        <w:t xml:space="preserve"> 24 July </w:t>
      </w:r>
      <w:r w:rsidR="0064439D">
        <w:t>Submission</w:t>
      </w:r>
      <w:r w:rsidR="00055638">
        <w:t xml:space="preserve"> </w:t>
      </w:r>
      <w:r w:rsidR="0064439D">
        <w:t>expressed concerns with respect to the AER</w:t>
      </w:r>
      <w:r w:rsidR="0064439D" w:rsidRPr="008378C4">
        <w:t>’</w:t>
      </w:r>
      <w:r w:rsidR="0064439D">
        <w:t xml:space="preserve">s approach of using a recent base year for assessing the </w:t>
      </w:r>
      <w:proofErr w:type="spellStart"/>
      <w:r w:rsidR="0064439D">
        <w:t>opex</w:t>
      </w:r>
      <w:proofErr w:type="spellEnd"/>
      <w:r w:rsidR="0064439D">
        <w:t xml:space="preserve"> forecast, made reference to analysis prepared by Bev Hughson, a member </w:t>
      </w:r>
      <w:r w:rsidR="00055638">
        <w:t>of the Consumer Challenge Panel</w:t>
      </w:r>
      <w:r w:rsidR="0064439D">
        <w:t xml:space="preserve"> dated 13 May 2015</w:t>
      </w:r>
      <w:r w:rsidR="00055638">
        <w:t>,</w:t>
      </w:r>
      <w:r w:rsidR="0064439D">
        <w:t xml:space="preserve"> and highlighted the rapid rise in </w:t>
      </w:r>
      <w:proofErr w:type="spellStart"/>
      <w:r w:rsidR="0064439D">
        <w:t>opex</w:t>
      </w:r>
      <w:proofErr w:type="spellEnd"/>
      <w:r w:rsidR="0064439D">
        <w:t>.</w:t>
      </w:r>
      <w:r w:rsidR="00551287">
        <w:t xml:space="preserve"> </w:t>
      </w:r>
      <w:r w:rsidR="0064439D">
        <w:t xml:space="preserve"> The analysis by Ms</w:t>
      </w:r>
      <w:r w:rsidR="002435E9">
        <w:t> </w:t>
      </w:r>
      <w:r w:rsidR="0064439D">
        <w:t xml:space="preserve">Hughson restated the increase in </w:t>
      </w:r>
      <w:proofErr w:type="spellStart"/>
      <w:r w:rsidR="0064439D">
        <w:t>opex</w:t>
      </w:r>
      <w:proofErr w:type="spellEnd"/>
      <w:r w:rsidR="0064439D">
        <w:t xml:space="preserve"> over the prior regulatory period</w:t>
      </w:r>
      <w:r w:rsidR="0064439D" w:rsidRPr="008378C4">
        <w:t xml:space="preserve">. </w:t>
      </w:r>
    </w:p>
    <w:p w:rsidR="00592649" w:rsidRDefault="00C029AE" w:rsidP="00C029AE">
      <w:pPr>
        <w:pStyle w:val="ListNo1"/>
        <w:numPr>
          <w:ilvl w:val="0"/>
          <w:numId w:val="0"/>
        </w:numPr>
        <w:tabs>
          <w:tab w:val="left" w:pos="720"/>
        </w:tabs>
        <w:ind w:left="720" w:hanging="720"/>
      </w:pPr>
      <w:r>
        <w:t>(d)</w:t>
      </w:r>
      <w:r>
        <w:tab/>
      </w:r>
      <w:r w:rsidR="00DD4D8B">
        <w:t>As such</w:t>
      </w:r>
      <w:r w:rsidR="00592649">
        <w:t>, none of</w:t>
      </w:r>
      <w:r w:rsidR="0077416C">
        <w:t xml:space="preserve"> </w:t>
      </w:r>
      <w:r w:rsidR="00E150D0">
        <w:t>SACOSS’s</w:t>
      </w:r>
      <w:r w:rsidR="0077416C">
        <w:t xml:space="preserve"> submission to the AER mention</w:t>
      </w:r>
      <w:r w:rsidR="00DD4D8B">
        <w:t>ed</w:t>
      </w:r>
      <w:r w:rsidR="0077416C">
        <w:t xml:space="preserve"> ‘</w:t>
      </w:r>
      <w:r w:rsidR="006868F8">
        <w:t>c</w:t>
      </w:r>
      <w:r w:rsidR="0077416C">
        <w:t xml:space="preserve">orporate and other operating costs’ at all. </w:t>
      </w:r>
      <w:r w:rsidR="00055638">
        <w:t xml:space="preserve"> </w:t>
      </w:r>
    </w:p>
    <w:p w:rsidR="0077416C" w:rsidRDefault="00C029AE" w:rsidP="00C029AE">
      <w:pPr>
        <w:pStyle w:val="ParaNumbering"/>
        <w:numPr>
          <w:ilvl w:val="0"/>
          <w:numId w:val="0"/>
        </w:numPr>
        <w:ind w:hanging="720"/>
      </w:pPr>
      <w:r>
        <w:rPr>
          <w:sz w:val="20"/>
        </w:rPr>
        <w:t>35</w:t>
      </w:r>
      <w:r>
        <w:rPr>
          <w:sz w:val="20"/>
        </w:rPr>
        <w:tab/>
      </w:r>
      <w:r w:rsidR="00806E3E">
        <w:t>The Tribunal accepts</w:t>
      </w:r>
      <w:r w:rsidR="00055638">
        <w:t xml:space="preserve"> the AER’s submission</w:t>
      </w:r>
      <w:r w:rsidR="00CB3A35">
        <w:t>s</w:t>
      </w:r>
      <w:r w:rsidR="00806E3E">
        <w:t xml:space="preserve"> in this regard</w:t>
      </w:r>
      <w:r w:rsidR="002435E9">
        <w:t xml:space="preserve">.  </w:t>
      </w:r>
      <w:r w:rsidR="004E2009">
        <w:t>Further, t</w:t>
      </w:r>
      <w:r w:rsidR="00055638">
        <w:t xml:space="preserve">he Tribunal </w:t>
      </w:r>
      <w:r w:rsidR="004E2009">
        <w:t>considers</w:t>
      </w:r>
      <w:r w:rsidR="00055638">
        <w:t xml:space="preserve"> that </w:t>
      </w:r>
      <w:r w:rsidR="00E150D0">
        <w:t>SACOSS’s</w:t>
      </w:r>
      <w:r w:rsidR="0077416C">
        <w:t xml:space="preserve"> concern regarding the</w:t>
      </w:r>
      <w:r w:rsidR="00767EC9">
        <w:t xml:space="preserve"> use of a recent base year was an issue regarding the AER’s general approach to assessing base </w:t>
      </w:r>
      <w:proofErr w:type="spellStart"/>
      <w:r w:rsidR="00767EC9">
        <w:t>opex</w:t>
      </w:r>
      <w:proofErr w:type="spellEnd"/>
      <w:r w:rsidR="00767EC9">
        <w:t>.</w:t>
      </w:r>
      <w:r w:rsidR="00551287">
        <w:t xml:space="preserve"> </w:t>
      </w:r>
      <w:r w:rsidR="0077416C">
        <w:t xml:space="preserve"> </w:t>
      </w:r>
      <w:r w:rsidR="00767EC9">
        <w:t>SACOSS did not c</w:t>
      </w:r>
      <w:r w:rsidR="00CB3A35">
        <w:t>all</w:t>
      </w:r>
      <w:r w:rsidR="00767EC9">
        <w:t xml:space="preserve"> for an assessment of SAPN’s specific base </w:t>
      </w:r>
      <w:proofErr w:type="spellStart"/>
      <w:r w:rsidR="00767EC9">
        <w:t>opex</w:t>
      </w:r>
      <w:proofErr w:type="spellEnd"/>
      <w:r w:rsidR="00767EC9">
        <w:t xml:space="preserve"> or any of its components</w:t>
      </w:r>
      <w:r w:rsidR="00CB3A35">
        <w:t>, such as ‘corporate and other operating costs’</w:t>
      </w:r>
      <w:r w:rsidR="00767EC9">
        <w:t>.</w:t>
      </w:r>
    </w:p>
    <w:p w:rsidR="00C04030" w:rsidRDefault="00C029AE" w:rsidP="00C029AE">
      <w:pPr>
        <w:pStyle w:val="ParaNumbering"/>
        <w:numPr>
          <w:ilvl w:val="0"/>
          <w:numId w:val="0"/>
        </w:numPr>
        <w:ind w:hanging="720"/>
      </w:pPr>
      <w:r>
        <w:rPr>
          <w:sz w:val="20"/>
        </w:rPr>
        <w:t>36</w:t>
      </w:r>
      <w:r>
        <w:rPr>
          <w:sz w:val="20"/>
        </w:rPr>
        <w:tab/>
      </w:r>
      <w:r w:rsidR="00FE03E0">
        <w:t>SACOSS raised only the very broad issue of an overall incr</w:t>
      </w:r>
      <w:r w:rsidR="00A77591">
        <w:t xml:space="preserve">ease in base </w:t>
      </w:r>
      <w:proofErr w:type="spellStart"/>
      <w:r w:rsidR="00A77591">
        <w:t>opex</w:t>
      </w:r>
      <w:proofErr w:type="spellEnd"/>
      <w:r w:rsidR="00A77591">
        <w:t xml:space="preserve"> from the 2005- </w:t>
      </w:r>
      <w:r w:rsidR="00FE03E0">
        <w:t xml:space="preserve">10 regulatory control period and asked the AER to consider the reasons for the increase.  As </w:t>
      </w:r>
      <w:r w:rsidR="00055638">
        <w:t>SAPN</w:t>
      </w:r>
      <w:r w:rsidR="00FE03E0">
        <w:t xml:space="preserve"> submitted, a broad submission of this nature does not satisfy the requ</w:t>
      </w:r>
      <w:r w:rsidR="00172CB6">
        <w:t xml:space="preserve">irements of </w:t>
      </w:r>
      <w:r w:rsidR="00172CB6">
        <w:lastRenderedPageBreak/>
        <w:t>s</w:t>
      </w:r>
      <w:r w:rsidR="00592649">
        <w:t> </w:t>
      </w:r>
      <w:r w:rsidR="00172CB6">
        <w:t>71O(2)</w:t>
      </w:r>
      <w:r w:rsidR="004E2009">
        <w:t>(c)</w:t>
      </w:r>
      <w:r w:rsidR="00172CB6">
        <w:t xml:space="preserve"> of the NEL</w:t>
      </w:r>
      <w:r w:rsidR="00592649">
        <w:t>.</w:t>
      </w:r>
      <w:r w:rsidR="00551287">
        <w:t xml:space="preserve"> </w:t>
      </w:r>
      <w:r w:rsidR="00CB3A35">
        <w:t xml:space="preserve"> The submissions</w:t>
      </w:r>
      <w:r w:rsidR="00055638">
        <w:t xml:space="preserve"> do not descend into the </w:t>
      </w:r>
      <w:r w:rsidR="004E2009">
        <w:t>level of specificity and detail</w:t>
      </w:r>
      <w:r w:rsidR="00055638">
        <w:t xml:space="preserve"> required by that provision</w:t>
      </w:r>
      <w:r w:rsidR="00592649">
        <w:t>, and as such, cannot be properly characterised as ‘</w:t>
      </w:r>
      <w:r w:rsidR="00592649" w:rsidRPr="00371E7B">
        <w:t>a matter…raised by the person o</w:t>
      </w:r>
      <w:r w:rsidR="00CB3A35" w:rsidRPr="00371E7B">
        <w:t>r body in a submission to the A</w:t>
      </w:r>
      <w:r w:rsidR="00592649" w:rsidRPr="00371E7B">
        <w:t>E</w:t>
      </w:r>
      <w:r w:rsidR="00CB3A35" w:rsidRPr="00371E7B">
        <w:t>R</w:t>
      </w:r>
      <w:r w:rsidR="00592649" w:rsidRPr="00371E7B">
        <w:t xml:space="preserve"> before the reviewable regulatory decision was made’</w:t>
      </w:r>
      <w:r w:rsidR="00982955">
        <w:t>:</w:t>
      </w:r>
      <w:r w:rsidR="0004564C">
        <w:t xml:space="preserve"> s 71O(2)(c) of the NEL.</w:t>
      </w:r>
    </w:p>
    <w:p w:rsidR="00EA04D9" w:rsidRDefault="00D62A3D" w:rsidP="00767EC9">
      <w:pPr>
        <w:pStyle w:val="Heading2"/>
      </w:pPr>
      <w:r>
        <w:t>Proposed P</w:t>
      </w:r>
      <w:r w:rsidR="00EA04D9">
        <w:t xml:space="preserve">aragraph 49(a) </w:t>
      </w:r>
    </w:p>
    <w:p w:rsidR="00767EC9" w:rsidRPr="00767EC9" w:rsidRDefault="00767EC9" w:rsidP="00767EC9">
      <w:pPr>
        <w:pStyle w:val="Heading3"/>
      </w:pPr>
      <w:r>
        <w:t xml:space="preserve">Section </w:t>
      </w:r>
      <w:proofErr w:type="gramStart"/>
      <w:r>
        <w:t>71O(</w:t>
      </w:r>
      <w:proofErr w:type="gramEnd"/>
      <w:r>
        <w:t>2)(c)</w:t>
      </w:r>
    </w:p>
    <w:p w:rsidR="00EA04D9" w:rsidRDefault="00C029AE" w:rsidP="00C029AE">
      <w:pPr>
        <w:pStyle w:val="ParaNumbering"/>
        <w:numPr>
          <w:ilvl w:val="0"/>
          <w:numId w:val="0"/>
        </w:numPr>
        <w:ind w:hanging="720"/>
      </w:pPr>
      <w:r>
        <w:rPr>
          <w:sz w:val="20"/>
        </w:rPr>
        <w:t>37</w:t>
      </w:r>
      <w:r>
        <w:rPr>
          <w:sz w:val="20"/>
        </w:rPr>
        <w:tab/>
      </w:r>
      <w:r w:rsidR="00EA04D9">
        <w:t xml:space="preserve">SACOSS, in its </w:t>
      </w:r>
      <w:r w:rsidR="00F26A9F">
        <w:t xml:space="preserve">24 </w:t>
      </w:r>
      <w:r w:rsidR="00D62A3D">
        <w:t>July Submissions</w:t>
      </w:r>
      <w:r w:rsidR="00EA04D9">
        <w:t>, acknowledged the results of the AER</w:t>
      </w:r>
      <w:r w:rsidR="00EA04D9" w:rsidRPr="008378C4">
        <w:t>’</w:t>
      </w:r>
      <w:r w:rsidR="00EA04D9">
        <w:t>s benchmarking but nonetheless directed the AER</w:t>
      </w:r>
      <w:r w:rsidR="00EA04D9" w:rsidRPr="008378C4">
        <w:t>’</w:t>
      </w:r>
      <w:r w:rsidR="00EA04D9">
        <w:t>s attention to the trend in actual costs over rec</w:t>
      </w:r>
      <w:r w:rsidR="00CB3A35">
        <w:t>ent regulatory control periods</w:t>
      </w:r>
      <w:r w:rsidR="002435E9">
        <w:t xml:space="preserve">.  </w:t>
      </w:r>
      <w:r w:rsidR="00CB3A35">
        <w:t xml:space="preserve">This can be seen in the following extract of </w:t>
      </w:r>
      <w:r w:rsidR="00E150D0">
        <w:t>SACOSS’s</w:t>
      </w:r>
      <w:r w:rsidR="00CB3A35">
        <w:t xml:space="preserve"> 24 July Submission upon which it </w:t>
      </w:r>
      <w:r w:rsidR="00302CD9">
        <w:t xml:space="preserve">predominantly </w:t>
      </w:r>
      <w:r w:rsidR="00CB3A35">
        <w:t>relied to demonstrate that the matters were fairly raised</w:t>
      </w:r>
      <w:r w:rsidR="000F0CF3">
        <w:t xml:space="preserve"> during the regulatory process</w:t>
      </w:r>
      <w:r w:rsidR="005B675F">
        <w:t>:</w:t>
      </w:r>
    </w:p>
    <w:p w:rsidR="00CB3A35" w:rsidRPr="00CB3A35" w:rsidRDefault="00CB3A35" w:rsidP="00CB3A35">
      <w:pPr>
        <w:pStyle w:val="Quote1"/>
        <w:rPr>
          <w:b/>
          <w:i/>
        </w:rPr>
      </w:pPr>
      <w:r w:rsidRPr="00CB3A35">
        <w:rPr>
          <w:b/>
          <w:i/>
        </w:rPr>
        <w:t xml:space="preserve">Revised </w:t>
      </w:r>
      <w:proofErr w:type="spellStart"/>
      <w:r w:rsidRPr="00CB3A35">
        <w:rPr>
          <w:b/>
          <w:i/>
        </w:rPr>
        <w:t>opex</w:t>
      </w:r>
      <w:proofErr w:type="spellEnd"/>
      <w:r w:rsidRPr="00CB3A35">
        <w:rPr>
          <w:b/>
          <w:i/>
        </w:rPr>
        <w:t xml:space="preserve"> proposal</w:t>
      </w:r>
    </w:p>
    <w:p w:rsidR="00EA04D9" w:rsidRDefault="00CB3A35" w:rsidP="00CB3A35">
      <w:pPr>
        <w:pStyle w:val="Quote1"/>
        <w:rPr>
          <w:i/>
        </w:rPr>
      </w:pPr>
      <w:r w:rsidRPr="00CB3A35">
        <w:rPr>
          <w:i/>
        </w:rPr>
        <w:t xml:space="preserve">Table 3 shows SA Power Networks’ revised </w:t>
      </w:r>
      <w:proofErr w:type="spellStart"/>
      <w:r w:rsidRPr="00CB3A35">
        <w:rPr>
          <w:i/>
        </w:rPr>
        <w:t>opex</w:t>
      </w:r>
      <w:proofErr w:type="spellEnd"/>
      <w:r w:rsidRPr="00CB3A35">
        <w:rPr>
          <w:i/>
        </w:rPr>
        <w:t xml:space="preserve"> claims in the Revised Regulatory Proposal.</w:t>
      </w:r>
    </w:p>
    <w:tbl>
      <w:tblPr>
        <w:tblStyle w:val="TableGrid"/>
        <w:tblW w:w="0" w:type="auto"/>
        <w:tblInd w:w="817" w:type="dxa"/>
        <w:tblLook w:val="04A0" w:firstRow="1" w:lastRow="0" w:firstColumn="1" w:lastColumn="0" w:noHBand="0" w:noVBand="1"/>
      </w:tblPr>
      <w:tblGrid>
        <w:gridCol w:w="1984"/>
        <w:gridCol w:w="992"/>
        <w:gridCol w:w="1560"/>
        <w:gridCol w:w="1559"/>
        <w:gridCol w:w="1843"/>
      </w:tblGrid>
      <w:tr w:rsidR="00CB3A35" w:rsidRPr="00CB3A35" w:rsidTr="00CB3A35">
        <w:tc>
          <w:tcPr>
            <w:tcW w:w="1984" w:type="dxa"/>
          </w:tcPr>
          <w:p w:rsidR="00CB3A35" w:rsidRPr="00CB3A35" w:rsidRDefault="00CB3A35" w:rsidP="00B01AD4">
            <w:pPr>
              <w:pStyle w:val="Small-TableswithinQuotes"/>
            </w:pPr>
          </w:p>
        </w:tc>
        <w:tc>
          <w:tcPr>
            <w:tcW w:w="992" w:type="dxa"/>
          </w:tcPr>
          <w:p w:rsidR="00CB3A35" w:rsidRPr="00CB3A35" w:rsidRDefault="00CB3A35" w:rsidP="00B01AD4">
            <w:pPr>
              <w:pStyle w:val="Small-TableswithinQuotes"/>
              <w:rPr>
                <w:b/>
              </w:rPr>
            </w:pPr>
            <w:proofErr w:type="spellStart"/>
            <w:r w:rsidRPr="00CB3A35">
              <w:rPr>
                <w:b/>
              </w:rPr>
              <w:t>Opex</w:t>
            </w:r>
            <w:proofErr w:type="spellEnd"/>
          </w:p>
        </w:tc>
        <w:tc>
          <w:tcPr>
            <w:tcW w:w="1560" w:type="dxa"/>
          </w:tcPr>
          <w:p w:rsidR="00CB3A35" w:rsidRPr="00CB3A35" w:rsidRDefault="00CB3A35" w:rsidP="00B01AD4">
            <w:pPr>
              <w:pStyle w:val="Small-TableswithinQuotes"/>
              <w:rPr>
                <w:b/>
              </w:rPr>
            </w:pPr>
            <w:r w:rsidRPr="00CB3A35">
              <w:rPr>
                <w:b/>
              </w:rPr>
              <w:t>Step Cha</w:t>
            </w:r>
            <w:r>
              <w:rPr>
                <w:b/>
              </w:rPr>
              <w:t>ng</w:t>
            </w:r>
            <w:r w:rsidRPr="00CB3A35">
              <w:rPr>
                <w:b/>
              </w:rPr>
              <w:t>es</w:t>
            </w:r>
          </w:p>
        </w:tc>
        <w:tc>
          <w:tcPr>
            <w:tcW w:w="1559" w:type="dxa"/>
          </w:tcPr>
          <w:p w:rsidR="00CB3A35" w:rsidRPr="00CB3A35" w:rsidRDefault="00CB3A35" w:rsidP="00B01AD4">
            <w:pPr>
              <w:pStyle w:val="Small-TableswithinQuotes"/>
              <w:rPr>
                <w:b/>
              </w:rPr>
            </w:pPr>
            <w:r w:rsidRPr="00CB3A35">
              <w:rPr>
                <w:b/>
              </w:rPr>
              <w:t>Output growth</w:t>
            </w:r>
          </w:p>
        </w:tc>
        <w:tc>
          <w:tcPr>
            <w:tcW w:w="1843" w:type="dxa"/>
          </w:tcPr>
          <w:p w:rsidR="00CB3A35" w:rsidRPr="00CB3A35" w:rsidRDefault="00CB3A35" w:rsidP="00B01AD4">
            <w:pPr>
              <w:pStyle w:val="Small-TableswithinQuotes"/>
              <w:rPr>
                <w:b/>
              </w:rPr>
            </w:pPr>
            <w:r w:rsidRPr="00CB3A35">
              <w:rPr>
                <w:b/>
              </w:rPr>
              <w:t>Real price growth</w:t>
            </w:r>
          </w:p>
        </w:tc>
      </w:tr>
      <w:tr w:rsidR="00CB3A35" w:rsidRPr="00CB3A35" w:rsidTr="00CB3A35">
        <w:trPr>
          <w:trHeight w:val="451"/>
        </w:trPr>
        <w:tc>
          <w:tcPr>
            <w:tcW w:w="1984" w:type="dxa"/>
          </w:tcPr>
          <w:p w:rsidR="00CB3A35" w:rsidRPr="00CB3A35" w:rsidRDefault="00CB3A35" w:rsidP="00B01AD4">
            <w:pPr>
              <w:pStyle w:val="Small-TableswithinQuotes"/>
              <w:rPr>
                <w:b/>
              </w:rPr>
            </w:pPr>
            <w:r w:rsidRPr="00CB3A35">
              <w:rPr>
                <w:b/>
              </w:rPr>
              <w:t>Regulatory Proposal</w:t>
            </w:r>
          </w:p>
        </w:tc>
        <w:tc>
          <w:tcPr>
            <w:tcW w:w="992" w:type="dxa"/>
          </w:tcPr>
          <w:p w:rsidR="00CB3A35" w:rsidRPr="00CB3A35" w:rsidRDefault="00CB3A35" w:rsidP="00B01AD4">
            <w:pPr>
              <w:pStyle w:val="Small-TableswithinQuotes"/>
            </w:pPr>
            <w:r w:rsidRPr="00CB3A35">
              <w:t>1524.1</w:t>
            </w:r>
          </w:p>
        </w:tc>
        <w:tc>
          <w:tcPr>
            <w:tcW w:w="1560" w:type="dxa"/>
          </w:tcPr>
          <w:p w:rsidR="00CB3A35" w:rsidRPr="00CB3A35" w:rsidRDefault="00CB3A35" w:rsidP="00B01AD4">
            <w:pPr>
              <w:pStyle w:val="Small-TableswithinQuotes"/>
            </w:pPr>
            <w:r w:rsidRPr="00CB3A35">
              <w:t>216.8</w:t>
            </w:r>
          </w:p>
        </w:tc>
        <w:tc>
          <w:tcPr>
            <w:tcW w:w="1559" w:type="dxa"/>
          </w:tcPr>
          <w:p w:rsidR="00CB3A35" w:rsidRPr="00CB3A35" w:rsidRDefault="00CB3A35" w:rsidP="00B01AD4">
            <w:pPr>
              <w:pStyle w:val="Small-TableswithinQuotes"/>
            </w:pPr>
            <w:r w:rsidRPr="00CB3A35">
              <w:t>46.7</w:t>
            </w:r>
          </w:p>
        </w:tc>
        <w:tc>
          <w:tcPr>
            <w:tcW w:w="1843" w:type="dxa"/>
          </w:tcPr>
          <w:p w:rsidR="00CB3A35" w:rsidRPr="00CB3A35" w:rsidRDefault="00CB3A35" w:rsidP="00B01AD4">
            <w:pPr>
              <w:pStyle w:val="Small-TableswithinQuotes"/>
            </w:pPr>
            <w:r w:rsidRPr="00CB3A35">
              <w:t>61.4</w:t>
            </w:r>
          </w:p>
        </w:tc>
      </w:tr>
      <w:tr w:rsidR="00CB3A35" w:rsidRPr="00CB3A35" w:rsidTr="00CB3A35">
        <w:trPr>
          <w:trHeight w:val="715"/>
        </w:trPr>
        <w:tc>
          <w:tcPr>
            <w:tcW w:w="1984" w:type="dxa"/>
          </w:tcPr>
          <w:p w:rsidR="00CB3A35" w:rsidRPr="00CB3A35" w:rsidRDefault="00CB3A35" w:rsidP="00B01AD4">
            <w:pPr>
              <w:pStyle w:val="Small-TableswithinQuotes"/>
              <w:rPr>
                <w:b/>
              </w:rPr>
            </w:pPr>
            <w:r w:rsidRPr="00CB3A35">
              <w:rPr>
                <w:b/>
              </w:rPr>
              <w:t>AER Preliminary Decision</w:t>
            </w:r>
          </w:p>
        </w:tc>
        <w:tc>
          <w:tcPr>
            <w:tcW w:w="992" w:type="dxa"/>
          </w:tcPr>
          <w:p w:rsidR="00CB3A35" w:rsidRPr="00CB3A35" w:rsidRDefault="00CB3A35" w:rsidP="00B01AD4">
            <w:pPr>
              <w:pStyle w:val="Small-TableswithinQuotes"/>
            </w:pPr>
            <w:r w:rsidRPr="00CB3A35">
              <w:t>1225.8</w:t>
            </w:r>
          </w:p>
        </w:tc>
        <w:tc>
          <w:tcPr>
            <w:tcW w:w="1560" w:type="dxa"/>
          </w:tcPr>
          <w:p w:rsidR="00CB3A35" w:rsidRPr="00CB3A35" w:rsidRDefault="00CB3A35" w:rsidP="00B01AD4">
            <w:pPr>
              <w:pStyle w:val="Small-TableswithinQuotes"/>
            </w:pPr>
            <w:r w:rsidRPr="00CB3A35">
              <w:t>4.1</w:t>
            </w:r>
          </w:p>
        </w:tc>
        <w:tc>
          <w:tcPr>
            <w:tcW w:w="1559" w:type="dxa"/>
          </w:tcPr>
          <w:p w:rsidR="00CB3A35" w:rsidRPr="00CB3A35" w:rsidRDefault="00CB3A35" w:rsidP="00B01AD4">
            <w:pPr>
              <w:pStyle w:val="Small-TableswithinQuotes"/>
            </w:pPr>
            <w:r w:rsidRPr="00CB3A35">
              <w:t>20.5</w:t>
            </w:r>
          </w:p>
        </w:tc>
        <w:tc>
          <w:tcPr>
            <w:tcW w:w="1843" w:type="dxa"/>
          </w:tcPr>
          <w:p w:rsidR="00CB3A35" w:rsidRPr="00CB3A35" w:rsidRDefault="00CB3A35" w:rsidP="00B01AD4">
            <w:pPr>
              <w:pStyle w:val="Small-TableswithinQuotes"/>
            </w:pPr>
            <w:r w:rsidRPr="00CB3A35">
              <w:t>5.9</w:t>
            </w:r>
          </w:p>
        </w:tc>
      </w:tr>
      <w:tr w:rsidR="00CB3A35" w:rsidRPr="00CB3A35" w:rsidTr="00CB3A35">
        <w:tc>
          <w:tcPr>
            <w:tcW w:w="1984" w:type="dxa"/>
          </w:tcPr>
          <w:p w:rsidR="00CB3A35" w:rsidRPr="00CB3A35" w:rsidRDefault="00CB3A35" w:rsidP="00B01AD4">
            <w:pPr>
              <w:pStyle w:val="Small-TableswithinQuotes"/>
              <w:rPr>
                <w:b/>
              </w:rPr>
            </w:pPr>
            <w:r w:rsidRPr="00CB3A35">
              <w:rPr>
                <w:b/>
              </w:rPr>
              <w:t>Revised Regulatory Proposal</w:t>
            </w:r>
          </w:p>
        </w:tc>
        <w:tc>
          <w:tcPr>
            <w:tcW w:w="992" w:type="dxa"/>
          </w:tcPr>
          <w:p w:rsidR="00CB3A35" w:rsidRPr="00CB3A35" w:rsidRDefault="00CB3A35" w:rsidP="00B01AD4">
            <w:pPr>
              <w:pStyle w:val="Small-TableswithinQuotes"/>
            </w:pPr>
            <w:r w:rsidRPr="00CB3A35">
              <w:t>1421.9</w:t>
            </w:r>
          </w:p>
        </w:tc>
        <w:tc>
          <w:tcPr>
            <w:tcW w:w="1560" w:type="dxa"/>
          </w:tcPr>
          <w:p w:rsidR="00CB3A35" w:rsidRPr="00CB3A35" w:rsidRDefault="00CB3A35" w:rsidP="00B01AD4">
            <w:pPr>
              <w:pStyle w:val="Small-TableswithinQuotes"/>
            </w:pPr>
            <w:r w:rsidRPr="00CB3A35">
              <w:t>140</w:t>
            </w:r>
          </w:p>
        </w:tc>
        <w:tc>
          <w:tcPr>
            <w:tcW w:w="1559" w:type="dxa"/>
          </w:tcPr>
          <w:p w:rsidR="00CB3A35" w:rsidRPr="00CB3A35" w:rsidRDefault="00CB3A35" w:rsidP="00B01AD4">
            <w:pPr>
              <w:pStyle w:val="Small-TableswithinQuotes"/>
            </w:pPr>
            <w:r w:rsidRPr="00CB3A35">
              <w:t>36.4</w:t>
            </w:r>
          </w:p>
        </w:tc>
        <w:tc>
          <w:tcPr>
            <w:tcW w:w="1843" w:type="dxa"/>
          </w:tcPr>
          <w:p w:rsidR="00CB3A35" w:rsidRPr="00CB3A35" w:rsidRDefault="00CB3A35" w:rsidP="00B01AD4">
            <w:pPr>
              <w:pStyle w:val="Small-TableswithinQuotes"/>
            </w:pPr>
            <w:r w:rsidRPr="00CB3A35">
              <w:t>50.2</w:t>
            </w:r>
          </w:p>
        </w:tc>
      </w:tr>
      <w:tr w:rsidR="00CB3A35" w:rsidRPr="00CB3A35" w:rsidTr="00CB3A35">
        <w:tc>
          <w:tcPr>
            <w:tcW w:w="1984" w:type="dxa"/>
          </w:tcPr>
          <w:p w:rsidR="00CB3A35" w:rsidRPr="00CB3A35" w:rsidRDefault="00CB3A35" w:rsidP="00B01AD4">
            <w:pPr>
              <w:pStyle w:val="Small-TableswithinQuotes"/>
              <w:rPr>
                <w:b/>
              </w:rPr>
            </w:pPr>
            <w:r w:rsidRPr="00CB3A35">
              <w:rPr>
                <w:b/>
              </w:rPr>
              <w:t>Difference</w:t>
            </w:r>
          </w:p>
        </w:tc>
        <w:tc>
          <w:tcPr>
            <w:tcW w:w="992" w:type="dxa"/>
          </w:tcPr>
          <w:p w:rsidR="00CB3A35" w:rsidRPr="00CB3A35" w:rsidRDefault="00CB3A35" w:rsidP="00B01AD4">
            <w:pPr>
              <w:pStyle w:val="Small-TableswithinQuotes"/>
            </w:pPr>
            <w:r w:rsidRPr="00CB3A35">
              <w:t>196.1</w:t>
            </w:r>
          </w:p>
        </w:tc>
        <w:tc>
          <w:tcPr>
            <w:tcW w:w="1560" w:type="dxa"/>
          </w:tcPr>
          <w:p w:rsidR="00CB3A35" w:rsidRPr="00CB3A35" w:rsidRDefault="00CB3A35" w:rsidP="00B01AD4">
            <w:pPr>
              <w:pStyle w:val="Small-TableswithinQuotes"/>
            </w:pPr>
            <w:r w:rsidRPr="00CB3A35">
              <w:t>135.9</w:t>
            </w:r>
          </w:p>
        </w:tc>
        <w:tc>
          <w:tcPr>
            <w:tcW w:w="1559" w:type="dxa"/>
          </w:tcPr>
          <w:p w:rsidR="00CB3A35" w:rsidRPr="00CB3A35" w:rsidRDefault="00CB3A35" w:rsidP="00B01AD4">
            <w:pPr>
              <w:pStyle w:val="Small-TableswithinQuotes"/>
            </w:pPr>
            <w:r w:rsidRPr="00CB3A35">
              <w:t>15.9</w:t>
            </w:r>
          </w:p>
        </w:tc>
        <w:tc>
          <w:tcPr>
            <w:tcW w:w="1843" w:type="dxa"/>
          </w:tcPr>
          <w:p w:rsidR="00CB3A35" w:rsidRPr="00CB3A35" w:rsidRDefault="00CB3A35" w:rsidP="00B01AD4">
            <w:pPr>
              <w:pStyle w:val="Small-TableswithinQuotes"/>
            </w:pPr>
            <w:r w:rsidRPr="00CB3A35">
              <w:t>44.3</w:t>
            </w:r>
          </w:p>
        </w:tc>
      </w:tr>
    </w:tbl>
    <w:p w:rsidR="00CB3A35" w:rsidRPr="00CB3A35" w:rsidRDefault="00CB3A35" w:rsidP="00CB3A35">
      <w:pPr>
        <w:pStyle w:val="Quote1"/>
        <w:rPr>
          <w:i/>
          <w:sz w:val="20"/>
        </w:rPr>
      </w:pPr>
      <w:r w:rsidRPr="00CB3A35">
        <w:rPr>
          <w:i/>
          <w:sz w:val="18"/>
        </w:rPr>
        <w:t xml:space="preserve">Table 3: </w:t>
      </w:r>
      <w:proofErr w:type="spellStart"/>
      <w:r w:rsidRPr="00CB3A35">
        <w:rPr>
          <w:i/>
          <w:sz w:val="18"/>
        </w:rPr>
        <w:t>Opex</w:t>
      </w:r>
      <w:proofErr w:type="spellEnd"/>
      <w:r w:rsidRPr="00CB3A35">
        <w:rPr>
          <w:i/>
          <w:sz w:val="18"/>
        </w:rPr>
        <w:t xml:space="preserve"> reinstatements sought by SA Power Networks (June 2015, $ million)</w:t>
      </w:r>
    </w:p>
    <w:p w:rsidR="00CB3A35" w:rsidRPr="00CB3A35" w:rsidRDefault="00CB3A35" w:rsidP="00CB3A35">
      <w:pPr>
        <w:pStyle w:val="Quote1"/>
        <w:rPr>
          <w:i/>
        </w:rPr>
      </w:pPr>
      <w:r w:rsidRPr="00CB3A35">
        <w:rPr>
          <w:i/>
        </w:rPr>
        <w:t xml:space="preserve">The </w:t>
      </w:r>
      <w:proofErr w:type="spellStart"/>
      <w:r w:rsidRPr="00CB3A35">
        <w:rPr>
          <w:i/>
        </w:rPr>
        <w:t>opex</w:t>
      </w:r>
      <w:proofErr w:type="spellEnd"/>
      <w:r w:rsidRPr="00CB3A35">
        <w:rPr>
          <w:i/>
        </w:rPr>
        <w:t xml:space="preserve"> reinstatements are in two main areas: (</w:t>
      </w:r>
      <w:proofErr w:type="spellStart"/>
      <w:r w:rsidRPr="00CB3A35">
        <w:rPr>
          <w:i/>
        </w:rPr>
        <w:t>i</w:t>
      </w:r>
      <w:proofErr w:type="spellEnd"/>
      <w:r w:rsidRPr="00CB3A35">
        <w:rPr>
          <w:i/>
        </w:rPr>
        <w:t>) step changes and (ii) rate of change factors.  The rate of change reinstatements have been broken down in Table 3 into output growth and real price growth reinstatements.</w:t>
      </w:r>
    </w:p>
    <w:p w:rsidR="00CB3A35" w:rsidRPr="00CB3A35" w:rsidRDefault="00CB3A35" w:rsidP="00CB3A35">
      <w:pPr>
        <w:pStyle w:val="Quote1"/>
        <w:rPr>
          <w:b/>
          <w:i/>
        </w:rPr>
      </w:pPr>
      <w:r w:rsidRPr="00CB3A35">
        <w:rPr>
          <w:b/>
          <w:i/>
        </w:rPr>
        <w:t xml:space="preserve">General view on </w:t>
      </w:r>
      <w:proofErr w:type="spellStart"/>
      <w:r w:rsidRPr="00CB3A35">
        <w:rPr>
          <w:b/>
          <w:i/>
        </w:rPr>
        <w:t>opex</w:t>
      </w:r>
      <w:proofErr w:type="spellEnd"/>
      <w:r w:rsidRPr="00CB3A35">
        <w:rPr>
          <w:b/>
          <w:i/>
        </w:rPr>
        <w:t xml:space="preserve"> reinstatements</w:t>
      </w:r>
    </w:p>
    <w:p w:rsidR="00CB3A35" w:rsidRPr="00CB3A35" w:rsidRDefault="00CB3A35" w:rsidP="00CB3A35">
      <w:pPr>
        <w:pStyle w:val="Quote1"/>
        <w:rPr>
          <w:i/>
        </w:rPr>
      </w:pPr>
      <w:r w:rsidRPr="00CB3A35">
        <w:rPr>
          <w:i/>
        </w:rPr>
        <w:t xml:space="preserve">While SACOSS acknowledges that SA Power Networks is more efficient than some other distributors in the electricity industry, it agrees with the view of the Consumer Challenge Panel that the </w:t>
      </w:r>
      <w:proofErr w:type="spellStart"/>
      <w:r w:rsidRPr="00CB3A35">
        <w:rPr>
          <w:i/>
        </w:rPr>
        <w:t>opex</w:t>
      </w:r>
      <w:proofErr w:type="spellEnd"/>
      <w:r w:rsidRPr="00CB3A35">
        <w:rPr>
          <w:i/>
        </w:rPr>
        <w:t xml:space="preserve"> allowance should be set closer to the efficient benchmark.  Bruce Mountain estimated that SA Power Networks was 16 per cent below the efficient frontier for </w:t>
      </w:r>
      <w:proofErr w:type="spellStart"/>
      <w:r w:rsidRPr="00CB3A35">
        <w:rPr>
          <w:i/>
        </w:rPr>
        <w:t>opex</w:t>
      </w:r>
      <w:proofErr w:type="spellEnd"/>
      <w:r w:rsidRPr="00CB3A35">
        <w:rPr>
          <w:i/>
        </w:rPr>
        <w:t xml:space="preserve">.  Compared to SA Power Networks’ average </w:t>
      </w:r>
      <w:proofErr w:type="spellStart"/>
      <w:r w:rsidRPr="00CB3A35">
        <w:rPr>
          <w:i/>
        </w:rPr>
        <w:t>opex</w:t>
      </w:r>
      <w:proofErr w:type="spellEnd"/>
      <w:r w:rsidRPr="00CB3A35">
        <w:rPr>
          <w:i/>
        </w:rPr>
        <w:t xml:space="preserve"> over 2006 to 2013, and adjusting for growth in the network, SA Power Networks should be spending around $168 million per year in </w:t>
      </w:r>
      <w:proofErr w:type="spellStart"/>
      <w:r w:rsidRPr="00CB3A35">
        <w:rPr>
          <w:i/>
        </w:rPr>
        <w:t>opex</w:t>
      </w:r>
      <w:proofErr w:type="spellEnd"/>
      <w:r w:rsidRPr="00CB3A35">
        <w:rPr>
          <w:i/>
        </w:rPr>
        <w:t xml:space="preserve">.  This is around $73 million below the average $241 million in </w:t>
      </w:r>
      <w:proofErr w:type="spellStart"/>
      <w:r w:rsidRPr="00CB3A35">
        <w:rPr>
          <w:i/>
        </w:rPr>
        <w:t>opex</w:t>
      </w:r>
      <w:proofErr w:type="spellEnd"/>
      <w:r w:rsidRPr="00CB3A35">
        <w:rPr>
          <w:i/>
        </w:rPr>
        <w:t xml:space="preserve"> allowed in the AER Preliminary Decision.</w:t>
      </w:r>
    </w:p>
    <w:p w:rsidR="00CB3A35" w:rsidRDefault="00CB3A35" w:rsidP="00CB3A35">
      <w:pPr>
        <w:pStyle w:val="Quote1"/>
        <w:rPr>
          <w:i/>
        </w:rPr>
      </w:pPr>
      <w:r w:rsidRPr="00CB3A35">
        <w:rPr>
          <w:i/>
        </w:rPr>
        <w:t xml:space="preserve">SACOSS is concerned that the AER’s approach of using a recent base year rather than examining a longer term average of </w:t>
      </w:r>
      <w:proofErr w:type="spellStart"/>
      <w:r w:rsidRPr="00CB3A35">
        <w:rPr>
          <w:i/>
        </w:rPr>
        <w:t>opex</w:t>
      </w:r>
      <w:proofErr w:type="spellEnd"/>
      <w:r w:rsidRPr="00CB3A35">
        <w:rPr>
          <w:i/>
        </w:rPr>
        <w:t xml:space="preserve"> is distortionary, encourages a ‘status </w:t>
      </w:r>
      <w:r w:rsidRPr="00CB3A35">
        <w:rPr>
          <w:i/>
        </w:rPr>
        <w:lastRenderedPageBreak/>
        <w:t xml:space="preserve">quo’ approach to spending, and undermines the supposed incentive properties of the regulatory regime.  Bev Hughson notes that SA Power Networks has tended to spend close to the </w:t>
      </w:r>
      <w:proofErr w:type="spellStart"/>
      <w:r w:rsidRPr="00CB3A35">
        <w:rPr>
          <w:i/>
        </w:rPr>
        <w:t>opex</w:t>
      </w:r>
      <w:proofErr w:type="spellEnd"/>
      <w:r w:rsidRPr="00CB3A35">
        <w:rPr>
          <w:i/>
        </w:rPr>
        <w:t xml:space="preserve"> allowance each year, which suggests to SACOSS that the AER’s approach may be encouraging a culture of spending to the allowance rather than seeking efficiencies.  In this regard, using a recent single year as a base year is particularly distortionary for SA Power Networks (and other electricity distributors) because SA Power Networks’ </w:t>
      </w:r>
      <w:proofErr w:type="spellStart"/>
      <w:r w:rsidRPr="00CB3A35">
        <w:rPr>
          <w:i/>
        </w:rPr>
        <w:t>opex</w:t>
      </w:r>
      <w:proofErr w:type="spellEnd"/>
      <w:r w:rsidRPr="00CB3A35">
        <w:rPr>
          <w:i/>
        </w:rPr>
        <w:t xml:space="preserve"> allowances have been rising rapidly over the past two RCPs and are at or close to an historical peak.  There is little reason to believe that recent </w:t>
      </w:r>
      <w:proofErr w:type="spellStart"/>
      <w:r w:rsidRPr="00CB3A35">
        <w:rPr>
          <w:i/>
        </w:rPr>
        <w:t>opex</w:t>
      </w:r>
      <w:proofErr w:type="spellEnd"/>
      <w:r w:rsidRPr="00CB3A35">
        <w:rPr>
          <w:i/>
        </w:rPr>
        <w:t xml:space="preserve"> spending is more reflective of underlying costs than longer term </w:t>
      </w:r>
      <w:proofErr w:type="spellStart"/>
      <w:r w:rsidRPr="00CB3A35">
        <w:rPr>
          <w:i/>
        </w:rPr>
        <w:t>opex</w:t>
      </w:r>
      <w:proofErr w:type="spellEnd"/>
      <w:r w:rsidRPr="00CB3A35">
        <w:rPr>
          <w:i/>
        </w:rPr>
        <w:t xml:space="preserve"> trends.  There have been few major changes in the immediate past to explain the rise, and in particular the scale of the rise.</w:t>
      </w:r>
    </w:p>
    <w:p w:rsidR="00EA04D9" w:rsidRDefault="00C029AE" w:rsidP="00C029AE">
      <w:pPr>
        <w:pStyle w:val="ParaNumbering"/>
        <w:numPr>
          <w:ilvl w:val="0"/>
          <w:numId w:val="0"/>
        </w:numPr>
        <w:ind w:hanging="720"/>
      </w:pPr>
      <w:r>
        <w:rPr>
          <w:sz w:val="20"/>
        </w:rPr>
        <w:t>38</w:t>
      </w:r>
      <w:r>
        <w:rPr>
          <w:sz w:val="20"/>
        </w:rPr>
        <w:tab/>
      </w:r>
      <w:r w:rsidR="00EA04D9">
        <w:t xml:space="preserve">By raising concerns about the scale of actual </w:t>
      </w:r>
      <w:proofErr w:type="spellStart"/>
      <w:r w:rsidR="00EA04D9">
        <w:t>opex</w:t>
      </w:r>
      <w:proofErr w:type="spellEnd"/>
      <w:r w:rsidR="00EA04D9">
        <w:t xml:space="preserve"> increases despite the benchmarking results, SACOSS submitted that it had made the argument in its submission that the AER was placing too much emphasis on the results of its benchmarking</w:t>
      </w:r>
      <w:r w:rsidR="00EA04D9" w:rsidRPr="008378C4">
        <w:t xml:space="preserve">.  </w:t>
      </w:r>
      <w:r w:rsidR="00AE1183">
        <w:t>For instance</w:t>
      </w:r>
      <w:r w:rsidR="00D62A3D">
        <w:t xml:space="preserve">, SACOSS submitted that the first sentence of the extract of the </w:t>
      </w:r>
      <w:r w:rsidR="00F26A9F">
        <w:t xml:space="preserve">24 </w:t>
      </w:r>
      <w:r w:rsidR="00CB3A35">
        <w:t>July Submission</w:t>
      </w:r>
      <w:r w:rsidR="00D62A3D">
        <w:t xml:space="preserve"> above </w:t>
      </w:r>
      <w:r w:rsidR="00F26A9F">
        <w:t>was</w:t>
      </w:r>
      <w:r w:rsidR="00D62A3D">
        <w:t xml:space="preserve"> ‘plainly a reference to benchmarking.’</w:t>
      </w:r>
      <w:r w:rsidR="00551287">
        <w:t xml:space="preserve"> </w:t>
      </w:r>
      <w:r w:rsidR="00D62A3D">
        <w:t xml:space="preserve"> </w:t>
      </w:r>
      <w:r w:rsidR="00F26A9F">
        <w:t>Accordingly, SACOSS submitted</w:t>
      </w:r>
      <w:r w:rsidR="00EA04D9">
        <w:t xml:space="preserve"> that the </w:t>
      </w:r>
      <w:r w:rsidR="00AE1183">
        <w:t xml:space="preserve">review </w:t>
      </w:r>
      <w:r w:rsidR="00EA04D9">
        <w:t xml:space="preserve">ground at </w:t>
      </w:r>
      <w:r w:rsidR="00D62A3D">
        <w:t xml:space="preserve">proposed </w:t>
      </w:r>
      <w:r w:rsidR="00AE1183">
        <w:t>paragraph 49(a) arose</w:t>
      </w:r>
      <w:r w:rsidR="00EA04D9">
        <w:t xml:space="preserve"> from the submissions made by SACOSS to the AER.</w:t>
      </w:r>
    </w:p>
    <w:p w:rsidR="00EA04D9" w:rsidRDefault="00C029AE" w:rsidP="00C029AE">
      <w:pPr>
        <w:pStyle w:val="ParaNumbering"/>
        <w:numPr>
          <w:ilvl w:val="0"/>
          <w:numId w:val="0"/>
        </w:numPr>
        <w:ind w:hanging="720"/>
      </w:pPr>
      <w:r>
        <w:rPr>
          <w:sz w:val="20"/>
        </w:rPr>
        <w:t>39</w:t>
      </w:r>
      <w:r>
        <w:rPr>
          <w:sz w:val="20"/>
        </w:rPr>
        <w:tab/>
      </w:r>
      <w:r w:rsidR="000F0CF3">
        <w:t>However,</w:t>
      </w:r>
      <w:r w:rsidR="00D62A3D">
        <w:t xml:space="preserve"> the </w:t>
      </w:r>
      <w:r w:rsidR="00F26A9F">
        <w:t xml:space="preserve">24 </w:t>
      </w:r>
      <w:r w:rsidR="00D62A3D">
        <w:t xml:space="preserve">July Submission obliquely refers to the benchmarking issue. </w:t>
      </w:r>
      <w:r w:rsidR="00551287">
        <w:t xml:space="preserve"> </w:t>
      </w:r>
      <w:r w:rsidR="00D62A3D">
        <w:t>Such a reference is not</w:t>
      </w:r>
      <w:r w:rsidR="00EA04D9">
        <w:t xml:space="preserve"> sufficient</w:t>
      </w:r>
      <w:r w:rsidR="00D62A3D">
        <w:t xml:space="preserve"> and t</w:t>
      </w:r>
      <w:r w:rsidR="00EA04D9">
        <w:t>he topic should have been</w:t>
      </w:r>
      <w:r w:rsidR="00D62A3D">
        <w:t xml:space="preserve"> more specifically</w:t>
      </w:r>
      <w:r w:rsidR="00EA04D9">
        <w:t xml:space="preserve"> raised before the AER </w:t>
      </w:r>
      <w:r w:rsidR="00F26A9F">
        <w:t>as</w:t>
      </w:r>
      <w:r w:rsidR="00EA04D9">
        <w:t xml:space="preserve"> a matter that the AER had to consider.</w:t>
      </w:r>
      <w:r w:rsidR="00767EC9">
        <w:t xml:space="preserve"> </w:t>
      </w:r>
    </w:p>
    <w:p w:rsidR="00D62A3D" w:rsidRDefault="00C029AE" w:rsidP="00C029AE">
      <w:pPr>
        <w:pStyle w:val="ParaNumbering"/>
        <w:numPr>
          <w:ilvl w:val="0"/>
          <w:numId w:val="0"/>
        </w:numPr>
        <w:ind w:hanging="720"/>
      </w:pPr>
      <w:r>
        <w:rPr>
          <w:sz w:val="20"/>
        </w:rPr>
        <w:t>40</w:t>
      </w:r>
      <w:r>
        <w:rPr>
          <w:sz w:val="20"/>
        </w:rPr>
        <w:tab/>
      </w:r>
      <w:r w:rsidR="00AE1183">
        <w:t xml:space="preserve">Further, as contended by the AER, </w:t>
      </w:r>
      <w:r w:rsidR="00D62A3D">
        <w:t>the observations of SACOSS</w:t>
      </w:r>
      <w:r w:rsidR="007138A6">
        <w:t xml:space="preserve"> in the </w:t>
      </w:r>
      <w:r w:rsidR="00F26A9F">
        <w:t xml:space="preserve">24 </w:t>
      </w:r>
      <w:r w:rsidR="007138A6">
        <w:t xml:space="preserve">July Submission </w:t>
      </w:r>
      <w:r w:rsidR="00551287">
        <w:t>are</w:t>
      </w:r>
      <w:r w:rsidR="007138A6">
        <w:t xml:space="preserve"> not in fact a challenge</w:t>
      </w:r>
      <w:r w:rsidR="00D62A3D">
        <w:t xml:space="preserve"> to the be</w:t>
      </w:r>
      <w:r w:rsidR="007138A6">
        <w:t xml:space="preserve">nchmarking methodology as articulated in proposed paragraph 49(a). </w:t>
      </w:r>
      <w:r w:rsidR="00551287">
        <w:t xml:space="preserve"> </w:t>
      </w:r>
      <w:r w:rsidR="007138A6">
        <w:t xml:space="preserve">The ground that is sought to be agitated by proposed paragraph 49(a) is not what is contended in </w:t>
      </w:r>
      <w:r w:rsidR="00E150D0">
        <w:t>SACOSS’s</w:t>
      </w:r>
      <w:r w:rsidR="007138A6">
        <w:t xml:space="preserve"> </w:t>
      </w:r>
      <w:r w:rsidR="00F26A9F">
        <w:t xml:space="preserve">24 </w:t>
      </w:r>
      <w:r w:rsidR="007138A6">
        <w:t>July Submission.</w:t>
      </w:r>
    </w:p>
    <w:p w:rsidR="007138A6" w:rsidRDefault="00C029AE" w:rsidP="00C029AE">
      <w:pPr>
        <w:pStyle w:val="ParaNumbering"/>
        <w:numPr>
          <w:ilvl w:val="0"/>
          <w:numId w:val="0"/>
        </w:numPr>
        <w:ind w:hanging="720"/>
      </w:pPr>
      <w:r>
        <w:rPr>
          <w:sz w:val="20"/>
        </w:rPr>
        <w:t>41</w:t>
      </w:r>
      <w:r>
        <w:rPr>
          <w:sz w:val="20"/>
        </w:rPr>
        <w:tab/>
      </w:r>
      <w:r w:rsidR="00767EC9" w:rsidRPr="00DD1A65">
        <w:t>SACOSS acknowledged that its proposed new ground of review had been identified and put forward only after its consideration of the Tribunal</w:t>
      </w:r>
      <w:r w:rsidR="00AE1183">
        <w:t>’s</w:t>
      </w:r>
      <w:r w:rsidR="00767EC9" w:rsidRPr="00DD1A65">
        <w:t xml:space="preserve"> decision in </w:t>
      </w:r>
      <w:r w:rsidR="009410E7" w:rsidRPr="009410E7">
        <w:rPr>
          <w:i/>
        </w:rPr>
        <w:t xml:space="preserve">PIAC and </w:t>
      </w:r>
      <w:proofErr w:type="spellStart"/>
      <w:r w:rsidR="009410E7" w:rsidRPr="009410E7">
        <w:rPr>
          <w:i/>
        </w:rPr>
        <w:t>Ausgrid</w:t>
      </w:r>
      <w:proofErr w:type="spellEnd"/>
      <w:r w:rsidR="00F26A9F">
        <w:rPr>
          <w:i/>
        </w:rPr>
        <w:t>.</w:t>
      </w:r>
      <w:r w:rsidR="00767EC9">
        <w:t xml:space="preserve"> </w:t>
      </w:r>
      <w:r w:rsidR="00551287">
        <w:t xml:space="preserve"> </w:t>
      </w:r>
      <w:r w:rsidR="00F26A9F">
        <w:t xml:space="preserve">However, </w:t>
      </w:r>
      <w:r w:rsidR="00767EC9" w:rsidRPr="00DD1A65">
        <w:t>SACOSS submitted that the terms of the Tribunal’s observations could not have been reasonably anticipated prior to delivery of the decision.</w:t>
      </w:r>
      <w:r w:rsidR="00767EC9">
        <w:t xml:space="preserve"> </w:t>
      </w:r>
      <w:r w:rsidR="00EB691E">
        <w:t xml:space="preserve"> </w:t>
      </w:r>
      <w:r w:rsidR="00F26A9F">
        <w:t>Such circumstances do not relieve SACOSS</w:t>
      </w:r>
      <w:r w:rsidR="00767EC9">
        <w:t xml:space="preserve"> from the require</w:t>
      </w:r>
      <w:r w:rsidR="006D29AB">
        <w:t>ments of s 71O(2)(c) of the NEL</w:t>
      </w:r>
      <w:r w:rsidR="00F26A9F">
        <w:t>.</w:t>
      </w:r>
      <w:r w:rsidR="00551287">
        <w:t xml:space="preserve"> </w:t>
      </w:r>
      <w:r w:rsidR="006D29AB">
        <w:t xml:space="preserve"> </w:t>
      </w:r>
      <w:r w:rsidR="00F26A9F">
        <w:t>M</w:t>
      </w:r>
      <w:r w:rsidR="006D29AB">
        <w:t>oreover, the</w:t>
      </w:r>
      <w:r w:rsidR="007138A6">
        <w:t xml:space="preserve"> </w:t>
      </w:r>
      <w:r w:rsidR="00AE1183">
        <w:t>notion</w:t>
      </w:r>
      <w:r w:rsidR="007138A6">
        <w:t xml:space="preserve"> of benchmarking as a substantial issue</w:t>
      </w:r>
      <w:r w:rsidR="00AE1183">
        <w:t xml:space="preserve"> in these cases</w:t>
      </w:r>
      <w:r w:rsidR="007138A6">
        <w:t xml:space="preserve"> had been manifest for many months before the Tribunal in the </w:t>
      </w:r>
      <w:r w:rsidR="009410E7" w:rsidRPr="009410E7">
        <w:rPr>
          <w:i/>
        </w:rPr>
        <w:t xml:space="preserve">PIAC and </w:t>
      </w:r>
      <w:proofErr w:type="spellStart"/>
      <w:r w:rsidR="009410E7" w:rsidRPr="009410E7">
        <w:rPr>
          <w:i/>
        </w:rPr>
        <w:t>Ausgrid</w:t>
      </w:r>
      <w:proofErr w:type="spellEnd"/>
      <w:r w:rsidR="007138A6">
        <w:t xml:space="preserve"> proceedings</w:t>
      </w:r>
      <w:r w:rsidR="000F0CF3">
        <w:t>, a fact about which SACOSS was aware</w:t>
      </w:r>
      <w:r w:rsidR="002435E9">
        <w:t xml:space="preserve">.  </w:t>
      </w:r>
      <w:r w:rsidR="000F0CF3">
        <w:t>SACOSS had ample opportunity to raise this as an issue in this matter</w:t>
      </w:r>
      <w:r w:rsidR="007138A6">
        <w:t>.</w:t>
      </w:r>
      <w:r w:rsidR="009410E7">
        <w:t xml:space="preserve"> </w:t>
      </w:r>
    </w:p>
    <w:p w:rsidR="00F06E3E" w:rsidRDefault="00D62A3D" w:rsidP="00767EC9">
      <w:pPr>
        <w:pStyle w:val="Heading3"/>
      </w:pPr>
      <w:r>
        <w:lastRenderedPageBreak/>
        <w:t>Other matters</w:t>
      </w:r>
    </w:p>
    <w:p w:rsidR="00F06E3E" w:rsidRDefault="00C029AE" w:rsidP="00C029AE">
      <w:pPr>
        <w:pStyle w:val="ParaNumbering"/>
        <w:numPr>
          <w:ilvl w:val="0"/>
          <w:numId w:val="0"/>
        </w:numPr>
        <w:ind w:hanging="720"/>
      </w:pPr>
      <w:r>
        <w:rPr>
          <w:sz w:val="20"/>
        </w:rPr>
        <w:t>42</w:t>
      </w:r>
      <w:r>
        <w:rPr>
          <w:sz w:val="20"/>
        </w:rPr>
        <w:tab/>
      </w:r>
      <w:r w:rsidR="00192FAB">
        <w:t xml:space="preserve">Having determined that the </w:t>
      </w:r>
      <w:r w:rsidR="009410E7">
        <w:t>grounds of review</w:t>
      </w:r>
      <w:r w:rsidR="00192FAB">
        <w:t xml:space="preserve"> raised in original paragraph 49 and proposed amended paragraph 49(a)</w:t>
      </w:r>
      <w:r w:rsidR="006D29AB">
        <w:t xml:space="preserve"> do not satisfy s 71O(2)(c), the Tribunal does not need to address the other issues raised by the parties.  </w:t>
      </w:r>
    </w:p>
    <w:p w:rsidR="006D18DB" w:rsidRDefault="00C029AE" w:rsidP="006D18DB">
      <w:pPr>
        <w:pStyle w:val="Heading1"/>
      </w:pPr>
      <w:r>
        <w:rPr>
          <w:caps w:val="0"/>
        </w:rPr>
        <w:t>CONCLUSION</w:t>
      </w:r>
    </w:p>
    <w:p w:rsidR="006D18DB" w:rsidRDefault="00C029AE" w:rsidP="00C029AE">
      <w:pPr>
        <w:pStyle w:val="ParaNumbering"/>
        <w:numPr>
          <w:ilvl w:val="0"/>
          <w:numId w:val="0"/>
        </w:numPr>
        <w:ind w:hanging="720"/>
      </w:pPr>
      <w:r>
        <w:rPr>
          <w:sz w:val="20"/>
        </w:rPr>
        <w:t>43</w:t>
      </w:r>
      <w:r>
        <w:rPr>
          <w:sz w:val="20"/>
        </w:rPr>
        <w:tab/>
      </w:r>
      <w:r w:rsidR="006B4851">
        <w:t>A</w:t>
      </w:r>
      <w:r w:rsidR="006D18DB">
        <w:t>s a consequence of the operation of s 71O(2)(c)</w:t>
      </w:r>
      <w:r w:rsidR="006B4851">
        <w:t xml:space="preserve"> of the NEL</w:t>
      </w:r>
      <w:r w:rsidR="006D18DB">
        <w:t xml:space="preserve">, there is no serious issue to be heard and determined as to whether a ground of review exists under s 71C of the NEL in respect of </w:t>
      </w:r>
      <w:r w:rsidR="00E150D0">
        <w:t>SACOSS’s</w:t>
      </w:r>
      <w:r w:rsidR="006D18DB">
        <w:t xml:space="preserve"> Application</w:t>
      </w:r>
      <w:r w:rsidR="000F0CF3">
        <w:t xml:space="preserve"> and Proposed Amended Application</w:t>
      </w:r>
      <w:r w:rsidR="006D18DB">
        <w:t xml:space="preserve">. </w:t>
      </w:r>
      <w:r w:rsidR="00551287">
        <w:t xml:space="preserve"> </w:t>
      </w:r>
      <w:r w:rsidR="006D18DB">
        <w:t>Therefore, the Tribunal does not grant leave to SACOSS to apply for a review of the Final Decision</w:t>
      </w:r>
      <w:r w:rsidR="002435E9">
        <w:t xml:space="preserve">.  </w:t>
      </w:r>
      <w:r w:rsidR="001C1797">
        <w:t>As a consequence,</w:t>
      </w:r>
      <w:r w:rsidR="00223453">
        <w:t xml:space="preserve"> and as a result of SAPN deciding not to press </w:t>
      </w:r>
      <w:r w:rsidR="008D1018">
        <w:t>certain grounds of r</w:t>
      </w:r>
      <w:r w:rsidR="00217FC4">
        <w:t>eview upon which SACOSS sought to</w:t>
      </w:r>
      <w:r w:rsidR="008D1018">
        <w:t xml:space="preserve"> intervene, </w:t>
      </w:r>
      <w:r w:rsidR="00E150D0">
        <w:t>SACOSS’s</w:t>
      </w:r>
      <w:r w:rsidR="001C1797">
        <w:t xml:space="preserve"> application for leave to intervene in SAPN’s Review Application</w:t>
      </w:r>
      <w:r w:rsidR="00223453">
        <w:t xml:space="preserve"> also falls away.</w:t>
      </w:r>
    </w:p>
    <w:p w:rsidR="000E7F88" w:rsidRPr="000E7F88" w:rsidRDefault="000E7F88" w:rsidP="000E7F88">
      <w:pPr>
        <w:pStyle w:val="ParaNumbering"/>
        <w:numPr>
          <w:ilvl w:val="0"/>
          <w:numId w:val="0"/>
        </w:numPr>
        <w:rPr>
          <w:highlight w:val="yellow"/>
        </w:rPr>
      </w:pPr>
    </w:p>
    <w:p w:rsidR="000E7F88" w:rsidRDefault="000E7F88" w:rsidP="00815065">
      <w:pPr>
        <w:pStyle w:val="BodyText"/>
      </w:pPr>
      <w:bookmarkStart w:id="15" w:name="Certification"/>
    </w:p>
    <w:tbl>
      <w:tblPr>
        <w:tblW w:w="0" w:type="auto"/>
        <w:tblLook w:val="04A0" w:firstRow="1" w:lastRow="0" w:firstColumn="1" w:lastColumn="0" w:noHBand="0" w:noVBand="1"/>
      </w:tblPr>
      <w:tblGrid>
        <w:gridCol w:w="3794"/>
      </w:tblGrid>
      <w:tr w:rsidR="000E7F88" w:rsidRPr="000E7F88">
        <w:tc>
          <w:tcPr>
            <w:tcW w:w="3794" w:type="dxa"/>
            <w:shd w:val="clear" w:color="auto" w:fill="auto"/>
          </w:tcPr>
          <w:p w:rsidR="000E7F88" w:rsidRPr="000E7F88" w:rsidRDefault="000E7F88" w:rsidP="00B01AD4">
            <w:pPr>
              <w:pStyle w:val="Normal1linespace"/>
            </w:pPr>
            <w:r w:rsidRPr="000E7F88">
              <w:t xml:space="preserve">I certify that the preceding </w:t>
            </w:r>
            <w:bookmarkStart w:id="16" w:name="NumberWord"/>
            <w:r>
              <w:t>forty-three</w:t>
            </w:r>
            <w:bookmarkEnd w:id="16"/>
            <w:r w:rsidRPr="000E7F88">
              <w:t xml:space="preserve"> (</w:t>
            </w:r>
            <w:bookmarkStart w:id="17" w:name="NumberNumeral"/>
            <w:r>
              <w:t>43</w:t>
            </w:r>
            <w:bookmarkEnd w:id="17"/>
            <w:r w:rsidRPr="000E7F88">
              <w:t xml:space="preserve">) numbered </w:t>
            </w:r>
            <w:bookmarkStart w:id="18" w:name="CertPara"/>
            <w:r>
              <w:t>paragraphs are</w:t>
            </w:r>
            <w:bookmarkEnd w:id="18"/>
            <w:r w:rsidRPr="000E7F88">
              <w:t xml:space="preserve"> a true copy of the Reasons for </w:t>
            </w:r>
            <w:r w:rsidR="00B01AD4">
              <w:t xml:space="preserve">Determination </w:t>
            </w:r>
            <w:r w:rsidRPr="000E7F88">
              <w:t xml:space="preserve">herein of the Honourable </w:t>
            </w:r>
            <w:bookmarkStart w:id="19" w:name="Justice"/>
            <w:r>
              <w:t>Justice Middleto</w:t>
            </w:r>
            <w:r w:rsidR="00B01AD4">
              <w:t xml:space="preserve">n, Professor K Davis and Mr R </w:t>
            </w:r>
            <w:proofErr w:type="spellStart"/>
            <w:r w:rsidR="00B01AD4">
              <w:t>Steinwall</w:t>
            </w:r>
            <w:bookmarkEnd w:id="19"/>
            <w:proofErr w:type="spellEnd"/>
            <w:r w:rsidRPr="000E7F88">
              <w:t>.</w:t>
            </w:r>
          </w:p>
        </w:tc>
      </w:tr>
    </w:tbl>
    <w:p w:rsidR="000E7F88" w:rsidRDefault="000E7F88" w:rsidP="00815065">
      <w:pPr>
        <w:pStyle w:val="BodyText"/>
      </w:pPr>
    </w:p>
    <w:p w:rsidR="000E7F88" w:rsidRDefault="000E7F88" w:rsidP="00815065">
      <w:pPr>
        <w:pStyle w:val="BodyText"/>
      </w:pPr>
      <w:r>
        <w:t>Associate:</w:t>
      </w:r>
      <w:r w:rsidR="00511E65">
        <w:t xml:space="preserve">  </w:t>
      </w:r>
      <w:bookmarkStart w:id="20" w:name="_GoBack"/>
      <w:bookmarkEnd w:id="20"/>
    </w:p>
    <w:p w:rsidR="000E7F88" w:rsidRDefault="000E7F88" w:rsidP="00815065">
      <w:pPr>
        <w:pStyle w:val="BodyText"/>
      </w:pPr>
    </w:p>
    <w:p w:rsidR="000E7F88" w:rsidRDefault="000E7F88" w:rsidP="00815065">
      <w:pPr>
        <w:pStyle w:val="BodyText"/>
        <w:tabs>
          <w:tab w:val="left" w:pos="1134"/>
        </w:tabs>
      </w:pPr>
      <w:r>
        <w:t>Dated:</w:t>
      </w:r>
      <w:r>
        <w:tab/>
      </w:r>
      <w:bookmarkStart w:id="21" w:name="CertifyDated"/>
      <w:r w:rsidR="00B01AD4">
        <w:t>1</w:t>
      </w:r>
      <w:r w:rsidR="00B53E44">
        <w:t>5</w:t>
      </w:r>
      <w:r w:rsidR="00B01AD4">
        <w:t xml:space="preserve"> June 2016</w:t>
      </w:r>
      <w:bookmarkEnd w:id="21"/>
    </w:p>
    <w:p w:rsidR="000E7F88" w:rsidRDefault="000E7F88" w:rsidP="00815065">
      <w:pPr>
        <w:pStyle w:val="BodyText"/>
      </w:pPr>
    </w:p>
    <w:bookmarkEnd w:id="15"/>
    <w:p w:rsidR="000E7F88" w:rsidRDefault="000E7F88" w:rsidP="000E7F88">
      <w:pPr>
        <w:pStyle w:val="BodyText"/>
      </w:pPr>
    </w:p>
    <w:p w:rsidR="000E7F88" w:rsidRPr="000E7F88" w:rsidRDefault="000E7F88" w:rsidP="000E7F88">
      <w:pPr>
        <w:pStyle w:val="ParaNumbering"/>
        <w:numPr>
          <w:ilvl w:val="0"/>
          <w:numId w:val="0"/>
        </w:numPr>
        <w:rPr>
          <w:highlight w:val="yellow"/>
        </w:rPr>
      </w:pPr>
    </w:p>
    <w:sectPr w:rsidR="000E7F88" w:rsidRPr="000E7F88">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F7" w:rsidRDefault="00B10AF7">
      <w:pPr>
        <w:spacing w:line="20" w:lineRule="exact"/>
      </w:pPr>
    </w:p>
    <w:p w:rsidR="00B10AF7" w:rsidRDefault="00B10AF7"/>
    <w:p w:rsidR="00B10AF7" w:rsidRDefault="00B10AF7"/>
  </w:endnote>
  <w:endnote w:type="continuationSeparator" w:id="0">
    <w:p w:rsidR="00B10AF7" w:rsidRDefault="00B10AF7">
      <w:r>
        <w:t xml:space="preserve"> </w:t>
      </w:r>
    </w:p>
    <w:p w:rsidR="00B10AF7" w:rsidRDefault="00B10AF7"/>
    <w:p w:rsidR="00B10AF7" w:rsidRDefault="00B10AF7"/>
  </w:endnote>
  <w:endnote w:type="continuationNotice" w:id="1">
    <w:p w:rsidR="00B10AF7" w:rsidRDefault="00B10AF7">
      <w:r>
        <w:t xml:space="preserve"> </w:t>
      </w:r>
    </w:p>
    <w:p w:rsidR="00B10AF7" w:rsidRDefault="00B10AF7"/>
    <w:p w:rsidR="00B10AF7" w:rsidRDefault="00B10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AE" w:rsidRDefault="00C02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AE" w:rsidRDefault="00C02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AE" w:rsidRDefault="00C029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F7" w:rsidRPr="00511E65" w:rsidRDefault="00B10AF7" w:rsidP="00511E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F7" w:rsidRPr="00511E65" w:rsidRDefault="00B10AF7" w:rsidP="00511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F7" w:rsidRDefault="00B10AF7"/>
    <w:p w:rsidR="00B10AF7" w:rsidRDefault="00B10AF7"/>
    <w:p w:rsidR="00B10AF7" w:rsidRDefault="00B10AF7"/>
  </w:footnote>
  <w:footnote w:type="continuationSeparator" w:id="0">
    <w:p w:rsidR="00B10AF7" w:rsidRDefault="00B10AF7">
      <w:r>
        <w:continuationSeparator/>
      </w:r>
    </w:p>
    <w:p w:rsidR="00B10AF7" w:rsidRDefault="00B10AF7"/>
    <w:p w:rsidR="00B10AF7" w:rsidRDefault="00B10A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AE" w:rsidRDefault="00C02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AE" w:rsidRDefault="00C02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AE" w:rsidRDefault="00C029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F7" w:rsidRDefault="00B10AF7">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F7" w:rsidRDefault="00B10AF7">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F7" w:rsidRDefault="00B10AF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F7" w:rsidRDefault="00B10AF7">
    <w:pPr>
      <w:tabs>
        <w:tab w:val="center" w:pos="4512"/>
      </w:tabs>
      <w:suppressAutoHyphens/>
    </w:pPr>
    <w:r>
      <w:tab/>
      <w:t xml:space="preserve">- </w:t>
    </w:r>
    <w:r>
      <w:fldChar w:fldCharType="begin"/>
    </w:r>
    <w:r>
      <w:instrText>page \* arabic</w:instrText>
    </w:r>
    <w:r>
      <w:fldChar w:fldCharType="separate"/>
    </w:r>
    <w:r w:rsidR="00D77A84">
      <w:rPr>
        <w:noProof/>
      </w:rPr>
      <w:t>10</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F7" w:rsidRDefault="00B10AF7">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D1568B4E"/>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9"/>
    <w:rsid w:val="0001469E"/>
    <w:rsid w:val="00015993"/>
    <w:rsid w:val="00022289"/>
    <w:rsid w:val="00032F9F"/>
    <w:rsid w:val="00041C07"/>
    <w:rsid w:val="0004564C"/>
    <w:rsid w:val="00045BB7"/>
    <w:rsid w:val="00055638"/>
    <w:rsid w:val="00055719"/>
    <w:rsid w:val="0005641B"/>
    <w:rsid w:val="0007352F"/>
    <w:rsid w:val="000803B4"/>
    <w:rsid w:val="00081497"/>
    <w:rsid w:val="000A2E76"/>
    <w:rsid w:val="000A4807"/>
    <w:rsid w:val="000A4BE4"/>
    <w:rsid w:val="000B73F4"/>
    <w:rsid w:val="000C023E"/>
    <w:rsid w:val="000C5195"/>
    <w:rsid w:val="000C62EF"/>
    <w:rsid w:val="000D202D"/>
    <w:rsid w:val="000D2137"/>
    <w:rsid w:val="000D3FD2"/>
    <w:rsid w:val="000E7BAE"/>
    <w:rsid w:val="000E7F88"/>
    <w:rsid w:val="000F0CF3"/>
    <w:rsid w:val="000F133D"/>
    <w:rsid w:val="0010536B"/>
    <w:rsid w:val="0011145C"/>
    <w:rsid w:val="001128BD"/>
    <w:rsid w:val="0011419D"/>
    <w:rsid w:val="001263F9"/>
    <w:rsid w:val="00132054"/>
    <w:rsid w:val="00140084"/>
    <w:rsid w:val="0016127E"/>
    <w:rsid w:val="00164707"/>
    <w:rsid w:val="001727A4"/>
    <w:rsid w:val="00172CB6"/>
    <w:rsid w:val="0017376C"/>
    <w:rsid w:val="001738AB"/>
    <w:rsid w:val="001765E0"/>
    <w:rsid w:val="00177759"/>
    <w:rsid w:val="00185E6B"/>
    <w:rsid w:val="00187BBC"/>
    <w:rsid w:val="00192FAB"/>
    <w:rsid w:val="001932F3"/>
    <w:rsid w:val="001A0644"/>
    <w:rsid w:val="001A4309"/>
    <w:rsid w:val="001B1053"/>
    <w:rsid w:val="001B14AC"/>
    <w:rsid w:val="001B7940"/>
    <w:rsid w:val="001C0DA0"/>
    <w:rsid w:val="001C1797"/>
    <w:rsid w:val="001C37CA"/>
    <w:rsid w:val="001C732E"/>
    <w:rsid w:val="001D38B2"/>
    <w:rsid w:val="001D4303"/>
    <w:rsid w:val="001D6746"/>
    <w:rsid w:val="001E30EB"/>
    <w:rsid w:val="001E3B49"/>
    <w:rsid w:val="001E4FE8"/>
    <w:rsid w:val="001E7388"/>
    <w:rsid w:val="001F13DD"/>
    <w:rsid w:val="001F2DBC"/>
    <w:rsid w:val="0020262C"/>
    <w:rsid w:val="0021319D"/>
    <w:rsid w:val="00217FC4"/>
    <w:rsid w:val="00223453"/>
    <w:rsid w:val="00224537"/>
    <w:rsid w:val="00235956"/>
    <w:rsid w:val="002435E9"/>
    <w:rsid w:val="00247C9A"/>
    <w:rsid w:val="0025160C"/>
    <w:rsid w:val="002535D0"/>
    <w:rsid w:val="002539B3"/>
    <w:rsid w:val="00257C3E"/>
    <w:rsid w:val="002602C2"/>
    <w:rsid w:val="002666C9"/>
    <w:rsid w:val="00270136"/>
    <w:rsid w:val="00274F5B"/>
    <w:rsid w:val="00280836"/>
    <w:rsid w:val="00282E1A"/>
    <w:rsid w:val="0029113B"/>
    <w:rsid w:val="002934C0"/>
    <w:rsid w:val="00296865"/>
    <w:rsid w:val="002A1B50"/>
    <w:rsid w:val="002B0E91"/>
    <w:rsid w:val="002B6779"/>
    <w:rsid w:val="002B71C0"/>
    <w:rsid w:val="002B7A34"/>
    <w:rsid w:val="002C11D6"/>
    <w:rsid w:val="002C31AD"/>
    <w:rsid w:val="002C7385"/>
    <w:rsid w:val="002D2DBB"/>
    <w:rsid w:val="002D54A6"/>
    <w:rsid w:val="002E6A7A"/>
    <w:rsid w:val="002F1E49"/>
    <w:rsid w:val="002F4E9C"/>
    <w:rsid w:val="00302CD9"/>
    <w:rsid w:val="0031256C"/>
    <w:rsid w:val="00314D6C"/>
    <w:rsid w:val="0031663C"/>
    <w:rsid w:val="00316D2A"/>
    <w:rsid w:val="00322A7C"/>
    <w:rsid w:val="003402D3"/>
    <w:rsid w:val="00343ABC"/>
    <w:rsid w:val="003463FE"/>
    <w:rsid w:val="003554B3"/>
    <w:rsid w:val="00356632"/>
    <w:rsid w:val="00371E7B"/>
    <w:rsid w:val="003845A9"/>
    <w:rsid w:val="00390883"/>
    <w:rsid w:val="003922F8"/>
    <w:rsid w:val="00395B24"/>
    <w:rsid w:val="003A2D38"/>
    <w:rsid w:val="003A7ECC"/>
    <w:rsid w:val="003B2C72"/>
    <w:rsid w:val="003C1333"/>
    <w:rsid w:val="003C20FF"/>
    <w:rsid w:val="003C633F"/>
    <w:rsid w:val="003D2650"/>
    <w:rsid w:val="003D560C"/>
    <w:rsid w:val="003E5874"/>
    <w:rsid w:val="003F193E"/>
    <w:rsid w:val="003F34F1"/>
    <w:rsid w:val="003F4DAF"/>
    <w:rsid w:val="00411AE8"/>
    <w:rsid w:val="00413B74"/>
    <w:rsid w:val="00432C7D"/>
    <w:rsid w:val="00435C5F"/>
    <w:rsid w:val="004404DD"/>
    <w:rsid w:val="00441E98"/>
    <w:rsid w:val="00443F3A"/>
    <w:rsid w:val="004501F0"/>
    <w:rsid w:val="004532F7"/>
    <w:rsid w:val="00472027"/>
    <w:rsid w:val="00472273"/>
    <w:rsid w:val="004804CF"/>
    <w:rsid w:val="00484962"/>
    <w:rsid w:val="00484F6D"/>
    <w:rsid w:val="00490227"/>
    <w:rsid w:val="00490885"/>
    <w:rsid w:val="0049338A"/>
    <w:rsid w:val="0049417F"/>
    <w:rsid w:val="004952CE"/>
    <w:rsid w:val="004B3C88"/>
    <w:rsid w:val="004B3EFA"/>
    <w:rsid w:val="004B41BB"/>
    <w:rsid w:val="004C2A87"/>
    <w:rsid w:val="004C4ED3"/>
    <w:rsid w:val="004D0E8B"/>
    <w:rsid w:val="004D2288"/>
    <w:rsid w:val="004D2EA5"/>
    <w:rsid w:val="004D32A6"/>
    <w:rsid w:val="004D362F"/>
    <w:rsid w:val="004D53E5"/>
    <w:rsid w:val="004D63D9"/>
    <w:rsid w:val="004E2009"/>
    <w:rsid w:val="00501A12"/>
    <w:rsid w:val="00502AB0"/>
    <w:rsid w:val="00511E65"/>
    <w:rsid w:val="0051346D"/>
    <w:rsid w:val="00513EAE"/>
    <w:rsid w:val="00516806"/>
    <w:rsid w:val="00525A49"/>
    <w:rsid w:val="00532D51"/>
    <w:rsid w:val="0053478E"/>
    <w:rsid w:val="00535613"/>
    <w:rsid w:val="005359EB"/>
    <w:rsid w:val="0054254A"/>
    <w:rsid w:val="005466B5"/>
    <w:rsid w:val="00551287"/>
    <w:rsid w:val="005629B3"/>
    <w:rsid w:val="00573AC4"/>
    <w:rsid w:val="005801FC"/>
    <w:rsid w:val="005809E9"/>
    <w:rsid w:val="005854F5"/>
    <w:rsid w:val="00592649"/>
    <w:rsid w:val="00595016"/>
    <w:rsid w:val="00597AAE"/>
    <w:rsid w:val="005A0A7E"/>
    <w:rsid w:val="005A222C"/>
    <w:rsid w:val="005A4DF8"/>
    <w:rsid w:val="005B1426"/>
    <w:rsid w:val="005B675F"/>
    <w:rsid w:val="005C0A8E"/>
    <w:rsid w:val="005C1767"/>
    <w:rsid w:val="005C42EF"/>
    <w:rsid w:val="005E02F5"/>
    <w:rsid w:val="005E0510"/>
    <w:rsid w:val="005E176E"/>
    <w:rsid w:val="005E1D9E"/>
    <w:rsid w:val="005E218E"/>
    <w:rsid w:val="005E35A0"/>
    <w:rsid w:val="005F0D1B"/>
    <w:rsid w:val="005F1865"/>
    <w:rsid w:val="006007BD"/>
    <w:rsid w:val="006013C8"/>
    <w:rsid w:val="0060270D"/>
    <w:rsid w:val="00604611"/>
    <w:rsid w:val="00611586"/>
    <w:rsid w:val="00621887"/>
    <w:rsid w:val="00624520"/>
    <w:rsid w:val="00627449"/>
    <w:rsid w:val="00632BB7"/>
    <w:rsid w:val="00635B36"/>
    <w:rsid w:val="0063607D"/>
    <w:rsid w:val="00636871"/>
    <w:rsid w:val="00640F4E"/>
    <w:rsid w:val="00643DE0"/>
    <w:rsid w:val="006441F0"/>
    <w:rsid w:val="0064439D"/>
    <w:rsid w:val="00644E85"/>
    <w:rsid w:val="00656763"/>
    <w:rsid w:val="0066063F"/>
    <w:rsid w:val="00662BB0"/>
    <w:rsid w:val="00663878"/>
    <w:rsid w:val="00667773"/>
    <w:rsid w:val="00670743"/>
    <w:rsid w:val="006727AE"/>
    <w:rsid w:val="006868F8"/>
    <w:rsid w:val="0068724C"/>
    <w:rsid w:val="00690EE2"/>
    <w:rsid w:val="006A0E20"/>
    <w:rsid w:val="006A1E26"/>
    <w:rsid w:val="006A5695"/>
    <w:rsid w:val="006B3904"/>
    <w:rsid w:val="006B4851"/>
    <w:rsid w:val="006B5B7D"/>
    <w:rsid w:val="006B61D5"/>
    <w:rsid w:val="006C32AC"/>
    <w:rsid w:val="006D0ECF"/>
    <w:rsid w:val="006D18DB"/>
    <w:rsid w:val="006D29AB"/>
    <w:rsid w:val="006D4C92"/>
    <w:rsid w:val="006D4EB6"/>
    <w:rsid w:val="006E35BF"/>
    <w:rsid w:val="006E6B0C"/>
    <w:rsid w:val="006E7850"/>
    <w:rsid w:val="006F4BCD"/>
    <w:rsid w:val="006F5DBE"/>
    <w:rsid w:val="007028D9"/>
    <w:rsid w:val="00707218"/>
    <w:rsid w:val="00712B1D"/>
    <w:rsid w:val="007138A6"/>
    <w:rsid w:val="00731CBE"/>
    <w:rsid w:val="007325D9"/>
    <w:rsid w:val="007360CA"/>
    <w:rsid w:val="00742475"/>
    <w:rsid w:val="00767EC9"/>
    <w:rsid w:val="0077416C"/>
    <w:rsid w:val="0078003A"/>
    <w:rsid w:val="00780771"/>
    <w:rsid w:val="007929CF"/>
    <w:rsid w:val="007A6F28"/>
    <w:rsid w:val="007B03C6"/>
    <w:rsid w:val="007B0DB1"/>
    <w:rsid w:val="007D22D7"/>
    <w:rsid w:val="007D2EF8"/>
    <w:rsid w:val="007D561F"/>
    <w:rsid w:val="007D7FD2"/>
    <w:rsid w:val="007E13D9"/>
    <w:rsid w:val="007E4DB6"/>
    <w:rsid w:val="007E7CD4"/>
    <w:rsid w:val="0080029B"/>
    <w:rsid w:val="00801575"/>
    <w:rsid w:val="00801800"/>
    <w:rsid w:val="00801B5B"/>
    <w:rsid w:val="00806E3E"/>
    <w:rsid w:val="008109DF"/>
    <w:rsid w:val="008118FE"/>
    <w:rsid w:val="00815E8E"/>
    <w:rsid w:val="00821BE2"/>
    <w:rsid w:val="008276B4"/>
    <w:rsid w:val="008314A4"/>
    <w:rsid w:val="00831927"/>
    <w:rsid w:val="008378C4"/>
    <w:rsid w:val="00841BD3"/>
    <w:rsid w:val="0084273D"/>
    <w:rsid w:val="00844E3F"/>
    <w:rsid w:val="00845A83"/>
    <w:rsid w:val="008712BB"/>
    <w:rsid w:val="0088196F"/>
    <w:rsid w:val="008A2484"/>
    <w:rsid w:val="008A78DB"/>
    <w:rsid w:val="008C26D9"/>
    <w:rsid w:val="008C6D50"/>
    <w:rsid w:val="008C7167"/>
    <w:rsid w:val="008C7503"/>
    <w:rsid w:val="008D1018"/>
    <w:rsid w:val="008D1617"/>
    <w:rsid w:val="008D486A"/>
    <w:rsid w:val="008D49E7"/>
    <w:rsid w:val="008E6315"/>
    <w:rsid w:val="008E7AB0"/>
    <w:rsid w:val="008F11E0"/>
    <w:rsid w:val="008F78BC"/>
    <w:rsid w:val="008F7B63"/>
    <w:rsid w:val="008F7D6A"/>
    <w:rsid w:val="009044B0"/>
    <w:rsid w:val="009054CB"/>
    <w:rsid w:val="00911C69"/>
    <w:rsid w:val="00912F94"/>
    <w:rsid w:val="0092590B"/>
    <w:rsid w:val="00925E60"/>
    <w:rsid w:val="009264B3"/>
    <w:rsid w:val="009410E7"/>
    <w:rsid w:val="00942BA2"/>
    <w:rsid w:val="00944C86"/>
    <w:rsid w:val="0095015A"/>
    <w:rsid w:val="0095370F"/>
    <w:rsid w:val="00957DE8"/>
    <w:rsid w:val="00960ECB"/>
    <w:rsid w:val="009615D6"/>
    <w:rsid w:val="00967855"/>
    <w:rsid w:val="00975AB1"/>
    <w:rsid w:val="0097700C"/>
    <w:rsid w:val="00980736"/>
    <w:rsid w:val="00981A39"/>
    <w:rsid w:val="00982955"/>
    <w:rsid w:val="00987097"/>
    <w:rsid w:val="009B046C"/>
    <w:rsid w:val="009B13FA"/>
    <w:rsid w:val="009B1E2D"/>
    <w:rsid w:val="009B7D0A"/>
    <w:rsid w:val="009C59FB"/>
    <w:rsid w:val="009C6F3B"/>
    <w:rsid w:val="009D4235"/>
    <w:rsid w:val="009E4FA6"/>
    <w:rsid w:val="009E7D93"/>
    <w:rsid w:val="009F5C33"/>
    <w:rsid w:val="00A00523"/>
    <w:rsid w:val="00A03EAC"/>
    <w:rsid w:val="00A1055C"/>
    <w:rsid w:val="00A11CA6"/>
    <w:rsid w:val="00A20C49"/>
    <w:rsid w:val="00A269CA"/>
    <w:rsid w:val="00A32F27"/>
    <w:rsid w:val="00A33A0D"/>
    <w:rsid w:val="00A359AC"/>
    <w:rsid w:val="00A407B7"/>
    <w:rsid w:val="00A41413"/>
    <w:rsid w:val="00A45FB1"/>
    <w:rsid w:val="00A46CCC"/>
    <w:rsid w:val="00A51CFE"/>
    <w:rsid w:val="00A6773A"/>
    <w:rsid w:val="00A707BD"/>
    <w:rsid w:val="00A73CD3"/>
    <w:rsid w:val="00A76C13"/>
    <w:rsid w:val="00A77591"/>
    <w:rsid w:val="00A92E79"/>
    <w:rsid w:val="00A950B6"/>
    <w:rsid w:val="00AA77EE"/>
    <w:rsid w:val="00AB41C1"/>
    <w:rsid w:val="00AD0DAC"/>
    <w:rsid w:val="00AD12A8"/>
    <w:rsid w:val="00AE1183"/>
    <w:rsid w:val="00AF3577"/>
    <w:rsid w:val="00AF35F9"/>
    <w:rsid w:val="00B01AD4"/>
    <w:rsid w:val="00B030F9"/>
    <w:rsid w:val="00B05C7D"/>
    <w:rsid w:val="00B10AF7"/>
    <w:rsid w:val="00B14DB7"/>
    <w:rsid w:val="00B346C3"/>
    <w:rsid w:val="00B401A5"/>
    <w:rsid w:val="00B4471C"/>
    <w:rsid w:val="00B451A6"/>
    <w:rsid w:val="00B53E44"/>
    <w:rsid w:val="00B722DE"/>
    <w:rsid w:val="00B76C44"/>
    <w:rsid w:val="00B77B27"/>
    <w:rsid w:val="00B81E75"/>
    <w:rsid w:val="00B83F87"/>
    <w:rsid w:val="00BA2EFA"/>
    <w:rsid w:val="00BA3DBC"/>
    <w:rsid w:val="00BB2DA2"/>
    <w:rsid w:val="00BB56DC"/>
    <w:rsid w:val="00BE183D"/>
    <w:rsid w:val="00BF5D7A"/>
    <w:rsid w:val="00C0199C"/>
    <w:rsid w:val="00C029AE"/>
    <w:rsid w:val="00C04030"/>
    <w:rsid w:val="00C21C18"/>
    <w:rsid w:val="00C274EF"/>
    <w:rsid w:val="00C3101A"/>
    <w:rsid w:val="00C36442"/>
    <w:rsid w:val="00C400CE"/>
    <w:rsid w:val="00C410FD"/>
    <w:rsid w:val="00C415C9"/>
    <w:rsid w:val="00C539FB"/>
    <w:rsid w:val="00C612B8"/>
    <w:rsid w:val="00C7048F"/>
    <w:rsid w:val="00C750BF"/>
    <w:rsid w:val="00C9105A"/>
    <w:rsid w:val="00CA246D"/>
    <w:rsid w:val="00CA3DC7"/>
    <w:rsid w:val="00CB3A35"/>
    <w:rsid w:val="00CB5636"/>
    <w:rsid w:val="00CB7F5F"/>
    <w:rsid w:val="00CD2379"/>
    <w:rsid w:val="00CD33BE"/>
    <w:rsid w:val="00CE4847"/>
    <w:rsid w:val="00CE74E1"/>
    <w:rsid w:val="00D10F21"/>
    <w:rsid w:val="00D1383C"/>
    <w:rsid w:val="00D16F48"/>
    <w:rsid w:val="00D22951"/>
    <w:rsid w:val="00D267D3"/>
    <w:rsid w:val="00D34040"/>
    <w:rsid w:val="00D34E69"/>
    <w:rsid w:val="00D375EE"/>
    <w:rsid w:val="00D53EC1"/>
    <w:rsid w:val="00D57C3D"/>
    <w:rsid w:val="00D62699"/>
    <w:rsid w:val="00D62A3D"/>
    <w:rsid w:val="00D6349C"/>
    <w:rsid w:val="00D64F85"/>
    <w:rsid w:val="00D71433"/>
    <w:rsid w:val="00D77A84"/>
    <w:rsid w:val="00D800BB"/>
    <w:rsid w:val="00D82620"/>
    <w:rsid w:val="00D9725F"/>
    <w:rsid w:val="00DA01B1"/>
    <w:rsid w:val="00DA11A2"/>
    <w:rsid w:val="00DA14ED"/>
    <w:rsid w:val="00DA4C9A"/>
    <w:rsid w:val="00DA5D04"/>
    <w:rsid w:val="00DB2EF1"/>
    <w:rsid w:val="00DB3DE1"/>
    <w:rsid w:val="00DB5DA0"/>
    <w:rsid w:val="00DB716C"/>
    <w:rsid w:val="00DC5C85"/>
    <w:rsid w:val="00DC5D95"/>
    <w:rsid w:val="00DD168C"/>
    <w:rsid w:val="00DD1A65"/>
    <w:rsid w:val="00DD4236"/>
    <w:rsid w:val="00DD44F1"/>
    <w:rsid w:val="00DD4D8B"/>
    <w:rsid w:val="00DE3067"/>
    <w:rsid w:val="00DE4FD3"/>
    <w:rsid w:val="00DF3109"/>
    <w:rsid w:val="00E027BC"/>
    <w:rsid w:val="00E14EA5"/>
    <w:rsid w:val="00E150D0"/>
    <w:rsid w:val="00E21133"/>
    <w:rsid w:val="00E2327E"/>
    <w:rsid w:val="00E266EF"/>
    <w:rsid w:val="00E3080B"/>
    <w:rsid w:val="00E31E9F"/>
    <w:rsid w:val="00E415D2"/>
    <w:rsid w:val="00E42F6B"/>
    <w:rsid w:val="00E47428"/>
    <w:rsid w:val="00E56941"/>
    <w:rsid w:val="00E61887"/>
    <w:rsid w:val="00E66B9F"/>
    <w:rsid w:val="00E710D6"/>
    <w:rsid w:val="00E76E45"/>
    <w:rsid w:val="00E777C9"/>
    <w:rsid w:val="00E81DA6"/>
    <w:rsid w:val="00E84212"/>
    <w:rsid w:val="00E9086C"/>
    <w:rsid w:val="00E91A0F"/>
    <w:rsid w:val="00E94A71"/>
    <w:rsid w:val="00EA03CE"/>
    <w:rsid w:val="00EA04D9"/>
    <w:rsid w:val="00EA23E5"/>
    <w:rsid w:val="00EA4E2E"/>
    <w:rsid w:val="00EB2CCB"/>
    <w:rsid w:val="00EB6128"/>
    <w:rsid w:val="00EB691E"/>
    <w:rsid w:val="00EC35CB"/>
    <w:rsid w:val="00EC57A7"/>
    <w:rsid w:val="00ED0817"/>
    <w:rsid w:val="00ED7DD9"/>
    <w:rsid w:val="00EF3113"/>
    <w:rsid w:val="00EF3F84"/>
    <w:rsid w:val="00F029D1"/>
    <w:rsid w:val="00F06E3E"/>
    <w:rsid w:val="00F1116A"/>
    <w:rsid w:val="00F11CE8"/>
    <w:rsid w:val="00F176AC"/>
    <w:rsid w:val="00F26A9F"/>
    <w:rsid w:val="00F27714"/>
    <w:rsid w:val="00F3276E"/>
    <w:rsid w:val="00F33D3C"/>
    <w:rsid w:val="00F37A91"/>
    <w:rsid w:val="00F45CF5"/>
    <w:rsid w:val="00F47DB0"/>
    <w:rsid w:val="00F50E34"/>
    <w:rsid w:val="00F532E1"/>
    <w:rsid w:val="00F534B9"/>
    <w:rsid w:val="00F53EF7"/>
    <w:rsid w:val="00F54BF2"/>
    <w:rsid w:val="00F65C8A"/>
    <w:rsid w:val="00F82187"/>
    <w:rsid w:val="00F82BC0"/>
    <w:rsid w:val="00F92355"/>
    <w:rsid w:val="00F93963"/>
    <w:rsid w:val="00F94291"/>
    <w:rsid w:val="00FB7982"/>
    <w:rsid w:val="00FC0734"/>
    <w:rsid w:val="00FC0FC5"/>
    <w:rsid w:val="00FC588F"/>
    <w:rsid w:val="00FD4B1F"/>
    <w:rsid w:val="00FD6893"/>
    <w:rsid w:val="00FE03E0"/>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0l\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44BB-C718-4B71-9C6E-BD59DECD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13</Pages>
  <Words>4022</Words>
  <Characters>20945</Characters>
  <Application>Microsoft Office Word</Application>
  <DocSecurity>0</DocSecurity>
  <PresentationFormat/>
  <Lines>487</Lines>
  <Paragraphs>209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South Australian Council of Social Service Incorporated [2016] ACompT8</dc:title>
  <dc:subject/>
  <dc:creator/>
  <cp:keywords/>
  <dc:description/>
  <cp:lastModifiedBy/>
  <cp:revision>2</cp:revision>
  <cp:lastPrinted>2016-06-10T02:21:00Z</cp:lastPrinted>
  <dcterms:created xsi:type="dcterms:W3CDTF">2016-06-21T06:41:00Z</dcterms:created>
  <dcterms:modified xsi:type="dcterms:W3CDTF">2016-06-21T06:42:00Z</dcterms:modified>
  <cp:category/>
  <cp:contentStatus/>
  <dc:language/>
  <cp:version/>
</cp:coreProperties>
</file>