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B14023" w:rsidP="00A22932">
      <w:pPr>
        <w:pStyle w:val="CourtTitle"/>
      </w:pPr>
      <w:r>
        <w:fldChar w:fldCharType="begin" w:fldLock="1"/>
      </w:r>
      <w:r>
        <w:instrText xml:space="preserve"> DOCPROPERTY  Court  \* MERGEFORMAT </w:instrText>
      </w:r>
      <w:r>
        <w:fldChar w:fldCharType="separate"/>
      </w:r>
      <w:r>
        <w:t>Federal Court of Australia</w:t>
      </w:r>
      <w:r>
        <w:fldChar w:fldCharType="end"/>
      </w:r>
    </w:p>
    <w:p w:rsidR="00395B24" w:rsidRDefault="00395B24">
      <w:pPr>
        <w:pStyle w:val="NormalHeadings"/>
        <w:jc w:val="center"/>
        <w:rPr>
          <w:sz w:val="32"/>
        </w:rPr>
      </w:pPr>
    </w:p>
    <w:bookmarkStart w:id="0" w:name="MNC"/>
    <w:p w:rsidR="00374CC4" w:rsidRDefault="0037641E" w:rsidP="00B14023">
      <w:pPr>
        <w:pStyle w:val="MNC"/>
      </w:pPr>
      <w:sdt>
        <w:sdtPr>
          <w:alias w:val="MNC"/>
          <w:tag w:val="MNC"/>
          <w:id w:val="343289786"/>
          <w:lock w:val="sdtLocked"/>
          <w:placeholder>
            <w:docPart w:val="4B618B925BF94634B77083AD3E09299C"/>
          </w:placeholder>
          <w:dataBinding w:prefixMappings="xmlns:ns0='http://schemas.globalmacros.com/FCA'" w:xpath="/ns0:root[1]/ns0:Name[1]" w:storeItemID="{687E7CCB-4AA5-44E7-B148-17BA2B6F57C0}"/>
          <w:text w:multiLine="1"/>
        </w:sdtPr>
        <w:sdtEndPr/>
        <w:sdtContent>
          <w:r w:rsidR="00B14023" w:rsidRPr="00B14023">
            <w:t xml:space="preserve"> </w:t>
          </w:r>
          <w:r w:rsidR="00885EAB">
            <w:t xml:space="preserve">Seven Consulting Pty Ltd v Google LLC [2021] FCA </w:t>
          </w:r>
          <w:r w:rsidR="00D87517">
            <w:t>203</w:t>
          </w:r>
          <w:r w:rsidR="00B14023" w:rsidRPr="00B14023">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D4583D">
        <w:tc>
          <w:tcPr>
            <w:tcW w:w="3084" w:type="dxa"/>
            <w:shd w:val="clear" w:color="auto" w:fill="auto"/>
          </w:tcPr>
          <w:p w:rsidR="00395B24" w:rsidRDefault="002C7385" w:rsidP="00663878">
            <w:pPr>
              <w:pStyle w:val="Normal1linespace"/>
              <w:widowControl w:val="0"/>
              <w:jc w:val="left"/>
            </w:pPr>
            <w:r>
              <w:t>File number:</w:t>
            </w:r>
          </w:p>
        </w:tc>
        <w:tc>
          <w:tcPr>
            <w:tcW w:w="5989" w:type="dxa"/>
            <w:shd w:val="clear" w:color="auto" w:fill="auto"/>
          </w:tcPr>
          <w:p w:rsidR="00395B24" w:rsidRPr="00B14023" w:rsidRDefault="0037641E" w:rsidP="00B14023">
            <w:pPr>
              <w:pStyle w:val="Normal1linespace"/>
              <w:jc w:val="left"/>
            </w:pPr>
            <w:r>
              <w:fldChar w:fldCharType="begin" w:fldLock="1"/>
            </w:r>
            <w:r>
              <w:instrText xml:space="preserve"> REF  FileNo  \* MERGEFORMAT </w:instrText>
            </w:r>
            <w:r>
              <w:fldChar w:fldCharType="separate"/>
            </w:r>
            <w:r w:rsidR="00B14023" w:rsidRPr="00B14023">
              <w:t>NSD 1078 of 2020</w:t>
            </w:r>
            <w:r>
              <w:fldChar w:fldCharType="end"/>
            </w:r>
          </w:p>
        </w:tc>
      </w:tr>
      <w:tr w:rsidR="00395B24" w:rsidTr="00D4583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583D">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B14023">
              <w:rPr>
                <w:b/>
              </w:rPr>
              <w:fldChar w:fldCharType="begin" w:fldLock="1"/>
            </w:r>
            <w:r w:rsidRPr="00B14023">
              <w:rPr>
                <w:b/>
              </w:rPr>
              <w:instrText xml:space="preserve"> REF  Judge  \* MERGEFORMAT </w:instrText>
            </w:r>
            <w:r w:rsidRPr="00B14023">
              <w:rPr>
                <w:b/>
              </w:rPr>
              <w:fldChar w:fldCharType="separate"/>
            </w:r>
            <w:r w:rsidR="00B14023" w:rsidRPr="00B14023">
              <w:rPr>
                <w:b/>
                <w:caps/>
                <w:szCs w:val="24"/>
              </w:rPr>
              <w:t>ABRAHAM J</w:t>
            </w:r>
            <w:r w:rsidRPr="00B14023">
              <w:rPr>
                <w:b/>
              </w:rPr>
              <w:fldChar w:fldCharType="end"/>
            </w:r>
          </w:p>
        </w:tc>
      </w:tr>
      <w:tr w:rsidR="00395B24" w:rsidTr="00D4583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583D">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8E69A9" w:rsidP="00663878">
            <w:pPr>
              <w:pStyle w:val="Normal1linespace"/>
              <w:widowControl w:val="0"/>
              <w:jc w:val="left"/>
            </w:pPr>
            <w:bookmarkStart w:id="1" w:name="JudgmentDate"/>
            <w:r>
              <w:t xml:space="preserve">11 </w:t>
            </w:r>
            <w:r w:rsidR="00A9534C">
              <w:t>March 2021</w:t>
            </w:r>
            <w:bookmarkEnd w:id="1"/>
          </w:p>
        </w:tc>
      </w:tr>
      <w:tr w:rsidR="00395B24" w:rsidTr="00D4583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583D">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85EAB" w:rsidP="008E69A9">
            <w:pPr>
              <w:pStyle w:val="Normal1linespace"/>
              <w:widowControl w:val="0"/>
            </w:pPr>
            <w:bookmarkStart w:id="2" w:name="Catchwords"/>
            <w:r w:rsidRPr="00885EAB">
              <w:rPr>
                <w:b/>
              </w:rPr>
              <w:t xml:space="preserve">PRACTICE AND PROCEDURE </w:t>
            </w:r>
            <w:r w:rsidRPr="00885EAB">
              <w:t>–</w:t>
            </w:r>
            <w:r w:rsidRPr="00885EAB">
              <w:rPr>
                <w:b/>
              </w:rPr>
              <w:t xml:space="preserve"> </w:t>
            </w:r>
            <w:r w:rsidRPr="00885EAB">
              <w:t xml:space="preserve">application to serve originating application seeking preliminary discovery outside Australia pursuant to </w:t>
            </w:r>
            <w:r w:rsidRPr="00885EAB">
              <w:rPr>
                <w:i/>
              </w:rPr>
              <w:t>Federal Court Rules 2011</w:t>
            </w:r>
            <w:r w:rsidRPr="00885EAB">
              <w:t xml:space="preserve"> (Cth) rr 10.41 to 10.43</w:t>
            </w:r>
            <w:r w:rsidR="008E69A9">
              <w:t xml:space="preserve"> (the Rules)</w:t>
            </w:r>
            <w:r w:rsidRPr="00885EAB">
              <w:t xml:space="preserve"> – whether the </w:t>
            </w:r>
            <w:r w:rsidR="008E69A9">
              <w:t>application meets the requirements of r 10.43 of the Rules</w:t>
            </w:r>
            <w:r w:rsidRPr="00885EAB">
              <w:t xml:space="preserve"> – service in accordance with the Hague Service Convention – whether service by post is permissible – leave granted to serve originating application outside Australia</w:t>
            </w:r>
            <w:r w:rsidR="00715751">
              <w:t xml:space="preserve"> </w:t>
            </w:r>
            <w:bookmarkEnd w:id="2"/>
          </w:p>
        </w:tc>
      </w:tr>
      <w:tr w:rsidR="00395B24" w:rsidTr="00D4583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583D">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885EAB" w:rsidP="00D82620">
            <w:pPr>
              <w:pStyle w:val="CasesLegislationAppealFrom"/>
              <w:spacing w:after="60"/>
            </w:pPr>
            <w:bookmarkStart w:id="3" w:name="Legislation"/>
            <w:r w:rsidRPr="001678A3">
              <w:rPr>
                <w:i/>
              </w:rPr>
              <w:t>Federal Court Rules 2011</w:t>
            </w:r>
            <w:r>
              <w:t xml:space="preserve"> (Cth) rr 7.22, 10.41, 10.42, 10.43</w:t>
            </w:r>
            <w:r w:rsidR="00715751">
              <w:t xml:space="preserve">  </w:t>
            </w:r>
            <w:r w:rsidR="002C7385">
              <w:t xml:space="preserve"> </w:t>
            </w:r>
            <w:bookmarkEnd w:id="3"/>
          </w:p>
        </w:tc>
      </w:tr>
      <w:tr w:rsidR="00395B24" w:rsidTr="00D4583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583D">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2754C" w:rsidRDefault="00A2754C" w:rsidP="00D4583D">
            <w:pPr>
              <w:pStyle w:val="CasesLegislationAppealFrom"/>
              <w:spacing w:after="60"/>
              <w:jc w:val="both"/>
            </w:pPr>
            <w:bookmarkStart w:id="4" w:name="Cases_Cited"/>
            <w:r w:rsidRPr="00D4583D">
              <w:rPr>
                <w:i/>
              </w:rPr>
              <w:t>Ahmed v Al-Hussain Pty Ltd t/as The Cheesecake Shop</w:t>
            </w:r>
            <w:r>
              <w:t xml:space="preserve"> [2018] FCA 1741</w:t>
            </w:r>
          </w:p>
          <w:p w:rsidR="00A2754C" w:rsidRDefault="00A2754C" w:rsidP="00D4583D">
            <w:pPr>
              <w:pStyle w:val="CasesLegislationAppealFrom"/>
              <w:spacing w:after="60"/>
              <w:jc w:val="both"/>
            </w:pPr>
            <w:r w:rsidRPr="00D4583D">
              <w:rPr>
                <w:i/>
              </w:rPr>
              <w:t>AIA Australia Ltd v Richards</w:t>
            </w:r>
            <w:r>
              <w:t xml:space="preserve"> [2017] FCA 84</w:t>
            </w:r>
          </w:p>
          <w:p w:rsidR="00A2754C" w:rsidRDefault="00A2754C" w:rsidP="00D4583D">
            <w:pPr>
              <w:pStyle w:val="CasesLegislationAppealFrom"/>
              <w:spacing w:after="60"/>
              <w:jc w:val="both"/>
            </w:pPr>
            <w:r w:rsidRPr="00D4583D">
              <w:rPr>
                <w:i/>
              </w:rPr>
              <w:t>Bell v Steele</w:t>
            </w:r>
            <w:r>
              <w:t xml:space="preserve"> [2011] FCA 1390; (2011) 198 FCR 291 </w:t>
            </w:r>
          </w:p>
          <w:p w:rsidR="00A2754C" w:rsidRDefault="00A2754C" w:rsidP="00D4583D">
            <w:pPr>
              <w:pStyle w:val="CasesLegislationAppealFrom"/>
              <w:spacing w:after="60"/>
              <w:jc w:val="both"/>
            </w:pPr>
            <w:r w:rsidRPr="00D4583D">
              <w:rPr>
                <w:i/>
              </w:rPr>
              <w:t>Boyd v Automattic</w:t>
            </w:r>
            <w:r w:rsidR="00501FAE">
              <w:rPr>
                <w:i/>
              </w:rPr>
              <w:t>, Inc</w:t>
            </w:r>
            <w:r>
              <w:t xml:space="preserve"> [2019] FCA 86</w:t>
            </w:r>
          </w:p>
          <w:p w:rsidR="00A2754C" w:rsidRDefault="00A2754C" w:rsidP="00D4583D">
            <w:pPr>
              <w:pStyle w:val="CasesLegislationAppealFrom"/>
              <w:spacing w:after="60"/>
              <w:jc w:val="both"/>
            </w:pPr>
            <w:r w:rsidRPr="00D4583D">
              <w:rPr>
                <w:i/>
              </w:rPr>
              <w:t>Cape Australia Holdings Pty Ltd v Iannello</w:t>
            </w:r>
            <w:r>
              <w:t xml:space="preserve"> [2009] FCA 709 </w:t>
            </w:r>
          </w:p>
          <w:p w:rsidR="00A2754C" w:rsidRDefault="00A2754C" w:rsidP="00D4583D">
            <w:pPr>
              <w:pStyle w:val="CasesLegislationAppealFrom"/>
              <w:spacing w:after="60"/>
              <w:jc w:val="both"/>
            </w:pPr>
            <w:r w:rsidRPr="00D4583D">
              <w:rPr>
                <w:i/>
              </w:rPr>
              <w:t>Carroll &amp; Richardson - Flagworld Pty Ltd v PayPal Australia Pty Limited</w:t>
            </w:r>
            <w:r>
              <w:t xml:space="preserve"> [2020] FCA 371  </w:t>
            </w:r>
          </w:p>
          <w:p w:rsidR="00A2754C" w:rsidRDefault="00A2754C" w:rsidP="00D4583D">
            <w:pPr>
              <w:pStyle w:val="CasesLegislationAppealFrom"/>
              <w:spacing w:after="60"/>
              <w:jc w:val="both"/>
            </w:pPr>
            <w:r w:rsidRPr="00D4583D">
              <w:rPr>
                <w:i/>
              </w:rPr>
              <w:t>Colagrande v Telstra Corporation Limited</w:t>
            </w:r>
            <w:r>
              <w:t xml:space="preserve"> [2020] FCA 1595 </w:t>
            </w:r>
          </w:p>
          <w:p w:rsidR="00A2754C" w:rsidRDefault="00A2754C" w:rsidP="00D4583D">
            <w:pPr>
              <w:pStyle w:val="CasesLegislationAppealFrom"/>
              <w:spacing w:after="60"/>
              <w:jc w:val="both"/>
            </w:pPr>
            <w:r w:rsidRPr="00D4583D">
              <w:rPr>
                <w:i/>
              </w:rPr>
              <w:t>Deputy Commissioner of Taxation v Cheung Kong Infrastructure Holdings Ltd</w:t>
            </w:r>
            <w:r>
              <w:t xml:space="preserve"> [2013] FCA 707; (2013) 96 ATR 44 </w:t>
            </w:r>
          </w:p>
          <w:p w:rsidR="00A2754C" w:rsidRDefault="00A2754C" w:rsidP="00D4583D">
            <w:pPr>
              <w:pStyle w:val="CasesLegislationAppealFrom"/>
              <w:spacing w:after="60"/>
              <w:jc w:val="both"/>
            </w:pPr>
            <w:r w:rsidRPr="00D4583D">
              <w:rPr>
                <w:i/>
              </w:rPr>
              <w:t>Deputy Commissioner of Taxation v Power Assets Holdings Ltd (previously known as Hongkong Electric Holdings Ltd)</w:t>
            </w:r>
            <w:r>
              <w:t xml:space="preserve"> [2013] FCA 708; (2013) 96 ATR 51</w:t>
            </w:r>
          </w:p>
          <w:p w:rsidR="00A2754C" w:rsidRDefault="00A2754C" w:rsidP="00D4583D">
            <w:pPr>
              <w:pStyle w:val="CasesLegislationAppealFrom"/>
              <w:spacing w:after="60"/>
              <w:jc w:val="both"/>
            </w:pPr>
            <w:r w:rsidRPr="00D4583D">
              <w:rPr>
                <w:i/>
              </w:rPr>
              <w:t>Dow Jones &amp; Company Inc v Gutnick</w:t>
            </w:r>
            <w:r>
              <w:t xml:space="preserve"> </w:t>
            </w:r>
            <w:r w:rsidR="000F5293">
              <w:rPr>
                <w:color w:val="000000" w:themeColor="text1"/>
                <w:lang w:val="en" w:eastAsia="en-AU"/>
              </w:rPr>
              <w:t xml:space="preserve">[2002] HCA 56; </w:t>
            </w:r>
            <w:r>
              <w:t>(2002) 210 CLR 575</w:t>
            </w:r>
          </w:p>
          <w:p w:rsidR="00A2754C" w:rsidRDefault="00A2754C" w:rsidP="00D4583D">
            <w:pPr>
              <w:pStyle w:val="CasesLegislationAppealFrom"/>
              <w:spacing w:after="60"/>
              <w:jc w:val="both"/>
            </w:pPr>
            <w:r w:rsidRPr="00D4583D">
              <w:rPr>
                <w:i/>
              </w:rPr>
              <w:t>Hooper v Kirella Pty Ltd</w:t>
            </w:r>
            <w:r>
              <w:t xml:space="preserve"> [1999] FCA 1584; (1999) 96 FCR 1</w:t>
            </w:r>
          </w:p>
          <w:p w:rsidR="00A2754C" w:rsidRDefault="00A2754C" w:rsidP="00D4583D">
            <w:pPr>
              <w:pStyle w:val="CasesLegislationAppealFrom"/>
              <w:spacing w:after="60"/>
              <w:jc w:val="both"/>
            </w:pPr>
            <w:r w:rsidRPr="00D4583D">
              <w:rPr>
                <w:i/>
              </w:rPr>
              <w:t>Kabbabe v Google LLC</w:t>
            </w:r>
            <w:r>
              <w:t xml:space="preserve"> [2020] FCA 126</w:t>
            </w:r>
          </w:p>
          <w:p w:rsidR="00395B24" w:rsidRDefault="00A2754C" w:rsidP="00D4583D">
            <w:pPr>
              <w:pStyle w:val="CasesLegislationAppealFrom"/>
              <w:spacing w:after="60"/>
              <w:jc w:val="both"/>
            </w:pPr>
            <w:r w:rsidRPr="00D4583D">
              <w:rPr>
                <w:i/>
              </w:rPr>
              <w:t>Practical Handbook on the Operation of the Hague Service Convention</w:t>
            </w:r>
            <w:r>
              <w:t xml:space="preserve"> (Permanent Bureau of the Hague Conference on Private International Law, 2006)</w:t>
            </w:r>
            <w:r w:rsidR="00715751">
              <w:t xml:space="preserve">  </w:t>
            </w:r>
            <w:r w:rsidR="002C7385">
              <w:t xml:space="preserve"> </w:t>
            </w:r>
            <w:bookmarkEnd w:id="4"/>
          </w:p>
        </w:tc>
      </w:tr>
      <w:tr w:rsidR="00B14023" w:rsidTr="00D4583D">
        <w:tc>
          <w:tcPr>
            <w:tcW w:w="3084" w:type="dxa"/>
            <w:shd w:val="clear" w:color="auto" w:fill="auto"/>
          </w:tcPr>
          <w:p w:rsidR="00B14023" w:rsidRDefault="00B14023" w:rsidP="00501A12">
            <w:pPr>
              <w:pStyle w:val="Normal1linespace"/>
              <w:widowControl w:val="0"/>
            </w:pPr>
          </w:p>
        </w:tc>
        <w:tc>
          <w:tcPr>
            <w:tcW w:w="5989" w:type="dxa"/>
            <w:shd w:val="clear" w:color="auto" w:fill="auto"/>
          </w:tcPr>
          <w:p w:rsidR="00B14023" w:rsidRDefault="00B14023" w:rsidP="00501A12">
            <w:pPr>
              <w:pStyle w:val="Normal1linespace"/>
              <w:widowControl w:val="0"/>
              <w:jc w:val="left"/>
            </w:pPr>
          </w:p>
        </w:tc>
      </w:tr>
      <w:tr w:rsidR="00D87517" w:rsidTr="00D4583D">
        <w:tc>
          <w:tcPr>
            <w:tcW w:w="3084" w:type="dxa"/>
            <w:shd w:val="clear" w:color="auto" w:fill="auto"/>
          </w:tcPr>
          <w:p w:rsidR="00D87517" w:rsidRDefault="00D87517" w:rsidP="00501A12">
            <w:pPr>
              <w:pStyle w:val="Normal1linespace"/>
              <w:widowControl w:val="0"/>
            </w:pPr>
            <w:r>
              <w:t>Division:</w:t>
            </w:r>
          </w:p>
        </w:tc>
        <w:tc>
          <w:tcPr>
            <w:tcW w:w="5989" w:type="dxa"/>
            <w:shd w:val="clear" w:color="auto" w:fill="auto"/>
          </w:tcPr>
          <w:p w:rsidR="00D87517" w:rsidRPr="007556B9" w:rsidRDefault="00D87517" w:rsidP="00501A12">
            <w:pPr>
              <w:pStyle w:val="Normal1linespace"/>
              <w:widowControl w:val="0"/>
              <w:jc w:val="left"/>
            </w:pPr>
            <w:r>
              <w:t>General</w:t>
            </w:r>
          </w:p>
        </w:tc>
      </w:tr>
      <w:tr w:rsidR="00D87517" w:rsidTr="00D4583D">
        <w:tc>
          <w:tcPr>
            <w:tcW w:w="3084" w:type="dxa"/>
            <w:shd w:val="clear" w:color="auto" w:fill="auto"/>
          </w:tcPr>
          <w:p w:rsidR="00D87517" w:rsidRDefault="00D87517" w:rsidP="00501A12">
            <w:pPr>
              <w:pStyle w:val="Normal1linespace"/>
              <w:widowControl w:val="0"/>
            </w:pPr>
          </w:p>
        </w:tc>
        <w:tc>
          <w:tcPr>
            <w:tcW w:w="5989" w:type="dxa"/>
            <w:shd w:val="clear" w:color="auto" w:fill="auto"/>
          </w:tcPr>
          <w:p w:rsidR="00D87517" w:rsidRDefault="00D87517" w:rsidP="00501A12">
            <w:pPr>
              <w:pStyle w:val="Normal1linespace"/>
              <w:widowControl w:val="0"/>
              <w:jc w:val="left"/>
            </w:pPr>
          </w:p>
        </w:tc>
      </w:tr>
      <w:tr w:rsidR="00D87517" w:rsidTr="00D4583D">
        <w:tc>
          <w:tcPr>
            <w:tcW w:w="3084" w:type="dxa"/>
            <w:shd w:val="clear" w:color="auto" w:fill="auto"/>
          </w:tcPr>
          <w:p w:rsidR="00D87517" w:rsidRDefault="00D87517" w:rsidP="00501A12">
            <w:pPr>
              <w:pStyle w:val="Normal1linespace"/>
              <w:widowControl w:val="0"/>
            </w:pPr>
            <w:r>
              <w:t>Registry:</w:t>
            </w:r>
          </w:p>
        </w:tc>
        <w:tc>
          <w:tcPr>
            <w:tcW w:w="5989" w:type="dxa"/>
            <w:shd w:val="clear" w:color="auto" w:fill="auto"/>
          </w:tcPr>
          <w:p w:rsidR="00D87517" w:rsidRDefault="00D87517" w:rsidP="00501A12">
            <w:pPr>
              <w:pStyle w:val="Normal1linespace"/>
              <w:widowControl w:val="0"/>
              <w:jc w:val="left"/>
            </w:pPr>
            <w:r>
              <w:t>New South Wales</w:t>
            </w:r>
          </w:p>
        </w:tc>
      </w:tr>
      <w:tr w:rsidR="00D87517" w:rsidTr="00D4583D">
        <w:tc>
          <w:tcPr>
            <w:tcW w:w="3084" w:type="dxa"/>
            <w:shd w:val="clear" w:color="auto" w:fill="auto"/>
          </w:tcPr>
          <w:p w:rsidR="00D87517" w:rsidRDefault="00D87517" w:rsidP="00501A12">
            <w:pPr>
              <w:pStyle w:val="Normal1linespace"/>
              <w:widowControl w:val="0"/>
            </w:pPr>
          </w:p>
        </w:tc>
        <w:tc>
          <w:tcPr>
            <w:tcW w:w="5989" w:type="dxa"/>
            <w:shd w:val="clear" w:color="auto" w:fill="auto"/>
          </w:tcPr>
          <w:p w:rsidR="00D87517" w:rsidRDefault="00D87517" w:rsidP="00501A12">
            <w:pPr>
              <w:pStyle w:val="Normal1linespace"/>
              <w:widowControl w:val="0"/>
              <w:jc w:val="left"/>
            </w:pPr>
          </w:p>
        </w:tc>
      </w:tr>
      <w:tr w:rsidR="00D87517" w:rsidTr="00D4583D">
        <w:tc>
          <w:tcPr>
            <w:tcW w:w="3084" w:type="dxa"/>
            <w:shd w:val="clear" w:color="auto" w:fill="auto"/>
          </w:tcPr>
          <w:p w:rsidR="00D87517" w:rsidRDefault="00D87517" w:rsidP="00501A12">
            <w:pPr>
              <w:pStyle w:val="Normal1linespace"/>
              <w:widowControl w:val="0"/>
            </w:pPr>
            <w:r>
              <w:t>National Practice Area:</w:t>
            </w:r>
          </w:p>
        </w:tc>
        <w:tc>
          <w:tcPr>
            <w:tcW w:w="5989" w:type="dxa"/>
            <w:shd w:val="clear" w:color="auto" w:fill="auto"/>
          </w:tcPr>
          <w:p w:rsidR="00D87517" w:rsidRDefault="00D87517" w:rsidP="00501A12">
            <w:pPr>
              <w:pStyle w:val="Normal1linespace"/>
              <w:widowControl w:val="0"/>
              <w:jc w:val="left"/>
            </w:pPr>
            <w:r>
              <w:t>Other Federal Jurisdiction</w:t>
            </w:r>
          </w:p>
        </w:tc>
      </w:tr>
      <w:tr w:rsidR="00D87517" w:rsidTr="00D4583D">
        <w:tc>
          <w:tcPr>
            <w:tcW w:w="3084" w:type="dxa"/>
            <w:shd w:val="clear" w:color="auto" w:fill="auto"/>
          </w:tcPr>
          <w:p w:rsidR="00D87517" w:rsidRDefault="00D87517" w:rsidP="00501A12">
            <w:pPr>
              <w:pStyle w:val="Normal1linespace"/>
              <w:widowControl w:val="0"/>
            </w:pPr>
          </w:p>
        </w:tc>
        <w:tc>
          <w:tcPr>
            <w:tcW w:w="5989" w:type="dxa"/>
            <w:shd w:val="clear" w:color="auto" w:fill="auto"/>
          </w:tcPr>
          <w:p w:rsidR="00D87517" w:rsidRPr="007556B9" w:rsidRDefault="00D87517" w:rsidP="00501A12">
            <w:pPr>
              <w:pStyle w:val="Normal1linespace"/>
              <w:widowControl w:val="0"/>
              <w:jc w:val="left"/>
            </w:pPr>
          </w:p>
        </w:tc>
      </w:tr>
      <w:tr w:rsidR="00B14023" w:rsidTr="00D4583D">
        <w:tc>
          <w:tcPr>
            <w:tcW w:w="3084" w:type="dxa"/>
            <w:shd w:val="clear" w:color="auto" w:fill="auto"/>
          </w:tcPr>
          <w:p w:rsidR="00B14023" w:rsidRDefault="00B14023" w:rsidP="00501A12">
            <w:pPr>
              <w:pStyle w:val="Normal1linespace"/>
              <w:widowControl w:val="0"/>
            </w:pPr>
            <w:r>
              <w:t>Number of paragraphs:</w:t>
            </w:r>
          </w:p>
        </w:tc>
        <w:tc>
          <w:tcPr>
            <w:tcW w:w="5989" w:type="dxa"/>
            <w:shd w:val="clear" w:color="auto" w:fill="auto"/>
          </w:tcPr>
          <w:p w:rsidR="00B14023" w:rsidRDefault="003A23CB" w:rsidP="00501A12">
            <w:pPr>
              <w:pStyle w:val="Normal1linespace"/>
              <w:widowControl w:val="0"/>
              <w:jc w:val="left"/>
            </w:pPr>
            <w:bookmarkStart w:id="5" w:name="PlaceCategoryParagraphs"/>
            <w:r w:rsidRPr="007556B9">
              <w:t>24</w:t>
            </w:r>
            <w:bookmarkEnd w:id="5"/>
          </w:p>
        </w:tc>
      </w:tr>
      <w:tr w:rsidR="00B14023" w:rsidTr="00D4583D">
        <w:tc>
          <w:tcPr>
            <w:tcW w:w="3084" w:type="dxa"/>
            <w:shd w:val="clear" w:color="auto" w:fill="auto"/>
          </w:tcPr>
          <w:p w:rsidR="00B14023" w:rsidRDefault="00B14023" w:rsidP="00B14023">
            <w:pPr>
              <w:pStyle w:val="Normal1linespace"/>
              <w:widowControl w:val="0"/>
              <w:jc w:val="left"/>
            </w:pPr>
          </w:p>
        </w:tc>
        <w:tc>
          <w:tcPr>
            <w:tcW w:w="5989" w:type="dxa"/>
            <w:shd w:val="clear" w:color="auto" w:fill="auto"/>
          </w:tcPr>
          <w:p w:rsidR="00B14023" w:rsidRDefault="00B14023" w:rsidP="00B14023">
            <w:pPr>
              <w:pStyle w:val="Normal1linespace"/>
              <w:widowControl w:val="0"/>
              <w:jc w:val="left"/>
            </w:pPr>
          </w:p>
        </w:tc>
      </w:tr>
      <w:tr w:rsidR="00B14023" w:rsidTr="00D4583D">
        <w:tc>
          <w:tcPr>
            <w:tcW w:w="3084" w:type="dxa"/>
            <w:shd w:val="clear" w:color="auto" w:fill="auto"/>
          </w:tcPr>
          <w:p w:rsidR="00B14023" w:rsidRDefault="00B14023" w:rsidP="00B14023">
            <w:pPr>
              <w:pStyle w:val="Normal1linespace"/>
              <w:widowControl w:val="0"/>
              <w:jc w:val="left"/>
            </w:pPr>
            <w:bookmarkStart w:id="6" w:name="CounselDate" w:colFirst="0" w:colLast="2"/>
            <w:r w:rsidRPr="006A24E3">
              <w:t>Date of hearing:</w:t>
            </w:r>
          </w:p>
        </w:tc>
        <w:tc>
          <w:tcPr>
            <w:tcW w:w="5989" w:type="dxa"/>
            <w:shd w:val="clear" w:color="auto" w:fill="auto"/>
          </w:tcPr>
          <w:p w:rsidR="00B14023" w:rsidRDefault="00885EAB" w:rsidP="00B14023">
            <w:pPr>
              <w:pStyle w:val="Normal1linespace"/>
              <w:widowControl w:val="0"/>
              <w:jc w:val="left"/>
            </w:pPr>
            <w:bookmarkStart w:id="7" w:name="HearingDate"/>
            <w:r>
              <w:t>This matter was determined on the papers</w:t>
            </w:r>
            <w:r w:rsidR="00B14023">
              <w:t xml:space="preserve"> </w:t>
            </w:r>
            <w:bookmarkEnd w:id="7"/>
          </w:p>
        </w:tc>
      </w:tr>
      <w:tr w:rsidR="00B14023" w:rsidTr="00D4583D">
        <w:tc>
          <w:tcPr>
            <w:tcW w:w="3084" w:type="dxa"/>
            <w:shd w:val="clear" w:color="auto" w:fill="auto"/>
          </w:tcPr>
          <w:p w:rsidR="00B14023" w:rsidRDefault="00B14023" w:rsidP="00B14023">
            <w:pPr>
              <w:pStyle w:val="Normal1linespace"/>
              <w:widowControl w:val="0"/>
              <w:jc w:val="left"/>
            </w:pPr>
          </w:p>
        </w:tc>
        <w:tc>
          <w:tcPr>
            <w:tcW w:w="5989" w:type="dxa"/>
            <w:shd w:val="clear" w:color="auto" w:fill="auto"/>
          </w:tcPr>
          <w:p w:rsidR="00B14023" w:rsidRDefault="00B14023" w:rsidP="00B14023">
            <w:pPr>
              <w:pStyle w:val="Normal1linespace"/>
              <w:widowControl w:val="0"/>
              <w:jc w:val="left"/>
            </w:pPr>
          </w:p>
        </w:tc>
      </w:tr>
      <w:tr w:rsidR="00A2754C" w:rsidTr="00D4583D">
        <w:tc>
          <w:tcPr>
            <w:tcW w:w="3081" w:type="dxa"/>
            <w:shd w:val="clear" w:color="auto" w:fill="auto"/>
          </w:tcPr>
          <w:p w:rsidR="00A2754C" w:rsidRDefault="00B71B13" w:rsidP="00D4583D">
            <w:pPr>
              <w:pStyle w:val="Normal1linespace"/>
              <w:widowControl w:val="0"/>
              <w:jc w:val="left"/>
            </w:pPr>
            <w:bookmarkStart w:id="8" w:name="Counsel" w:colFirst="0" w:colLast="2"/>
            <w:bookmarkStart w:id="9" w:name="CompletionTable"/>
            <w:bookmarkEnd w:id="6"/>
            <w:r>
              <w:t>Solicitor</w:t>
            </w:r>
            <w:r w:rsidR="00A2754C">
              <w:t xml:space="preserve"> for the </w:t>
            </w:r>
            <w:r>
              <w:t xml:space="preserve">Prospective </w:t>
            </w:r>
            <w:r w:rsidR="00A2754C">
              <w:t>Applicants:</w:t>
            </w:r>
          </w:p>
        </w:tc>
        <w:tc>
          <w:tcPr>
            <w:tcW w:w="5989" w:type="dxa"/>
            <w:shd w:val="clear" w:color="auto" w:fill="auto"/>
          </w:tcPr>
          <w:p w:rsidR="00A2754C" w:rsidRDefault="00B71B13" w:rsidP="00A2754C">
            <w:pPr>
              <w:pStyle w:val="Normal1linespace"/>
              <w:widowControl w:val="0"/>
              <w:jc w:val="left"/>
            </w:pPr>
            <w:bookmarkStart w:id="10" w:name="AppCounsel"/>
            <w:bookmarkEnd w:id="10"/>
            <w:r>
              <w:t>Mr</w:t>
            </w:r>
            <w:r w:rsidR="00D87517">
              <w:t>.</w:t>
            </w:r>
            <w:r>
              <w:t xml:space="preserve"> B Goldsmith of Goldsmith Lawyers</w:t>
            </w:r>
          </w:p>
        </w:tc>
      </w:tr>
      <w:bookmarkEnd w:id="8"/>
      <w:bookmarkEnd w:id="9"/>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14023" w:rsidP="00F92355">
            <w:pPr>
              <w:pStyle w:val="NormalHeadings"/>
              <w:jc w:val="right"/>
            </w:pPr>
            <w:bookmarkStart w:id="11" w:name="FileNo"/>
            <w:r>
              <w:t>NSD 1078 of 2020</w:t>
            </w:r>
            <w:bookmarkEnd w:id="11"/>
          </w:p>
        </w:tc>
      </w:tr>
      <w:tr w:rsidR="00A76C13" w:rsidTr="00F461A4">
        <w:tc>
          <w:tcPr>
            <w:tcW w:w="9242" w:type="dxa"/>
            <w:gridSpan w:val="3"/>
          </w:tcPr>
          <w:p w:rsidR="00A76C13" w:rsidRPr="00A76C13" w:rsidRDefault="00B14023" w:rsidP="00B14023">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B14023" w:rsidRDefault="00B14023" w:rsidP="00B14023">
            <w:pPr>
              <w:pStyle w:val="NormalHeadings"/>
              <w:jc w:val="left"/>
            </w:pPr>
            <w:bookmarkStart w:id="14" w:name="Applicant"/>
            <w:r>
              <w:t>SEVEN CONSULTING PTY LTD</w:t>
            </w:r>
          </w:p>
          <w:p w:rsidR="00B14023" w:rsidRDefault="00B14023" w:rsidP="00B14023">
            <w:pPr>
              <w:pStyle w:val="PartyType"/>
            </w:pPr>
            <w:r>
              <w:t xml:space="preserve">First </w:t>
            </w:r>
            <w:r w:rsidR="00093826">
              <w:t xml:space="preserve">Prospective </w:t>
            </w:r>
            <w:r>
              <w:t>Applicant</w:t>
            </w:r>
          </w:p>
          <w:p w:rsidR="00B14023" w:rsidRDefault="00B14023" w:rsidP="005041F0">
            <w:pPr>
              <w:pStyle w:val="NormalHeadings"/>
              <w:jc w:val="left"/>
              <w:rPr>
                <w:szCs w:val="24"/>
              </w:rPr>
            </w:pPr>
          </w:p>
          <w:p w:rsidR="00B14023" w:rsidRDefault="00B14023" w:rsidP="00B14023">
            <w:pPr>
              <w:pStyle w:val="NormalHeadings"/>
              <w:jc w:val="left"/>
            </w:pPr>
            <w:r>
              <w:t>DECLAN BOYLAN</w:t>
            </w:r>
          </w:p>
          <w:p w:rsidR="00B14023" w:rsidRDefault="00B14023" w:rsidP="00B14023">
            <w:pPr>
              <w:pStyle w:val="PartyType"/>
            </w:pPr>
            <w:r>
              <w:t xml:space="preserve">Second </w:t>
            </w:r>
            <w:r w:rsidR="00093826">
              <w:t xml:space="preserve">Prospective </w:t>
            </w:r>
            <w:r>
              <w:t>Applicant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B14023" w:rsidRDefault="00B14023" w:rsidP="00B14023">
            <w:pPr>
              <w:pStyle w:val="NormalHeadings"/>
              <w:jc w:val="left"/>
            </w:pPr>
            <w:bookmarkStart w:id="15" w:name="Respondent"/>
            <w:r>
              <w:t>GOOGLE LLC</w:t>
            </w:r>
          </w:p>
          <w:p w:rsidR="00B14023" w:rsidRDefault="00093826" w:rsidP="00B14023">
            <w:pPr>
              <w:pStyle w:val="PartyType"/>
            </w:pPr>
            <w:r>
              <w:t xml:space="preserve">Prospective </w:t>
            </w:r>
            <w:r w:rsidR="00B14023">
              <w:t>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rsidR="00395B24" w:rsidRDefault="00B14023">
            <w:pPr>
              <w:pStyle w:val="NormalHeadings"/>
              <w:jc w:val="left"/>
              <w:rPr>
                <w:caps/>
                <w:szCs w:val="24"/>
              </w:rPr>
            </w:pPr>
            <w:bookmarkStart w:id="18" w:name="Judge"/>
            <w:r>
              <w:rPr>
                <w:caps/>
                <w:szCs w:val="24"/>
              </w:rPr>
              <w:t>ABRAHAM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E69A9" w:rsidP="001A3851">
            <w:pPr>
              <w:pStyle w:val="NormalHeadings"/>
              <w:jc w:val="left"/>
              <w:rPr>
                <w:caps/>
                <w:szCs w:val="24"/>
              </w:rPr>
            </w:pPr>
            <w:bookmarkStart w:id="19" w:name="Judgment_Dated"/>
            <w:r>
              <w:rPr>
                <w:caps/>
                <w:szCs w:val="24"/>
              </w:rPr>
              <w:t xml:space="preserve">11 </w:t>
            </w:r>
            <w:r w:rsidR="001A3851">
              <w:rPr>
                <w:caps/>
                <w:szCs w:val="24"/>
              </w:rPr>
              <w:t>March 2021</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E6625" w:rsidRDefault="001E6625" w:rsidP="001E6625">
      <w:pPr>
        <w:pStyle w:val="Order1"/>
      </w:pPr>
      <w:r>
        <w:t xml:space="preserve">Pursuant to </w:t>
      </w:r>
      <w:proofErr w:type="spellStart"/>
      <w:r w:rsidR="009D2866">
        <w:t>r</w:t>
      </w:r>
      <w:r>
        <w:t>r</w:t>
      </w:r>
      <w:proofErr w:type="spellEnd"/>
      <w:r>
        <w:t xml:space="preserve"> 10.42 and 10.43 of the </w:t>
      </w:r>
      <w:r w:rsidRPr="001E6625">
        <w:rPr>
          <w:i/>
        </w:rPr>
        <w:t>Federal Court Rules 2011</w:t>
      </w:r>
      <w:r>
        <w:t xml:space="preserve"> (Cth) the prospective applicant </w:t>
      </w:r>
      <w:r w:rsidR="000F5293">
        <w:t xml:space="preserve">have </w:t>
      </w:r>
      <w:r>
        <w:t>leave to serve:</w:t>
      </w:r>
    </w:p>
    <w:p w:rsidR="001E6625" w:rsidRDefault="001E6625" w:rsidP="006518E5">
      <w:pPr>
        <w:pStyle w:val="Order2"/>
      </w:pPr>
      <w:r>
        <w:t xml:space="preserve">the </w:t>
      </w:r>
      <w:r w:rsidR="00E93B62">
        <w:t xml:space="preserve">amended </w:t>
      </w:r>
      <w:r>
        <w:t xml:space="preserve">originating application filed </w:t>
      </w:r>
      <w:r w:rsidR="00E93B62">
        <w:t>on 3 March 2021</w:t>
      </w:r>
      <w:r>
        <w:t>;</w:t>
      </w:r>
    </w:p>
    <w:p w:rsidR="00E93B62" w:rsidRDefault="001E6625" w:rsidP="006518E5">
      <w:pPr>
        <w:pStyle w:val="Order2"/>
      </w:pPr>
      <w:r>
        <w:t xml:space="preserve">the affidavit of </w:t>
      </w:r>
      <w:r w:rsidR="00E93B62">
        <w:t>Declan Boylan sworn on 23 September 2020;</w:t>
      </w:r>
    </w:p>
    <w:p w:rsidR="00E93B62" w:rsidRDefault="00E93B62" w:rsidP="006518E5">
      <w:pPr>
        <w:pStyle w:val="Order2"/>
      </w:pPr>
      <w:r>
        <w:t>the affidavit of Barrie Goldsmith affirmed on 24 September 2020;</w:t>
      </w:r>
    </w:p>
    <w:p w:rsidR="00E93B62" w:rsidRDefault="00E93B62" w:rsidP="006518E5">
      <w:pPr>
        <w:pStyle w:val="Order2"/>
      </w:pPr>
      <w:r>
        <w:t>the affidavit of Ella Mackintosh affirmed on 25 February 2021;</w:t>
      </w:r>
    </w:p>
    <w:p w:rsidR="00E93B62" w:rsidRDefault="00E93B62" w:rsidP="006518E5">
      <w:pPr>
        <w:pStyle w:val="Order2"/>
      </w:pPr>
      <w:r>
        <w:t>the affidavit of Berna Akdeniz sworn on 3 March 2021</w:t>
      </w:r>
      <w:r w:rsidR="001E6625">
        <w:t>;</w:t>
      </w:r>
    </w:p>
    <w:p w:rsidR="001E6625" w:rsidRDefault="00E93B62" w:rsidP="006518E5">
      <w:pPr>
        <w:pStyle w:val="Order2"/>
      </w:pPr>
      <w:r>
        <w:t>the affidavit of Barrie Goldsmith affirmed on 3 March 2021;</w:t>
      </w:r>
      <w:r w:rsidR="001E6625">
        <w:t xml:space="preserve"> and </w:t>
      </w:r>
    </w:p>
    <w:p w:rsidR="001E6625" w:rsidRDefault="001E6625" w:rsidP="006518E5">
      <w:pPr>
        <w:pStyle w:val="Order2"/>
      </w:pPr>
      <w:r>
        <w:t xml:space="preserve">a copy of this order; </w:t>
      </w:r>
    </w:p>
    <w:p w:rsidR="001E6625" w:rsidRDefault="001E6625" w:rsidP="00F81A97">
      <w:pPr>
        <w:pStyle w:val="Order2"/>
        <w:numPr>
          <w:ilvl w:val="0"/>
          <w:numId w:val="0"/>
        </w:numPr>
        <w:ind w:left="720"/>
      </w:pPr>
      <w:r>
        <w:t xml:space="preserve">upon the respondent in the United States of America, in accordance with Article 10(a) of the “Convention on the Service Abroad of Judicial and Extrajudicial Documents in Civil or Commercial Matters” done at The Hague on 15 November 1965, by sending </w:t>
      </w:r>
      <w:r w:rsidR="00E93B62">
        <w:t xml:space="preserve">them </w:t>
      </w:r>
      <w:r>
        <w:t xml:space="preserve">by international registered post, with an acknowledgement of receipt to be provided to the </w:t>
      </w:r>
      <w:r w:rsidR="000F5293">
        <w:t>p</w:t>
      </w:r>
      <w:r>
        <w:t xml:space="preserve">rospective </w:t>
      </w:r>
      <w:r w:rsidR="000F5293">
        <w:t>a</w:t>
      </w:r>
      <w:r>
        <w:t>pplicant</w:t>
      </w:r>
      <w:r w:rsidR="00E93B62">
        <w:t>s</w:t>
      </w:r>
      <w:r>
        <w:t>, to the respondent’s address at:</w:t>
      </w:r>
    </w:p>
    <w:p w:rsidR="001E6625" w:rsidRPr="00C863A5" w:rsidRDefault="001E6625" w:rsidP="00F81A97">
      <w:pPr>
        <w:pStyle w:val="Order3"/>
        <w:numPr>
          <w:ilvl w:val="0"/>
          <w:numId w:val="0"/>
        </w:numPr>
        <w:ind w:left="2160"/>
      </w:pPr>
      <w:r w:rsidRPr="00C863A5">
        <w:t>Google LLC</w:t>
      </w:r>
    </w:p>
    <w:p w:rsidR="001E6625" w:rsidRPr="00C863A5" w:rsidRDefault="00A7297B" w:rsidP="00F81A97">
      <w:pPr>
        <w:pStyle w:val="Order3"/>
        <w:numPr>
          <w:ilvl w:val="0"/>
          <w:numId w:val="0"/>
        </w:numPr>
        <w:ind w:left="2160"/>
      </w:pPr>
      <w:r>
        <w:t>C/O</w:t>
      </w:r>
      <w:r w:rsidR="001E6625" w:rsidRPr="00C863A5">
        <w:t xml:space="preserve"> Custodian of Records</w:t>
      </w:r>
    </w:p>
    <w:p w:rsidR="001E6625" w:rsidRPr="00C863A5" w:rsidRDefault="001E6625" w:rsidP="00F81A97">
      <w:pPr>
        <w:pStyle w:val="Order3"/>
        <w:numPr>
          <w:ilvl w:val="0"/>
          <w:numId w:val="0"/>
        </w:numPr>
        <w:ind w:left="2160"/>
      </w:pPr>
      <w:r w:rsidRPr="00C863A5">
        <w:t>1600 Amphitheatre Parkway</w:t>
      </w:r>
    </w:p>
    <w:p w:rsidR="001E6625" w:rsidRPr="00C863A5" w:rsidRDefault="001E6625" w:rsidP="00F81A97">
      <w:pPr>
        <w:pStyle w:val="Order3"/>
        <w:numPr>
          <w:ilvl w:val="0"/>
          <w:numId w:val="0"/>
        </w:numPr>
        <w:ind w:left="2160"/>
      </w:pPr>
      <w:r w:rsidRPr="00C863A5">
        <w:t>Mountain View, California 94043</w:t>
      </w:r>
    </w:p>
    <w:p w:rsidR="001E6625" w:rsidRPr="00C863A5" w:rsidRDefault="001E6625" w:rsidP="00F81A97">
      <w:pPr>
        <w:pStyle w:val="Order3"/>
        <w:numPr>
          <w:ilvl w:val="0"/>
          <w:numId w:val="0"/>
        </w:numPr>
        <w:ind w:left="2160"/>
      </w:pPr>
      <w:r w:rsidRPr="00C863A5">
        <w:lastRenderedPageBreak/>
        <w:t>United States of America</w:t>
      </w:r>
    </w:p>
    <w:p w:rsidR="00071429" w:rsidRDefault="00071429" w:rsidP="006518E5">
      <w:pPr>
        <w:pStyle w:val="Order1"/>
      </w:pPr>
      <w:r>
        <w:t>Costs be reserved.</w:t>
      </w:r>
    </w:p>
    <w:p w:rsidR="001E6625" w:rsidRDefault="001E6625" w:rsidP="006518E5">
      <w:pPr>
        <w:pStyle w:val="Order1"/>
      </w:pPr>
      <w:r>
        <w:t xml:space="preserve">The matter be listed for a case management hearing on </w:t>
      </w:r>
      <w:r w:rsidR="009D2866">
        <w:t>8</w:t>
      </w:r>
      <w:r w:rsidR="00071429">
        <w:t xml:space="preserve"> April 2021 at 9:30am</w:t>
      </w:r>
      <w:r>
        <w:t>.</w:t>
      </w:r>
    </w:p>
    <w:p w:rsidR="001E6625" w:rsidRDefault="001E6625" w:rsidP="001E6625">
      <w:pPr>
        <w:pStyle w:val="Order1"/>
        <w:numPr>
          <w:ilvl w:val="0"/>
          <w:numId w:val="0"/>
        </w:numPr>
      </w:pPr>
    </w:p>
    <w:p w:rsidR="001A6C52" w:rsidRDefault="001A6C52" w:rsidP="001A6C52">
      <w:pPr>
        <w:pStyle w:val="BodyText"/>
      </w:pPr>
    </w:p>
    <w:p w:rsidR="00A431E6" w:rsidRDefault="00A431E6" w:rsidP="001A6C52">
      <w:pPr>
        <w:pStyle w:val="BodyText"/>
      </w:pPr>
    </w:p>
    <w:p w:rsidR="0050309C" w:rsidRDefault="00B14023" w:rsidP="004D53E5">
      <w:pPr>
        <w:pStyle w:val="SingleSpace"/>
      </w:pPr>
      <w:bookmarkStart w:id="20" w:name="OrdersStatement"/>
      <w:r>
        <w:t>Note:</w:t>
      </w:r>
      <w:r>
        <w:tab/>
        <w:t xml:space="preserve">Entry of orders is dealt with in Rule 39.32 of the </w:t>
      </w:r>
      <w:r>
        <w:rPr>
          <w:i/>
        </w:rPr>
        <w:t>Federal Court Rules 2011</w:t>
      </w:r>
      <w:r>
        <w:t>.</w:t>
      </w:r>
      <w:bookmarkEnd w:id="20"/>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694BEB" w:rsidRPr="0058734B" w:rsidRDefault="0095711E" w:rsidP="005E0510">
      <w:pPr>
        <w:pStyle w:val="NormalHeadings"/>
        <w:spacing w:line="360" w:lineRule="auto"/>
        <w:jc w:val="left"/>
        <w:rPr>
          <w:color w:val="000000" w:themeColor="text1"/>
          <w:sz w:val="26"/>
          <w:szCs w:val="26"/>
        </w:rPr>
      </w:pPr>
      <w:r>
        <w:rPr>
          <w:sz w:val="26"/>
          <w:szCs w:val="26"/>
        </w:rPr>
        <w:t>AB</w:t>
      </w:r>
      <w:r w:rsidRPr="0058734B">
        <w:rPr>
          <w:color w:val="000000" w:themeColor="text1"/>
          <w:sz w:val="26"/>
          <w:szCs w:val="26"/>
        </w:rPr>
        <w:t>RAHAM J:</w:t>
      </w:r>
    </w:p>
    <w:p w:rsidR="00EE2439" w:rsidRDefault="00EE2439" w:rsidP="006C1FE4">
      <w:pPr>
        <w:pStyle w:val="ParaNumbering"/>
        <w:rPr>
          <w:color w:val="000000" w:themeColor="text1"/>
        </w:rPr>
      </w:pPr>
      <w:r w:rsidRPr="006518E5">
        <w:rPr>
          <w:color w:val="000000" w:themeColor="text1"/>
        </w:rPr>
        <w:t>The prospective applicants</w:t>
      </w:r>
      <w:r w:rsidR="00885EAB" w:rsidRPr="006518E5">
        <w:rPr>
          <w:color w:val="000000" w:themeColor="text1"/>
        </w:rPr>
        <w:t>,</w:t>
      </w:r>
      <w:r w:rsidRPr="006518E5">
        <w:rPr>
          <w:color w:val="000000" w:themeColor="text1"/>
        </w:rPr>
        <w:t xml:space="preserve"> Seven Consulting Pty Ltd and </w:t>
      </w:r>
      <w:r w:rsidR="00885EAB" w:rsidRPr="006518E5">
        <w:rPr>
          <w:color w:val="000000" w:themeColor="text1"/>
        </w:rPr>
        <w:t xml:space="preserve">Declan </w:t>
      </w:r>
      <w:r w:rsidR="009D3A00">
        <w:rPr>
          <w:color w:val="000000" w:themeColor="text1"/>
        </w:rPr>
        <w:t>Boylan</w:t>
      </w:r>
      <w:r w:rsidRPr="006518E5">
        <w:rPr>
          <w:color w:val="000000" w:themeColor="text1"/>
        </w:rPr>
        <w:t>, by an</w:t>
      </w:r>
      <w:r w:rsidR="001570F3" w:rsidRPr="006518E5">
        <w:rPr>
          <w:color w:val="000000" w:themeColor="text1"/>
        </w:rPr>
        <w:t xml:space="preserve"> amended originating application dated 3 March 2021</w:t>
      </w:r>
      <w:r w:rsidRPr="006518E5">
        <w:rPr>
          <w:color w:val="000000" w:themeColor="text1"/>
        </w:rPr>
        <w:t xml:space="preserve"> seek an order pursuant to r 7.22 of the </w:t>
      </w:r>
      <w:r w:rsidRPr="006518E5">
        <w:rPr>
          <w:i/>
          <w:color w:val="000000" w:themeColor="text1"/>
        </w:rPr>
        <w:t xml:space="preserve">Federal Court Rules </w:t>
      </w:r>
      <w:r w:rsidRPr="006518E5">
        <w:rPr>
          <w:color w:val="000000" w:themeColor="text1"/>
        </w:rPr>
        <w:t xml:space="preserve">2011 </w:t>
      </w:r>
      <w:r w:rsidR="008E69A9" w:rsidRPr="006518E5">
        <w:rPr>
          <w:color w:val="000000" w:themeColor="text1"/>
        </w:rPr>
        <w:t xml:space="preserve">(the Rules) </w:t>
      </w:r>
      <w:r w:rsidRPr="006518E5">
        <w:rPr>
          <w:color w:val="000000" w:themeColor="text1"/>
        </w:rPr>
        <w:t xml:space="preserve">that the </w:t>
      </w:r>
      <w:r w:rsidR="00B71B13" w:rsidRPr="006518E5">
        <w:rPr>
          <w:color w:val="000000" w:themeColor="text1"/>
        </w:rPr>
        <w:t xml:space="preserve">prospective </w:t>
      </w:r>
      <w:r w:rsidR="00885EAB" w:rsidRPr="006518E5">
        <w:rPr>
          <w:color w:val="000000" w:themeColor="text1"/>
        </w:rPr>
        <w:t xml:space="preserve">respondent, </w:t>
      </w:r>
      <w:r w:rsidRPr="006518E5">
        <w:rPr>
          <w:color w:val="000000" w:themeColor="text1"/>
        </w:rPr>
        <w:t>Google LLC</w:t>
      </w:r>
      <w:r w:rsidR="000F5293">
        <w:rPr>
          <w:color w:val="000000" w:themeColor="text1"/>
        </w:rPr>
        <w:t xml:space="preserve"> (Google)</w:t>
      </w:r>
      <w:r w:rsidRPr="006518E5">
        <w:rPr>
          <w:color w:val="000000" w:themeColor="text1"/>
        </w:rPr>
        <w:t>, give discovery of</w:t>
      </w:r>
      <w:r w:rsidRPr="0058734B">
        <w:rPr>
          <w:color w:val="000000" w:themeColor="text1"/>
          <w:w w:val="105"/>
        </w:rPr>
        <w:t xml:space="preserve"> </w:t>
      </w:r>
      <w:r w:rsidRPr="006518E5">
        <w:rPr>
          <w:color w:val="000000" w:themeColor="text1"/>
        </w:rPr>
        <w:t xml:space="preserve">all documents that are or have been in its control relating to the description or descriptions of a person or persons responsible or believed to be responsible for authoring or posting </w:t>
      </w:r>
      <w:r w:rsidR="001570F3" w:rsidRPr="006518E5">
        <w:rPr>
          <w:color w:val="000000" w:themeColor="text1"/>
        </w:rPr>
        <w:t xml:space="preserve">certain </w:t>
      </w:r>
      <w:r w:rsidRPr="006518E5">
        <w:rPr>
          <w:color w:val="000000" w:themeColor="text1"/>
        </w:rPr>
        <w:t>reviews about them</w:t>
      </w:r>
      <w:r w:rsidR="00063F1C" w:rsidRPr="006518E5">
        <w:rPr>
          <w:color w:val="000000" w:themeColor="text1"/>
        </w:rPr>
        <w:t>. A</w:t>
      </w:r>
      <w:r w:rsidRPr="006518E5">
        <w:rPr>
          <w:color w:val="000000" w:themeColor="text1"/>
        </w:rPr>
        <w:t xml:space="preserve"> schedule of reviews </w:t>
      </w:r>
      <w:r w:rsidR="00063F1C" w:rsidRPr="006518E5">
        <w:rPr>
          <w:color w:val="000000" w:themeColor="text1"/>
        </w:rPr>
        <w:t xml:space="preserve">has </w:t>
      </w:r>
      <w:r w:rsidRPr="006518E5">
        <w:rPr>
          <w:color w:val="000000" w:themeColor="text1"/>
        </w:rPr>
        <w:t>been provided. The first prospective applicant alleges that it has suffered loss and damage by virtue of misleading and deceptive conduct on the part of such person or persons.</w:t>
      </w:r>
      <w:r w:rsidRPr="0058734B">
        <w:rPr>
          <w:color w:val="000000" w:themeColor="text1"/>
        </w:rPr>
        <w:t xml:space="preserve"> </w:t>
      </w:r>
      <w:r w:rsidRPr="006518E5">
        <w:rPr>
          <w:color w:val="000000" w:themeColor="text1"/>
        </w:rPr>
        <w:t xml:space="preserve">The second prospective applicant alleges that he has been defamed as a result of them. </w:t>
      </w:r>
      <w:r w:rsidRPr="0058734B">
        <w:rPr>
          <w:color w:val="000000" w:themeColor="text1"/>
        </w:rPr>
        <w:t xml:space="preserve">Preliminary discovery is sought to identify the unknown prospective respondents so that proceedings can be brought against him or her.  </w:t>
      </w:r>
    </w:p>
    <w:p w:rsidR="00885EAB" w:rsidRPr="006518E5" w:rsidRDefault="00885EAB" w:rsidP="006C1FE4">
      <w:pPr>
        <w:pStyle w:val="ParaNumbering"/>
        <w:rPr>
          <w:color w:val="000000" w:themeColor="text1"/>
        </w:rPr>
      </w:pPr>
      <w:r w:rsidRPr="006518E5">
        <w:rPr>
          <w:color w:val="000000" w:themeColor="text1"/>
        </w:rPr>
        <w:t xml:space="preserve">On </w:t>
      </w:r>
      <w:r w:rsidR="00093826" w:rsidRPr="006518E5">
        <w:rPr>
          <w:color w:val="000000" w:themeColor="text1"/>
        </w:rPr>
        <w:t xml:space="preserve">25 February 2021 </w:t>
      </w:r>
      <w:r w:rsidR="00B71B13" w:rsidRPr="006518E5">
        <w:rPr>
          <w:color w:val="000000" w:themeColor="text1"/>
        </w:rPr>
        <w:t>the</w:t>
      </w:r>
      <w:r w:rsidRPr="006518E5">
        <w:rPr>
          <w:color w:val="000000" w:themeColor="text1"/>
        </w:rPr>
        <w:t xml:space="preserve"> matter listed </w:t>
      </w:r>
      <w:r w:rsidR="00093826" w:rsidRPr="006518E5">
        <w:rPr>
          <w:color w:val="000000" w:themeColor="text1"/>
        </w:rPr>
        <w:t xml:space="preserve">was listed </w:t>
      </w:r>
      <w:r w:rsidRPr="006518E5">
        <w:rPr>
          <w:color w:val="000000" w:themeColor="text1"/>
        </w:rPr>
        <w:t xml:space="preserve">for case management hearing. </w:t>
      </w:r>
      <w:r w:rsidR="008843DF" w:rsidRPr="006518E5">
        <w:rPr>
          <w:color w:val="000000" w:themeColor="text1"/>
        </w:rPr>
        <w:t>During the case management hearing the prospective applicants sought, and I granted, leave to file an amended application and supporting material</w:t>
      </w:r>
      <w:r w:rsidR="00D4583D" w:rsidRPr="006518E5">
        <w:rPr>
          <w:color w:val="000000" w:themeColor="text1"/>
        </w:rPr>
        <w:t>. The evidence establishes that the amended application was as a result of correspondence by the prospective applicants with Google which narrowed the number of reviews to which the prospective applicant</w:t>
      </w:r>
      <w:r w:rsidR="003B1BA5" w:rsidRPr="006518E5">
        <w:rPr>
          <w:color w:val="000000" w:themeColor="text1"/>
        </w:rPr>
        <w:t>s</w:t>
      </w:r>
      <w:r w:rsidR="00D4583D" w:rsidRPr="006518E5">
        <w:rPr>
          <w:color w:val="000000" w:themeColor="text1"/>
        </w:rPr>
        <w:t xml:space="preserve"> sought information.</w:t>
      </w:r>
      <w:r w:rsidR="00B71B13" w:rsidRPr="006518E5">
        <w:rPr>
          <w:color w:val="000000" w:themeColor="text1"/>
        </w:rPr>
        <w:t xml:space="preserve"> </w:t>
      </w:r>
    </w:p>
    <w:p w:rsidR="00EE2439" w:rsidRPr="006518E5" w:rsidRDefault="00EE2439" w:rsidP="00EE2439">
      <w:pPr>
        <w:pStyle w:val="ParaNumbering"/>
        <w:rPr>
          <w:color w:val="000000" w:themeColor="text1"/>
          <w:szCs w:val="24"/>
        </w:rPr>
      </w:pPr>
      <w:r w:rsidRPr="006518E5">
        <w:rPr>
          <w:color w:val="000000" w:themeColor="text1"/>
          <w:szCs w:val="24"/>
        </w:rPr>
        <w:t xml:space="preserve">The prospective applicants apply for </w:t>
      </w:r>
      <w:r w:rsidRPr="006518E5">
        <w:rPr>
          <w:color w:val="000000" w:themeColor="text1"/>
          <w:w w:val="105"/>
          <w:szCs w:val="24"/>
        </w:rPr>
        <w:t>leave,</w:t>
      </w:r>
      <w:r w:rsidRPr="006518E5">
        <w:rPr>
          <w:color w:val="000000" w:themeColor="text1"/>
          <w:spacing w:val="-3"/>
          <w:w w:val="105"/>
          <w:szCs w:val="24"/>
        </w:rPr>
        <w:t xml:space="preserve"> </w:t>
      </w:r>
      <w:r w:rsidRPr="006518E5">
        <w:rPr>
          <w:color w:val="000000" w:themeColor="text1"/>
          <w:w w:val="105"/>
          <w:szCs w:val="24"/>
        </w:rPr>
        <w:t>pursuant</w:t>
      </w:r>
      <w:r w:rsidRPr="006518E5">
        <w:rPr>
          <w:color w:val="000000" w:themeColor="text1"/>
          <w:spacing w:val="6"/>
          <w:w w:val="105"/>
          <w:szCs w:val="24"/>
        </w:rPr>
        <w:t xml:space="preserve"> </w:t>
      </w:r>
      <w:r w:rsidRPr="006518E5">
        <w:rPr>
          <w:color w:val="000000" w:themeColor="text1"/>
          <w:w w:val="105"/>
          <w:szCs w:val="24"/>
        </w:rPr>
        <w:t>to</w:t>
      </w:r>
      <w:r w:rsidRPr="006518E5">
        <w:rPr>
          <w:color w:val="000000" w:themeColor="text1"/>
          <w:spacing w:val="-3"/>
          <w:w w:val="105"/>
          <w:szCs w:val="24"/>
        </w:rPr>
        <w:t xml:space="preserve"> </w:t>
      </w:r>
      <w:proofErr w:type="spellStart"/>
      <w:r w:rsidRPr="006518E5">
        <w:rPr>
          <w:color w:val="000000" w:themeColor="text1"/>
          <w:w w:val="105"/>
          <w:szCs w:val="24"/>
        </w:rPr>
        <w:t>r</w:t>
      </w:r>
      <w:r w:rsidR="009D2866">
        <w:rPr>
          <w:color w:val="000000" w:themeColor="text1"/>
          <w:w w:val="105"/>
          <w:szCs w:val="24"/>
        </w:rPr>
        <w:t>r</w:t>
      </w:r>
      <w:proofErr w:type="spellEnd"/>
      <w:r w:rsidRPr="006518E5">
        <w:rPr>
          <w:color w:val="000000" w:themeColor="text1"/>
          <w:spacing w:val="2"/>
          <w:w w:val="105"/>
          <w:szCs w:val="24"/>
        </w:rPr>
        <w:t xml:space="preserve"> 10.41</w:t>
      </w:r>
      <w:r w:rsidRPr="006518E5">
        <w:rPr>
          <w:color w:val="000000" w:themeColor="text1"/>
          <w:spacing w:val="-14"/>
          <w:w w:val="105"/>
          <w:szCs w:val="24"/>
        </w:rPr>
        <w:t xml:space="preserve"> </w:t>
      </w:r>
      <w:r w:rsidRPr="006518E5">
        <w:rPr>
          <w:color w:val="000000" w:themeColor="text1"/>
          <w:w w:val="105"/>
          <w:szCs w:val="24"/>
        </w:rPr>
        <w:t>-</w:t>
      </w:r>
      <w:r w:rsidRPr="006518E5">
        <w:rPr>
          <w:color w:val="000000" w:themeColor="text1"/>
          <w:spacing w:val="-13"/>
          <w:w w:val="105"/>
          <w:szCs w:val="24"/>
        </w:rPr>
        <w:t xml:space="preserve"> </w:t>
      </w:r>
      <w:r w:rsidRPr="006518E5">
        <w:rPr>
          <w:color w:val="000000" w:themeColor="text1"/>
          <w:w w:val="105"/>
          <w:szCs w:val="24"/>
        </w:rPr>
        <w:t>10.43</w:t>
      </w:r>
      <w:r w:rsidRPr="006518E5">
        <w:rPr>
          <w:color w:val="000000" w:themeColor="text1"/>
          <w:spacing w:val="-12"/>
          <w:w w:val="105"/>
          <w:szCs w:val="24"/>
        </w:rPr>
        <w:t xml:space="preserve"> </w:t>
      </w:r>
      <w:r w:rsidRPr="006518E5">
        <w:rPr>
          <w:color w:val="000000" w:themeColor="text1"/>
          <w:w w:val="105"/>
          <w:szCs w:val="24"/>
        </w:rPr>
        <w:t>of</w:t>
      </w:r>
      <w:r w:rsidRPr="006518E5">
        <w:rPr>
          <w:color w:val="000000" w:themeColor="text1"/>
          <w:spacing w:val="-3"/>
          <w:w w:val="105"/>
          <w:szCs w:val="24"/>
        </w:rPr>
        <w:t xml:space="preserve"> </w:t>
      </w:r>
      <w:r w:rsidRPr="006518E5">
        <w:rPr>
          <w:color w:val="000000" w:themeColor="text1"/>
          <w:w w:val="105"/>
          <w:szCs w:val="24"/>
        </w:rPr>
        <w:t>the</w:t>
      </w:r>
      <w:r w:rsidRPr="006518E5">
        <w:rPr>
          <w:color w:val="000000" w:themeColor="text1"/>
          <w:spacing w:val="-11"/>
          <w:w w:val="105"/>
          <w:szCs w:val="24"/>
        </w:rPr>
        <w:t xml:space="preserve"> </w:t>
      </w:r>
      <w:r w:rsidRPr="006518E5">
        <w:rPr>
          <w:color w:val="000000" w:themeColor="text1"/>
          <w:w w:val="105"/>
          <w:szCs w:val="24"/>
        </w:rPr>
        <w:t>Rules</w:t>
      </w:r>
      <w:r w:rsidRPr="006518E5">
        <w:rPr>
          <w:color w:val="000000" w:themeColor="text1"/>
          <w:spacing w:val="3"/>
          <w:w w:val="105"/>
          <w:szCs w:val="24"/>
        </w:rPr>
        <w:t>,</w:t>
      </w:r>
      <w:r w:rsidRPr="006518E5">
        <w:rPr>
          <w:color w:val="000000" w:themeColor="text1"/>
          <w:spacing w:val="-10"/>
          <w:w w:val="105"/>
          <w:szCs w:val="24"/>
        </w:rPr>
        <w:t xml:space="preserve"> </w:t>
      </w:r>
      <w:r w:rsidRPr="006518E5">
        <w:rPr>
          <w:color w:val="000000" w:themeColor="text1"/>
          <w:w w:val="105"/>
          <w:szCs w:val="24"/>
        </w:rPr>
        <w:t>to</w:t>
      </w:r>
      <w:r w:rsidRPr="006518E5">
        <w:rPr>
          <w:color w:val="000000" w:themeColor="text1"/>
          <w:spacing w:val="-8"/>
          <w:w w:val="105"/>
          <w:szCs w:val="24"/>
        </w:rPr>
        <w:t xml:space="preserve"> </w:t>
      </w:r>
      <w:r w:rsidRPr="006518E5">
        <w:rPr>
          <w:color w:val="000000" w:themeColor="text1"/>
          <w:w w:val="105"/>
          <w:szCs w:val="24"/>
        </w:rPr>
        <w:t>serve</w:t>
      </w:r>
      <w:r w:rsidRPr="006518E5">
        <w:rPr>
          <w:color w:val="000000" w:themeColor="text1"/>
          <w:spacing w:val="-9"/>
          <w:w w:val="105"/>
          <w:szCs w:val="24"/>
        </w:rPr>
        <w:t xml:space="preserve"> </w:t>
      </w:r>
      <w:r w:rsidR="00E73881" w:rsidRPr="006518E5">
        <w:rPr>
          <w:color w:val="000000" w:themeColor="text1"/>
          <w:w w:val="105"/>
          <w:szCs w:val="24"/>
        </w:rPr>
        <w:t>an</w:t>
      </w:r>
      <w:r w:rsidR="00E73881" w:rsidRPr="006518E5">
        <w:rPr>
          <w:color w:val="000000" w:themeColor="text1"/>
          <w:spacing w:val="-10"/>
          <w:w w:val="105"/>
          <w:szCs w:val="24"/>
        </w:rPr>
        <w:t xml:space="preserve"> </w:t>
      </w:r>
      <w:r w:rsidR="00E73881" w:rsidRPr="006518E5">
        <w:rPr>
          <w:color w:val="000000" w:themeColor="text1"/>
          <w:w w:val="105"/>
          <w:szCs w:val="24"/>
        </w:rPr>
        <w:t>originating</w:t>
      </w:r>
      <w:r w:rsidR="00E73881" w:rsidRPr="006518E5">
        <w:rPr>
          <w:color w:val="000000" w:themeColor="text1"/>
          <w:spacing w:val="-3"/>
          <w:w w:val="105"/>
          <w:szCs w:val="24"/>
        </w:rPr>
        <w:t xml:space="preserve"> </w:t>
      </w:r>
      <w:r w:rsidR="00E73881" w:rsidRPr="006518E5">
        <w:rPr>
          <w:color w:val="000000" w:themeColor="text1"/>
          <w:w w:val="105"/>
          <w:szCs w:val="24"/>
        </w:rPr>
        <w:t xml:space="preserve">application </w:t>
      </w:r>
      <w:r w:rsidRPr="006518E5">
        <w:rPr>
          <w:color w:val="000000" w:themeColor="text1"/>
          <w:w w:val="105"/>
          <w:szCs w:val="24"/>
        </w:rPr>
        <w:t>outside of</w:t>
      </w:r>
      <w:r w:rsidRPr="006518E5">
        <w:rPr>
          <w:color w:val="000000" w:themeColor="text1"/>
          <w:spacing w:val="-10"/>
          <w:w w:val="105"/>
          <w:szCs w:val="24"/>
        </w:rPr>
        <w:t xml:space="preserve"> </w:t>
      </w:r>
      <w:r w:rsidRPr="006518E5">
        <w:rPr>
          <w:color w:val="000000" w:themeColor="text1"/>
          <w:w w:val="105"/>
          <w:szCs w:val="24"/>
        </w:rPr>
        <w:t xml:space="preserve">Australia. </w:t>
      </w:r>
    </w:p>
    <w:p w:rsidR="00B51472" w:rsidRPr="006518E5" w:rsidRDefault="001E6625" w:rsidP="00EE2439">
      <w:pPr>
        <w:pStyle w:val="ParaNumbering"/>
        <w:rPr>
          <w:color w:val="000000" w:themeColor="text1"/>
          <w:szCs w:val="24"/>
        </w:rPr>
      </w:pPr>
      <w:bookmarkStart w:id="22" w:name="_Ref65853122"/>
      <w:r w:rsidRPr="006518E5">
        <w:rPr>
          <w:color w:val="000000" w:themeColor="text1"/>
          <w:szCs w:val="24"/>
        </w:rPr>
        <w:t xml:space="preserve">The </w:t>
      </w:r>
      <w:r w:rsidR="00714695" w:rsidRPr="006518E5">
        <w:rPr>
          <w:color w:val="000000" w:themeColor="text1"/>
          <w:szCs w:val="24"/>
        </w:rPr>
        <w:t>p</w:t>
      </w:r>
      <w:r w:rsidR="00B51472" w:rsidRPr="006518E5">
        <w:rPr>
          <w:color w:val="000000" w:themeColor="text1"/>
          <w:szCs w:val="24"/>
        </w:rPr>
        <w:t>rospective applicants rely on</w:t>
      </w:r>
      <w:r w:rsidRPr="006518E5">
        <w:rPr>
          <w:color w:val="000000" w:themeColor="text1"/>
          <w:szCs w:val="24"/>
        </w:rPr>
        <w:t xml:space="preserve"> the </w:t>
      </w:r>
      <w:r w:rsidR="00B51472" w:rsidRPr="006518E5">
        <w:rPr>
          <w:color w:val="000000" w:themeColor="text1"/>
          <w:szCs w:val="24"/>
        </w:rPr>
        <w:t xml:space="preserve">following </w:t>
      </w:r>
      <w:r w:rsidRPr="006518E5">
        <w:rPr>
          <w:color w:val="000000" w:themeColor="text1"/>
          <w:szCs w:val="24"/>
        </w:rPr>
        <w:t>affidavits</w:t>
      </w:r>
      <w:r w:rsidR="00B51472" w:rsidRPr="006518E5">
        <w:rPr>
          <w:color w:val="000000" w:themeColor="text1"/>
          <w:szCs w:val="24"/>
        </w:rPr>
        <w:t>:</w:t>
      </w:r>
      <w:bookmarkEnd w:id="22"/>
    </w:p>
    <w:p w:rsidR="00B51472" w:rsidRPr="006518E5" w:rsidRDefault="00B51472" w:rsidP="00D4583D">
      <w:pPr>
        <w:pStyle w:val="ListNo1"/>
      </w:pPr>
      <w:r w:rsidRPr="006518E5">
        <w:t xml:space="preserve">the affidavit </w:t>
      </w:r>
      <w:r w:rsidR="001E6625" w:rsidRPr="006518E5">
        <w:t xml:space="preserve">of Declan Boylan </w:t>
      </w:r>
      <w:r w:rsidR="00093826" w:rsidRPr="006518E5">
        <w:t xml:space="preserve">sworn </w:t>
      </w:r>
      <w:r w:rsidR="001E6625" w:rsidRPr="006518E5">
        <w:t>on 23 September 2020;</w:t>
      </w:r>
    </w:p>
    <w:p w:rsidR="00093826" w:rsidRPr="006518E5" w:rsidRDefault="00B51472" w:rsidP="00D4583D">
      <w:pPr>
        <w:pStyle w:val="ListNo1"/>
      </w:pPr>
      <w:r w:rsidRPr="006518E5">
        <w:t>the</w:t>
      </w:r>
      <w:r w:rsidR="00093826" w:rsidRPr="006518E5">
        <w:t xml:space="preserve"> affidavit</w:t>
      </w:r>
      <w:r w:rsidRPr="006518E5">
        <w:t xml:space="preserve"> </w:t>
      </w:r>
      <w:r w:rsidR="001E6625" w:rsidRPr="006518E5">
        <w:t>of Berna Akdeniz</w:t>
      </w:r>
      <w:r w:rsidR="001570F3" w:rsidRPr="006518E5">
        <w:t xml:space="preserve"> </w:t>
      </w:r>
      <w:r w:rsidR="00093826" w:rsidRPr="006518E5">
        <w:t xml:space="preserve">sworn </w:t>
      </w:r>
      <w:r w:rsidR="00D4583D" w:rsidRPr="006518E5">
        <w:t>3 March 2021;</w:t>
      </w:r>
    </w:p>
    <w:p w:rsidR="00B51472" w:rsidRPr="006518E5" w:rsidRDefault="00093826" w:rsidP="00D4583D">
      <w:pPr>
        <w:pStyle w:val="ListNo1"/>
      </w:pPr>
      <w:r w:rsidRPr="006518E5">
        <w:t>the affidavit of Ella Mackintosh affirmed on 25 February 2021;</w:t>
      </w:r>
      <w:r w:rsidR="00B51472" w:rsidRPr="006518E5">
        <w:t xml:space="preserve"> and</w:t>
      </w:r>
    </w:p>
    <w:p w:rsidR="001E6625" w:rsidRPr="006518E5" w:rsidRDefault="008E69A9" w:rsidP="00D4583D">
      <w:pPr>
        <w:pStyle w:val="ListNo1"/>
      </w:pPr>
      <w:r w:rsidRPr="006518E5">
        <w:t>t</w:t>
      </w:r>
      <w:r w:rsidR="00B51472" w:rsidRPr="006518E5">
        <w:t xml:space="preserve">he affidavits </w:t>
      </w:r>
      <w:r w:rsidR="001570F3" w:rsidRPr="006518E5">
        <w:t xml:space="preserve">of </w:t>
      </w:r>
      <w:r w:rsidR="001E6625" w:rsidRPr="006518E5">
        <w:t>Barrie Goldsmit</w:t>
      </w:r>
      <w:r w:rsidR="001570F3" w:rsidRPr="006518E5">
        <w:t>h affirmed on 24 September 2020 and 3 March 2021.</w:t>
      </w:r>
    </w:p>
    <w:p w:rsidR="00EE2439" w:rsidRPr="006518E5" w:rsidRDefault="00EE2439" w:rsidP="00E73881">
      <w:pPr>
        <w:pStyle w:val="ParaNumbering"/>
        <w:rPr>
          <w:color w:val="000000" w:themeColor="text1"/>
        </w:rPr>
      </w:pPr>
      <w:r w:rsidRPr="006518E5">
        <w:rPr>
          <w:color w:val="000000" w:themeColor="text1"/>
        </w:rPr>
        <w:t xml:space="preserve">For the reasons given below, it is appropriate to make the order </w:t>
      </w:r>
      <w:r w:rsidR="00E73881" w:rsidRPr="006518E5">
        <w:rPr>
          <w:color w:val="000000" w:themeColor="text1"/>
        </w:rPr>
        <w:t>to grant leave to the prospective applicants to serve the proceeding on Google in the</w:t>
      </w:r>
      <w:r w:rsidR="008E69A9" w:rsidRPr="006518E5">
        <w:rPr>
          <w:color w:val="000000" w:themeColor="text1"/>
        </w:rPr>
        <w:t xml:space="preserve"> United States of America</w:t>
      </w:r>
      <w:r w:rsidR="00E73881" w:rsidRPr="006518E5">
        <w:rPr>
          <w:color w:val="000000" w:themeColor="text1"/>
        </w:rPr>
        <w:t xml:space="preserve"> </w:t>
      </w:r>
      <w:r w:rsidR="008E69A9" w:rsidRPr="006518E5">
        <w:rPr>
          <w:color w:val="000000" w:themeColor="text1"/>
        </w:rPr>
        <w:t>(</w:t>
      </w:r>
      <w:r w:rsidR="00E73881" w:rsidRPr="006518E5">
        <w:rPr>
          <w:color w:val="000000" w:themeColor="text1"/>
        </w:rPr>
        <w:t>USA</w:t>
      </w:r>
      <w:r w:rsidR="008E69A9" w:rsidRPr="006518E5">
        <w:rPr>
          <w:color w:val="000000" w:themeColor="text1"/>
        </w:rPr>
        <w:t>)</w:t>
      </w:r>
      <w:r w:rsidR="00E73881" w:rsidRPr="006518E5">
        <w:rPr>
          <w:color w:val="000000" w:themeColor="text1"/>
        </w:rPr>
        <w:t xml:space="preserve"> in accordance with Article 10(a) of the “Convention on the Service Abroad of Judicial and Extrajudicial Documents in Civil or Commercial Matters” done at The Hague on 15 November 1965 (the Hague Service Convention)</w:t>
      </w:r>
      <w:r w:rsidR="00D4583D" w:rsidRPr="006518E5">
        <w:rPr>
          <w:color w:val="000000" w:themeColor="text1"/>
        </w:rPr>
        <w:t xml:space="preserve">. </w:t>
      </w:r>
    </w:p>
    <w:p w:rsidR="00EE2439" w:rsidRPr="006518E5" w:rsidRDefault="00EE2439" w:rsidP="0058734B">
      <w:pPr>
        <w:pStyle w:val="Heading2"/>
        <w:rPr>
          <w:color w:val="000000" w:themeColor="text1"/>
        </w:rPr>
      </w:pPr>
      <w:r w:rsidRPr="006518E5">
        <w:rPr>
          <w:color w:val="000000" w:themeColor="text1"/>
        </w:rPr>
        <w:lastRenderedPageBreak/>
        <w:t>Consideration</w:t>
      </w:r>
    </w:p>
    <w:p w:rsidR="00EE2439" w:rsidRPr="006518E5" w:rsidRDefault="00EE2439" w:rsidP="00EE2439">
      <w:pPr>
        <w:pStyle w:val="ParaNumbering"/>
        <w:rPr>
          <w:color w:val="000000" w:themeColor="text1"/>
          <w:szCs w:val="24"/>
        </w:rPr>
      </w:pPr>
      <w:r w:rsidRPr="006518E5">
        <w:rPr>
          <w:color w:val="000000" w:themeColor="text1"/>
        </w:rPr>
        <w:t>Rule 10.43(2) provides that a party may apply to the Court for leave to serve an originating application on a person in a foreign country in accordance with the Hague Service Convention.  Before leave may be granted to serve an originating application on a respondent outside Australia the Court must be satisfied of four matters set out in r 10.43(3) and (4):</w:t>
      </w:r>
    </w:p>
    <w:p w:rsidR="00EC5E1E" w:rsidRPr="006518E5" w:rsidRDefault="00EE2439" w:rsidP="006518E5">
      <w:pPr>
        <w:pStyle w:val="ListNo1"/>
        <w:numPr>
          <w:ilvl w:val="0"/>
          <w:numId w:val="28"/>
        </w:numPr>
      </w:pPr>
      <w:r w:rsidRPr="006518E5">
        <w:t>the application must be accompanied by an affidavit which states the name of the foreign country where the person is to be served, the proposed method of service and, if the Hague Service Convention applies, that the proposed method of service is permitted by the Hague Service Convention:</w:t>
      </w:r>
      <w:r w:rsidR="00EC5E1E" w:rsidRPr="006518E5">
        <w:t xml:space="preserve"> </w:t>
      </w:r>
      <w:r w:rsidRPr="006518E5">
        <w:t>r 10.43(3)</w:t>
      </w:r>
      <w:r w:rsidR="00EC5E1E" w:rsidRPr="006518E5">
        <w:t>;</w:t>
      </w:r>
    </w:p>
    <w:p w:rsidR="00EC5E1E" w:rsidRPr="006518E5" w:rsidRDefault="00EE2439" w:rsidP="00F81A97">
      <w:pPr>
        <w:pStyle w:val="ListNo1"/>
        <w:numPr>
          <w:ilvl w:val="0"/>
          <w:numId w:val="28"/>
        </w:numPr>
      </w:pPr>
      <w:r w:rsidRPr="006518E5">
        <w:t>the Court has jurisdiction in the proceeding</w:t>
      </w:r>
      <w:r w:rsidR="00EC5E1E" w:rsidRPr="006518E5">
        <w:t xml:space="preserve">: </w:t>
      </w:r>
      <w:r w:rsidRPr="006518E5">
        <w:t>r 10.43(4)(a);</w:t>
      </w:r>
    </w:p>
    <w:p w:rsidR="00EC5E1E" w:rsidRPr="006518E5" w:rsidRDefault="00EE2439" w:rsidP="00F81A97">
      <w:pPr>
        <w:pStyle w:val="ListNo1"/>
        <w:numPr>
          <w:ilvl w:val="0"/>
          <w:numId w:val="28"/>
        </w:numPr>
      </w:pPr>
      <w:r w:rsidRPr="006518E5">
        <w:t>the proceeding is of a kind mentioned in r 10.42</w:t>
      </w:r>
      <w:r w:rsidR="00EC5E1E" w:rsidRPr="006518E5">
        <w:t>: r 10.43(4)(b)</w:t>
      </w:r>
      <w:r w:rsidRPr="006518E5">
        <w:t>; and</w:t>
      </w:r>
    </w:p>
    <w:p w:rsidR="00EE2439" w:rsidRPr="006518E5" w:rsidRDefault="00EC5E1E" w:rsidP="00F81A97">
      <w:pPr>
        <w:pStyle w:val="ListNo1"/>
        <w:numPr>
          <w:ilvl w:val="0"/>
          <w:numId w:val="28"/>
        </w:numPr>
      </w:pPr>
      <w:r w:rsidRPr="006518E5">
        <w:t>t</w:t>
      </w:r>
      <w:r w:rsidR="00EE2439" w:rsidRPr="006518E5">
        <w:t>he applicant has a prima facie case for all or any of the relief claimed in the proceeding</w:t>
      </w:r>
      <w:r w:rsidRPr="006518E5">
        <w:t xml:space="preserve">: </w:t>
      </w:r>
      <w:r w:rsidR="00EE2439" w:rsidRPr="006518E5">
        <w:t>r 10.43(4)(c).</w:t>
      </w:r>
    </w:p>
    <w:p w:rsidR="00EC5E1E" w:rsidRPr="006518E5" w:rsidRDefault="00EC5E1E" w:rsidP="00EC5E1E">
      <w:pPr>
        <w:pStyle w:val="ParaNumbering"/>
        <w:rPr>
          <w:color w:val="000000" w:themeColor="text1"/>
          <w:szCs w:val="24"/>
        </w:rPr>
      </w:pPr>
      <w:r w:rsidRPr="006518E5">
        <w:rPr>
          <w:color w:val="000000" w:themeColor="text1"/>
          <w:szCs w:val="24"/>
        </w:rPr>
        <w:t xml:space="preserve">The relevant principles in a similar factual application were recently summarised by Murphy J in </w:t>
      </w:r>
      <w:r w:rsidRPr="006518E5">
        <w:rPr>
          <w:i/>
          <w:color w:val="000000" w:themeColor="text1"/>
        </w:rPr>
        <w:t>Kabbabe v Google LLC</w:t>
      </w:r>
      <w:r w:rsidRPr="006518E5">
        <w:rPr>
          <w:color w:val="000000" w:themeColor="text1"/>
        </w:rPr>
        <w:t xml:space="preserve"> [2020] FCA 126 at </w:t>
      </w:r>
      <w:r w:rsidR="00F82622" w:rsidRPr="006518E5">
        <w:rPr>
          <w:color w:val="000000" w:themeColor="text1"/>
        </w:rPr>
        <w:t>[</w:t>
      </w:r>
      <w:r w:rsidR="00B51472" w:rsidRPr="006518E5">
        <w:rPr>
          <w:color w:val="000000" w:themeColor="text1"/>
        </w:rPr>
        <w:t>3</w:t>
      </w:r>
      <w:r w:rsidR="00F82622" w:rsidRPr="006518E5">
        <w:rPr>
          <w:color w:val="000000" w:themeColor="text1"/>
        </w:rPr>
        <w:t>]-[</w:t>
      </w:r>
      <w:r w:rsidR="00B51472" w:rsidRPr="006518E5">
        <w:rPr>
          <w:color w:val="000000" w:themeColor="text1"/>
        </w:rPr>
        <w:t>16</w:t>
      </w:r>
      <w:r w:rsidR="00F82622" w:rsidRPr="006518E5">
        <w:rPr>
          <w:color w:val="000000" w:themeColor="text1"/>
        </w:rPr>
        <w:t>] (</w:t>
      </w:r>
      <w:r w:rsidR="00F82622" w:rsidRPr="006518E5">
        <w:rPr>
          <w:i/>
          <w:color w:val="000000" w:themeColor="text1"/>
        </w:rPr>
        <w:t>Kabbabe</w:t>
      </w:r>
      <w:r w:rsidR="00F82622" w:rsidRPr="006518E5">
        <w:rPr>
          <w:color w:val="000000" w:themeColor="text1"/>
        </w:rPr>
        <w:t>).</w:t>
      </w:r>
    </w:p>
    <w:p w:rsidR="00EC5E1E" w:rsidRPr="006518E5" w:rsidRDefault="00EC5E1E" w:rsidP="00EE2439">
      <w:pPr>
        <w:pStyle w:val="ParaNumbering"/>
        <w:rPr>
          <w:color w:val="000000" w:themeColor="text1"/>
          <w:szCs w:val="24"/>
        </w:rPr>
      </w:pPr>
      <w:r w:rsidRPr="006518E5">
        <w:rPr>
          <w:color w:val="000000" w:themeColor="text1"/>
          <w:szCs w:val="24"/>
        </w:rPr>
        <w:t>I am satisfied of the four matters identified above.</w:t>
      </w:r>
    </w:p>
    <w:p w:rsidR="00FA797F" w:rsidRPr="006518E5" w:rsidRDefault="00FA797F" w:rsidP="0058734B">
      <w:pPr>
        <w:pStyle w:val="Heading3"/>
        <w:rPr>
          <w:color w:val="000000" w:themeColor="text1"/>
        </w:rPr>
      </w:pPr>
      <w:r w:rsidRPr="006518E5">
        <w:rPr>
          <w:color w:val="000000" w:themeColor="text1"/>
        </w:rPr>
        <w:t>First criteria</w:t>
      </w:r>
    </w:p>
    <w:p w:rsidR="00EC5E1E" w:rsidRPr="006518E5" w:rsidRDefault="00EC5E1E" w:rsidP="00EC5E1E">
      <w:pPr>
        <w:pStyle w:val="ParaNumbering"/>
        <w:rPr>
          <w:color w:val="000000" w:themeColor="text1"/>
        </w:rPr>
      </w:pPr>
      <w:r w:rsidRPr="006518E5">
        <w:rPr>
          <w:color w:val="000000" w:themeColor="text1"/>
        </w:rPr>
        <w:t xml:space="preserve">The prospective applicant relies on the affidavit of his solicitor, </w:t>
      </w:r>
      <w:r w:rsidR="008843DF" w:rsidRPr="006518E5">
        <w:rPr>
          <w:color w:val="000000" w:themeColor="text1"/>
        </w:rPr>
        <w:t>Mr Goldsmith</w:t>
      </w:r>
      <w:r w:rsidRPr="006518E5">
        <w:rPr>
          <w:color w:val="000000" w:themeColor="text1"/>
        </w:rPr>
        <w:t xml:space="preserve"> </w:t>
      </w:r>
      <w:r w:rsidR="008843DF" w:rsidRPr="006518E5">
        <w:rPr>
          <w:color w:val="000000" w:themeColor="text1"/>
        </w:rPr>
        <w:t xml:space="preserve">affirmed </w:t>
      </w:r>
      <w:r w:rsidRPr="006518E5">
        <w:rPr>
          <w:color w:val="000000" w:themeColor="text1"/>
        </w:rPr>
        <w:t xml:space="preserve">on </w:t>
      </w:r>
      <w:r w:rsidR="008843DF" w:rsidRPr="006518E5">
        <w:rPr>
          <w:color w:val="000000" w:themeColor="text1"/>
        </w:rPr>
        <w:t>25 September 2020</w:t>
      </w:r>
      <w:r w:rsidRPr="006518E5">
        <w:rPr>
          <w:color w:val="000000" w:themeColor="text1"/>
        </w:rPr>
        <w:t xml:space="preserve">, which establishes, inter alia, that the USA is a contracting party to the Hague Service Convention. </w:t>
      </w:r>
    </w:p>
    <w:p w:rsidR="00EC5E1E" w:rsidRPr="006518E5" w:rsidRDefault="00EC5E1E" w:rsidP="00EC5E1E">
      <w:pPr>
        <w:pStyle w:val="ParaNumbering"/>
        <w:rPr>
          <w:color w:val="000000" w:themeColor="text1"/>
        </w:rPr>
      </w:pPr>
      <w:r w:rsidRPr="006518E5">
        <w:rPr>
          <w:color w:val="000000" w:themeColor="text1"/>
        </w:rPr>
        <w:t>The Hague Service Convention</w:t>
      </w:r>
      <w:r w:rsidR="00220CC8" w:rsidRPr="006518E5">
        <w:rPr>
          <w:color w:val="000000" w:themeColor="text1"/>
        </w:rPr>
        <w:t xml:space="preserve"> contemplates several channels for service </w:t>
      </w:r>
      <w:r w:rsidRPr="006518E5">
        <w:rPr>
          <w:color w:val="000000" w:themeColor="text1"/>
        </w:rPr>
        <w:t xml:space="preserve">in the </w:t>
      </w:r>
      <w:r w:rsidRPr="006518E5">
        <w:rPr>
          <w:i/>
          <w:iCs/>
          <w:color w:val="000000" w:themeColor="text1"/>
        </w:rPr>
        <w:t>Practical Handbook on the Operation of the Hague Service Convention</w:t>
      </w:r>
      <w:r w:rsidRPr="006518E5">
        <w:rPr>
          <w:color w:val="000000" w:themeColor="text1"/>
        </w:rPr>
        <w:t xml:space="preserve"> (Permanent Bureau of the Hague Conference on Private International Law, 2006) (</w:t>
      </w:r>
      <w:r w:rsidRPr="006518E5">
        <w:rPr>
          <w:i/>
          <w:iCs/>
          <w:color w:val="000000" w:themeColor="text1"/>
        </w:rPr>
        <w:t>Practical Handbook</w:t>
      </w:r>
      <w:r w:rsidRPr="006518E5">
        <w:rPr>
          <w:iCs/>
          <w:color w:val="000000" w:themeColor="text1"/>
        </w:rPr>
        <w:t>)</w:t>
      </w:r>
      <w:r w:rsidRPr="006518E5">
        <w:rPr>
          <w:color w:val="000000" w:themeColor="text1"/>
        </w:rPr>
        <w:t xml:space="preserve">: </w:t>
      </w:r>
      <w:r w:rsidRPr="006518E5">
        <w:rPr>
          <w:i/>
          <w:color w:val="000000" w:themeColor="text1"/>
        </w:rPr>
        <w:t>AIA Australia Ltd v Richards</w:t>
      </w:r>
      <w:r w:rsidRPr="006518E5">
        <w:rPr>
          <w:color w:val="000000" w:themeColor="text1"/>
        </w:rPr>
        <w:t xml:space="preserve"> [2017] FCA 84 at [7]</w:t>
      </w:r>
      <w:r w:rsidR="000F5293" w:rsidRPr="006518E5">
        <w:rPr>
          <w:color w:val="000000" w:themeColor="text1"/>
        </w:rPr>
        <w:t xml:space="preserve"> (</w:t>
      </w:r>
      <w:r w:rsidR="000F5293" w:rsidRPr="006518E5">
        <w:rPr>
          <w:i/>
          <w:color w:val="000000" w:themeColor="text1"/>
        </w:rPr>
        <w:t>AIA Australia</w:t>
      </w:r>
      <w:r w:rsidR="000F5293" w:rsidRPr="006518E5">
        <w:rPr>
          <w:color w:val="000000" w:themeColor="text1"/>
        </w:rPr>
        <w:t>)</w:t>
      </w:r>
      <w:r w:rsidR="00220CC8" w:rsidRPr="006518E5">
        <w:rPr>
          <w:color w:val="000000" w:themeColor="text1"/>
        </w:rPr>
        <w:t xml:space="preserve">. Allsop CJ </w:t>
      </w:r>
      <w:r w:rsidRPr="006518E5">
        <w:rPr>
          <w:color w:val="000000" w:themeColor="text1"/>
        </w:rPr>
        <w:t xml:space="preserve"> </w:t>
      </w:r>
      <w:r w:rsidR="00220CC8" w:rsidRPr="006518E5">
        <w:rPr>
          <w:color w:val="000000" w:themeColor="text1"/>
        </w:rPr>
        <w:t>observed:</w:t>
      </w:r>
    </w:p>
    <w:p w:rsidR="00EC5E1E" w:rsidRPr="006518E5" w:rsidRDefault="00EC5E1E" w:rsidP="003E0FB7">
      <w:pPr>
        <w:pStyle w:val="Quote1"/>
      </w:pPr>
      <w:r w:rsidRPr="006518E5">
        <w:t xml:space="preserve">The “main channel of transmission” is service under Article 5 of the Hague Service Convention through the “Central Authority” of the receiving State. The Convention also permits service through several “alternative channels”: </w:t>
      </w:r>
      <w:r w:rsidRPr="006518E5">
        <w:rPr>
          <w:i/>
          <w:iCs/>
        </w:rPr>
        <w:t xml:space="preserve">Practical Handbook </w:t>
      </w:r>
      <w:r w:rsidRPr="006518E5">
        <w:t>at [183].</w:t>
      </w:r>
    </w:p>
    <w:p w:rsidR="00220CC8" w:rsidRPr="006518E5" w:rsidRDefault="00220CC8" w:rsidP="00885EAB">
      <w:pPr>
        <w:pStyle w:val="ParaNumbering"/>
      </w:pPr>
      <w:r w:rsidRPr="006518E5">
        <w:rPr>
          <w:w w:val="105"/>
        </w:rPr>
        <w:t>The prospective applicant</w:t>
      </w:r>
      <w:r w:rsidR="009D2866">
        <w:rPr>
          <w:w w:val="105"/>
        </w:rPr>
        <w:t>s</w:t>
      </w:r>
      <w:r w:rsidRPr="006518E5">
        <w:rPr>
          <w:w w:val="105"/>
        </w:rPr>
        <w:t xml:space="preserve"> propose to serve the documents by sending them by international registered post, which is one of the </w:t>
      </w:r>
      <w:r w:rsidRPr="006518E5">
        <w:t xml:space="preserve">alternative channels: </w:t>
      </w:r>
      <w:r w:rsidR="00EC5E1E" w:rsidRPr="006518E5">
        <w:t>namely service b</w:t>
      </w:r>
      <w:r w:rsidRPr="006518E5">
        <w:t xml:space="preserve">y post pursuant to Art. 10(a). </w:t>
      </w:r>
      <w:r w:rsidR="00EC5E1E" w:rsidRPr="006518E5">
        <w:t xml:space="preserve">As Allsop </w:t>
      </w:r>
      <w:r w:rsidRPr="006518E5">
        <w:t xml:space="preserve">CJ </w:t>
      </w:r>
      <w:r w:rsidR="00EC5E1E" w:rsidRPr="006518E5">
        <w:t xml:space="preserve">noted in </w:t>
      </w:r>
      <w:r w:rsidR="00EC5E1E" w:rsidRPr="006518E5">
        <w:rPr>
          <w:i/>
        </w:rPr>
        <w:t>AIA Australia</w:t>
      </w:r>
      <w:r w:rsidR="00EC5E1E" w:rsidRPr="006518E5">
        <w:t xml:space="preserve"> at [13], the </w:t>
      </w:r>
      <w:r w:rsidR="00EC5E1E" w:rsidRPr="006518E5">
        <w:rPr>
          <w:i/>
          <w:iCs/>
        </w:rPr>
        <w:t xml:space="preserve">Practical Handbook </w:t>
      </w:r>
      <w:r w:rsidR="00EC5E1E" w:rsidRPr="006518E5">
        <w:lastRenderedPageBreak/>
        <w:t xml:space="preserve">states at [196] that “transmission … through postal channels </w:t>
      </w:r>
      <w:r w:rsidRPr="006518E5">
        <w:t xml:space="preserve">[referred to in Art 10(a)] </w:t>
      </w:r>
      <w:r w:rsidR="00EC5E1E" w:rsidRPr="006518E5">
        <w:t xml:space="preserve">includes service of process upon the addressee”.  </w:t>
      </w:r>
    </w:p>
    <w:p w:rsidR="00EE2439" w:rsidRPr="006518E5" w:rsidRDefault="00220CC8" w:rsidP="00220CC8">
      <w:pPr>
        <w:pStyle w:val="ParaNumbering"/>
        <w:rPr>
          <w:color w:val="000000" w:themeColor="text1"/>
        </w:rPr>
      </w:pPr>
      <w:r w:rsidRPr="006518E5">
        <w:rPr>
          <w:color w:val="000000" w:themeColor="text1"/>
        </w:rPr>
        <w:t xml:space="preserve">It </w:t>
      </w:r>
      <w:r w:rsidR="00FA797F" w:rsidRPr="006518E5">
        <w:rPr>
          <w:color w:val="000000" w:themeColor="text1"/>
        </w:rPr>
        <w:t>is uncontroversial that</w:t>
      </w:r>
      <w:r w:rsidR="00E93B62" w:rsidRPr="006518E5">
        <w:rPr>
          <w:color w:val="000000" w:themeColor="text1"/>
        </w:rPr>
        <w:t xml:space="preserve"> the</w:t>
      </w:r>
      <w:r w:rsidR="00FA797F" w:rsidRPr="006518E5">
        <w:rPr>
          <w:color w:val="000000" w:themeColor="text1"/>
        </w:rPr>
        <w:t xml:space="preserve"> service</w:t>
      </w:r>
      <w:r w:rsidR="00EC5E1E" w:rsidRPr="006518E5">
        <w:rPr>
          <w:color w:val="000000" w:themeColor="text1"/>
        </w:rPr>
        <w:t xml:space="preserve"> </w:t>
      </w:r>
      <w:r w:rsidR="00E93B62" w:rsidRPr="006518E5">
        <w:rPr>
          <w:color w:val="000000" w:themeColor="text1"/>
        </w:rPr>
        <w:t xml:space="preserve">of </w:t>
      </w:r>
      <w:r w:rsidR="00EC5E1E" w:rsidRPr="006518E5">
        <w:rPr>
          <w:color w:val="000000" w:themeColor="text1"/>
        </w:rPr>
        <w:t>documents b</w:t>
      </w:r>
      <w:r w:rsidR="00FA797F" w:rsidRPr="006518E5">
        <w:rPr>
          <w:color w:val="000000" w:themeColor="text1"/>
        </w:rPr>
        <w:t>y international registered post is compliant with Art</w:t>
      </w:r>
      <w:r w:rsidR="008E69A9" w:rsidRPr="006518E5">
        <w:rPr>
          <w:color w:val="000000" w:themeColor="text1"/>
        </w:rPr>
        <w:t>.</w:t>
      </w:r>
      <w:r w:rsidR="00FA797F" w:rsidRPr="006518E5">
        <w:rPr>
          <w:color w:val="000000" w:themeColor="text1"/>
        </w:rPr>
        <w:t xml:space="preserve"> 10(a), this Court having granted leave </w:t>
      </w:r>
      <w:r w:rsidR="00EC5E1E" w:rsidRPr="006518E5">
        <w:rPr>
          <w:color w:val="000000" w:themeColor="text1"/>
        </w:rPr>
        <w:t xml:space="preserve">on a number of previous occasions </w:t>
      </w:r>
      <w:r w:rsidR="00FA797F" w:rsidRPr="006518E5">
        <w:rPr>
          <w:color w:val="000000" w:themeColor="text1"/>
        </w:rPr>
        <w:t xml:space="preserve">for service in that manner: </w:t>
      </w:r>
      <w:r w:rsidRPr="006518E5">
        <w:rPr>
          <w:color w:val="000000" w:themeColor="text1"/>
        </w:rPr>
        <w:t xml:space="preserve">see </w:t>
      </w:r>
      <w:r w:rsidR="003B1BA5" w:rsidRPr="006518E5">
        <w:rPr>
          <w:i/>
          <w:color w:val="000000" w:themeColor="text1"/>
        </w:rPr>
        <w:t>Kabbabe</w:t>
      </w:r>
      <w:r w:rsidR="003B1BA5" w:rsidRPr="006518E5">
        <w:rPr>
          <w:color w:val="000000" w:themeColor="text1"/>
        </w:rPr>
        <w:t xml:space="preserve"> at [8], citing </w:t>
      </w:r>
      <w:r w:rsidR="00EC5E1E" w:rsidRPr="006518E5">
        <w:rPr>
          <w:i/>
          <w:iCs/>
          <w:color w:val="000000" w:themeColor="text1"/>
        </w:rPr>
        <w:t>Deputy Commissioner of Taxation v Power Assets Holdings Ltd (previously known as Hongkong Electric Holdings Ltd)</w:t>
      </w:r>
      <w:r w:rsidR="00EC5E1E" w:rsidRPr="006518E5">
        <w:rPr>
          <w:color w:val="000000" w:themeColor="text1"/>
        </w:rPr>
        <w:t xml:space="preserve"> [2013] FCA 708; (2013) 9</w:t>
      </w:r>
      <w:r w:rsidRPr="006518E5">
        <w:rPr>
          <w:color w:val="000000" w:themeColor="text1"/>
        </w:rPr>
        <w:t>6 ATR 51 at [15]-[22]</w:t>
      </w:r>
      <w:r w:rsidR="00EC5E1E" w:rsidRPr="006518E5">
        <w:rPr>
          <w:color w:val="000000" w:themeColor="text1"/>
        </w:rPr>
        <w:t xml:space="preserve">; </w:t>
      </w:r>
      <w:r w:rsidR="00EC5E1E" w:rsidRPr="006518E5">
        <w:rPr>
          <w:i/>
          <w:iCs/>
          <w:color w:val="000000" w:themeColor="text1"/>
        </w:rPr>
        <w:t xml:space="preserve">Deputy Commissioner of Taxation v Cheung Kong Infrastructure Holdings Ltd </w:t>
      </w:r>
      <w:r w:rsidR="00EC5E1E" w:rsidRPr="006518E5">
        <w:rPr>
          <w:color w:val="000000" w:themeColor="text1"/>
        </w:rPr>
        <w:t>[2013] FCA 707; (2013) 9</w:t>
      </w:r>
      <w:r w:rsidRPr="006518E5">
        <w:rPr>
          <w:color w:val="000000" w:themeColor="text1"/>
        </w:rPr>
        <w:t>6 ATR 44 at [15]-[22]</w:t>
      </w:r>
      <w:r w:rsidR="00EC5E1E" w:rsidRPr="006518E5">
        <w:rPr>
          <w:color w:val="000000" w:themeColor="text1"/>
        </w:rPr>
        <w:t xml:space="preserve">; </w:t>
      </w:r>
      <w:r w:rsidR="00EC5E1E" w:rsidRPr="006518E5">
        <w:rPr>
          <w:i/>
          <w:iCs/>
          <w:color w:val="000000" w:themeColor="text1"/>
        </w:rPr>
        <w:t xml:space="preserve">Bell v Steele </w:t>
      </w:r>
      <w:r w:rsidR="00EC5E1E" w:rsidRPr="006518E5">
        <w:rPr>
          <w:color w:val="000000" w:themeColor="text1"/>
        </w:rPr>
        <w:t xml:space="preserve">[2011] FCA 1390; (2011) 198 FCR 291 </w:t>
      </w:r>
      <w:r w:rsidRPr="006518E5">
        <w:rPr>
          <w:color w:val="000000" w:themeColor="text1"/>
        </w:rPr>
        <w:t>at [13] and [16]</w:t>
      </w:r>
      <w:r w:rsidR="00EC5E1E" w:rsidRPr="006518E5">
        <w:rPr>
          <w:color w:val="000000" w:themeColor="text1"/>
        </w:rPr>
        <w:t xml:space="preserve">; </w:t>
      </w:r>
      <w:r w:rsidR="00EC5E1E" w:rsidRPr="006518E5">
        <w:rPr>
          <w:i/>
          <w:color w:val="000000" w:themeColor="text1"/>
        </w:rPr>
        <w:t xml:space="preserve">Ahmed v Al-Hussain Pty Ltd t/as The Cheesecake Shop </w:t>
      </w:r>
      <w:r w:rsidR="00EC5E1E" w:rsidRPr="006518E5">
        <w:rPr>
          <w:color w:val="000000" w:themeColor="text1"/>
        </w:rPr>
        <w:t>[2018] FCA 1741</w:t>
      </w:r>
      <w:r w:rsidRPr="006518E5">
        <w:rPr>
          <w:color w:val="000000" w:themeColor="text1"/>
        </w:rPr>
        <w:t xml:space="preserve"> at [17]</w:t>
      </w:r>
      <w:r w:rsidR="003B1BA5" w:rsidRPr="006518E5">
        <w:rPr>
          <w:color w:val="000000" w:themeColor="text1"/>
        </w:rPr>
        <w:t>.</w:t>
      </w:r>
      <w:r w:rsidRPr="006518E5">
        <w:rPr>
          <w:color w:val="000000" w:themeColor="text1"/>
        </w:rPr>
        <w:t xml:space="preserve"> </w:t>
      </w:r>
    </w:p>
    <w:p w:rsidR="00FA797F" w:rsidRPr="006518E5" w:rsidRDefault="00FA797F" w:rsidP="00EE2439">
      <w:pPr>
        <w:pStyle w:val="ParaNumbering"/>
        <w:rPr>
          <w:color w:val="000000" w:themeColor="text1"/>
          <w:szCs w:val="24"/>
        </w:rPr>
      </w:pPr>
      <w:r w:rsidRPr="006518E5">
        <w:rPr>
          <w:color w:val="000000" w:themeColor="text1"/>
          <w:szCs w:val="24"/>
        </w:rPr>
        <w:t xml:space="preserve">In </w:t>
      </w:r>
      <w:r w:rsidRPr="006518E5">
        <w:rPr>
          <w:i/>
          <w:color w:val="000000" w:themeColor="text1"/>
          <w:szCs w:val="24"/>
        </w:rPr>
        <w:t>Kabbabe</w:t>
      </w:r>
      <w:r w:rsidRPr="006518E5">
        <w:rPr>
          <w:color w:val="000000" w:themeColor="text1"/>
          <w:szCs w:val="24"/>
        </w:rPr>
        <w:t xml:space="preserve"> Murphy J observed at [9]: </w:t>
      </w:r>
    </w:p>
    <w:p w:rsidR="00FA797F" w:rsidRPr="006518E5" w:rsidRDefault="00FA797F" w:rsidP="003E0FB7">
      <w:pPr>
        <w:pStyle w:val="Quote1"/>
      </w:pPr>
      <w:r w:rsidRPr="006518E5">
        <w:t xml:space="preserve">In </w:t>
      </w:r>
      <w:r w:rsidRPr="006518E5">
        <w:rPr>
          <w:i/>
        </w:rPr>
        <w:t xml:space="preserve">Water Splash Inc v Menon </w:t>
      </w:r>
      <w:r w:rsidR="00D4583D" w:rsidRPr="006518E5">
        <w:t xml:space="preserve">581 U.S. </w:t>
      </w:r>
      <w:r w:rsidRPr="006518E5">
        <w:t xml:space="preserve">(2017) at 12 the US Supreme Court held that the Hague Service Convention does not prohibit service of process in the USA by direct post to the respondent, and there is nothing in the materials before the Court to indicate that the USA objects to direct postal service of legal process under the Convention.  The </w:t>
      </w:r>
      <w:r w:rsidRPr="006518E5">
        <w:rPr>
          <w:i/>
        </w:rPr>
        <w:t xml:space="preserve">Practical Handbook </w:t>
      </w:r>
      <w:r w:rsidRPr="006518E5">
        <w:t>states at [204] that a comprehensive list of objecting States is available on the website of the Permanent Bureau of the Hague Conference on Private International Law.  Having reviewed that website, it states that the USA does not object to service under Art. 10(a).  I proceed on that basis.</w:t>
      </w:r>
    </w:p>
    <w:p w:rsidR="00FA797F" w:rsidRPr="006518E5" w:rsidRDefault="00FA797F" w:rsidP="00EE2439">
      <w:pPr>
        <w:pStyle w:val="ParaNumbering"/>
        <w:rPr>
          <w:color w:val="000000" w:themeColor="text1"/>
          <w:szCs w:val="24"/>
        </w:rPr>
      </w:pPr>
      <w:r w:rsidRPr="006518E5">
        <w:rPr>
          <w:color w:val="000000" w:themeColor="text1"/>
          <w:szCs w:val="24"/>
        </w:rPr>
        <w:t xml:space="preserve">I also proceed on that basis. </w:t>
      </w:r>
    </w:p>
    <w:p w:rsidR="00FA797F" w:rsidRPr="006518E5" w:rsidRDefault="00FA797F" w:rsidP="0058734B">
      <w:pPr>
        <w:pStyle w:val="Heading3"/>
        <w:rPr>
          <w:color w:val="000000" w:themeColor="text1"/>
        </w:rPr>
      </w:pPr>
      <w:r w:rsidRPr="006518E5">
        <w:rPr>
          <w:color w:val="000000" w:themeColor="text1"/>
        </w:rPr>
        <w:t>Second criteria</w:t>
      </w:r>
    </w:p>
    <w:p w:rsidR="00FA797F" w:rsidRPr="006518E5" w:rsidRDefault="00FA797F" w:rsidP="00FA797F">
      <w:pPr>
        <w:pStyle w:val="ParaNumbering"/>
        <w:rPr>
          <w:color w:val="000000" w:themeColor="text1"/>
        </w:rPr>
      </w:pPr>
      <w:r w:rsidRPr="006518E5">
        <w:rPr>
          <w:color w:val="000000" w:themeColor="text1"/>
        </w:rPr>
        <w:t>There can be no issue that the Court has jurisdiction to hear an application for prelimin</w:t>
      </w:r>
      <w:r w:rsidR="006C1FE4" w:rsidRPr="006518E5">
        <w:rPr>
          <w:color w:val="000000" w:themeColor="text1"/>
        </w:rPr>
        <w:t>ary discovery pursuant to r 7.22</w:t>
      </w:r>
      <w:r w:rsidRPr="006518E5">
        <w:rPr>
          <w:color w:val="000000" w:themeColor="text1"/>
        </w:rPr>
        <w:t>.</w:t>
      </w:r>
    </w:p>
    <w:p w:rsidR="00FA797F" w:rsidRPr="006518E5" w:rsidRDefault="00FA797F" w:rsidP="0058734B">
      <w:pPr>
        <w:pStyle w:val="Heading3"/>
        <w:rPr>
          <w:color w:val="000000" w:themeColor="text1"/>
        </w:rPr>
      </w:pPr>
      <w:r w:rsidRPr="006518E5">
        <w:rPr>
          <w:color w:val="000000" w:themeColor="text1"/>
        </w:rPr>
        <w:t>Third criteria</w:t>
      </w:r>
    </w:p>
    <w:p w:rsidR="00864444" w:rsidRPr="006518E5" w:rsidRDefault="00864444" w:rsidP="00864444">
      <w:pPr>
        <w:pStyle w:val="ParaNumbering"/>
        <w:rPr>
          <w:color w:val="000000" w:themeColor="text1"/>
          <w:szCs w:val="24"/>
        </w:rPr>
      </w:pPr>
      <w:r w:rsidRPr="006518E5">
        <w:rPr>
          <w:color w:val="000000" w:themeColor="text1"/>
        </w:rPr>
        <w:t xml:space="preserve">The proceeding falls within one or more of the categories or descriptions set out in r 10.42, with </w:t>
      </w:r>
      <w:r w:rsidRPr="006518E5">
        <w:rPr>
          <w:color w:val="000000" w:themeColor="text1"/>
          <w:szCs w:val="24"/>
        </w:rPr>
        <w:t>the prospective applicant</w:t>
      </w:r>
      <w:r w:rsidR="00F46B84" w:rsidRPr="006518E5">
        <w:rPr>
          <w:color w:val="000000" w:themeColor="text1"/>
          <w:szCs w:val="24"/>
        </w:rPr>
        <w:t>s</w:t>
      </w:r>
      <w:r w:rsidRPr="006518E5">
        <w:rPr>
          <w:color w:val="000000" w:themeColor="text1"/>
          <w:szCs w:val="24"/>
        </w:rPr>
        <w:t xml:space="preserve"> relying on </w:t>
      </w:r>
      <w:r w:rsidRPr="006518E5">
        <w:rPr>
          <w:color w:val="000000" w:themeColor="text1"/>
          <w:w w:val="105"/>
        </w:rPr>
        <w:t>proceedings based on a cause of action arising in</w:t>
      </w:r>
      <w:r w:rsidRPr="006518E5">
        <w:rPr>
          <w:color w:val="000000" w:themeColor="text1"/>
          <w:spacing w:val="1"/>
          <w:w w:val="105"/>
        </w:rPr>
        <w:t xml:space="preserve"> </w:t>
      </w:r>
      <w:r w:rsidRPr="006518E5">
        <w:rPr>
          <w:color w:val="000000" w:themeColor="text1"/>
          <w:w w:val="105"/>
        </w:rPr>
        <w:t xml:space="preserve">Australia: Item 1 of the Table in r 10.42, and </w:t>
      </w:r>
      <w:r w:rsidRPr="006518E5">
        <w:rPr>
          <w:color w:val="000000" w:themeColor="text1"/>
          <w:szCs w:val="24"/>
        </w:rPr>
        <w:t>p</w:t>
      </w:r>
      <w:r w:rsidRPr="006518E5">
        <w:rPr>
          <w:color w:val="000000" w:themeColor="text1"/>
          <w:w w:val="105"/>
        </w:rPr>
        <w:t>roceeding</w:t>
      </w:r>
      <w:r w:rsidRPr="006518E5">
        <w:rPr>
          <w:color w:val="000000" w:themeColor="text1"/>
          <w:spacing w:val="-47"/>
          <w:w w:val="105"/>
        </w:rPr>
        <w:t xml:space="preserve"> </w:t>
      </w:r>
      <w:r w:rsidRPr="006518E5">
        <w:rPr>
          <w:color w:val="000000" w:themeColor="text1"/>
          <w:w w:val="105"/>
        </w:rPr>
        <w:t>s based on a tort committed in Australia: Item 2.</w:t>
      </w:r>
      <w:r w:rsidRPr="006518E5">
        <w:rPr>
          <w:color w:val="000000" w:themeColor="text1"/>
          <w:szCs w:val="24"/>
        </w:rPr>
        <w:t xml:space="preserve"> I am satisfied that an application for pr</w:t>
      </w:r>
      <w:r w:rsidR="006C1FE4" w:rsidRPr="006518E5">
        <w:rPr>
          <w:color w:val="000000" w:themeColor="text1"/>
          <w:szCs w:val="24"/>
        </w:rPr>
        <w:t>eliminary discovery under r 7.22</w:t>
      </w:r>
      <w:r w:rsidRPr="006518E5">
        <w:rPr>
          <w:color w:val="000000" w:themeColor="text1"/>
          <w:szCs w:val="24"/>
        </w:rPr>
        <w:t xml:space="preserve"> is a proceeding based </w:t>
      </w:r>
      <w:r w:rsidRPr="006518E5">
        <w:rPr>
          <w:color w:val="000000" w:themeColor="text1"/>
          <w:w w:val="105"/>
        </w:rPr>
        <w:t>on a cause of action arising in</w:t>
      </w:r>
      <w:r w:rsidRPr="006518E5">
        <w:rPr>
          <w:color w:val="000000" w:themeColor="text1"/>
          <w:spacing w:val="1"/>
          <w:w w:val="105"/>
        </w:rPr>
        <w:t xml:space="preserve"> </w:t>
      </w:r>
      <w:r w:rsidRPr="006518E5">
        <w:rPr>
          <w:color w:val="000000" w:themeColor="text1"/>
          <w:w w:val="105"/>
        </w:rPr>
        <w:t xml:space="preserve">Australia and </w:t>
      </w:r>
      <w:r w:rsidRPr="006518E5">
        <w:rPr>
          <w:color w:val="000000" w:themeColor="text1"/>
          <w:szCs w:val="24"/>
        </w:rPr>
        <w:t>p</w:t>
      </w:r>
      <w:r w:rsidRPr="006518E5">
        <w:rPr>
          <w:color w:val="000000" w:themeColor="text1"/>
          <w:w w:val="105"/>
        </w:rPr>
        <w:t>roceeding</w:t>
      </w:r>
      <w:r w:rsidRPr="006518E5">
        <w:rPr>
          <w:color w:val="000000" w:themeColor="text1"/>
          <w:spacing w:val="-47"/>
          <w:w w:val="105"/>
        </w:rPr>
        <w:t xml:space="preserve"> </w:t>
      </w:r>
      <w:r w:rsidRPr="006518E5">
        <w:rPr>
          <w:color w:val="000000" w:themeColor="text1"/>
          <w:w w:val="105"/>
        </w:rPr>
        <w:t>s based on a tort committed in Australia.</w:t>
      </w:r>
    </w:p>
    <w:p w:rsidR="00E97FAF" w:rsidRPr="006518E5" w:rsidRDefault="00E97FAF" w:rsidP="00E97FAF">
      <w:pPr>
        <w:pStyle w:val="ParaNumbering"/>
        <w:rPr>
          <w:color w:val="000000" w:themeColor="text1"/>
          <w:szCs w:val="24"/>
        </w:rPr>
      </w:pPr>
      <w:r w:rsidRPr="006518E5">
        <w:rPr>
          <w:color w:val="000000" w:themeColor="text1"/>
        </w:rPr>
        <w:t xml:space="preserve">I note that </w:t>
      </w:r>
      <w:r w:rsidRPr="006518E5">
        <w:rPr>
          <w:color w:val="000000" w:themeColor="text1"/>
          <w:lang w:val="en" w:eastAsia="en-AU"/>
        </w:rPr>
        <w:t xml:space="preserve">a defamatory statement made online is taken to be “published” for the purposes of an action in defamation when and where it is downloaded: see </w:t>
      </w:r>
      <w:r w:rsidRPr="006518E5">
        <w:rPr>
          <w:i/>
          <w:iCs/>
          <w:color w:val="000000" w:themeColor="text1"/>
          <w:lang w:val="en" w:eastAsia="en-AU"/>
        </w:rPr>
        <w:t>Dow Jones &amp; Company Inc v Gutnick</w:t>
      </w:r>
      <w:r w:rsidRPr="006518E5">
        <w:rPr>
          <w:color w:val="000000" w:themeColor="text1"/>
          <w:lang w:val="en" w:eastAsia="en-AU"/>
        </w:rPr>
        <w:t xml:space="preserve"> </w:t>
      </w:r>
      <w:r w:rsidR="000F5293" w:rsidRPr="006518E5">
        <w:rPr>
          <w:color w:val="000000" w:themeColor="text1"/>
          <w:lang w:val="en" w:eastAsia="en-AU"/>
        </w:rPr>
        <w:t xml:space="preserve">[2002] HCA 56; </w:t>
      </w:r>
      <w:r w:rsidRPr="006518E5">
        <w:rPr>
          <w:color w:val="000000" w:themeColor="text1"/>
          <w:lang w:val="en" w:eastAsia="en-AU"/>
        </w:rPr>
        <w:t xml:space="preserve">(2002) 210 CLR 575. That </w:t>
      </w:r>
      <w:r w:rsidR="00501FAE" w:rsidRPr="006518E5">
        <w:rPr>
          <w:color w:val="000000" w:themeColor="text1"/>
          <w:lang w:val="en" w:eastAsia="en-AU"/>
        </w:rPr>
        <w:t xml:space="preserve">a </w:t>
      </w:r>
      <w:r w:rsidRPr="006518E5">
        <w:rPr>
          <w:color w:val="000000" w:themeColor="text1"/>
          <w:lang w:val="en" w:eastAsia="en-AU"/>
        </w:rPr>
        <w:t xml:space="preserve">review was visible to the public in the </w:t>
      </w:r>
      <w:r w:rsidRPr="006518E5">
        <w:rPr>
          <w:color w:val="000000" w:themeColor="text1"/>
          <w:lang w:val="en" w:eastAsia="en-AU"/>
        </w:rPr>
        <w:lastRenderedPageBreak/>
        <w:t xml:space="preserve">NT and ACT, along with the rest of Australia, </w:t>
      </w:r>
      <w:r w:rsidR="00501FAE" w:rsidRPr="006518E5">
        <w:rPr>
          <w:color w:val="000000" w:themeColor="text1"/>
          <w:lang w:val="en" w:eastAsia="en-AU"/>
        </w:rPr>
        <w:t>has</w:t>
      </w:r>
      <w:r w:rsidR="008F7221" w:rsidRPr="006518E5">
        <w:rPr>
          <w:color w:val="000000" w:themeColor="text1"/>
          <w:lang w:val="en" w:eastAsia="en-AU"/>
        </w:rPr>
        <w:t xml:space="preserve"> previously</w:t>
      </w:r>
      <w:r w:rsidR="00501FAE" w:rsidRPr="006518E5">
        <w:rPr>
          <w:color w:val="000000" w:themeColor="text1"/>
          <w:lang w:val="en" w:eastAsia="en-AU"/>
        </w:rPr>
        <w:t xml:space="preserve"> been </w:t>
      </w:r>
      <w:r w:rsidR="008F7221" w:rsidRPr="006518E5">
        <w:rPr>
          <w:color w:val="000000" w:themeColor="text1"/>
          <w:lang w:val="en" w:eastAsia="en-AU"/>
        </w:rPr>
        <w:t xml:space="preserve">found to be </w:t>
      </w:r>
      <w:r w:rsidRPr="006518E5">
        <w:rPr>
          <w:color w:val="000000" w:themeColor="text1"/>
          <w:lang w:val="en" w:eastAsia="en-AU"/>
        </w:rPr>
        <w:t xml:space="preserve">sufficient to establish that the Court is likely to have jurisdiction to hear the prospective claim: </w:t>
      </w:r>
      <w:r w:rsidRPr="006518E5">
        <w:rPr>
          <w:i/>
          <w:iCs/>
          <w:color w:val="000000" w:themeColor="text1"/>
          <w:lang w:val="en" w:eastAsia="en-AU"/>
        </w:rPr>
        <w:t xml:space="preserve">Kabbabe </w:t>
      </w:r>
      <w:r w:rsidRPr="006518E5">
        <w:rPr>
          <w:iCs/>
          <w:color w:val="000000" w:themeColor="text1"/>
          <w:lang w:val="en" w:eastAsia="en-AU"/>
        </w:rPr>
        <w:t xml:space="preserve">at </w:t>
      </w:r>
      <w:r w:rsidRPr="006518E5">
        <w:rPr>
          <w:color w:val="000000" w:themeColor="text1"/>
          <w:lang w:val="en" w:eastAsia="en-AU"/>
        </w:rPr>
        <w:t xml:space="preserve">[16]; </w:t>
      </w:r>
      <w:r w:rsidRPr="006518E5">
        <w:rPr>
          <w:i/>
          <w:color w:val="000000" w:themeColor="text1"/>
          <w:lang w:val="en" w:eastAsia="en-AU"/>
        </w:rPr>
        <w:t>Colagrande v Telstra Corporation Limited</w:t>
      </w:r>
      <w:r w:rsidRPr="006518E5">
        <w:rPr>
          <w:color w:val="000000" w:themeColor="text1"/>
          <w:lang w:val="en" w:eastAsia="en-AU"/>
        </w:rPr>
        <w:t xml:space="preserve"> [2020] FCA 1595 at [15]; </w:t>
      </w:r>
      <w:r w:rsidRPr="006518E5">
        <w:rPr>
          <w:i/>
          <w:iCs/>
          <w:color w:val="000000" w:themeColor="text1"/>
          <w:lang w:val="en" w:eastAsia="en-AU"/>
        </w:rPr>
        <w:t>Boyd v Automattic</w:t>
      </w:r>
      <w:r w:rsidR="00501FAE" w:rsidRPr="006518E5">
        <w:rPr>
          <w:i/>
          <w:iCs/>
          <w:color w:val="000000" w:themeColor="text1"/>
          <w:lang w:val="en" w:eastAsia="en-AU"/>
        </w:rPr>
        <w:t>, Inc</w:t>
      </w:r>
      <w:r w:rsidRPr="006518E5">
        <w:rPr>
          <w:i/>
          <w:iCs/>
          <w:color w:val="000000" w:themeColor="text1"/>
          <w:lang w:val="en" w:eastAsia="en-AU"/>
        </w:rPr>
        <w:t xml:space="preserve"> </w:t>
      </w:r>
      <w:r w:rsidRPr="006518E5">
        <w:rPr>
          <w:iCs/>
          <w:color w:val="000000" w:themeColor="text1"/>
          <w:lang w:val="en" w:eastAsia="en-AU"/>
        </w:rPr>
        <w:t xml:space="preserve">[2019] FCA 86 </w:t>
      </w:r>
      <w:r w:rsidRPr="006518E5">
        <w:rPr>
          <w:color w:val="000000" w:themeColor="text1"/>
          <w:lang w:val="en" w:eastAsia="en-AU"/>
        </w:rPr>
        <w:t>at [</w:t>
      </w:r>
      <w:r w:rsidR="00501FAE" w:rsidRPr="006518E5">
        <w:rPr>
          <w:color w:val="000000" w:themeColor="text1"/>
          <w:lang w:val="en" w:eastAsia="en-AU"/>
        </w:rPr>
        <w:t>47</w:t>
      </w:r>
      <w:r w:rsidRPr="006518E5">
        <w:rPr>
          <w:color w:val="000000" w:themeColor="text1"/>
          <w:lang w:val="en" w:eastAsia="en-AU"/>
        </w:rPr>
        <w:t>]</w:t>
      </w:r>
      <w:r w:rsidR="00501FAE" w:rsidRPr="006518E5">
        <w:rPr>
          <w:color w:val="000000" w:themeColor="text1"/>
          <w:lang w:val="en" w:eastAsia="en-AU"/>
        </w:rPr>
        <w:t>-[49]</w:t>
      </w:r>
      <w:r w:rsidRPr="006518E5">
        <w:rPr>
          <w:color w:val="000000" w:themeColor="text1"/>
          <w:lang w:val="en" w:eastAsia="en-AU"/>
        </w:rPr>
        <w:t>.</w:t>
      </w:r>
      <w:r w:rsidR="000F5293" w:rsidRPr="006518E5">
        <w:rPr>
          <w:color w:val="000000" w:themeColor="text1"/>
          <w:lang w:val="en" w:eastAsia="en-AU"/>
        </w:rPr>
        <w:t xml:space="preserve"> </w:t>
      </w:r>
      <w:r w:rsidR="008F7221" w:rsidRPr="006518E5">
        <w:rPr>
          <w:color w:val="000000" w:themeColor="text1"/>
          <w:lang w:val="en" w:eastAsia="en-AU"/>
        </w:rPr>
        <w:t>It follows in this matter</w:t>
      </w:r>
      <w:r w:rsidR="007556B9" w:rsidRPr="006518E5">
        <w:rPr>
          <w:color w:val="000000" w:themeColor="text1"/>
          <w:lang w:val="en" w:eastAsia="en-AU"/>
        </w:rPr>
        <w:t xml:space="preserve"> </w:t>
      </w:r>
      <w:r w:rsidR="008F7221" w:rsidRPr="006518E5">
        <w:rPr>
          <w:color w:val="000000" w:themeColor="text1"/>
          <w:lang w:val="en" w:eastAsia="en-AU"/>
        </w:rPr>
        <w:t>that the Court is likely to have jurisdiction to hear the prospective claim.</w:t>
      </w:r>
    </w:p>
    <w:p w:rsidR="00FA797F" w:rsidRPr="006518E5" w:rsidRDefault="006C1FE4" w:rsidP="0058734B">
      <w:pPr>
        <w:pStyle w:val="Heading3"/>
        <w:rPr>
          <w:color w:val="000000" w:themeColor="text1"/>
        </w:rPr>
      </w:pPr>
      <w:r w:rsidRPr="006518E5">
        <w:rPr>
          <w:color w:val="000000" w:themeColor="text1"/>
        </w:rPr>
        <w:t>Fourth criteria</w:t>
      </w:r>
    </w:p>
    <w:p w:rsidR="007556B9" w:rsidRPr="006518E5" w:rsidRDefault="007556B9" w:rsidP="007556B9">
      <w:pPr>
        <w:pStyle w:val="ParaNumbering"/>
        <w:rPr>
          <w:color w:val="000000" w:themeColor="text1"/>
        </w:rPr>
      </w:pPr>
      <w:r w:rsidRPr="006518E5">
        <w:t xml:space="preserve">On the evidence relied on I am satisfied that the prospective applicants have a prima facie case </w:t>
      </w:r>
      <w:r w:rsidRPr="006518E5">
        <w:rPr>
          <w:color w:val="000000" w:themeColor="text1"/>
        </w:rPr>
        <w:t xml:space="preserve">for preliminary discovery pursuant to r 7.22(1): r 10.43(4)(c).  </w:t>
      </w:r>
    </w:p>
    <w:p w:rsidR="006C1FE4" w:rsidRPr="006518E5" w:rsidRDefault="00ED2EDA" w:rsidP="00ED2EDA">
      <w:pPr>
        <w:pStyle w:val="ParaNumbering"/>
        <w:rPr>
          <w:color w:val="000000" w:themeColor="text1"/>
        </w:rPr>
      </w:pPr>
      <w:r w:rsidRPr="006518E5">
        <w:rPr>
          <w:color w:val="000000" w:themeColor="text1"/>
        </w:rPr>
        <w:t xml:space="preserve">Rule 7.22 provides </w:t>
      </w:r>
      <w:r w:rsidRPr="006518E5">
        <w:rPr>
          <w:color w:val="000000" w:themeColor="text1"/>
          <w:lang w:val="en"/>
        </w:rPr>
        <w:t xml:space="preserve">that a prospective applicant may apply to the Court for an order to require a person to discover to the prospective applicant any document or thing in the person’s control relating to the description of the prospective respondent. It is intended to provide a person with a means of obtaining information as to the identity of a party against whom the person wishes to commence a proceeding, in circumstances in which the person is unable to do so because of a lack of sufficient information about that party’s description to enable an originating application to be filed: </w:t>
      </w:r>
      <w:r w:rsidRPr="006518E5">
        <w:rPr>
          <w:bCs/>
          <w:i/>
          <w:color w:val="000000" w:themeColor="text1"/>
          <w:lang w:val="en"/>
        </w:rPr>
        <w:t xml:space="preserve">Carroll &amp; Richardson - Flagworld Pty Ltd v PayPal Australia Pty Limited </w:t>
      </w:r>
      <w:hyperlink r:id="rId18" w:tooltip="View Case" w:history="1">
        <w:r w:rsidRPr="006518E5">
          <w:rPr>
            <w:bCs/>
            <w:color w:val="000000" w:themeColor="text1"/>
            <w:lang w:val="en"/>
          </w:rPr>
          <w:t>[2020] FCA 371</w:t>
        </w:r>
      </w:hyperlink>
      <w:r w:rsidRPr="006518E5">
        <w:rPr>
          <w:bCs/>
          <w:color w:val="000000" w:themeColor="text1"/>
          <w:lang w:val="en"/>
        </w:rPr>
        <w:t xml:space="preserve"> at [3]; </w:t>
      </w:r>
      <w:r w:rsidRPr="006518E5">
        <w:rPr>
          <w:i/>
          <w:color w:val="000000" w:themeColor="text1"/>
        </w:rPr>
        <w:t>Kabbabe</w:t>
      </w:r>
      <w:r w:rsidRPr="006518E5">
        <w:rPr>
          <w:color w:val="000000" w:themeColor="text1"/>
        </w:rPr>
        <w:t xml:space="preserve"> at [13]</w:t>
      </w:r>
      <w:r w:rsidRPr="006518E5">
        <w:rPr>
          <w:color w:val="000000" w:themeColor="text1"/>
          <w:szCs w:val="24"/>
        </w:rPr>
        <w:t xml:space="preserve">, citing </w:t>
      </w:r>
      <w:r w:rsidRPr="006518E5">
        <w:rPr>
          <w:i/>
          <w:iCs/>
          <w:color w:val="000000" w:themeColor="text1"/>
          <w:lang w:val="en"/>
        </w:rPr>
        <w:t xml:space="preserve">Cape Australia Holdings Pty Ltd v Iannello </w:t>
      </w:r>
      <w:r w:rsidRPr="006518E5">
        <w:rPr>
          <w:iCs/>
          <w:color w:val="000000" w:themeColor="text1"/>
          <w:lang w:val="en"/>
        </w:rPr>
        <w:t xml:space="preserve">[2009] FCA 709 </w:t>
      </w:r>
      <w:r w:rsidRPr="006518E5">
        <w:rPr>
          <w:color w:val="000000" w:themeColor="text1"/>
          <w:lang w:val="en"/>
        </w:rPr>
        <w:t xml:space="preserve">at [63]-[64] which relates to the predecessor rule. </w:t>
      </w:r>
    </w:p>
    <w:p w:rsidR="00ED2EDA" w:rsidRPr="006518E5" w:rsidRDefault="00ED2EDA" w:rsidP="00ED2EDA">
      <w:pPr>
        <w:pStyle w:val="ParaNumbering"/>
        <w:rPr>
          <w:color w:val="000000" w:themeColor="text1"/>
          <w:szCs w:val="24"/>
        </w:rPr>
      </w:pPr>
      <w:r w:rsidRPr="006518E5">
        <w:rPr>
          <w:color w:val="000000" w:themeColor="text1"/>
          <w:szCs w:val="24"/>
        </w:rPr>
        <w:t>Rule 7.22 requires that the prospective applicant satisfy the Court:</w:t>
      </w:r>
    </w:p>
    <w:p w:rsidR="00ED2EDA" w:rsidRPr="006518E5" w:rsidRDefault="00ED2EDA" w:rsidP="001E6625">
      <w:pPr>
        <w:pStyle w:val="ListNo1"/>
        <w:numPr>
          <w:ilvl w:val="0"/>
          <w:numId w:val="26"/>
        </w:numPr>
        <w:rPr>
          <w:color w:val="000000" w:themeColor="text1"/>
          <w:szCs w:val="24"/>
        </w:rPr>
      </w:pPr>
      <w:r w:rsidRPr="006518E5">
        <w:rPr>
          <w:color w:val="000000" w:themeColor="text1"/>
        </w:rPr>
        <w:t xml:space="preserve">there </w:t>
      </w:r>
      <w:r w:rsidRPr="006518E5">
        <w:rPr>
          <w:i/>
          <w:color w:val="000000" w:themeColor="text1"/>
        </w:rPr>
        <w:t>may</w:t>
      </w:r>
      <w:r w:rsidRPr="006518E5">
        <w:rPr>
          <w:color w:val="000000" w:themeColor="text1"/>
        </w:rPr>
        <w:t xml:space="preserve"> be a right for the prospective applicant to obtain relief against the prospective respondent; and</w:t>
      </w:r>
    </w:p>
    <w:p w:rsidR="00E97FAF" w:rsidRPr="006518E5" w:rsidRDefault="00ED2EDA" w:rsidP="001E6625">
      <w:pPr>
        <w:pStyle w:val="ListNo1"/>
        <w:numPr>
          <w:ilvl w:val="0"/>
          <w:numId w:val="26"/>
        </w:numPr>
        <w:rPr>
          <w:color w:val="000000" w:themeColor="text1"/>
          <w:szCs w:val="24"/>
        </w:rPr>
      </w:pPr>
      <w:r w:rsidRPr="006518E5">
        <w:rPr>
          <w:color w:val="000000" w:themeColor="text1"/>
        </w:rPr>
        <w:t>the prospective applicant is unable, notwithstanding having made reasonable inquiries and taken any other steps reasonably required in the circumstances, to ascertain the description of the prospective respondent; and</w:t>
      </w:r>
    </w:p>
    <w:p w:rsidR="00ED2EDA" w:rsidRPr="006518E5" w:rsidRDefault="00ED2EDA" w:rsidP="001E6625">
      <w:pPr>
        <w:pStyle w:val="ListNo1"/>
        <w:numPr>
          <w:ilvl w:val="0"/>
          <w:numId w:val="26"/>
        </w:numPr>
        <w:rPr>
          <w:color w:val="000000" w:themeColor="text1"/>
          <w:szCs w:val="24"/>
        </w:rPr>
      </w:pPr>
      <w:r w:rsidRPr="006518E5">
        <w:rPr>
          <w:color w:val="000000" w:themeColor="text1"/>
        </w:rPr>
        <w:t>another person, the respondent to the application for preliminary discover</w:t>
      </w:r>
      <w:r w:rsidR="008E69A9" w:rsidRPr="006518E5">
        <w:rPr>
          <w:color w:val="000000" w:themeColor="text1"/>
        </w:rPr>
        <w:t>y</w:t>
      </w:r>
      <w:r w:rsidRPr="006518E5">
        <w:rPr>
          <w:color w:val="000000" w:themeColor="text1"/>
        </w:rPr>
        <w:t xml:space="preserve">, knows or is likely to know that description, or has or is likely to have, or has had </w:t>
      </w:r>
      <w:r w:rsidR="008E69A9" w:rsidRPr="006518E5">
        <w:rPr>
          <w:color w:val="000000" w:themeColor="text1"/>
        </w:rPr>
        <w:t xml:space="preserve">or </w:t>
      </w:r>
      <w:r w:rsidRPr="006518E5">
        <w:rPr>
          <w:color w:val="000000" w:themeColor="text1"/>
        </w:rPr>
        <w:t>was likely to have had, control of a document that would help ascertain that description</w:t>
      </w:r>
      <w:r w:rsidR="009F62FB" w:rsidRPr="006518E5">
        <w:rPr>
          <w:color w:val="000000" w:themeColor="text1"/>
        </w:rPr>
        <w:t>.</w:t>
      </w:r>
    </w:p>
    <w:p w:rsidR="00E97FAF" w:rsidRPr="006518E5" w:rsidRDefault="00E97FAF" w:rsidP="009F62FB">
      <w:pPr>
        <w:pStyle w:val="ParaNumbering"/>
        <w:numPr>
          <w:ilvl w:val="0"/>
          <w:numId w:val="0"/>
        </w:numPr>
        <w:rPr>
          <w:color w:val="000000" w:themeColor="text1"/>
        </w:rPr>
      </w:pPr>
      <w:r w:rsidRPr="006518E5">
        <w:rPr>
          <w:color w:val="000000" w:themeColor="text1"/>
        </w:rPr>
        <w:t xml:space="preserve">see </w:t>
      </w:r>
      <w:r w:rsidR="003B1BA5" w:rsidRPr="006518E5">
        <w:rPr>
          <w:i/>
          <w:color w:val="000000" w:themeColor="text1"/>
        </w:rPr>
        <w:t>Kabbabe</w:t>
      </w:r>
      <w:r w:rsidR="003B1BA5" w:rsidRPr="006518E5">
        <w:rPr>
          <w:color w:val="000000" w:themeColor="text1"/>
        </w:rPr>
        <w:t xml:space="preserve"> at [14], citing</w:t>
      </w:r>
      <w:r w:rsidR="003B1BA5" w:rsidRPr="006518E5">
        <w:rPr>
          <w:color w:val="000000" w:themeColor="text1"/>
          <w:szCs w:val="24"/>
        </w:rPr>
        <w:t xml:space="preserve"> </w:t>
      </w:r>
      <w:r w:rsidR="003B1BA5" w:rsidRPr="006518E5">
        <w:rPr>
          <w:color w:val="000000" w:themeColor="text1"/>
        </w:rPr>
        <w:t xml:space="preserve"> </w:t>
      </w:r>
      <w:r w:rsidRPr="006518E5">
        <w:rPr>
          <w:i/>
          <w:color w:val="000000" w:themeColor="text1"/>
        </w:rPr>
        <w:t xml:space="preserve">Hooper v Kirella Pty Ltd </w:t>
      </w:r>
      <w:r w:rsidRPr="006518E5">
        <w:rPr>
          <w:color w:val="000000" w:themeColor="text1"/>
        </w:rPr>
        <w:t xml:space="preserve">[1999] FCA 1584; (1999) 96 FCR 1 </w:t>
      </w:r>
      <w:r w:rsidR="009F62FB" w:rsidRPr="006518E5">
        <w:rPr>
          <w:color w:val="000000" w:themeColor="text1"/>
        </w:rPr>
        <w:t>at [31]</w:t>
      </w:r>
      <w:r w:rsidRPr="006518E5">
        <w:rPr>
          <w:color w:val="000000" w:themeColor="text1"/>
        </w:rPr>
        <w:t>-[34]</w:t>
      </w:r>
      <w:r w:rsidR="00E73881" w:rsidRPr="006518E5">
        <w:rPr>
          <w:color w:val="000000" w:themeColor="text1"/>
        </w:rPr>
        <w:t xml:space="preserve"> (</w:t>
      </w:r>
      <w:r w:rsidR="00E73881" w:rsidRPr="006518E5">
        <w:rPr>
          <w:i/>
          <w:color w:val="000000" w:themeColor="text1"/>
        </w:rPr>
        <w:t>Hooper</w:t>
      </w:r>
      <w:r w:rsidR="00E73881" w:rsidRPr="006518E5">
        <w:rPr>
          <w:color w:val="000000" w:themeColor="text1"/>
        </w:rPr>
        <w:t>)</w:t>
      </w:r>
      <w:r w:rsidR="003B1BA5" w:rsidRPr="006518E5">
        <w:rPr>
          <w:color w:val="000000" w:themeColor="text1"/>
        </w:rPr>
        <w:t>.</w:t>
      </w:r>
      <w:r w:rsidR="009F62FB" w:rsidRPr="006518E5">
        <w:rPr>
          <w:color w:val="000000" w:themeColor="text1"/>
        </w:rPr>
        <w:t xml:space="preserve"> </w:t>
      </w:r>
    </w:p>
    <w:p w:rsidR="00EF2E7A" w:rsidRPr="006518E5" w:rsidRDefault="009F62FB" w:rsidP="00EF2E7A">
      <w:pPr>
        <w:pStyle w:val="ParaNumbering"/>
        <w:rPr>
          <w:color w:val="000000" w:themeColor="text1"/>
          <w:szCs w:val="24"/>
        </w:rPr>
      </w:pPr>
      <w:r w:rsidRPr="006518E5">
        <w:rPr>
          <w:color w:val="000000" w:themeColor="text1"/>
        </w:rPr>
        <w:t xml:space="preserve">A prospective applicant </w:t>
      </w:r>
      <w:r w:rsidR="007556B9" w:rsidRPr="006518E5">
        <w:rPr>
          <w:color w:val="000000" w:themeColor="text1"/>
        </w:rPr>
        <w:t xml:space="preserve">for preliminary discovery </w:t>
      </w:r>
      <w:r w:rsidRPr="006518E5">
        <w:rPr>
          <w:color w:val="000000" w:themeColor="text1"/>
        </w:rPr>
        <w:t xml:space="preserve">is not required to demonstrate the existence of a prima facie case against the prospective respondent; it is enough if the prospective </w:t>
      </w:r>
      <w:r w:rsidRPr="006518E5">
        <w:rPr>
          <w:color w:val="000000" w:themeColor="text1"/>
        </w:rPr>
        <w:lastRenderedPageBreak/>
        <w:t xml:space="preserve">applicant can show that he or she </w:t>
      </w:r>
      <w:r w:rsidRPr="006518E5">
        <w:rPr>
          <w:i/>
          <w:color w:val="000000" w:themeColor="text1"/>
        </w:rPr>
        <w:t xml:space="preserve">may </w:t>
      </w:r>
      <w:r w:rsidRPr="006518E5">
        <w:rPr>
          <w:color w:val="000000" w:themeColor="text1"/>
        </w:rPr>
        <w:t xml:space="preserve">have a right to obtain that relief: </w:t>
      </w:r>
      <w:r w:rsidR="003B1BA5" w:rsidRPr="006518E5">
        <w:rPr>
          <w:i/>
          <w:color w:val="000000" w:themeColor="text1"/>
        </w:rPr>
        <w:t>Kabbabe</w:t>
      </w:r>
      <w:r w:rsidR="003B1BA5" w:rsidRPr="006518E5">
        <w:rPr>
          <w:color w:val="000000" w:themeColor="text1"/>
        </w:rPr>
        <w:t xml:space="preserve"> at [16]</w:t>
      </w:r>
      <w:r w:rsidR="003B1BA5" w:rsidRPr="006518E5">
        <w:rPr>
          <w:color w:val="000000" w:themeColor="text1"/>
          <w:szCs w:val="24"/>
        </w:rPr>
        <w:t>, citing</w:t>
      </w:r>
      <w:r w:rsidR="003B1BA5" w:rsidRPr="006518E5">
        <w:rPr>
          <w:color w:val="000000" w:themeColor="text1"/>
        </w:rPr>
        <w:t xml:space="preserve"> </w:t>
      </w:r>
      <w:r w:rsidRPr="006518E5">
        <w:rPr>
          <w:i/>
          <w:color w:val="000000" w:themeColor="text1"/>
        </w:rPr>
        <w:t xml:space="preserve">Hooper </w:t>
      </w:r>
      <w:r w:rsidRPr="006518E5">
        <w:rPr>
          <w:color w:val="000000" w:themeColor="text1"/>
        </w:rPr>
        <w:t xml:space="preserve">at [33]. </w:t>
      </w:r>
      <w:r w:rsidR="00EF2E7A" w:rsidRPr="006518E5">
        <w:rPr>
          <w:color w:val="000000" w:themeColor="text1"/>
        </w:rPr>
        <w:t xml:space="preserve">That said, as noted above, </w:t>
      </w:r>
      <w:r w:rsidR="007556B9" w:rsidRPr="006518E5">
        <w:rPr>
          <w:color w:val="000000" w:themeColor="text1"/>
        </w:rPr>
        <w:t xml:space="preserve">this application is </w:t>
      </w:r>
      <w:r w:rsidR="00EF2E7A" w:rsidRPr="006518E5">
        <w:rPr>
          <w:color w:val="000000" w:themeColor="text1"/>
        </w:rPr>
        <w:t>for leave</w:t>
      </w:r>
      <w:r w:rsidR="00EF2E7A" w:rsidRPr="006518E5">
        <w:rPr>
          <w:color w:val="000000" w:themeColor="text1"/>
          <w:spacing w:val="-3"/>
          <w:w w:val="105"/>
          <w:szCs w:val="24"/>
        </w:rPr>
        <w:t xml:space="preserve"> </w:t>
      </w:r>
      <w:r w:rsidR="00EF2E7A" w:rsidRPr="006518E5">
        <w:rPr>
          <w:color w:val="000000" w:themeColor="text1"/>
          <w:w w:val="105"/>
          <w:szCs w:val="24"/>
        </w:rPr>
        <w:t>pursuant</w:t>
      </w:r>
      <w:r w:rsidR="00EF2E7A" w:rsidRPr="006518E5">
        <w:rPr>
          <w:color w:val="000000" w:themeColor="text1"/>
          <w:spacing w:val="6"/>
          <w:w w:val="105"/>
          <w:szCs w:val="24"/>
        </w:rPr>
        <w:t xml:space="preserve"> </w:t>
      </w:r>
      <w:r w:rsidR="00EF2E7A" w:rsidRPr="006518E5">
        <w:rPr>
          <w:color w:val="000000" w:themeColor="text1"/>
          <w:w w:val="105"/>
          <w:szCs w:val="24"/>
        </w:rPr>
        <w:t>to</w:t>
      </w:r>
      <w:r w:rsidR="00EF2E7A" w:rsidRPr="006518E5">
        <w:rPr>
          <w:color w:val="000000" w:themeColor="text1"/>
          <w:spacing w:val="-3"/>
          <w:w w:val="105"/>
          <w:szCs w:val="24"/>
        </w:rPr>
        <w:t xml:space="preserve"> </w:t>
      </w:r>
      <w:r w:rsidR="00EF2E7A" w:rsidRPr="006518E5">
        <w:rPr>
          <w:color w:val="000000" w:themeColor="text1"/>
          <w:w w:val="105"/>
          <w:szCs w:val="24"/>
        </w:rPr>
        <w:t>r</w:t>
      </w:r>
      <w:r w:rsidR="00EF2E7A" w:rsidRPr="006518E5">
        <w:rPr>
          <w:color w:val="000000" w:themeColor="text1"/>
          <w:spacing w:val="2"/>
          <w:w w:val="105"/>
          <w:szCs w:val="24"/>
        </w:rPr>
        <w:t xml:space="preserve"> 10.41</w:t>
      </w:r>
      <w:r w:rsidR="00EF2E7A" w:rsidRPr="006518E5">
        <w:rPr>
          <w:color w:val="000000" w:themeColor="text1"/>
          <w:spacing w:val="-14"/>
          <w:w w:val="105"/>
          <w:szCs w:val="24"/>
        </w:rPr>
        <w:t xml:space="preserve"> </w:t>
      </w:r>
      <w:r w:rsidR="00EF2E7A" w:rsidRPr="006518E5">
        <w:rPr>
          <w:color w:val="000000" w:themeColor="text1"/>
          <w:w w:val="105"/>
          <w:szCs w:val="24"/>
        </w:rPr>
        <w:t>-</w:t>
      </w:r>
      <w:r w:rsidR="00EF2E7A" w:rsidRPr="006518E5">
        <w:rPr>
          <w:color w:val="000000" w:themeColor="text1"/>
          <w:spacing w:val="-13"/>
          <w:w w:val="105"/>
          <w:szCs w:val="24"/>
        </w:rPr>
        <w:t xml:space="preserve"> </w:t>
      </w:r>
      <w:r w:rsidR="00EF2E7A" w:rsidRPr="006518E5">
        <w:rPr>
          <w:color w:val="000000" w:themeColor="text1"/>
          <w:w w:val="105"/>
          <w:szCs w:val="24"/>
        </w:rPr>
        <w:t>10.43</w:t>
      </w:r>
      <w:r w:rsidR="00EF2E7A" w:rsidRPr="006518E5">
        <w:rPr>
          <w:color w:val="000000" w:themeColor="text1"/>
          <w:spacing w:val="-12"/>
          <w:w w:val="105"/>
          <w:szCs w:val="24"/>
        </w:rPr>
        <w:t xml:space="preserve"> </w:t>
      </w:r>
      <w:r w:rsidR="00EF2E7A" w:rsidRPr="006518E5">
        <w:rPr>
          <w:color w:val="000000" w:themeColor="text1"/>
          <w:w w:val="105"/>
          <w:szCs w:val="24"/>
        </w:rPr>
        <w:t>of</w:t>
      </w:r>
      <w:r w:rsidR="00EF2E7A" w:rsidRPr="006518E5">
        <w:rPr>
          <w:color w:val="000000" w:themeColor="text1"/>
          <w:spacing w:val="-3"/>
          <w:w w:val="105"/>
          <w:szCs w:val="24"/>
        </w:rPr>
        <w:t xml:space="preserve"> </w:t>
      </w:r>
      <w:r w:rsidR="00EF2E7A" w:rsidRPr="006518E5">
        <w:rPr>
          <w:color w:val="000000" w:themeColor="text1"/>
          <w:w w:val="105"/>
          <w:szCs w:val="24"/>
        </w:rPr>
        <w:t>the</w:t>
      </w:r>
      <w:r w:rsidR="00EF2E7A" w:rsidRPr="006518E5">
        <w:rPr>
          <w:color w:val="000000" w:themeColor="text1"/>
          <w:spacing w:val="-11"/>
          <w:w w:val="105"/>
          <w:szCs w:val="24"/>
        </w:rPr>
        <w:t xml:space="preserve"> </w:t>
      </w:r>
      <w:r w:rsidR="00EF2E7A" w:rsidRPr="006518E5">
        <w:rPr>
          <w:color w:val="000000" w:themeColor="text1"/>
          <w:w w:val="105"/>
          <w:szCs w:val="24"/>
        </w:rPr>
        <w:t>Rules</w:t>
      </w:r>
      <w:r w:rsidR="00EF2E7A" w:rsidRPr="006518E5">
        <w:rPr>
          <w:color w:val="000000" w:themeColor="text1"/>
          <w:spacing w:val="3"/>
          <w:w w:val="105"/>
          <w:szCs w:val="24"/>
        </w:rPr>
        <w:t>,</w:t>
      </w:r>
      <w:r w:rsidR="00EF2E7A" w:rsidRPr="006518E5">
        <w:rPr>
          <w:color w:val="000000" w:themeColor="text1"/>
          <w:spacing w:val="-10"/>
          <w:w w:val="105"/>
          <w:szCs w:val="24"/>
        </w:rPr>
        <w:t xml:space="preserve"> </w:t>
      </w:r>
      <w:r w:rsidR="00EF2E7A" w:rsidRPr="006518E5">
        <w:rPr>
          <w:color w:val="000000" w:themeColor="text1"/>
          <w:w w:val="105"/>
          <w:szCs w:val="24"/>
        </w:rPr>
        <w:t>to</w:t>
      </w:r>
      <w:r w:rsidR="00EF2E7A" w:rsidRPr="006518E5">
        <w:rPr>
          <w:color w:val="000000" w:themeColor="text1"/>
          <w:spacing w:val="-8"/>
          <w:w w:val="105"/>
          <w:szCs w:val="24"/>
        </w:rPr>
        <w:t xml:space="preserve"> </w:t>
      </w:r>
      <w:r w:rsidR="00EF2E7A" w:rsidRPr="006518E5">
        <w:rPr>
          <w:color w:val="000000" w:themeColor="text1"/>
          <w:w w:val="105"/>
          <w:szCs w:val="24"/>
        </w:rPr>
        <w:t>serve</w:t>
      </w:r>
      <w:r w:rsidR="00EF2E7A" w:rsidRPr="006518E5">
        <w:rPr>
          <w:color w:val="000000" w:themeColor="text1"/>
          <w:spacing w:val="-9"/>
          <w:w w:val="105"/>
          <w:szCs w:val="24"/>
        </w:rPr>
        <w:t xml:space="preserve"> </w:t>
      </w:r>
      <w:r w:rsidR="00EF2E7A" w:rsidRPr="006518E5">
        <w:rPr>
          <w:color w:val="000000" w:themeColor="text1"/>
          <w:w w:val="105"/>
          <w:szCs w:val="24"/>
        </w:rPr>
        <w:t>an</w:t>
      </w:r>
      <w:r w:rsidR="00EF2E7A" w:rsidRPr="006518E5">
        <w:rPr>
          <w:color w:val="000000" w:themeColor="text1"/>
          <w:spacing w:val="-10"/>
          <w:w w:val="105"/>
          <w:szCs w:val="24"/>
        </w:rPr>
        <w:t xml:space="preserve"> </w:t>
      </w:r>
      <w:r w:rsidR="00EF2E7A" w:rsidRPr="006518E5">
        <w:rPr>
          <w:color w:val="000000" w:themeColor="text1"/>
          <w:w w:val="105"/>
          <w:szCs w:val="24"/>
        </w:rPr>
        <w:t>originating</w:t>
      </w:r>
      <w:r w:rsidR="00EF2E7A" w:rsidRPr="006518E5">
        <w:rPr>
          <w:color w:val="000000" w:themeColor="text1"/>
          <w:spacing w:val="-3"/>
          <w:w w:val="105"/>
          <w:szCs w:val="24"/>
        </w:rPr>
        <w:t xml:space="preserve"> </w:t>
      </w:r>
      <w:r w:rsidR="00EF2E7A" w:rsidRPr="006518E5">
        <w:rPr>
          <w:color w:val="000000" w:themeColor="text1"/>
          <w:w w:val="105"/>
          <w:szCs w:val="24"/>
        </w:rPr>
        <w:t>application outside of</w:t>
      </w:r>
      <w:r w:rsidR="00EF2E7A" w:rsidRPr="006518E5">
        <w:rPr>
          <w:color w:val="000000" w:themeColor="text1"/>
          <w:spacing w:val="-10"/>
          <w:w w:val="105"/>
          <w:szCs w:val="24"/>
        </w:rPr>
        <w:t xml:space="preserve"> </w:t>
      </w:r>
      <w:r w:rsidR="00EF2E7A" w:rsidRPr="006518E5">
        <w:rPr>
          <w:color w:val="000000" w:themeColor="text1"/>
          <w:w w:val="105"/>
          <w:szCs w:val="24"/>
        </w:rPr>
        <w:t xml:space="preserve">Australia which requires as one of its preconditions, that </w:t>
      </w:r>
      <w:r w:rsidR="00EF2E7A" w:rsidRPr="006518E5">
        <w:t>the applicant has a prima facie case for all or any of the relief claimed in the proceeding: r 10.43(4)(c).</w:t>
      </w:r>
    </w:p>
    <w:p w:rsidR="0074540B" w:rsidRPr="006518E5" w:rsidRDefault="009F62FB" w:rsidP="0074540B">
      <w:pPr>
        <w:pStyle w:val="ParaNumbering"/>
        <w:rPr>
          <w:color w:val="000000" w:themeColor="text1"/>
          <w:szCs w:val="24"/>
        </w:rPr>
      </w:pPr>
      <w:r w:rsidRPr="006518E5">
        <w:rPr>
          <w:color w:val="000000" w:themeColor="text1"/>
          <w:szCs w:val="24"/>
        </w:rPr>
        <w:t xml:space="preserve">The </w:t>
      </w:r>
      <w:r w:rsidR="0074540B" w:rsidRPr="006518E5">
        <w:rPr>
          <w:color w:val="000000" w:themeColor="text1"/>
          <w:szCs w:val="24"/>
        </w:rPr>
        <w:t xml:space="preserve">first </w:t>
      </w:r>
      <w:r w:rsidRPr="006518E5">
        <w:rPr>
          <w:color w:val="000000" w:themeColor="text1"/>
          <w:szCs w:val="24"/>
        </w:rPr>
        <w:t xml:space="preserve">prospective </w:t>
      </w:r>
      <w:r w:rsidR="0074540B" w:rsidRPr="006518E5">
        <w:rPr>
          <w:color w:val="000000" w:themeColor="text1"/>
          <w:szCs w:val="24"/>
        </w:rPr>
        <w:t xml:space="preserve">applicant carries on </w:t>
      </w:r>
      <w:r w:rsidR="000F5293" w:rsidRPr="006518E5">
        <w:rPr>
          <w:color w:val="000000" w:themeColor="text1"/>
          <w:szCs w:val="24"/>
        </w:rPr>
        <w:t xml:space="preserve">a </w:t>
      </w:r>
      <w:r w:rsidR="0074540B" w:rsidRPr="006518E5">
        <w:rPr>
          <w:color w:val="000000" w:themeColor="text1"/>
          <w:szCs w:val="24"/>
        </w:rPr>
        <w:t xml:space="preserve">business as delivery professionals providing project and program management consultancy services. It also provides related services such as external program reviews or delivery capability uplift. The prospective </w:t>
      </w:r>
      <w:r w:rsidRPr="006518E5">
        <w:rPr>
          <w:color w:val="000000" w:themeColor="text1"/>
          <w:szCs w:val="24"/>
        </w:rPr>
        <w:t>claims relate to a number of reviews which have been identified in the affidavit</w:t>
      </w:r>
      <w:r w:rsidR="008843DF" w:rsidRPr="006518E5">
        <w:rPr>
          <w:color w:val="000000" w:themeColor="text1"/>
          <w:szCs w:val="24"/>
        </w:rPr>
        <w:t>s</w:t>
      </w:r>
      <w:r w:rsidRPr="006518E5">
        <w:rPr>
          <w:color w:val="000000" w:themeColor="text1"/>
          <w:szCs w:val="24"/>
        </w:rPr>
        <w:t xml:space="preserve"> </w:t>
      </w:r>
      <w:r w:rsidR="008843DF" w:rsidRPr="006518E5">
        <w:rPr>
          <w:color w:val="000000" w:themeColor="text1"/>
          <w:szCs w:val="24"/>
        </w:rPr>
        <w:t>referred to above at [</w:t>
      </w:r>
      <w:r w:rsidR="008843DF" w:rsidRPr="006518E5">
        <w:rPr>
          <w:color w:val="000000" w:themeColor="text1"/>
          <w:szCs w:val="24"/>
        </w:rPr>
        <w:fldChar w:fldCharType="begin" w:fldLock="1"/>
      </w:r>
      <w:r w:rsidR="008843DF" w:rsidRPr="006518E5">
        <w:rPr>
          <w:color w:val="000000" w:themeColor="text1"/>
          <w:szCs w:val="24"/>
        </w:rPr>
        <w:instrText xml:space="preserve"> REF _Ref65853122 \r \h </w:instrText>
      </w:r>
      <w:r w:rsidR="006518E5">
        <w:rPr>
          <w:color w:val="000000" w:themeColor="text1"/>
          <w:szCs w:val="24"/>
        </w:rPr>
        <w:instrText xml:space="preserve"> \* MERGEFORMAT </w:instrText>
      </w:r>
      <w:r w:rsidR="008843DF" w:rsidRPr="006518E5">
        <w:rPr>
          <w:color w:val="000000" w:themeColor="text1"/>
          <w:szCs w:val="24"/>
        </w:rPr>
      </w:r>
      <w:r w:rsidR="008843DF" w:rsidRPr="006518E5">
        <w:rPr>
          <w:color w:val="000000" w:themeColor="text1"/>
          <w:szCs w:val="24"/>
        </w:rPr>
        <w:fldChar w:fldCharType="separate"/>
      </w:r>
      <w:r w:rsidR="009D2866">
        <w:rPr>
          <w:color w:val="000000" w:themeColor="text1"/>
          <w:szCs w:val="24"/>
        </w:rPr>
        <w:t>4</w:t>
      </w:r>
      <w:r w:rsidR="008843DF" w:rsidRPr="006518E5">
        <w:rPr>
          <w:color w:val="000000" w:themeColor="text1"/>
          <w:szCs w:val="24"/>
        </w:rPr>
        <w:fldChar w:fldCharType="end"/>
      </w:r>
      <w:r w:rsidR="008843DF" w:rsidRPr="006518E5">
        <w:rPr>
          <w:color w:val="000000" w:themeColor="text1"/>
          <w:szCs w:val="24"/>
        </w:rPr>
        <w:t>]</w:t>
      </w:r>
      <w:r w:rsidRPr="006518E5">
        <w:rPr>
          <w:color w:val="000000" w:themeColor="text1"/>
          <w:szCs w:val="24"/>
        </w:rPr>
        <w:t>. The evidence establishes that there is a prima facie case for the review</w:t>
      </w:r>
      <w:r w:rsidR="008E69A9" w:rsidRPr="006518E5">
        <w:rPr>
          <w:color w:val="000000" w:themeColor="text1"/>
          <w:szCs w:val="24"/>
        </w:rPr>
        <w:t>s</w:t>
      </w:r>
      <w:r w:rsidRPr="006518E5">
        <w:rPr>
          <w:color w:val="000000" w:themeColor="text1"/>
          <w:szCs w:val="24"/>
        </w:rPr>
        <w:t xml:space="preserve"> being fake, and that </w:t>
      </w:r>
      <w:r w:rsidR="0074540B" w:rsidRPr="006518E5">
        <w:rPr>
          <w:color w:val="000000" w:themeColor="text1"/>
          <w:szCs w:val="24"/>
        </w:rPr>
        <w:t xml:space="preserve">arguably </w:t>
      </w:r>
      <w:r w:rsidRPr="006518E5">
        <w:rPr>
          <w:color w:val="000000" w:themeColor="text1"/>
          <w:szCs w:val="24"/>
        </w:rPr>
        <w:t>damage has resulted. The evidence establishes that these review</w:t>
      </w:r>
      <w:r w:rsidR="00AB1463" w:rsidRPr="006518E5">
        <w:rPr>
          <w:color w:val="000000" w:themeColor="text1"/>
          <w:szCs w:val="24"/>
        </w:rPr>
        <w:t>s</w:t>
      </w:r>
      <w:r w:rsidRPr="006518E5">
        <w:rPr>
          <w:color w:val="000000" w:themeColor="text1"/>
          <w:szCs w:val="24"/>
        </w:rPr>
        <w:t xml:space="preserve"> were published on Google, </w:t>
      </w:r>
      <w:r w:rsidR="0074540B" w:rsidRPr="006518E5">
        <w:rPr>
          <w:color w:val="000000" w:themeColor="text1"/>
          <w:szCs w:val="24"/>
        </w:rPr>
        <w:t xml:space="preserve">and </w:t>
      </w:r>
      <w:r w:rsidR="00063F1C" w:rsidRPr="006518E5">
        <w:rPr>
          <w:color w:val="000000" w:themeColor="text1"/>
          <w:szCs w:val="24"/>
        </w:rPr>
        <w:t xml:space="preserve">that </w:t>
      </w:r>
      <w:r w:rsidR="0074540B" w:rsidRPr="006518E5">
        <w:rPr>
          <w:color w:val="000000" w:themeColor="text1"/>
          <w:szCs w:val="24"/>
        </w:rPr>
        <w:t xml:space="preserve">steps </w:t>
      </w:r>
      <w:r w:rsidR="00063F1C" w:rsidRPr="006518E5">
        <w:rPr>
          <w:color w:val="000000" w:themeColor="text1"/>
          <w:szCs w:val="24"/>
        </w:rPr>
        <w:t xml:space="preserve">were </w:t>
      </w:r>
      <w:r w:rsidR="0074540B" w:rsidRPr="006518E5">
        <w:rPr>
          <w:color w:val="000000" w:themeColor="text1"/>
          <w:szCs w:val="24"/>
        </w:rPr>
        <w:t xml:space="preserve">taken by the </w:t>
      </w:r>
      <w:r w:rsidR="00063F1C" w:rsidRPr="006518E5">
        <w:rPr>
          <w:color w:val="000000" w:themeColor="text1"/>
          <w:szCs w:val="24"/>
        </w:rPr>
        <w:t xml:space="preserve">prospective </w:t>
      </w:r>
      <w:r w:rsidR="0074540B" w:rsidRPr="006518E5">
        <w:rPr>
          <w:color w:val="000000" w:themeColor="text1"/>
          <w:szCs w:val="24"/>
        </w:rPr>
        <w:t>applicant</w:t>
      </w:r>
      <w:r w:rsidR="00063F1C" w:rsidRPr="006518E5">
        <w:rPr>
          <w:color w:val="000000" w:themeColor="text1"/>
          <w:szCs w:val="24"/>
        </w:rPr>
        <w:t>s</w:t>
      </w:r>
      <w:r w:rsidR="0074540B" w:rsidRPr="006518E5">
        <w:rPr>
          <w:color w:val="000000" w:themeColor="text1"/>
          <w:szCs w:val="24"/>
        </w:rPr>
        <w:t xml:space="preserve"> with Google to remove the reviews. This occurred over time, with the final review being removed on or about 17 August 2020. The prospective applicant</w:t>
      </w:r>
      <w:r w:rsidR="00063F1C" w:rsidRPr="006518E5">
        <w:rPr>
          <w:color w:val="000000" w:themeColor="text1"/>
          <w:szCs w:val="24"/>
        </w:rPr>
        <w:t>s</w:t>
      </w:r>
      <w:r w:rsidR="0074540B" w:rsidRPr="006518E5">
        <w:rPr>
          <w:color w:val="000000" w:themeColor="text1"/>
          <w:szCs w:val="24"/>
        </w:rPr>
        <w:t xml:space="preserve"> </w:t>
      </w:r>
      <w:r w:rsidR="00063F1C" w:rsidRPr="006518E5">
        <w:rPr>
          <w:color w:val="000000" w:themeColor="text1"/>
          <w:szCs w:val="24"/>
        </w:rPr>
        <w:t xml:space="preserve">have </w:t>
      </w:r>
      <w:r w:rsidR="0074540B" w:rsidRPr="006518E5">
        <w:rPr>
          <w:color w:val="000000" w:themeColor="text1"/>
          <w:szCs w:val="24"/>
        </w:rPr>
        <w:t xml:space="preserve">also communicated with Google in an attempt to ascertain the author of the reviews to enable proceedings to be commenced. </w:t>
      </w:r>
    </w:p>
    <w:p w:rsidR="0074540B" w:rsidRPr="006518E5" w:rsidRDefault="0074540B" w:rsidP="0074540B">
      <w:pPr>
        <w:pStyle w:val="ParaNumbering"/>
        <w:rPr>
          <w:color w:val="000000" w:themeColor="text1"/>
          <w:szCs w:val="24"/>
        </w:rPr>
      </w:pPr>
      <w:r w:rsidRPr="006518E5">
        <w:rPr>
          <w:color w:val="000000" w:themeColor="text1"/>
        </w:rPr>
        <w:t>Having regard to the affidavit</w:t>
      </w:r>
      <w:r w:rsidR="008843DF" w:rsidRPr="006518E5">
        <w:rPr>
          <w:color w:val="000000" w:themeColor="text1"/>
        </w:rPr>
        <w:t xml:space="preserve">s </w:t>
      </w:r>
      <w:r w:rsidR="00063F1C" w:rsidRPr="006518E5">
        <w:rPr>
          <w:color w:val="000000" w:themeColor="text1"/>
        </w:rPr>
        <w:t>referred</w:t>
      </w:r>
      <w:r w:rsidR="008843DF" w:rsidRPr="006518E5">
        <w:rPr>
          <w:color w:val="000000" w:themeColor="text1"/>
        </w:rPr>
        <w:t xml:space="preserve"> to above at [4], and particularly to the affidavit</w:t>
      </w:r>
      <w:r w:rsidR="003E0FB7" w:rsidRPr="006518E5">
        <w:rPr>
          <w:color w:val="000000" w:themeColor="text1"/>
        </w:rPr>
        <w:t xml:space="preserve"> of Mr </w:t>
      </w:r>
      <w:r w:rsidR="00F46B84" w:rsidRPr="006518E5">
        <w:rPr>
          <w:color w:val="000000" w:themeColor="text1"/>
        </w:rPr>
        <w:t>Boylan sworn on 23 September 2021, the affidavit of</w:t>
      </w:r>
      <w:r w:rsidR="003E0FB7" w:rsidRPr="006518E5">
        <w:rPr>
          <w:color w:val="000000" w:themeColor="text1"/>
        </w:rPr>
        <w:t xml:space="preserve"> Ms</w:t>
      </w:r>
      <w:r w:rsidR="008843DF" w:rsidRPr="006518E5">
        <w:rPr>
          <w:color w:val="000000" w:themeColor="text1"/>
        </w:rPr>
        <w:t xml:space="preserve"> Mackintosh </w:t>
      </w:r>
      <w:r w:rsidR="00E93B62" w:rsidRPr="006518E5">
        <w:rPr>
          <w:color w:val="000000" w:themeColor="text1"/>
        </w:rPr>
        <w:t xml:space="preserve">affirmed on 25 February 2021 </w:t>
      </w:r>
      <w:r w:rsidRPr="006518E5">
        <w:rPr>
          <w:color w:val="000000" w:themeColor="text1"/>
        </w:rPr>
        <w:t xml:space="preserve">and </w:t>
      </w:r>
      <w:r w:rsidR="00E93B62" w:rsidRPr="006518E5">
        <w:rPr>
          <w:color w:val="000000" w:themeColor="text1"/>
        </w:rPr>
        <w:t xml:space="preserve">the affidavits of </w:t>
      </w:r>
      <w:r w:rsidR="003E0FB7" w:rsidRPr="006518E5">
        <w:rPr>
          <w:color w:val="000000" w:themeColor="text1"/>
        </w:rPr>
        <w:t>Mr</w:t>
      </w:r>
      <w:r w:rsidR="00E93B62" w:rsidRPr="006518E5">
        <w:rPr>
          <w:color w:val="000000" w:themeColor="text1"/>
        </w:rPr>
        <w:t xml:space="preserve"> Goldsmith affirmed on 24 September 2020 and</w:t>
      </w:r>
      <w:r w:rsidR="00F46B84" w:rsidRPr="006518E5">
        <w:rPr>
          <w:color w:val="000000" w:themeColor="text1"/>
        </w:rPr>
        <w:t xml:space="preserve"> 3 March 2021</w:t>
      </w:r>
      <w:r w:rsidR="00FE5F69" w:rsidRPr="006518E5">
        <w:rPr>
          <w:color w:val="000000" w:themeColor="text1"/>
        </w:rPr>
        <w:t>,</w:t>
      </w:r>
      <w:r w:rsidR="00E93B62" w:rsidRPr="006518E5">
        <w:rPr>
          <w:color w:val="000000" w:themeColor="text1"/>
        </w:rPr>
        <w:t xml:space="preserve"> </w:t>
      </w:r>
      <w:r w:rsidRPr="006518E5">
        <w:rPr>
          <w:color w:val="000000" w:themeColor="text1"/>
        </w:rPr>
        <w:t>I am satisfied that the prospective applicant</w:t>
      </w:r>
      <w:r w:rsidR="00E93B62" w:rsidRPr="006518E5">
        <w:rPr>
          <w:color w:val="000000" w:themeColor="text1"/>
        </w:rPr>
        <w:t>s</w:t>
      </w:r>
      <w:r w:rsidRPr="006518E5">
        <w:rPr>
          <w:color w:val="000000" w:themeColor="text1"/>
        </w:rPr>
        <w:t xml:space="preserve"> </w:t>
      </w:r>
      <w:r w:rsidR="00E93B62" w:rsidRPr="006518E5">
        <w:rPr>
          <w:color w:val="000000" w:themeColor="text1"/>
        </w:rPr>
        <w:t xml:space="preserve">have </w:t>
      </w:r>
      <w:r w:rsidRPr="006518E5">
        <w:rPr>
          <w:color w:val="000000" w:themeColor="text1"/>
        </w:rPr>
        <w:t xml:space="preserve">made reasonable </w:t>
      </w:r>
      <w:r w:rsidRPr="006518E5">
        <w:rPr>
          <w:color w:val="000000" w:themeColor="text1"/>
          <w:szCs w:val="24"/>
        </w:rPr>
        <w:t xml:space="preserve">inquiries and taken other steps reasonably required in the circumstances, but </w:t>
      </w:r>
      <w:r w:rsidR="00E93B62" w:rsidRPr="006518E5">
        <w:rPr>
          <w:color w:val="000000" w:themeColor="text1"/>
          <w:szCs w:val="24"/>
        </w:rPr>
        <w:t xml:space="preserve">have </w:t>
      </w:r>
      <w:r w:rsidRPr="006518E5">
        <w:rPr>
          <w:color w:val="000000" w:themeColor="text1"/>
          <w:szCs w:val="24"/>
        </w:rPr>
        <w:t xml:space="preserve">been unable to ascertain the description </w:t>
      </w:r>
      <w:r w:rsidR="003B1BA5" w:rsidRPr="006518E5">
        <w:rPr>
          <w:color w:val="000000" w:themeColor="text1"/>
          <w:szCs w:val="24"/>
        </w:rPr>
        <w:t>of the person or persons responsible or believed to be responsible for authoring or publishing the reviews</w:t>
      </w:r>
      <w:r w:rsidRPr="006518E5">
        <w:rPr>
          <w:color w:val="000000" w:themeColor="text1"/>
          <w:szCs w:val="24"/>
        </w:rPr>
        <w:t xml:space="preserve">. </w:t>
      </w:r>
      <w:r w:rsidR="001E6625" w:rsidRPr="006518E5">
        <w:rPr>
          <w:color w:val="000000" w:themeColor="text1"/>
          <w:szCs w:val="24"/>
        </w:rPr>
        <w:t xml:space="preserve">I am satisfied </w:t>
      </w:r>
      <w:r w:rsidRPr="006518E5">
        <w:rPr>
          <w:color w:val="000000" w:themeColor="text1"/>
          <w:szCs w:val="24"/>
        </w:rPr>
        <w:t>that the</w:t>
      </w:r>
      <w:r w:rsidR="00FE5F69" w:rsidRPr="006518E5">
        <w:rPr>
          <w:color w:val="000000" w:themeColor="text1"/>
          <w:szCs w:val="24"/>
        </w:rPr>
        <w:t xml:space="preserve"> prospective</w:t>
      </w:r>
      <w:r w:rsidRPr="006518E5">
        <w:rPr>
          <w:color w:val="000000" w:themeColor="text1"/>
          <w:szCs w:val="24"/>
        </w:rPr>
        <w:t xml:space="preserve"> respondent is in control of documents </w:t>
      </w:r>
      <w:r w:rsidR="001E6625" w:rsidRPr="006518E5">
        <w:rPr>
          <w:color w:val="000000" w:themeColor="text1"/>
          <w:szCs w:val="24"/>
        </w:rPr>
        <w:t xml:space="preserve">that would help ascertain </w:t>
      </w:r>
      <w:r w:rsidRPr="006518E5">
        <w:rPr>
          <w:color w:val="000000" w:themeColor="text1"/>
          <w:szCs w:val="24"/>
        </w:rPr>
        <w:t xml:space="preserve">the description of the person or persons responsible or believed to be responsible for authoring or </w:t>
      </w:r>
      <w:r w:rsidR="003B1BA5" w:rsidRPr="006518E5">
        <w:rPr>
          <w:color w:val="000000" w:themeColor="text1"/>
          <w:szCs w:val="24"/>
        </w:rPr>
        <w:t xml:space="preserve">publishing </w:t>
      </w:r>
      <w:r w:rsidR="001E6625" w:rsidRPr="006518E5">
        <w:rPr>
          <w:color w:val="000000" w:themeColor="text1"/>
          <w:szCs w:val="24"/>
        </w:rPr>
        <w:t>the reviews.</w:t>
      </w:r>
      <w:r w:rsidR="001570F3" w:rsidRPr="006518E5">
        <w:rPr>
          <w:color w:val="000000" w:themeColor="text1"/>
          <w:w w:val="105"/>
        </w:rPr>
        <w:t xml:space="preserve"> </w:t>
      </w:r>
    </w:p>
    <w:p w:rsidR="0058734B" w:rsidRPr="006518E5" w:rsidRDefault="0058734B" w:rsidP="0058734B">
      <w:pPr>
        <w:pStyle w:val="Heading2"/>
        <w:rPr>
          <w:color w:val="000000" w:themeColor="text1"/>
        </w:rPr>
      </w:pPr>
      <w:r w:rsidRPr="006518E5">
        <w:rPr>
          <w:color w:val="000000" w:themeColor="text1"/>
        </w:rPr>
        <w:t>Conclusion</w:t>
      </w:r>
    </w:p>
    <w:p w:rsidR="009F62FB" w:rsidRPr="006518E5" w:rsidRDefault="001E6625" w:rsidP="007A1DF6">
      <w:pPr>
        <w:pStyle w:val="ParaNumbering"/>
        <w:rPr>
          <w:color w:val="000000" w:themeColor="text1"/>
          <w:szCs w:val="24"/>
        </w:rPr>
      </w:pPr>
      <w:r w:rsidRPr="006518E5">
        <w:rPr>
          <w:color w:val="000000" w:themeColor="text1"/>
        </w:rPr>
        <w:t>Accordingly</w:t>
      </w:r>
      <w:r w:rsidR="007A1DF6" w:rsidRPr="006518E5">
        <w:rPr>
          <w:color w:val="000000" w:themeColor="text1"/>
        </w:rPr>
        <w:t>,</w:t>
      </w:r>
      <w:r w:rsidRPr="006518E5">
        <w:rPr>
          <w:color w:val="000000" w:themeColor="text1"/>
        </w:rPr>
        <w:t xml:space="preserve"> I make the order</w:t>
      </w:r>
      <w:r w:rsidR="00885EAB" w:rsidRPr="006518E5">
        <w:rPr>
          <w:color w:val="000000" w:themeColor="text1"/>
        </w:rPr>
        <w:t>s</w:t>
      </w:r>
      <w:r w:rsidRPr="006518E5">
        <w:rPr>
          <w:color w:val="000000" w:themeColor="text1"/>
        </w:rPr>
        <w:t xml:space="preserve"> </w:t>
      </w:r>
      <w:r w:rsidR="001570F3" w:rsidRPr="006518E5">
        <w:rPr>
          <w:color w:val="000000" w:themeColor="text1"/>
        </w:rPr>
        <w:t>sought.</w:t>
      </w:r>
    </w:p>
    <w:p w:rsidR="003A23CB" w:rsidRPr="006518E5" w:rsidRDefault="003A23CB" w:rsidP="00815065">
      <w:pPr>
        <w:pStyle w:val="BodyText"/>
      </w:pPr>
      <w:bookmarkStart w:id="23" w:name="Certification"/>
    </w:p>
    <w:tbl>
      <w:tblPr>
        <w:tblW w:w="0" w:type="auto"/>
        <w:tblLook w:val="04A0" w:firstRow="1" w:lastRow="0" w:firstColumn="1" w:lastColumn="0" w:noHBand="0" w:noVBand="1"/>
      </w:tblPr>
      <w:tblGrid>
        <w:gridCol w:w="3794"/>
      </w:tblGrid>
      <w:tr w:rsidR="003A23CB" w:rsidRPr="003A23CB">
        <w:tc>
          <w:tcPr>
            <w:tcW w:w="3794" w:type="dxa"/>
            <w:shd w:val="clear" w:color="auto" w:fill="auto"/>
          </w:tcPr>
          <w:p w:rsidR="003A23CB" w:rsidRPr="003A23CB" w:rsidRDefault="003A23CB" w:rsidP="008A4017">
            <w:pPr>
              <w:spacing w:line="276" w:lineRule="auto"/>
            </w:pPr>
            <w:r w:rsidRPr="006518E5">
              <w:t xml:space="preserve">I certify that the preceding </w:t>
            </w:r>
            <w:bookmarkStart w:id="24" w:name="NumberWord"/>
            <w:r w:rsidRPr="006518E5">
              <w:t>twenty-four</w:t>
            </w:r>
            <w:bookmarkEnd w:id="24"/>
            <w:r w:rsidRPr="006518E5">
              <w:t xml:space="preserve"> (</w:t>
            </w:r>
            <w:bookmarkStart w:id="25" w:name="NumberNumeral"/>
            <w:r w:rsidRPr="006518E5">
              <w:t>24</w:t>
            </w:r>
            <w:bookmarkEnd w:id="25"/>
            <w:r w:rsidRPr="006518E5">
              <w:t xml:space="preserve">) numbered </w:t>
            </w:r>
            <w:bookmarkStart w:id="26" w:name="CertPara"/>
            <w:r w:rsidRPr="006518E5">
              <w:t>paragraphs are</w:t>
            </w:r>
            <w:bookmarkEnd w:id="26"/>
            <w:r w:rsidRPr="006518E5">
              <w:t xml:space="preserve"> a true copy of the Reasons for Judgment of </w:t>
            </w:r>
            <w:bookmarkStart w:id="27" w:name="bkHonourable"/>
            <w:r w:rsidRPr="006518E5">
              <w:t xml:space="preserve">the Honourable </w:t>
            </w:r>
            <w:bookmarkStart w:id="28" w:name="Justice"/>
            <w:bookmarkEnd w:id="27"/>
            <w:r w:rsidRPr="006518E5">
              <w:t>Justice Abraham</w:t>
            </w:r>
            <w:bookmarkEnd w:id="28"/>
            <w:r w:rsidRPr="006518E5">
              <w:t>.</w:t>
            </w:r>
          </w:p>
        </w:tc>
      </w:tr>
    </w:tbl>
    <w:p w:rsidR="003A23CB" w:rsidRDefault="003A23CB" w:rsidP="00815065">
      <w:pPr>
        <w:pStyle w:val="BodyText"/>
      </w:pPr>
    </w:p>
    <w:p w:rsidR="003A23CB" w:rsidRDefault="003A23CB" w:rsidP="00815065">
      <w:pPr>
        <w:pStyle w:val="BodyText"/>
      </w:pPr>
      <w:r>
        <w:lastRenderedPageBreak/>
        <w:t>Associate:</w:t>
      </w:r>
      <w:r w:rsidR="0066660C">
        <w:t xml:space="preserve"> </w:t>
      </w:r>
      <w:bookmarkStart w:id="29" w:name="_GoBack"/>
      <w:bookmarkEnd w:id="29"/>
    </w:p>
    <w:p w:rsidR="003A23CB" w:rsidRDefault="003A23CB" w:rsidP="00815065">
      <w:pPr>
        <w:pStyle w:val="BodyText"/>
      </w:pPr>
    </w:p>
    <w:p w:rsidR="003A23CB" w:rsidRDefault="003A23CB" w:rsidP="00815065">
      <w:pPr>
        <w:pStyle w:val="BodyText"/>
        <w:tabs>
          <w:tab w:val="left" w:pos="1134"/>
        </w:tabs>
      </w:pPr>
      <w:r>
        <w:t>Dated:</w:t>
      </w:r>
      <w:r>
        <w:tab/>
      </w:r>
      <w:r w:rsidR="003944FF">
        <w:t xml:space="preserve">11 </w:t>
      </w:r>
      <w:r w:rsidR="00B657D8">
        <w:t>March 2021</w:t>
      </w:r>
    </w:p>
    <w:p w:rsidR="003A23CB" w:rsidRDefault="003A23CB" w:rsidP="00815065">
      <w:pPr>
        <w:pStyle w:val="BodyText"/>
      </w:pPr>
    </w:p>
    <w:bookmarkEnd w:id="23"/>
    <w:p w:rsidR="003A23CB" w:rsidRPr="007A1DF6" w:rsidRDefault="003A23CB" w:rsidP="00EF2E7A">
      <w:pPr>
        <w:pStyle w:val="BodyText"/>
      </w:pPr>
    </w:p>
    <w:sectPr w:rsidR="003A23CB" w:rsidRPr="007A1DF6"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23" w:rsidRDefault="00B14023">
      <w:pPr>
        <w:spacing w:line="20" w:lineRule="exact"/>
      </w:pPr>
    </w:p>
    <w:p w:rsidR="00B14023" w:rsidRDefault="00B14023"/>
    <w:p w:rsidR="00B14023" w:rsidRDefault="00B14023"/>
  </w:endnote>
  <w:endnote w:type="continuationSeparator" w:id="0">
    <w:p w:rsidR="00B14023" w:rsidRDefault="00B14023">
      <w:r>
        <w:t xml:space="preserve"> </w:t>
      </w:r>
    </w:p>
    <w:p w:rsidR="00B14023" w:rsidRDefault="00B14023"/>
    <w:p w:rsidR="00B14023" w:rsidRDefault="00B14023"/>
  </w:endnote>
  <w:endnote w:type="continuationNotice" w:id="1">
    <w:p w:rsidR="00B14023" w:rsidRDefault="00B14023">
      <w:r>
        <w:t xml:space="preserve"> </w:t>
      </w:r>
    </w:p>
    <w:p w:rsidR="00B14023" w:rsidRDefault="00B14023"/>
    <w:p w:rsidR="00B14023" w:rsidRDefault="00B14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17" w:rsidRDefault="00D87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7AD7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D87517">
          <w:rPr>
            <w:bCs/>
            <w:sz w:val="18"/>
            <w:szCs w:val="18"/>
          </w:rPr>
          <w:t xml:space="preserve"> Seven Consulting Pty Ltd v Google LLC [2021] FCA 203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D87517" w:rsidRDefault="00395B24" w:rsidP="00D875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A118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AF219DD1EA754B9A8C4207E5B7DC1570"/>
        </w:placeholder>
        <w:dataBinding w:prefixMappings="xmlns:ns0='http://schemas.globalmacros.com/FCA'" w:xpath="/ns0:root[1]/ns0:Name[1]" w:storeItemID="{687E7CCB-4AA5-44E7-B148-17BA2B6F57C0}"/>
        <w:text w:multiLine="1"/>
      </w:sdtPr>
      <w:sdtEndPr/>
      <w:sdtContent>
        <w:r w:rsidR="00D87517">
          <w:rPr>
            <w:bCs/>
            <w:sz w:val="18"/>
            <w:szCs w:val="18"/>
          </w:rPr>
          <w:t xml:space="preserve"> Seven Consulting Pty Ltd v Google LLC [2021] FCA 203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A4017">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F442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89CB1A85BB84A618B57C3FB76204FE2"/>
        </w:placeholder>
        <w:dataBinding w:prefixMappings="xmlns:ns0='http://schemas.globalmacros.com/FCA'" w:xpath="/ns0:root[1]/ns0:Name[1]" w:storeItemID="{687E7CCB-4AA5-44E7-B148-17BA2B6F57C0}"/>
        <w:text w:multiLine="1"/>
      </w:sdtPr>
      <w:sdtEndPr/>
      <w:sdtContent>
        <w:r w:rsidR="00D87517">
          <w:rPr>
            <w:bCs/>
            <w:sz w:val="18"/>
            <w:szCs w:val="18"/>
          </w:rPr>
          <w:t xml:space="preserve"> Seven Consulting Pty Ltd v Google LLC [2021] FCA 203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A4017">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4AEB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CBF6FA7E02D48A29A5BEC6BCD6B35DC"/>
        </w:placeholder>
        <w:dataBinding w:prefixMappings="xmlns:ns0='http://schemas.globalmacros.com/FCA'" w:xpath="/ns0:root[1]/ns0:Name[1]" w:storeItemID="{687E7CCB-4AA5-44E7-B148-17BA2B6F57C0}"/>
        <w:text w:multiLine="1"/>
      </w:sdtPr>
      <w:sdtEndPr/>
      <w:sdtContent>
        <w:r w:rsidR="00D87517">
          <w:rPr>
            <w:bCs/>
            <w:sz w:val="18"/>
            <w:szCs w:val="18"/>
          </w:rPr>
          <w:t xml:space="preserve"> Seven Consulting Pty Ltd v Google LLC [2021] FCA 203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7641E">
      <w:rPr>
        <w:bCs/>
        <w:noProof/>
        <w:sz w:val="20"/>
      </w:rPr>
      <w:t>6</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C366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3F8090BEE86479D9AF40C87D395185D"/>
        </w:placeholder>
        <w:dataBinding w:prefixMappings="xmlns:ns0='http://schemas.globalmacros.com/FCA'" w:xpath="/ns0:root[1]/ns0:Name[1]" w:storeItemID="{687E7CCB-4AA5-44E7-B148-17BA2B6F57C0}"/>
        <w:text w:multiLine="1"/>
      </w:sdtPr>
      <w:sdtEndPr/>
      <w:sdtContent>
        <w:r w:rsidR="00D87517">
          <w:rPr>
            <w:bCs/>
            <w:sz w:val="18"/>
            <w:szCs w:val="18"/>
          </w:rPr>
          <w:t xml:space="preserve"> Seven Consulting Pty Ltd v Google LLC [2021] FCA 203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A4017">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23" w:rsidRDefault="00B14023"/>
    <w:p w:rsidR="00B14023" w:rsidRDefault="00B14023"/>
    <w:p w:rsidR="00B14023" w:rsidRDefault="00B14023"/>
  </w:footnote>
  <w:footnote w:type="continuationSeparator" w:id="0">
    <w:p w:rsidR="00B14023" w:rsidRDefault="00B14023">
      <w:r>
        <w:continuationSeparator/>
      </w:r>
    </w:p>
    <w:p w:rsidR="00B14023" w:rsidRDefault="00B14023"/>
    <w:p w:rsidR="00B14023" w:rsidRDefault="00B140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17" w:rsidRDefault="00D87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17" w:rsidRDefault="00D87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17" w:rsidRDefault="00D875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12C4C08"/>
    <w:multiLevelType w:val="hybridMultilevel"/>
    <w:tmpl w:val="98F46F04"/>
    <w:lvl w:ilvl="0" w:tplc="C8BC8C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4"/>
  </w:num>
  <w:num w:numId="17">
    <w:abstractNumId w:val="13"/>
  </w:num>
  <w:num w:numId="18">
    <w:abstractNumId w:val="23"/>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8"/>
    <w:lvlOverride w:ilvl="0">
      <w:startOverride w:val="1"/>
    </w:lvlOverride>
  </w:num>
  <w:num w:numId="27">
    <w:abstractNumId w:val="21"/>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even Consulting Pty Ltd|Declan Boylan"/>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N/A"/>
    <w:docVar w:name="DocCreated" w:val="True"/>
    <w:docVar w:name="FileNumbers" w:val="NSD 1078 of 2020"/>
    <w:docVar w:name="grpRadioJudges" w:val="Justice"/>
    <w:docVar w:name="Initiators" w:val="(and another named in the Schedule)"/>
    <w:docVar w:name="Judgdate" w:val="XX"/>
    <w:docVar w:name="Judge" w:val="Abraham"/>
    <w:docVar w:name="lstEntryList" w:val="-1"/>
    <w:docVar w:name="myEntryList" w:val="Counsel for the Applicants=xx"/>
    <w:docVar w:name="NSD" w:val="NSD "/>
    <w:docVar w:name="NumApps" w:val="2"/>
    <w:docVar w:name="NumApps_" w:val="2"/>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N/A FCC, FCoA"/>
    <w:docVar w:name="RadioJudge" w:val="False"/>
    <w:docVar w:name="RadioJustice" w:val="True"/>
    <w:docVar w:name="RadioJustices" w:val="False"/>
    <w:docVar w:name="RESAndAnother" w:val="True"/>
    <w:docVar w:name="RESAndOthers" w:val="False"/>
    <w:docVar w:name="Respondent" w:val="Google LLC"/>
    <w:docVar w:name="ResState" w:val="New South Wales"/>
    <w:docVar w:name="SubArea" w:val="[none]"/>
  </w:docVars>
  <w:rsids>
    <w:rsidRoot w:val="00B14023"/>
    <w:rsid w:val="00000747"/>
    <w:rsid w:val="000115C5"/>
    <w:rsid w:val="0001469E"/>
    <w:rsid w:val="00015993"/>
    <w:rsid w:val="00021CCB"/>
    <w:rsid w:val="00022289"/>
    <w:rsid w:val="00027398"/>
    <w:rsid w:val="0003201A"/>
    <w:rsid w:val="0003207A"/>
    <w:rsid w:val="00032F9F"/>
    <w:rsid w:val="00041C07"/>
    <w:rsid w:val="00045BB7"/>
    <w:rsid w:val="00055719"/>
    <w:rsid w:val="0005641B"/>
    <w:rsid w:val="0006196A"/>
    <w:rsid w:val="00063F1C"/>
    <w:rsid w:val="00066560"/>
    <w:rsid w:val="00071429"/>
    <w:rsid w:val="00081497"/>
    <w:rsid w:val="00085255"/>
    <w:rsid w:val="00093826"/>
    <w:rsid w:val="000A2E76"/>
    <w:rsid w:val="000A4807"/>
    <w:rsid w:val="000A4BE4"/>
    <w:rsid w:val="000C023E"/>
    <w:rsid w:val="000C5195"/>
    <w:rsid w:val="000C62EF"/>
    <w:rsid w:val="000D2137"/>
    <w:rsid w:val="000D3FD2"/>
    <w:rsid w:val="000D4B2E"/>
    <w:rsid w:val="000E3FC8"/>
    <w:rsid w:val="000E7BAE"/>
    <w:rsid w:val="000F133D"/>
    <w:rsid w:val="000F5293"/>
    <w:rsid w:val="0010536B"/>
    <w:rsid w:val="0011145C"/>
    <w:rsid w:val="001128BD"/>
    <w:rsid w:val="0011419D"/>
    <w:rsid w:val="00114B02"/>
    <w:rsid w:val="001226C0"/>
    <w:rsid w:val="00126EC8"/>
    <w:rsid w:val="0012731C"/>
    <w:rsid w:val="00132054"/>
    <w:rsid w:val="00134964"/>
    <w:rsid w:val="001351B9"/>
    <w:rsid w:val="00155CD2"/>
    <w:rsid w:val="001570F3"/>
    <w:rsid w:val="001727A4"/>
    <w:rsid w:val="0017376C"/>
    <w:rsid w:val="001738AB"/>
    <w:rsid w:val="001765E0"/>
    <w:rsid w:val="00177759"/>
    <w:rsid w:val="00180BB3"/>
    <w:rsid w:val="00185E6B"/>
    <w:rsid w:val="00187BBC"/>
    <w:rsid w:val="001932F3"/>
    <w:rsid w:val="001A2B40"/>
    <w:rsid w:val="001A3851"/>
    <w:rsid w:val="001A4309"/>
    <w:rsid w:val="001A46AE"/>
    <w:rsid w:val="001A6C52"/>
    <w:rsid w:val="001B1053"/>
    <w:rsid w:val="001B14AC"/>
    <w:rsid w:val="001B7940"/>
    <w:rsid w:val="001C171A"/>
    <w:rsid w:val="001C37CA"/>
    <w:rsid w:val="001C4085"/>
    <w:rsid w:val="001D4303"/>
    <w:rsid w:val="001D6746"/>
    <w:rsid w:val="001E3B49"/>
    <w:rsid w:val="001E4A05"/>
    <w:rsid w:val="001E6625"/>
    <w:rsid w:val="001E7388"/>
    <w:rsid w:val="001F13DD"/>
    <w:rsid w:val="001F2473"/>
    <w:rsid w:val="001F2DBC"/>
    <w:rsid w:val="001F73E8"/>
    <w:rsid w:val="0020262C"/>
    <w:rsid w:val="00211A3E"/>
    <w:rsid w:val="00215BCA"/>
    <w:rsid w:val="00217AC4"/>
    <w:rsid w:val="00220CC8"/>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E5BF9"/>
    <w:rsid w:val="002E6A7A"/>
    <w:rsid w:val="002F1E49"/>
    <w:rsid w:val="002F4E9C"/>
    <w:rsid w:val="00302F4E"/>
    <w:rsid w:val="0031256C"/>
    <w:rsid w:val="00314D6C"/>
    <w:rsid w:val="00316D2A"/>
    <w:rsid w:val="00322A7C"/>
    <w:rsid w:val="00322EEC"/>
    <w:rsid w:val="00323061"/>
    <w:rsid w:val="003402D3"/>
    <w:rsid w:val="00343ABC"/>
    <w:rsid w:val="003463FE"/>
    <w:rsid w:val="00347D41"/>
    <w:rsid w:val="003554B3"/>
    <w:rsid w:val="00356632"/>
    <w:rsid w:val="00357C7E"/>
    <w:rsid w:val="003653B6"/>
    <w:rsid w:val="00374CC4"/>
    <w:rsid w:val="0037641E"/>
    <w:rsid w:val="003774B2"/>
    <w:rsid w:val="00380F2D"/>
    <w:rsid w:val="003845A9"/>
    <w:rsid w:val="003850C9"/>
    <w:rsid w:val="00390883"/>
    <w:rsid w:val="003922F8"/>
    <w:rsid w:val="003944FF"/>
    <w:rsid w:val="00395B24"/>
    <w:rsid w:val="003A23CB"/>
    <w:rsid w:val="003A2D38"/>
    <w:rsid w:val="003A7ECC"/>
    <w:rsid w:val="003B1BA5"/>
    <w:rsid w:val="003B2C72"/>
    <w:rsid w:val="003B58B4"/>
    <w:rsid w:val="003C1333"/>
    <w:rsid w:val="003C20FF"/>
    <w:rsid w:val="003C550A"/>
    <w:rsid w:val="003C6055"/>
    <w:rsid w:val="003D2650"/>
    <w:rsid w:val="003D560C"/>
    <w:rsid w:val="003D5C00"/>
    <w:rsid w:val="003E0FB7"/>
    <w:rsid w:val="003E3154"/>
    <w:rsid w:val="003E5874"/>
    <w:rsid w:val="003E72D3"/>
    <w:rsid w:val="003F193E"/>
    <w:rsid w:val="003F242C"/>
    <w:rsid w:val="003F34F1"/>
    <w:rsid w:val="004104B6"/>
    <w:rsid w:val="00411AE8"/>
    <w:rsid w:val="00413B74"/>
    <w:rsid w:val="004342F3"/>
    <w:rsid w:val="00435C5F"/>
    <w:rsid w:val="00436155"/>
    <w:rsid w:val="00441E98"/>
    <w:rsid w:val="00450F3A"/>
    <w:rsid w:val="004532F7"/>
    <w:rsid w:val="00464D51"/>
    <w:rsid w:val="00472027"/>
    <w:rsid w:val="004804CF"/>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128"/>
    <w:rsid w:val="004D53E5"/>
    <w:rsid w:val="004E6DC4"/>
    <w:rsid w:val="004F21C1"/>
    <w:rsid w:val="00501A12"/>
    <w:rsid w:val="00501FAE"/>
    <w:rsid w:val="0050309C"/>
    <w:rsid w:val="0051327C"/>
    <w:rsid w:val="0051346D"/>
    <w:rsid w:val="00513EAE"/>
    <w:rsid w:val="0051434F"/>
    <w:rsid w:val="00516806"/>
    <w:rsid w:val="0052098C"/>
    <w:rsid w:val="00525A49"/>
    <w:rsid w:val="005262D1"/>
    <w:rsid w:val="00530876"/>
    <w:rsid w:val="00535017"/>
    <w:rsid w:val="00535613"/>
    <w:rsid w:val="005359EB"/>
    <w:rsid w:val="00540CED"/>
    <w:rsid w:val="0054254A"/>
    <w:rsid w:val="0054500B"/>
    <w:rsid w:val="005466B5"/>
    <w:rsid w:val="00554314"/>
    <w:rsid w:val="00562829"/>
    <w:rsid w:val="005629B3"/>
    <w:rsid w:val="005724F6"/>
    <w:rsid w:val="00573AC4"/>
    <w:rsid w:val="005801FC"/>
    <w:rsid w:val="00585BA9"/>
    <w:rsid w:val="0058734B"/>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8E5"/>
    <w:rsid w:val="00652C52"/>
    <w:rsid w:val="00660097"/>
    <w:rsid w:val="0066063F"/>
    <w:rsid w:val="00662BB0"/>
    <w:rsid w:val="00663878"/>
    <w:rsid w:val="0066660C"/>
    <w:rsid w:val="00667773"/>
    <w:rsid w:val="00670743"/>
    <w:rsid w:val="00680A85"/>
    <w:rsid w:val="00681ADF"/>
    <w:rsid w:val="00690EE2"/>
    <w:rsid w:val="00693854"/>
    <w:rsid w:val="00694BEB"/>
    <w:rsid w:val="006A0E20"/>
    <w:rsid w:val="006A24E3"/>
    <w:rsid w:val="006A5560"/>
    <w:rsid w:val="006A5695"/>
    <w:rsid w:val="006B0439"/>
    <w:rsid w:val="006B3904"/>
    <w:rsid w:val="006B5B7D"/>
    <w:rsid w:val="006C1FE4"/>
    <w:rsid w:val="006C5B46"/>
    <w:rsid w:val="006C6E39"/>
    <w:rsid w:val="006D0ECF"/>
    <w:rsid w:val="006D3D5B"/>
    <w:rsid w:val="006D4C92"/>
    <w:rsid w:val="006D4EB6"/>
    <w:rsid w:val="006E35BF"/>
    <w:rsid w:val="006E7850"/>
    <w:rsid w:val="006F46D6"/>
    <w:rsid w:val="007028D9"/>
    <w:rsid w:val="00707218"/>
    <w:rsid w:val="00710D04"/>
    <w:rsid w:val="00712B1D"/>
    <w:rsid w:val="00714695"/>
    <w:rsid w:val="00715751"/>
    <w:rsid w:val="007171BA"/>
    <w:rsid w:val="00717616"/>
    <w:rsid w:val="007325D9"/>
    <w:rsid w:val="0073583B"/>
    <w:rsid w:val="007360CA"/>
    <w:rsid w:val="0074540B"/>
    <w:rsid w:val="0074667B"/>
    <w:rsid w:val="007470BD"/>
    <w:rsid w:val="007556B9"/>
    <w:rsid w:val="00760EC0"/>
    <w:rsid w:val="00764B01"/>
    <w:rsid w:val="007711BD"/>
    <w:rsid w:val="0078003A"/>
    <w:rsid w:val="00780771"/>
    <w:rsid w:val="007929CF"/>
    <w:rsid w:val="007A1DF6"/>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7288"/>
    <w:rsid w:val="00841BD3"/>
    <w:rsid w:val="0084273D"/>
    <w:rsid w:val="00844E3F"/>
    <w:rsid w:val="00845A83"/>
    <w:rsid w:val="00846BB9"/>
    <w:rsid w:val="00864444"/>
    <w:rsid w:val="008649D5"/>
    <w:rsid w:val="008712BB"/>
    <w:rsid w:val="008830E7"/>
    <w:rsid w:val="008843DF"/>
    <w:rsid w:val="00885EAB"/>
    <w:rsid w:val="00890EDE"/>
    <w:rsid w:val="00892B38"/>
    <w:rsid w:val="008A1741"/>
    <w:rsid w:val="008A2484"/>
    <w:rsid w:val="008A4017"/>
    <w:rsid w:val="008A52F3"/>
    <w:rsid w:val="008C26D9"/>
    <w:rsid w:val="008C6D50"/>
    <w:rsid w:val="008C7167"/>
    <w:rsid w:val="008C7503"/>
    <w:rsid w:val="008D1617"/>
    <w:rsid w:val="008D330F"/>
    <w:rsid w:val="008D48C1"/>
    <w:rsid w:val="008E1BF0"/>
    <w:rsid w:val="008E6315"/>
    <w:rsid w:val="008E69A9"/>
    <w:rsid w:val="008F07FC"/>
    <w:rsid w:val="008F11E0"/>
    <w:rsid w:val="008F3EA7"/>
    <w:rsid w:val="008F7221"/>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11E"/>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2866"/>
    <w:rsid w:val="009D3A00"/>
    <w:rsid w:val="009E4FA6"/>
    <w:rsid w:val="009E7D93"/>
    <w:rsid w:val="009F3C34"/>
    <w:rsid w:val="009F462C"/>
    <w:rsid w:val="009F5C33"/>
    <w:rsid w:val="009F62FB"/>
    <w:rsid w:val="00A026F0"/>
    <w:rsid w:val="00A03EAC"/>
    <w:rsid w:val="00A04DBB"/>
    <w:rsid w:val="00A07EA0"/>
    <w:rsid w:val="00A11CA6"/>
    <w:rsid w:val="00A20C49"/>
    <w:rsid w:val="00A22932"/>
    <w:rsid w:val="00A269CA"/>
    <w:rsid w:val="00A2754C"/>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297B"/>
    <w:rsid w:val="00A76C13"/>
    <w:rsid w:val="00A84FD0"/>
    <w:rsid w:val="00A92E79"/>
    <w:rsid w:val="00A950B6"/>
    <w:rsid w:val="00A9534C"/>
    <w:rsid w:val="00A95D45"/>
    <w:rsid w:val="00AB1463"/>
    <w:rsid w:val="00AB41C1"/>
    <w:rsid w:val="00AB4CF2"/>
    <w:rsid w:val="00AB6CCA"/>
    <w:rsid w:val="00AC223F"/>
    <w:rsid w:val="00AC33B1"/>
    <w:rsid w:val="00AD12A8"/>
    <w:rsid w:val="00AE023F"/>
    <w:rsid w:val="00AF3577"/>
    <w:rsid w:val="00AF35F9"/>
    <w:rsid w:val="00B0424C"/>
    <w:rsid w:val="00B05C7D"/>
    <w:rsid w:val="00B14023"/>
    <w:rsid w:val="00B15D57"/>
    <w:rsid w:val="00B16347"/>
    <w:rsid w:val="00B17D6E"/>
    <w:rsid w:val="00B2435E"/>
    <w:rsid w:val="00B346C3"/>
    <w:rsid w:val="00B4005C"/>
    <w:rsid w:val="00B4227E"/>
    <w:rsid w:val="00B4471C"/>
    <w:rsid w:val="00B451A6"/>
    <w:rsid w:val="00B51472"/>
    <w:rsid w:val="00B56D6E"/>
    <w:rsid w:val="00B64347"/>
    <w:rsid w:val="00B657D8"/>
    <w:rsid w:val="00B65DC6"/>
    <w:rsid w:val="00B67AC2"/>
    <w:rsid w:val="00B71B13"/>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5D7A"/>
    <w:rsid w:val="00C01C2E"/>
    <w:rsid w:val="00C02D33"/>
    <w:rsid w:val="00C04B53"/>
    <w:rsid w:val="00C1232C"/>
    <w:rsid w:val="00C27C6B"/>
    <w:rsid w:val="00C3594D"/>
    <w:rsid w:val="00C36442"/>
    <w:rsid w:val="00C400CE"/>
    <w:rsid w:val="00C410FD"/>
    <w:rsid w:val="00C457DE"/>
    <w:rsid w:val="00C47DD3"/>
    <w:rsid w:val="00C53562"/>
    <w:rsid w:val="00C539FB"/>
    <w:rsid w:val="00C66E57"/>
    <w:rsid w:val="00C74150"/>
    <w:rsid w:val="00C75594"/>
    <w:rsid w:val="00C85982"/>
    <w:rsid w:val="00CA0466"/>
    <w:rsid w:val="00CA246D"/>
    <w:rsid w:val="00CA50D9"/>
    <w:rsid w:val="00CB3054"/>
    <w:rsid w:val="00CB5636"/>
    <w:rsid w:val="00CC3EE5"/>
    <w:rsid w:val="00CE425C"/>
    <w:rsid w:val="00CE58AC"/>
    <w:rsid w:val="00CF5A80"/>
    <w:rsid w:val="00D03D10"/>
    <w:rsid w:val="00D045EE"/>
    <w:rsid w:val="00D05091"/>
    <w:rsid w:val="00D10CA6"/>
    <w:rsid w:val="00D10F21"/>
    <w:rsid w:val="00D134CF"/>
    <w:rsid w:val="00D1573B"/>
    <w:rsid w:val="00D24806"/>
    <w:rsid w:val="00D34040"/>
    <w:rsid w:val="00D34E69"/>
    <w:rsid w:val="00D36C78"/>
    <w:rsid w:val="00D375EE"/>
    <w:rsid w:val="00D4583D"/>
    <w:rsid w:val="00D55AE8"/>
    <w:rsid w:val="00D56056"/>
    <w:rsid w:val="00D6085F"/>
    <w:rsid w:val="00D62699"/>
    <w:rsid w:val="00D778E9"/>
    <w:rsid w:val="00D812BF"/>
    <w:rsid w:val="00D82620"/>
    <w:rsid w:val="00D85707"/>
    <w:rsid w:val="00D8751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47428"/>
    <w:rsid w:val="00E56C8E"/>
    <w:rsid w:val="00E5716B"/>
    <w:rsid w:val="00E57F1F"/>
    <w:rsid w:val="00E66B9F"/>
    <w:rsid w:val="00E70A6A"/>
    <w:rsid w:val="00E710D6"/>
    <w:rsid w:val="00E73881"/>
    <w:rsid w:val="00E73DA4"/>
    <w:rsid w:val="00E76E45"/>
    <w:rsid w:val="00E777C9"/>
    <w:rsid w:val="00E81DA6"/>
    <w:rsid w:val="00E84212"/>
    <w:rsid w:val="00E9086C"/>
    <w:rsid w:val="00E90AAA"/>
    <w:rsid w:val="00E91A0F"/>
    <w:rsid w:val="00E93B62"/>
    <w:rsid w:val="00E94A71"/>
    <w:rsid w:val="00E94CBF"/>
    <w:rsid w:val="00E97FAF"/>
    <w:rsid w:val="00EA03CE"/>
    <w:rsid w:val="00EA23E5"/>
    <w:rsid w:val="00EA4E2E"/>
    <w:rsid w:val="00EA7106"/>
    <w:rsid w:val="00EB2417"/>
    <w:rsid w:val="00EB2CCB"/>
    <w:rsid w:val="00EB7A25"/>
    <w:rsid w:val="00EC0F3E"/>
    <w:rsid w:val="00EC57A7"/>
    <w:rsid w:val="00EC5E1E"/>
    <w:rsid w:val="00ED0817"/>
    <w:rsid w:val="00ED2EDA"/>
    <w:rsid w:val="00ED7DD9"/>
    <w:rsid w:val="00EE2439"/>
    <w:rsid w:val="00EE445B"/>
    <w:rsid w:val="00EF2E7A"/>
    <w:rsid w:val="00EF3113"/>
    <w:rsid w:val="00EF3F84"/>
    <w:rsid w:val="00F176AC"/>
    <w:rsid w:val="00F26F28"/>
    <w:rsid w:val="00F27714"/>
    <w:rsid w:val="00F3276E"/>
    <w:rsid w:val="00F33D3C"/>
    <w:rsid w:val="00F37A91"/>
    <w:rsid w:val="00F408A0"/>
    <w:rsid w:val="00F45CF5"/>
    <w:rsid w:val="00F46B84"/>
    <w:rsid w:val="00F47DB0"/>
    <w:rsid w:val="00F50C3F"/>
    <w:rsid w:val="00F50E34"/>
    <w:rsid w:val="00F53EF7"/>
    <w:rsid w:val="00F54BF2"/>
    <w:rsid w:val="00F775AC"/>
    <w:rsid w:val="00F81A97"/>
    <w:rsid w:val="00F82622"/>
    <w:rsid w:val="00F92355"/>
    <w:rsid w:val="00F93963"/>
    <w:rsid w:val="00F94291"/>
    <w:rsid w:val="00FA298A"/>
    <w:rsid w:val="00FA5B66"/>
    <w:rsid w:val="00FA797F"/>
    <w:rsid w:val="00FB30EB"/>
    <w:rsid w:val="00FB7982"/>
    <w:rsid w:val="00FC0734"/>
    <w:rsid w:val="00FC0FC5"/>
    <w:rsid w:val="00FC588F"/>
    <w:rsid w:val="00FC6879"/>
    <w:rsid w:val="00FE1B30"/>
    <w:rsid w:val="00FE5F69"/>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D068F3B-F48C-4DA8-9A82-6991701D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uiPriority w:val="99"/>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1"/>
    <w:qFormat/>
    <w:rsid w:val="00EE2439"/>
    <w:pPr>
      <w:widowControl w:val="0"/>
      <w:autoSpaceDE w:val="0"/>
      <w:autoSpaceDN w:val="0"/>
      <w:spacing w:line="240" w:lineRule="auto"/>
      <w:ind w:left="1505" w:hanging="458"/>
      <w:jc w:val="left"/>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04628">
      <w:bodyDiv w:val="1"/>
      <w:marLeft w:val="0"/>
      <w:marRight w:val="0"/>
      <w:marTop w:val="0"/>
      <w:marBottom w:val="0"/>
      <w:divBdr>
        <w:top w:val="none" w:sz="0" w:space="0" w:color="auto"/>
        <w:left w:val="none" w:sz="0" w:space="0" w:color="auto"/>
        <w:bottom w:val="none" w:sz="0" w:space="0" w:color="auto"/>
        <w:right w:val="none" w:sz="0" w:space="0" w:color="auto"/>
      </w:divBdr>
      <w:divsChild>
        <w:div w:id="718551004">
          <w:marLeft w:val="0"/>
          <w:marRight w:val="0"/>
          <w:marTop w:val="0"/>
          <w:marBottom w:val="0"/>
          <w:divBdr>
            <w:top w:val="none" w:sz="0" w:space="0" w:color="auto"/>
            <w:left w:val="none" w:sz="0" w:space="0" w:color="auto"/>
            <w:bottom w:val="none" w:sz="0" w:space="0" w:color="auto"/>
            <w:right w:val="none" w:sz="0" w:space="0" w:color="auto"/>
          </w:divBdr>
          <w:divsChild>
            <w:div w:id="1836724182">
              <w:marLeft w:val="0"/>
              <w:marRight w:val="0"/>
              <w:marTop w:val="0"/>
              <w:marBottom w:val="0"/>
              <w:divBdr>
                <w:top w:val="none" w:sz="0" w:space="0" w:color="auto"/>
                <w:left w:val="none" w:sz="0" w:space="0" w:color="auto"/>
                <w:bottom w:val="none" w:sz="0" w:space="0" w:color="auto"/>
                <w:right w:val="none" w:sz="0" w:space="0" w:color="auto"/>
              </w:divBdr>
              <w:divsChild>
                <w:div w:id="573244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74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8.austlii.edu.au/cgi-bin/viewdoc/au/cases/cth/FCA/2020/37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618B925BF94634B77083AD3E09299C"/>
        <w:category>
          <w:name w:val="General"/>
          <w:gallery w:val="placeholder"/>
        </w:category>
        <w:types>
          <w:type w:val="bbPlcHdr"/>
        </w:types>
        <w:behaviors>
          <w:behavior w:val="content"/>
        </w:behaviors>
        <w:guid w:val="{8F8419A6-A144-4AAA-B95C-B5F8914C0AB7}"/>
      </w:docPartPr>
      <w:docPartBody>
        <w:p w:rsidR="00BE70A8" w:rsidRDefault="00BE70A8">
          <w:pPr>
            <w:pStyle w:val="4B618B925BF94634B77083AD3E09299C"/>
          </w:pPr>
          <w:r>
            <w:rPr>
              <w:rStyle w:val="PlaceholderText"/>
            </w:rPr>
            <w:t>MNC Text</w:t>
          </w:r>
        </w:p>
      </w:docPartBody>
    </w:docPart>
    <w:docPart>
      <w:docPartPr>
        <w:name w:val="AF219DD1EA754B9A8C4207E5B7DC1570"/>
        <w:category>
          <w:name w:val="General"/>
          <w:gallery w:val="placeholder"/>
        </w:category>
        <w:types>
          <w:type w:val="bbPlcHdr"/>
        </w:types>
        <w:behaviors>
          <w:behavior w:val="content"/>
        </w:behaviors>
        <w:guid w:val="{773CC954-093C-45C2-ABDA-B5EED4F43FD1}"/>
      </w:docPartPr>
      <w:docPartBody>
        <w:p w:rsidR="00BE70A8" w:rsidRDefault="00BE70A8">
          <w:pPr>
            <w:pStyle w:val="AF219DD1EA754B9A8C4207E5B7DC1570"/>
          </w:pPr>
          <w:r w:rsidRPr="005C44BE">
            <w:rPr>
              <w:rStyle w:val="PlaceholderText"/>
            </w:rPr>
            <w:t>Click or tap here to enter text.</w:t>
          </w:r>
        </w:p>
      </w:docPartBody>
    </w:docPart>
    <w:docPart>
      <w:docPartPr>
        <w:name w:val="789CB1A85BB84A618B57C3FB76204FE2"/>
        <w:category>
          <w:name w:val="General"/>
          <w:gallery w:val="placeholder"/>
        </w:category>
        <w:types>
          <w:type w:val="bbPlcHdr"/>
        </w:types>
        <w:behaviors>
          <w:behavior w:val="content"/>
        </w:behaviors>
        <w:guid w:val="{3F8FE681-58B5-4621-AC73-BBD641A468C9}"/>
      </w:docPartPr>
      <w:docPartBody>
        <w:p w:rsidR="00BE70A8" w:rsidRDefault="00BE70A8">
          <w:pPr>
            <w:pStyle w:val="789CB1A85BB84A618B57C3FB76204FE2"/>
          </w:pPr>
          <w:r w:rsidRPr="005C44BE">
            <w:rPr>
              <w:rStyle w:val="PlaceholderText"/>
            </w:rPr>
            <w:t>Click or tap here to enter text.</w:t>
          </w:r>
        </w:p>
      </w:docPartBody>
    </w:docPart>
    <w:docPart>
      <w:docPartPr>
        <w:name w:val="2CBF6FA7E02D48A29A5BEC6BCD6B35DC"/>
        <w:category>
          <w:name w:val="General"/>
          <w:gallery w:val="placeholder"/>
        </w:category>
        <w:types>
          <w:type w:val="bbPlcHdr"/>
        </w:types>
        <w:behaviors>
          <w:behavior w:val="content"/>
        </w:behaviors>
        <w:guid w:val="{D940EFE0-132B-42B8-BB91-2A77DFCD8839}"/>
      </w:docPartPr>
      <w:docPartBody>
        <w:p w:rsidR="00BE70A8" w:rsidRDefault="00BE70A8">
          <w:pPr>
            <w:pStyle w:val="2CBF6FA7E02D48A29A5BEC6BCD6B35DC"/>
          </w:pPr>
          <w:r w:rsidRPr="005C44BE">
            <w:rPr>
              <w:rStyle w:val="PlaceholderText"/>
            </w:rPr>
            <w:t>Click or tap here to enter text.</w:t>
          </w:r>
        </w:p>
      </w:docPartBody>
    </w:docPart>
    <w:docPart>
      <w:docPartPr>
        <w:name w:val="D3F8090BEE86479D9AF40C87D395185D"/>
        <w:category>
          <w:name w:val="General"/>
          <w:gallery w:val="placeholder"/>
        </w:category>
        <w:types>
          <w:type w:val="bbPlcHdr"/>
        </w:types>
        <w:behaviors>
          <w:behavior w:val="content"/>
        </w:behaviors>
        <w:guid w:val="{F2255CE3-F877-4B6A-AF5D-85A086936ACB}"/>
      </w:docPartPr>
      <w:docPartBody>
        <w:p w:rsidR="00BE70A8" w:rsidRDefault="00BE70A8">
          <w:pPr>
            <w:pStyle w:val="D3F8090BEE86479D9AF40C87D395185D"/>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A8"/>
    <w:rsid w:val="00BE7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618B925BF94634B77083AD3E09299C">
    <w:name w:val="4B618B925BF94634B77083AD3E09299C"/>
  </w:style>
  <w:style w:type="paragraph" w:customStyle="1" w:styleId="AF219DD1EA754B9A8C4207E5B7DC1570">
    <w:name w:val="AF219DD1EA754B9A8C4207E5B7DC1570"/>
  </w:style>
  <w:style w:type="paragraph" w:customStyle="1" w:styleId="789CB1A85BB84A618B57C3FB76204FE2">
    <w:name w:val="789CB1A85BB84A618B57C3FB76204FE2"/>
  </w:style>
  <w:style w:type="paragraph" w:customStyle="1" w:styleId="2CBF6FA7E02D48A29A5BEC6BCD6B35DC">
    <w:name w:val="2CBF6FA7E02D48A29A5BEC6BCD6B35DC"/>
  </w:style>
  <w:style w:type="paragraph" w:customStyle="1" w:styleId="D3F8090BEE86479D9AF40C87D395185D">
    <w:name w:val="D3F8090BEE86479D9AF40C87D3951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 Seven Consulting Pty Ltd v Google LLC [2021] FCA 203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10</Pages>
  <Words>2485</Words>
  <Characters>12852</Characters>
  <Application>Microsoft Office Word</Application>
  <DocSecurity>0</DocSecurity>
  <Lines>306</Lines>
  <Paragraphs>143</Paragraphs>
  <ScaleCrop>false</ScaleCrop>
  <HeadingPairs>
    <vt:vector size="2" baseType="variant">
      <vt:variant>
        <vt:lpstr>Title</vt:lpstr>
      </vt:variant>
      <vt:variant>
        <vt:i4>1</vt:i4>
      </vt:variant>
    </vt:vector>
  </HeadingPairs>
  <TitlesOfParts>
    <vt:vector size="1" baseType="lpstr">
      <vt:lpstr> Seven Consulting Pty Ltd v Google LLC [2021] FCA 203  </vt:lpstr>
    </vt:vector>
  </TitlesOfParts>
  <Company>Federal Court of Australia</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Consulting Pty Ltd v Google LLC [2021] FCA 203</dc:title>
  <dc:creator>Federal Court of Australia</dc:creator>
  <cp:lastModifiedBy>Federal Court of Australia</cp:lastModifiedBy>
  <cp:revision>4</cp:revision>
  <cp:lastPrinted>2021-03-10T22:47:00Z</cp:lastPrinted>
  <dcterms:created xsi:type="dcterms:W3CDTF">2021-03-11T03:47:00Z</dcterms:created>
  <dcterms:modified xsi:type="dcterms:W3CDTF">2021-03-11T03:48:00Z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N/A FCC, FCoA</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