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0A79" w14:textId="77777777" w:rsidR="00395B24" w:rsidRDefault="000E5F7E" w:rsidP="00A22932">
      <w:pPr>
        <w:pStyle w:val="CourtTitle"/>
      </w:pPr>
      <w:r>
        <w:fldChar w:fldCharType="begin"/>
      </w:r>
      <w:r>
        <w:instrText xml:space="preserve"> DOCPROPERTY  Court  \* MERGEFORMAT </w:instrText>
      </w:r>
      <w:r>
        <w:fldChar w:fldCharType="separate"/>
      </w:r>
      <w:r w:rsidR="00C81907">
        <w:t>Federal Court of Australia</w:t>
      </w:r>
      <w:r>
        <w:fldChar w:fldCharType="end"/>
      </w:r>
    </w:p>
    <w:p w14:paraId="48F2A97C" w14:textId="77777777" w:rsidR="00395B24" w:rsidRDefault="00395B24">
      <w:pPr>
        <w:pStyle w:val="NormalHeadings"/>
        <w:jc w:val="center"/>
        <w:rPr>
          <w:sz w:val="32"/>
        </w:rPr>
      </w:pPr>
    </w:p>
    <w:bookmarkStart w:id="0" w:name="MNC"/>
    <w:bookmarkStart w:id="1" w:name="_GoBack"/>
    <w:p w14:paraId="205CD8AF" w14:textId="77777777" w:rsidR="00374CC4" w:rsidRDefault="005D0F9C" w:rsidP="001A2B40">
      <w:pPr>
        <w:pStyle w:val="MNC"/>
      </w:pPr>
      <w:sdt>
        <w:sdtPr>
          <w:alias w:val="MNC"/>
          <w:tag w:val="MNC"/>
          <w:id w:val="343289786"/>
          <w:lock w:val="sdtLocked"/>
          <w:placeholder>
            <w:docPart w:val="781D38865E5D4CFF895E98DB42263916"/>
          </w:placeholder>
          <w:dataBinding w:prefixMappings="xmlns:ns0='http://schemas.globalmacros.com/FCA'" w:xpath="/ns0:root[1]/ns0:Name[1]" w:storeItemID="{687E7CCB-4AA5-44E7-B148-17BA2B6F57C0}"/>
          <w:text w:multiLine="1"/>
        </w:sdtPr>
        <w:sdtEndPr/>
        <w:sdtContent>
          <w:r w:rsidR="00C81907" w:rsidRPr="00C537EF">
            <w:t>C</w:t>
          </w:r>
          <w:r w:rsidR="00C81D4B">
            <w:t>apic v</w:t>
          </w:r>
          <w:r w:rsidR="00C81907" w:rsidRPr="00C537EF">
            <w:t xml:space="preserve"> </w:t>
          </w:r>
          <w:r w:rsidR="00C81D4B" w:rsidRPr="00C537EF">
            <w:t xml:space="preserve">Ford Motor Company Of Australia Pty Ltd </w:t>
          </w:r>
          <w:r w:rsidR="00C81907" w:rsidRPr="00C537EF">
            <w:t>[2021] FCA</w:t>
          </w:r>
          <w:r w:rsidR="00715751" w:rsidRPr="00C537EF">
            <w:t xml:space="preserve"> </w:t>
          </w:r>
          <w:r w:rsidR="00C81D4B">
            <w:t>715</w:t>
          </w:r>
          <w:r w:rsidR="00693854" w:rsidRPr="00C537EF">
            <w:t xml:space="preserve"> </w:t>
          </w:r>
        </w:sdtContent>
      </w:sdt>
      <w:bookmarkEnd w:id="0"/>
      <w:bookmarkEnd w:id="1"/>
      <w:r w:rsidR="005C185C">
        <w:t xml:space="preserve"> </w:t>
      </w:r>
    </w:p>
    <w:p w14:paraId="24F174DD" w14:textId="77777777" w:rsidR="007470BD" w:rsidRDefault="007470BD">
      <w:pPr>
        <w:pStyle w:val="Normal1linespace"/>
      </w:pPr>
    </w:p>
    <w:p w14:paraId="5E1CFA1B" w14:textId="77777777" w:rsidR="00C81907" w:rsidRPr="00C81907" w:rsidRDefault="00C81907" w:rsidP="00C81907">
      <w:pPr>
        <w:pStyle w:val="NormalHeadings"/>
        <w:spacing w:line="480" w:lineRule="auto"/>
        <w:jc w:val="center"/>
        <w:rPr>
          <w:sz w:val="28"/>
          <w:szCs w:val="28"/>
        </w:rPr>
      </w:pPr>
      <w:bookmarkStart w:id="2" w:name="ReasonsPage"/>
      <w:bookmarkEnd w:id="2"/>
      <w:r>
        <w:rPr>
          <w:sz w:val="28"/>
          <w:szCs w:val="28"/>
        </w:rPr>
        <w:t>SUMMARY</w:t>
      </w:r>
    </w:p>
    <w:p w14:paraId="18B3C403" w14:textId="77777777" w:rsidR="0051434F" w:rsidRDefault="00C81907" w:rsidP="00942E5E">
      <w:pPr>
        <w:pStyle w:val="ParaNumbering"/>
        <w:numPr>
          <w:ilvl w:val="0"/>
          <w:numId w:val="0"/>
        </w:numPr>
      </w:pPr>
      <w:r w:rsidRPr="00C81907">
        <w:t xml:space="preserve">In accordance with the practice of the Federal Court in cases of public interest, importance or complexity, the following summary has </w:t>
      </w:r>
      <w:r w:rsidR="006104AE">
        <w:t>been prepared to accompany the O</w:t>
      </w:r>
      <w:r w:rsidRPr="00C81907">
        <w:t xml:space="preserve">rders made today. </w:t>
      </w:r>
      <w:r w:rsidR="0031798A">
        <w:t xml:space="preserve"> </w:t>
      </w:r>
      <w:r w:rsidRPr="00C81907">
        <w:t xml:space="preserve">This summary is intended to assist in understanding the outcome of this proceeding and is not a complete statement of the conclusions reached by the Court. </w:t>
      </w:r>
      <w:r w:rsidR="0031798A">
        <w:t xml:space="preserve"> </w:t>
      </w:r>
      <w:r w:rsidRPr="00C81907">
        <w:t xml:space="preserve">The only authoritative statement of the Court’s reasons is that contained in the published reasons for judgment which will be available on the internet at </w:t>
      </w:r>
      <w:hyperlink r:id="rId8" w:history="1">
        <w:r w:rsidRPr="00755B90">
          <w:rPr>
            <w:color w:val="000000"/>
            <w:u w:val="single"/>
          </w:rPr>
          <w:t>www.fedcourt.gov.au</w:t>
        </w:r>
      </w:hyperlink>
      <w:r w:rsidRPr="00755B90">
        <w:t xml:space="preserve"> together</w:t>
      </w:r>
      <w:r w:rsidRPr="00C81907">
        <w:t xml:space="preserve"> with this summary.</w:t>
      </w:r>
    </w:p>
    <w:p w14:paraId="437377A3" w14:textId="3A445B3E" w:rsidR="00C81907" w:rsidRDefault="0031798A" w:rsidP="000C6FDF">
      <w:pPr>
        <w:pStyle w:val="ParaNumbering"/>
        <w:numPr>
          <w:ilvl w:val="0"/>
          <w:numId w:val="0"/>
        </w:numPr>
      </w:pPr>
      <w:r>
        <w:t xml:space="preserve">The Applicant </w:t>
      </w:r>
      <w:proofErr w:type="spellStart"/>
      <w:r>
        <w:t>Biljana</w:t>
      </w:r>
      <w:proofErr w:type="spellEnd"/>
      <w:r>
        <w:t xml:space="preserve"> </w:t>
      </w:r>
      <w:proofErr w:type="spellStart"/>
      <w:r>
        <w:t>Capic</w:t>
      </w:r>
      <w:proofErr w:type="spellEnd"/>
      <w:r>
        <w:t xml:space="preserve"> </w:t>
      </w:r>
      <w:r w:rsidR="006A6BA1">
        <w:t>brought</w:t>
      </w:r>
      <w:r>
        <w:t xml:space="preserve"> this proceeding as a representative proceeding under P</w:t>
      </w:r>
      <w:r w:rsidR="00BD5F68">
        <w:t>ar</w:t>
      </w:r>
      <w:r>
        <w:t xml:space="preserve">t IV of the </w:t>
      </w:r>
      <w:r>
        <w:rPr>
          <w:i/>
        </w:rPr>
        <w:t xml:space="preserve">Federal Court of Australia Act 1976 </w:t>
      </w:r>
      <w:r>
        <w:t>(</w:t>
      </w:r>
      <w:proofErr w:type="spellStart"/>
      <w:r>
        <w:t>Cth</w:t>
      </w:r>
      <w:proofErr w:type="spellEnd"/>
      <w:r>
        <w:t>) on behalf of herself and the group whom she represents</w:t>
      </w:r>
      <w:r w:rsidR="00726F21">
        <w:t>, against Ford Motor Company of Australia Pty Ltd (‘Ford Australia’)</w:t>
      </w:r>
      <w:r>
        <w:t xml:space="preserve">.  </w:t>
      </w:r>
      <w:r w:rsidR="006A6BA1">
        <w:t xml:space="preserve">The </w:t>
      </w:r>
      <w:r w:rsidR="00E86A6B">
        <w:t xml:space="preserve">initial </w:t>
      </w:r>
      <w:r w:rsidR="006A6BA1">
        <w:t xml:space="preserve">trial of the matter occurred over six weeks between 15 June 2020 and 24 July 2020. </w:t>
      </w:r>
      <w:r w:rsidR="006104AE">
        <w:t xml:space="preserve"> </w:t>
      </w:r>
      <w:r w:rsidR="00E86A6B">
        <w:t xml:space="preserve">The matters for determination at the initial trial were (a) the whole of Ms Capic’s individual claim and (b) a series of questions of fact and law said to be common to the claims of </w:t>
      </w:r>
      <w:r w:rsidR="00C81D4B">
        <w:t xml:space="preserve">the </w:t>
      </w:r>
      <w:r w:rsidR="00E86A6B">
        <w:t xml:space="preserve">group members.  These questions are recorded </w:t>
      </w:r>
      <w:r w:rsidR="00C81D4B">
        <w:t xml:space="preserve">in the </w:t>
      </w:r>
      <w:r w:rsidR="00E86A6B">
        <w:t>Schedule to the Orders of Perram J dated 7 July 2020</w:t>
      </w:r>
      <w:r w:rsidR="006104AE">
        <w:t xml:space="preserve"> (‘Common Questions’)</w:t>
      </w:r>
      <w:r w:rsidR="00E86A6B">
        <w:t xml:space="preserve">. </w:t>
      </w:r>
    </w:p>
    <w:p w14:paraId="3FC18C2B" w14:textId="77777777" w:rsidR="002C0403" w:rsidRDefault="003C7AAE" w:rsidP="000C6FDF">
      <w:pPr>
        <w:pStyle w:val="ParaNumbering"/>
        <w:numPr>
          <w:ilvl w:val="0"/>
          <w:numId w:val="0"/>
        </w:numPr>
      </w:pPr>
      <w:r>
        <w:t>The</w:t>
      </w:r>
      <w:r w:rsidR="00942E5E">
        <w:t xml:space="preserve"> case relates to various problems alleged to exist with 73,451 vehicles</w:t>
      </w:r>
      <w:r w:rsidR="00C81D4B">
        <w:t>,</w:t>
      </w:r>
      <w:r w:rsidR="00942E5E">
        <w:t xml:space="preserve"> manufactured by Ford Motor Company (‘Ford US’) between July 2010 and December 2016</w:t>
      </w:r>
      <w:r w:rsidR="002C0403">
        <w:t xml:space="preserve"> and imported into Australia by Ford Australia</w:t>
      </w:r>
      <w:r w:rsidR="00C81D4B">
        <w:t>,</w:t>
      </w:r>
      <w:r w:rsidR="00942E5E">
        <w:t xml:space="preserve"> </w:t>
      </w:r>
      <w:r w:rsidR="00C537EF">
        <w:t xml:space="preserve">which contained a type of transmission called the </w:t>
      </w:r>
      <w:r w:rsidR="006104AE">
        <w:t>‘</w:t>
      </w:r>
      <w:r w:rsidR="00C537EF">
        <w:t>DPS6</w:t>
      </w:r>
      <w:r w:rsidR="006104AE">
        <w:t>’</w:t>
      </w:r>
      <w:r w:rsidR="00C537EF">
        <w:t xml:space="preserve"> </w:t>
      </w:r>
      <w:r w:rsidR="00942E5E">
        <w:t>(‘Affected Vehicles’).</w:t>
      </w:r>
      <w:r w:rsidR="006104AE">
        <w:t xml:space="preserve"> </w:t>
      </w:r>
      <w:r>
        <w:t xml:space="preserve"> </w:t>
      </w:r>
      <w:r w:rsidR="002C0403">
        <w:t>The Affected Vehicles were manufactured under three model lines</w:t>
      </w:r>
      <w:r w:rsidR="00C537EF">
        <w:t xml:space="preserve">: </w:t>
      </w:r>
      <w:r w:rsidR="002C0403">
        <w:t xml:space="preserve">Focus, Fiesta and EcoSport.  The exact size of the group is presently </w:t>
      </w:r>
      <w:r w:rsidR="00492B2D">
        <w:t>undetermined</w:t>
      </w:r>
      <w:r w:rsidR="002C0403">
        <w:t xml:space="preserve"> but it comprises the Applicant and anyone who bought or otherwise acquired an interest in an Affected Vehicle </w:t>
      </w:r>
      <w:r w:rsidR="00C81D4B">
        <w:t xml:space="preserve">between 1 January 2011 and 29 November 2018 </w:t>
      </w:r>
      <w:r w:rsidR="002C0403">
        <w:t xml:space="preserve">who did not opt out of the proceeding. </w:t>
      </w:r>
    </w:p>
    <w:p w14:paraId="7F2B334C" w14:textId="77777777" w:rsidR="00E86A6B" w:rsidRDefault="00300BC9" w:rsidP="000C6FDF">
      <w:pPr>
        <w:pStyle w:val="ParaNumbering"/>
        <w:numPr>
          <w:ilvl w:val="0"/>
          <w:numId w:val="0"/>
        </w:numPr>
      </w:pPr>
      <w:r>
        <w:t>The</w:t>
      </w:r>
      <w:r w:rsidR="002C0403">
        <w:t xml:space="preserve"> </w:t>
      </w:r>
      <w:r w:rsidR="003C7AAE">
        <w:t xml:space="preserve">Applicant’s </w:t>
      </w:r>
      <w:r w:rsidR="004A0FB4">
        <w:t>case at the initial trial</w:t>
      </w:r>
      <w:r w:rsidR="003C7AAE">
        <w:t xml:space="preserve"> was twofold: first, she brought a claim under s 271</w:t>
      </w:r>
      <w:r w:rsidR="006104AE">
        <w:t>(1)</w:t>
      </w:r>
      <w:r w:rsidR="003C7AAE">
        <w:t xml:space="preserve"> of the Australian Consumer Law </w:t>
      </w:r>
      <w:r>
        <w:t>(‘ACL’) for damages under s 272</w:t>
      </w:r>
      <w:r w:rsidR="006104AE">
        <w:t>(1)</w:t>
      </w:r>
      <w:r>
        <w:t xml:space="preserve"> on the basis that the </w:t>
      </w:r>
      <w:r w:rsidR="000F5C0B">
        <w:t>Affected V</w:t>
      </w:r>
      <w:r>
        <w:t>ehicles were not of acceptable quality when supplied to consumers</w:t>
      </w:r>
      <w:r w:rsidR="000C1F67">
        <w:t xml:space="preserve"> </w:t>
      </w:r>
      <w:r>
        <w:t>contrary to</w:t>
      </w:r>
      <w:r w:rsidR="000C1F67">
        <w:t xml:space="preserve"> the guarantee in</w:t>
      </w:r>
      <w:r>
        <w:t xml:space="preserve"> ACL</w:t>
      </w:r>
      <w:r w:rsidR="005B67C3">
        <w:t> </w:t>
      </w:r>
      <w:r>
        <w:t>s 54</w:t>
      </w:r>
      <w:r w:rsidR="003848C7">
        <w:t xml:space="preserve"> (‘Acceptable Quality Claim’)</w:t>
      </w:r>
      <w:r w:rsidR="004A0FB4">
        <w:t>;</w:t>
      </w:r>
      <w:r w:rsidR="00C81D4B">
        <w:t xml:space="preserve"> and</w:t>
      </w:r>
      <w:r w:rsidR="004A0FB4">
        <w:t xml:space="preserve"> secondly, she brought a claim for </w:t>
      </w:r>
      <w:r w:rsidR="004A0FB4">
        <w:lastRenderedPageBreak/>
        <w:t>damages under ACL</w:t>
      </w:r>
      <w:r w:rsidR="005B67C3">
        <w:t> </w:t>
      </w:r>
      <w:r w:rsidR="004A0FB4">
        <w:t>s 236</w:t>
      </w:r>
      <w:r w:rsidR="00C81D4B">
        <w:t>(1)</w:t>
      </w:r>
      <w:r w:rsidR="004A0FB4">
        <w:t xml:space="preserve"> on the basis that Ford Australia engaged in misleading </w:t>
      </w:r>
      <w:r w:rsidR="000C1F67">
        <w:t>or</w:t>
      </w:r>
      <w:r w:rsidR="004A0FB4">
        <w:t xml:space="preserve"> deceptive conduct in connection with the promotion and sale of the Affected Vehicles contrary to ACL</w:t>
      </w:r>
      <w:r w:rsidR="006104AE">
        <w:t> </w:t>
      </w:r>
      <w:proofErr w:type="spellStart"/>
      <w:r w:rsidR="004A0FB4">
        <w:t>ss</w:t>
      </w:r>
      <w:proofErr w:type="spellEnd"/>
      <w:r w:rsidR="004A0FB4">
        <w:t> 18 and 33</w:t>
      </w:r>
      <w:r w:rsidR="003848C7">
        <w:t xml:space="preserve"> (‘MDC Claim’)</w:t>
      </w:r>
      <w:r w:rsidR="004A0FB4">
        <w:t xml:space="preserve">. </w:t>
      </w:r>
    </w:p>
    <w:p w14:paraId="375BD71B" w14:textId="77777777" w:rsidR="00C537EF" w:rsidRDefault="00C537EF" w:rsidP="000C6FDF">
      <w:pPr>
        <w:pStyle w:val="ParaNumbering"/>
        <w:numPr>
          <w:ilvl w:val="0"/>
          <w:numId w:val="0"/>
        </w:numPr>
      </w:pPr>
      <w:r>
        <w:t xml:space="preserve">The Acceptable Quality Claim comprised allegations that the Affected Vehicles as supplied suffered from two sets of deficiencies: </w:t>
      </w:r>
    </w:p>
    <w:p w14:paraId="5958013F" w14:textId="77777777" w:rsidR="00C537EF" w:rsidRDefault="00C537EF" w:rsidP="00C537EF">
      <w:pPr>
        <w:pStyle w:val="ListNo1alt"/>
      </w:pPr>
      <w:r>
        <w:t xml:space="preserve">A real risk </w:t>
      </w:r>
      <w:r w:rsidR="00BB2659">
        <w:t>that four components of the transmission would fail</w:t>
      </w:r>
      <w:r>
        <w:t>, being the input shaft seals, the clutch lining, the transmission control module and the rear main oil seal (together, the ‘Component Deficiencies’); and</w:t>
      </w:r>
    </w:p>
    <w:p w14:paraId="2034B0F2" w14:textId="77777777" w:rsidR="00C537EF" w:rsidRDefault="00C537EF" w:rsidP="00C537EF">
      <w:pPr>
        <w:pStyle w:val="ListNo1alt"/>
      </w:pPr>
      <w:r>
        <w:t>So-called ‘architectural’ features which</w:t>
      </w:r>
      <w:r w:rsidR="008B3C4F">
        <w:t xml:space="preserve"> created risks of failure because they meant that</w:t>
      </w:r>
      <w:r>
        <w:t xml:space="preserve"> the DPS6</w:t>
      </w:r>
      <w:r w:rsidR="008B3C4F">
        <w:t xml:space="preserve"> inadequately managed </w:t>
      </w:r>
      <w:r w:rsidR="00C81D4B">
        <w:t xml:space="preserve">the </w:t>
      </w:r>
      <w:r w:rsidR="00BB2659">
        <w:t xml:space="preserve">torsional vibrations and heat generated by the engine (the ‘Architectural Deficiencies’). </w:t>
      </w:r>
    </w:p>
    <w:p w14:paraId="2074EC56" w14:textId="77777777" w:rsidR="00BB2659" w:rsidRDefault="00F62E5B" w:rsidP="000C6FDF">
      <w:pPr>
        <w:pStyle w:val="ParaNumbering"/>
        <w:numPr>
          <w:ilvl w:val="0"/>
          <w:numId w:val="0"/>
        </w:numPr>
      </w:pPr>
      <w:r>
        <w:t xml:space="preserve">It was alleged that the Component Deficiencies and Architectural Deficiencies meant </w:t>
      </w:r>
      <w:r w:rsidR="000F5C0B">
        <w:t xml:space="preserve">that </w:t>
      </w:r>
      <w:r>
        <w:t>the Affected Vehicles had a propensity to exhibit a range of undesirable behaviours including shudder, jerking</w:t>
      </w:r>
      <w:r w:rsidR="00CD6BBC">
        <w:t xml:space="preserve">, sudden deceleration and loss of power, difficulty changing gears and gear rattling (among others). </w:t>
      </w:r>
    </w:p>
    <w:p w14:paraId="409B7077" w14:textId="079E5ACA" w:rsidR="00A95D7A" w:rsidRDefault="001A6109" w:rsidP="000C6FDF">
      <w:pPr>
        <w:pStyle w:val="ParaNumbering"/>
        <w:numPr>
          <w:ilvl w:val="0"/>
          <w:numId w:val="0"/>
        </w:numPr>
      </w:pPr>
      <w:r>
        <w:t>The Applicant was largely successful in pro</w:t>
      </w:r>
      <w:r w:rsidR="002F42BF">
        <w:t>ving that the Affected Vehicles</w:t>
      </w:r>
      <w:r>
        <w:t xml:space="preserve"> supplied </w:t>
      </w:r>
      <w:r w:rsidR="00C81D4B">
        <w:t xml:space="preserve">with the relevant original components </w:t>
      </w:r>
      <w:r>
        <w:t xml:space="preserve">were not of acceptable quality within the meaning of ACL s 54. </w:t>
      </w:r>
      <w:r w:rsidR="00A95D7A">
        <w:t xml:space="preserve"> However, the Applicant did not succeed in proving her case on the rear main oil seal or her case on</w:t>
      </w:r>
      <w:r w:rsidR="00C81D4B">
        <w:t xml:space="preserve"> the</w:t>
      </w:r>
      <w:r w:rsidR="00A95D7A">
        <w:t xml:space="preserve"> ‘half-hybrid’ clutches </w:t>
      </w:r>
      <w:r w:rsidR="00C81D4B">
        <w:t>which contained a</w:t>
      </w:r>
      <w:r w:rsidR="00A95D7A">
        <w:t xml:space="preserve"> combination of two </w:t>
      </w:r>
      <w:r w:rsidR="005F399C">
        <w:t xml:space="preserve">clutch </w:t>
      </w:r>
      <w:r w:rsidR="00A95D7A">
        <w:t>lining materials.  These components were not found to carry a real risk of failure and therefore Affected Vehicles were not found to have been supplied contrary to ACL s 54 by reason of these</w:t>
      </w:r>
      <w:r w:rsidR="00C81D4B">
        <w:t xml:space="preserve"> two</w:t>
      </w:r>
      <w:r w:rsidR="00A95D7A">
        <w:t xml:space="preserve"> components. </w:t>
      </w:r>
    </w:p>
    <w:p w14:paraId="26365B2D" w14:textId="77777777" w:rsidR="00A95D7A" w:rsidRDefault="005F399C" w:rsidP="000C6FDF">
      <w:pPr>
        <w:pStyle w:val="ParaNumbering"/>
        <w:numPr>
          <w:ilvl w:val="0"/>
          <w:numId w:val="0"/>
        </w:numPr>
      </w:pPr>
      <w:r>
        <w:t xml:space="preserve">The Applicant was partially successful in her case on the Architectural Deficiencies.  She failed to prove that the DPS6 </w:t>
      </w:r>
      <w:r w:rsidR="00B54BD6">
        <w:t xml:space="preserve">had a risk of failure owing to the way in which heat was managed.  However, she succeeded in proving that the DPS6 inadequately managed torsional vibrations and that this could cause gear rattling and a slight shudder at low speeds.  Despite Ford Australia’s description of these symptoms as ‘normal operating characteristics’ of the DPS6, it was found that </w:t>
      </w:r>
      <w:r w:rsidR="00C83578">
        <w:t xml:space="preserve">all of </w:t>
      </w:r>
      <w:r w:rsidR="00B54BD6">
        <w:t>the Affected Ve</w:t>
      </w:r>
      <w:r w:rsidR="00F87614">
        <w:t>hicles as supplied were not of acceptable q</w:t>
      </w:r>
      <w:r w:rsidR="00B54BD6">
        <w:t xml:space="preserve">uality by reason of the inadequate management of torsional vibrations. </w:t>
      </w:r>
    </w:p>
    <w:p w14:paraId="0E548DF0" w14:textId="3AFA6ADC" w:rsidR="00567E8C" w:rsidRDefault="00567E8C" w:rsidP="000C6FDF">
      <w:pPr>
        <w:pStyle w:val="ParaNumbering"/>
        <w:numPr>
          <w:ilvl w:val="0"/>
          <w:numId w:val="0"/>
        </w:numPr>
      </w:pPr>
      <w:r>
        <w:t xml:space="preserve">Ford Australia implemented various fixes for the </w:t>
      </w:r>
      <w:r w:rsidR="00C83578">
        <w:t xml:space="preserve">proven </w:t>
      </w:r>
      <w:r>
        <w:t xml:space="preserve">Component Deficiencies but not for the Architectural Deficiencies.  Where fixes were implemented in production, it was for the </w:t>
      </w:r>
      <w:r>
        <w:lastRenderedPageBreak/>
        <w:t xml:space="preserve">Applicant to prove that vehicles </w:t>
      </w:r>
      <w:r w:rsidR="000F5C0B">
        <w:t xml:space="preserve">as </w:t>
      </w:r>
      <w:r>
        <w:t xml:space="preserve">supplied were not of acceptable quality even despite the </w:t>
      </w:r>
      <w:r w:rsidR="00C83578">
        <w:t>revised components</w:t>
      </w:r>
      <w:r>
        <w:t xml:space="preserve">.  The Applicant did not succeed in doing this.  Where fixes were implemented in service </w:t>
      </w:r>
      <w:r w:rsidR="00C83578">
        <w:t xml:space="preserve">for </w:t>
      </w:r>
      <w:r>
        <w:t xml:space="preserve">vehicles on the road, it was for Ford Australia to show that these fixes were effective.  It succeeded in doing this </w:t>
      </w:r>
      <w:r w:rsidR="00C83578">
        <w:t xml:space="preserve">for the final versions of the revised components </w:t>
      </w:r>
      <w:r>
        <w:t xml:space="preserve">with the exception of the replacement of original clutches with the ‘half-hybrid’ variety </w:t>
      </w:r>
      <w:r w:rsidR="006104AE">
        <w:t>referred to above</w:t>
      </w:r>
      <w:r>
        <w:t>.</w:t>
      </w:r>
    </w:p>
    <w:p w14:paraId="5CD5F9B1" w14:textId="77777777" w:rsidR="00B54BD6" w:rsidRDefault="00525101" w:rsidP="000C6FDF">
      <w:pPr>
        <w:pStyle w:val="ParaNumbering"/>
        <w:numPr>
          <w:ilvl w:val="0"/>
          <w:numId w:val="0"/>
        </w:numPr>
      </w:pPr>
      <w:r>
        <w:t xml:space="preserve">Insofar as her individual claim was concerned, </w:t>
      </w:r>
      <w:r w:rsidR="008B3C4F">
        <w:t>Ms Capic</w:t>
      </w:r>
      <w:r>
        <w:t xml:space="preserve"> was awarded damages for reduction in value and other reasonably foreseeable loss and damage under ACL s 272</w:t>
      </w:r>
      <w:r w:rsidR="00F87614">
        <w:t>(1)</w:t>
      </w:r>
      <w:r>
        <w:t xml:space="preserve">. </w:t>
      </w:r>
    </w:p>
    <w:p w14:paraId="17D8DC69" w14:textId="21DDDB47" w:rsidR="000F5C0B" w:rsidRDefault="000F5C0B" w:rsidP="000C6FDF">
      <w:pPr>
        <w:pStyle w:val="ParaNumbering"/>
        <w:numPr>
          <w:ilvl w:val="0"/>
          <w:numId w:val="0"/>
        </w:numPr>
      </w:pPr>
      <w:r>
        <w:t xml:space="preserve">The group’s Acceptable Quality </w:t>
      </w:r>
      <w:r w:rsidR="00C83578">
        <w:t xml:space="preserve">Claim </w:t>
      </w:r>
      <w:r>
        <w:t>is</w:t>
      </w:r>
      <w:r w:rsidR="008A7EEA">
        <w:t xml:space="preserve"> significantly more</w:t>
      </w:r>
      <w:r>
        <w:t xml:space="preserve"> complicated and is not finally resolved by these reasons and orders.  The group claimed damages assessed on an aggregate basis.  Such damages were not awarded.  The primary reason for this was the operation of ACL s 271(6).  Put simply, that provision confers on Ford Australia a defence to a claim for reduction in value damages where, pursuant to an express warranty, it fixed a relevant problem with an Affected Vehicle within a reasonable time.  Whether </w:t>
      </w:r>
      <w:r w:rsidR="008A7EEA">
        <w:t>Ford Australia</w:t>
      </w:r>
      <w:r>
        <w:t xml:space="preserve"> did so </w:t>
      </w:r>
      <w:r w:rsidR="00C83578">
        <w:t xml:space="preserve">for each group member </w:t>
      </w:r>
      <w:r>
        <w:t>was not an issue litigated in the initial trial.  It is an issue the resolution of which will depend on the particular position of each group member.</w:t>
      </w:r>
    </w:p>
    <w:p w14:paraId="758C6B34" w14:textId="3543C5C2" w:rsidR="00567E8C" w:rsidRDefault="000F5C0B" w:rsidP="000C6FDF">
      <w:pPr>
        <w:pStyle w:val="ParaNumbering"/>
        <w:numPr>
          <w:ilvl w:val="0"/>
          <w:numId w:val="0"/>
        </w:numPr>
      </w:pPr>
      <w:r>
        <w:t>The Appli</w:t>
      </w:r>
      <w:r w:rsidR="008A7EEA">
        <w:t>cant</w:t>
      </w:r>
      <w:r w:rsidR="00C83578">
        <w:t xml:space="preserve"> and the group members</w:t>
      </w:r>
      <w:r w:rsidR="008A7EEA">
        <w:t xml:space="preserve"> w</w:t>
      </w:r>
      <w:r w:rsidR="00C83578">
        <w:t>ere</w:t>
      </w:r>
      <w:r w:rsidR="008A7EEA">
        <w:t xml:space="preserve"> wholly unsuccessful in </w:t>
      </w:r>
      <w:r w:rsidR="00C83578">
        <w:t xml:space="preserve">their </w:t>
      </w:r>
      <w:r>
        <w:t xml:space="preserve">MDC Claim. </w:t>
      </w:r>
    </w:p>
    <w:p w14:paraId="26F99989" w14:textId="7C65D9F6" w:rsidR="00567E8C" w:rsidRDefault="008A7EEA" w:rsidP="000C6FDF">
      <w:pPr>
        <w:pStyle w:val="ParaNumbering"/>
        <w:numPr>
          <w:ilvl w:val="0"/>
          <w:numId w:val="0"/>
        </w:numPr>
      </w:pPr>
      <w:r>
        <w:t xml:space="preserve">The consequence of the findings of fact and law made in these reasons for judgment is that </w:t>
      </w:r>
      <w:r w:rsidR="00BD5F68">
        <w:t xml:space="preserve">only </w:t>
      </w:r>
      <w:r>
        <w:t xml:space="preserve">some of the </w:t>
      </w:r>
      <w:r w:rsidR="006104AE">
        <w:t>Common Q</w:t>
      </w:r>
      <w:r>
        <w:t xml:space="preserve">uestions may </w:t>
      </w:r>
      <w:r w:rsidR="00BD5F68">
        <w:t>now</w:t>
      </w:r>
      <w:r>
        <w:t xml:space="preserve"> be answered.  Moreover, other questions not yet posed will now need to be if the resolution of the group’s Acceptable Quality Claim is to progress.  The Orders made today provide for the parties to return before the Court for a case management hearing on 27 July 2021 at 9.30 am where the consequences of the reasons for judgment and the future conduct of the matter will be discussed. </w:t>
      </w:r>
    </w:p>
    <w:p w14:paraId="5083E91F" w14:textId="438C3A70" w:rsidR="008A7EEA" w:rsidRDefault="008A7EEA" w:rsidP="000C6FDF">
      <w:pPr>
        <w:pStyle w:val="ParaNumbering"/>
        <w:numPr>
          <w:ilvl w:val="0"/>
          <w:numId w:val="0"/>
        </w:numPr>
      </w:pPr>
      <w:r>
        <w:t>Lastly and for completeness, it is noted that the Orders also deal with a set of documents listed in Annexure A</w:t>
      </w:r>
      <w:r w:rsidR="00F87614">
        <w:t xml:space="preserve"> to the Orders</w:t>
      </w:r>
      <w:r>
        <w:t xml:space="preserve">.  At the conclusion of the initial trial Ford Australia objected to the Applicant’s attempt to rely upon </w:t>
      </w:r>
      <w:r w:rsidR="00041492">
        <w:t>84 identified</w:t>
      </w:r>
      <w:r>
        <w:t xml:space="preserve"> documents on the basis that it would </w:t>
      </w:r>
      <w:r w:rsidR="00041492">
        <w:t xml:space="preserve">be </w:t>
      </w:r>
      <w:r>
        <w:t>procedurally unfair for her to do so.</w:t>
      </w:r>
      <w:r w:rsidR="00041492">
        <w:t xml:space="preserve">  T</w:t>
      </w:r>
      <w:r>
        <w:t>he Court has</w:t>
      </w:r>
      <w:r w:rsidR="00041492">
        <w:t xml:space="preserve"> largely</w:t>
      </w:r>
      <w:r>
        <w:t xml:space="preserve"> </w:t>
      </w:r>
      <w:r w:rsidR="00041492">
        <w:t xml:space="preserve">sustained Ford Australia’s objection and ordered that the Applicant not be entitled to rely on the documents listed in Annexure A. </w:t>
      </w:r>
    </w:p>
    <w:p w14:paraId="1C213028" w14:textId="190400A2" w:rsidR="00D3069D" w:rsidRDefault="00D3069D" w:rsidP="00D3069D">
      <w:pPr>
        <w:pStyle w:val="ParaNumbering"/>
        <w:numPr>
          <w:ilvl w:val="0"/>
          <w:numId w:val="0"/>
        </w:numPr>
        <w:spacing w:after="0" w:line="240" w:lineRule="auto"/>
        <w:rPr>
          <w:b/>
        </w:rPr>
      </w:pPr>
      <w:r>
        <w:rPr>
          <w:b/>
        </w:rPr>
        <w:t>Justice Perram</w:t>
      </w:r>
    </w:p>
    <w:p w14:paraId="75AAAF0E" w14:textId="2581D2BD" w:rsidR="000E5F7E" w:rsidRDefault="000E5F7E" w:rsidP="00D3069D">
      <w:pPr>
        <w:pStyle w:val="ParaNumbering"/>
        <w:numPr>
          <w:ilvl w:val="0"/>
          <w:numId w:val="0"/>
        </w:numPr>
        <w:spacing w:after="0" w:line="240" w:lineRule="auto"/>
        <w:rPr>
          <w:b/>
        </w:rPr>
      </w:pPr>
      <w:r w:rsidRPr="00D3069D">
        <w:rPr>
          <w:b/>
        </w:rPr>
        <w:t>29 June 2021</w:t>
      </w:r>
    </w:p>
    <w:p w14:paraId="007E60A0" w14:textId="3B8A5A6C" w:rsidR="00D3069D" w:rsidRPr="00D3069D" w:rsidRDefault="00D3069D" w:rsidP="00D3069D">
      <w:pPr>
        <w:pStyle w:val="ParaNumbering"/>
        <w:numPr>
          <w:ilvl w:val="0"/>
          <w:numId w:val="0"/>
        </w:numPr>
        <w:spacing w:after="0" w:line="240" w:lineRule="auto"/>
        <w:rPr>
          <w:b/>
        </w:rPr>
      </w:pPr>
      <w:r>
        <w:rPr>
          <w:b/>
        </w:rPr>
        <w:t>Sydney</w:t>
      </w:r>
    </w:p>
    <w:sectPr w:rsidR="00D3069D" w:rsidRPr="00D3069D" w:rsidSect="00A84F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797E" w14:textId="77777777" w:rsidR="00C81907" w:rsidRDefault="00C81907">
      <w:pPr>
        <w:spacing w:line="20" w:lineRule="exact"/>
      </w:pPr>
    </w:p>
    <w:p w14:paraId="78EEA166" w14:textId="77777777" w:rsidR="00C81907" w:rsidRDefault="00C81907"/>
    <w:p w14:paraId="75B2C2F5" w14:textId="77777777" w:rsidR="00C81907" w:rsidRDefault="00C81907"/>
  </w:endnote>
  <w:endnote w:type="continuationSeparator" w:id="0">
    <w:p w14:paraId="7CB79D72" w14:textId="77777777" w:rsidR="00C81907" w:rsidRDefault="00C81907">
      <w:r>
        <w:t xml:space="preserve"> </w:t>
      </w:r>
    </w:p>
    <w:p w14:paraId="2B202BBB" w14:textId="77777777" w:rsidR="00C81907" w:rsidRDefault="00C81907"/>
    <w:p w14:paraId="0C3A6E97" w14:textId="77777777" w:rsidR="00C81907" w:rsidRDefault="00C81907"/>
  </w:endnote>
  <w:endnote w:type="continuationNotice" w:id="1">
    <w:p w14:paraId="07AAEBF5" w14:textId="77777777" w:rsidR="00C81907" w:rsidRDefault="00C81907">
      <w:r>
        <w:t xml:space="preserve"> </w:t>
      </w:r>
    </w:p>
    <w:p w14:paraId="432AB9AB" w14:textId="77777777" w:rsidR="00C81907" w:rsidRDefault="00C81907"/>
    <w:p w14:paraId="5921C0A4" w14:textId="77777777" w:rsidR="00C81907" w:rsidRDefault="00C8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7300" w14:textId="77777777" w:rsidR="001E625B" w:rsidRDefault="001E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E239" w14:textId="2AD6BDB8"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15FF59C" wp14:editId="195E49E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D6C0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1D82FC87BCE4B8BAD17AB31EEABEF84"/>
        </w:placeholder>
        <w:dataBinding w:prefixMappings="xmlns:ns0='http://schemas.globalmacros.com/FCA'" w:xpath="/ns0:root[1]/ns0:Name[1]" w:storeItemID="{687E7CCB-4AA5-44E7-B148-17BA2B6F57C0}"/>
        <w:text w:multiLine="1"/>
      </w:sdtPr>
      <w:sdtEndPr/>
      <w:sdtContent>
        <w:r w:rsidR="00C81D4B">
          <w:rPr>
            <w:bCs/>
            <w:sz w:val="18"/>
            <w:szCs w:val="18"/>
          </w:rPr>
          <w:t xml:space="preserve">Capic v Ford Motor Company Of Australia Pty Ltd [2021] FCA 715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F9C">
      <w:rPr>
        <w:bCs/>
        <w:noProof/>
        <w:sz w:val="20"/>
      </w:rPr>
      <w:t>3</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5ABA" w14:textId="43EE3E3A"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145C96E" wp14:editId="7D4D68B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522C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E52B380567C49EBA76BBEBB05D04EE2"/>
        </w:placeholder>
        <w:dataBinding w:prefixMappings="xmlns:ns0='http://schemas.globalmacros.com/FCA'" w:xpath="/ns0:root[1]/ns0:Name[1]" w:storeItemID="{687E7CCB-4AA5-44E7-B148-17BA2B6F57C0}"/>
        <w:text w:multiLine="1"/>
      </w:sdtPr>
      <w:sdtEndPr/>
      <w:sdtContent>
        <w:r w:rsidR="00C81D4B">
          <w:rPr>
            <w:bCs/>
            <w:sz w:val="18"/>
            <w:szCs w:val="18"/>
          </w:rPr>
          <w:t xml:space="preserve">Capic v Ford Motor Company Of Australia Pty Ltd [2021] FCA 715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D0F9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50F5" w14:textId="77777777" w:rsidR="00C81907" w:rsidRDefault="00C81907"/>
    <w:p w14:paraId="0784B18E" w14:textId="77777777" w:rsidR="00C81907" w:rsidRDefault="00C81907"/>
    <w:p w14:paraId="089C5374" w14:textId="77777777" w:rsidR="00C81907" w:rsidRDefault="00C81907"/>
  </w:footnote>
  <w:footnote w:type="continuationSeparator" w:id="0">
    <w:p w14:paraId="077BD0D2" w14:textId="77777777" w:rsidR="00C81907" w:rsidRDefault="00C81907">
      <w:r>
        <w:continuationSeparator/>
      </w:r>
    </w:p>
    <w:p w14:paraId="3406C2CF" w14:textId="77777777" w:rsidR="00C81907" w:rsidRDefault="00C81907"/>
    <w:p w14:paraId="026C53B9" w14:textId="77777777" w:rsidR="00C81907" w:rsidRDefault="00C819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2838" w14:textId="77777777" w:rsidR="001E625B" w:rsidRDefault="001E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8A7C" w14:textId="77777777" w:rsidR="00395B24" w:rsidRDefault="00395B24">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217B"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Initiators" w:val="(and another named in the Schedule)"/>
    <w:docVar w:name="NSD" w:val="NSD "/>
    <w:docVar w:name="NumApps"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ESAndAnother" w:val="True"/>
    <w:docVar w:name="RESAndOthers" w:val="False"/>
    <w:docVar w:name="ResState" w:val="New South Wales"/>
    <w:docVar w:name="SubArea" w:val="[none]"/>
  </w:docVars>
  <w:rsids>
    <w:rsidRoot w:val="00C81907"/>
    <w:rsid w:val="00000747"/>
    <w:rsid w:val="000040D2"/>
    <w:rsid w:val="000115C5"/>
    <w:rsid w:val="0001469E"/>
    <w:rsid w:val="00015993"/>
    <w:rsid w:val="00021CCB"/>
    <w:rsid w:val="00022289"/>
    <w:rsid w:val="00027398"/>
    <w:rsid w:val="0003201A"/>
    <w:rsid w:val="0003207A"/>
    <w:rsid w:val="00032F9F"/>
    <w:rsid w:val="00041492"/>
    <w:rsid w:val="00041C07"/>
    <w:rsid w:val="00045BB7"/>
    <w:rsid w:val="00055719"/>
    <w:rsid w:val="0005641B"/>
    <w:rsid w:val="0006196A"/>
    <w:rsid w:val="00081497"/>
    <w:rsid w:val="00085255"/>
    <w:rsid w:val="000A2E76"/>
    <w:rsid w:val="000A4807"/>
    <w:rsid w:val="000A4BE4"/>
    <w:rsid w:val="000C023E"/>
    <w:rsid w:val="000C1F67"/>
    <w:rsid w:val="000C5195"/>
    <w:rsid w:val="000C62EF"/>
    <w:rsid w:val="000C6FDF"/>
    <w:rsid w:val="000D2137"/>
    <w:rsid w:val="000D3FD2"/>
    <w:rsid w:val="000D4B2E"/>
    <w:rsid w:val="000E3FC8"/>
    <w:rsid w:val="000E5F7E"/>
    <w:rsid w:val="000E7BAE"/>
    <w:rsid w:val="000F133D"/>
    <w:rsid w:val="000F5C0B"/>
    <w:rsid w:val="00101EFB"/>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109"/>
    <w:rsid w:val="001A6C52"/>
    <w:rsid w:val="001B1053"/>
    <w:rsid w:val="001B14AC"/>
    <w:rsid w:val="001B7940"/>
    <w:rsid w:val="001C171A"/>
    <w:rsid w:val="001C37CA"/>
    <w:rsid w:val="001C4085"/>
    <w:rsid w:val="001D4303"/>
    <w:rsid w:val="001D6746"/>
    <w:rsid w:val="001E3B49"/>
    <w:rsid w:val="001E4A05"/>
    <w:rsid w:val="001E625B"/>
    <w:rsid w:val="001E7388"/>
    <w:rsid w:val="001F13DD"/>
    <w:rsid w:val="001F2473"/>
    <w:rsid w:val="001F2DBC"/>
    <w:rsid w:val="001F73E8"/>
    <w:rsid w:val="0020262C"/>
    <w:rsid w:val="00202723"/>
    <w:rsid w:val="00211267"/>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0403"/>
    <w:rsid w:val="002C31AD"/>
    <w:rsid w:val="002C7385"/>
    <w:rsid w:val="002D2DBB"/>
    <w:rsid w:val="002D37D8"/>
    <w:rsid w:val="002D54A6"/>
    <w:rsid w:val="002E5BF9"/>
    <w:rsid w:val="002E6A7A"/>
    <w:rsid w:val="002F1E49"/>
    <w:rsid w:val="002F42BF"/>
    <w:rsid w:val="002F4E9C"/>
    <w:rsid w:val="00300BC9"/>
    <w:rsid w:val="00302F4E"/>
    <w:rsid w:val="0031256C"/>
    <w:rsid w:val="00314D6C"/>
    <w:rsid w:val="00316D2A"/>
    <w:rsid w:val="0031798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5A9"/>
    <w:rsid w:val="003848C7"/>
    <w:rsid w:val="003850C9"/>
    <w:rsid w:val="00390883"/>
    <w:rsid w:val="003922F8"/>
    <w:rsid w:val="00395B24"/>
    <w:rsid w:val="003A2D38"/>
    <w:rsid w:val="003A7ECC"/>
    <w:rsid w:val="003B2C72"/>
    <w:rsid w:val="003B58B4"/>
    <w:rsid w:val="003C1333"/>
    <w:rsid w:val="003C20FF"/>
    <w:rsid w:val="003C550A"/>
    <w:rsid w:val="003C6055"/>
    <w:rsid w:val="003C7AAE"/>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2B2D"/>
    <w:rsid w:val="0049338A"/>
    <w:rsid w:val="0049417F"/>
    <w:rsid w:val="00496D41"/>
    <w:rsid w:val="004A0FB4"/>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07C49"/>
    <w:rsid w:val="0051327C"/>
    <w:rsid w:val="0051346D"/>
    <w:rsid w:val="00513EAE"/>
    <w:rsid w:val="0051434F"/>
    <w:rsid w:val="00516806"/>
    <w:rsid w:val="0052098C"/>
    <w:rsid w:val="00525101"/>
    <w:rsid w:val="00525A49"/>
    <w:rsid w:val="005262D1"/>
    <w:rsid w:val="00530876"/>
    <w:rsid w:val="00535613"/>
    <w:rsid w:val="005359EB"/>
    <w:rsid w:val="0054254A"/>
    <w:rsid w:val="0054500B"/>
    <w:rsid w:val="005466B5"/>
    <w:rsid w:val="00554314"/>
    <w:rsid w:val="00562829"/>
    <w:rsid w:val="005629B3"/>
    <w:rsid w:val="00567E8C"/>
    <w:rsid w:val="005724F6"/>
    <w:rsid w:val="00573AC4"/>
    <w:rsid w:val="005801FC"/>
    <w:rsid w:val="00585BA9"/>
    <w:rsid w:val="00587359"/>
    <w:rsid w:val="00595016"/>
    <w:rsid w:val="00597AAE"/>
    <w:rsid w:val="005A222C"/>
    <w:rsid w:val="005A4DF8"/>
    <w:rsid w:val="005A78C8"/>
    <w:rsid w:val="005B1426"/>
    <w:rsid w:val="005B2E8F"/>
    <w:rsid w:val="005B67C3"/>
    <w:rsid w:val="005C0A8E"/>
    <w:rsid w:val="005C1767"/>
    <w:rsid w:val="005C185C"/>
    <w:rsid w:val="005C42EF"/>
    <w:rsid w:val="005D0F9C"/>
    <w:rsid w:val="005E02F5"/>
    <w:rsid w:val="005E0510"/>
    <w:rsid w:val="005E176E"/>
    <w:rsid w:val="005E218E"/>
    <w:rsid w:val="005E35A0"/>
    <w:rsid w:val="005F0D1B"/>
    <w:rsid w:val="005F1865"/>
    <w:rsid w:val="005F399C"/>
    <w:rsid w:val="006007BD"/>
    <w:rsid w:val="006013C8"/>
    <w:rsid w:val="0060270D"/>
    <w:rsid w:val="00604611"/>
    <w:rsid w:val="006104AE"/>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A6BA1"/>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26F21"/>
    <w:rsid w:val="007325D9"/>
    <w:rsid w:val="0073583B"/>
    <w:rsid w:val="007360CA"/>
    <w:rsid w:val="0074667B"/>
    <w:rsid w:val="007470BD"/>
    <w:rsid w:val="00755B90"/>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A7EEA"/>
    <w:rsid w:val="008B3C4F"/>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2E5E"/>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722"/>
    <w:rsid w:val="00A47996"/>
    <w:rsid w:val="00A51CFE"/>
    <w:rsid w:val="00A5204D"/>
    <w:rsid w:val="00A61605"/>
    <w:rsid w:val="00A65F97"/>
    <w:rsid w:val="00A76C13"/>
    <w:rsid w:val="00A84FD0"/>
    <w:rsid w:val="00A92E79"/>
    <w:rsid w:val="00A950B6"/>
    <w:rsid w:val="00A95D45"/>
    <w:rsid w:val="00A95D7A"/>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4BD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659"/>
    <w:rsid w:val="00BB27AE"/>
    <w:rsid w:val="00BB2DA2"/>
    <w:rsid w:val="00BB56DC"/>
    <w:rsid w:val="00BD5F68"/>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7EF"/>
    <w:rsid w:val="00C539FB"/>
    <w:rsid w:val="00C66E57"/>
    <w:rsid w:val="00C74150"/>
    <w:rsid w:val="00C75594"/>
    <w:rsid w:val="00C81907"/>
    <w:rsid w:val="00C81D4B"/>
    <w:rsid w:val="00C83578"/>
    <w:rsid w:val="00C85982"/>
    <w:rsid w:val="00CA0466"/>
    <w:rsid w:val="00CA246D"/>
    <w:rsid w:val="00CA50D9"/>
    <w:rsid w:val="00CB3054"/>
    <w:rsid w:val="00CB5636"/>
    <w:rsid w:val="00CC3EE5"/>
    <w:rsid w:val="00CD6BBC"/>
    <w:rsid w:val="00CE425C"/>
    <w:rsid w:val="00CE58AC"/>
    <w:rsid w:val="00CF5A80"/>
    <w:rsid w:val="00D045EE"/>
    <w:rsid w:val="00D05091"/>
    <w:rsid w:val="00D10CA6"/>
    <w:rsid w:val="00D10F21"/>
    <w:rsid w:val="00D134CF"/>
    <w:rsid w:val="00D1573B"/>
    <w:rsid w:val="00D24806"/>
    <w:rsid w:val="00D3069D"/>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66EA3"/>
    <w:rsid w:val="00E70A6A"/>
    <w:rsid w:val="00E710D6"/>
    <w:rsid w:val="00E73DA4"/>
    <w:rsid w:val="00E76E45"/>
    <w:rsid w:val="00E777C9"/>
    <w:rsid w:val="00E81DA6"/>
    <w:rsid w:val="00E84212"/>
    <w:rsid w:val="00E86A6B"/>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62E5B"/>
    <w:rsid w:val="00F775AC"/>
    <w:rsid w:val="00F87614"/>
    <w:rsid w:val="00F92355"/>
    <w:rsid w:val="00F93963"/>
    <w:rsid w:val="00F94291"/>
    <w:rsid w:val="00FA298A"/>
    <w:rsid w:val="00FA5B66"/>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B6207F"/>
  <w15:docId w15:val="{C6EBA0A9-4AA7-4831-BBA7-617C70C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cour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D38865E5D4CFF895E98DB42263916"/>
        <w:category>
          <w:name w:val="General"/>
          <w:gallery w:val="placeholder"/>
        </w:category>
        <w:types>
          <w:type w:val="bbPlcHdr"/>
        </w:types>
        <w:behaviors>
          <w:behavior w:val="content"/>
        </w:behaviors>
        <w:guid w:val="{14843E60-4169-4D75-9161-A3C48159F791}"/>
      </w:docPartPr>
      <w:docPartBody>
        <w:p w:rsidR="006E492E" w:rsidRDefault="006E492E">
          <w:pPr>
            <w:pStyle w:val="781D38865E5D4CFF895E98DB42263916"/>
          </w:pPr>
          <w:r>
            <w:rPr>
              <w:rStyle w:val="PlaceholderText"/>
            </w:rPr>
            <w:t>MNC Text</w:t>
          </w:r>
        </w:p>
      </w:docPartBody>
    </w:docPart>
    <w:docPart>
      <w:docPartPr>
        <w:name w:val="E1D82FC87BCE4B8BAD17AB31EEABEF84"/>
        <w:category>
          <w:name w:val="General"/>
          <w:gallery w:val="placeholder"/>
        </w:category>
        <w:types>
          <w:type w:val="bbPlcHdr"/>
        </w:types>
        <w:behaviors>
          <w:behavior w:val="content"/>
        </w:behaviors>
        <w:guid w:val="{B59A0A77-21BE-4BF9-84CA-442A011AC8C8}"/>
      </w:docPartPr>
      <w:docPartBody>
        <w:p w:rsidR="006E492E" w:rsidRDefault="006E492E">
          <w:pPr>
            <w:pStyle w:val="E1D82FC87BCE4B8BAD17AB31EEABEF84"/>
          </w:pPr>
          <w:r w:rsidRPr="005C44BE">
            <w:rPr>
              <w:rStyle w:val="PlaceholderText"/>
            </w:rPr>
            <w:t>Click or tap here to enter text.</w:t>
          </w:r>
        </w:p>
      </w:docPartBody>
    </w:docPart>
    <w:docPart>
      <w:docPartPr>
        <w:name w:val="8E52B380567C49EBA76BBEBB05D04EE2"/>
        <w:category>
          <w:name w:val="General"/>
          <w:gallery w:val="placeholder"/>
        </w:category>
        <w:types>
          <w:type w:val="bbPlcHdr"/>
        </w:types>
        <w:behaviors>
          <w:behavior w:val="content"/>
        </w:behaviors>
        <w:guid w:val="{94971C08-E840-46D0-9447-780C8506AF75}"/>
      </w:docPartPr>
      <w:docPartBody>
        <w:p w:rsidR="006E492E" w:rsidRDefault="006E492E">
          <w:pPr>
            <w:pStyle w:val="8E52B380567C49EBA76BBEBB05D04EE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2E"/>
    <w:rsid w:val="006E4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1D38865E5D4CFF895E98DB42263916">
    <w:name w:val="781D38865E5D4CFF895E98DB42263916"/>
  </w:style>
  <w:style w:type="paragraph" w:customStyle="1" w:styleId="85E02D994AEB4EE1B55A39BC46B5BE69">
    <w:name w:val="85E02D994AEB4EE1B55A39BC46B5BE69"/>
  </w:style>
  <w:style w:type="paragraph" w:customStyle="1" w:styleId="94C185C6139A4F8A91B09A963B7395D5">
    <w:name w:val="94C185C6139A4F8A91B09A963B7395D5"/>
  </w:style>
  <w:style w:type="paragraph" w:customStyle="1" w:styleId="E1D82FC87BCE4B8BAD17AB31EEABEF84">
    <w:name w:val="E1D82FC87BCE4B8BAD17AB31EEABEF84"/>
  </w:style>
  <w:style w:type="paragraph" w:customStyle="1" w:styleId="8E52B380567C49EBA76BBEBB05D04EE2">
    <w:name w:val="8E52B380567C49EBA76BBEBB05D0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Capic v Ford Motor Company Of Australia Pty Ltd [2021] FCA 715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Pages>
  <Words>1178</Words>
  <Characters>6150</Characters>
  <Application>Microsoft Office Word</Application>
  <DocSecurity>4</DocSecurity>
  <Lines>102</Lines>
  <Paragraphs>33</Paragraphs>
  <ScaleCrop>false</ScaleCrop>
  <HeadingPairs>
    <vt:vector size="2" baseType="variant">
      <vt:variant>
        <vt:lpstr>Title</vt:lpstr>
      </vt:variant>
      <vt:variant>
        <vt:i4>1</vt:i4>
      </vt:variant>
    </vt:vector>
  </HeadingPairs>
  <TitlesOfParts>
    <vt:vector size="1" baseType="lpstr">
      <vt:lpstr>Capic v Ford Motor Company Of Australia Pty Ltd [2021] FCA 715 </vt:lpstr>
    </vt:vector>
  </TitlesOfParts>
  <Company>Federal Court of Australia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Capic v Ford Motor Company Of Australia Pty Ltd [2021] FCA 715</dc:title>
  <dc:creator>Federal Court of Australia</dc:creator>
  <cp:lastModifiedBy>Federal Court of Australia</cp:lastModifiedBy>
  <cp:revision>2</cp:revision>
  <cp:lastPrinted>2006-02-06T01:31:00Z</cp:lastPrinted>
  <dcterms:created xsi:type="dcterms:W3CDTF">2021-06-29T01:19:00Z</dcterms:created>
  <dcterms:modified xsi:type="dcterms:W3CDTF">2021-06-29T01:19:00Z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