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24" w:rsidRDefault="002C7385">
      <w:pPr>
        <w:pStyle w:val="NormalHeadings"/>
        <w:jc w:val="center"/>
        <w:rPr>
          <w:sz w:val="32"/>
        </w:rPr>
      </w:pPr>
      <w:r>
        <w:rPr>
          <w:sz w:val="32"/>
        </w:rPr>
        <w:t>FEDERAL COURT OF AUSTRALIA</w:t>
      </w:r>
    </w:p>
    <w:p w:rsidR="00395B24" w:rsidRDefault="00395B24">
      <w:pPr>
        <w:pStyle w:val="NormalHeadings"/>
        <w:jc w:val="center"/>
        <w:rPr>
          <w:sz w:val="32"/>
        </w:rPr>
      </w:pPr>
    </w:p>
    <w:p w:rsidR="00395B24" w:rsidRDefault="006148F8">
      <w:pPr>
        <w:pStyle w:val="MediaNeutralStyle"/>
      </w:pPr>
      <w:bookmarkStart w:id="0" w:name="MNC"/>
      <w:r w:rsidRPr="006148F8">
        <w:t>Gaynor v</w:t>
      </w:r>
      <w:r>
        <w:t xml:space="preserve"> Chief of the Defence Force (No </w:t>
      </w:r>
      <w:r w:rsidRPr="006148F8">
        <w:t xml:space="preserve">4) [2015] </w:t>
      </w:r>
      <w:proofErr w:type="spellStart"/>
      <w:r w:rsidRPr="006148F8">
        <w:t>FCA</w:t>
      </w:r>
      <w:proofErr w:type="spellEnd"/>
      <w:r w:rsidRPr="006148F8">
        <w:t xml:space="preserve"> </w:t>
      </w:r>
      <w:r w:rsidR="00BE1DD3">
        <w:t>1461</w:t>
      </w:r>
      <w:r w:rsidR="002C7385">
        <w:t xml:space="preserve"> </w:t>
      </w:r>
      <w:bookmarkEnd w:id="0"/>
    </w:p>
    <w:p w:rsidR="00395B24" w:rsidRDefault="00395B24">
      <w:pPr>
        <w:pStyle w:val="Normal1linespace"/>
      </w:pPr>
    </w:p>
    <w:tbl>
      <w:tblPr>
        <w:tblW w:w="9074" w:type="dxa"/>
        <w:tblLayout w:type="fixed"/>
        <w:tblLook w:val="01E0" w:firstRow="1" w:lastRow="1" w:firstColumn="1" w:lastColumn="1" w:noHBand="0" w:noVBand="0"/>
      </w:tblPr>
      <w:tblGrid>
        <w:gridCol w:w="3085"/>
        <w:gridCol w:w="5989"/>
      </w:tblGrid>
      <w:tr w:rsidR="00395B24" w:rsidTr="00787E3B">
        <w:tc>
          <w:tcPr>
            <w:tcW w:w="3085" w:type="dxa"/>
            <w:shd w:val="clear" w:color="auto" w:fill="auto"/>
          </w:tcPr>
          <w:p w:rsidR="00395B24" w:rsidRDefault="002C7385">
            <w:pPr>
              <w:pStyle w:val="Normal1linespace"/>
              <w:widowControl w:val="0"/>
            </w:pPr>
            <w:r>
              <w:t>Citation:</w:t>
            </w:r>
          </w:p>
        </w:tc>
        <w:tc>
          <w:tcPr>
            <w:tcW w:w="5989" w:type="dxa"/>
            <w:shd w:val="clear" w:color="auto" w:fill="auto"/>
          </w:tcPr>
          <w:p w:rsidR="00395B24" w:rsidRDefault="006148F8" w:rsidP="00BE1DD3">
            <w:pPr>
              <w:pStyle w:val="Normal1linespace"/>
              <w:widowControl w:val="0"/>
              <w:jc w:val="left"/>
            </w:pPr>
            <w:r w:rsidRPr="006148F8">
              <w:t>Gaynor v</w:t>
            </w:r>
            <w:r>
              <w:t xml:space="preserve"> Chief of the Defence Force (No 4</w:t>
            </w:r>
            <w:r w:rsidRPr="006148F8">
              <w:t>) [2015] FCA</w:t>
            </w:r>
            <w:r>
              <w:t xml:space="preserve"> </w:t>
            </w:r>
            <w:r w:rsidR="00BE1DD3">
              <w:t>1461</w:t>
            </w:r>
          </w:p>
        </w:tc>
      </w:tr>
      <w:tr w:rsidR="00395B24" w:rsidTr="00787E3B">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787E3B">
        <w:tc>
          <w:tcPr>
            <w:tcW w:w="3085" w:type="dxa"/>
            <w:shd w:val="clear" w:color="auto" w:fill="auto"/>
          </w:tcPr>
          <w:p w:rsidR="00395B24" w:rsidRDefault="002C7385">
            <w:pPr>
              <w:pStyle w:val="Normal1linespace"/>
              <w:widowControl w:val="0"/>
            </w:pPr>
            <w:r>
              <w:t>Parties:</w:t>
            </w:r>
          </w:p>
        </w:tc>
        <w:tc>
          <w:tcPr>
            <w:tcW w:w="5989" w:type="dxa"/>
            <w:shd w:val="clear" w:color="auto" w:fill="auto"/>
          </w:tcPr>
          <w:p w:rsidR="00395B24" w:rsidRDefault="00EA0523">
            <w:pPr>
              <w:pStyle w:val="Normal1linespace"/>
              <w:widowControl w:val="0"/>
              <w:jc w:val="left"/>
              <w:rPr>
                <w:b/>
              </w:rPr>
            </w:pPr>
            <w:bookmarkStart w:id="1" w:name="JudgmentFP"/>
            <w:r>
              <w:rPr>
                <w:b/>
              </w:rPr>
              <w:t>BERNARD GAYNOR v CHIEF OF THE DEFENCE FORCE</w:t>
            </w:r>
            <w:bookmarkEnd w:id="1"/>
          </w:p>
        </w:tc>
      </w:tr>
      <w:tr w:rsidR="00395B24" w:rsidTr="00787E3B">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787E3B">
        <w:tc>
          <w:tcPr>
            <w:tcW w:w="3085" w:type="dxa"/>
            <w:shd w:val="clear" w:color="auto" w:fill="auto"/>
          </w:tcPr>
          <w:p w:rsidR="00395B24" w:rsidRDefault="002C7385">
            <w:pPr>
              <w:pStyle w:val="Normal1linespace"/>
              <w:widowControl w:val="0"/>
            </w:pPr>
            <w:r>
              <w:t>File number(s):</w:t>
            </w:r>
          </w:p>
        </w:tc>
        <w:tc>
          <w:tcPr>
            <w:tcW w:w="5989" w:type="dxa"/>
            <w:shd w:val="clear" w:color="auto" w:fill="auto"/>
          </w:tcPr>
          <w:p w:rsidR="00395B24" w:rsidRDefault="002C7385">
            <w:pPr>
              <w:pStyle w:val="Normal1linespace"/>
              <w:widowControl w:val="0"/>
              <w:jc w:val="left"/>
            </w:pPr>
            <w:r>
              <w:rPr>
                <w:szCs w:val="24"/>
              </w:rPr>
              <w:fldChar w:fldCharType="begin" w:fldLock="1"/>
            </w:r>
            <w:r>
              <w:rPr>
                <w:szCs w:val="24"/>
              </w:rPr>
              <w:instrText xml:space="preserve"> REF  Num  \* MERGEFORMAT </w:instrText>
            </w:r>
            <w:r>
              <w:rPr>
                <w:szCs w:val="24"/>
              </w:rPr>
              <w:fldChar w:fldCharType="separate"/>
            </w:r>
            <w:proofErr w:type="spellStart"/>
            <w:r w:rsidR="00EA0523">
              <w:rPr>
                <w:szCs w:val="24"/>
              </w:rPr>
              <w:t>NSD</w:t>
            </w:r>
            <w:proofErr w:type="spellEnd"/>
            <w:r w:rsidR="00EA0523">
              <w:rPr>
                <w:szCs w:val="24"/>
              </w:rPr>
              <w:t xml:space="preserve"> 692 of 2014</w:t>
            </w:r>
            <w:r>
              <w:rPr>
                <w:szCs w:val="24"/>
              </w:rPr>
              <w:fldChar w:fldCharType="end"/>
            </w:r>
          </w:p>
        </w:tc>
      </w:tr>
      <w:tr w:rsidR="00395B24" w:rsidTr="00787E3B">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787E3B">
        <w:tc>
          <w:tcPr>
            <w:tcW w:w="3085" w:type="dxa"/>
            <w:shd w:val="clear" w:color="auto" w:fill="auto"/>
          </w:tcPr>
          <w:p w:rsidR="00395B24" w:rsidRDefault="002C7385">
            <w:pPr>
              <w:pStyle w:val="Normal1linespace"/>
              <w:widowControl w:val="0"/>
            </w:pPr>
            <w:r>
              <w:t>Judge(s):</w:t>
            </w:r>
          </w:p>
        </w:tc>
        <w:tc>
          <w:tcPr>
            <w:tcW w:w="5989" w:type="dxa"/>
            <w:shd w:val="clear" w:color="auto" w:fill="auto"/>
          </w:tcPr>
          <w:p w:rsidR="00395B24" w:rsidRDefault="002C7385">
            <w:pPr>
              <w:pStyle w:val="Normal1linespace"/>
              <w:widowControl w:val="0"/>
              <w:jc w:val="left"/>
              <w:rPr>
                <w:b/>
              </w:rPr>
            </w:pPr>
            <w:r w:rsidRPr="00EA0523">
              <w:rPr>
                <w:b/>
              </w:rPr>
              <w:fldChar w:fldCharType="begin" w:fldLock="1"/>
            </w:r>
            <w:r w:rsidRPr="00EA0523">
              <w:rPr>
                <w:b/>
              </w:rPr>
              <w:instrText xml:space="preserve"> REF  Judge  \* MERGEFORMAT </w:instrText>
            </w:r>
            <w:r w:rsidRPr="00EA0523">
              <w:rPr>
                <w:b/>
              </w:rPr>
              <w:fldChar w:fldCharType="separate"/>
            </w:r>
            <w:r w:rsidR="00EA0523" w:rsidRPr="00EA0523">
              <w:rPr>
                <w:b/>
                <w:caps/>
                <w:szCs w:val="24"/>
              </w:rPr>
              <w:t>BUCHANAN J</w:t>
            </w:r>
            <w:r w:rsidRPr="00EA0523">
              <w:rPr>
                <w:b/>
              </w:rPr>
              <w:fldChar w:fldCharType="end"/>
            </w:r>
          </w:p>
        </w:tc>
      </w:tr>
      <w:tr w:rsidR="00395B24" w:rsidTr="00787E3B">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787E3B">
        <w:tc>
          <w:tcPr>
            <w:tcW w:w="3085" w:type="dxa"/>
            <w:shd w:val="clear" w:color="auto" w:fill="auto"/>
          </w:tcPr>
          <w:p w:rsidR="00395B24" w:rsidRDefault="002C7385">
            <w:pPr>
              <w:pStyle w:val="Normal1linespace"/>
              <w:widowControl w:val="0"/>
            </w:pPr>
            <w:r>
              <w:t>Date of judgment:</w:t>
            </w:r>
          </w:p>
        </w:tc>
        <w:tc>
          <w:tcPr>
            <w:tcW w:w="5989" w:type="dxa"/>
            <w:shd w:val="clear" w:color="auto" w:fill="auto"/>
          </w:tcPr>
          <w:p w:rsidR="00395B24" w:rsidRDefault="00EA0523">
            <w:pPr>
              <w:pStyle w:val="Normal1linespace"/>
              <w:widowControl w:val="0"/>
              <w:jc w:val="left"/>
            </w:pPr>
            <w:bookmarkStart w:id="2" w:name="JudgmentDate"/>
            <w:r>
              <w:t>18 December 2015</w:t>
            </w:r>
            <w:bookmarkEnd w:id="2"/>
          </w:p>
        </w:tc>
      </w:tr>
      <w:tr w:rsidR="00395B24" w:rsidTr="00787E3B">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787E3B">
        <w:tc>
          <w:tcPr>
            <w:tcW w:w="3085" w:type="dxa"/>
            <w:shd w:val="clear" w:color="auto" w:fill="auto"/>
          </w:tcPr>
          <w:p w:rsidR="00395B24" w:rsidRDefault="002C7385">
            <w:pPr>
              <w:pStyle w:val="Normal1linespace"/>
              <w:widowControl w:val="0"/>
            </w:pPr>
            <w:r>
              <w:t>Legislation:</w:t>
            </w:r>
          </w:p>
        </w:tc>
        <w:tc>
          <w:tcPr>
            <w:tcW w:w="5989" w:type="dxa"/>
            <w:shd w:val="clear" w:color="auto" w:fill="auto"/>
          </w:tcPr>
          <w:p w:rsidR="00395B24" w:rsidRDefault="003E1945">
            <w:pPr>
              <w:pStyle w:val="Normal1linespace"/>
              <w:widowControl w:val="0"/>
              <w:jc w:val="left"/>
            </w:pPr>
            <w:bookmarkStart w:id="3" w:name="Legislation"/>
            <w:r w:rsidRPr="00BB7562">
              <w:rPr>
                <w:i/>
              </w:rPr>
              <w:t>Administrative Decisions (Judicial Review) Act 1977</w:t>
            </w:r>
            <w:r w:rsidRPr="00BB7562">
              <w:t xml:space="preserve"> (Cth)</w:t>
            </w:r>
            <w:r>
              <w:t xml:space="preserve">  </w:t>
            </w:r>
            <w:r w:rsidR="002C7385">
              <w:t xml:space="preserve"> </w:t>
            </w:r>
            <w:bookmarkEnd w:id="3"/>
          </w:p>
        </w:tc>
      </w:tr>
      <w:tr w:rsidR="00395B24" w:rsidTr="00787E3B">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787E3B">
        <w:tc>
          <w:tcPr>
            <w:tcW w:w="3085" w:type="dxa"/>
            <w:shd w:val="clear" w:color="auto" w:fill="auto"/>
          </w:tcPr>
          <w:p w:rsidR="00395B24" w:rsidRDefault="002C7385">
            <w:pPr>
              <w:pStyle w:val="Normal1linespace"/>
              <w:widowControl w:val="0"/>
            </w:pPr>
            <w:r>
              <w:t>Cases cited:</w:t>
            </w:r>
          </w:p>
        </w:tc>
        <w:tc>
          <w:tcPr>
            <w:tcW w:w="5989" w:type="dxa"/>
            <w:shd w:val="clear" w:color="auto" w:fill="auto"/>
          </w:tcPr>
          <w:p w:rsidR="002167E4" w:rsidRDefault="002167E4">
            <w:pPr>
              <w:pStyle w:val="Normal1linespace"/>
              <w:widowControl w:val="0"/>
              <w:jc w:val="left"/>
              <w:rPr>
                <w:i/>
              </w:rPr>
            </w:pPr>
            <w:bookmarkStart w:id="4" w:name="Cases_Cited"/>
            <w:r w:rsidRPr="006D1154">
              <w:rPr>
                <w:i/>
              </w:rPr>
              <w:t>Bowen Investments Pty Ltd v Tabcorp Holdings Ltd (No 2)</w:t>
            </w:r>
            <w:r>
              <w:t xml:space="preserve"> [2008] FCAFC 107</w:t>
            </w:r>
          </w:p>
          <w:p w:rsidR="00EC5446" w:rsidRDefault="00AE015E">
            <w:pPr>
              <w:pStyle w:val="Normal1linespace"/>
              <w:widowControl w:val="0"/>
              <w:jc w:val="left"/>
            </w:pPr>
            <w:r w:rsidRPr="00DF1438">
              <w:rPr>
                <w:i/>
              </w:rPr>
              <w:t>Gaynor v</w:t>
            </w:r>
            <w:r>
              <w:rPr>
                <w:i/>
              </w:rPr>
              <w:t xml:space="preserve"> Chief of the Defence Force (No </w:t>
            </w:r>
            <w:r w:rsidRPr="00DF1438">
              <w:rPr>
                <w:i/>
              </w:rPr>
              <w:t>3)</w:t>
            </w:r>
            <w:r w:rsidRPr="00DF1438">
              <w:t xml:space="preserve"> [2015] FCA 1370</w:t>
            </w:r>
          </w:p>
          <w:p w:rsidR="00395B24" w:rsidRDefault="00EC5446">
            <w:pPr>
              <w:pStyle w:val="Normal1linespace"/>
              <w:widowControl w:val="0"/>
              <w:jc w:val="left"/>
            </w:pPr>
            <w:r w:rsidRPr="00C03511">
              <w:rPr>
                <w:i/>
              </w:rPr>
              <w:t>Ruddock v Vadarlis (No 2)</w:t>
            </w:r>
            <w:r>
              <w:t xml:space="preserve"> (2001) 115 FCR 229</w:t>
            </w:r>
            <w:r w:rsidR="00AE015E">
              <w:t xml:space="preserve">  </w:t>
            </w:r>
            <w:r w:rsidR="002C7385">
              <w:t xml:space="preserve"> </w:t>
            </w:r>
            <w:bookmarkEnd w:id="4"/>
          </w:p>
        </w:tc>
      </w:tr>
      <w:tr w:rsidR="00787E3B" w:rsidRPr="00787E3B" w:rsidTr="00787E3B">
        <w:tc>
          <w:tcPr>
            <w:tcW w:w="3085" w:type="dxa"/>
            <w:shd w:val="clear" w:color="auto" w:fill="auto"/>
          </w:tcPr>
          <w:p w:rsidR="00787E3B" w:rsidRPr="00787E3B" w:rsidRDefault="00787E3B" w:rsidP="00787E3B">
            <w:pPr>
              <w:pStyle w:val="Normal1linespace"/>
              <w:jc w:val="left"/>
            </w:pPr>
          </w:p>
        </w:tc>
        <w:tc>
          <w:tcPr>
            <w:tcW w:w="5989" w:type="dxa"/>
            <w:shd w:val="clear" w:color="auto" w:fill="auto"/>
          </w:tcPr>
          <w:p w:rsidR="00787E3B" w:rsidRPr="00787E3B" w:rsidRDefault="00787E3B" w:rsidP="00787E3B">
            <w:pPr>
              <w:pStyle w:val="Normal1linespace"/>
              <w:jc w:val="left"/>
            </w:pPr>
          </w:p>
        </w:tc>
      </w:tr>
      <w:tr w:rsidR="00787E3B" w:rsidRPr="00787E3B" w:rsidTr="00787E3B">
        <w:tc>
          <w:tcPr>
            <w:tcW w:w="3085" w:type="dxa"/>
            <w:shd w:val="clear" w:color="auto" w:fill="auto"/>
          </w:tcPr>
          <w:p w:rsidR="00787E3B" w:rsidRPr="00787E3B" w:rsidRDefault="00787E3B" w:rsidP="00787E3B">
            <w:pPr>
              <w:pStyle w:val="Normal1linespace"/>
              <w:jc w:val="left"/>
            </w:pPr>
            <w:bookmarkStart w:id="5" w:name="CounselDate" w:colFirst="0" w:colLast="2"/>
            <w:r w:rsidRPr="00787E3B">
              <w:t>Date of hearing:</w:t>
            </w:r>
          </w:p>
        </w:tc>
        <w:tc>
          <w:tcPr>
            <w:tcW w:w="5989" w:type="dxa"/>
            <w:shd w:val="clear" w:color="auto" w:fill="auto"/>
          </w:tcPr>
          <w:p w:rsidR="00787E3B" w:rsidRPr="00787E3B" w:rsidRDefault="00787E3B" w:rsidP="00787E3B">
            <w:pPr>
              <w:pStyle w:val="Normal1linespace"/>
              <w:jc w:val="left"/>
            </w:pPr>
            <w:bookmarkStart w:id="6" w:name="HearingDate"/>
            <w:r>
              <w:t>Heard on the papers</w:t>
            </w:r>
            <w:bookmarkEnd w:id="6"/>
          </w:p>
        </w:tc>
      </w:tr>
      <w:tr w:rsidR="00787E3B" w:rsidRPr="00787E3B" w:rsidTr="00787E3B">
        <w:tc>
          <w:tcPr>
            <w:tcW w:w="3085" w:type="dxa"/>
            <w:shd w:val="clear" w:color="auto" w:fill="auto"/>
          </w:tcPr>
          <w:p w:rsidR="00787E3B" w:rsidRPr="00787E3B" w:rsidRDefault="00787E3B" w:rsidP="00787E3B">
            <w:pPr>
              <w:pStyle w:val="Normal1linespace"/>
              <w:jc w:val="left"/>
            </w:pPr>
          </w:p>
        </w:tc>
        <w:tc>
          <w:tcPr>
            <w:tcW w:w="5989" w:type="dxa"/>
            <w:shd w:val="clear" w:color="auto" w:fill="auto"/>
          </w:tcPr>
          <w:p w:rsidR="00787E3B" w:rsidRPr="00787E3B" w:rsidRDefault="00787E3B" w:rsidP="00787E3B">
            <w:pPr>
              <w:pStyle w:val="Normal1linespace"/>
              <w:jc w:val="left"/>
            </w:pPr>
          </w:p>
        </w:tc>
      </w:tr>
      <w:tr w:rsidR="00787E3B" w:rsidRPr="00787E3B" w:rsidTr="00787E3B">
        <w:tc>
          <w:tcPr>
            <w:tcW w:w="3085" w:type="dxa"/>
            <w:shd w:val="clear" w:color="auto" w:fill="auto"/>
          </w:tcPr>
          <w:p w:rsidR="00787E3B" w:rsidRPr="00787E3B" w:rsidRDefault="00787E3B" w:rsidP="00787E3B">
            <w:pPr>
              <w:pStyle w:val="Normal1linespace"/>
              <w:jc w:val="left"/>
            </w:pPr>
            <w:r w:rsidRPr="00787E3B">
              <w:t>Date of last submissions:</w:t>
            </w:r>
          </w:p>
        </w:tc>
        <w:tc>
          <w:tcPr>
            <w:tcW w:w="5989" w:type="dxa"/>
            <w:shd w:val="clear" w:color="auto" w:fill="auto"/>
          </w:tcPr>
          <w:p w:rsidR="00787E3B" w:rsidRDefault="00787E3B" w:rsidP="00787E3B">
            <w:pPr>
              <w:pStyle w:val="Normal1linespace"/>
              <w:jc w:val="left"/>
            </w:pPr>
            <w:r>
              <w:t>15 December 2015 (Respondent)</w:t>
            </w:r>
          </w:p>
          <w:p w:rsidR="00787E3B" w:rsidRPr="00787E3B" w:rsidRDefault="00787E3B" w:rsidP="00185854">
            <w:pPr>
              <w:pStyle w:val="Normal1linespace"/>
              <w:jc w:val="left"/>
            </w:pPr>
            <w:r>
              <w:t>1</w:t>
            </w:r>
            <w:r w:rsidR="00185854">
              <w:t>8</w:t>
            </w:r>
            <w:r>
              <w:t xml:space="preserve"> December 2015 (Applicant)</w:t>
            </w:r>
          </w:p>
        </w:tc>
      </w:tr>
      <w:bookmarkEnd w:id="5"/>
      <w:tr w:rsidR="00787E3B" w:rsidTr="00787E3B">
        <w:tc>
          <w:tcPr>
            <w:tcW w:w="3085" w:type="dxa"/>
            <w:shd w:val="clear" w:color="auto" w:fill="auto"/>
          </w:tcPr>
          <w:p w:rsidR="00787E3B" w:rsidRDefault="00787E3B" w:rsidP="00787E3B">
            <w:pPr>
              <w:pStyle w:val="Normal1linespace"/>
              <w:widowControl w:val="0"/>
              <w:jc w:val="left"/>
            </w:pPr>
          </w:p>
        </w:tc>
        <w:tc>
          <w:tcPr>
            <w:tcW w:w="5989" w:type="dxa"/>
            <w:shd w:val="clear" w:color="auto" w:fill="auto"/>
          </w:tcPr>
          <w:p w:rsidR="00787E3B" w:rsidRDefault="00787E3B" w:rsidP="00787E3B">
            <w:pPr>
              <w:pStyle w:val="Normal1linespace"/>
              <w:widowControl w:val="0"/>
              <w:jc w:val="left"/>
            </w:pPr>
          </w:p>
        </w:tc>
      </w:tr>
      <w:tr w:rsidR="00787E3B" w:rsidTr="00787E3B">
        <w:tc>
          <w:tcPr>
            <w:tcW w:w="3085" w:type="dxa"/>
            <w:shd w:val="clear" w:color="auto" w:fill="auto"/>
          </w:tcPr>
          <w:p w:rsidR="00787E3B" w:rsidRDefault="00787E3B" w:rsidP="00787E3B">
            <w:pPr>
              <w:pStyle w:val="Normal1linespace"/>
              <w:widowControl w:val="0"/>
              <w:jc w:val="left"/>
            </w:pPr>
            <w:r>
              <w:t>Place:</w:t>
            </w:r>
          </w:p>
        </w:tc>
        <w:tc>
          <w:tcPr>
            <w:tcW w:w="5989" w:type="dxa"/>
            <w:shd w:val="clear" w:color="auto" w:fill="auto"/>
          </w:tcPr>
          <w:p w:rsidR="00787E3B" w:rsidRDefault="0023097E" w:rsidP="00787E3B">
            <w:pPr>
              <w:pStyle w:val="Normal1linespace"/>
              <w:widowControl w:val="0"/>
              <w:jc w:val="left"/>
            </w:pPr>
            <w:fldSimple w:instr=" DOCVARIABLE  Place_SentenceCase  \* MERGEFORMAT ">
              <w:r w:rsidR="00787E3B">
                <w:t>Sydney</w:t>
              </w:r>
            </w:fldSimple>
          </w:p>
        </w:tc>
      </w:tr>
      <w:tr w:rsidR="00787E3B" w:rsidTr="00787E3B">
        <w:tc>
          <w:tcPr>
            <w:tcW w:w="3085" w:type="dxa"/>
            <w:shd w:val="clear" w:color="auto" w:fill="auto"/>
          </w:tcPr>
          <w:p w:rsidR="00787E3B" w:rsidRDefault="00787E3B" w:rsidP="00787E3B">
            <w:pPr>
              <w:pStyle w:val="Normal1linespace"/>
              <w:widowControl w:val="0"/>
              <w:jc w:val="left"/>
            </w:pPr>
          </w:p>
        </w:tc>
        <w:tc>
          <w:tcPr>
            <w:tcW w:w="5989" w:type="dxa"/>
            <w:shd w:val="clear" w:color="auto" w:fill="auto"/>
          </w:tcPr>
          <w:p w:rsidR="00787E3B" w:rsidRDefault="00787E3B" w:rsidP="00787E3B">
            <w:pPr>
              <w:pStyle w:val="Normal1linespace"/>
              <w:widowControl w:val="0"/>
              <w:jc w:val="left"/>
            </w:pPr>
          </w:p>
        </w:tc>
      </w:tr>
      <w:tr w:rsidR="00787E3B" w:rsidTr="00787E3B">
        <w:tc>
          <w:tcPr>
            <w:tcW w:w="3085" w:type="dxa"/>
            <w:shd w:val="clear" w:color="auto" w:fill="auto"/>
          </w:tcPr>
          <w:p w:rsidR="00787E3B" w:rsidRDefault="00787E3B" w:rsidP="00787E3B">
            <w:pPr>
              <w:pStyle w:val="Normal1linespace"/>
              <w:widowControl w:val="0"/>
              <w:jc w:val="left"/>
            </w:pPr>
            <w:r>
              <w:t>Division:</w:t>
            </w:r>
          </w:p>
        </w:tc>
        <w:tc>
          <w:tcPr>
            <w:tcW w:w="5989" w:type="dxa"/>
            <w:shd w:val="clear" w:color="auto" w:fill="auto"/>
          </w:tcPr>
          <w:p w:rsidR="00787E3B" w:rsidRPr="00C67B37" w:rsidRDefault="00787E3B" w:rsidP="00787E3B">
            <w:pPr>
              <w:pStyle w:val="Normal1linespace"/>
              <w:widowControl w:val="0"/>
              <w:jc w:val="left"/>
              <w:rPr>
                <w:caps/>
              </w:rPr>
            </w:pPr>
            <w:r>
              <w:rPr>
                <w:caps/>
              </w:rPr>
              <w:fldChar w:fldCharType="begin"/>
            </w:r>
            <w:r>
              <w:rPr>
                <w:caps/>
              </w:rPr>
              <w:instrText xml:space="preserve"> REF  Division </w:instrText>
            </w:r>
            <w:r>
              <w:rPr>
                <w:caps/>
              </w:rPr>
              <w:fldChar w:fldCharType="separate"/>
            </w:r>
            <w:r w:rsidR="00F921C5">
              <w:rPr>
                <w:caps/>
                <w:szCs w:val="24"/>
              </w:rPr>
              <w:t>GENERAL DIVISION</w:t>
            </w:r>
            <w:r>
              <w:rPr>
                <w:caps/>
              </w:rPr>
              <w:fldChar w:fldCharType="end"/>
            </w:r>
          </w:p>
        </w:tc>
      </w:tr>
      <w:tr w:rsidR="00787E3B" w:rsidTr="00787E3B">
        <w:tc>
          <w:tcPr>
            <w:tcW w:w="3085" w:type="dxa"/>
            <w:shd w:val="clear" w:color="auto" w:fill="auto"/>
          </w:tcPr>
          <w:p w:rsidR="00787E3B" w:rsidRDefault="00787E3B" w:rsidP="00787E3B">
            <w:pPr>
              <w:pStyle w:val="Normal1linespace"/>
              <w:widowControl w:val="0"/>
              <w:jc w:val="left"/>
            </w:pPr>
          </w:p>
        </w:tc>
        <w:tc>
          <w:tcPr>
            <w:tcW w:w="5989" w:type="dxa"/>
            <w:shd w:val="clear" w:color="auto" w:fill="auto"/>
          </w:tcPr>
          <w:p w:rsidR="00787E3B" w:rsidRDefault="00787E3B" w:rsidP="00787E3B">
            <w:pPr>
              <w:pStyle w:val="Normal1linespace"/>
              <w:widowControl w:val="0"/>
              <w:jc w:val="left"/>
              <w:rPr>
                <w:b/>
              </w:rPr>
            </w:pPr>
          </w:p>
        </w:tc>
      </w:tr>
      <w:tr w:rsidR="00787E3B" w:rsidTr="00787E3B">
        <w:tc>
          <w:tcPr>
            <w:tcW w:w="3085" w:type="dxa"/>
            <w:shd w:val="clear" w:color="auto" w:fill="auto"/>
          </w:tcPr>
          <w:p w:rsidR="00787E3B" w:rsidRDefault="00787E3B" w:rsidP="00787E3B">
            <w:pPr>
              <w:pStyle w:val="Normal1linespace"/>
              <w:widowControl w:val="0"/>
              <w:jc w:val="left"/>
            </w:pPr>
            <w:r>
              <w:t>Category:</w:t>
            </w:r>
          </w:p>
        </w:tc>
        <w:tc>
          <w:tcPr>
            <w:tcW w:w="5989" w:type="dxa"/>
            <w:shd w:val="clear" w:color="auto" w:fill="auto"/>
          </w:tcPr>
          <w:p w:rsidR="00787E3B" w:rsidRDefault="00787E3B" w:rsidP="00787E3B">
            <w:pPr>
              <w:pStyle w:val="Normal1linespace"/>
              <w:widowControl w:val="0"/>
              <w:jc w:val="left"/>
            </w:pPr>
            <w:r w:rsidRPr="00787E3B">
              <w:t>No Catchwords</w:t>
            </w:r>
          </w:p>
        </w:tc>
      </w:tr>
      <w:tr w:rsidR="00787E3B" w:rsidTr="00787E3B">
        <w:tc>
          <w:tcPr>
            <w:tcW w:w="3085" w:type="dxa"/>
            <w:shd w:val="clear" w:color="auto" w:fill="auto"/>
          </w:tcPr>
          <w:p w:rsidR="00787E3B" w:rsidRDefault="00787E3B" w:rsidP="00787E3B">
            <w:pPr>
              <w:pStyle w:val="Normal1linespace"/>
              <w:widowControl w:val="0"/>
              <w:jc w:val="left"/>
            </w:pPr>
          </w:p>
        </w:tc>
        <w:tc>
          <w:tcPr>
            <w:tcW w:w="5989" w:type="dxa"/>
            <w:shd w:val="clear" w:color="auto" w:fill="auto"/>
          </w:tcPr>
          <w:p w:rsidR="00787E3B" w:rsidRDefault="00787E3B" w:rsidP="00787E3B">
            <w:pPr>
              <w:pStyle w:val="Normal1linespace"/>
              <w:widowControl w:val="0"/>
              <w:jc w:val="left"/>
            </w:pPr>
          </w:p>
        </w:tc>
      </w:tr>
      <w:tr w:rsidR="00787E3B" w:rsidTr="00787E3B">
        <w:tc>
          <w:tcPr>
            <w:tcW w:w="3085" w:type="dxa"/>
            <w:shd w:val="clear" w:color="auto" w:fill="auto"/>
          </w:tcPr>
          <w:p w:rsidR="00787E3B" w:rsidRDefault="00787E3B" w:rsidP="00787E3B">
            <w:pPr>
              <w:pStyle w:val="Normal1linespace"/>
              <w:widowControl w:val="0"/>
              <w:jc w:val="left"/>
            </w:pPr>
            <w:r>
              <w:t>Number of paragraphs:</w:t>
            </w:r>
          </w:p>
        </w:tc>
        <w:tc>
          <w:tcPr>
            <w:tcW w:w="5989" w:type="dxa"/>
            <w:shd w:val="clear" w:color="auto" w:fill="auto"/>
          </w:tcPr>
          <w:p w:rsidR="00787E3B" w:rsidRDefault="00787E3B" w:rsidP="00787E3B">
            <w:pPr>
              <w:pStyle w:val="Normal1linespace"/>
              <w:widowControl w:val="0"/>
              <w:jc w:val="left"/>
            </w:pPr>
            <w:bookmarkStart w:id="7" w:name="PlaceCategoryParagraphs"/>
            <w:r>
              <w:t>14</w:t>
            </w:r>
            <w:bookmarkEnd w:id="7"/>
          </w:p>
        </w:tc>
      </w:tr>
      <w:tr w:rsidR="00787E3B" w:rsidTr="00787E3B">
        <w:tc>
          <w:tcPr>
            <w:tcW w:w="3085" w:type="dxa"/>
            <w:shd w:val="clear" w:color="auto" w:fill="auto"/>
          </w:tcPr>
          <w:p w:rsidR="00787E3B" w:rsidRDefault="00787E3B" w:rsidP="00787E3B">
            <w:pPr>
              <w:pStyle w:val="Normal1linespace"/>
              <w:widowControl w:val="0"/>
              <w:jc w:val="left"/>
            </w:pPr>
          </w:p>
        </w:tc>
        <w:tc>
          <w:tcPr>
            <w:tcW w:w="5989" w:type="dxa"/>
            <w:shd w:val="clear" w:color="auto" w:fill="auto"/>
          </w:tcPr>
          <w:p w:rsidR="00787E3B" w:rsidRDefault="00787E3B" w:rsidP="00787E3B">
            <w:pPr>
              <w:pStyle w:val="Normal1linespace"/>
              <w:widowControl w:val="0"/>
              <w:jc w:val="left"/>
            </w:pPr>
          </w:p>
        </w:tc>
      </w:tr>
      <w:tr w:rsidR="00787E3B" w:rsidTr="00787E3B">
        <w:tc>
          <w:tcPr>
            <w:tcW w:w="3085" w:type="dxa"/>
            <w:shd w:val="clear" w:color="auto" w:fill="auto"/>
          </w:tcPr>
          <w:p w:rsidR="00787E3B" w:rsidRDefault="00787E3B" w:rsidP="00787E3B">
            <w:pPr>
              <w:pStyle w:val="Normal1linespace"/>
              <w:widowControl w:val="0"/>
              <w:jc w:val="left"/>
            </w:pPr>
            <w:bookmarkStart w:id="8" w:name="Counsel" w:colFirst="0" w:colLast="2"/>
            <w:r>
              <w:t>Solicitor for the Applicant:</w:t>
            </w:r>
          </w:p>
        </w:tc>
        <w:tc>
          <w:tcPr>
            <w:tcW w:w="5989" w:type="dxa"/>
            <w:shd w:val="clear" w:color="auto" w:fill="auto"/>
          </w:tcPr>
          <w:p w:rsidR="00787E3B" w:rsidRDefault="00787E3B" w:rsidP="00787E3B">
            <w:pPr>
              <w:pStyle w:val="Normal1linespace"/>
              <w:widowControl w:val="0"/>
              <w:jc w:val="left"/>
            </w:pPr>
            <w:bookmarkStart w:id="9" w:name="AppCounsel"/>
            <w:bookmarkEnd w:id="9"/>
            <w:r>
              <w:t>Mr R Balzola of Robert Balzola &amp; Associates</w:t>
            </w:r>
          </w:p>
        </w:tc>
      </w:tr>
      <w:tr w:rsidR="00787E3B" w:rsidTr="00787E3B">
        <w:tc>
          <w:tcPr>
            <w:tcW w:w="3085" w:type="dxa"/>
            <w:shd w:val="clear" w:color="auto" w:fill="auto"/>
          </w:tcPr>
          <w:p w:rsidR="00787E3B" w:rsidRDefault="00787E3B" w:rsidP="00787E3B">
            <w:pPr>
              <w:pStyle w:val="Normal1linespace"/>
              <w:widowControl w:val="0"/>
              <w:jc w:val="left"/>
            </w:pPr>
          </w:p>
        </w:tc>
        <w:tc>
          <w:tcPr>
            <w:tcW w:w="5989" w:type="dxa"/>
            <w:shd w:val="clear" w:color="auto" w:fill="auto"/>
          </w:tcPr>
          <w:p w:rsidR="00787E3B" w:rsidRDefault="00787E3B" w:rsidP="00787E3B">
            <w:pPr>
              <w:pStyle w:val="Normal1linespace"/>
              <w:widowControl w:val="0"/>
              <w:jc w:val="left"/>
            </w:pPr>
          </w:p>
        </w:tc>
      </w:tr>
      <w:tr w:rsidR="00787E3B" w:rsidTr="00787E3B">
        <w:tc>
          <w:tcPr>
            <w:tcW w:w="3085" w:type="dxa"/>
            <w:shd w:val="clear" w:color="auto" w:fill="auto"/>
          </w:tcPr>
          <w:p w:rsidR="00787E3B" w:rsidRDefault="00787E3B" w:rsidP="00787E3B">
            <w:pPr>
              <w:pStyle w:val="Normal1linespace"/>
              <w:widowControl w:val="0"/>
              <w:jc w:val="left"/>
            </w:pPr>
            <w:r>
              <w:t>Counsel for the Respondent:</w:t>
            </w:r>
          </w:p>
        </w:tc>
        <w:tc>
          <w:tcPr>
            <w:tcW w:w="5989" w:type="dxa"/>
            <w:shd w:val="clear" w:color="auto" w:fill="auto"/>
          </w:tcPr>
          <w:p w:rsidR="00787E3B" w:rsidRDefault="00787E3B" w:rsidP="00787E3B">
            <w:pPr>
              <w:pStyle w:val="Normal1linespace"/>
              <w:widowControl w:val="0"/>
              <w:jc w:val="left"/>
            </w:pPr>
            <w:r>
              <w:t>Mr J Kirk SC with Mr D Robertson</w:t>
            </w:r>
          </w:p>
        </w:tc>
      </w:tr>
      <w:tr w:rsidR="00787E3B" w:rsidTr="00787E3B">
        <w:tc>
          <w:tcPr>
            <w:tcW w:w="3085" w:type="dxa"/>
            <w:shd w:val="clear" w:color="auto" w:fill="auto"/>
          </w:tcPr>
          <w:p w:rsidR="00787E3B" w:rsidRDefault="00787E3B" w:rsidP="00787E3B">
            <w:pPr>
              <w:pStyle w:val="Normal1linespace"/>
              <w:widowControl w:val="0"/>
              <w:jc w:val="left"/>
            </w:pPr>
          </w:p>
        </w:tc>
        <w:tc>
          <w:tcPr>
            <w:tcW w:w="5989" w:type="dxa"/>
            <w:shd w:val="clear" w:color="auto" w:fill="auto"/>
          </w:tcPr>
          <w:p w:rsidR="00787E3B" w:rsidRDefault="00787E3B" w:rsidP="00787E3B">
            <w:pPr>
              <w:pStyle w:val="Normal1linespace"/>
              <w:widowControl w:val="0"/>
              <w:jc w:val="left"/>
            </w:pPr>
          </w:p>
        </w:tc>
      </w:tr>
      <w:tr w:rsidR="00787E3B" w:rsidTr="00787E3B">
        <w:tc>
          <w:tcPr>
            <w:tcW w:w="3085" w:type="dxa"/>
            <w:shd w:val="clear" w:color="auto" w:fill="auto"/>
          </w:tcPr>
          <w:p w:rsidR="00787E3B" w:rsidRDefault="00787E3B" w:rsidP="00787E3B">
            <w:pPr>
              <w:pStyle w:val="Normal1linespace"/>
              <w:widowControl w:val="0"/>
              <w:jc w:val="left"/>
            </w:pPr>
            <w:r>
              <w:t>Solicitor for the Respondent:</w:t>
            </w:r>
          </w:p>
        </w:tc>
        <w:tc>
          <w:tcPr>
            <w:tcW w:w="5989" w:type="dxa"/>
            <w:shd w:val="clear" w:color="auto" w:fill="auto"/>
          </w:tcPr>
          <w:p w:rsidR="00787E3B" w:rsidRDefault="00787E3B" w:rsidP="00787E3B">
            <w:pPr>
              <w:pStyle w:val="Normal1linespace"/>
              <w:widowControl w:val="0"/>
              <w:jc w:val="left"/>
            </w:pPr>
            <w:r>
              <w:t>Clayton Utz</w:t>
            </w:r>
          </w:p>
        </w:tc>
      </w:tr>
      <w:bookmarkEnd w:id="8"/>
    </w:tbl>
    <w:p w:rsidR="00395B24" w:rsidRDefault="00395B24">
      <w:pPr>
        <w:pStyle w:val="Normal1linespace"/>
      </w:pPr>
    </w:p>
    <w:p w:rsidR="00395B24" w:rsidRDefault="00395B24">
      <w:pPr>
        <w:pStyle w:val="Normal1linespace"/>
      </w:pPr>
    </w:p>
    <w:p w:rsidR="00395B24" w:rsidRDefault="00395B24">
      <w:pPr>
        <w:pStyle w:val="Normal1linespace"/>
        <w:sectPr w:rsidR="00395B24">
          <w:headerReference w:type="default" r:id="rId8"/>
          <w:endnotePr>
            <w:numFmt w:val="decimal"/>
          </w:endnotePr>
          <w:type w:val="continuous"/>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395B24">
        <w:tc>
          <w:tcPr>
            <w:tcW w:w="6771" w:type="dxa"/>
          </w:tcPr>
          <w:p w:rsidR="00395B24" w:rsidRDefault="002C7385">
            <w:pPr>
              <w:pStyle w:val="NormalHeadings"/>
              <w:spacing w:after="120"/>
              <w:jc w:val="left"/>
              <w:rPr>
                <w:caps/>
                <w:szCs w:val="24"/>
              </w:rPr>
            </w:pPr>
            <w:r>
              <w:rPr>
                <w:caps/>
                <w:szCs w:val="24"/>
              </w:rPr>
              <w:lastRenderedPageBreak/>
              <w:t>IN THE FEDERAL COURT OF AUSTRALIA</w:t>
            </w:r>
          </w:p>
        </w:tc>
        <w:tc>
          <w:tcPr>
            <w:tcW w:w="2471" w:type="dxa"/>
          </w:tcPr>
          <w:p w:rsidR="00395B24" w:rsidRDefault="00395B24">
            <w:pPr>
              <w:pStyle w:val="NormalHeadings"/>
              <w:jc w:val="left"/>
              <w:rPr>
                <w:caps/>
                <w:szCs w:val="24"/>
              </w:rPr>
            </w:pPr>
          </w:p>
        </w:tc>
      </w:tr>
      <w:tr w:rsidR="00395B24">
        <w:tc>
          <w:tcPr>
            <w:tcW w:w="6771" w:type="dxa"/>
          </w:tcPr>
          <w:p w:rsidR="00395B24" w:rsidRDefault="00EA0523">
            <w:pPr>
              <w:pStyle w:val="NormalHeadings"/>
              <w:spacing w:after="120"/>
              <w:jc w:val="left"/>
              <w:rPr>
                <w:caps/>
                <w:szCs w:val="24"/>
              </w:rPr>
            </w:pPr>
            <w:bookmarkStart w:id="10" w:name="State"/>
            <w:r>
              <w:rPr>
                <w:caps/>
                <w:szCs w:val="24"/>
              </w:rPr>
              <w:t>NEW SOUTH WALES</w:t>
            </w:r>
            <w:bookmarkEnd w:id="10"/>
            <w:r w:rsidR="002C7385">
              <w:rPr>
                <w:caps/>
                <w:szCs w:val="24"/>
              </w:rPr>
              <w:t xml:space="preserve"> DISTRICT REGISTRY</w:t>
            </w:r>
          </w:p>
        </w:tc>
        <w:tc>
          <w:tcPr>
            <w:tcW w:w="2471" w:type="dxa"/>
          </w:tcPr>
          <w:p w:rsidR="00395B24" w:rsidRDefault="00395B24">
            <w:pPr>
              <w:pStyle w:val="NormalHeadings"/>
              <w:tabs>
                <w:tab w:val="right" w:pos="3609"/>
              </w:tabs>
              <w:jc w:val="right"/>
              <w:rPr>
                <w:szCs w:val="24"/>
              </w:rPr>
            </w:pPr>
          </w:p>
        </w:tc>
      </w:tr>
      <w:tr w:rsidR="00395B24">
        <w:tc>
          <w:tcPr>
            <w:tcW w:w="6771" w:type="dxa"/>
          </w:tcPr>
          <w:p w:rsidR="00395B24" w:rsidRDefault="00EA0523">
            <w:pPr>
              <w:pStyle w:val="NormalHeadings"/>
              <w:spacing w:after="120"/>
              <w:jc w:val="left"/>
              <w:rPr>
                <w:caps/>
                <w:szCs w:val="24"/>
              </w:rPr>
            </w:pPr>
            <w:bookmarkStart w:id="11" w:name="Division"/>
            <w:r>
              <w:rPr>
                <w:caps/>
                <w:szCs w:val="24"/>
              </w:rPr>
              <w:t>GENERAL DIVISION</w:t>
            </w:r>
            <w:bookmarkEnd w:id="11"/>
          </w:p>
        </w:tc>
        <w:tc>
          <w:tcPr>
            <w:tcW w:w="2471" w:type="dxa"/>
          </w:tcPr>
          <w:p w:rsidR="00395B24" w:rsidRDefault="00EA0523">
            <w:pPr>
              <w:pStyle w:val="NormalHeadings"/>
              <w:tabs>
                <w:tab w:val="right" w:pos="3609"/>
              </w:tabs>
              <w:jc w:val="right"/>
              <w:rPr>
                <w:szCs w:val="24"/>
              </w:rPr>
            </w:pPr>
            <w:bookmarkStart w:id="12" w:name="Num"/>
            <w:r>
              <w:rPr>
                <w:szCs w:val="24"/>
              </w:rPr>
              <w:t>NSD 692 of 2014</w:t>
            </w:r>
            <w:bookmarkEnd w:id="12"/>
          </w:p>
        </w:tc>
      </w:tr>
    </w:tbl>
    <w:p w:rsidR="00395B24" w:rsidRPr="00EA0523" w:rsidRDefault="002C7385">
      <w:pPr>
        <w:pStyle w:val="AppealTable"/>
        <w:rPr>
          <w:sz w:val="24"/>
        </w:rPr>
      </w:pPr>
      <w:bookmarkStart w:id="13" w:name="AppealTable"/>
      <w:r w:rsidRPr="00EA0523">
        <w:rPr>
          <w:sz w:val="24"/>
        </w:rPr>
        <w:t xml:space="preserve"> </w:t>
      </w:r>
      <w:bookmarkEnd w:id="13"/>
    </w:p>
    <w:tbl>
      <w:tblPr>
        <w:tblW w:w="0" w:type="auto"/>
        <w:tblLayout w:type="fixed"/>
        <w:tblLook w:val="0000" w:firstRow="0" w:lastRow="0" w:firstColumn="0" w:lastColumn="0" w:noHBand="0" w:noVBand="0"/>
      </w:tblPr>
      <w:tblGrid>
        <w:gridCol w:w="2376"/>
        <w:gridCol w:w="6866"/>
      </w:tblGrid>
      <w:tr w:rsidR="00395B24">
        <w:trPr>
          <w:trHeight w:val="386"/>
        </w:trPr>
        <w:tc>
          <w:tcPr>
            <w:tcW w:w="2376" w:type="dxa"/>
          </w:tcPr>
          <w:p w:rsidR="00395B24" w:rsidRDefault="002C7385">
            <w:pPr>
              <w:pStyle w:val="NormalHeadings"/>
              <w:jc w:val="left"/>
              <w:rPr>
                <w:caps/>
                <w:szCs w:val="24"/>
              </w:rPr>
            </w:pPr>
            <w:bookmarkStart w:id="14" w:name="Parties"/>
            <w:r>
              <w:rPr>
                <w:caps/>
                <w:szCs w:val="24"/>
              </w:rPr>
              <w:t>BETWEEN:</w:t>
            </w:r>
          </w:p>
        </w:tc>
        <w:tc>
          <w:tcPr>
            <w:tcW w:w="6866" w:type="dxa"/>
          </w:tcPr>
          <w:p w:rsidR="00EA0523" w:rsidRDefault="00EA0523">
            <w:pPr>
              <w:pStyle w:val="NormalHeadings"/>
              <w:jc w:val="left"/>
              <w:rPr>
                <w:szCs w:val="24"/>
              </w:rPr>
            </w:pPr>
            <w:bookmarkStart w:id="15" w:name="Applicant"/>
            <w:r>
              <w:rPr>
                <w:szCs w:val="24"/>
              </w:rPr>
              <w:t>BERNARD GAYNOR</w:t>
            </w:r>
          </w:p>
          <w:p w:rsidR="00EA0523" w:rsidRDefault="00EA0523">
            <w:pPr>
              <w:pStyle w:val="NormalHeadings"/>
              <w:jc w:val="left"/>
              <w:rPr>
                <w:szCs w:val="24"/>
              </w:rPr>
            </w:pPr>
            <w:r>
              <w:rPr>
                <w:szCs w:val="24"/>
              </w:rPr>
              <w:t>Applicant</w:t>
            </w:r>
          </w:p>
          <w:bookmarkEnd w:id="15"/>
          <w:p w:rsidR="00395B24" w:rsidRDefault="00395B24">
            <w:pPr>
              <w:pStyle w:val="NormalHeadings"/>
              <w:jc w:val="left"/>
              <w:rPr>
                <w:szCs w:val="24"/>
              </w:rPr>
            </w:pPr>
          </w:p>
        </w:tc>
      </w:tr>
      <w:tr w:rsidR="00395B24">
        <w:trPr>
          <w:trHeight w:val="386"/>
        </w:trPr>
        <w:tc>
          <w:tcPr>
            <w:tcW w:w="2376" w:type="dxa"/>
          </w:tcPr>
          <w:p w:rsidR="00395B24" w:rsidRDefault="002C7385">
            <w:pPr>
              <w:pStyle w:val="NormalHeadings"/>
              <w:jc w:val="left"/>
              <w:rPr>
                <w:caps/>
                <w:szCs w:val="24"/>
              </w:rPr>
            </w:pPr>
            <w:r>
              <w:rPr>
                <w:caps/>
                <w:szCs w:val="24"/>
              </w:rPr>
              <w:t>AND:</w:t>
            </w:r>
          </w:p>
        </w:tc>
        <w:tc>
          <w:tcPr>
            <w:tcW w:w="6866" w:type="dxa"/>
          </w:tcPr>
          <w:p w:rsidR="00EA0523" w:rsidRDefault="00EA0523">
            <w:pPr>
              <w:pStyle w:val="NormalHeadings"/>
              <w:jc w:val="left"/>
              <w:rPr>
                <w:szCs w:val="24"/>
              </w:rPr>
            </w:pPr>
            <w:bookmarkStart w:id="16" w:name="Respondent"/>
            <w:r>
              <w:rPr>
                <w:szCs w:val="24"/>
              </w:rPr>
              <w:t>CHIEF OF THE DEFENCE FORCE</w:t>
            </w:r>
          </w:p>
          <w:p w:rsidR="00EA0523" w:rsidRDefault="00EA0523">
            <w:pPr>
              <w:pStyle w:val="NormalHeadings"/>
              <w:jc w:val="left"/>
              <w:rPr>
                <w:szCs w:val="24"/>
              </w:rPr>
            </w:pPr>
            <w:r>
              <w:rPr>
                <w:szCs w:val="24"/>
              </w:rPr>
              <w:t>Respondent</w:t>
            </w:r>
          </w:p>
          <w:bookmarkEnd w:id="16"/>
          <w:p w:rsidR="00395B24" w:rsidRDefault="00395B24">
            <w:pPr>
              <w:pStyle w:val="NormalHeadings"/>
              <w:jc w:val="left"/>
              <w:rPr>
                <w:szCs w:val="24"/>
              </w:rPr>
            </w:pPr>
          </w:p>
        </w:tc>
      </w:tr>
      <w:bookmarkEnd w:id="14"/>
    </w:tbl>
    <w:p w:rsidR="00395B24" w:rsidRDefault="00395B24">
      <w:pPr>
        <w:pStyle w:val="NormalHeadings"/>
      </w:pPr>
    </w:p>
    <w:tbl>
      <w:tblPr>
        <w:tblW w:w="0" w:type="auto"/>
        <w:tblLayout w:type="fixed"/>
        <w:tblLook w:val="0000" w:firstRow="0" w:lastRow="0" w:firstColumn="0" w:lastColumn="0" w:noHBand="0" w:noVBand="0"/>
      </w:tblPr>
      <w:tblGrid>
        <w:gridCol w:w="2376"/>
        <w:gridCol w:w="6866"/>
      </w:tblGrid>
      <w:tr w:rsidR="00395B24">
        <w:tc>
          <w:tcPr>
            <w:tcW w:w="2376" w:type="dxa"/>
          </w:tcPr>
          <w:p w:rsidR="00395B24" w:rsidRDefault="00EA0523">
            <w:pPr>
              <w:pStyle w:val="NormalHeadings"/>
              <w:spacing w:after="120"/>
              <w:jc w:val="left"/>
              <w:rPr>
                <w:caps/>
                <w:szCs w:val="24"/>
              </w:rPr>
            </w:pPr>
            <w:bookmarkStart w:id="17" w:name="JudgeText"/>
            <w:r>
              <w:rPr>
                <w:caps/>
                <w:szCs w:val="24"/>
              </w:rPr>
              <w:t>JUDGE</w:t>
            </w:r>
            <w:bookmarkEnd w:id="17"/>
            <w:r w:rsidR="002C7385">
              <w:rPr>
                <w:caps/>
                <w:szCs w:val="24"/>
              </w:rPr>
              <w:t>:</w:t>
            </w:r>
          </w:p>
        </w:tc>
        <w:tc>
          <w:tcPr>
            <w:tcW w:w="6866" w:type="dxa"/>
          </w:tcPr>
          <w:p w:rsidR="00395B24" w:rsidRDefault="00787E3B">
            <w:pPr>
              <w:pStyle w:val="NormalHeadings"/>
              <w:jc w:val="left"/>
              <w:rPr>
                <w:caps/>
                <w:szCs w:val="24"/>
              </w:rPr>
            </w:pPr>
            <w:bookmarkStart w:id="18" w:name="Judge"/>
            <w:r>
              <w:rPr>
                <w:caps/>
                <w:szCs w:val="24"/>
              </w:rPr>
              <w:t>BUCHANAN J</w:t>
            </w:r>
            <w:bookmarkEnd w:id="18"/>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EA0523">
            <w:pPr>
              <w:pStyle w:val="NormalHeadings"/>
              <w:jc w:val="left"/>
              <w:rPr>
                <w:caps/>
                <w:szCs w:val="24"/>
              </w:rPr>
            </w:pPr>
            <w:bookmarkStart w:id="19" w:name="Judgment_Dated"/>
            <w:r>
              <w:rPr>
                <w:caps/>
                <w:szCs w:val="24"/>
              </w:rPr>
              <w:t>18 DECEMBER 2015</w:t>
            </w:r>
            <w:bookmarkEnd w:id="19"/>
          </w:p>
        </w:tc>
      </w:tr>
      <w:tr w:rsidR="00395B24">
        <w:tc>
          <w:tcPr>
            <w:tcW w:w="2376" w:type="dxa"/>
          </w:tcPr>
          <w:p w:rsidR="00395B24" w:rsidRDefault="002C7385">
            <w:pPr>
              <w:pStyle w:val="NormalHeadings"/>
              <w:spacing w:after="120"/>
              <w:jc w:val="left"/>
              <w:rPr>
                <w:caps/>
                <w:szCs w:val="24"/>
              </w:rPr>
            </w:pPr>
            <w:r>
              <w:rPr>
                <w:caps/>
                <w:szCs w:val="24"/>
              </w:rPr>
              <w:t>WHERE MADE:</w:t>
            </w:r>
          </w:p>
        </w:tc>
        <w:tc>
          <w:tcPr>
            <w:tcW w:w="6866" w:type="dxa"/>
          </w:tcPr>
          <w:p w:rsidR="00395B24" w:rsidRDefault="00EA0523">
            <w:pPr>
              <w:pStyle w:val="NormalHeadings"/>
              <w:jc w:val="left"/>
              <w:rPr>
                <w:caps/>
                <w:szCs w:val="24"/>
              </w:rPr>
            </w:pPr>
            <w:bookmarkStart w:id="20" w:name="Place"/>
            <w:r>
              <w:rPr>
                <w:caps/>
                <w:szCs w:val="24"/>
              </w:rPr>
              <w:t>SYDNEY</w:t>
            </w:r>
            <w:bookmarkEnd w:id="20"/>
          </w:p>
        </w:tc>
      </w:tr>
    </w:tbl>
    <w:p w:rsidR="00395B24" w:rsidRDefault="00395B24">
      <w:pPr>
        <w:pStyle w:val="NormalHeadings"/>
        <w:rPr>
          <w:b w:val="0"/>
        </w:rPr>
      </w:pPr>
    </w:p>
    <w:p w:rsidR="00395B24" w:rsidRDefault="002C7385">
      <w:pPr>
        <w:pStyle w:val="NormalHeadings"/>
      </w:pPr>
      <w:r>
        <w:t>THE COURT ORDERS THAT:</w:t>
      </w:r>
    </w:p>
    <w:p w:rsidR="00395B24" w:rsidRDefault="00395B24">
      <w:pPr>
        <w:pStyle w:val="NormalHeadings"/>
      </w:pPr>
    </w:p>
    <w:p w:rsidR="004462A9" w:rsidRDefault="004462A9" w:rsidP="004462A9">
      <w:pPr>
        <w:pStyle w:val="Order1"/>
        <w:rPr>
          <w:lang w:val="en-US"/>
        </w:rPr>
      </w:pPr>
      <w:bookmarkStart w:id="21" w:name="Order_Start_Text"/>
      <w:bookmarkEnd w:id="21"/>
      <w:r>
        <w:rPr>
          <w:lang w:val="en-US"/>
        </w:rPr>
        <w:t xml:space="preserve">Order 4 made on 4 December 2015 is vacated.  </w:t>
      </w:r>
    </w:p>
    <w:p w:rsidR="004462A9" w:rsidRDefault="00AB3FBB" w:rsidP="004462A9">
      <w:pPr>
        <w:pStyle w:val="Order1"/>
        <w:rPr>
          <w:lang w:val="en-US"/>
        </w:rPr>
      </w:pPr>
      <w:r>
        <w:rPr>
          <w:lang w:val="en-US"/>
        </w:rPr>
        <w:t>Except as hereafter provided, t</w:t>
      </w:r>
      <w:r w:rsidR="004462A9">
        <w:rPr>
          <w:lang w:val="en-US"/>
        </w:rPr>
        <w:t xml:space="preserve">he respondent is to pay 50% of the applicant’s costs of the proceedings, to be taxed if not agreed.  </w:t>
      </w:r>
    </w:p>
    <w:p w:rsidR="004462A9" w:rsidRDefault="004462A9" w:rsidP="004462A9">
      <w:pPr>
        <w:pStyle w:val="Order1"/>
        <w:rPr>
          <w:lang w:val="en-US"/>
        </w:rPr>
      </w:pPr>
      <w:r>
        <w:rPr>
          <w:lang w:val="en-US"/>
        </w:rPr>
        <w:t xml:space="preserve">The applicant is to pay the respondent’s costs of the interlocutory application filed on 15 December 2015, to be taxed if not agreed.  </w:t>
      </w:r>
    </w:p>
    <w:p w:rsidR="003F444B" w:rsidRDefault="003F444B" w:rsidP="003F444B">
      <w:pPr>
        <w:pStyle w:val="Order1"/>
        <w:rPr>
          <w:lang w:val="en-US"/>
        </w:rPr>
      </w:pPr>
      <w:r>
        <w:rPr>
          <w:lang w:val="en-US"/>
        </w:rPr>
        <w:t xml:space="preserve">The respondent is to pay the applicant’s costs of the directions hearing on 18 December 2015, to be taxed if not agreed.  </w:t>
      </w:r>
    </w:p>
    <w:p w:rsidR="00636871" w:rsidRDefault="00636871" w:rsidP="002B0E91">
      <w:pPr>
        <w:pStyle w:val="BodyText"/>
      </w:pPr>
    </w:p>
    <w:p w:rsidR="00395B24" w:rsidRDefault="00395B24" w:rsidP="002B0E91">
      <w:pPr>
        <w:pStyle w:val="BodyText"/>
      </w:pPr>
    </w:p>
    <w:p w:rsidR="00395B24" w:rsidRDefault="002C7385" w:rsidP="004D53E5">
      <w:pPr>
        <w:pStyle w:val="SingleSpace"/>
      </w:pPr>
      <w:r>
        <w:t>Note:</w:t>
      </w:r>
      <w:r>
        <w:tab/>
        <w:t xml:space="preserve">Entry of orders is dealt with in Rule 39.32 of the </w:t>
      </w:r>
      <w:r>
        <w:rPr>
          <w:i/>
        </w:rPr>
        <w:t>Federal Court Rules 2011</w:t>
      </w:r>
      <w:r>
        <w:t>.</w:t>
      </w:r>
    </w:p>
    <w:p w:rsidR="00395B24" w:rsidRDefault="00395B24" w:rsidP="002B0E91">
      <w:pPr>
        <w:pStyle w:val="BodyText"/>
      </w:pPr>
    </w:p>
    <w:p w:rsidR="00395B24" w:rsidRDefault="00395B24" w:rsidP="002B0E91">
      <w:pPr>
        <w:pStyle w:val="BodyText"/>
      </w:pPr>
    </w:p>
    <w:p w:rsidR="00395B24" w:rsidRDefault="00395B24">
      <w:pPr>
        <w:pStyle w:val="NormalHeadings"/>
        <w:spacing w:before="240" w:after="120"/>
        <w:rPr>
          <w:b w:val="0"/>
        </w:rPr>
        <w:sectPr w:rsidR="00395B24">
          <w:headerReference w:type="default" r:id="rId9"/>
          <w:headerReference w:type="first" r:id="rId10"/>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395B24">
        <w:tc>
          <w:tcPr>
            <w:tcW w:w="6771" w:type="dxa"/>
          </w:tcPr>
          <w:p w:rsidR="00395B24" w:rsidRDefault="002C7385">
            <w:pPr>
              <w:pStyle w:val="NormalHeadings"/>
              <w:spacing w:after="120"/>
              <w:jc w:val="left"/>
              <w:rPr>
                <w:caps/>
                <w:szCs w:val="24"/>
              </w:rPr>
            </w:pPr>
            <w:bookmarkStart w:id="22" w:name="ReasonsPage"/>
            <w:bookmarkEnd w:id="22"/>
            <w:r>
              <w:rPr>
                <w:caps/>
                <w:szCs w:val="24"/>
              </w:rPr>
              <w:lastRenderedPageBreak/>
              <w:t>IN THE FEDERAL COURT OF AUSTRALIA</w:t>
            </w:r>
          </w:p>
        </w:tc>
        <w:tc>
          <w:tcPr>
            <w:tcW w:w="2471" w:type="dxa"/>
          </w:tcPr>
          <w:p w:rsidR="00395B24" w:rsidRDefault="00395B24">
            <w:pPr>
              <w:pStyle w:val="NormalHeadings"/>
            </w:pPr>
          </w:p>
        </w:tc>
      </w:tr>
      <w:tr w:rsidR="00395B24">
        <w:tc>
          <w:tcPr>
            <w:tcW w:w="6771" w:type="dxa"/>
          </w:tcPr>
          <w:p w:rsidR="00395B24" w:rsidRDefault="002C7385">
            <w:pPr>
              <w:pStyle w:val="NormalHeadings"/>
              <w:spacing w:after="120"/>
              <w:jc w:val="left"/>
              <w:rPr>
                <w:caps/>
                <w:szCs w:val="24"/>
              </w:rPr>
            </w:pPr>
            <w:r>
              <w:rPr>
                <w:caps/>
                <w:szCs w:val="24"/>
              </w:rPr>
              <w:fldChar w:fldCharType="begin" w:fldLock="1"/>
            </w:r>
            <w:r>
              <w:rPr>
                <w:caps/>
                <w:szCs w:val="24"/>
              </w:rPr>
              <w:instrText xml:space="preserve"> REF State \* MERGEFORMAT </w:instrText>
            </w:r>
            <w:r>
              <w:rPr>
                <w:caps/>
                <w:szCs w:val="24"/>
              </w:rPr>
              <w:fldChar w:fldCharType="separate"/>
            </w:r>
            <w:r w:rsidR="00EA0523">
              <w:rPr>
                <w:caps/>
                <w:szCs w:val="24"/>
              </w:rPr>
              <w:t>NEW SOUTH WALES</w:t>
            </w:r>
            <w:r>
              <w:rPr>
                <w:caps/>
                <w:szCs w:val="24"/>
              </w:rPr>
              <w:fldChar w:fldCharType="end"/>
            </w:r>
            <w:r>
              <w:rPr>
                <w:caps/>
                <w:szCs w:val="24"/>
              </w:rPr>
              <w:t xml:space="preserve"> DISTRICT REGISTRY</w:t>
            </w:r>
          </w:p>
        </w:tc>
        <w:tc>
          <w:tcPr>
            <w:tcW w:w="2471" w:type="dxa"/>
          </w:tcPr>
          <w:p w:rsidR="00395B24" w:rsidRDefault="00395B24">
            <w:pPr>
              <w:pStyle w:val="NormalHeadings"/>
              <w:tabs>
                <w:tab w:val="right" w:pos="3609"/>
              </w:tabs>
              <w:jc w:val="right"/>
              <w:rPr>
                <w:caps/>
                <w:szCs w:val="24"/>
              </w:rPr>
            </w:pPr>
          </w:p>
        </w:tc>
      </w:tr>
      <w:tr w:rsidR="00395B24">
        <w:tc>
          <w:tcPr>
            <w:tcW w:w="6771" w:type="dxa"/>
          </w:tcPr>
          <w:p w:rsidR="00395B24" w:rsidRDefault="002C7385">
            <w:pPr>
              <w:pStyle w:val="NormalHeadings"/>
              <w:spacing w:after="120"/>
              <w:jc w:val="left"/>
              <w:rPr>
                <w:caps/>
                <w:szCs w:val="24"/>
              </w:rPr>
            </w:pPr>
            <w:r>
              <w:rPr>
                <w:caps/>
                <w:szCs w:val="24"/>
              </w:rPr>
              <w:fldChar w:fldCharType="begin" w:fldLock="1"/>
            </w:r>
            <w:r>
              <w:rPr>
                <w:caps/>
                <w:szCs w:val="24"/>
              </w:rPr>
              <w:instrText xml:space="preserve"> REF  Division \* MERGEFORMAT </w:instrText>
            </w:r>
            <w:r>
              <w:rPr>
                <w:caps/>
                <w:szCs w:val="24"/>
              </w:rPr>
              <w:fldChar w:fldCharType="separate"/>
            </w:r>
            <w:r w:rsidR="00EA0523">
              <w:rPr>
                <w:caps/>
                <w:szCs w:val="24"/>
              </w:rPr>
              <w:t>GENERAL DIVISION</w:t>
            </w:r>
            <w:r>
              <w:rPr>
                <w:caps/>
                <w:szCs w:val="24"/>
              </w:rPr>
              <w:fldChar w:fldCharType="end"/>
            </w:r>
          </w:p>
        </w:tc>
        <w:tc>
          <w:tcPr>
            <w:tcW w:w="2471" w:type="dxa"/>
          </w:tcPr>
          <w:p w:rsidR="00395B24" w:rsidRDefault="002C7385">
            <w:pPr>
              <w:pStyle w:val="NormalHeadings"/>
              <w:tabs>
                <w:tab w:val="right" w:pos="3609"/>
              </w:tabs>
              <w:jc w:val="right"/>
              <w:rPr>
                <w:caps/>
                <w:szCs w:val="24"/>
              </w:rPr>
            </w:pPr>
            <w:r>
              <w:rPr>
                <w:caps/>
                <w:szCs w:val="24"/>
              </w:rPr>
              <w:fldChar w:fldCharType="begin" w:fldLock="1"/>
            </w:r>
            <w:r>
              <w:rPr>
                <w:caps/>
                <w:szCs w:val="24"/>
              </w:rPr>
              <w:instrText xml:space="preserve"> REF  Num  \* MERGEFORMAT </w:instrText>
            </w:r>
            <w:r>
              <w:rPr>
                <w:caps/>
                <w:szCs w:val="24"/>
              </w:rPr>
              <w:fldChar w:fldCharType="separate"/>
            </w:r>
            <w:proofErr w:type="spellStart"/>
            <w:r w:rsidR="00EA0523">
              <w:rPr>
                <w:szCs w:val="24"/>
              </w:rPr>
              <w:t>NSD</w:t>
            </w:r>
            <w:proofErr w:type="spellEnd"/>
            <w:r w:rsidR="00EA0523">
              <w:rPr>
                <w:szCs w:val="24"/>
              </w:rPr>
              <w:t xml:space="preserve"> 692 of 2014</w:t>
            </w:r>
            <w:r>
              <w:rPr>
                <w:caps/>
                <w:szCs w:val="24"/>
              </w:rPr>
              <w:fldChar w:fldCharType="end"/>
            </w:r>
          </w:p>
        </w:tc>
      </w:tr>
    </w:tbl>
    <w:p w:rsidR="00395B24" w:rsidRDefault="0023097E">
      <w:pPr>
        <w:pStyle w:val="AppealTable"/>
      </w:pPr>
      <w:fldSimple w:instr=" Ref AppealTable  \* MERGEFORMAT " w:fldLock="1">
        <w:r w:rsidR="00EA0523" w:rsidRPr="00EA0523">
          <w:rPr>
            <w:sz w:val="24"/>
          </w:rPr>
          <w:t xml:space="preserve"> </w:t>
        </w:r>
      </w:fldSimple>
    </w:p>
    <w:tbl>
      <w:tblPr>
        <w:tblW w:w="0" w:type="auto"/>
        <w:tblLayout w:type="fixed"/>
        <w:tblLook w:val="0000" w:firstRow="0" w:lastRow="0" w:firstColumn="0" w:lastColumn="0" w:noHBand="0" w:noVBand="0"/>
      </w:tblPr>
      <w:tblGrid>
        <w:gridCol w:w="2376"/>
        <w:gridCol w:w="6866"/>
      </w:tblGrid>
      <w:tr w:rsidR="00395B24">
        <w:trPr>
          <w:trHeight w:val="386"/>
        </w:trPr>
        <w:tc>
          <w:tcPr>
            <w:tcW w:w="2376" w:type="dxa"/>
          </w:tcPr>
          <w:p w:rsidR="00395B24" w:rsidRDefault="002C7385">
            <w:pPr>
              <w:pStyle w:val="NormalHeadings"/>
              <w:jc w:val="left"/>
              <w:rPr>
                <w:caps/>
                <w:szCs w:val="24"/>
              </w:rPr>
            </w:pPr>
            <w:r>
              <w:rPr>
                <w:caps/>
                <w:szCs w:val="24"/>
              </w:rPr>
              <w:t>BETWEEN:</w:t>
            </w:r>
          </w:p>
        </w:tc>
        <w:tc>
          <w:tcPr>
            <w:tcW w:w="6866" w:type="dxa"/>
          </w:tcPr>
          <w:p w:rsidR="00EA0523" w:rsidRDefault="002C7385">
            <w:pPr>
              <w:pStyle w:val="NormalHeadings"/>
              <w:jc w:val="left"/>
              <w:rPr>
                <w:szCs w:val="24"/>
              </w:rPr>
            </w:pPr>
            <w:r>
              <w:rPr>
                <w:caps/>
                <w:szCs w:val="24"/>
              </w:rPr>
              <w:fldChar w:fldCharType="begin" w:fldLock="1"/>
            </w:r>
            <w:r>
              <w:rPr>
                <w:caps/>
                <w:szCs w:val="24"/>
              </w:rPr>
              <w:instrText xml:space="preserve"> REF Applicant  \* MERGEFORMAT </w:instrText>
            </w:r>
            <w:r>
              <w:rPr>
                <w:caps/>
                <w:szCs w:val="24"/>
              </w:rPr>
              <w:fldChar w:fldCharType="separate"/>
            </w:r>
            <w:r w:rsidR="00EA0523">
              <w:rPr>
                <w:szCs w:val="24"/>
              </w:rPr>
              <w:t>BERNARD GAYNOR</w:t>
            </w:r>
          </w:p>
          <w:p w:rsidR="00EA0523" w:rsidRDefault="00EA0523">
            <w:pPr>
              <w:pStyle w:val="NormalHeadings"/>
              <w:jc w:val="left"/>
              <w:rPr>
                <w:szCs w:val="24"/>
              </w:rPr>
            </w:pPr>
            <w:r>
              <w:rPr>
                <w:szCs w:val="24"/>
              </w:rPr>
              <w:t>Applicant</w:t>
            </w:r>
          </w:p>
          <w:p w:rsidR="00395B24" w:rsidRDefault="002C7385">
            <w:pPr>
              <w:pStyle w:val="NormalHeadings"/>
              <w:jc w:val="left"/>
              <w:rPr>
                <w:caps/>
                <w:szCs w:val="24"/>
              </w:rPr>
            </w:pPr>
            <w:r>
              <w:rPr>
                <w:caps/>
                <w:szCs w:val="24"/>
              </w:rPr>
              <w:fldChar w:fldCharType="end"/>
            </w:r>
          </w:p>
        </w:tc>
      </w:tr>
      <w:tr w:rsidR="00395B24">
        <w:trPr>
          <w:trHeight w:val="386"/>
        </w:trPr>
        <w:tc>
          <w:tcPr>
            <w:tcW w:w="2376" w:type="dxa"/>
          </w:tcPr>
          <w:p w:rsidR="00395B24" w:rsidRDefault="002C7385">
            <w:pPr>
              <w:pStyle w:val="NormalHeadings"/>
              <w:jc w:val="left"/>
              <w:rPr>
                <w:caps/>
                <w:szCs w:val="24"/>
              </w:rPr>
            </w:pPr>
            <w:r>
              <w:rPr>
                <w:caps/>
                <w:szCs w:val="24"/>
              </w:rPr>
              <w:t>AND:</w:t>
            </w:r>
          </w:p>
        </w:tc>
        <w:tc>
          <w:tcPr>
            <w:tcW w:w="6866" w:type="dxa"/>
          </w:tcPr>
          <w:p w:rsidR="00EA0523" w:rsidRDefault="002C7385">
            <w:pPr>
              <w:pStyle w:val="NormalHeadings"/>
              <w:jc w:val="left"/>
              <w:rPr>
                <w:szCs w:val="24"/>
              </w:rPr>
            </w:pPr>
            <w:r>
              <w:rPr>
                <w:caps/>
                <w:szCs w:val="24"/>
              </w:rPr>
              <w:fldChar w:fldCharType="begin" w:fldLock="1"/>
            </w:r>
            <w:r>
              <w:rPr>
                <w:caps/>
                <w:szCs w:val="24"/>
              </w:rPr>
              <w:instrText xml:space="preserve"> REF Respondent  \* MERGEFORMAT </w:instrText>
            </w:r>
            <w:r>
              <w:rPr>
                <w:caps/>
                <w:szCs w:val="24"/>
              </w:rPr>
              <w:fldChar w:fldCharType="separate"/>
            </w:r>
            <w:r w:rsidR="00EA0523">
              <w:rPr>
                <w:szCs w:val="24"/>
              </w:rPr>
              <w:t>CHIEF OF THE DEFENCE FORCE</w:t>
            </w:r>
          </w:p>
          <w:p w:rsidR="00EA0523" w:rsidRDefault="00EA0523">
            <w:pPr>
              <w:pStyle w:val="NormalHeadings"/>
              <w:jc w:val="left"/>
              <w:rPr>
                <w:szCs w:val="24"/>
              </w:rPr>
            </w:pPr>
            <w:r>
              <w:rPr>
                <w:szCs w:val="24"/>
              </w:rPr>
              <w:t>Respondent</w:t>
            </w:r>
          </w:p>
          <w:p w:rsidR="00395B24" w:rsidRDefault="002C7385">
            <w:pPr>
              <w:pStyle w:val="NormalHeadings"/>
              <w:jc w:val="left"/>
              <w:rPr>
                <w:caps/>
                <w:szCs w:val="24"/>
              </w:rPr>
            </w:pPr>
            <w:r>
              <w:rPr>
                <w:caps/>
                <w:szCs w:val="24"/>
              </w:rPr>
              <w:fldChar w:fldCharType="end"/>
            </w:r>
          </w:p>
        </w:tc>
      </w:tr>
    </w:tbl>
    <w:p w:rsidR="00395B24" w:rsidRDefault="00395B24">
      <w:pPr>
        <w:pStyle w:val="NormalHeadings"/>
      </w:pPr>
    </w:p>
    <w:tbl>
      <w:tblPr>
        <w:tblW w:w="0" w:type="auto"/>
        <w:tblLayout w:type="fixed"/>
        <w:tblLook w:val="0000" w:firstRow="0" w:lastRow="0" w:firstColumn="0" w:lastColumn="0" w:noHBand="0" w:noVBand="0"/>
      </w:tblPr>
      <w:tblGrid>
        <w:gridCol w:w="2376"/>
        <w:gridCol w:w="6866"/>
      </w:tblGrid>
      <w:tr w:rsidR="00395B24">
        <w:tc>
          <w:tcPr>
            <w:tcW w:w="2376" w:type="dxa"/>
          </w:tcPr>
          <w:p w:rsidR="00395B24" w:rsidRDefault="002C7385">
            <w:pPr>
              <w:pStyle w:val="NormalHeadings"/>
              <w:spacing w:after="120"/>
              <w:jc w:val="left"/>
              <w:rPr>
                <w:caps/>
                <w:szCs w:val="24"/>
              </w:rPr>
            </w:pPr>
            <w:r>
              <w:rPr>
                <w:caps/>
                <w:szCs w:val="24"/>
              </w:rPr>
              <w:fldChar w:fldCharType="begin" w:fldLock="1"/>
            </w:r>
            <w:r>
              <w:rPr>
                <w:caps/>
                <w:szCs w:val="24"/>
              </w:rPr>
              <w:instrText xml:space="preserve"> REF JudgeText  \* MERGEFORMAT </w:instrText>
            </w:r>
            <w:r>
              <w:rPr>
                <w:caps/>
                <w:szCs w:val="24"/>
              </w:rPr>
              <w:fldChar w:fldCharType="separate"/>
            </w:r>
            <w:r w:rsidR="00EA0523">
              <w:rPr>
                <w:caps/>
                <w:szCs w:val="24"/>
              </w:rPr>
              <w:t>JUDGE</w:t>
            </w:r>
            <w:r>
              <w:rPr>
                <w:caps/>
                <w:szCs w:val="24"/>
              </w:rPr>
              <w:fldChar w:fldCharType="end"/>
            </w:r>
            <w:r>
              <w:rPr>
                <w:caps/>
                <w:szCs w:val="24"/>
              </w:rPr>
              <w:t>:</w:t>
            </w:r>
          </w:p>
        </w:tc>
        <w:tc>
          <w:tcPr>
            <w:tcW w:w="6866" w:type="dxa"/>
          </w:tcPr>
          <w:p w:rsidR="00395B24" w:rsidRDefault="002C7385">
            <w:pPr>
              <w:pStyle w:val="NormalHeadings"/>
              <w:rPr>
                <w:caps/>
                <w:szCs w:val="24"/>
              </w:rPr>
            </w:pPr>
            <w:r>
              <w:rPr>
                <w:caps/>
                <w:szCs w:val="24"/>
              </w:rPr>
              <w:fldChar w:fldCharType="begin" w:fldLock="1"/>
            </w:r>
            <w:r>
              <w:rPr>
                <w:caps/>
                <w:szCs w:val="24"/>
              </w:rPr>
              <w:instrText xml:space="preserve"> REF  Judge  \* MERGEFORMAT </w:instrText>
            </w:r>
            <w:r>
              <w:rPr>
                <w:caps/>
                <w:szCs w:val="24"/>
              </w:rPr>
              <w:fldChar w:fldCharType="separate"/>
            </w:r>
            <w:r w:rsidR="00EA0523">
              <w:rPr>
                <w:caps/>
                <w:szCs w:val="24"/>
              </w:rPr>
              <w:t>BUCHANAN J</w:t>
            </w:r>
            <w:r>
              <w:rPr>
                <w:caps/>
                <w:szCs w:val="24"/>
              </w:rPr>
              <w:fldChar w:fldCharType="end"/>
            </w:r>
          </w:p>
        </w:tc>
      </w:tr>
      <w:tr w:rsidR="00395B24">
        <w:tc>
          <w:tcPr>
            <w:tcW w:w="2376" w:type="dxa"/>
          </w:tcPr>
          <w:p w:rsidR="00395B24" w:rsidRDefault="002C7385">
            <w:pPr>
              <w:pStyle w:val="NormalHeadings"/>
              <w:spacing w:after="120"/>
              <w:jc w:val="left"/>
              <w:rPr>
                <w:caps/>
                <w:szCs w:val="24"/>
              </w:rPr>
            </w:pPr>
            <w:r>
              <w:rPr>
                <w:caps/>
                <w:szCs w:val="24"/>
              </w:rPr>
              <w:t>DATE:</w:t>
            </w:r>
          </w:p>
        </w:tc>
        <w:tc>
          <w:tcPr>
            <w:tcW w:w="6866" w:type="dxa"/>
          </w:tcPr>
          <w:p w:rsidR="00395B24" w:rsidRDefault="002C7385">
            <w:pPr>
              <w:pStyle w:val="NormalHeadings"/>
              <w:rPr>
                <w:caps/>
                <w:szCs w:val="24"/>
              </w:rPr>
            </w:pPr>
            <w:r>
              <w:rPr>
                <w:caps/>
                <w:szCs w:val="24"/>
              </w:rPr>
              <w:fldChar w:fldCharType="begin" w:fldLock="1"/>
            </w:r>
            <w:r>
              <w:rPr>
                <w:caps/>
                <w:szCs w:val="24"/>
              </w:rPr>
              <w:instrText xml:space="preserve"> REF Judgment_Dated  \* MERGEFORMAT </w:instrText>
            </w:r>
            <w:r>
              <w:rPr>
                <w:caps/>
                <w:szCs w:val="24"/>
              </w:rPr>
              <w:fldChar w:fldCharType="separate"/>
            </w:r>
            <w:r w:rsidR="00EA0523">
              <w:rPr>
                <w:caps/>
                <w:szCs w:val="24"/>
              </w:rPr>
              <w:t>18 DECEMBER 2015</w:t>
            </w:r>
            <w:r>
              <w:rPr>
                <w:caps/>
                <w:szCs w:val="24"/>
              </w:rPr>
              <w:fldChar w:fldCharType="end"/>
            </w:r>
          </w:p>
        </w:tc>
      </w:tr>
      <w:tr w:rsidR="00395B24">
        <w:tc>
          <w:tcPr>
            <w:tcW w:w="2376" w:type="dxa"/>
          </w:tcPr>
          <w:p w:rsidR="00395B24" w:rsidRDefault="002C7385">
            <w:pPr>
              <w:pStyle w:val="NormalHeadings"/>
              <w:spacing w:after="120"/>
              <w:jc w:val="left"/>
              <w:rPr>
                <w:caps/>
                <w:szCs w:val="24"/>
              </w:rPr>
            </w:pPr>
            <w:r>
              <w:rPr>
                <w:caps/>
                <w:szCs w:val="24"/>
              </w:rPr>
              <w:t>PLACE:</w:t>
            </w:r>
          </w:p>
        </w:tc>
        <w:tc>
          <w:tcPr>
            <w:tcW w:w="6866" w:type="dxa"/>
          </w:tcPr>
          <w:p w:rsidR="00395B24" w:rsidRDefault="002C7385">
            <w:pPr>
              <w:pStyle w:val="NormalHeadings"/>
              <w:rPr>
                <w:caps/>
                <w:szCs w:val="24"/>
              </w:rPr>
            </w:pPr>
            <w:r>
              <w:rPr>
                <w:caps/>
                <w:szCs w:val="24"/>
              </w:rPr>
              <w:fldChar w:fldCharType="begin" w:fldLock="1"/>
            </w:r>
            <w:r>
              <w:rPr>
                <w:caps/>
                <w:szCs w:val="24"/>
              </w:rPr>
              <w:instrText xml:space="preserve"> REF Place  \* MERGEFORMAT </w:instrText>
            </w:r>
            <w:r>
              <w:rPr>
                <w:caps/>
                <w:szCs w:val="24"/>
              </w:rPr>
              <w:fldChar w:fldCharType="separate"/>
            </w:r>
            <w:r w:rsidR="00EA0523">
              <w:rPr>
                <w:caps/>
                <w:szCs w:val="24"/>
              </w:rPr>
              <w:t>SYDNEY</w:t>
            </w:r>
            <w:r>
              <w:rPr>
                <w:caps/>
                <w:szCs w:val="24"/>
              </w:rPr>
              <w:fldChar w:fldCharType="end"/>
            </w:r>
          </w:p>
        </w:tc>
      </w:tr>
    </w:tbl>
    <w:p w:rsidR="00395B24" w:rsidRDefault="00395B24" w:rsidP="002B0E91">
      <w:pPr>
        <w:pStyle w:val="BodyText"/>
      </w:pPr>
    </w:p>
    <w:p w:rsidR="00395B24" w:rsidRDefault="002C7385" w:rsidP="00EB2CCB">
      <w:pPr>
        <w:pStyle w:val="StyleBold"/>
        <w:keepNext/>
        <w:jc w:val="center"/>
        <w:rPr>
          <w:b/>
        </w:rPr>
      </w:pPr>
      <w:r>
        <w:rPr>
          <w:b/>
        </w:rPr>
        <w:t>REASONS FOR JUDGMENT</w:t>
      </w:r>
    </w:p>
    <w:p w:rsidR="00EA0523" w:rsidRDefault="00EA0523" w:rsidP="00EA0523">
      <w:pPr>
        <w:pStyle w:val="ParaNumbering"/>
        <w:tabs>
          <w:tab w:val="num" w:pos="720"/>
        </w:tabs>
        <w:rPr>
          <w:lang w:val="en-US"/>
        </w:rPr>
      </w:pPr>
      <w:r>
        <w:rPr>
          <w:lang w:val="en-US"/>
        </w:rPr>
        <w:t>On 4 December 2015, I upheld the applicant’s claim that a decision on 10 December 2013 to terminate his service and commission with the Australian Defence Force should be set aside (</w:t>
      </w:r>
      <w:r w:rsidRPr="006D448F">
        <w:rPr>
          <w:i/>
          <w:lang w:val="en-US"/>
        </w:rPr>
        <w:t>Gaynor v Chief of the Defence Force (No 3)</w:t>
      </w:r>
      <w:r w:rsidRPr="006D448F">
        <w:rPr>
          <w:lang w:val="en-US"/>
        </w:rPr>
        <w:t xml:space="preserve"> [2015] FCA 1370</w:t>
      </w:r>
      <w:r>
        <w:rPr>
          <w:lang w:val="en-US"/>
        </w:rPr>
        <w:t xml:space="preserve">).  </w:t>
      </w:r>
    </w:p>
    <w:p w:rsidR="00EA0523" w:rsidRPr="006D448F" w:rsidRDefault="00EA0523" w:rsidP="00EA0523">
      <w:pPr>
        <w:pStyle w:val="ParaNumbering"/>
        <w:tabs>
          <w:tab w:val="num" w:pos="720"/>
        </w:tabs>
        <w:rPr>
          <w:lang w:val="en-US"/>
        </w:rPr>
      </w:pPr>
      <w:r>
        <w:rPr>
          <w:lang w:val="en-US"/>
        </w:rPr>
        <w:t xml:space="preserve">In that judgment I granted relief to the applicant based on one of two constitutional arguments put on his behalf.  I rejected a wide range of propositions upon which he relied which sought to invoke virtually every ground of relief available under the </w:t>
      </w:r>
      <w:r w:rsidRPr="00BB7562">
        <w:rPr>
          <w:i/>
        </w:rPr>
        <w:t>Administrative Decisions (Judicial Review) Act 1977</w:t>
      </w:r>
      <w:r w:rsidRPr="00BB7562">
        <w:t xml:space="preserve"> (Cth)</w:t>
      </w:r>
      <w:r>
        <w:t xml:space="preserve">.  </w:t>
      </w:r>
    </w:p>
    <w:p w:rsidR="00EA0523" w:rsidRPr="006D448F" w:rsidRDefault="00EA0523" w:rsidP="00EA0523">
      <w:pPr>
        <w:pStyle w:val="ParaNumbering"/>
        <w:tabs>
          <w:tab w:val="num" w:pos="720"/>
        </w:tabs>
        <w:rPr>
          <w:lang w:val="en-US"/>
        </w:rPr>
      </w:pPr>
      <w:r>
        <w:t xml:space="preserve">I ordered, as a default position, that the respondent pay the applicant’s costs unless some special order for costs was sought, as the respondent had foreshadowed it might be.  </w:t>
      </w:r>
    </w:p>
    <w:p w:rsidR="00EA0523" w:rsidRDefault="00EA0523" w:rsidP="00EA0523">
      <w:pPr>
        <w:pStyle w:val="ParaNumbering"/>
        <w:tabs>
          <w:tab w:val="num" w:pos="720"/>
        </w:tabs>
        <w:rPr>
          <w:lang w:val="en-US"/>
        </w:rPr>
      </w:pPr>
      <w:r>
        <w:rPr>
          <w:lang w:val="en-US"/>
        </w:rPr>
        <w:t xml:space="preserve">The respondent has now sought an order that its obligation to pay costs be reduced to 50%.  The grounds were stated in written submissions as follows:  </w:t>
      </w:r>
    </w:p>
    <w:p w:rsidR="00EA0523" w:rsidRDefault="00EA0523" w:rsidP="00EA0523">
      <w:pPr>
        <w:pStyle w:val="Quote1"/>
        <w:ind w:left="1457" w:hanging="720"/>
      </w:pPr>
      <w:r>
        <w:t>3.</w:t>
      </w:r>
      <w:r>
        <w:tab/>
        <w:t xml:space="preserve">The Respondent’s application is based on the following four matters: </w:t>
      </w:r>
    </w:p>
    <w:p w:rsidR="00EA0523" w:rsidRDefault="00EA0523" w:rsidP="00EA0523">
      <w:pPr>
        <w:pStyle w:val="Quote2"/>
        <w:ind w:left="2160" w:hanging="720"/>
      </w:pPr>
    </w:p>
    <w:p w:rsidR="00EA0523" w:rsidRDefault="00EA0523" w:rsidP="00EA0523">
      <w:pPr>
        <w:pStyle w:val="Quote2"/>
        <w:ind w:left="2160" w:hanging="720"/>
      </w:pPr>
      <w:r>
        <w:t>(a)</w:t>
      </w:r>
      <w:r>
        <w:tab/>
        <w:t xml:space="preserve">The Applicant failed in all but one of his grounds of challenge. </w:t>
      </w:r>
    </w:p>
    <w:p w:rsidR="00EA0523" w:rsidRDefault="00EA0523" w:rsidP="00EA0523">
      <w:pPr>
        <w:pStyle w:val="Quote2"/>
        <w:ind w:left="2160" w:hanging="720"/>
      </w:pPr>
    </w:p>
    <w:p w:rsidR="00EA0523" w:rsidRDefault="00EA0523" w:rsidP="00EA0523">
      <w:pPr>
        <w:pStyle w:val="Quote2"/>
        <w:ind w:left="2160" w:hanging="720"/>
      </w:pPr>
      <w:r>
        <w:t>(b)</w:t>
      </w:r>
      <w:r>
        <w:tab/>
        <w:t>The Applicant’s case was not properly pleaded (Reasons [176], [181]).</w:t>
      </w:r>
      <w:r w:rsidR="003E1945">
        <w:t xml:space="preserve"> </w:t>
      </w:r>
    </w:p>
    <w:p w:rsidR="00EA0523" w:rsidRDefault="00EA0523" w:rsidP="00EA0523">
      <w:pPr>
        <w:pStyle w:val="Quote2"/>
        <w:ind w:left="2160" w:hanging="720"/>
      </w:pPr>
    </w:p>
    <w:p w:rsidR="00EA0523" w:rsidRDefault="00EA0523" w:rsidP="00EA0523">
      <w:pPr>
        <w:pStyle w:val="Quote2"/>
        <w:ind w:left="2160" w:hanging="720"/>
      </w:pPr>
      <w:r>
        <w:t>(c)</w:t>
      </w:r>
      <w:r>
        <w:tab/>
        <w:t xml:space="preserve">The Applicant abandoned some of his pleaded grounds of challenge prior to the hearing (Reasons [179], [180]). </w:t>
      </w:r>
    </w:p>
    <w:p w:rsidR="00EA0523" w:rsidRDefault="00EA0523" w:rsidP="00EA0523">
      <w:pPr>
        <w:pStyle w:val="Quote2"/>
        <w:ind w:left="2160" w:hanging="720"/>
      </w:pPr>
    </w:p>
    <w:p w:rsidR="00EA0523" w:rsidRDefault="00EA0523" w:rsidP="00EA0523">
      <w:pPr>
        <w:pStyle w:val="Quote2"/>
        <w:ind w:left="2160" w:hanging="720"/>
      </w:pPr>
      <w:r>
        <w:t>(d)</w:t>
      </w:r>
      <w:r>
        <w:tab/>
        <w:t xml:space="preserve">The Applicant alleged bad faith on the part of the Respondent without having any basis for doing so (Reasons [189]). </w:t>
      </w:r>
    </w:p>
    <w:p w:rsidR="00EA0523" w:rsidRDefault="00EA0523" w:rsidP="00EA0523">
      <w:pPr>
        <w:pStyle w:val="Quote2"/>
        <w:ind w:left="2160" w:hanging="720"/>
        <w:rPr>
          <w:lang w:val="en-US"/>
        </w:rPr>
      </w:pPr>
    </w:p>
    <w:p w:rsidR="00EA0523" w:rsidRDefault="00EA0523" w:rsidP="00EA0523">
      <w:pPr>
        <w:pStyle w:val="ParaNumbering"/>
        <w:tabs>
          <w:tab w:val="num" w:pos="720"/>
        </w:tabs>
        <w:rPr>
          <w:lang w:val="en-US"/>
        </w:rPr>
      </w:pPr>
      <w:r>
        <w:rPr>
          <w:lang w:val="en-US"/>
        </w:rPr>
        <w:t xml:space="preserve">Costs are in the discretion of the Court.  </w:t>
      </w:r>
      <w:r w:rsidR="000B6704">
        <w:rPr>
          <w:lang w:val="en-US"/>
        </w:rPr>
        <w:t xml:space="preserve">That discretion extends to an order which refuses </w:t>
      </w:r>
      <w:r>
        <w:rPr>
          <w:lang w:val="en-US"/>
        </w:rPr>
        <w:t xml:space="preserve">costs in whole or in part where the conduct or outcome of proceedings justifies such a course (see </w:t>
      </w:r>
      <w:r>
        <w:rPr>
          <w:i/>
          <w:lang w:val="en-US"/>
        </w:rPr>
        <w:t>Ruddock v Vadarlis (No </w:t>
      </w:r>
      <w:r w:rsidRPr="009253FE">
        <w:rPr>
          <w:i/>
          <w:lang w:val="en-US"/>
        </w:rPr>
        <w:t>2)</w:t>
      </w:r>
      <w:r w:rsidRPr="009253FE">
        <w:rPr>
          <w:lang w:val="en-US"/>
        </w:rPr>
        <w:t xml:space="preserve"> (2001) 115 FCR 229 </w:t>
      </w:r>
      <w:r>
        <w:rPr>
          <w:lang w:val="en-US"/>
        </w:rPr>
        <w:t xml:space="preserve">at [11], [15]; </w:t>
      </w:r>
      <w:r w:rsidRPr="00CC6D92">
        <w:rPr>
          <w:i/>
          <w:lang w:val="en-US"/>
        </w:rPr>
        <w:t>Bowen Investments Pty</w:t>
      </w:r>
      <w:r>
        <w:rPr>
          <w:i/>
          <w:lang w:val="en-US"/>
        </w:rPr>
        <w:t xml:space="preserve"> Ltd v Tabcorp Holdings Ltd (No </w:t>
      </w:r>
      <w:r w:rsidRPr="00CC6D92">
        <w:rPr>
          <w:i/>
          <w:lang w:val="en-US"/>
        </w:rPr>
        <w:t xml:space="preserve">2) </w:t>
      </w:r>
      <w:r w:rsidRPr="00CC6D92">
        <w:rPr>
          <w:lang w:val="en-US"/>
        </w:rPr>
        <w:t>[2008] FCAFC 107</w:t>
      </w:r>
      <w:r>
        <w:rPr>
          <w:i/>
          <w:lang w:val="en-US"/>
        </w:rPr>
        <w:t xml:space="preserve"> </w:t>
      </w:r>
      <w:r>
        <w:rPr>
          <w:lang w:val="en-US"/>
        </w:rPr>
        <w:t xml:space="preserve">at [3]-[5]).  </w:t>
      </w:r>
    </w:p>
    <w:p w:rsidR="00EA0523" w:rsidRDefault="00EA0523" w:rsidP="00EA0523">
      <w:pPr>
        <w:pStyle w:val="ParaNumbering"/>
        <w:tabs>
          <w:tab w:val="num" w:pos="720"/>
        </w:tabs>
        <w:rPr>
          <w:lang w:val="en-US"/>
        </w:rPr>
      </w:pPr>
      <w:r>
        <w:rPr>
          <w:lang w:val="en-US"/>
        </w:rPr>
        <w:t xml:space="preserve">The respondent’s written submissions stated:  </w:t>
      </w:r>
    </w:p>
    <w:p w:rsidR="00EA0523" w:rsidRDefault="00EA0523" w:rsidP="00EA0523">
      <w:pPr>
        <w:pStyle w:val="Quote1"/>
        <w:ind w:left="1457" w:hanging="720"/>
      </w:pPr>
      <w:r>
        <w:t>10.</w:t>
      </w:r>
      <w:r>
        <w:tab/>
        <w:t xml:space="preserve">On this application, the Respondent does not seek an order to recover any of his costs from the Applicant, though it would have been reasonable to do so. Nor does the Respondent seek an order that there be an issue-by-issue apportionment of costs – to take that approach would be inefficient and costly in terms of undertaking a costs assessment. Nor does the Respondent seek that there be no order as to costs – although, again, it would have been reasonable to do so. </w:t>
      </w:r>
    </w:p>
    <w:p w:rsidR="00EA0523" w:rsidRDefault="00EA0523" w:rsidP="00EA0523">
      <w:pPr>
        <w:pStyle w:val="Quote1"/>
        <w:ind w:left="1457" w:hanging="720"/>
      </w:pPr>
    </w:p>
    <w:p w:rsidR="00EA0523" w:rsidRDefault="00EA0523" w:rsidP="00EA0523">
      <w:pPr>
        <w:pStyle w:val="Quote1"/>
        <w:ind w:left="1457" w:hanging="720"/>
      </w:pPr>
      <w:r>
        <w:t>11.</w:t>
      </w:r>
      <w:r>
        <w:tab/>
        <w:t xml:space="preserve">Rather, the Respondent simply seeks an order limiting the Applicant to recovering 50 per cent of his costs of the proceedings, as taxed if not agreed. This global calculation takes account of the fact that the Applicant failed on most of his grounds of challenge, and also takes account of the several delinquencies by the Applicant in the conduct of the proceedings. </w:t>
      </w:r>
    </w:p>
    <w:p w:rsidR="00EA0523" w:rsidRPr="007C251E" w:rsidRDefault="00EA0523" w:rsidP="00EA0523">
      <w:pPr>
        <w:pStyle w:val="Quote1"/>
        <w:ind w:left="1457" w:hanging="720"/>
      </w:pPr>
    </w:p>
    <w:p w:rsidR="00EA0523" w:rsidRDefault="00EA0523" w:rsidP="00EA0523">
      <w:pPr>
        <w:pStyle w:val="ParaNumbering"/>
        <w:tabs>
          <w:tab w:val="num" w:pos="720"/>
        </w:tabs>
        <w:rPr>
          <w:lang w:val="en-US"/>
        </w:rPr>
      </w:pPr>
      <w:r>
        <w:rPr>
          <w:lang w:val="en-US"/>
        </w:rPr>
        <w:t xml:space="preserve">Then, a series of particular reasons were advanced in support of the application to reduce costs to 50%.  Those submissions related to particular aspects of the conduct of the applicant’s case.  It is sufficient to record that I accept, as well founded, each of those submissions.  </w:t>
      </w:r>
    </w:p>
    <w:p w:rsidR="00EA0523" w:rsidRDefault="00EA0523" w:rsidP="00EA0523">
      <w:pPr>
        <w:pStyle w:val="ParaNumbering"/>
        <w:tabs>
          <w:tab w:val="num" w:pos="720"/>
        </w:tabs>
        <w:rPr>
          <w:lang w:val="en-US"/>
        </w:rPr>
      </w:pPr>
      <w:r>
        <w:rPr>
          <w:lang w:val="en-US"/>
        </w:rPr>
        <w:t xml:space="preserve">The applicant’s response may be reduced to three propositions.  First, the Court retains a discretion to award the applicant full costs, notwithstanding the criticisms of the respondent.  Secondly, the applicant did the best he could procedurally in the context of a complicated and groundbreaking case.  Thirdly, the Court should recognise the significant benefit which the applicant achieved, not only for himself but for all Defence personnel in what should be regarded as a significant public interest matter.  </w:t>
      </w:r>
    </w:p>
    <w:p w:rsidR="00EA0523" w:rsidRDefault="00EA0523" w:rsidP="00EA0523">
      <w:pPr>
        <w:pStyle w:val="ParaNumbering"/>
        <w:tabs>
          <w:tab w:val="num" w:pos="720"/>
        </w:tabs>
        <w:rPr>
          <w:lang w:val="en-US"/>
        </w:rPr>
      </w:pPr>
      <w:r>
        <w:rPr>
          <w:lang w:val="en-US"/>
        </w:rPr>
        <w:t xml:space="preserve">I do not regard any of those matters to be persuasive in the present case.  </w:t>
      </w:r>
    </w:p>
    <w:p w:rsidR="00EA0523" w:rsidRDefault="00EA0523" w:rsidP="00EA0523">
      <w:pPr>
        <w:pStyle w:val="ParaNumbering"/>
        <w:tabs>
          <w:tab w:val="num" w:pos="720"/>
        </w:tabs>
        <w:rPr>
          <w:lang w:val="en-US"/>
        </w:rPr>
      </w:pPr>
      <w:r>
        <w:rPr>
          <w:lang w:val="en-US"/>
        </w:rPr>
        <w:t>The first ground of opposition is not in issue</w:t>
      </w:r>
      <w:r w:rsidR="006457FF">
        <w:rPr>
          <w:lang w:val="en-US"/>
        </w:rPr>
        <w:t>, but it</w:t>
      </w:r>
      <w:r w:rsidR="000B7C98">
        <w:rPr>
          <w:lang w:val="en-US"/>
        </w:rPr>
        <w:t xml:space="preserve"> </w:t>
      </w:r>
      <w:r>
        <w:rPr>
          <w:lang w:val="en-US"/>
        </w:rPr>
        <w:t xml:space="preserve">does not bear upon the question for decision.  I place no weight upon any suggestion that the applicant achieved some public interest outcome for others.  </w:t>
      </w:r>
      <w:r w:rsidR="003A0BAE">
        <w:rPr>
          <w:lang w:val="en-US"/>
        </w:rPr>
        <w:t xml:space="preserve">He was intent on vindicating his asserted private rights.  </w:t>
      </w:r>
    </w:p>
    <w:p w:rsidR="00EA0523" w:rsidRDefault="00EA0523" w:rsidP="00EA0523">
      <w:pPr>
        <w:pStyle w:val="ParaNumbering"/>
        <w:tabs>
          <w:tab w:val="num" w:pos="720"/>
        </w:tabs>
        <w:rPr>
          <w:lang w:val="en-US"/>
        </w:rPr>
      </w:pPr>
      <w:r>
        <w:rPr>
          <w:lang w:val="en-US"/>
        </w:rPr>
        <w:lastRenderedPageBreak/>
        <w:t xml:space="preserve">I do not accept the attempted defence of the procedural shortcomings which I referred to in the judgment.  Most of the applicant’s case miscarried.  In my view, the appropriate and just outcome is, as the respondent submitted, to award the applicant 50% of his costs.  </w:t>
      </w:r>
    </w:p>
    <w:p w:rsidR="00EA0523" w:rsidRDefault="00EA0523" w:rsidP="00EA0523">
      <w:pPr>
        <w:pStyle w:val="ParaNumbering"/>
        <w:tabs>
          <w:tab w:val="num" w:pos="720"/>
        </w:tabs>
        <w:rPr>
          <w:lang w:val="en-US"/>
        </w:rPr>
      </w:pPr>
      <w:r>
        <w:rPr>
          <w:lang w:val="en-US"/>
        </w:rPr>
        <w:t xml:space="preserve">I uphold the respondent’s application to limit its obligation for costs to 50%.  The applicant must pay the costs of that application.  </w:t>
      </w:r>
    </w:p>
    <w:p w:rsidR="000B377A" w:rsidRDefault="007F2E9F" w:rsidP="00EA0523">
      <w:pPr>
        <w:pStyle w:val="ParaNumbering"/>
        <w:tabs>
          <w:tab w:val="num" w:pos="720"/>
        </w:tabs>
        <w:rPr>
          <w:lang w:val="en-US"/>
        </w:rPr>
      </w:pPr>
      <w:r>
        <w:rPr>
          <w:lang w:val="en-US"/>
        </w:rPr>
        <w:t xml:space="preserve">One further minor procedural matter must be mentioned.  In the orders made on 4 December 2015 the question of costs was listed for directions today in the event that an application was made departing from the usual order.  The fact that both parties very helpfully, and </w:t>
      </w:r>
      <w:r w:rsidR="001B3918">
        <w:rPr>
          <w:lang w:val="en-US"/>
        </w:rPr>
        <w:t>unprompted</w:t>
      </w:r>
      <w:r w:rsidR="00541A3C">
        <w:rPr>
          <w:lang w:val="en-US"/>
        </w:rPr>
        <w:t>,</w:t>
      </w:r>
      <w:r>
        <w:rPr>
          <w:lang w:val="en-US"/>
        </w:rPr>
        <w:t xml:space="preserve"> filed written submissions about the issue of costs made such a directions hearing unnecessary.  </w:t>
      </w:r>
    </w:p>
    <w:p w:rsidR="007F2E9F" w:rsidRDefault="007F2E9F" w:rsidP="00EA0523">
      <w:pPr>
        <w:pStyle w:val="ParaNumbering"/>
        <w:tabs>
          <w:tab w:val="num" w:pos="720"/>
        </w:tabs>
        <w:rPr>
          <w:lang w:val="en-US"/>
        </w:rPr>
      </w:pPr>
      <w:r>
        <w:rPr>
          <w:lang w:val="en-US"/>
        </w:rPr>
        <w:t xml:space="preserve">The hearing </w:t>
      </w:r>
      <w:r w:rsidR="007B707E">
        <w:rPr>
          <w:lang w:val="en-US"/>
        </w:rPr>
        <w:t>was, however, retained to possibly deal</w:t>
      </w:r>
      <w:r>
        <w:rPr>
          <w:lang w:val="en-US"/>
        </w:rPr>
        <w:t xml:space="preserve"> with an interlocutory application for a stay of the order setting aside the decision to terminate the applicant’s service and commission.  </w:t>
      </w:r>
      <w:r w:rsidR="00422D6F">
        <w:rPr>
          <w:lang w:val="en-US"/>
        </w:rPr>
        <w:t xml:space="preserve">In </w:t>
      </w:r>
      <w:r>
        <w:rPr>
          <w:lang w:val="en-US"/>
        </w:rPr>
        <w:t>the meantime, an appeal against that order ha</w:t>
      </w:r>
      <w:r w:rsidR="00422D6F">
        <w:rPr>
          <w:lang w:val="en-US"/>
        </w:rPr>
        <w:t>d</w:t>
      </w:r>
      <w:r>
        <w:rPr>
          <w:lang w:val="en-US"/>
        </w:rPr>
        <w:t xml:space="preserve"> been filed.  </w:t>
      </w:r>
      <w:r w:rsidR="007B707E">
        <w:rPr>
          <w:lang w:val="en-US"/>
        </w:rPr>
        <w:t xml:space="preserve">In my view, the </w:t>
      </w:r>
      <w:r>
        <w:rPr>
          <w:lang w:val="en-US"/>
        </w:rPr>
        <w:t>disposition of the interlocutory application is not a matter for me in those circumstances</w:t>
      </w:r>
      <w:r w:rsidR="00422D6F">
        <w:rPr>
          <w:lang w:val="en-US"/>
        </w:rPr>
        <w:t xml:space="preserve"> and, in any event, the respondent accepted that late service of voluminous documents in support of the application rendered it inappropriate to deal with the matter in any </w:t>
      </w:r>
      <w:r w:rsidR="007B707E">
        <w:rPr>
          <w:lang w:val="en-US"/>
        </w:rPr>
        <w:t xml:space="preserve">substantive </w:t>
      </w:r>
      <w:r w:rsidR="00422D6F">
        <w:rPr>
          <w:lang w:val="en-US"/>
        </w:rPr>
        <w:t>way this morning</w:t>
      </w:r>
      <w:r>
        <w:rPr>
          <w:lang w:val="en-US"/>
        </w:rPr>
        <w:t xml:space="preserve">.  As a consequence, the hearing this morning was unnecessary.  The applicant sought his costs.  </w:t>
      </w:r>
      <w:r w:rsidR="00422D6F">
        <w:rPr>
          <w:lang w:val="en-US"/>
        </w:rPr>
        <w:t xml:space="preserve">In my view, the applicant is entitled to those costs.  </w:t>
      </w:r>
    </w:p>
    <w:p w:rsidR="00787E3B" w:rsidRDefault="00787E3B" w:rsidP="00815065">
      <w:pPr>
        <w:pStyle w:val="BodyText"/>
      </w:pPr>
      <w:bookmarkStart w:id="23" w:name="Certification"/>
    </w:p>
    <w:tbl>
      <w:tblPr>
        <w:tblW w:w="0" w:type="auto"/>
        <w:tblLook w:val="04A0" w:firstRow="1" w:lastRow="0" w:firstColumn="1" w:lastColumn="0" w:noHBand="0" w:noVBand="1"/>
      </w:tblPr>
      <w:tblGrid>
        <w:gridCol w:w="3794"/>
      </w:tblGrid>
      <w:tr w:rsidR="00787E3B" w:rsidRPr="00787E3B">
        <w:tc>
          <w:tcPr>
            <w:tcW w:w="3794" w:type="dxa"/>
            <w:shd w:val="clear" w:color="auto" w:fill="auto"/>
          </w:tcPr>
          <w:p w:rsidR="00787E3B" w:rsidRPr="00787E3B" w:rsidRDefault="00787E3B" w:rsidP="00787E3B">
            <w:pPr>
              <w:pStyle w:val="Normal1linespace"/>
            </w:pPr>
            <w:r w:rsidRPr="00787E3B">
              <w:t xml:space="preserve">I certify that the preceding </w:t>
            </w:r>
            <w:bookmarkStart w:id="24" w:name="NumberWord"/>
            <w:r>
              <w:t>fourteen</w:t>
            </w:r>
            <w:bookmarkEnd w:id="24"/>
            <w:r w:rsidRPr="00787E3B">
              <w:t xml:space="preserve"> (</w:t>
            </w:r>
            <w:bookmarkStart w:id="25" w:name="NumberNumeral"/>
            <w:r>
              <w:t>14</w:t>
            </w:r>
            <w:bookmarkEnd w:id="25"/>
            <w:r w:rsidRPr="00787E3B">
              <w:t xml:space="preserve">) numbered </w:t>
            </w:r>
            <w:bookmarkStart w:id="26" w:name="CertPara"/>
            <w:r>
              <w:t>paragraphs are</w:t>
            </w:r>
            <w:bookmarkEnd w:id="26"/>
            <w:r w:rsidRPr="00787E3B">
              <w:t xml:space="preserve"> a true copy of the Reasons for Judgment herein of the Honourable </w:t>
            </w:r>
            <w:bookmarkStart w:id="27" w:name="Justice"/>
            <w:r>
              <w:t>Justice Buchanan</w:t>
            </w:r>
            <w:bookmarkEnd w:id="27"/>
            <w:r w:rsidRPr="00787E3B">
              <w:t>.</w:t>
            </w:r>
          </w:p>
        </w:tc>
      </w:tr>
    </w:tbl>
    <w:p w:rsidR="00787E3B" w:rsidRDefault="00787E3B" w:rsidP="00815065">
      <w:pPr>
        <w:pStyle w:val="BodyText"/>
      </w:pPr>
    </w:p>
    <w:p w:rsidR="00787E3B" w:rsidRDefault="00787E3B" w:rsidP="00815065">
      <w:pPr>
        <w:pStyle w:val="BodyText"/>
      </w:pPr>
      <w:bookmarkStart w:id="28" w:name="_GoBack"/>
      <w:bookmarkEnd w:id="28"/>
    </w:p>
    <w:p w:rsidR="00787E3B" w:rsidRDefault="00787E3B" w:rsidP="00815065">
      <w:pPr>
        <w:pStyle w:val="BodyText"/>
      </w:pPr>
      <w:r>
        <w:t>Associate:</w:t>
      </w:r>
    </w:p>
    <w:p w:rsidR="00787E3B" w:rsidRDefault="00787E3B" w:rsidP="00815065">
      <w:pPr>
        <w:pStyle w:val="BodyText"/>
      </w:pPr>
    </w:p>
    <w:p w:rsidR="00787E3B" w:rsidRPr="0023097E" w:rsidRDefault="00787E3B" w:rsidP="0023097E">
      <w:pPr>
        <w:pStyle w:val="BodyText"/>
        <w:tabs>
          <w:tab w:val="left" w:pos="1134"/>
        </w:tabs>
      </w:pPr>
      <w:r>
        <w:t>Dated:</w:t>
      </w:r>
      <w:r>
        <w:tab/>
      </w:r>
      <w:bookmarkStart w:id="29" w:name="CertifyDated"/>
      <w:r>
        <w:t>18 December 2015</w:t>
      </w:r>
      <w:bookmarkEnd w:id="29"/>
      <w:bookmarkEnd w:id="23"/>
    </w:p>
    <w:sectPr w:rsidR="00787E3B" w:rsidRPr="0023097E">
      <w:headerReference w:type="even" r:id="rId11"/>
      <w:headerReference w:type="default" r:id="rId12"/>
      <w:footerReference w:type="default" r:id="rId13"/>
      <w:headerReference w:type="first" r:id="rId14"/>
      <w:footerReference w:type="first" r:id="rId15"/>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99E" w:rsidRDefault="00F0799E">
      <w:pPr>
        <w:spacing w:line="20" w:lineRule="exact"/>
      </w:pPr>
    </w:p>
    <w:p w:rsidR="00F0799E" w:rsidRDefault="00F0799E"/>
    <w:p w:rsidR="00F0799E" w:rsidRDefault="00F0799E"/>
  </w:endnote>
  <w:endnote w:type="continuationSeparator" w:id="0">
    <w:p w:rsidR="00F0799E" w:rsidRDefault="00F0799E">
      <w:r>
        <w:t xml:space="preserve"> </w:t>
      </w:r>
    </w:p>
    <w:p w:rsidR="00F0799E" w:rsidRDefault="00F0799E"/>
    <w:p w:rsidR="00F0799E" w:rsidRDefault="00F0799E"/>
  </w:endnote>
  <w:endnote w:type="continuationNotice" w:id="1">
    <w:p w:rsidR="00F0799E" w:rsidRDefault="00F0799E">
      <w:r>
        <w:t xml:space="preserve"> </w:t>
      </w:r>
    </w:p>
    <w:p w:rsidR="00F0799E" w:rsidRDefault="00F0799E"/>
    <w:p w:rsidR="00F0799E" w:rsidRDefault="00F07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24" w:rsidRPr="00787E3B" w:rsidRDefault="00395B24" w:rsidP="00787E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E49" w:rsidRPr="00787E3B" w:rsidRDefault="002F1E49" w:rsidP="00787E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99E" w:rsidRDefault="00F0799E"/>
    <w:p w:rsidR="00F0799E" w:rsidRDefault="00F0799E"/>
    <w:p w:rsidR="00F0799E" w:rsidRDefault="00F0799E"/>
  </w:footnote>
  <w:footnote w:type="continuationSeparator" w:id="0">
    <w:p w:rsidR="00F0799E" w:rsidRDefault="00F0799E">
      <w:r>
        <w:continuationSeparator/>
      </w:r>
    </w:p>
    <w:p w:rsidR="00F0799E" w:rsidRDefault="00F0799E"/>
    <w:p w:rsidR="00F0799E" w:rsidRDefault="00F079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24" w:rsidRDefault="002C7385">
    <w:pPr>
      <w:tabs>
        <w:tab w:val="center" w:pos="4512"/>
      </w:tabs>
      <w:suppressAutoHyphens/>
      <w:rPr>
        <w:spacing w:val="-3"/>
      </w:rPr>
    </w:pPr>
    <w:r>
      <w:rPr>
        <w:spacing w:val="-3"/>
      </w:rPr>
      <w:tab/>
      <w:t xml:space="preserve">- </w:t>
    </w:r>
    <w:r>
      <w:rPr>
        <w:spacing w:val="-3"/>
      </w:rPr>
      <w:fldChar w:fldCharType="begin"/>
    </w:r>
    <w:r>
      <w:rPr>
        <w:spacing w:val="-3"/>
      </w:rPr>
      <w:instrText>page \* arabic</w:instrText>
    </w:r>
    <w:r>
      <w:rPr>
        <w:spacing w:val="-3"/>
      </w:rPr>
      <w:fldChar w:fldCharType="separate"/>
    </w:r>
    <w:r>
      <w:rPr>
        <w:noProof/>
        <w:spacing w:val="-3"/>
      </w:rPr>
      <w:t>2</w:t>
    </w:r>
    <w:r>
      <w:rPr>
        <w:spacing w:val="-3"/>
      </w:rPr>
      <w:fldChar w:fldCharType="end"/>
    </w:r>
    <w:r>
      <w:rPr>
        <w:spacing w:val="-3"/>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24" w:rsidRDefault="002C7385">
    <w:pPr>
      <w:tabs>
        <w:tab w:val="center" w:pos="4512"/>
      </w:tabs>
      <w:suppressAutoHyphens/>
    </w:pPr>
    <w:r>
      <w:tab/>
      <w:t xml:space="preserve">- </w:t>
    </w:r>
    <w:r>
      <w:fldChar w:fldCharType="begin"/>
    </w:r>
    <w:r>
      <w:instrText>page \* arabic</w:instrText>
    </w:r>
    <w:r>
      <w:fldChar w:fldCharType="separate"/>
    </w:r>
    <w:r w:rsidR="00624520">
      <w:rPr>
        <w:noProof/>
      </w:rPr>
      <w:t>2</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24" w:rsidRDefault="00395B24">
    <w:pPr>
      <w:pStyle w:val="Header"/>
      <w:tabs>
        <w:tab w:val="clear" w:pos="4320"/>
        <w:tab w:val="clear" w:pos="8640"/>
      </w:tabs>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24" w:rsidRDefault="00395B2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24" w:rsidRDefault="002C7385">
    <w:pPr>
      <w:tabs>
        <w:tab w:val="center" w:pos="4512"/>
      </w:tabs>
      <w:suppressAutoHyphens/>
    </w:pPr>
    <w:r>
      <w:tab/>
      <w:t xml:space="preserve">- </w:t>
    </w:r>
    <w:r>
      <w:fldChar w:fldCharType="begin"/>
    </w:r>
    <w:r>
      <w:instrText>page \* arabic</w:instrText>
    </w:r>
    <w:r>
      <w:fldChar w:fldCharType="separate"/>
    </w:r>
    <w:r w:rsidR="006D755C">
      <w:rPr>
        <w:noProof/>
      </w:rPr>
      <w:t>3</w:t>
    </w:r>
    <w:r>
      <w:fldChar w:fldCharType="end"/>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24" w:rsidRDefault="00395B24">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79F4"/>
    <w:multiLevelType w:val="hybridMultilevel"/>
    <w:tmpl w:val="1E4E00A4"/>
    <w:lvl w:ilvl="0" w:tplc="B8F2B8A6">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nsid w:val="17762CB3"/>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nsid w:val="1EF9738D"/>
    <w:multiLevelType w:val="hybridMultilevel"/>
    <w:tmpl w:val="21C4D53A"/>
    <w:lvl w:ilvl="0" w:tplc="1A28D646">
      <w:start w:val="1"/>
      <w:numFmt w:val="decimal"/>
      <w:lvlText w:val="(%1)"/>
      <w:lvlJc w:val="left"/>
      <w:pPr>
        <w:ind w:left="3219" w:hanging="360"/>
      </w:pPr>
      <w:rPr>
        <w:rFonts w:hint="default"/>
      </w:rPr>
    </w:lvl>
    <w:lvl w:ilvl="1" w:tplc="0C090019" w:tentative="1">
      <w:start w:val="1"/>
      <w:numFmt w:val="lowerLetter"/>
      <w:lvlText w:val="%2."/>
      <w:lvlJc w:val="left"/>
      <w:pPr>
        <w:ind w:left="3939" w:hanging="360"/>
      </w:pPr>
    </w:lvl>
    <w:lvl w:ilvl="2" w:tplc="0C09001B" w:tentative="1">
      <w:start w:val="1"/>
      <w:numFmt w:val="lowerRoman"/>
      <w:lvlText w:val="%3."/>
      <w:lvlJc w:val="right"/>
      <w:pPr>
        <w:ind w:left="4659" w:hanging="180"/>
      </w:pPr>
    </w:lvl>
    <w:lvl w:ilvl="3" w:tplc="0C09000F" w:tentative="1">
      <w:start w:val="1"/>
      <w:numFmt w:val="decimal"/>
      <w:lvlText w:val="%4."/>
      <w:lvlJc w:val="left"/>
      <w:pPr>
        <w:ind w:left="5379" w:hanging="360"/>
      </w:pPr>
    </w:lvl>
    <w:lvl w:ilvl="4" w:tplc="0C090019" w:tentative="1">
      <w:start w:val="1"/>
      <w:numFmt w:val="lowerLetter"/>
      <w:lvlText w:val="%5."/>
      <w:lvlJc w:val="left"/>
      <w:pPr>
        <w:ind w:left="6099" w:hanging="360"/>
      </w:pPr>
    </w:lvl>
    <w:lvl w:ilvl="5" w:tplc="0C09001B" w:tentative="1">
      <w:start w:val="1"/>
      <w:numFmt w:val="lowerRoman"/>
      <w:lvlText w:val="%6."/>
      <w:lvlJc w:val="right"/>
      <w:pPr>
        <w:ind w:left="6819" w:hanging="180"/>
      </w:pPr>
    </w:lvl>
    <w:lvl w:ilvl="6" w:tplc="0C09000F" w:tentative="1">
      <w:start w:val="1"/>
      <w:numFmt w:val="decimal"/>
      <w:lvlText w:val="%7."/>
      <w:lvlJc w:val="left"/>
      <w:pPr>
        <w:ind w:left="7539" w:hanging="360"/>
      </w:pPr>
    </w:lvl>
    <w:lvl w:ilvl="7" w:tplc="0C090019" w:tentative="1">
      <w:start w:val="1"/>
      <w:numFmt w:val="lowerLetter"/>
      <w:lvlText w:val="%8."/>
      <w:lvlJc w:val="left"/>
      <w:pPr>
        <w:ind w:left="8259" w:hanging="360"/>
      </w:pPr>
    </w:lvl>
    <w:lvl w:ilvl="8" w:tplc="0C09001B" w:tentative="1">
      <w:start w:val="1"/>
      <w:numFmt w:val="lowerRoman"/>
      <w:lvlText w:val="%9."/>
      <w:lvlJc w:val="right"/>
      <w:pPr>
        <w:ind w:left="8979" w:hanging="180"/>
      </w:pPr>
    </w:lvl>
  </w:abstractNum>
  <w:abstractNum w:abstractNumId="16">
    <w:nsid w:val="27E40CA6"/>
    <w:multiLevelType w:val="hybridMultilevel"/>
    <w:tmpl w:val="AC248956"/>
    <w:lvl w:ilvl="0" w:tplc="2BC8ED2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8">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9">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nsid w:val="33630A1B"/>
    <w:multiLevelType w:val="multilevel"/>
    <w:tmpl w:val="D3AE416C"/>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1">
    <w:nsid w:val="47F720E9"/>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2">
    <w:nsid w:val="494817A7"/>
    <w:multiLevelType w:val="multilevel"/>
    <w:tmpl w:val="0F0EC90E"/>
    <w:numStyleLink w:val="FCListNo"/>
  </w:abstractNum>
  <w:abstractNum w:abstractNumId="23">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561473B2"/>
    <w:multiLevelType w:val="multilevel"/>
    <w:tmpl w:val="CBA031BE"/>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6">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8">
    <w:nsid w:val="7842518D"/>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9">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7"/>
  </w:num>
  <w:num w:numId="2">
    <w:abstractNumId w:val="25"/>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1"/>
  </w:num>
  <w:num w:numId="16">
    <w:abstractNumId w:val="28"/>
  </w:num>
  <w:num w:numId="17">
    <w:abstractNumId w:val="20"/>
  </w:num>
  <w:num w:numId="18">
    <w:abstractNumId w:val="20"/>
  </w:num>
  <w:num w:numId="19">
    <w:abstractNumId w:val="26"/>
  </w:num>
  <w:num w:numId="20">
    <w:abstractNumId w:val="23"/>
  </w:num>
  <w:num w:numId="21">
    <w:abstractNumId w:val="24"/>
  </w:num>
  <w:num w:numId="22">
    <w:abstractNumId w:val="29"/>
  </w:num>
  <w:num w:numId="23">
    <w:abstractNumId w:val="29"/>
  </w:num>
  <w:num w:numId="24">
    <w:abstractNumId w:val="29"/>
  </w:num>
  <w:num w:numId="25">
    <w:abstractNumId w:val="29"/>
  </w:num>
  <w:num w:numId="26">
    <w:abstractNumId w:val="29"/>
  </w:num>
  <w:num w:numId="27">
    <w:abstractNumId w:val="15"/>
  </w:num>
  <w:num w:numId="28">
    <w:abstractNumId w:val="16"/>
  </w:num>
  <w:num w:numId="29">
    <w:abstractNumId w:val="10"/>
  </w:num>
  <w:num w:numId="30">
    <w:abstractNumId w:val="1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1"/>
  </w:num>
  <w:num w:numId="34">
    <w:abstractNumId w:val="19"/>
  </w:num>
  <w:num w:numId="35">
    <w:abstractNumId w:val="22"/>
  </w:num>
  <w:num w:numId="36">
    <w:abstractNumId w:val="22"/>
  </w:num>
  <w:num w:numId="37">
    <w:abstractNumId w:val="22"/>
  </w:num>
  <w:num w:numId="38">
    <w:abstractNumId w:val="14"/>
  </w:num>
  <w:num w:numId="39">
    <w:abstractNumId w:val="22"/>
  </w:num>
  <w:num w:numId="40">
    <w:abstractNumId w:val="22"/>
  </w:num>
  <w:num w:numId="41">
    <w:abstractNumId w:val="22"/>
  </w:num>
  <w:num w:numId="42">
    <w:abstractNumId w:val="18"/>
  </w:num>
  <w:num w:numId="43">
    <w:abstractNumId w:val="18"/>
  </w:num>
  <w:num w:numId="44">
    <w:abstractNumId w:val="18"/>
  </w:num>
  <w:num w:numId="45">
    <w:abstractNumId w:val="18"/>
  </w:num>
  <w:num w:numId="46">
    <w:abstractNumId w:val="18"/>
  </w:num>
  <w:num w:numId="47">
    <w:abstractNumId w:val="18"/>
  </w:num>
  <w:num w:numId="48">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al" w:val="Not an Appeal"/>
    <w:docVar w:name="Applicant" w:val="BERNARD GAYNOR"/>
    <w:docVar w:name="CounselParties" w:val="Respondent"/>
    <w:docVar w:name="CounselType" w:val="Solicitor for the "/>
    <w:docVar w:name="Division" w:val="GENERAL DIVISION"/>
    <w:docVar w:name="DocCreated" w:val="True"/>
    <w:docVar w:name="FileNumbers" w:val="NSD 692 of 2014"/>
    <w:docVar w:name="FullCourt" w:val="False"/>
    <w:docVar w:name="HearingDate" w:val="Heard on the papers"/>
    <w:docVar w:name="Judgdate" w:val="18 December 2015"/>
    <w:docVar w:name="Judge" w:val="Buchanan"/>
    <w:docVar w:name="JudgePlace" w:val="SYDNEY"/>
    <w:docVar w:name="lstEntryList" w:val="-1"/>
    <w:docVar w:name="myEntryList" w:val="Solicitor for the Applicant=Mr R Balzola of Robert Balzola &amp; Associates|Counsel for the Respondent=Mr J Kirk SC with Mr D Robertson|Solicitor for the Respondent=Clayton Utz"/>
    <w:docVar w:name="NSD" w:val="NSD NSD 692 of 2014"/>
    <w:docVar w:name="NumApps" w:val="1"/>
    <w:docVar w:name="NumApps_" w:val="1"/>
    <w:docVar w:name="NumJudges" w:val="Single Judge"/>
    <w:docVar w:name="Parties" w:val="Respondent"/>
    <w:docVar w:name="Place_SentenceCase" w:val="Sydney"/>
    <w:docVar w:name="Respondent" w:val="CHIEF OF THE DEFENCE FORCE"/>
    <w:docVar w:name="ResState" w:val="NEW SOUTH WALES"/>
    <w:docVar w:name="Single" w:val="True"/>
  </w:docVars>
  <w:rsids>
    <w:rsidRoot w:val="00F0799E"/>
    <w:rsid w:val="00005E66"/>
    <w:rsid w:val="00010750"/>
    <w:rsid w:val="000B377A"/>
    <w:rsid w:val="000B6704"/>
    <w:rsid w:val="000B7C98"/>
    <w:rsid w:val="000C5EF3"/>
    <w:rsid w:val="000D2137"/>
    <w:rsid w:val="001128BD"/>
    <w:rsid w:val="001727A4"/>
    <w:rsid w:val="001738AB"/>
    <w:rsid w:val="00185854"/>
    <w:rsid w:val="00187BBC"/>
    <w:rsid w:val="001B14AC"/>
    <w:rsid w:val="001B3918"/>
    <w:rsid w:val="001B7940"/>
    <w:rsid w:val="001E3B49"/>
    <w:rsid w:val="001E7388"/>
    <w:rsid w:val="00211F83"/>
    <w:rsid w:val="002167E4"/>
    <w:rsid w:val="0023097E"/>
    <w:rsid w:val="002535D0"/>
    <w:rsid w:val="002602C2"/>
    <w:rsid w:val="00274F5B"/>
    <w:rsid w:val="00280836"/>
    <w:rsid w:val="002A1B50"/>
    <w:rsid w:val="002B0E91"/>
    <w:rsid w:val="002C31AD"/>
    <w:rsid w:val="002C7385"/>
    <w:rsid w:val="002E4B63"/>
    <w:rsid w:val="002F1E49"/>
    <w:rsid w:val="002F4E9C"/>
    <w:rsid w:val="003463FE"/>
    <w:rsid w:val="00356632"/>
    <w:rsid w:val="003845A9"/>
    <w:rsid w:val="00390883"/>
    <w:rsid w:val="00395B24"/>
    <w:rsid w:val="003A0BAE"/>
    <w:rsid w:val="003A2D38"/>
    <w:rsid w:val="003A3595"/>
    <w:rsid w:val="003B2C72"/>
    <w:rsid w:val="003C20FF"/>
    <w:rsid w:val="003E1945"/>
    <w:rsid w:val="003F0280"/>
    <w:rsid w:val="003F193E"/>
    <w:rsid w:val="003F444B"/>
    <w:rsid w:val="00422D6F"/>
    <w:rsid w:val="004462A9"/>
    <w:rsid w:val="00472027"/>
    <w:rsid w:val="0049417F"/>
    <w:rsid w:val="004D53E5"/>
    <w:rsid w:val="004E1E4B"/>
    <w:rsid w:val="004F295D"/>
    <w:rsid w:val="0051346D"/>
    <w:rsid w:val="00513EAE"/>
    <w:rsid w:val="005359EB"/>
    <w:rsid w:val="00541A3C"/>
    <w:rsid w:val="0054254A"/>
    <w:rsid w:val="005466B5"/>
    <w:rsid w:val="005A4DF8"/>
    <w:rsid w:val="005C1767"/>
    <w:rsid w:val="005C42EF"/>
    <w:rsid w:val="005E02F5"/>
    <w:rsid w:val="005E176E"/>
    <w:rsid w:val="005E35A0"/>
    <w:rsid w:val="006148F8"/>
    <w:rsid w:val="00624520"/>
    <w:rsid w:val="00636871"/>
    <w:rsid w:val="00643DE0"/>
    <w:rsid w:val="00644E85"/>
    <w:rsid w:val="006457FF"/>
    <w:rsid w:val="006570A3"/>
    <w:rsid w:val="00662BB0"/>
    <w:rsid w:val="006776F4"/>
    <w:rsid w:val="006A5695"/>
    <w:rsid w:val="006B3904"/>
    <w:rsid w:val="006B5B7D"/>
    <w:rsid w:val="006D0ECF"/>
    <w:rsid w:val="006D755C"/>
    <w:rsid w:val="00707218"/>
    <w:rsid w:val="00712B1D"/>
    <w:rsid w:val="007325D9"/>
    <w:rsid w:val="00787E3B"/>
    <w:rsid w:val="007929CF"/>
    <w:rsid w:val="007B707E"/>
    <w:rsid w:val="007D561F"/>
    <w:rsid w:val="007F2E9F"/>
    <w:rsid w:val="00831927"/>
    <w:rsid w:val="0084273D"/>
    <w:rsid w:val="00845A83"/>
    <w:rsid w:val="0087789D"/>
    <w:rsid w:val="008C6D50"/>
    <w:rsid w:val="008D4734"/>
    <w:rsid w:val="008E18AB"/>
    <w:rsid w:val="008E6315"/>
    <w:rsid w:val="009054CB"/>
    <w:rsid w:val="009501B0"/>
    <w:rsid w:val="00967855"/>
    <w:rsid w:val="00980736"/>
    <w:rsid w:val="009B13FA"/>
    <w:rsid w:val="009B1E2D"/>
    <w:rsid w:val="009E4FA6"/>
    <w:rsid w:val="009E7D93"/>
    <w:rsid w:val="00A03EAC"/>
    <w:rsid w:val="00A0483B"/>
    <w:rsid w:val="00A11CA6"/>
    <w:rsid w:val="00A20C49"/>
    <w:rsid w:val="00A27542"/>
    <w:rsid w:val="00A359AC"/>
    <w:rsid w:val="00A950B6"/>
    <w:rsid w:val="00AB3FBB"/>
    <w:rsid w:val="00AB41C1"/>
    <w:rsid w:val="00AE015E"/>
    <w:rsid w:val="00BA3DBC"/>
    <w:rsid w:val="00BB2DA2"/>
    <w:rsid w:val="00BB56DC"/>
    <w:rsid w:val="00BE1DD3"/>
    <w:rsid w:val="00C06AB3"/>
    <w:rsid w:val="00C1652A"/>
    <w:rsid w:val="00C36442"/>
    <w:rsid w:val="00CD6A35"/>
    <w:rsid w:val="00D10F21"/>
    <w:rsid w:val="00D375EE"/>
    <w:rsid w:val="00D87E24"/>
    <w:rsid w:val="00D9725F"/>
    <w:rsid w:val="00DA14ED"/>
    <w:rsid w:val="00DB3DE1"/>
    <w:rsid w:val="00DB4C43"/>
    <w:rsid w:val="00DB716C"/>
    <w:rsid w:val="00DD4236"/>
    <w:rsid w:val="00E027BC"/>
    <w:rsid w:val="00E14EA5"/>
    <w:rsid w:val="00E76E45"/>
    <w:rsid w:val="00EA0523"/>
    <w:rsid w:val="00EA4E2E"/>
    <w:rsid w:val="00EB2CCB"/>
    <w:rsid w:val="00EC456B"/>
    <w:rsid w:val="00EC5446"/>
    <w:rsid w:val="00ED7DD9"/>
    <w:rsid w:val="00EF3113"/>
    <w:rsid w:val="00EF3F84"/>
    <w:rsid w:val="00F0799E"/>
    <w:rsid w:val="00F176AC"/>
    <w:rsid w:val="00F24915"/>
    <w:rsid w:val="00F27714"/>
    <w:rsid w:val="00F50E34"/>
    <w:rsid w:val="00F921C5"/>
    <w:rsid w:val="00FC588F"/>
    <w:rsid w:val="00FD6068"/>
    <w:rsid w:val="00FE1B30"/>
    <w:rsid w:val="00FE4CF7"/>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6" w:semiHidden="1"/>
    <w:lsdException w:name="toc 7" w:semiHidden="1"/>
    <w:lsdException w:name="toc 8" w:semiHidden="1"/>
    <w:lsdException w:name="toc 9" w:semiHidden="1"/>
    <w:lsdException w:name="footnote text" w:semiHidden="1" w:unhideWhenUsed="1"/>
    <w:lsdException w:name="index heading" w:semiHidden="1"/>
    <w:lsdException w:name="caption" w:semiHidden="1" w:unhideWhenUsed="1" w:qFormat="1"/>
    <w:lsdException w:name="table of figures" w:semiHidden="1"/>
    <w:lsdException w:name="footnote reference"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Title" w:semiHidden="1"/>
    <w:lsdException w:name="Body Text" w:qFormat="1"/>
    <w:lsdException w:name="Block Text" w:semiHidden="1"/>
    <w:lsdException w:name="Document Map"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rsid w:val="005E02F5"/>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pPr>
      <w:keepNext/>
      <w:spacing w:before="240" w:after="60" w:line="240" w:lineRule="auto"/>
      <w:jc w:val="left"/>
      <w:outlineLvl w:val="3"/>
    </w:pPr>
    <w:rPr>
      <w:b/>
      <w:smallCaps/>
      <w:szCs w:val="24"/>
    </w:rPr>
  </w:style>
  <w:style w:type="paragraph" w:styleId="Heading5">
    <w:name w:val="heading 5"/>
    <w:basedOn w:val="fcHeading1"/>
    <w:next w:val="ParaNumbering"/>
    <w:qFormat/>
    <w:pPr>
      <w:outlineLvl w:val="4"/>
    </w:pPr>
  </w:style>
  <w:style w:type="paragraph" w:styleId="Heading6">
    <w:name w:val="heading 6"/>
    <w:basedOn w:val="fcHeading2"/>
    <w:next w:val="ParaNumbering"/>
    <w:qFormat/>
    <w:pPr>
      <w:outlineLvl w:val="5"/>
    </w:pPr>
  </w:style>
  <w:style w:type="paragraph" w:styleId="Heading7">
    <w:name w:val="heading 7"/>
    <w:basedOn w:val="fcHeading3"/>
    <w:next w:val="ParaNumbering"/>
    <w:qFormat/>
    <w:pPr>
      <w:outlineLvl w:val="6"/>
    </w:pPr>
  </w:style>
  <w:style w:type="paragraph" w:styleId="Heading8">
    <w:name w:val="heading 8"/>
    <w:basedOn w:val="fcHeading4"/>
    <w:next w:val="ParaNumbering"/>
    <w:pPr>
      <w:outlineLvl w:val="7"/>
    </w:pPr>
  </w:style>
  <w:style w:type="paragraph" w:styleId="Heading9">
    <w:name w:val="heading 9"/>
    <w:basedOn w:val="fcHeading5"/>
    <w:next w:val="ParaNumbering"/>
    <w:pPr>
      <w:outlineLvl w:val="8"/>
    </w:pPr>
    <w:rPr>
      <w:i/>
      <w:caps w:val="0"/>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pPr>
      <w:widowControl w:val="0"/>
      <w:ind w:left="737" w:right="737"/>
      <w:jc w:val="both"/>
    </w:pPr>
    <w:rPr>
      <w:sz w:val="22"/>
      <w:lang w:eastAsia="en-US"/>
    </w:rPr>
  </w:style>
  <w:style w:type="paragraph" w:customStyle="1" w:styleId="NormalHeadings">
    <w:name w:val="Normal Headings"/>
    <w:semiHidden/>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3"/>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pPr>
      <w:tabs>
        <w:tab w:val="right" w:leader="dot" w:pos="9072"/>
      </w:tabs>
      <w:spacing w:before="120" w:after="60" w:line="240" w:lineRule="auto"/>
    </w:pPr>
    <w:rPr>
      <w:b/>
      <w:caps/>
      <w:kern w:val="28"/>
    </w:rPr>
  </w:style>
  <w:style w:type="paragraph" w:customStyle="1" w:styleId="ListNo1">
    <w:name w:val="List No 1"/>
    <w:basedOn w:val="Normal"/>
    <w:rsid w:val="00E14EA5"/>
    <w:pPr>
      <w:numPr>
        <w:numId w:val="41"/>
      </w:numPr>
      <w:spacing w:before="60" w:after="60"/>
    </w:pPr>
  </w:style>
  <w:style w:type="paragraph" w:customStyle="1" w:styleId="FTOC2">
    <w:name w:val="FTOC 2"/>
    <w:basedOn w:val="Normal"/>
    <w:semiHidden/>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513EAE"/>
    <w:pPr>
      <w:tabs>
        <w:tab w:val="right" w:leader="dot" w:pos="9072"/>
      </w:tabs>
      <w:spacing w:before="120" w:after="60" w:line="240" w:lineRule="auto"/>
      <w:ind w:left="720"/>
    </w:pPr>
    <w:rPr>
      <w:b/>
      <w:smallCaps/>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9"/>
      </w:numPr>
    </w:pPr>
  </w:style>
  <w:style w:type="numbering" w:styleId="1ai">
    <w:name w:val="Outline List 1"/>
    <w:basedOn w:val="NoList"/>
    <w:semiHidden/>
    <w:pPr>
      <w:numPr>
        <w:numId w:val="20"/>
      </w:numPr>
    </w:pPr>
  </w:style>
  <w:style w:type="numbering" w:styleId="ArticleSection">
    <w:name w:val="Outline List 3"/>
    <w:basedOn w:val="NoList"/>
    <w:semiHidden/>
    <w:pPr>
      <w:numPr>
        <w:numId w:val="21"/>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2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26"/>
      </w:numPr>
      <w:spacing w:before="240" w:after="60" w:line="240" w:lineRule="auto"/>
    </w:pPr>
    <w:rPr>
      <w:b/>
    </w:rPr>
  </w:style>
  <w:style w:type="paragraph" w:customStyle="1" w:styleId="fcHeading3">
    <w:name w:val="fcHeading 3"/>
    <w:basedOn w:val="Normal"/>
    <w:next w:val="ParaNumbering"/>
    <w:semiHidden/>
    <w:pPr>
      <w:keepNext/>
      <w:numPr>
        <w:ilvl w:val="2"/>
        <w:numId w:val="26"/>
      </w:numPr>
      <w:spacing w:before="240" w:after="60" w:line="240" w:lineRule="auto"/>
    </w:pPr>
    <w:rPr>
      <w:b/>
      <w:i/>
    </w:rPr>
  </w:style>
  <w:style w:type="paragraph" w:customStyle="1" w:styleId="fcHeading4">
    <w:name w:val="fcHeading 4"/>
    <w:basedOn w:val="Normal"/>
    <w:next w:val="ParaNumbering"/>
    <w:semiHidden/>
    <w:pPr>
      <w:keepNext/>
      <w:numPr>
        <w:ilvl w:val="3"/>
        <w:numId w:val="26"/>
      </w:numPr>
      <w:spacing w:before="240" w:after="60" w:line="240" w:lineRule="auto"/>
    </w:pPr>
    <w:rPr>
      <w:b/>
      <w:smallCaps/>
    </w:rPr>
  </w:style>
  <w:style w:type="paragraph" w:customStyle="1" w:styleId="fcHeading5">
    <w:name w:val="fcHeading 5"/>
    <w:basedOn w:val="Normal"/>
    <w:next w:val="ParaNumbering"/>
    <w:semiHidden/>
    <w:pPr>
      <w:keepNext/>
      <w:numPr>
        <w:ilvl w:val="4"/>
        <w:numId w:val="26"/>
      </w:numPr>
      <w:spacing w:before="240" w:after="60" w:line="240" w:lineRule="auto"/>
    </w:pPr>
    <w:rPr>
      <w:b/>
      <w:caps/>
    </w:rPr>
  </w:style>
  <w:style w:type="paragraph" w:customStyle="1" w:styleId="FTOC5">
    <w:name w:val="FTOC 5"/>
    <w:basedOn w:val="Normal"/>
    <w:semiHidden/>
    <w:rsid w:val="00513EAE"/>
    <w:pPr>
      <w:tabs>
        <w:tab w:val="right" w:leader="dot" w:pos="9072"/>
      </w:tabs>
      <w:spacing w:before="240" w:after="60" w:line="240" w:lineRule="auto"/>
      <w:ind w:left="709" w:hanging="709"/>
    </w:pPr>
    <w:rPr>
      <w:b/>
      <w:caps/>
      <w:kern w:val="28"/>
    </w:rPr>
  </w:style>
  <w:style w:type="paragraph" w:customStyle="1" w:styleId="FTOC6">
    <w:name w:val="FTOC 6"/>
    <w:basedOn w:val="Normal"/>
    <w:semiHidden/>
    <w:rsid w:val="00513EAE"/>
    <w:pPr>
      <w:tabs>
        <w:tab w:val="right" w:leader="dot" w:pos="9072"/>
      </w:tabs>
      <w:spacing w:before="240" w:after="60" w:line="240" w:lineRule="auto"/>
      <w:ind w:left="1418" w:hanging="709"/>
    </w:pPr>
    <w:rPr>
      <w:b/>
    </w:rPr>
  </w:style>
  <w:style w:type="paragraph" w:customStyle="1" w:styleId="FTOC7">
    <w:name w:val="FTOC 7"/>
    <w:basedOn w:val="Normal"/>
    <w:semiHidden/>
    <w:rsid w:val="00513EAE"/>
    <w:pPr>
      <w:tabs>
        <w:tab w:val="right" w:leader="dot" w:pos="9072"/>
      </w:tabs>
      <w:spacing w:before="240" w:after="60" w:line="240" w:lineRule="auto"/>
      <w:ind w:left="2127" w:hanging="709"/>
    </w:pPr>
    <w:rPr>
      <w:b/>
      <w:i/>
    </w:rPr>
  </w:style>
  <w:style w:type="paragraph" w:customStyle="1" w:styleId="FTOC8">
    <w:name w:val="FTOC 8"/>
    <w:basedOn w:val="Normal"/>
    <w:semiHidden/>
    <w:rsid w:val="00513EAE"/>
    <w:pPr>
      <w:tabs>
        <w:tab w:val="right" w:leader="dot" w:pos="9072"/>
      </w:tabs>
      <w:spacing w:before="240" w:after="60" w:line="240" w:lineRule="auto"/>
      <w:ind w:left="3260" w:hanging="1134"/>
    </w:pPr>
    <w:rPr>
      <w:b/>
      <w:smallCaps/>
    </w:rPr>
  </w:style>
  <w:style w:type="paragraph" w:customStyle="1" w:styleId="FTOC9">
    <w:name w:val="FTOC 9"/>
    <w:basedOn w:val="Normal"/>
    <w:semiHidden/>
    <w:rsid w:val="00513EAE"/>
    <w:pPr>
      <w:tabs>
        <w:tab w:val="right" w:leader="dot" w:pos="9072"/>
      </w:tabs>
      <w:spacing w:before="240" w:after="60" w:line="240" w:lineRule="auto"/>
      <w:ind w:left="3969" w:hanging="1134"/>
    </w:pPr>
    <w:rPr>
      <w:b/>
      <w:caps/>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30"/>
      </w:numPr>
    </w:pPr>
  </w:style>
  <w:style w:type="paragraph" w:customStyle="1" w:styleId="SingleSpace">
    <w:name w:val="SingleSpace"/>
    <w:basedOn w:val="Normal"/>
    <w:rsid w:val="004D53E5"/>
    <w:pPr>
      <w:spacing w:line="240" w:lineRule="auto"/>
    </w:pPr>
    <w:rPr>
      <w:sz w:val="22"/>
      <w:szCs w:val="22"/>
    </w:rPr>
  </w:style>
  <w:style w:type="paragraph" w:customStyle="1" w:styleId="Quote1Bullet">
    <w:name w:val="Quote1 Bullet"/>
    <w:basedOn w:val="Quote1"/>
    <w:rsid w:val="00EF3F84"/>
    <w:pPr>
      <w:numPr>
        <w:numId w:val="32"/>
      </w:numPr>
      <w:ind w:left="1440" w:hanging="720"/>
    </w:pPr>
  </w:style>
  <w:style w:type="paragraph" w:customStyle="1" w:styleId="Quote2Bullet">
    <w:name w:val="Quote2 Bullet"/>
    <w:basedOn w:val="Quote2"/>
    <w:rsid w:val="00EF3F84"/>
    <w:pPr>
      <w:numPr>
        <w:numId w:val="33"/>
      </w:numPr>
      <w:ind w:hanging="720"/>
    </w:pPr>
  </w:style>
  <w:style w:type="paragraph" w:customStyle="1" w:styleId="Quote3Bullet">
    <w:name w:val="Quote3 Bullet"/>
    <w:basedOn w:val="Quote3"/>
    <w:rsid w:val="00EF3F84"/>
    <w:pPr>
      <w:numPr>
        <w:numId w:val="34"/>
      </w:numPr>
      <w:ind w:hanging="720"/>
    </w:pPr>
  </w:style>
  <w:style w:type="paragraph" w:customStyle="1" w:styleId="Order1">
    <w:name w:val="Order 1"/>
    <w:basedOn w:val="Normal"/>
    <w:rsid w:val="00274F5B"/>
    <w:pPr>
      <w:numPr>
        <w:numId w:val="48"/>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42"/>
      </w:numPr>
    </w:pPr>
  </w:style>
  <w:style w:type="character" w:customStyle="1" w:styleId="BodyTextChar">
    <w:name w:val="Body Text Char"/>
    <w:basedOn w:val="DefaultParagraphFont"/>
    <w:link w:val="BodyText"/>
    <w:rsid w:val="00787E3B"/>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6" w:semiHidden="1"/>
    <w:lsdException w:name="toc 7" w:semiHidden="1"/>
    <w:lsdException w:name="toc 8" w:semiHidden="1"/>
    <w:lsdException w:name="toc 9" w:semiHidden="1"/>
    <w:lsdException w:name="footnote text" w:semiHidden="1" w:unhideWhenUsed="1"/>
    <w:lsdException w:name="index heading" w:semiHidden="1"/>
    <w:lsdException w:name="caption" w:semiHidden="1" w:unhideWhenUsed="1" w:qFormat="1"/>
    <w:lsdException w:name="table of figures" w:semiHidden="1"/>
    <w:lsdException w:name="footnote reference"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Title" w:semiHidden="1"/>
    <w:lsdException w:name="Body Text" w:qFormat="1"/>
    <w:lsdException w:name="Block Text" w:semiHidden="1"/>
    <w:lsdException w:name="Document Map"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rsid w:val="005E02F5"/>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pPr>
      <w:keepNext/>
      <w:spacing w:before="240" w:after="60" w:line="240" w:lineRule="auto"/>
      <w:jc w:val="left"/>
      <w:outlineLvl w:val="3"/>
    </w:pPr>
    <w:rPr>
      <w:b/>
      <w:smallCaps/>
      <w:szCs w:val="24"/>
    </w:rPr>
  </w:style>
  <w:style w:type="paragraph" w:styleId="Heading5">
    <w:name w:val="heading 5"/>
    <w:basedOn w:val="fcHeading1"/>
    <w:next w:val="ParaNumbering"/>
    <w:qFormat/>
    <w:pPr>
      <w:outlineLvl w:val="4"/>
    </w:pPr>
  </w:style>
  <w:style w:type="paragraph" w:styleId="Heading6">
    <w:name w:val="heading 6"/>
    <w:basedOn w:val="fcHeading2"/>
    <w:next w:val="ParaNumbering"/>
    <w:qFormat/>
    <w:pPr>
      <w:outlineLvl w:val="5"/>
    </w:pPr>
  </w:style>
  <w:style w:type="paragraph" w:styleId="Heading7">
    <w:name w:val="heading 7"/>
    <w:basedOn w:val="fcHeading3"/>
    <w:next w:val="ParaNumbering"/>
    <w:qFormat/>
    <w:pPr>
      <w:outlineLvl w:val="6"/>
    </w:pPr>
  </w:style>
  <w:style w:type="paragraph" w:styleId="Heading8">
    <w:name w:val="heading 8"/>
    <w:basedOn w:val="fcHeading4"/>
    <w:next w:val="ParaNumbering"/>
    <w:pPr>
      <w:outlineLvl w:val="7"/>
    </w:pPr>
  </w:style>
  <w:style w:type="paragraph" w:styleId="Heading9">
    <w:name w:val="heading 9"/>
    <w:basedOn w:val="fcHeading5"/>
    <w:next w:val="ParaNumbering"/>
    <w:pPr>
      <w:outlineLvl w:val="8"/>
    </w:pPr>
    <w:rPr>
      <w:i/>
      <w:caps w:val="0"/>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pPr>
      <w:widowControl w:val="0"/>
      <w:ind w:left="737" w:right="737"/>
      <w:jc w:val="both"/>
    </w:pPr>
    <w:rPr>
      <w:sz w:val="22"/>
      <w:lang w:eastAsia="en-US"/>
    </w:rPr>
  </w:style>
  <w:style w:type="paragraph" w:customStyle="1" w:styleId="NormalHeadings">
    <w:name w:val="Normal Headings"/>
    <w:semiHidden/>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3"/>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pPr>
      <w:tabs>
        <w:tab w:val="right" w:leader="dot" w:pos="9072"/>
      </w:tabs>
      <w:spacing w:before="120" w:after="60" w:line="240" w:lineRule="auto"/>
    </w:pPr>
    <w:rPr>
      <w:b/>
      <w:caps/>
      <w:kern w:val="28"/>
    </w:rPr>
  </w:style>
  <w:style w:type="paragraph" w:customStyle="1" w:styleId="ListNo1">
    <w:name w:val="List No 1"/>
    <w:basedOn w:val="Normal"/>
    <w:rsid w:val="00E14EA5"/>
    <w:pPr>
      <w:numPr>
        <w:numId w:val="41"/>
      </w:numPr>
      <w:spacing w:before="60" w:after="60"/>
    </w:pPr>
  </w:style>
  <w:style w:type="paragraph" w:customStyle="1" w:styleId="FTOC2">
    <w:name w:val="FTOC 2"/>
    <w:basedOn w:val="Normal"/>
    <w:semiHidden/>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513EAE"/>
    <w:pPr>
      <w:tabs>
        <w:tab w:val="right" w:leader="dot" w:pos="9072"/>
      </w:tabs>
      <w:spacing w:before="120" w:after="60" w:line="240" w:lineRule="auto"/>
      <w:ind w:left="720"/>
    </w:pPr>
    <w:rPr>
      <w:b/>
      <w:smallCaps/>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9"/>
      </w:numPr>
    </w:pPr>
  </w:style>
  <w:style w:type="numbering" w:styleId="1ai">
    <w:name w:val="Outline List 1"/>
    <w:basedOn w:val="NoList"/>
    <w:semiHidden/>
    <w:pPr>
      <w:numPr>
        <w:numId w:val="20"/>
      </w:numPr>
    </w:pPr>
  </w:style>
  <w:style w:type="numbering" w:styleId="ArticleSection">
    <w:name w:val="Outline List 3"/>
    <w:basedOn w:val="NoList"/>
    <w:semiHidden/>
    <w:pPr>
      <w:numPr>
        <w:numId w:val="21"/>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2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26"/>
      </w:numPr>
      <w:spacing w:before="240" w:after="60" w:line="240" w:lineRule="auto"/>
    </w:pPr>
    <w:rPr>
      <w:b/>
    </w:rPr>
  </w:style>
  <w:style w:type="paragraph" w:customStyle="1" w:styleId="fcHeading3">
    <w:name w:val="fcHeading 3"/>
    <w:basedOn w:val="Normal"/>
    <w:next w:val="ParaNumbering"/>
    <w:semiHidden/>
    <w:pPr>
      <w:keepNext/>
      <w:numPr>
        <w:ilvl w:val="2"/>
        <w:numId w:val="26"/>
      </w:numPr>
      <w:spacing w:before="240" w:after="60" w:line="240" w:lineRule="auto"/>
    </w:pPr>
    <w:rPr>
      <w:b/>
      <w:i/>
    </w:rPr>
  </w:style>
  <w:style w:type="paragraph" w:customStyle="1" w:styleId="fcHeading4">
    <w:name w:val="fcHeading 4"/>
    <w:basedOn w:val="Normal"/>
    <w:next w:val="ParaNumbering"/>
    <w:semiHidden/>
    <w:pPr>
      <w:keepNext/>
      <w:numPr>
        <w:ilvl w:val="3"/>
        <w:numId w:val="26"/>
      </w:numPr>
      <w:spacing w:before="240" w:after="60" w:line="240" w:lineRule="auto"/>
    </w:pPr>
    <w:rPr>
      <w:b/>
      <w:smallCaps/>
    </w:rPr>
  </w:style>
  <w:style w:type="paragraph" w:customStyle="1" w:styleId="fcHeading5">
    <w:name w:val="fcHeading 5"/>
    <w:basedOn w:val="Normal"/>
    <w:next w:val="ParaNumbering"/>
    <w:semiHidden/>
    <w:pPr>
      <w:keepNext/>
      <w:numPr>
        <w:ilvl w:val="4"/>
        <w:numId w:val="26"/>
      </w:numPr>
      <w:spacing w:before="240" w:after="60" w:line="240" w:lineRule="auto"/>
    </w:pPr>
    <w:rPr>
      <w:b/>
      <w:caps/>
    </w:rPr>
  </w:style>
  <w:style w:type="paragraph" w:customStyle="1" w:styleId="FTOC5">
    <w:name w:val="FTOC 5"/>
    <w:basedOn w:val="Normal"/>
    <w:semiHidden/>
    <w:rsid w:val="00513EAE"/>
    <w:pPr>
      <w:tabs>
        <w:tab w:val="right" w:leader="dot" w:pos="9072"/>
      </w:tabs>
      <w:spacing w:before="240" w:after="60" w:line="240" w:lineRule="auto"/>
      <w:ind w:left="709" w:hanging="709"/>
    </w:pPr>
    <w:rPr>
      <w:b/>
      <w:caps/>
      <w:kern w:val="28"/>
    </w:rPr>
  </w:style>
  <w:style w:type="paragraph" w:customStyle="1" w:styleId="FTOC6">
    <w:name w:val="FTOC 6"/>
    <w:basedOn w:val="Normal"/>
    <w:semiHidden/>
    <w:rsid w:val="00513EAE"/>
    <w:pPr>
      <w:tabs>
        <w:tab w:val="right" w:leader="dot" w:pos="9072"/>
      </w:tabs>
      <w:spacing w:before="240" w:after="60" w:line="240" w:lineRule="auto"/>
      <w:ind w:left="1418" w:hanging="709"/>
    </w:pPr>
    <w:rPr>
      <w:b/>
    </w:rPr>
  </w:style>
  <w:style w:type="paragraph" w:customStyle="1" w:styleId="FTOC7">
    <w:name w:val="FTOC 7"/>
    <w:basedOn w:val="Normal"/>
    <w:semiHidden/>
    <w:rsid w:val="00513EAE"/>
    <w:pPr>
      <w:tabs>
        <w:tab w:val="right" w:leader="dot" w:pos="9072"/>
      </w:tabs>
      <w:spacing w:before="240" w:after="60" w:line="240" w:lineRule="auto"/>
      <w:ind w:left="2127" w:hanging="709"/>
    </w:pPr>
    <w:rPr>
      <w:b/>
      <w:i/>
    </w:rPr>
  </w:style>
  <w:style w:type="paragraph" w:customStyle="1" w:styleId="FTOC8">
    <w:name w:val="FTOC 8"/>
    <w:basedOn w:val="Normal"/>
    <w:semiHidden/>
    <w:rsid w:val="00513EAE"/>
    <w:pPr>
      <w:tabs>
        <w:tab w:val="right" w:leader="dot" w:pos="9072"/>
      </w:tabs>
      <w:spacing w:before="240" w:after="60" w:line="240" w:lineRule="auto"/>
      <w:ind w:left="3260" w:hanging="1134"/>
    </w:pPr>
    <w:rPr>
      <w:b/>
      <w:smallCaps/>
    </w:rPr>
  </w:style>
  <w:style w:type="paragraph" w:customStyle="1" w:styleId="FTOC9">
    <w:name w:val="FTOC 9"/>
    <w:basedOn w:val="Normal"/>
    <w:semiHidden/>
    <w:rsid w:val="00513EAE"/>
    <w:pPr>
      <w:tabs>
        <w:tab w:val="right" w:leader="dot" w:pos="9072"/>
      </w:tabs>
      <w:spacing w:before="240" w:after="60" w:line="240" w:lineRule="auto"/>
      <w:ind w:left="3969" w:hanging="1134"/>
    </w:pPr>
    <w:rPr>
      <w:b/>
      <w:caps/>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30"/>
      </w:numPr>
    </w:pPr>
  </w:style>
  <w:style w:type="paragraph" w:customStyle="1" w:styleId="SingleSpace">
    <w:name w:val="SingleSpace"/>
    <w:basedOn w:val="Normal"/>
    <w:rsid w:val="004D53E5"/>
    <w:pPr>
      <w:spacing w:line="240" w:lineRule="auto"/>
    </w:pPr>
    <w:rPr>
      <w:sz w:val="22"/>
      <w:szCs w:val="22"/>
    </w:rPr>
  </w:style>
  <w:style w:type="paragraph" w:customStyle="1" w:styleId="Quote1Bullet">
    <w:name w:val="Quote1 Bullet"/>
    <w:basedOn w:val="Quote1"/>
    <w:rsid w:val="00EF3F84"/>
    <w:pPr>
      <w:numPr>
        <w:numId w:val="32"/>
      </w:numPr>
      <w:ind w:left="1440" w:hanging="720"/>
    </w:pPr>
  </w:style>
  <w:style w:type="paragraph" w:customStyle="1" w:styleId="Quote2Bullet">
    <w:name w:val="Quote2 Bullet"/>
    <w:basedOn w:val="Quote2"/>
    <w:rsid w:val="00EF3F84"/>
    <w:pPr>
      <w:numPr>
        <w:numId w:val="33"/>
      </w:numPr>
      <w:ind w:hanging="720"/>
    </w:pPr>
  </w:style>
  <w:style w:type="paragraph" w:customStyle="1" w:styleId="Quote3Bullet">
    <w:name w:val="Quote3 Bullet"/>
    <w:basedOn w:val="Quote3"/>
    <w:rsid w:val="00EF3F84"/>
    <w:pPr>
      <w:numPr>
        <w:numId w:val="34"/>
      </w:numPr>
      <w:ind w:hanging="720"/>
    </w:pPr>
  </w:style>
  <w:style w:type="paragraph" w:customStyle="1" w:styleId="Order1">
    <w:name w:val="Order 1"/>
    <w:basedOn w:val="Normal"/>
    <w:rsid w:val="00274F5B"/>
    <w:pPr>
      <w:numPr>
        <w:numId w:val="48"/>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42"/>
      </w:numPr>
    </w:pPr>
  </w:style>
  <w:style w:type="character" w:customStyle="1" w:styleId="BodyTextChar">
    <w:name w:val="Body Text Char"/>
    <w:basedOn w:val="DefaultParagraphFont"/>
    <w:link w:val="BodyText"/>
    <w:rsid w:val="00787E3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ter0a\AppData\Roaming\Microsoft\Template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Judgment.dotx</Template>
  <TotalTime>0</TotalTime>
  <Pages>5</Pages>
  <Words>1241</Words>
  <Characters>6743</Characters>
  <Application>Microsoft Office Word</Application>
  <DocSecurity>0</DocSecurity>
  <Lines>249</Lines>
  <Paragraphs>128</Paragraphs>
  <ScaleCrop>false</ScaleCrop>
  <HeadingPairs>
    <vt:vector size="2" baseType="variant">
      <vt:variant>
        <vt:lpstr>Title</vt:lpstr>
      </vt:variant>
      <vt:variant>
        <vt:i4>1</vt:i4>
      </vt:variant>
    </vt:vector>
  </HeadingPairs>
  <TitlesOfParts>
    <vt:vector size="1" baseType="lpstr">
      <vt:lpstr>Gaynor v Chief of the Defence Force (No 4) [2015] FCA 1461</vt:lpstr>
    </vt:vector>
  </TitlesOfParts>
  <Company>Federal Court of Australia</Company>
  <LinksUpToDate>false</LinksUpToDate>
  <CharactersWithSpaces>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Gaynor v Chief of the Defence Force (No 4) [2015] FCA 1461</dc:title>
  <dc:creator>Lilian Khaw</dc:creator>
  <cp:lastModifiedBy>Anna Masters</cp:lastModifiedBy>
  <cp:revision>3</cp:revision>
  <cp:lastPrinted>2015-12-18T00:53:00Z</cp:lastPrinted>
  <dcterms:created xsi:type="dcterms:W3CDTF">2015-12-21T00:38:00Z</dcterms:created>
  <dcterms:modified xsi:type="dcterms:W3CDTF">2015-12-21T00:39:00Z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BUCHANAN J</vt:lpwstr>
  </property>
  <property fmtid="{D5CDD505-2E9C-101B-9397-08002B2CF9AE}" pid="4" name="Judgment_dated" linkTarget="Judgment_dated">
    <vt:lpwstr>18 DECEMBER 2015</vt:lpwstr>
  </property>
  <property fmtid="{D5CDD505-2E9C-101B-9397-08002B2CF9AE}" pid="5" name="Distribution">
    <vt:lpwstr>GENERAL DISTRIBUTION</vt:lpwstr>
  </property>
  <property fmtid="{D5CDD505-2E9C-101B-9397-08002B2CF9AE}" pid="6" name="MNC">
    <vt:lpwstr> </vt:lpwstr>
  </property>
  <property fmtid="{D5CDD505-2E9C-101B-9397-08002B2CF9AE}" pid="7" name="File_Number" linkTarget="Num">
    <vt:lpwstr>NSD 692 of 2014</vt:lpwstr>
  </property>
  <property fmtid="{D5CDD505-2E9C-101B-9397-08002B2CF9AE}" pid="8" name="Pages">
    <vt:lpwstr>3</vt:lpwstr>
  </property>
  <property fmtid="{D5CDD505-2E9C-101B-9397-08002B2CF9AE}" pid="9" name="Parties">
    <vt:lpwstr> </vt:lpwstr>
  </property>
  <property fmtid="{D5CDD505-2E9C-101B-9397-08002B2CF9AE}" pid="10" name="Place">
    <vt:lpwstr>SYDNEY</vt:lpwstr>
  </property>
  <property fmtid="{D5CDD505-2E9C-101B-9397-08002B2CF9AE}" pid="11" name="Respondent">
    <vt:lpwstr> </vt:lpwstr>
  </property>
  <property fmtid="{D5CDD505-2E9C-101B-9397-08002B2CF9AE}" pid="12" name="State" linkTarget="State">
    <vt:lpwstr>NEW SOUTH WALES</vt:lpwstr>
  </property>
  <property fmtid="{D5CDD505-2E9C-101B-9397-08002B2CF9AE}" pid="13" name="Year">
    <vt:lpwstr>2006</vt:lpwstr>
  </property>
  <property fmtid="{D5CDD505-2E9C-101B-9397-08002B2CF9AE}" pid="14" name="Judgment Template">
    <vt:lpwstr>True</vt:lpwstr>
  </property>
  <property fmtid="{D5CDD505-2E9C-101B-9397-08002B2CF9AE}" pid="15" name="VERSION">
    <vt:lpwstr>14.0</vt:lpwstr>
  </property>
  <property fmtid="{D5CDD505-2E9C-101B-9397-08002B2CF9AE}" pid="16" name="Legislation">
    <vt:lpwstr>Legislation</vt:lpwstr>
  </property>
  <property fmtid="{D5CDD505-2E9C-101B-9397-08002B2CF9AE}" pid="17" name="Catchwords">
    <vt:lpwstr>Catchwords</vt:lpwstr>
  </property>
  <property fmtid="{D5CDD505-2E9C-101B-9397-08002B2CF9AE}" pid="18" name="Words_Phrases">
    <vt:lpwstr>WordsPhrases</vt:lpwstr>
  </property>
  <property fmtid="{D5CDD505-2E9C-101B-9397-08002B2CF9AE}" pid="19" name="Cases_Cited">
    <vt:lpwstr>CasesCited</vt:lpwstr>
  </property>
</Properties>
</file>