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8BC21" w14:textId="77777777" w:rsidR="00395B24" w:rsidRDefault="002C7385">
      <w:pPr>
        <w:pStyle w:val="NormalHeadings"/>
        <w:jc w:val="center"/>
        <w:rPr>
          <w:sz w:val="32"/>
        </w:rPr>
      </w:pPr>
      <w:r>
        <w:rPr>
          <w:sz w:val="32"/>
        </w:rPr>
        <w:t>FEDERAL COURT OF AUSTRALIA</w:t>
      </w:r>
    </w:p>
    <w:p w14:paraId="73160C49" w14:textId="77777777" w:rsidR="00395B24" w:rsidRDefault="00395B24">
      <w:pPr>
        <w:pStyle w:val="NormalHeadings"/>
        <w:jc w:val="center"/>
        <w:rPr>
          <w:sz w:val="32"/>
        </w:rPr>
      </w:pPr>
    </w:p>
    <w:p w14:paraId="2FE2459B" w14:textId="77777777" w:rsidR="00395B24" w:rsidRPr="00742B78" w:rsidRDefault="007739C2">
      <w:pPr>
        <w:pStyle w:val="MediaNeutralStyle"/>
        <w:rPr>
          <w:sz w:val="28"/>
          <w:szCs w:val="28"/>
        </w:rPr>
      </w:pPr>
      <w:bookmarkStart w:id="0" w:name="MNC"/>
      <w:r w:rsidRPr="00742B78">
        <w:rPr>
          <w:sz w:val="28"/>
          <w:szCs w:val="28"/>
        </w:rPr>
        <w:t xml:space="preserve">Tax Practitioners Board v Hacker </w:t>
      </w:r>
      <w:r w:rsidR="00987DD2" w:rsidRPr="00742B78">
        <w:rPr>
          <w:sz w:val="28"/>
          <w:szCs w:val="28"/>
        </w:rPr>
        <w:t xml:space="preserve">(No </w:t>
      </w:r>
      <w:r w:rsidR="00C263EC" w:rsidRPr="00742B78">
        <w:rPr>
          <w:sz w:val="28"/>
          <w:szCs w:val="28"/>
        </w:rPr>
        <w:t>3</w:t>
      </w:r>
      <w:r w:rsidR="00987DD2" w:rsidRPr="00742B78">
        <w:rPr>
          <w:sz w:val="28"/>
          <w:szCs w:val="28"/>
        </w:rPr>
        <w:t xml:space="preserve">) </w:t>
      </w:r>
      <w:r w:rsidR="004B09DF" w:rsidRPr="00742B78">
        <w:rPr>
          <w:sz w:val="28"/>
          <w:szCs w:val="28"/>
        </w:rPr>
        <w:t xml:space="preserve">[2020] FCA </w:t>
      </w:r>
      <w:r w:rsidR="00DD41B2" w:rsidRPr="00742B78">
        <w:rPr>
          <w:sz w:val="28"/>
          <w:szCs w:val="28"/>
        </w:rPr>
        <w:t>1814</w:t>
      </w:r>
      <w:r w:rsidR="002C7385" w:rsidRPr="00742B78">
        <w:rPr>
          <w:sz w:val="28"/>
          <w:szCs w:val="28"/>
        </w:rPr>
        <w:t xml:space="preserve"> </w:t>
      </w:r>
      <w:bookmarkEnd w:id="0"/>
    </w:p>
    <w:p w14:paraId="1695132B"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1AE374C2" w14:textId="77777777" w:rsidTr="00DA4061">
        <w:tc>
          <w:tcPr>
            <w:tcW w:w="3085" w:type="dxa"/>
            <w:shd w:val="clear" w:color="auto" w:fill="auto"/>
          </w:tcPr>
          <w:p w14:paraId="700D1383" w14:textId="77777777" w:rsidR="00395B24" w:rsidRDefault="004B09DF" w:rsidP="00663878">
            <w:pPr>
              <w:pStyle w:val="Normal1linespace"/>
              <w:widowControl w:val="0"/>
              <w:jc w:val="left"/>
            </w:pPr>
            <w:r>
              <w:t>File number</w:t>
            </w:r>
            <w:r w:rsidR="002C7385">
              <w:t>:</w:t>
            </w:r>
          </w:p>
        </w:tc>
        <w:tc>
          <w:tcPr>
            <w:tcW w:w="5989" w:type="dxa"/>
            <w:shd w:val="clear" w:color="auto" w:fill="auto"/>
          </w:tcPr>
          <w:p w14:paraId="40B27FF3" w14:textId="77777777" w:rsidR="00395B24" w:rsidRPr="00407103" w:rsidRDefault="00B82B02" w:rsidP="00407103">
            <w:pPr>
              <w:pStyle w:val="Normal1linespace"/>
              <w:jc w:val="left"/>
            </w:pPr>
            <w:r>
              <w:fldChar w:fldCharType="begin" w:fldLock="1"/>
            </w:r>
            <w:r>
              <w:instrText xml:space="preserve"> REF  FileNo  \* MERGEFORMAT </w:instrText>
            </w:r>
            <w:r>
              <w:fldChar w:fldCharType="separate"/>
            </w:r>
            <w:r w:rsidR="00407103" w:rsidRPr="00407103">
              <w:t>QUD 106 of 2019</w:t>
            </w:r>
            <w:r>
              <w:fldChar w:fldCharType="end"/>
            </w:r>
          </w:p>
        </w:tc>
      </w:tr>
      <w:tr w:rsidR="00395B24" w14:paraId="4328B417" w14:textId="77777777" w:rsidTr="00DA4061">
        <w:tc>
          <w:tcPr>
            <w:tcW w:w="3085" w:type="dxa"/>
            <w:shd w:val="clear" w:color="auto" w:fill="auto"/>
          </w:tcPr>
          <w:p w14:paraId="2302E409" w14:textId="77777777" w:rsidR="00395B24" w:rsidRDefault="00395B24" w:rsidP="00663878">
            <w:pPr>
              <w:pStyle w:val="Normal1linespace"/>
              <w:widowControl w:val="0"/>
              <w:jc w:val="left"/>
            </w:pPr>
          </w:p>
        </w:tc>
        <w:tc>
          <w:tcPr>
            <w:tcW w:w="5989" w:type="dxa"/>
            <w:shd w:val="clear" w:color="auto" w:fill="auto"/>
          </w:tcPr>
          <w:p w14:paraId="40F2F188" w14:textId="77777777" w:rsidR="00395B24" w:rsidRDefault="00395B24" w:rsidP="00663878">
            <w:pPr>
              <w:pStyle w:val="Normal1linespace"/>
              <w:widowControl w:val="0"/>
              <w:jc w:val="left"/>
            </w:pPr>
          </w:p>
        </w:tc>
      </w:tr>
      <w:tr w:rsidR="00395B24" w14:paraId="0B27164A" w14:textId="77777777" w:rsidTr="00DA4061">
        <w:tc>
          <w:tcPr>
            <w:tcW w:w="3085" w:type="dxa"/>
            <w:shd w:val="clear" w:color="auto" w:fill="auto"/>
          </w:tcPr>
          <w:p w14:paraId="0B91AD5A" w14:textId="77777777" w:rsidR="00395B24" w:rsidRDefault="004B09DF" w:rsidP="00663878">
            <w:pPr>
              <w:pStyle w:val="Normal1linespace"/>
              <w:widowControl w:val="0"/>
              <w:jc w:val="left"/>
            </w:pPr>
            <w:r>
              <w:t>Judge</w:t>
            </w:r>
            <w:r w:rsidR="002C7385">
              <w:t>:</w:t>
            </w:r>
          </w:p>
        </w:tc>
        <w:tc>
          <w:tcPr>
            <w:tcW w:w="5989" w:type="dxa"/>
            <w:shd w:val="clear" w:color="auto" w:fill="auto"/>
          </w:tcPr>
          <w:p w14:paraId="6EB404BF" w14:textId="77777777" w:rsidR="00395B24" w:rsidRDefault="002C7385" w:rsidP="00663878">
            <w:pPr>
              <w:pStyle w:val="Normal1linespace"/>
              <w:widowControl w:val="0"/>
              <w:jc w:val="left"/>
              <w:rPr>
                <w:b/>
              </w:rPr>
            </w:pPr>
            <w:r w:rsidRPr="00407103">
              <w:rPr>
                <w:b/>
              </w:rPr>
              <w:fldChar w:fldCharType="begin" w:fldLock="1"/>
            </w:r>
            <w:r w:rsidRPr="00407103">
              <w:rPr>
                <w:b/>
              </w:rPr>
              <w:instrText xml:space="preserve"> REF  Judge  \* MERGEFORMAT </w:instrText>
            </w:r>
            <w:r w:rsidRPr="00407103">
              <w:rPr>
                <w:b/>
              </w:rPr>
              <w:fldChar w:fldCharType="separate"/>
            </w:r>
            <w:r w:rsidR="00407103" w:rsidRPr="00407103">
              <w:rPr>
                <w:b/>
                <w:caps/>
                <w:szCs w:val="24"/>
              </w:rPr>
              <w:t>RANGIAH J</w:t>
            </w:r>
            <w:r w:rsidRPr="00407103">
              <w:rPr>
                <w:b/>
              </w:rPr>
              <w:fldChar w:fldCharType="end"/>
            </w:r>
          </w:p>
        </w:tc>
      </w:tr>
      <w:tr w:rsidR="00395B24" w14:paraId="33B546E4" w14:textId="77777777" w:rsidTr="00DA4061">
        <w:tc>
          <w:tcPr>
            <w:tcW w:w="3085" w:type="dxa"/>
            <w:shd w:val="clear" w:color="auto" w:fill="auto"/>
          </w:tcPr>
          <w:p w14:paraId="758ED4F2" w14:textId="77777777" w:rsidR="00395B24" w:rsidRDefault="00395B24" w:rsidP="00663878">
            <w:pPr>
              <w:pStyle w:val="Normal1linespace"/>
              <w:widowControl w:val="0"/>
              <w:jc w:val="left"/>
            </w:pPr>
          </w:p>
        </w:tc>
        <w:tc>
          <w:tcPr>
            <w:tcW w:w="5989" w:type="dxa"/>
            <w:shd w:val="clear" w:color="auto" w:fill="auto"/>
          </w:tcPr>
          <w:p w14:paraId="038C2D5F" w14:textId="77777777" w:rsidR="00395B24" w:rsidRDefault="00395B24" w:rsidP="00663878">
            <w:pPr>
              <w:pStyle w:val="Normal1linespace"/>
              <w:widowControl w:val="0"/>
              <w:jc w:val="left"/>
            </w:pPr>
          </w:p>
        </w:tc>
      </w:tr>
      <w:tr w:rsidR="00395B24" w:rsidRPr="004B09DF" w14:paraId="21EB8ADE" w14:textId="77777777" w:rsidTr="00DA4061">
        <w:tc>
          <w:tcPr>
            <w:tcW w:w="3085" w:type="dxa"/>
            <w:shd w:val="clear" w:color="auto" w:fill="auto"/>
          </w:tcPr>
          <w:p w14:paraId="4C6D6734" w14:textId="77777777" w:rsidR="00395B24" w:rsidRPr="00407103" w:rsidRDefault="002C7385" w:rsidP="00663878">
            <w:pPr>
              <w:pStyle w:val="Normal1linespace"/>
              <w:widowControl w:val="0"/>
              <w:jc w:val="left"/>
            </w:pPr>
            <w:r w:rsidRPr="00407103">
              <w:t>Date of judgment:</w:t>
            </w:r>
          </w:p>
        </w:tc>
        <w:tc>
          <w:tcPr>
            <w:tcW w:w="5989" w:type="dxa"/>
            <w:shd w:val="clear" w:color="auto" w:fill="auto"/>
          </w:tcPr>
          <w:p w14:paraId="1C1D0F95" w14:textId="77777777" w:rsidR="00395B24" w:rsidRPr="00542677" w:rsidRDefault="00407103" w:rsidP="00944917">
            <w:pPr>
              <w:pStyle w:val="Normal1linespace"/>
              <w:widowControl w:val="0"/>
              <w:jc w:val="left"/>
            </w:pPr>
            <w:bookmarkStart w:id="1" w:name="JudgmentDate"/>
            <w:r w:rsidRPr="00407103">
              <w:t>18 December 2020</w:t>
            </w:r>
            <w:bookmarkEnd w:id="1"/>
          </w:p>
        </w:tc>
      </w:tr>
      <w:tr w:rsidR="00395B24" w14:paraId="1500B4A1" w14:textId="77777777" w:rsidTr="00DA4061">
        <w:tc>
          <w:tcPr>
            <w:tcW w:w="3085" w:type="dxa"/>
            <w:shd w:val="clear" w:color="auto" w:fill="auto"/>
          </w:tcPr>
          <w:p w14:paraId="643B21EA" w14:textId="77777777" w:rsidR="00395B24" w:rsidRDefault="00395B24" w:rsidP="00663878">
            <w:pPr>
              <w:pStyle w:val="Normal1linespace"/>
              <w:widowControl w:val="0"/>
              <w:jc w:val="left"/>
            </w:pPr>
          </w:p>
        </w:tc>
        <w:tc>
          <w:tcPr>
            <w:tcW w:w="5989" w:type="dxa"/>
            <w:shd w:val="clear" w:color="auto" w:fill="auto"/>
          </w:tcPr>
          <w:p w14:paraId="4B9101D9" w14:textId="77777777" w:rsidR="00395B24" w:rsidRDefault="00395B24" w:rsidP="00663878">
            <w:pPr>
              <w:pStyle w:val="Normal1linespace"/>
              <w:widowControl w:val="0"/>
              <w:jc w:val="left"/>
            </w:pPr>
          </w:p>
        </w:tc>
      </w:tr>
      <w:tr w:rsidR="00395B24" w:rsidRPr="004B09DF" w14:paraId="3FDD6CDD" w14:textId="77777777" w:rsidTr="00DA4061">
        <w:tc>
          <w:tcPr>
            <w:tcW w:w="3085" w:type="dxa"/>
            <w:shd w:val="clear" w:color="auto" w:fill="auto"/>
          </w:tcPr>
          <w:p w14:paraId="571E5350" w14:textId="77777777" w:rsidR="00395B24" w:rsidRPr="00723D8A" w:rsidRDefault="002C7385" w:rsidP="00663878">
            <w:pPr>
              <w:pStyle w:val="Normal1linespace"/>
              <w:widowControl w:val="0"/>
              <w:jc w:val="left"/>
            </w:pPr>
            <w:r w:rsidRPr="00723D8A">
              <w:t>Catchwords:</w:t>
            </w:r>
          </w:p>
        </w:tc>
        <w:tc>
          <w:tcPr>
            <w:tcW w:w="5989" w:type="dxa"/>
            <w:shd w:val="clear" w:color="auto" w:fill="auto"/>
          </w:tcPr>
          <w:p w14:paraId="416F0133" w14:textId="77777777" w:rsidR="00E24F6B" w:rsidRDefault="00E24F6B" w:rsidP="00E24F6B">
            <w:pPr>
              <w:pStyle w:val="Normal1linespace"/>
              <w:widowControl w:val="0"/>
              <w:jc w:val="left"/>
            </w:pPr>
            <w:bookmarkStart w:id="2" w:name="Catchwords"/>
            <w:r w:rsidRPr="00E24F6B">
              <w:rPr>
                <w:b/>
              </w:rPr>
              <w:t>TAXATION</w:t>
            </w:r>
            <w:r>
              <w:t xml:space="preserve"> – contraventions of </w:t>
            </w:r>
            <w:proofErr w:type="spellStart"/>
            <w:r>
              <w:t>ss</w:t>
            </w:r>
            <w:proofErr w:type="spellEnd"/>
            <w:r>
              <w:t xml:space="preserve"> 50-5(1) and 50-5(2) of the </w:t>
            </w:r>
            <w:r w:rsidRPr="00E24F6B">
              <w:rPr>
                <w:i/>
              </w:rPr>
              <w:t>Tax Agent Services Act 2009</w:t>
            </w:r>
            <w:r>
              <w:t xml:space="preserve"> (</w:t>
            </w:r>
            <w:proofErr w:type="spellStart"/>
            <w:r>
              <w:t>Cth</w:t>
            </w:r>
            <w:proofErr w:type="spellEnd"/>
            <w:r>
              <w:t>) – where contraventions established – whether declaratory and injunctive relief appropriate – imposition of pecuniary penalties</w:t>
            </w:r>
          </w:p>
          <w:p w14:paraId="5A8DD2E6" w14:textId="77777777" w:rsidR="00E24F6B" w:rsidRDefault="00E24F6B" w:rsidP="00E24F6B">
            <w:pPr>
              <w:pStyle w:val="Normal1linespace"/>
              <w:widowControl w:val="0"/>
              <w:jc w:val="left"/>
            </w:pPr>
          </w:p>
          <w:p w14:paraId="0DE0A570" w14:textId="77777777" w:rsidR="00E24F6B" w:rsidRDefault="00E24F6B" w:rsidP="00E24F6B">
            <w:pPr>
              <w:pStyle w:val="Normal1linespace"/>
              <w:widowControl w:val="0"/>
              <w:jc w:val="left"/>
            </w:pPr>
            <w:r w:rsidRPr="00E24F6B">
              <w:rPr>
                <w:b/>
              </w:rPr>
              <w:t>CONTEMPT OF COURT</w:t>
            </w:r>
            <w:r>
              <w:t xml:space="preserve"> – </w:t>
            </w:r>
            <w:proofErr w:type="spellStart"/>
            <w:r>
              <w:t>contempts</w:t>
            </w:r>
            <w:proofErr w:type="spellEnd"/>
            <w:r>
              <w:t xml:space="preserve"> by first and second respondent established – consideration of appropriate penalties – consideration of age and health of first respondent – where </w:t>
            </w:r>
            <w:proofErr w:type="spellStart"/>
            <w:r>
              <w:t>contempts</w:t>
            </w:r>
            <w:proofErr w:type="spellEnd"/>
            <w:r>
              <w:t xml:space="preserve"> were wilful and contumacious – imposition of sentence of imprisonment on first respondent – imposition of fine on second respondent</w:t>
            </w:r>
          </w:p>
          <w:p w14:paraId="7E377208" w14:textId="77777777" w:rsidR="00E24F6B" w:rsidRDefault="00E24F6B" w:rsidP="00E24F6B">
            <w:pPr>
              <w:pStyle w:val="Normal1linespace"/>
              <w:widowControl w:val="0"/>
              <w:jc w:val="left"/>
            </w:pPr>
          </w:p>
          <w:p w14:paraId="301E8D86" w14:textId="77777777" w:rsidR="00F253D9" w:rsidRDefault="00F253D9" w:rsidP="00E24F6B">
            <w:pPr>
              <w:pStyle w:val="Normal1linespace"/>
              <w:widowControl w:val="0"/>
              <w:jc w:val="left"/>
            </w:pPr>
            <w:r>
              <w:rPr>
                <w:b/>
              </w:rPr>
              <w:t>COSTS</w:t>
            </w:r>
            <w:r>
              <w:t xml:space="preserve"> – whether respondents should pay whole of applicant’s costs – applicant succeeded on some issues and not others – costs apportioned</w:t>
            </w:r>
          </w:p>
          <w:p w14:paraId="1F2827D2" w14:textId="77777777" w:rsidR="00F253D9" w:rsidRPr="00F253D9" w:rsidRDefault="00F253D9" w:rsidP="00E24F6B">
            <w:pPr>
              <w:pStyle w:val="Normal1linespace"/>
              <w:widowControl w:val="0"/>
              <w:jc w:val="left"/>
            </w:pPr>
          </w:p>
          <w:p w14:paraId="628C6A78" w14:textId="77777777" w:rsidR="00395B24" w:rsidRPr="00723D8A" w:rsidRDefault="00E24F6B" w:rsidP="00E24F6B">
            <w:pPr>
              <w:pStyle w:val="Normal1linespace"/>
              <w:widowControl w:val="0"/>
              <w:jc w:val="left"/>
            </w:pPr>
            <w:r w:rsidRPr="00E24F6B">
              <w:rPr>
                <w:b/>
              </w:rPr>
              <w:t>COSTS</w:t>
            </w:r>
            <w:r>
              <w:t xml:space="preserve"> – whether indemnity costs are appropriate – where substantial fines and sentences of imprisonment will be imposed on respondents – costs ordered on party-and-party basis </w:t>
            </w:r>
            <w:bookmarkEnd w:id="2"/>
          </w:p>
        </w:tc>
      </w:tr>
      <w:tr w:rsidR="00395B24" w14:paraId="758D42C2" w14:textId="77777777" w:rsidTr="00DA4061">
        <w:tc>
          <w:tcPr>
            <w:tcW w:w="3085" w:type="dxa"/>
            <w:shd w:val="clear" w:color="auto" w:fill="auto"/>
          </w:tcPr>
          <w:p w14:paraId="2CA62A03" w14:textId="77777777" w:rsidR="00395B24" w:rsidRDefault="00395B24" w:rsidP="00663878">
            <w:pPr>
              <w:pStyle w:val="Normal1linespace"/>
              <w:widowControl w:val="0"/>
              <w:jc w:val="left"/>
            </w:pPr>
          </w:p>
        </w:tc>
        <w:tc>
          <w:tcPr>
            <w:tcW w:w="5989" w:type="dxa"/>
            <w:shd w:val="clear" w:color="auto" w:fill="auto"/>
          </w:tcPr>
          <w:p w14:paraId="7DA672C1" w14:textId="77777777" w:rsidR="00395B24" w:rsidRDefault="00395B24" w:rsidP="00663878">
            <w:pPr>
              <w:pStyle w:val="Normal1linespace"/>
              <w:widowControl w:val="0"/>
              <w:jc w:val="left"/>
            </w:pPr>
          </w:p>
        </w:tc>
      </w:tr>
      <w:tr w:rsidR="00395B24" w:rsidRPr="004B09DF" w14:paraId="7C1F9AE4" w14:textId="77777777" w:rsidTr="00DA4061">
        <w:tc>
          <w:tcPr>
            <w:tcW w:w="3085" w:type="dxa"/>
            <w:shd w:val="clear" w:color="auto" w:fill="auto"/>
          </w:tcPr>
          <w:p w14:paraId="4746F500" w14:textId="77777777" w:rsidR="00395B24" w:rsidRPr="00516628" w:rsidRDefault="002C7385" w:rsidP="00663878">
            <w:pPr>
              <w:pStyle w:val="Normal1linespace"/>
              <w:widowControl w:val="0"/>
              <w:jc w:val="left"/>
            </w:pPr>
            <w:r w:rsidRPr="00516628">
              <w:t>Legislation:</w:t>
            </w:r>
          </w:p>
        </w:tc>
        <w:tc>
          <w:tcPr>
            <w:tcW w:w="5989" w:type="dxa"/>
            <w:shd w:val="clear" w:color="auto" w:fill="auto"/>
          </w:tcPr>
          <w:p w14:paraId="0831E9D4" w14:textId="77777777" w:rsidR="00F0157E" w:rsidRDefault="00F0157E" w:rsidP="00F0157E">
            <w:pPr>
              <w:pStyle w:val="CasesLegislationAppealFrom"/>
              <w:spacing w:after="60"/>
            </w:pPr>
            <w:bookmarkStart w:id="3" w:name="Legislation"/>
            <w:r w:rsidRPr="00EA5DD4">
              <w:rPr>
                <w:i/>
              </w:rPr>
              <w:t>Fair Work Act 2009</w:t>
            </w:r>
            <w:r w:rsidRPr="00EA5DD4">
              <w:t xml:space="preserve"> (</w:t>
            </w:r>
            <w:proofErr w:type="spellStart"/>
            <w:r w:rsidRPr="00EA5DD4">
              <w:t>Cth</w:t>
            </w:r>
            <w:proofErr w:type="spellEnd"/>
            <w:r w:rsidRPr="00EA5DD4">
              <w:t>)</w:t>
            </w:r>
            <w:r>
              <w:t xml:space="preserve"> s </w:t>
            </w:r>
            <w:r w:rsidRPr="00EA5DD4">
              <w:t xml:space="preserve">546 </w:t>
            </w:r>
          </w:p>
          <w:p w14:paraId="7DE421E9" w14:textId="77777777" w:rsidR="00F0157E" w:rsidRDefault="00F0157E" w:rsidP="00F0157E">
            <w:pPr>
              <w:pStyle w:val="CasesLegislationAppealFrom"/>
              <w:spacing w:after="60"/>
              <w:rPr>
                <w:highlight w:val="yellow"/>
              </w:rPr>
            </w:pPr>
            <w:r w:rsidRPr="003C4BCF">
              <w:rPr>
                <w:i/>
                <w:iCs/>
              </w:rPr>
              <w:t xml:space="preserve">Federal Court of Australia Act </w:t>
            </w:r>
            <w:r w:rsidRPr="00D10D34">
              <w:rPr>
                <w:i/>
              </w:rPr>
              <w:t>1976</w:t>
            </w:r>
            <w:r w:rsidRPr="003C4BCF">
              <w:t xml:space="preserve"> (</w:t>
            </w:r>
            <w:proofErr w:type="spellStart"/>
            <w:r w:rsidRPr="003C4BCF">
              <w:t>Cth</w:t>
            </w:r>
            <w:proofErr w:type="spellEnd"/>
            <w:r w:rsidRPr="003C4BCF">
              <w:t>)</w:t>
            </w:r>
            <w:r>
              <w:t xml:space="preserve"> s </w:t>
            </w:r>
            <w:r w:rsidRPr="003C4BCF">
              <w:t xml:space="preserve">31 </w:t>
            </w:r>
          </w:p>
          <w:p w14:paraId="33F5D4D1" w14:textId="77777777" w:rsidR="00F0157E" w:rsidRDefault="00F0157E" w:rsidP="00F0157E">
            <w:pPr>
              <w:pStyle w:val="CasesLegislationAppealFrom"/>
              <w:spacing w:after="60"/>
              <w:rPr>
                <w:highlight w:val="yellow"/>
              </w:rPr>
            </w:pPr>
            <w:r w:rsidRPr="00C263EC">
              <w:rPr>
                <w:i/>
              </w:rPr>
              <w:t xml:space="preserve">Tax Agent Services Act 2009 </w:t>
            </w:r>
            <w:r>
              <w:t>(</w:t>
            </w:r>
            <w:proofErr w:type="spellStart"/>
            <w:r>
              <w:t>Cth</w:t>
            </w:r>
            <w:proofErr w:type="spellEnd"/>
            <w:r>
              <w:t xml:space="preserve">) </w:t>
            </w:r>
            <w:proofErr w:type="spellStart"/>
            <w:r>
              <w:t>ss</w:t>
            </w:r>
            <w:proofErr w:type="spellEnd"/>
            <w:r>
              <w:t> </w:t>
            </w:r>
            <w:r w:rsidR="006D39E8">
              <w:t xml:space="preserve">2-5, </w:t>
            </w:r>
            <w:r>
              <w:t xml:space="preserve">50-5, 50-10, </w:t>
            </w:r>
            <w:r w:rsidRPr="00017DD1">
              <w:t>50-15</w:t>
            </w:r>
            <w:r w:rsidR="006D39E8">
              <w:t xml:space="preserve">, </w:t>
            </w:r>
            <w:r>
              <w:t>50-35</w:t>
            </w:r>
            <w:r w:rsidR="006D39E8">
              <w:t xml:space="preserve"> and 70-5</w:t>
            </w:r>
          </w:p>
          <w:p w14:paraId="78F2226D" w14:textId="77777777" w:rsidR="00395B24" w:rsidRPr="00516628" w:rsidRDefault="00F0157E" w:rsidP="00F0157E">
            <w:pPr>
              <w:pStyle w:val="CasesLegislationAppealFrom"/>
              <w:spacing w:after="60"/>
            </w:pPr>
            <w:r w:rsidRPr="00FC25D0">
              <w:rPr>
                <w:i/>
              </w:rPr>
              <w:t>Federal Court Rules 2011</w:t>
            </w:r>
            <w:r w:rsidRPr="00FC25D0">
              <w:t xml:space="preserve"> (</w:t>
            </w:r>
            <w:proofErr w:type="spellStart"/>
            <w:r w:rsidRPr="00FC25D0">
              <w:t>Cth</w:t>
            </w:r>
            <w:proofErr w:type="spellEnd"/>
            <w:r w:rsidRPr="00FC25D0">
              <w:t>)</w:t>
            </w:r>
            <w:r>
              <w:t xml:space="preserve"> </w:t>
            </w:r>
            <w:proofErr w:type="spellStart"/>
            <w:r>
              <w:t>rr</w:t>
            </w:r>
            <w:proofErr w:type="spellEnd"/>
            <w:r>
              <w:t xml:space="preserve"> 42.11 and 42.12</w:t>
            </w:r>
            <w:bookmarkEnd w:id="3"/>
          </w:p>
        </w:tc>
      </w:tr>
      <w:tr w:rsidR="00395B24" w14:paraId="6DF249E7" w14:textId="77777777" w:rsidTr="00DA4061">
        <w:tc>
          <w:tcPr>
            <w:tcW w:w="3085" w:type="dxa"/>
            <w:shd w:val="clear" w:color="auto" w:fill="auto"/>
          </w:tcPr>
          <w:p w14:paraId="63862139" w14:textId="77777777" w:rsidR="00395B24" w:rsidRDefault="00395B24" w:rsidP="00663878">
            <w:pPr>
              <w:pStyle w:val="Normal1linespace"/>
              <w:widowControl w:val="0"/>
              <w:jc w:val="left"/>
            </w:pPr>
          </w:p>
        </w:tc>
        <w:tc>
          <w:tcPr>
            <w:tcW w:w="5989" w:type="dxa"/>
            <w:shd w:val="clear" w:color="auto" w:fill="auto"/>
          </w:tcPr>
          <w:p w14:paraId="2BB5866A" w14:textId="77777777" w:rsidR="00395B24" w:rsidRDefault="00395B24" w:rsidP="00663878">
            <w:pPr>
              <w:pStyle w:val="Normal1linespace"/>
              <w:widowControl w:val="0"/>
              <w:jc w:val="left"/>
            </w:pPr>
          </w:p>
        </w:tc>
      </w:tr>
      <w:tr w:rsidR="00395B24" w:rsidRPr="004B09DF" w14:paraId="398879FA" w14:textId="77777777" w:rsidTr="00DA4061">
        <w:tc>
          <w:tcPr>
            <w:tcW w:w="3085" w:type="dxa"/>
            <w:shd w:val="clear" w:color="auto" w:fill="auto"/>
          </w:tcPr>
          <w:p w14:paraId="030A0202" w14:textId="77777777" w:rsidR="00395B24" w:rsidRPr="00516628" w:rsidRDefault="002C7385" w:rsidP="00663878">
            <w:pPr>
              <w:pStyle w:val="Normal1linespace"/>
              <w:widowControl w:val="0"/>
              <w:jc w:val="left"/>
            </w:pPr>
            <w:r w:rsidRPr="00516628">
              <w:t>Cases cited:</w:t>
            </w:r>
          </w:p>
        </w:tc>
        <w:tc>
          <w:tcPr>
            <w:tcW w:w="5989" w:type="dxa"/>
            <w:shd w:val="clear" w:color="auto" w:fill="auto"/>
          </w:tcPr>
          <w:p w14:paraId="31FBA72C" w14:textId="77777777" w:rsidR="00061C92" w:rsidRDefault="00061C92" w:rsidP="00061C92">
            <w:pPr>
              <w:pStyle w:val="CasesLegislationAppealFrom"/>
              <w:spacing w:after="60"/>
            </w:pPr>
            <w:bookmarkStart w:id="4" w:name="Cases_Cited"/>
            <w:r w:rsidRPr="00617613">
              <w:rPr>
                <w:i/>
              </w:rPr>
              <w:t>Anchorage Capital Partners Pty Lt</w:t>
            </w:r>
            <w:r>
              <w:rPr>
                <w:i/>
              </w:rPr>
              <w:t>d</w:t>
            </w:r>
            <w:r w:rsidRPr="00617613">
              <w:rPr>
                <w:i/>
              </w:rPr>
              <w:t xml:space="preserve"> </w:t>
            </w:r>
            <w:r>
              <w:rPr>
                <w:i/>
              </w:rPr>
              <w:t xml:space="preserve">v </w:t>
            </w:r>
            <w:r w:rsidRPr="00617613">
              <w:rPr>
                <w:i/>
              </w:rPr>
              <w:t>AC</w:t>
            </w:r>
            <w:r>
              <w:rPr>
                <w:i/>
              </w:rPr>
              <w:t>PA</w:t>
            </w:r>
            <w:r w:rsidRPr="00617613">
              <w:rPr>
                <w:i/>
              </w:rPr>
              <w:t xml:space="preserve"> </w:t>
            </w:r>
            <w:r>
              <w:rPr>
                <w:i/>
              </w:rPr>
              <w:t xml:space="preserve">Pty Ltd (No 2) </w:t>
            </w:r>
            <w:r>
              <w:t>[2018] FCAFC 112</w:t>
            </w:r>
          </w:p>
          <w:p w14:paraId="1E490F6A" w14:textId="77777777" w:rsidR="00061C92" w:rsidRDefault="00061C92" w:rsidP="00061C92">
            <w:pPr>
              <w:pStyle w:val="CasesLegislationAppealFrom"/>
              <w:spacing w:after="60"/>
            </w:pPr>
            <w:r w:rsidRPr="0004068E">
              <w:rPr>
                <w:i/>
              </w:rPr>
              <w:t>Australasian Meat Industry Employees</w:t>
            </w:r>
            <w:r>
              <w:rPr>
                <w:i/>
              </w:rPr>
              <w:t>’</w:t>
            </w:r>
            <w:r w:rsidRPr="0004068E">
              <w:rPr>
                <w:i/>
              </w:rPr>
              <w:t xml:space="preserve"> Union v </w:t>
            </w:r>
            <w:proofErr w:type="spellStart"/>
            <w:r w:rsidRPr="0004068E">
              <w:rPr>
                <w:i/>
              </w:rPr>
              <w:t>Mudginberri</w:t>
            </w:r>
            <w:proofErr w:type="spellEnd"/>
            <w:r w:rsidRPr="0004068E">
              <w:rPr>
                <w:i/>
              </w:rPr>
              <w:t xml:space="preserve"> Station Pty Ltd</w:t>
            </w:r>
            <w:r w:rsidRPr="0004068E">
              <w:t xml:space="preserve"> (1986) 161 CLR 98</w:t>
            </w:r>
          </w:p>
          <w:p w14:paraId="73E12A79" w14:textId="77777777" w:rsidR="006E7FED" w:rsidRDefault="00061C92" w:rsidP="00061C92">
            <w:pPr>
              <w:pStyle w:val="CasesLegislationAppealFrom"/>
              <w:spacing w:after="60"/>
              <w:rPr>
                <w:highlight w:val="yellow"/>
              </w:rPr>
            </w:pPr>
            <w:r w:rsidRPr="00D726F9">
              <w:rPr>
                <w:i/>
              </w:rPr>
              <w:t>A</w:t>
            </w:r>
            <w:r>
              <w:rPr>
                <w:i/>
              </w:rPr>
              <w:t xml:space="preserve">ustralian </w:t>
            </w:r>
            <w:r w:rsidRPr="00D726F9">
              <w:rPr>
                <w:i/>
              </w:rPr>
              <w:t>B</w:t>
            </w:r>
            <w:r>
              <w:rPr>
                <w:i/>
              </w:rPr>
              <w:t xml:space="preserve">uilding and </w:t>
            </w:r>
            <w:r w:rsidRPr="00D726F9">
              <w:rPr>
                <w:i/>
              </w:rPr>
              <w:t>C</w:t>
            </w:r>
            <w:r>
              <w:rPr>
                <w:i/>
              </w:rPr>
              <w:t xml:space="preserve">onstruction </w:t>
            </w:r>
            <w:r w:rsidRPr="00D726F9">
              <w:rPr>
                <w:i/>
              </w:rPr>
              <w:t>C</w:t>
            </w:r>
            <w:r>
              <w:rPr>
                <w:i/>
              </w:rPr>
              <w:t>ommissioner</w:t>
            </w:r>
            <w:r w:rsidRPr="00D726F9">
              <w:rPr>
                <w:i/>
              </w:rPr>
              <w:t xml:space="preserve"> v C</w:t>
            </w:r>
            <w:r>
              <w:rPr>
                <w:i/>
              </w:rPr>
              <w:t xml:space="preserve">onstruction, </w:t>
            </w:r>
            <w:r w:rsidRPr="00D726F9">
              <w:rPr>
                <w:i/>
              </w:rPr>
              <w:t>F</w:t>
            </w:r>
            <w:r>
              <w:rPr>
                <w:i/>
              </w:rPr>
              <w:t xml:space="preserve">orestry, </w:t>
            </w:r>
            <w:r w:rsidRPr="00D726F9">
              <w:rPr>
                <w:i/>
              </w:rPr>
              <w:t>M</w:t>
            </w:r>
            <w:r>
              <w:rPr>
                <w:i/>
              </w:rPr>
              <w:t xml:space="preserve">ining and </w:t>
            </w:r>
            <w:r w:rsidRPr="00D726F9">
              <w:rPr>
                <w:i/>
              </w:rPr>
              <w:t>E</w:t>
            </w:r>
            <w:r>
              <w:rPr>
                <w:i/>
              </w:rPr>
              <w:t xml:space="preserve">nergy </w:t>
            </w:r>
            <w:r w:rsidRPr="00D726F9">
              <w:rPr>
                <w:i/>
              </w:rPr>
              <w:t>U</w:t>
            </w:r>
            <w:r>
              <w:rPr>
                <w:i/>
              </w:rPr>
              <w:t>nion</w:t>
            </w:r>
            <w:r>
              <w:t xml:space="preserve"> (2018) 262 CLR 157</w:t>
            </w:r>
          </w:p>
          <w:p w14:paraId="2027636A" w14:textId="77777777" w:rsidR="00061C92" w:rsidRDefault="00061C92" w:rsidP="00757869">
            <w:pPr>
              <w:pStyle w:val="CasesLegislationAppealFrom"/>
              <w:keepNext/>
              <w:keepLines/>
              <w:spacing w:after="60"/>
            </w:pPr>
            <w:r>
              <w:rPr>
                <w:i/>
              </w:rPr>
              <w:lastRenderedPageBreak/>
              <w:t>Australian Competition and Consumer Commission</w:t>
            </w:r>
            <w:r w:rsidRPr="002349B4">
              <w:rPr>
                <w:i/>
              </w:rPr>
              <w:t xml:space="preserve"> v ABB Transmission</w:t>
            </w:r>
            <w:r>
              <w:rPr>
                <w:i/>
              </w:rPr>
              <w:t xml:space="preserve"> and Distribution Ltd (No 2) </w:t>
            </w:r>
            <w:r>
              <w:t>(2002) 190 ALR 169; [2002] FCA 559</w:t>
            </w:r>
          </w:p>
          <w:p w14:paraId="221D8BF0" w14:textId="77777777" w:rsidR="00061C92" w:rsidRDefault="00061C92" w:rsidP="00061C92">
            <w:pPr>
              <w:pStyle w:val="CasesLegislationAppealFrom"/>
              <w:spacing w:after="60"/>
              <w:rPr>
                <w:szCs w:val="24"/>
              </w:rPr>
            </w:pPr>
            <w:r w:rsidRPr="00C3731C">
              <w:rPr>
                <w:i/>
              </w:rPr>
              <w:t xml:space="preserve">Australian Competition and Consumer Commission v </w:t>
            </w:r>
            <w:proofErr w:type="spellStart"/>
            <w:r w:rsidRPr="00C3731C">
              <w:rPr>
                <w:i/>
              </w:rPr>
              <w:t>Dynacast</w:t>
            </w:r>
            <w:proofErr w:type="spellEnd"/>
            <w:r w:rsidRPr="00C3731C">
              <w:rPr>
                <w:i/>
              </w:rPr>
              <w:t xml:space="preserve"> (</w:t>
            </w:r>
            <w:proofErr w:type="spellStart"/>
            <w:r w:rsidRPr="00C3731C">
              <w:rPr>
                <w:i/>
              </w:rPr>
              <w:t>Int</w:t>
            </w:r>
            <w:proofErr w:type="spellEnd"/>
            <w:r w:rsidRPr="00C3731C">
              <w:rPr>
                <w:i/>
              </w:rPr>
              <w:t>) Pty Ltd</w:t>
            </w:r>
            <w:r w:rsidRPr="00D35225">
              <w:rPr>
                <w:i/>
              </w:rPr>
              <w:t xml:space="preserve"> (formerly Phoneflasher.com Pty Ltd) ACN 001 234 642</w:t>
            </w:r>
            <w:r w:rsidR="00D91F86">
              <w:rPr>
                <w:i/>
              </w:rPr>
              <w:t xml:space="preserve"> </w:t>
            </w:r>
            <w:r w:rsidR="00D91F86">
              <w:t>[2007] FCA 429</w:t>
            </w:r>
          </w:p>
          <w:p w14:paraId="628E3307" w14:textId="77777777" w:rsidR="00061C92" w:rsidRDefault="00061C92" w:rsidP="00061C92">
            <w:pPr>
              <w:pStyle w:val="CasesLegislationAppealFrom"/>
              <w:spacing w:after="60"/>
              <w:rPr>
                <w:szCs w:val="24"/>
              </w:rPr>
            </w:pPr>
            <w:r>
              <w:rPr>
                <w:i/>
                <w:szCs w:val="24"/>
              </w:rPr>
              <w:t xml:space="preserve">Australian Competition and Consumer Commission v </w:t>
            </w:r>
            <w:proofErr w:type="spellStart"/>
            <w:r>
              <w:rPr>
                <w:i/>
                <w:szCs w:val="24"/>
              </w:rPr>
              <w:t>Halkalia</w:t>
            </w:r>
            <w:proofErr w:type="spellEnd"/>
            <w:r>
              <w:rPr>
                <w:i/>
                <w:szCs w:val="24"/>
              </w:rPr>
              <w:t xml:space="preserve"> Pty Ltd (No 3) </w:t>
            </w:r>
            <w:r w:rsidRPr="00161593">
              <w:rPr>
                <w:szCs w:val="24"/>
              </w:rPr>
              <w:t>[2017] FCA 522</w:t>
            </w:r>
          </w:p>
          <w:p w14:paraId="04488045" w14:textId="77777777" w:rsidR="00061C92" w:rsidRDefault="00061C92" w:rsidP="00061C92">
            <w:pPr>
              <w:pStyle w:val="CasesLegislationAppealFrom"/>
              <w:spacing w:after="60"/>
              <w:rPr>
                <w:highlight w:val="yellow"/>
              </w:rPr>
            </w:pPr>
            <w:r w:rsidRPr="00C3731C">
              <w:rPr>
                <w:i/>
              </w:rPr>
              <w:t>Australian Competition and Consumer Commission v INFO4PC.com Pty Ltd</w:t>
            </w:r>
            <w:r>
              <w:t xml:space="preserve"> (2002) 121 FCR 24</w:t>
            </w:r>
          </w:p>
          <w:p w14:paraId="6C6D79AE" w14:textId="77777777" w:rsidR="00061C92" w:rsidRDefault="00061C92" w:rsidP="00061C92">
            <w:pPr>
              <w:pStyle w:val="CasesLegislationAppealFrom"/>
              <w:spacing w:after="60"/>
            </w:pPr>
            <w:r>
              <w:rPr>
                <w:i/>
                <w:iCs/>
              </w:rPr>
              <w:t xml:space="preserve">Australian Competition and Consumer Commission v TPG Internet Pty Ltd </w:t>
            </w:r>
            <w:r>
              <w:t>(2013) 250 CLR 640</w:t>
            </w:r>
          </w:p>
          <w:p w14:paraId="3EE20544" w14:textId="77777777" w:rsidR="00061C92" w:rsidRDefault="00061C92" w:rsidP="00061C92">
            <w:pPr>
              <w:pStyle w:val="CasesLegislationAppealFrom"/>
              <w:spacing w:after="60"/>
            </w:pPr>
            <w:r w:rsidRPr="00EA35B3">
              <w:rPr>
                <w:i/>
              </w:rPr>
              <w:t xml:space="preserve">Australian </w:t>
            </w:r>
            <w:proofErr w:type="spellStart"/>
            <w:r w:rsidRPr="00EA35B3">
              <w:rPr>
                <w:i/>
              </w:rPr>
              <w:t>Opthalmic</w:t>
            </w:r>
            <w:proofErr w:type="spellEnd"/>
            <w:r w:rsidRPr="00EA35B3">
              <w:rPr>
                <w:i/>
              </w:rPr>
              <w:t xml:space="preserve"> Supplies </w:t>
            </w:r>
            <w:r>
              <w:rPr>
                <w:i/>
              </w:rPr>
              <w:t xml:space="preserve">Pty Ltd </w:t>
            </w:r>
            <w:r w:rsidRPr="00EA35B3">
              <w:rPr>
                <w:i/>
              </w:rPr>
              <w:t xml:space="preserve">v </w:t>
            </w:r>
            <w:proofErr w:type="spellStart"/>
            <w:r w:rsidRPr="00EA35B3">
              <w:rPr>
                <w:i/>
              </w:rPr>
              <w:t>McAlary</w:t>
            </w:r>
            <w:proofErr w:type="spellEnd"/>
            <w:r w:rsidRPr="00EA35B3">
              <w:rPr>
                <w:i/>
              </w:rPr>
              <w:t>-Smith</w:t>
            </w:r>
            <w:r>
              <w:t xml:space="preserve"> (2008) 165 FCR 560</w:t>
            </w:r>
          </w:p>
          <w:p w14:paraId="7FF0E1AF" w14:textId="77777777" w:rsidR="00061C92" w:rsidRDefault="00061C92" w:rsidP="00061C92">
            <w:pPr>
              <w:pStyle w:val="CasesLegislationAppealFrom"/>
              <w:spacing w:after="60"/>
            </w:pPr>
            <w:r w:rsidRPr="007452A8">
              <w:rPr>
                <w:i/>
              </w:rPr>
              <w:t xml:space="preserve">Australian Securities </w:t>
            </w:r>
            <w:r>
              <w:rPr>
                <w:i/>
              </w:rPr>
              <w:t xml:space="preserve">&amp; </w:t>
            </w:r>
            <w:r w:rsidRPr="007452A8">
              <w:rPr>
                <w:i/>
              </w:rPr>
              <w:t xml:space="preserve">Investments Commission v </w:t>
            </w:r>
            <w:proofErr w:type="spellStart"/>
            <w:r w:rsidRPr="007452A8">
              <w:rPr>
                <w:i/>
              </w:rPr>
              <w:t>Soust</w:t>
            </w:r>
            <w:proofErr w:type="spellEnd"/>
            <w:r w:rsidRPr="007452A8">
              <w:rPr>
                <w:i/>
              </w:rPr>
              <w:t xml:space="preserve"> (No 2)</w:t>
            </w:r>
            <w:r>
              <w:t xml:space="preserve"> (2010) 78 ACSR 1; [2010] FCA 388</w:t>
            </w:r>
          </w:p>
          <w:p w14:paraId="570EEA90" w14:textId="77777777" w:rsidR="00061C92" w:rsidRDefault="00061C92" w:rsidP="00061C92">
            <w:pPr>
              <w:pStyle w:val="CasesLegislationAppealFrom"/>
              <w:spacing w:after="60"/>
            </w:pPr>
            <w:proofErr w:type="spellStart"/>
            <w:r w:rsidRPr="0004068E">
              <w:rPr>
                <w:i/>
              </w:rPr>
              <w:t>Bovis</w:t>
            </w:r>
            <w:proofErr w:type="spellEnd"/>
            <w:r w:rsidRPr="0004068E">
              <w:rPr>
                <w:i/>
              </w:rPr>
              <w:t xml:space="preserve"> Lend Lease Pty Ltd v Construction Forestry Mining and Energy Union (No 2)</w:t>
            </w:r>
            <w:r w:rsidRPr="0004068E">
              <w:t xml:space="preserve"> [2009] FCA 650</w:t>
            </w:r>
          </w:p>
          <w:p w14:paraId="7249770B" w14:textId="77777777" w:rsidR="00061C92" w:rsidRDefault="00061C92" w:rsidP="00061C92">
            <w:pPr>
              <w:pStyle w:val="CasesLegislationAppealFrom"/>
              <w:spacing w:after="60"/>
            </w:pPr>
            <w:r w:rsidRPr="008E4A2E">
              <w:rPr>
                <w:i/>
              </w:rPr>
              <w:t xml:space="preserve">Cadbury Schweppes </w:t>
            </w:r>
            <w:r>
              <w:rPr>
                <w:i/>
              </w:rPr>
              <w:t xml:space="preserve">Pty Ltd </w:t>
            </w:r>
            <w:r w:rsidRPr="008E4A2E">
              <w:rPr>
                <w:i/>
              </w:rPr>
              <w:t>v Darr</w:t>
            </w:r>
            <w:r>
              <w:rPr>
                <w:i/>
              </w:rPr>
              <w:t>el</w:t>
            </w:r>
            <w:r w:rsidRPr="008E4A2E">
              <w:rPr>
                <w:i/>
              </w:rPr>
              <w:t xml:space="preserve">l </w:t>
            </w:r>
            <w:r>
              <w:rPr>
                <w:i/>
              </w:rPr>
              <w:t xml:space="preserve">Lea </w:t>
            </w:r>
            <w:r w:rsidRPr="008E4A2E">
              <w:rPr>
                <w:i/>
              </w:rPr>
              <w:t>Chocolate Shops Pty L</w:t>
            </w:r>
            <w:r>
              <w:rPr>
                <w:i/>
              </w:rPr>
              <w:t>td (No </w:t>
            </w:r>
            <w:r w:rsidRPr="008E4A2E">
              <w:rPr>
                <w:i/>
              </w:rPr>
              <w:t>3)</w:t>
            </w:r>
            <w:r>
              <w:t xml:space="preserve"> [2007] FCAFC 119</w:t>
            </w:r>
          </w:p>
          <w:p w14:paraId="0768CDF2" w14:textId="77777777" w:rsidR="00061C92" w:rsidRDefault="00061C92" w:rsidP="00061C92">
            <w:pPr>
              <w:pStyle w:val="CasesLegislationAppealFrom"/>
              <w:spacing w:after="60"/>
              <w:rPr>
                <w:highlight w:val="yellow"/>
              </w:rPr>
            </w:pPr>
            <w:r w:rsidRPr="002B0CB7">
              <w:rPr>
                <w:i/>
              </w:rPr>
              <w:t>Commonwealth v D</w:t>
            </w:r>
            <w:r>
              <w:rPr>
                <w:i/>
              </w:rPr>
              <w:t xml:space="preserve">irector, </w:t>
            </w:r>
            <w:r w:rsidRPr="002B0CB7">
              <w:rPr>
                <w:i/>
              </w:rPr>
              <w:t>F</w:t>
            </w:r>
            <w:r>
              <w:rPr>
                <w:i/>
              </w:rPr>
              <w:t xml:space="preserve">air </w:t>
            </w:r>
            <w:r w:rsidRPr="002B0CB7">
              <w:rPr>
                <w:i/>
              </w:rPr>
              <w:t>W</w:t>
            </w:r>
            <w:r>
              <w:rPr>
                <w:i/>
              </w:rPr>
              <w:t xml:space="preserve">ork </w:t>
            </w:r>
            <w:r w:rsidRPr="002B0CB7">
              <w:rPr>
                <w:i/>
              </w:rPr>
              <w:t>B</w:t>
            </w:r>
            <w:r>
              <w:rPr>
                <w:i/>
              </w:rPr>
              <w:t xml:space="preserve">uilding </w:t>
            </w:r>
            <w:r w:rsidRPr="002B0CB7">
              <w:rPr>
                <w:i/>
              </w:rPr>
              <w:t>I</w:t>
            </w:r>
            <w:r>
              <w:rPr>
                <w:i/>
              </w:rPr>
              <w:t xml:space="preserve">ndustry </w:t>
            </w:r>
            <w:r w:rsidRPr="002B0CB7">
              <w:rPr>
                <w:i/>
              </w:rPr>
              <w:t>I</w:t>
            </w:r>
            <w:r>
              <w:rPr>
                <w:i/>
              </w:rPr>
              <w:t>nspectorate</w:t>
            </w:r>
            <w:r>
              <w:t xml:space="preserve"> (2015) 258 CLR 482</w:t>
            </w:r>
          </w:p>
          <w:p w14:paraId="5AB17496" w14:textId="77777777" w:rsidR="00061C92" w:rsidRDefault="00061C92" w:rsidP="00061C92">
            <w:pPr>
              <w:pStyle w:val="CasesLegislationAppealFrom"/>
              <w:spacing w:after="60"/>
            </w:pPr>
            <w:r w:rsidRPr="0004068E">
              <w:rPr>
                <w:i/>
              </w:rPr>
              <w:t>Construction, Forestry, Mining and Energy Union v BHP Steel (AIS) Pty Ltd</w:t>
            </w:r>
            <w:r w:rsidRPr="0004068E">
              <w:t xml:space="preserve"> (2003) 196 ALR 350</w:t>
            </w:r>
          </w:p>
          <w:p w14:paraId="64D276C1" w14:textId="77777777" w:rsidR="00061C92" w:rsidRDefault="00061C92" w:rsidP="00061C92">
            <w:pPr>
              <w:pStyle w:val="CasesLegislationAppealFrom"/>
              <w:spacing w:after="60"/>
              <w:rPr>
                <w:highlight w:val="yellow"/>
              </w:rPr>
            </w:pPr>
            <w:r w:rsidRPr="009A0973">
              <w:rPr>
                <w:i/>
                <w:lang w:eastAsia="en-AU"/>
              </w:rPr>
              <w:t>C</w:t>
            </w:r>
            <w:r>
              <w:rPr>
                <w:i/>
                <w:lang w:eastAsia="en-AU"/>
              </w:rPr>
              <w:t xml:space="preserve">onstruction, </w:t>
            </w:r>
            <w:r w:rsidRPr="009A0973">
              <w:rPr>
                <w:i/>
                <w:lang w:eastAsia="en-AU"/>
              </w:rPr>
              <w:t>F</w:t>
            </w:r>
            <w:r>
              <w:rPr>
                <w:i/>
                <w:lang w:eastAsia="en-AU"/>
              </w:rPr>
              <w:t xml:space="preserve">orestry, </w:t>
            </w:r>
            <w:r w:rsidRPr="009A0973">
              <w:rPr>
                <w:i/>
                <w:lang w:eastAsia="en-AU"/>
              </w:rPr>
              <w:t>M</w:t>
            </w:r>
            <w:r>
              <w:rPr>
                <w:i/>
                <w:lang w:eastAsia="en-AU"/>
              </w:rPr>
              <w:t xml:space="preserve">ining and </w:t>
            </w:r>
            <w:r w:rsidRPr="009A0973">
              <w:rPr>
                <w:i/>
                <w:lang w:eastAsia="en-AU"/>
              </w:rPr>
              <w:t>E</w:t>
            </w:r>
            <w:r>
              <w:rPr>
                <w:i/>
                <w:lang w:eastAsia="en-AU"/>
              </w:rPr>
              <w:t xml:space="preserve">nergy </w:t>
            </w:r>
            <w:r w:rsidRPr="009A0973">
              <w:rPr>
                <w:i/>
                <w:lang w:eastAsia="en-AU"/>
              </w:rPr>
              <w:t>U</w:t>
            </w:r>
            <w:r>
              <w:rPr>
                <w:i/>
                <w:lang w:eastAsia="en-AU"/>
              </w:rPr>
              <w:t>nion</w:t>
            </w:r>
            <w:r w:rsidRPr="009A0973">
              <w:rPr>
                <w:i/>
                <w:lang w:eastAsia="en-AU"/>
              </w:rPr>
              <w:t xml:space="preserve"> v Cahill</w:t>
            </w:r>
            <w:r>
              <w:rPr>
                <w:lang w:eastAsia="en-AU"/>
              </w:rPr>
              <w:t xml:space="preserve"> (2010) 194 IR 461</w:t>
            </w:r>
          </w:p>
          <w:p w14:paraId="7922C943" w14:textId="77777777" w:rsidR="00061C92" w:rsidRDefault="00061C92" w:rsidP="00061C92">
            <w:pPr>
              <w:pStyle w:val="CasesLegislationAppealFrom"/>
              <w:spacing w:after="60"/>
            </w:pPr>
            <w:r w:rsidRPr="007452A8">
              <w:rPr>
                <w:i/>
              </w:rPr>
              <w:t>Construction, Forestry, Mining and Energy Union v Pilbara Iron Company (Services) Pty Ltd (No 4)</w:t>
            </w:r>
            <w:r>
              <w:t xml:space="preserve"> (2012) 225 IR 113; [2012] FCA 894</w:t>
            </w:r>
          </w:p>
          <w:p w14:paraId="469018E8" w14:textId="77777777" w:rsidR="00061C92" w:rsidRDefault="00061C92" w:rsidP="00061C92">
            <w:pPr>
              <w:pStyle w:val="CasesLegislationAppealFrom"/>
              <w:spacing w:after="60"/>
              <w:rPr>
                <w:highlight w:val="yellow"/>
              </w:rPr>
            </w:pPr>
            <w:r w:rsidRPr="00C3731C">
              <w:rPr>
                <w:i/>
              </w:rPr>
              <w:t>Deputy Commissioner of Taxation v Hickey</w:t>
            </w:r>
            <w:r>
              <w:t xml:space="preserve"> [1999] FCA 259</w:t>
            </w:r>
          </w:p>
          <w:p w14:paraId="21186901" w14:textId="77777777" w:rsidR="00061C92" w:rsidRDefault="00061C92" w:rsidP="00061C92">
            <w:pPr>
              <w:pStyle w:val="CasesLegislationAppealFrom"/>
              <w:spacing w:after="60"/>
              <w:rPr>
                <w:szCs w:val="24"/>
              </w:rPr>
            </w:pPr>
            <w:r w:rsidRPr="00C3731C">
              <w:rPr>
                <w:i/>
              </w:rPr>
              <w:t xml:space="preserve">Director of Fair Work Building Industry Inspectorate v </w:t>
            </w:r>
            <w:proofErr w:type="spellStart"/>
            <w:r w:rsidRPr="00C3731C">
              <w:rPr>
                <w:i/>
              </w:rPr>
              <w:t>Cartledge</w:t>
            </w:r>
            <w:proofErr w:type="spellEnd"/>
            <w:r>
              <w:t xml:space="preserve"> (No 2) [2015] FCA 851</w:t>
            </w:r>
          </w:p>
          <w:p w14:paraId="40811458" w14:textId="77777777" w:rsidR="00061C92" w:rsidRDefault="00061C92" w:rsidP="00061C92">
            <w:pPr>
              <w:pStyle w:val="CasesLegislationAppealFrom"/>
              <w:spacing w:after="60"/>
            </w:pPr>
            <w:proofErr w:type="spellStart"/>
            <w:r>
              <w:rPr>
                <w:i/>
              </w:rPr>
              <w:t>Dodd</w:t>
            </w:r>
            <w:r w:rsidRPr="008A6948">
              <w:rPr>
                <w:i/>
              </w:rPr>
              <w:t>s</w:t>
            </w:r>
            <w:proofErr w:type="spellEnd"/>
            <w:r w:rsidRPr="008A6948">
              <w:rPr>
                <w:i/>
              </w:rPr>
              <w:t xml:space="preserve"> Family Investments Pty Lt</w:t>
            </w:r>
            <w:r>
              <w:rPr>
                <w:i/>
              </w:rPr>
              <w:t>d (formerly Solar Tint Pty Ltd)</w:t>
            </w:r>
            <w:r w:rsidRPr="008A6948">
              <w:rPr>
                <w:i/>
              </w:rPr>
              <w:t xml:space="preserve"> </w:t>
            </w:r>
            <w:r>
              <w:rPr>
                <w:i/>
              </w:rPr>
              <w:t xml:space="preserve">v </w:t>
            </w:r>
            <w:r w:rsidRPr="008A6948">
              <w:rPr>
                <w:i/>
              </w:rPr>
              <w:t>Lane Industries Pty L</w:t>
            </w:r>
            <w:r>
              <w:rPr>
                <w:i/>
              </w:rPr>
              <w:t>td</w:t>
            </w:r>
            <w:r>
              <w:t xml:space="preserve"> (1993) 26 IPR 261</w:t>
            </w:r>
          </w:p>
          <w:p w14:paraId="32F64AA9" w14:textId="77777777" w:rsidR="00061C92" w:rsidRDefault="00061C92" w:rsidP="00061C92">
            <w:pPr>
              <w:pStyle w:val="CasesLegislationAppealFrom"/>
              <w:spacing w:after="60"/>
            </w:pPr>
            <w:r w:rsidRPr="008E4A2E">
              <w:rPr>
                <w:i/>
              </w:rPr>
              <w:t xml:space="preserve">Hughes </w:t>
            </w:r>
            <w:r>
              <w:rPr>
                <w:i/>
              </w:rPr>
              <w:t xml:space="preserve">v </w:t>
            </w:r>
            <w:r w:rsidRPr="008E4A2E">
              <w:rPr>
                <w:i/>
              </w:rPr>
              <w:t xml:space="preserve">Western Australian Cricket Association </w:t>
            </w:r>
            <w:proofErr w:type="spellStart"/>
            <w:r w:rsidRPr="008E4A2E">
              <w:rPr>
                <w:i/>
              </w:rPr>
              <w:t>Inc</w:t>
            </w:r>
            <w:proofErr w:type="spellEnd"/>
            <w:r>
              <w:t xml:space="preserve"> (1986) ATPR 40–748</w:t>
            </w:r>
          </w:p>
          <w:p w14:paraId="2D9B154E" w14:textId="77777777" w:rsidR="006D39E8" w:rsidRDefault="006D39E8" w:rsidP="00061C92">
            <w:pPr>
              <w:pStyle w:val="CasesLegislationAppealFrom"/>
              <w:spacing w:after="60"/>
            </w:pPr>
            <w:r w:rsidRPr="00184B48">
              <w:rPr>
                <w:i/>
                <w:iCs/>
              </w:rPr>
              <w:t>Johnson</w:t>
            </w:r>
            <w:r>
              <w:rPr>
                <w:i/>
                <w:iCs/>
              </w:rPr>
              <w:t xml:space="preserve"> v The Queen</w:t>
            </w:r>
            <w:r>
              <w:t xml:space="preserve"> (2004) 205 ALR 346</w:t>
            </w:r>
          </w:p>
          <w:p w14:paraId="318D17FF" w14:textId="77777777" w:rsidR="00061C92" w:rsidRDefault="00061C92" w:rsidP="00061C92">
            <w:pPr>
              <w:pStyle w:val="CasesLegislationAppealFrom"/>
              <w:spacing w:after="60"/>
            </w:pPr>
            <w:proofErr w:type="spellStart"/>
            <w:r>
              <w:rPr>
                <w:i/>
              </w:rPr>
              <w:t>Kazal</w:t>
            </w:r>
            <w:proofErr w:type="spellEnd"/>
            <w:r>
              <w:rPr>
                <w:i/>
              </w:rPr>
              <w:t xml:space="preserve"> v Thunder </w:t>
            </w:r>
            <w:r w:rsidRPr="007F0729">
              <w:rPr>
                <w:i/>
              </w:rPr>
              <w:t xml:space="preserve">Studios </w:t>
            </w:r>
            <w:proofErr w:type="spellStart"/>
            <w:r w:rsidRPr="007F0729">
              <w:rPr>
                <w:i/>
              </w:rPr>
              <w:t>Inc</w:t>
            </w:r>
            <w:proofErr w:type="spellEnd"/>
            <w:r>
              <w:t xml:space="preserve"> </w:t>
            </w:r>
            <w:r w:rsidRPr="007F0729">
              <w:rPr>
                <w:i/>
              </w:rPr>
              <w:t>(California)</w:t>
            </w:r>
            <w:r>
              <w:t xml:space="preserve"> (2017) 256 FCR 90</w:t>
            </w:r>
          </w:p>
          <w:p w14:paraId="0CDE5021" w14:textId="77777777" w:rsidR="00061C92" w:rsidRDefault="00061C92" w:rsidP="00061C92">
            <w:pPr>
              <w:pStyle w:val="CasesLegislationAppealFrom"/>
              <w:spacing w:after="60"/>
            </w:pPr>
            <w:r w:rsidRPr="00260D68">
              <w:rPr>
                <w:i/>
              </w:rPr>
              <w:t>Kosciuszko</w:t>
            </w:r>
            <w:r>
              <w:t xml:space="preserve"> </w:t>
            </w:r>
            <w:r w:rsidR="00D56B95">
              <w:rPr>
                <w:i/>
              </w:rPr>
              <w:t xml:space="preserve">Thredbo Pty Limited v </w:t>
            </w:r>
            <w:proofErr w:type="spellStart"/>
            <w:r w:rsidR="00D56B95">
              <w:rPr>
                <w:i/>
              </w:rPr>
              <w:t>Thre</w:t>
            </w:r>
            <w:r>
              <w:rPr>
                <w:i/>
              </w:rPr>
              <w:t>dboNet</w:t>
            </w:r>
            <w:proofErr w:type="spellEnd"/>
            <w:r>
              <w:rPr>
                <w:i/>
              </w:rPr>
              <w:t xml:space="preserve"> Marketing Pty Limited (No 2)</w:t>
            </w:r>
            <w:r>
              <w:t xml:space="preserve"> [2013] FCA 609</w:t>
            </w:r>
          </w:p>
          <w:p w14:paraId="47B4C832" w14:textId="77777777" w:rsidR="00061C92" w:rsidRDefault="00061C92" w:rsidP="00061C92">
            <w:pPr>
              <w:pStyle w:val="CasesLegislationAppealFrom"/>
              <w:spacing w:after="60"/>
            </w:pPr>
            <w:r w:rsidRPr="0004068E">
              <w:rPr>
                <w:i/>
              </w:rPr>
              <w:t>Louis Vuitton Malletier SA v Design Elegance Pty Ltd</w:t>
            </w:r>
            <w:r>
              <w:t xml:space="preserve"> (2006) 149 FCR 494</w:t>
            </w:r>
          </w:p>
          <w:p w14:paraId="7D710791" w14:textId="77777777" w:rsidR="00061C92" w:rsidRDefault="00061C92" w:rsidP="00061C92">
            <w:pPr>
              <w:pStyle w:val="CasesLegislationAppealFrom"/>
              <w:spacing w:after="60"/>
              <w:rPr>
                <w:highlight w:val="yellow"/>
              </w:rPr>
            </w:pPr>
            <w:proofErr w:type="spellStart"/>
            <w:r w:rsidRPr="00DC3B6C">
              <w:rPr>
                <w:i/>
              </w:rPr>
              <w:t>Markarian</w:t>
            </w:r>
            <w:proofErr w:type="spellEnd"/>
            <w:r w:rsidRPr="00DC3B6C">
              <w:rPr>
                <w:i/>
              </w:rPr>
              <w:t xml:space="preserve"> v The Queen</w:t>
            </w:r>
            <w:r>
              <w:t xml:space="preserve"> (2005) 228 CLR 357</w:t>
            </w:r>
          </w:p>
          <w:p w14:paraId="743C4AF8" w14:textId="77777777" w:rsidR="00061C92" w:rsidRDefault="00061C92" w:rsidP="00061C92">
            <w:pPr>
              <w:pStyle w:val="CasesLegislationAppealFrom"/>
              <w:spacing w:after="60"/>
            </w:pPr>
            <w:r>
              <w:rPr>
                <w:i/>
              </w:rPr>
              <w:lastRenderedPageBreak/>
              <w:t xml:space="preserve">Metcash </w:t>
            </w:r>
            <w:r w:rsidRPr="004B0371">
              <w:rPr>
                <w:i/>
              </w:rPr>
              <w:t>Trading L</w:t>
            </w:r>
            <w:r>
              <w:rPr>
                <w:i/>
              </w:rPr>
              <w:t>imited</w:t>
            </w:r>
            <w:r w:rsidRPr="004B0371">
              <w:rPr>
                <w:i/>
              </w:rPr>
              <w:t xml:space="preserve"> </w:t>
            </w:r>
            <w:r>
              <w:rPr>
                <w:i/>
              </w:rPr>
              <w:t>v</w:t>
            </w:r>
            <w:r w:rsidRPr="004B0371">
              <w:rPr>
                <w:i/>
              </w:rPr>
              <w:t xml:space="preserve"> Bun</w:t>
            </w:r>
            <w:r>
              <w:rPr>
                <w:i/>
              </w:rPr>
              <w:t>n</w:t>
            </w:r>
            <w:r w:rsidRPr="004B0371">
              <w:rPr>
                <w:i/>
              </w:rPr>
              <w:t xml:space="preserve"> </w:t>
            </w:r>
            <w:r>
              <w:rPr>
                <w:i/>
              </w:rPr>
              <w:t>(No 6)</w:t>
            </w:r>
            <w:r>
              <w:t xml:space="preserve"> [2009] FCA 266</w:t>
            </w:r>
          </w:p>
          <w:p w14:paraId="481511B1" w14:textId="77777777" w:rsidR="00061C92" w:rsidRDefault="00061C92" w:rsidP="00061C92">
            <w:pPr>
              <w:pStyle w:val="CasesLegislationAppealFrom"/>
              <w:spacing w:after="60"/>
            </w:pPr>
            <w:r w:rsidRPr="00184B48">
              <w:rPr>
                <w:i/>
                <w:iCs/>
              </w:rPr>
              <w:t>Mill v The Queen</w:t>
            </w:r>
            <w:r>
              <w:t xml:space="preserve"> (1988) 166 CLR 59</w:t>
            </w:r>
          </w:p>
          <w:p w14:paraId="6B54880B" w14:textId="77777777" w:rsidR="00061C92" w:rsidRDefault="00061C92" w:rsidP="00061C92">
            <w:pPr>
              <w:pStyle w:val="CasesLegislationAppealFrom"/>
              <w:spacing w:after="60"/>
            </w:pPr>
            <w:r w:rsidRPr="00170B4B">
              <w:rPr>
                <w:i/>
              </w:rPr>
              <w:t xml:space="preserve">Minister for the Environment </w:t>
            </w:r>
            <w:r>
              <w:rPr>
                <w:i/>
              </w:rPr>
              <w:t xml:space="preserve">&amp; </w:t>
            </w:r>
            <w:r w:rsidR="00C33A26">
              <w:rPr>
                <w:i/>
              </w:rPr>
              <w:t xml:space="preserve">Heritage v </w:t>
            </w:r>
            <w:proofErr w:type="spellStart"/>
            <w:r w:rsidR="00C33A26">
              <w:rPr>
                <w:i/>
              </w:rPr>
              <w:t>Greentree</w:t>
            </w:r>
            <w:proofErr w:type="spellEnd"/>
            <w:r w:rsidR="00C33A26">
              <w:rPr>
                <w:i/>
              </w:rPr>
              <w:t xml:space="preserve"> (No </w:t>
            </w:r>
            <w:r w:rsidRPr="00170B4B">
              <w:rPr>
                <w:i/>
              </w:rPr>
              <w:t>3)</w:t>
            </w:r>
            <w:r>
              <w:t xml:space="preserve"> [2004] FCA 1317</w:t>
            </w:r>
          </w:p>
          <w:p w14:paraId="24F3F88C" w14:textId="77777777" w:rsidR="00061C92" w:rsidRDefault="00061C92" w:rsidP="00061C92">
            <w:pPr>
              <w:pStyle w:val="CasesLegislationAppealFrom"/>
              <w:spacing w:after="60"/>
            </w:pPr>
            <w:r w:rsidRPr="00787674">
              <w:rPr>
                <w:i/>
              </w:rPr>
              <w:t>Mornington Inn Pty Ltd v Jordan</w:t>
            </w:r>
            <w:r>
              <w:t xml:space="preserve"> (2008) 168 FCR 383</w:t>
            </w:r>
          </w:p>
          <w:p w14:paraId="3E92D1BA" w14:textId="77777777" w:rsidR="00061C92" w:rsidRDefault="00061C92" w:rsidP="00061C92">
            <w:pPr>
              <w:pStyle w:val="CasesLegislationAppealFrom"/>
              <w:spacing w:after="60"/>
            </w:pPr>
            <w:r w:rsidRPr="00787674">
              <w:rPr>
                <w:i/>
              </w:rPr>
              <w:t>NW Frozen Foods v A</w:t>
            </w:r>
            <w:r>
              <w:rPr>
                <w:i/>
              </w:rPr>
              <w:t xml:space="preserve">ustralian </w:t>
            </w:r>
            <w:r w:rsidRPr="00787674">
              <w:rPr>
                <w:i/>
              </w:rPr>
              <w:t>C</w:t>
            </w:r>
            <w:r>
              <w:rPr>
                <w:i/>
              </w:rPr>
              <w:t xml:space="preserve">ompetition and </w:t>
            </w:r>
            <w:r w:rsidRPr="00787674">
              <w:rPr>
                <w:i/>
              </w:rPr>
              <w:t>C</w:t>
            </w:r>
            <w:r>
              <w:rPr>
                <w:i/>
              </w:rPr>
              <w:t xml:space="preserve">onsumer </w:t>
            </w:r>
            <w:r w:rsidRPr="00787674">
              <w:rPr>
                <w:i/>
              </w:rPr>
              <w:t>C</w:t>
            </w:r>
            <w:r>
              <w:rPr>
                <w:i/>
              </w:rPr>
              <w:t>ommission</w:t>
            </w:r>
            <w:r>
              <w:t xml:space="preserve"> (1996) 71 FCR 285</w:t>
            </w:r>
          </w:p>
          <w:p w14:paraId="21848F42" w14:textId="77777777" w:rsidR="00061C92" w:rsidRDefault="00061C92" w:rsidP="00061C92">
            <w:pPr>
              <w:pStyle w:val="CasesLegislationAppealFrom"/>
              <w:spacing w:after="60"/>
            </w:pPr>
            <w:proofErr w:type="spellStart"/>
            <w:r>
              <w:rPr>
                <w:i/>
              </w:rPr>
              <w:t>Oshlack</w:t>
            </w:r>
            <w:proofErr w:type="spellEnd"/>
            <w:r>
              <w:rPr>
                <w:i/>
              </w:rPr>
              <w:t xml:space="preserve"> v </w:t>
            </w:r>
            <w:r w:rsidRPr="008E4A2E">
              <w:rPr>
                <w:i/>
              </w:rPr>
              <w:t>Richmond River Council</w:t>
            </w:r>
            <w:r>
              <w:t xml:space="preserve"> (1998) 193 CLR 72</w:t>
            </w:r>
          </w:p>
          <w:p w14:paraId="7578A3C6" w14:textId="77777777" w:rsidR="00061C92" w:rsidRDefault="00061C92" w:rsidP="00061C92">
            <w:pPr>
              <w:pStyle w:val="CasesLegislationAppealFrom"/>
              <w:spacing w:after="60"/>
            </w:pPr>
            <w:r w:rsidRPr="00FF283F">
              <w:rPr>
                <w:i/>
              </w:rPr>
              <w:t>Parker v A</w:t>
            </w:r>
            <w:r>
              <w:rPr>
                <w:i/>
              </w:rPr>
              <w:t xml:space="preserve">ustralian </w:t>
            </w:r>
            <w:r w:rsidRPr="00FF283F">
              <w:rPr>
                <w:i/>
              </w:rPr>
              <w:t>B</w:t>
            </w:r>
            <w:r>
              <w:rPr>
                <w:i/>
              </w:rPr>
              <w:t xml:space="preserve">uilding and </w:t>
            </w:r>
            <w:r w:rsidRPr="00FF283F">
              <w:rPr>
                <w:i/>
              </w:rPr>
              <w:t>C</w:t>
            </w:r>
            <w:r>
              <w:rPr>
                <w:i/>
              </w:rPr>
              <w:t xml:space="preserve">onstruction </w:t>
            </w:r>
            <w:r w:rsidRPr="00FF283F">
              <w:rPr>
                <w:i/>
              </w:rPr>
              <w:t>C</w:t>
            </w:r>
            <w:r>
              <w:rPr>
                <w:i/>
              </w:rPr>
              <w:t>ommissioner</w:t>
            </w:r>
            <w:r>
              <w:t xml:space="preserve"> (2019) 270 FCR 39</w:t>
            </w:r>
          </w:p>
          <w:p w14:paraId="302FEA1A" w14:textId="77777777" w:rsidR="00061C92" w:rsidRDefault="00061C92" w:rsidP="00061C92">
            <w:pPr>
              <w:pStyle w:val="CasesLegislationAppealFrom"/>
              <w:spacing w:after="60"/>
              <w:rPr>
                <w:highlight w:val="yellow"/>
              </w:rPr>
            </w:pPr>
            <w:r w:rsidRPr="00184B48">
              <w:rPr>
                <w:i/>
                <w:szCs w:val="24"/>
                <w:lang w:eastAsia="en-AU"/>
              </w:rPr>
              <w:t>Pattinson v A</w:t>
            </w:r>
            <w:r>
              <w:rPr>
                <w:i/>
                <w:szCs w:val="24"/>
                <w:lang w:eastAsia="en-AU"/>
              </w:rPr>
              <w:t xml:space="preserve">ustralian </w:t>
            </w:r>
            <w:r w:rsidRPr="00184B48">
              <w:rPr>
                <w:i/>
                <w:szCs w:val="24"/>
                <w:lang w:eastAsia="en-AU"/>
              </w:rPr>
              <w:t>B</w:t>
            </w:r>
            <w:r>
              <w:rPr>
                <w:i/>
                <w:szCs w:val="24"/>
                <w:lang w:eastAsia="en-AU"/>
              </w:rPr>
              <w:t xml:space="preserve">uilding and </w:t>
            </w:r>
            <w:r w:rsidRPr="00184B48">
              <w:rPr>
                <w:i/>
                <w:szCs w:val="24"/>
                <w:lang w:eastAsia="en-AU"/>
              </w:rPr>
              <w:t>C</w:t>
            </w:r>
            <w:r>
              <w:rPr>
                <w:i/>
                <w:szCs w:val="24"/>
                <w:lang w:eastAsia="en-AU"/>
              </w:rPr>
              <w:t xml:space="preserve">onstruction </w:t>
            </w:r>
            <w:r w:rsidRPr="00184B48">
              <w:rPr>
                <w:i/>
                <w:szCs w:val="24"/>
                <w:lang w:eastAsia="en-AU"/>
              </w:rPr>
              <w:t>C</w:t>
            </w:r>
            <w:r>
              <w:rPr>
                <w:i/>
                <w:szCs w:val="24"/>
                <w:lang w:eastAsia="en-AU"/>
              </w:rPr>
              <w:t>ommissioner</w:t>
            </w:r>
            <w:r>
              <w:rPr>
                <w:szCs w:val="24"/>
                <w:lang w:eastAsia="en-AU"/>
              </w:rPr>
              <w:t xml:space="preserve"> (2020) 384 ALR 75; [2020] FCAFC 177</w:t>
            </w:r>
          </w:p>
          <w:p w14:paraId="3934B4FF" w14:textId="77777777" w:rsidR="00061C92" w:rsidRDefault="00061C92" w:rsidP="00061C92">
            <w:pPr>
              <w:pStyle w:val="CasesLegislationAppealFrom"/>
              <w:spacing w:after="60"/>
              <w:rPr>
                <w:highlight w:val="yellow"/>
              </w:rPr>
            </w:pPr>
            <w:proofErr w:type="spellStart"/>
            <w:r w:rsidRPr="00B35F7C">
              <w:rPr>
                <w:i/>
                <w:iCs/>
              </w:rPr>
              <w:t>Pelechowski</w:t>
            </w:r>
            <w:proofErr w:type="spellEnd"/>
            <w:r w:rsidRPr="00B35F7C">
              <w:rPr>
                <w:i/>
                <w:iCs/>
              </w:rPr>
              <w:t xml:space="preserve"> v Registrar, Court of Appeal (NSW) </w:t>
            </w:r>
            <w:r w:rsidRPr="00B35F7C">
              <w:t>(1999) 198 CLR 435</w:t>
            </w:r>
          </w:p>
          <w:p w14:paraId="36107467" w14:textId="77777777" w:rsidR="00061C92" w:rsidRDefault="00061C92" w:rsidP="00061C92">
            <w:pPr>
              <w:pStyle w:val="CasesLegislationAppealFrom"/>
              <w:spacing w:after="60"/>
            </w:pPr>
            <w:r>
              <w:rPr>
                <w:i/>
              </w:rPr>
              <w:t xml:space="preserve">Pinnacle Runway Pty Ltd v </w:t>
            </w:r>
            <w:proofErr w:type="spellStart"/>
            <w:r>
              <w:rPr>
                <w:i/>
              </w:rPr>
              <w:t>Triangl</w:t>
            </w:r>
            <w:proofErr w:type="spellEnd"/>
            <w:r>
              <w:t xml:space="preserve"> </w:t>
            </w:r>
            <w:r>
              <w:rPr>
                <w:i/>
              </w:rPr>
              <w:t>Ltd (No 3)</w:t>
            </w:r>
            <w:r>
              <w:t xml:space="preserve"> [2020] FCA 1379</w:t>
            </w:r>
          </w:p>
          <w:p w14:paraId="304E5E1F" w14:textId="77777777" w:rsidR="00061C92" w:rsidRDefault="00061C92" w:rsidP="00061C92">
            <w:pPr>
              <w:pStyle w:val="CasesLegislationAppealFrom"/>
              <w:spacing w:after="60"/>
            </w:pPr>
            <w:r w:rsidRPr="006D7B10">
              <w:rPr>
                <w:i/>
              </w:rPr>
              <w:t>R v Smith</w:t>
            </w:r>
            <w:r w:rsidRPr="006D7B10">
              <w:t xml:space="preserve"> (1987) </w:t>
            </w:r>
            <w:r>
              <w:t>44 SASR 587</w:t>
            </w:r>
          </w:p>
          <w:p w14:paraId="497DA8C6" w14:textId="77777777" w:rsidR="00061C92" w:rsidRDefault="00061C92" w:rsidP="00061C92">
            <w:pPr>
              <w:pStyle w:val="CasesLegislationAppealFrom"/>
              <w:spacing w:after="60"/>
            </w:pPr>
            <w:r>
              <w:rPr>
                <w:i/>
              </w:rPr>
              <w:t>Re</w:t>
            </w:r>
            <w:r>
              <w:t> </w:t>
            </w:r>
            <w:r w:rsidRPr="00457C18">
              <w:rPr>
                <w:i/>
              </w:rPr>
              <w:t xml:space="preserve">Wilcox; Ex Parte Venture Industries </w:t>
            </w:r>
            <w:r>
              <w:rPr>
                <w:i/>
              </w:rPr>
              <w:t>Pty Ltd</w:t>
            </w:r>
            <w:r w:rsidRPr="00457C18">
              <w:rPr>
                <w:i/>
              </w:rPr>
              <w:t xml:space="preserve"> </w:t>
            </w:r>
            <w:r>
              <w:rPr>
                <w:i/>
              </w:rPr>
              <w:t xml:space="preserve">(No 2) </w:t>
            </w:r>
            <w:r>
              <w:t>(1996) 72 FCR 151</w:t>
            </w:r>
          </w:p>
          <w:p w14:paraId="74C081C7" w14:textId="77777777" w:rsidR="00061C92" w:rsidRDefault="00061C92" w:rsidP="00061C92">
            <w:pPr>
              <w:pStyle w:val="CasesLegislationAppealFrom"/>
              <w:spacing w:after="60"/>
              <w:rPr>
                <w:highlight w:val="yellow"/>
              </w:rPr>
            </w:pPr>
            <w:r w:rsidRPr="00BA2328">
              <w:rPr>
                <w:i/>
              </w:rPr>
              <w:t xml:space="preserve">Rural Press </w:t>
            </w:r>
            <w:r>
              <w:rPr>
                <w:i/>
              </w:rPr>
              <w:t xml:space="preserve">Ltd v </w:t>
            </w:r>
            <w:r w:rsidRPr="00BA2328">
              <w:rPr>
                <w:i/>
              </w:rPr>
              <w:t xml:space="preserve">Australian Competition and Consumer Commission </w:t>
            </w:r>
            <w:r>
              <w:t>(2003) 216 CLR 53</w:t>
            </w:r>
          </w:p>
          <w:p w14:paraId="183FA4EF" w14:textId="77777777" w:rsidR="00061C92" w:rsidRDefault="00061C92" w:rsidP="00061C92">
            <w:pPr>
              <w:pStyle w:val="CasesLegislationAppealFrom"/>
              <w:spacing w:after="60"/>
            </w:pPr>
            <w:proofErr w:type="spellStart"/>
            <w:r w:rsidRPr="0081091D">
              <w:rPr>
                <w:i/>
              </w:rPr>
              <w:t>Sing</w:t>
            </w:r>
            <w:r>
              <w:rPr>
                <w:i/>
                <w:iCs/>
              </w:rPr>
              <w:t>tel</w:t>
            </w:r>
            <w:proofErr w:type="spellEnd"/>
            <w:r>
              <w:rPr>
                <w:i/>
                <w:iCs/>
              </w:rPr>
              <w:t xml:space="preserve"> Optus Pty Ltd v Australian Competition and Consumer Commission </w:t>
            </w:r>
            <w:r>
              <w:rPr>
                <w:iCs/>
              </w:rPr>
              <w:t>(2012) 287 ALR 249</w:t>
            </w:r>
          </w:p>
          <w:p w14:paraId="5CA71F31" w14:textId="77777777" w:rsidR="00061C92" w:rsidRDefault="00061C92" w:rsidP="00061C92">
            <w:pPr>
              <w:pStyle w:val="CasesLegislationAppealFrom"/>
              <w:spacing w:after="60"/>
              <w:rPr>
                <w:highlight w:val="yellow"/>
              </w:rPr>
            </w:pPr>
            <w:r w:rsidRPr="00C3731C">
              <w:rPr>
                <w:i/>
              </w:rPr>
              <w:t>Sydney Medical Service Co-operative L</w:t>
            </w:r>
            <w:r>
              <w:rPr>
                <w:i/>
              </w:rPr>
              <w:t>imi</w:t>
            </w:r>
            <w:r w:rsidRPr="00C3731C">
              <w:rPr>
                <w:i/>
              </w:rPr>
              <w:t>t</w:t>
            </w:r>
            <w:r>
              <w:rPr>
                <w:i/>
              </w:rPr>
              <w:t>e</w:t>
            </w:r>
            <w:r w:rsidRPr="00C3731C">
              <w:rPr>
                <w:i/>
              </w:rPr>
              <w:t>d v Lakemba Medical Services Pty Ltd (No 2)</w:t>
            </w:r>
            <w:r>
              <w:t xml:space="preserve"> [2016] FCA 1188</w:t>
            </w:r>
          </w:p>
          <w:p w14:paraId="126487C0" w14:textId="77777777" w:rsidR="00BE0EA1" w:rsidRDefault="00BE0EA1" w:rsidP="00061C92">
            <w:pPr>
              <w:pStyle w:val="CasesLegislationAppealFrom"/>
              <w:spacing w:after="60"/>
            </w:pPr>
            <w:r w:rsidRPr="003432E4">
              <w:rPr>
                <w:i/>
              </w:rPr>
              <w:t>Tax Practitioners Board v Campbell</w:t>
            </w:r>
            <w:r>
              <w:t xml:space="preserve"> [2012] FCA 1153</w:t>
            </w:r>
          </w:p>
          <w:p w14:paraId="35B88846" w14:textId="77777777" w:rsidR="00D56B95" w:rsidRDefault="00D56B95" w:rsidP="00061C92">
            <w:pPr>
              <w:pStyle w:val="CasesLegislationAppealFrom"/>
              <w:spacing w:after="60"/>
            </w:pPr>
            <w:r w:rsidRPr="002349B4">
              <w:rPr>
                <w:i/>
              </w:rPr>
              <w:t xml:space="preserve">Tax Practitioners Board v </w:t>
            </w:r>
            <w:proofErr w:type="spellStart"/>
            <w:r w:rsidRPr="002349B4">
              <w:rPr>
                <w:i/>
              </w:rPr>
              <w:t>Dedic</w:t>
            </w:r>
            <w:proofErr w:type="spellEnd"/>
            <w:r>
              <w:t xml:space="preserve"> [2014] FCA 511</w:t>
            </w:r>
          </w:p>
          <w:p w14:paraId="0350AFC3" w14:textId="77777777" w:rsidR="00BE0EA1" w:rsidRDefault="00BE0EA1" w:rsidP="00061C92">
            <w:pPr>
              <w:pStyle w:val="CasesLegislationAppealFrom"/>
              <w:spacing w:after="60"/>
            </w:pPr>
            <w:r w:rsidRPr="00C263EC">
              <w:rPr>
                <w:i/>
              </w:rPr>
              <w:t xml:space="preserve">Tax Practitioners Board </w:t>
            </w:r>
            <w:r>
              <w:rPr>
                <w:i/>
              </w:rPr>
              <w:t>v H</w:t>
            </w:r>
            <w:r w:rsidRPr="00C263EC">
              <w:rPr>
                <w:i/>
              </w:rPr>
              <w:t xml:space="preserve">acker </w:t>
            </w:r>
            <w:r>
              <w:t>[2020] FCA 1047</w:t>
            </w:r>
          </w:p>
          <w:p w14:paraId="49738682" w14:textId="77777777" w:rsidR="00BE0EA1" w:rsidRDefault="00BE0EA1" w:rsidP="00061C92">
            <w:pPr>
              <w:pStyle w:val="CasesLegislationAppealFrom"/>
              <w:spacing w:after="60"/>
              <w:rPr>
                <w:highlight w:val="yellow"/>
              </w:rPr>
            </w:pPr>
            <w:r w:rsidRPr="00593D0C">
              <w:rPr>
                <w:i/>
              </w:rPr>
              <w:t xml:space="preserve">Tax Practitioners Board </w:t>
            </w:r>
            <w:r>
              <w:rPr>
                <w:i/>
              </w:rPr>
              <w:t>v H</w:t>
            </w:r>
            <w:r w:rsidRPr="00593D0C">
              <w:rPr>
                <w:i/>
              </w:rPr>
              <w:t xml:space="preserve">acker </w:t>
            </w:r>
            <w:r>
              <w:rPr>
                <w:i/>
              </w:rPr>
              <w:t xml:space="preserve">(No 2) </w:t>
            </w:r>
            <w:r>
              <w:t>[2020] FCA 1048</w:t>
            </w:r>
          </w:p>
          <w:p w14:paraId="6FFC0BAF" w14:textId="77777777" w:rsidR="00BE0EA1" w:rsidRDefault="00BE0EA1" w:rsidP="00061C92">
            <w:pPr>
              <w:pStyle w:val="CasesLegislationAppealFrom"/>
              <w:spacing w:after="60"/>
            </w:pPr>
            <w:r w:rsidRPr="003432E4">
              <w:rPr>
                <w:i/>
              </w:rPr>
              <w:t xml:space="preserve">Tax Practitioners Board v </w:t>
            </w:r>
            <w:proofErr w:type="spellStart"/>
            <w:r w:rsidRPr="003432E4">
              <w:rPr>
                <w:i/>
              </w:rPr>
              <w:t>Hinckfuss</w:t>
            </w:r>
            <w:proofErr w:type="spellEnd"/>
            <w:r>
              <w:t xml:space="preserve"> [2013] FCA 1168</w:t>
            </w:r>
          </w:p>
          <w:p w14:paraId="33591CFB" w14:textId="77777777" w:rsidR="00BE0EA1" w:rsidRDefault="00BE0EA1" w:rsidP="00061C92">
            <w:pPr>
              <w:pStyle w:val="CasesLegislationAppealFrom"/>
              <w:spacing w:after="60"/>
            </w:pPr>
            <w:r w:rsidRPr="003432E4">
              <w:rPr>
                <w:i/>
              </w:rPr>
              <w:t>Tax Practitioners Board v Hogan</w:t>
            </w:r>
            <w:r>
              <w:t xml:space="preserve"> [2012] FCA 642</w:t>
            </w:r>
          </w:p>
          <w:p w14:paraId="7CB98BF1" w14:textId="77777777" w:rsidR="00BE0EA1" w:rsidRDefault="00BE0EA1" w:rsidP="00061C92">
            <w:pPr>
              <w:pStyle w:val="CasesLegislationAppealFrom"/>
              <w:spacing w:after="60"/>
            </w:pPr>
            <w:r w:rsidRPr="004B1FF8">
              <w:rPr>
                <w:i/>
              </w:rPr>
              <w:t xml:space="preserve">Tax Practitioners Board v HP </w:t>
            </w:r>
            <w:proofErr w:type="spellStart"/>
            <w:r w:rsidRPr="004B1FF8">
              <w:rPr>
                <w:i/>
              </w:rPr>
              <w:t>Kolya</w:t>
            </w:r>
            <w:proofErr w:type="spellEnd"/>
            <w:r w:rsidRPr="004B1FF8">
              <w:rPr>
                <w:i/>
              </w:rPr>
              <w:t xml:space="preserve"> Pty Ltd</w:t>
            </w:r>
            <w:r>
              <w:t xml:space="preserve"> (2015) 232 FCR 34</w:t>
            </w:r>
          </w:p>
          <w:p w14:paraId="753A96AE" w14:textId="77777777" w:rsidR="00BE0EA1" w:rsidRDefault="00BE0EA1" w:rsidP="00061C92">
            <w:pPr>
              <w:pStyle w:val="CasesLegislationAppealFrom"/>
              <w:spacing w:after="60"/>
            </w:pPr>
            <w:r w:rsidRPr="003432E4">
              <w:rPr>
                <w:i/>
              </w:rPr>
              <w:t xml:space="preserve">Tax Practitioners Board v </w:t>
            </w:r>
            <w:proofErr w:type="spellStart"/>
            <w:r w:rsidRPr="003432E4">
              <w:rPr>
                <w:i/>
              </w:rPr>
              <w:t>Lamede</w:t>
            </w:r>
            <w:proofErr w:type="spellEnd"/>
            <w:r w:rsidRPr="003432E4">
              <w:rPr>
                <w:i/>
              </w:rPr>
              <w:t xml:space="preserve"> Group Pty Ltd</w:t>
            </w:r>
            <w:r w:rsidRPr="00C921A7">
              <w:t xml:space="preserve"> [2016] FCA 63</w:t>
            </w:r>
          </w:p>
          <w:p w14:paraId="63B39469" w14:textId="77777777" w:rsidR="00BE0EA1" w:rsidRDefault="00BE0EA1" w:rsidP="00061C92">
            <w:pPr>
              <w:pStyle w:val="CasesLegislationAppealFrom"/>
              <w:spacing w:after="60"/>
            </w:pPr>
            <w:r w:rsidRPr="003432E4">
              <w:rPr>
                <w:i/>
              </w:rPr>
              <w:t>Tax Practitioners Board v Munro</w:t>
            </w:r>
            <w:r>
              <w:t xml:space="preserve"> [2012] FCA 1338</w:t>
            </w:r>
          </w:p>
          <w:p w14:paraId="7B515C14" w14:textId="77777777" w:rsidR="00BE0EA1" w:rsidRDefault="00BE0EA1" w:rsidP="00061C92">
            <w:pPr>
              <w:pStyle w:val="CasesLegislationAppealFrom"/>
              <w:spacing w:after="60"/>
            </w:pPr>
            <w:r w:rsidRPr="002349B4">
              <w:rPr>
                <w:i/>
              </w:rPr>
              <w:t>Tax Practitioners Board v Shanahan</w:t>
            </w:r>
            <w:r>
              <w:t xml:space="preserve"> [2013] FCA 764</w:t>
            </w:r>
          </w:p>
          <w:p w14:paraId="7B466698" w14:textId="77777777" w:rsidR="00BE0EA1" w:rsidRDefault="00BE0EA1" w:rsidP="00061C92">
            <w:pPr>
              <w:pStyle w:val="CasesLegislationAppealFrom"/>
              <w:spacing w:after="60"/>
            </w:pPr>
            <w:r>
              <w:rPr>
                <w:i/>
              </w:rPr>
              <w:t xml:space="preserve">The State of </w:t>
            </w:r>
            <w:r w:rsidRPr="0074472C">
              <w:rPr>
                <w:i/>
              </w:rPr>
              <w:t xml:space="preserve">Victoria </w:t>
            </w:r>
            <w:r>
              <w:rPr>
                <w:i/>
              </w:rPr>
              <w:t xml:space="preserve">v </w:t>
            </w:r>
            <w:proofErr w:type="spellStart"/>
            <w:r w:rsidRPr="0074472C">
              <w:rPr>
                <w:i/>
              </w:rPr>
              <w:t>Sportsbet</w:t>
            </w:r>
            <w:proofErr w:type="spellEnd"/>
            <w:r w:rsidRPr="0074472C">
              <w:rPr>
                <w:i/>
              </w:rPr>
              <w:t xml:space="preserve"> Pty L</w:t>
            </w:r>
            <w:r>
              <w:rPr>
                <w:i/>
              </w:rPr>
              <w:t>td</w:t>
            </w:r>
            <w:r w:rsidRPr="0074472C">
              <w:rPr>
                <w:i/>
              </w:rPr>
              <w:t xml:space="preserve"> </w:t>
            </w:r>
            <w:r>
              <w:rPr>
                <w:i/>
              </w:rPr>
              <w:t>(No 2)</w:t>
            </w:r>
            <w:r>
              <w:t xml:space="preserve"> [2012] FCAFC 174</w:t>
            </w:r>
          </w:p>
          <w:p w14:paraId="56DAD4D2" w14:textId="77777777" w:rsidR="00BE0EA1" w:rsidRDefault="00BE0EA1" w:rsidP="00061C92">
            <w:pPr>
              <w:pStyle w:val="CasesLegislationAppealFrom"/>
              <w:spacing w:after="60"/>
            </w:pPr>
            <w:r w:rsidRPr="00184B48">
              <w:rPr>
                <w:i/>
              </w:rPr>
              <w:t>Trade Practices Commission v CSR Ltd</w:t>
            </w:r>
            <w:r>
              <w:t xml:space="preserve"> [1990] FCA 521</w:t>
            </w:r>
          </w:p>
          <w:p w14:paraId="24236305" w14:textId="77777777" w:rsidR="00BE0EA1" w:rsidRDefault="00BE0EA1" w:rsidP="00061C92">
            <w:pPr>
              <w:pStyle w:val="CasesLegislationAppealFrom"/>
              <w:spacing w:after="60"/>
            </w:pPr>
            <w:r w:rsidRPr="009A0973">
              <w:rPr>
                <w:i/>
                <w:iCs/>
              </w:rPr>
              <w:t>Transport Workers</w:t>
            </w:r>
            <w:r>
              <w:rPr>
                <w:i/>
                <w:iCs/>
              </w:rPr>
              <w:t>’</w:t>
            </w:r>
            <w:r w:rsidRPr="009A0973">
              <w:rPr>
                <w:i/>
                <w:iCs/>
              </w:rPr>
              <w:t xml:space="preserve"> Union of Australia v Registered Organisations</w:t>
            </w:r>
            <w:r>
              <w:rPr>
                <w:i/>
                <w:iCs/>
              </w:rPr>
              <w:t xml:space="preserve"> Commissioner (</w:t>
            </w:r>
            <w:r w:rsidRPr="009A0973">
              <w:rPr>
                <w:i/>
                <w:iCs/>
              </w:rPr>
              <w:t>No 2</w:t>
            </w:r>
            <w:r>
              <w:rPr>
                <w:i/>
                <w:iCs/>
              </w:rPr>
              <w:t>)</w:t>
            </w:r>
            <w:r>
              <w:t xml:space="preserve"> (2018) 267 FCR 40</w:t>
            </w:r>
          </w:p>
          <w:p w14:paraId="7C9A6B6A" w14:textId="77777777" w:rsidR="00061C92" w:rsidRDefault="00061C92" w:rsidP="00061C92">
            <w:pPr>
              <w:pStyle w:val="CasesLegislationAppealFrom"/>
              <w:spacing w:after="60"/>
            </w:pPr>
            <w:proofErr w:type="spellStart"/>
            <w:r w:rsidRPr="00FC4963">
              <w:rPr>
                <w:i/>
              </w:rPr>
              <w:t>Vaysman</w:t>
            </w:r>
            <w:proofErr w:type="spellEnd"/>
            <w:r w:rsidRPr="00FC4963">
              <w:rPr>
                <w:i/>
              </w:rPr>
              <w:t xml:space="preserve"> v Deckers Outdoor Corporation </w:t>
            </w:r>
            <w:proofErr w:type="spellStart"/>
            <w:r w:rsidRPr="00FC4963">
              <w:rPr>
                <w:i/>
              </w:rPr>
              <w:t>Inc</w:t>
            </w:r>
            <w:proofErr w:type="spellEnd"/>
            <w:r w:rsidRPr="00FC4963">
              <w:t xml:space="preserve"> (2011) 276 ALR 596; [2011] FCAFC 17</w:t>
            </w:r>
          </w:p>
          <w:p w14:paraId="4B17AEFA" w14:textId="77777777" w:rsidR="00061C92" w:rsidRDefault="00061C92" w:rsidP="00061C92">
            <w:pPr>
              <w:pStyle w:val="CasesLegislationAppealFrom"/>
              <w:spacing w:after="60"/>
            </w:pPr>
            <w:r>
              <w:rPr>
                <w:i/>
              </w:rPr>
              <w:lastRenderedPageBreak/>
              <w:t xml:space="preserve">Witham v Holloway </w:t>
            </w:r>
            <w:r>
              <w:t>(1995) 183 CLR 525</w:t>
            </w:r>
          </w:p>
          <w:p w14:paraId="66A09532" w14:textId="77777777" w:rsidR="00395B24" w:rsidRPr="00516628" w:rsidRDefault="00061C92" w:rsidP="00061C92">
            <w:pPr>
              <w:pStyle w:val="CasesLegislationAppealFrom"/>
              <w:spacing w:after="60"/>
            </w:pPr>
            <w:r w:rsidRPr="00E04761">
              <w:rPr>
                <w:i/>
                <w:iCs/>
                <w:szCs w:val="24"/>
                <w:lang w:eastAsia="en-AU"/>
              </w:rPr>
              <w:t>Wong v The Queen</w:t>
            </w:r>
            <w:r>
              <w:rPr>
                <w:i/>
                <w:iCs/>
                <w:szCs w:val="24"/>
                <w:lang w:eastAsia="en-AU"/>
              </w:rPr>
              <w:t xml:space="preserve"> </w:t>
            </w:r>
            <w:r w:rsidRPr="00E04761">
              <w:rPr>
                <w:szCs w:val="24"/>
                <w:lang w:eastAsia="en-AU"/>
              </w:rPr>
              <w:t xml:space="preserve">(2001) 207 </w:t>
            </w:r>
            <w:r>
              <w:rPr>
                <w:szCs w:val="24"/>
                <w:lang w:eastAsia="en-AU"/>
              </w:rPr>
              <w:t>CLR 584</w:t>
            </w:r>
            <w:bookmarkEnd w:id="4"/>
            <w:r>
              <w:rPr>
                <w:szCs w:val="24"/>
                <w:lang w:eastAsia="en-AU"/>
              </w:rPr>
              <w:t xml:space="preserve">  </w:t>
            </w:r>
          </w:p>
        </w:tc>
      </w:tr>
      <w:tr w:rsidR="002C5BA3" w:rsidRPr="002C5BA3" w14:paraId="07137342" w14:textId="77777777" w:rsidTr="00DA4061">
        <w:tc>
          <w:tcPr>
            <w:tcW w:w="3085" w:type="dxa"/>
            <w:shd w:val="clear" w:color="auto" w:fill="auto"/>
          </w:tcPr>
          <w:p w14:paraId="43BC4B5B" w14:textId="77777777" w:rsidR="002C5BA3" w:rsidRPr="002C5BA3" w:rsidRDefault="002C5BA3" w:rsidP="002C5BA3">
            <w:pPr>
              <w:pStyle w:val="Normal1linespace"/>
              <w:jc w:val="left"/>
            </w:pPr>
          </w:p>
        </w:tc>
        <w:tc>
          <w:tcPr>
            <w:tcW w:w="5989" w:type="dxa"/>
            <w:shd w:val="clear" w:color="auto" w:fill="auto"/>
          </w:tcPr>
          <w:p w14:paraId="29A3AC3D" w14:textId="77777777" w:rsidR="002C5BA3" w:rsidRPr="002C5BA3" w:rsidRDefault="002C5BA3" w:rsidP="002C5BA3">
            <w:pPr>
              <w:pStyle w:val="Normal1linespace"/>
              <w:jc w:val="left"/>
            </w:pPr>
          </w:p>
        </w:tc>
      </w:tr>
      <w:tr w:rsidR="002C5BA3" w:rsidRPr="002C5BA3" w14:paraId="160A6B5B" w14:textId="77777777" w:rsidTr="00DA4061">
        <w:tc>
          <w:tcPr>
            <w:tcW w:w="3085" w:type="dxa"/>
            <w:shd w:val="clear" w:color="auto" w:fill="auto"/>
          </w:tcPr>
          <w:p w14:paraId="10396F50" w14:textId="77777777" w:rsidR="002C5BA3" w:rsidRPr="00D93731" w:rsidRDefault="002C5BA3" w:rsidP="00843643">
            <w:pPr>
              <w:pStyle w:val="Normal1linespace"/>
              <w:keepNext/>
              <w:keepLines/>
              <w:jc w:val="left"/>
            </w:pPr>
            <w:bookmarkStart w:id="5" w:name="CounselDate" w:colFirst="0" w:colLast="2"/>
            <w:r w:rsidRPr="00D93731">
              <w:t>Date of hearing:</w:t>
            </w:r>
          </w:p>
        </w:tc>
        <w:tc>
          <w:tcPr>
            <w:tcW w:w="5989" w:type="dxa"/>
            <w:shd w:val="clear" w:color="auto" w:fill="auto"/>
          </w:tcPr>
          <w:p w14:paraId="06701CB8" w14:textId="77777777" w:rsidR="002C5BA3" w:rsidRPr="002C5BA3" w:rsidRDefault="00D93731" w:rsidP="00843643">
            <w:pPr>
              <w:pStyle w:val="Normal1linespace"/>
              <w:keepNext/>
              <w:keepLines/>
              <w:jc w:val="left"/>
            </w:pPr>
            <w:bookmarkStart w:id="6" w:name="HearingDate"/>
            <w:r w:rsidRPr="00D93731">
              <w:t>7 October 2020</w:t>
            </w:r>
            <w:bookmarkEnd w:id="6"/>
          </w:p>
        </w:tc>
      </w:tr>
      <w:tr w:rsidR="002C5BA3" w:rsidRPr="002C5BA3" w14:paraId="4C8E6458" w14:textId="77777777" w:rsidTr="00DA4061">
        <w:tc>
          <w:tcPr>
            <w:tcW w:w="3085" w:type="dxa"/>
            <w:shd w:val="clear" w:color="auto" w:fill="auto"/>
          </w:tcPr>
          <w:p w14:paraId="28C5317D" w14:textId="77777777" w:rsidR="002C5BA3" w:rsidRPr="002C5BA3" w:rsidRDefault="002C5BA3" w:rsidP="00843643">
            <w:pPr>
              <w:pStyle w:val="Normal1linespace"/>
              <w:keepNext/>
              <w:keepLines/>
              <w:jc w:val="left"/>
            </w:pPr>
          </w:p>
        </w:tc>
        <w:tc>
          <w:tcPr>
            <w:tcW w:w="5989" w:type="dxa"/>
            <w:shd w:val="clear" w:color="auto" w:fill="auto"/>
          </w:tcPr>
          <w:p w14:paraId="3008616D" w14:textId="77777777" w:rsidR="002C5BA3" w:rsidRPr="002C5BA3" w:rsidRDefault="002C5BA3" w:rsidP="00843643">
            <w:pPr>
              <w:pStyle w:val="Normal1linespace"/>
              <w:keepNext/>
              <w:keepLines/>
              <w:jc w:val="left"/>
            </w:pPr>
          </w:p>
        </w:tc>
      </w:tr>
      <w:bookmarkEnd w:id="5"/>
      <w:tr w:rsidR="002C5BA3" w14:paraId="55CB03E3" w14:textId="77777777" w:rsidTr="00DA4061">
        <w:tc>
          <w:tcPr>
            <w:tcW w:w="3085" w:type="dxa"/>
            <w:shd w:val="clear" w:color="auto" w:fill="auto"/>
          </w:tcPr>
          <w:p w14:paraId="0DAC6454" w14:textId="77777777" w:rsidR="002C5BA3" w:rsidRDefault="002C5BA3" w:rsidP="00843643">
            <w:pPr>
              <w:pStyle w:val="Normal1linespace"/>
              <w:keepNext/>
              <w:keepLines/>
              <w:widowControl w:val="0"/>
              <w:jc w:val="left"/>
            </w:pPr>
            <w:r>
              <w:t>Registry:</w:t>
            </w:r>
          </w:p>
        </w:tc>
        <w:tc>
          <w:tcPr>
            <w:tcW w:w="5989" w:type="dxa"/>
            <w:shd w:val="clear" w:color="auto" w:fill="auto"/>
          </w:tcPr>
          <w:p w14:paraId="2991B49F" w14:textId="77777777" w:rsidR="002C5BA3" w:rsidRPr="00F17599" w:rsidRDefault="00B82B02" w:rsidP="00843643">
            <w:pPr>
              <w:pStyle w:val="Normal1linespace"/>
              <w:keepNext/>
              <w:keepLines/>
              <w:widowControl w:val="0"/>
              <w:jc w:val="left"/>
            </w:pPr>
            <w:r>
              <w:fldChar w:fldCharType="begin" w:fldLock="1"/>
            </w:r>
            <w:r>
              <w:instrText xml:space="preserve"> DOCPROPERTY  Registry </w:instrText>
            </w:r>
            <w:r>
              <w:fldChar w:fldCharType="separate"/>
            </w:r>
            <w:r w:rsidR="00407103">
              <w:t>Queensland</w:t>
            </w:r>
            <w:r>
              <w:fldChar w:fldCharType="end"/>
            </w:r>
          </w:p>
        </w:tc>
      </w:tr>
      <w:tr w:rsidR="002C5BA3" w14:paraId="07458E81" w14:textId="77777777" w:rsidTr="00DA4061">
        <w:tc>
          <w:tcPr>
            <w:tcW w:w="3085" w:type="dxa"/>
            <w:shd w:val="clear" w:color="auto" w:fill="auto"/>
          </w:tcPr>
          <w:p w14:paraId="68610A48" w14:textId="77777777" w:rsidR="002C5BA3" w:rsidRDefault="002C5BA3" w:rsidP="002C5BA3">
            <w:pPr>
              <w:pStyle w:val="Normal1linespace"/>
              <w:widowControl w:val="0"/>
              <w:jc w:val="left"/>
            </w:pPr>
          </w:p>
        </w:tc>
        <w:tc>
          <w:tcPr>
            <w:tcW w:w="5989" w:type="dxa"/>
            <w:shd w:val="clear" w:color="auto" w:fill="auto"/>
          </w:tcPr>
          <w:p w14:paraId="6DD45ECB" w14:textId="77777777" w:rsidR="002C5BA3" w:rsidRDefault="002C5BA3" w:rsidP="002C5BA3">
            <w:pPr>
              <w:pStyle w:val="Normal1linespace"/>
              <w:widowControl w:val="0"/>
              <w:jc w:val="left"/>
            </w:pPr>
          </w:p>
        </w:tc>
      </w:tr>
      <w:tr w:rsidR="002C5BA3" w14:paraId="5A67EDE9" w14:textId="77777777" w:rsidTr="00DA4061">
        <w:tc>
          <w:tcPr>
            <w:tcW w:w="3085" w:type="dxa"/>
            <w:shd w:val="clear" w:color="auto" w:fill="auto"/>
          </w:tcPr>
          <w:p w14:paraId="1278AEFA" w14:textId="77777777" w:rsidR="002C5BA3" w:rsidRDefault="002C5BA3" w:rsidP="002C5BA3">
            <w:pPr>
              <w:pStyle w:val="Normal1linespace"/>
              <w:widowControl w:val="0"/>
              <w:jc w:val="left"/>
            </w:pPr>
            <w:r>
              <w:t>Division:</w:t>
            </w:r>
          </w:p>
        </w:tc>
        <w:tc>
          <w:tcPr>
            <w:tcW w:w="5989" w:type="dxa"/>
            <w:shd w:val="clear" w:color="auto" w:fill="auto"/>
          </w:tcPr>
          <w:p w14:paraId="3ADD6491" w14:textId="77777777" w:rsidR="002C5BA3" w:rsidRPr="00F17599" w:rsidRDefault="00B82B02" w:rsidP="002C5BA3">
            <w:pPr>
              <w:pStyle w:val="Normal1linespace"/>
              <w:widowControl w:val="0"/>
              <w:jc w:val="left"/>
            </w:pPr>
            <w:r>
              <w:fldChar w:fldCharType="begin" w:fldLock="1"/>
            </w:r>
            <w:r>
              <w:instrText xml:space="preserve"> DOCPROPERTY  Division </w:instrText>
            </w:r>
            <w:r>
              <w:fldChar w:fldCharType="separate"/>
            </w:r>
            <w:r w:rsidR="00407103">
              <w:t>General Division</w:t>
            </w:r>
            <w:r>
              <w:fldChar w:fldCharType="end"/>
            </w:r>
          </w:p>
        </w:tc>
      </w:tr>
      <w:tr w:rsidR="002C5BA3" w14:paraId="0A1E74C8" w14:textId="77777777" w:rsidTr="00DA4061">
        <w:tc>
          <w:tcPr>
            <w:tcW w:w="3085" w:type="dxa"/>
            <w:shd w:val="clear" w:color="auto" w:fill="auto"/>
          </w:tcPr>
          <w:p w14:paraId="601ED850" w14:textId="77777777" w:rsidR="002C5BA3" w:rsidRDefault="002C5BA3" w:rsidP="002C5BA3">
            <w:pPr>
              <w:pStyle w:val="Normal1linespace"/>
              <w:widowControl w:val="0"/>
              <w:jc w:val="left"/>
            </w:pPr>
          </w:p>
        </w:tc>
        <w:tc>
          <w:tcPr>
            <w:tcW w:w="5989" w:type="dxa"/>
            <w:shd w:val="clear" w:color="auto" w:fill="auto"/>
          </w:tcPr>
          <w:p w14:paraId="1A5D58A5" w14:textId="77777777" w:rsidR="002C5BA3" w:rsidRPr="00F17599" w:rsidRDefault="002C5BA3" w:rsidP="002C5BA3">
            <w:pPr>
              <w:pStyle w:val="Normal1linespace"/>
              <w:widowControl w:val="0"/>
              <w:jc w:val="left"/>
              <w:rPr>
                <w:b/>
              </w:rPr>
            </w:pPr>
          </w:p>
        </w:tc>
      </w:tr>
      <w:tr w:rsidR="002C5BA3" w14:paraId="074E0843" w14:textId="77777777" w:rsidTr="00DA4061">
        <w:tc>
          <w:tcPr>
            <w:tcW w:w="3085" w:type="dxa"/>
            <w:shd w:val="clear" w:color="auto" w:fill="auto"/>
          </w:tcPr>
          <w:p w14:paraId="4D72D108" w14:textId="77777777" w:rsidR="002C5BA3" w:rsidRDefault="002C5BA3" w:rsidP="002C5BA3">
            <w:pPr>
              <w:pStyle w:val="Normal1linespace"/>
              <w:widowControl w:val="0"/>
              <w:jc w:val="left"/>
            </w:pPr>
            <w:r>
              <w:t>National Practice Area:</w:t>
            </w:r>
          </w:p>
        </w:tc>
        <w:tc>
          <w:tcPr>
            <w:tcW w:w="5989" w:type="dxa"/>
            <w:shd w:val="clear" w:color="auto" w:fill="auto"/>
          </w:tcPr>
          <w:p w14:paraId="48C9F879" w14:textId="77777777" w:rsidR="002C5BA3" w:rsidRPr="00F17599" w:rsidRDefault="00B82B02" w:rsidP="002C5BA3">
            <w:pPr>
              <w:pStyle w:val="Normal1linespace"/>
              <w:widowControl w:val="0"/>
              <w:jc w:val="left"/>
              <w:rPr>
                <w:b/>
              </w:rPr>
            </w:pPr>
            <w:r>
              <w:fldChar w:fldCharType="begin" w:fldLock="1"/>
            </w:r>
            <w:r>
              <w:instrText xml:space="preserve"> DOCPROPERTY  "Practice Area"  \* MERGEFORMAT </w:instrText>
            </w:r>
            <w:r>
              <w:fldChar w:fldCharType="separate"/>
            </w:r>
            <w:r w:rsidR="00407103">
              <w:t>Commercial and Corporations</w:t>
            </w:r>
            <w:r>
              <w:fldChar w:fldCharType="end"/>
            </w:r>
          </w:p>
        </w:tc>
      </w:tr>
      <w:tr w:rsidR="002C5BA3" w14:paraId="5F66BF5B" w14:textId="77777777" w:rsidTr="00DA4061">
        <w:tc>
          <w:tcPr>
            <w:tcW w:w="3085" w:type="dxa"/>
            <w:shd w:val="clear" w:color="auto" w:fill="auto"/>
          </w:tcPr>
          <w:p w14:paraId="579F9EB2" w14:textId="77777777" w:rsidR="002C5BA3" w:rsidRDefault="002C5BA3" w:rsidP="002C5BA3">
            <w:pPr>
              <w:pStyle w:val="Normal1linespace"/>
              <w:widowControl w:val="0"/>
              <w:jc w:val="left"/>
            </w:pPr>
          </w:p>
        </w:tc>
        <w:tc>
          <w:tcPr>
            <w:tcW w:w="5989" w:type="dxa"/>
            <w:shd w:val="clear" w:color="auto" w:fill="auto"/>
          </w:tcPr>
          <w:p w14:paraId="219800E3" w14:textId="77777777" w:rsidR="002C5BA3" w:rsidRDefault="002C5BA3" w:rsidP="002C5BA3">
            <w:pPr>
              <w:pStyle w:val="Normal1linespace"/>
              <w:widowControl w:val="0"/>
              <w:jc w:val="left"/>
            </w:pPr>
          </w:p>
        </w:tc>
      </w:tr>
      <w:tr w:rsidR="002C5BA3" w14:paraId="21091F62" w14:textId="77777777" w:rsidTr="00DA4061">
        <w:tc>
          <w:tcPr>
            <w:tcW w:w="3085" w:type="dxa"/>
            <w:shd w:val="clear" w:color="auto" w:fill="auto"/>
          </w:tcPr>
          <w:p w14:paraId="03C7FD6C" w14:textId="77777777" w:rsidR="002C5BA3" w:rsidRDefault="002C5BA3" w:rsidP="002C5BA3">
            <w:pPr>
              <w:pStyle w:val="Normal1linespace"/>
              <w:widowControl w:val="0"/>
              <w:jc w:val="left"/>
            </w:pPr>
            <w:r>
              <w:t>Sub-area:</w:t>
            </w:r>
          </w:p>
        </w:tc>
        <w:tc>
          <w:tcPr>
            <w:tcW w:w="5989" w:type="dxa"/>
            <w:shd w:val="clear" w:color="auto" w:fill="auto"/>
          </w:tcPr>
          <w:p w14:paraId="2A51D946" w14:textId="77777777" w:rsidR="002C5BA3" w:rsidRPr="00435936" w:rsidRDefault="00B82B02" w:rsidP="002C5BA3">
            <w:pPr>
              <w:pStyle w:val="Normal1linespace"/>
              <w:widowControl w:val="0"/>
              <w:jc w:val="left"/>
            </w:pPr>
            <w:r>
              <w:fldChar w:fldCharType="begin" w:fldLock="1"/>
            </w:r>
            <w:r>
              <w:instrText xml:space="preserve"> DOCPROPERTY  "Sub Area"  \* MERGEFORMAT </w:instrText>
            </w:r>
            <w:r>
              <w:fldChar w:fldCharType="separate"/>
            </w:r>
            <w:r w:rsidR="00407103" w:rsidRPr="00407103">
              <w:rPr>
                <w:bCs/>
                <w:lang w:val="en-US"/>
              </w:rPr>
              <w:t>Regulator and Consumer</w:t>
            </w:r>
            <w:r w:rsidR="00407103">
              <w:t xml:space="preserve"> Protection</w:t>
            </w:r>
            <w:r>
              <w:fldChar w:fldCharType="end"/>
            </w:r>
          </w:p>
        </w:tc>
      </w:tr>
      <w:tr w:rsidR="002C5BA3" w14:paraId="278A1E26" w14:textId="77777777" w:rsidTr="00DA4061">
        <w:tc>
          <w:tcPr>
            <w:tcW w:w="3085" w:type="dxa"/>
            <w:shd w:val="clear" w:color="auto" w:fill="auto"/>
          </w:tcPr>
          <w:p w14:paraId="7605BAFB" w14:textId="77777777" w:rsidR="002C5BA3" w:rsidRDefault="002C5BA3" w:rsidP="002C5BA3">
            <w:pPr>
              <w:pStyle w:val="Normal1linespace"/>
              <w:widowControl w:val="0"/>
              <w:jc w:val="left"/>
            </w:pPr>
          </w:p>
        </w:tc>
        <w:tc>
          <w:tcPr>
            <w:tcW w:w="5989" w:type="dxa"/>
            <w:shd w:val="clear" w:color="auto" w:fill="auto"/>
          </w:tcPr>
          <w:p w14:paraId="54E31ADB" w14:textId="77777777" w:rsidR="002C5BA3" w:rsidRDefault="002C5BA3" w:rsidP="002C5BA3">
            <w:pPr>
              <w:pStyle w:val="Normal1linespace"/>
              <w:widowControl w:val="0"/>
              <w:jc w:val="left"/>
              <w:rPr>
                <w:b/>
              </w:rPr>
            </w:pPr>
          </w:p>
        </w:tc>
      </w:tr>
      <w:tr w:rsidR="002C5BA3" w14:paraId="26E4A0B2" w14:textId="77777777" w:rsidTr="00DA4061">
        <w:tc>
          <w:tcPr>
            <w:tcW w:w="3085" w:type="dxa"/>
            <w:shd w:val="clear" w:color="auto" w:fill="auto"/>
          </w:tcPr>
          <w:p w14:paraId="78B3626E" w14:textId="77777777" w:rsidR="002C5BA3" w:rsidRPr="002C5BA3" w:rsidRDefault="002C5BA3" w:rsidP="002C5BA3">
            <w:pPr>
              <w:pStyle w:val="Normal1linespace"/>
              <w:widowControl w:val="0"/>
              <w:jc w:val="left"/>
            </w:pPr>
            <w:r w:rsidRPr="002C5BA3">
              <w:t>Category:</w:t>
            </w:r>
          </w:p>
        </w:tc>
        <w:tc>
          <w:tcPr>
            <w:tcW w:w="5989" w:type="dxa"/>
            <w:shd w:val="clear" w:color="auto" w:fill="auto"/>
          </w:tcPr>
          <w:p w14:paraId="14D412DF" w14:textId="77777777" w:rsidR="002C5BA3" w:rsidRDefault="002C5BA3" w:rsidP="002C5BA3">
            <w:pPr>
              <w:pStyle w:val="Normal1linespace"/>
              <w:widowControl w:val="0"/>
              <w:jc w:val="left"/>
            </w:pPr>
            <w:r w:rsidRPr="002C5BA3">
              <w:t>Catchwords</w:t>
            </w:r>
          </w:p>
        </w:tc>
      </w:tr>
      <w:tr w:rsidR="002C5BA3" w14:paraId="204C98F5" w14:textId="77777777" w:rsidTr="00DA4061">
        <w:tc>
          <w:tcPr>
            <w:tcW w:w="3085" w:type="dxa"/>
            <w:shd w:val="clear" w:color="auto" w:fill="auto"/>
          </w:tcPr>
          <w:p w14:paraId="2BF5A289" w14:textId="77777777" w:rsidR="002C5BA3" w:rsidRDefault="002C5BA3" w:rsidP="002C5BA3">
            <w:pPr>
              <w:pStyle w:val="Normal1linespace"/>
              <w:widowControl w:val="0"/>
              <w:jc w:val="left"/>
            </w:pPr>
          </w:p>
        </w:tc>
        <w:tc>
          <w:tcPr>
            <w:tcW w:w="5989" w:type="dxa"/>
            <w:shd w:val="clear" w:color="auto" w:fill="auto"/>
          </w:tcPr>
          <w:p w14:paraId="09691B65" w14:textId="77777777" w:rsidR="002C5BA3" w:rsidRDefault="002C5BA3" w:rsidP="002C5BA3">
            <w:pPr>
              <w:pStyle w:val="Normal1linespace"/>
              <w:widowControl w:val="0"/>
              <w:jc w:val="left"/>
            </w:pPr>
          </w:p>
        </w:tc>
      </w:tr>
      <w:tr w:rsidR="002C5BA3" w14:paraId="658FFC63" w14:textId="77777777" w:rsidTr="00DA4061">
        <w:tc>
          <w:tcPr>
            <w:tcW w:w="3085" w:type="dxa"/>
            <w:shd w:val="clear" w:color="auto" w:fill="auto"/>
          </w:tcPr>
          <w:p w14:paraId="3594A960" w14:textId="77777777" w:rsidR="002C5BA3" w:rsidRDefault="002C5BA3" w:rsidP="002C5BA3">
            <w:pPr>
              <w:pStyle w:val="Normal1linespace"/>
              <w:widowControl w:val="0"/>
              <w:jc w:val="left"/>
            </w:pPr>
            <w:r>
              <w:t>Number of paragraphs:</w:t>
            </w:r>
          </w:p>
        </w:tc>
        <w:tc>
          <w:tcPr>
            <w:tcW w:w="5989" w:type="dxa"/>
            <w:shd w:val="clear" w:color="auto" w:fill="auto"/>
          </w:tcPr>
          <w:p w14:paraId="23328E76" w14:textId="77777777" w:rsidR="002C5BA3" w:rsidRDefault="00436EB5" w:rsidP="002C5BA3">
            <w:pPr>
              <w:pStyle w:val="Normal1linespace"/>
              <w:widowControl w:val="0"/>
              <w:jc w:val="left"/>
            </w:pPr>
            <w:bookmarkStart w:id="7" w:name="PlaceCategoryParagraphs"/>
            <w:r>
              <w:t>174</w:t>
            </w:r>
            <w:bookmarkEnd w:id="7"/>
          </w:p>
        </w:tc>
      </w:tr>
      <w:tr w:rsidR="002C5BA3" w14:paraId="4EA2C045" w14:textId="77777777" w:rsidTr="002C5BA3">
        <w:tc>
          <w:tcPr>
            <w:tcW w:w="3085" w:type="dxa"/>
            <w:shd w:val="clear" w:color="auto" w:fill="auto"/>
          </w:tcPr>
          <w:p w14:paraId="5FD252A8" w14:textId="77777777" w:rsidR="002C5BA3" w:rsidRDefault="002C5BA3" w:rsidP="002C5BA3">
            <w:pPr>
              <w:pStyle w:val="Normal1linespace"/>
              <w:widowControl w:val="0"/>
              <w:jc w:val="left"/>
            </w:pPr>
          </w:p>
        </w:tc>
        <w:tc>
          <w:tcPr>
            <w:tcW w:w="5989" w:type="dxa"/>
            <w:shd w:val="clear" w:color="auto" w:fill="auto"/>
          </w:tcPr>
          <w:p w14:paraId="22B9D811" w14:textId="77777777" w:rsidR="002C5BA3" w:rsidRDefault="002C5BA3" w:rsidP="002C5BA3">
            <w:pPr>
              <w:pStyle w:val="Normal1linespace"/>
              <w:widowControl w:val="0"/>
              <w:jc w:val="left"/>
            </w:pPr>
          </w:p>
        </w:tc>
      </w:tr>
      <w:tr w:rsidR="002C5BA3" w14:paraId="2CC2512E" w14:textId="77777777" w:rsidTr="002C5BA3">
        <w:tc>
          <w:tcPr>
            <w:tcW w:w="3085" w:type="dxa"/>
            <w:shd w:val="clear" w:color="auto" w:fill="auto"/>
          </w:tcPr>
          <w:p w14:paraId="54B6E477" w14:textId="77777777" w:rsidR="002C5BA3" w:rsidRDefault="002C5BA3" w:rsidP="002C5BA3">
            <w:pPr>
              <w:pStyle w:val="Normal1linespace"/>
              <w:widowControl w:val="0"/>
              <w:jc w:val="left"/>
            </w:pPr>
            <w:bookmarkStart w:id="8" w:name="Counsel" w:colFirst="0" w:colLast="2"/>
            <w:r>
              <w:t>Counsel for the Applicant:</w:t>
            </w:r>
          </w:p>
        </w:tc>
        <w:tc>
          <w:tcPr>
            <w:tcW w:w="5989" w:type="dxa"/>
            <w:shd w:val="clear" w:color="auto" w:fill="auto"/>
          </w:tcPr>
          <w:p w14:paraId="07679B6D" w14:textId="77777777" w:rsidR="002C5BA3" w:rsidRDefault="00375502" w:rsidP="002C5BA3">
            <w:pPr>
              <w:pStyle w:val="Normal1linespace"/>
              <w:widowControl w:val="0"/>
              <w:jc w:val="left"/>
            </w:pPr>
            <w:bookmarkStart w:id="9" w:name="AppCounsel"/>
            <w:bookmarkEnd w:id="9"/>
            <w:r>
              <w:t>Mr </w:t>
            </w:r>
            <w:r w:rsidR="002C5BA3">
              <w:t xml:space="preserve">S Couper QC with </w:t>
            </w:r>
            <w:r>
              <w:t>Mr </w:t>
            </w:r>
            <w:r w:rsidR="002C5BA3">
              <w:t>D Chesterman</w:t>
            </w:r>
          </w:p>
        </w:tc>
      </w:tr>
      <w:tr w:rsidR="002C5BA3" w14:paraId="5703F951" w14:textId="77777777" w:rsidTr="002C5BA3">
        <w:tc>
          <w:tcPr>
            <w:tcW w:w="3085" w:type="dxa"/>
            <w:shd w:val="clear" w:color="auto" w:fill="auto"/>
          </w:tcPr>
          <w:p w14:paraId="35B12E79" w14:textId="77777777" w:rsidR="002C5BA3" w:rsidRDefault="002C5BA3" w:rsidP="00852D2A">
            <w:pPr>
              <w:pStyle w:val="Normal1linespace"/>
              <w:widowControl w:val="0"/>
              <w:jc w:val="right"/>
            </w:pPr>
          </w:p>
        </w:tc>
        <w:tc>
          <w:tcPr>
            <w:tcW w:w="5989" w:type="dxa"/>
            <w:shd w:val="clear" w:color="auto" w:fill="auto"/>
          </w:tcPr>
          <w:p w14:paraId="6950ACD9" w14:textId="77777777" w:rsidR="002C5BA3" w:rsidRDefault="002C5BA3" w:rsidP="002C5BA3">
            <w:pPr>
              <w:pStyle w:val="Normal1linespace"/>
              <w:widowControl w:val="0"/>
              <w:jc w:val="left"/>
            </w:pPr>
          </w:p>
        </w:tc>
      </w:tr>
      <w:tr w:rsidR="002C5BA3" w14:paraId="1CC703E5" w14:textId="77777777" w:rsidTr="002C5BA3">
        <w:tc>
          <w:tcPr>
            <w:tcW w:w="3085" w:type="dxa"/>
            <w:shd w:val="clear" w:color="auto" w:fill="auto"/>
          </w:tcPr>
          <w:p w14:paraId="4E807543" w14:textId="77777777" w:rsidR="002C5BA3" w:rsidRDefault="002C5BA3" w:rsidP="002C5BA3">
            <w:pPr>
              <w:pStyle w:val="Normal1linespace"/>
              <w:widowControl w:val="0"/>
              <w:jc w:val="left"/>
            </w:pPr>
            <w:r>
              <w:t>Solicitor for the Applicant:</w:t>
            </w:r>
          </w:p>
        </w:tc>
        <w:tc>
          <w:tcPr>
            <w:tcW w:w="5989" w:type="dxa"/>
            <w:shd w:val="clear" w:color="auto" w:fill="auto"/>
          </w:tcPr>
          <w:p w14:paraId="311F6734" w14:textId="77777777" w:rsidR="002C5BA3" w:rsidRDefault="002C5BA3" w:rsidP="002C5BA3">
            <w:pPr>
              <w:pStyle w:val="Normal1linespace"/>
              <w:widowControl w:val="0"/>
              <w:jc w:val="left"/>
            </w:pPr>
            <w:r>
              <w:t>Australian Government Solicitor</w:t>
            </w:r>
          </w:p>
        </w:tc>
      </w:tr>
      <w:tr w:rsidR="002C5BA3" w14:paraId="1C622238" w14:textId="77777777" w:rsidTr="002C5BA3">
        <w:tc>
          <w:tcPr>
            <w:tcW w:w="3085" w:type="dxa"/>
            <w:shd w:val="clear" w:color="auto" w:fill="auto"/>
          </w:tcPr>
          <w:p w14:paraId="19ED1F0B" w14:textId="77777777" w:rsidR="002C5BA3" w:rsidRDefault="002C5BA3" w:rsidP="002C5BA3">
            <w:pPr>
              <w:pStyle w:val="Normal1linespace"/>
              <w:widowControl w:val="0"/>
              <w:jc w:val="left"/>
            </w:pPr>
          </w:p>
        </w:tc>
        <w:tc>
          <w:tcPr>
            <w:tcW w:w="5989" w:type="dxa"/>
            <w:shd w:val="clear" w:color="auto" w:fill="auto"/>
          </w:tcPr>
          <w:p w14:paraId="38CC9AF9" w14:textId="77777777" w:rsidR="002C5BA3" w:rsidRDefault="002C5BA3" w:rsidP="002C5BA3">
            <w:pPr>
              <w:pStyle w:val="Normal1linespace"/>
              <w:widowControl w:val="0"/>
              <w:jc w:val="left"/>
            </w:pPr>
          </w:p>
        </w:tc>
      </w:tr>
      <w:tr w:rsidR="002C5BA3" w14:paraId="7163E91A" w14:textId="77777777" w:rsidTr="002C5BA3">
        <w:tc>
          <w:tcPr>
            <w:tcW w:w="3085" w:type="dxa"/>
            <w:shd w:val="clear" w:color="auto" w:fill="auto"/>
          </w:tcPr>
          <w:p w14:paraId="7BC77710" w14:textId="77777777" w:rsidR="002C5BA3" w:rsidRDefault="002C5BA3" w:rsidP="002C5BA3">
            <w:pPr>
              <w:pStyle w:val="Normal1linespace"/>
              <w:widowControl w:val="0"/>
              <w:jc w:val="left"/>
            </w:pPr>
            <w:r>
              <w:t>Counsel for the Respondents:</w:t>
            </w:r>
          </w:p>
        </w:tc>
        <w:tc>
          <w:tcPr>
            <w:tcW w:w="5989" w:type="dxa"/>
            <w:shd w:val="clear" w:color="auto" w:fill="auto"/>
          </w:tcPr>
          <w:p w14:paraId="2E2F8DE9" w14:textId="77777777" w:rsidR="002C5BA3" w:rsidRDefault="0017685A" w:rsidP="002C5BA3">
            <w:pPr>
              <w:pStyle w:val="Normal1linespace"/>
              <w:widowControl w:val="0"/>
              <w:jc w:val="left"/>
            </w:pPr>
            <w:r>
              <w:t>Ms</w:t>
            </w:r>
            <w:r w:rsidR="00542677">
              <w:t> </w:t>
            </w:r>
            <w:r w:rsidR="002C5BA3">
              <w:t>J Marr</w:t>
            </w:r>
          </w:p>
        </w:tc>
      </w:tr>
      <w:tr w:rsidR="002C5BA3" w14:paraId="674E979C" w14:textId="77777777" w:rsidTr="002C5BA3">
        <w:tc>
          <w:tcPr>
            <w:tcW w:w="3085" w:type="dxa"/>
            <w:shd w:val="clear" w:color="auto" w:fill="auto"/>
          </w:tcPr>
          <w:p w14:paraId="20F272E6" w14:textId="77777777" w:rsidR="002C5BA3" w:rsidRDefault="002C5BA3" w:rsidP="002C5BA3">
            <w:pPr>
              <w:pStyle w:val="Normal1linespace"/>
              <w:widowControl w:val="0"/>
              <w:jc w:val="left"/>
            </w:pPr>
          </w:p>
        </w:tc>
        <w:tc>
          <w:tcPr>
            <w:tcW w:w="5989" w:type="dxa"/>
            <w:shd w:val="clear" w:color="auto" w:fill="auto"/>
          </w:tcPr>
          <w:p w14:paraId="102E9D20" w14:textId="77777777" w:rsidR="002C5BA3" w:rsidRDefault="002C5BA3" w:rsidP="002C5BA3">
            <w:pPr>
              <w:pStyle w:val="Normal1linespace"/>
              <w:widowControl w:val="0"/>
              <w:jc w:val="left"/>
            </w:pPr>
          </w:p>
        </w:tc>
      </w:tr>
      <w:tr w:rsidR="002C5BA3" w14:paraId="452D0E15" w14:textId="77777777" w:rsidTr="002C5BA3">
        <w:tc>
          <w:tcPr>
            <w:tcW w:w="3085" w:type="dxa"/>
            <w:shd w:val="clear" w:color="auto" w:fill="auto"/>
          </w:tcPr>
          <w:p w14:paraId="4D1B2459" w14:textId="77777777" w:rsidR="002C5BA3" w:rsidRDefault="002C5BA3" w:rsidP="002C5BA3">
            <w:pPr>
              <w:pStyle w:val="Normal1linespace"/>
              <w:widowControl w:val="0"/>
              <w:jc w:val="left"/>
            </w:pPr>
            <w:r>
              <w:t>Solicitor for the Respondents:</w:t>
            </w:r>
          </w:p>
        </w:tc>
        <w:tc>
          <w:tcPr>
            <w:tcW w:w="5989" w:type="dxa"/>
            <w:shd w:val="clear" w:color="auto" w:fill="auto"/>
          </w:tcPr>
          <w:p w14:paraId="254E3AA8" w14:textId="77777777" w:rsidR="002C5BA3" w:rsidRDefault="002C5BA3" w:rsidP="002C5BA3">
            <w:pPr>
              <w:pStyle w:val="Normal1linespace"/>
              <w:widowControl w:val="0"/>
              <w:jc w:val="left"/>
            </w:pPr>
            <w:r>
              <w:t>Fisher Dore</w:t>
            </w:r>
            <w:r w:rsidR="00BE0EA1">
              <w:t xml:space="preserve"> Lawyers</w:t>
            </w:r>
          </w:p>
        </w:tc>
      </w:tr>
      <w:bookmarkEnd w:id="8"/>
    </w:tbl>
    <w:p w14:paraId="6C82074E" w14:textId="77777777" w:rsidR="00395B24" w:rsidRDefault="00395B24">
      <w:pPr>
        <w:pStyle w:val="Normal1linespace"/>
      </w:pPr>
    </w:p>
    <w:p w14:paraId="535F26B5" w14:textId="77777777" w:rsidR="0092590B" w:rsidRDefault="0092590B">
      <w:pPr>
        <w:pStyle w:val="Normal1linespace"/>
      </w:pPr>
    </w:p>
    <w:p w14:paraId="045CD2D6" w14:textId="77777777" w:rsidR="00395B24" w:rsidRDefault="00395B24">
      <w:pPr>
        <w:pStyle w:val="Normal1linespace"/>
        <w:sectPr w:rsidR="00395B24" w:rsidSect="0040407F">
          <w:endnotePr>
            <w:numFmt w:val="decimal"/>
          </w:endnotePr>
          <w:type w:val="continuous"/>
          <w:pgSz w:w="11907" w:h="16840" w:code="9"/>
          <w:pgMar w:top="1440" w:right="1440" w:bottom="1440" w:left="1440" w:header="851" w:footer="851" w:gutter="0"/>
          <w:pgNumType w:start="1"/>
          <w:cols w:space="720"/>
          <w:noEndnote/>
          <w:docGrid w:linePitch="326"/>
        </w:sectPr>
      </w:pPr>
    </w:p>
    <w:p w14:paraId="7811107D"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65A27B02" w14:textId="77777777" w:rsidTr="00E81DA6">
        <w:tc>
          <w:tcPr>
            <w:tcW w:w="6912" w:type="dxa"/>
            <w:gridSpan w:val="2"/>
          </w:tcPr>
          <w:p w14:paraId="41B286D1" w14:textId="77777777" w:rsidR="00A46CCC" w:rsidRPr="001765E0" w:rsidRDefault="00A46CCC" w:rsidP="00525A49">
            <w:pPr>
              <w:pStyle w:val="NormalHeadings"/>
            </w:pPr>
          </w:p>
        </w:tc>
        <w:tc>
          <w:tcPr>
            <w:tcW w:w="2330" w:type="dxa"/>
          </w:tcPr>
          <w:p w14:paraId="78EAE00E" w14:textId="77777777" w:rsidR="00A46CCC" w:rsidRDefault="00407103" w:rsidP="00F92355">
            <w:pPr>
              <w:pStyle w:val="NormalHeadings"/>
              <w:jc w:val="right"/>
            </w:pPr>
            <w:bookmarkStart w:id="10" w:name="FileNo"/>
            <w:r>
              <w:t>QUD 106 of 2019</w:t>
            </w:r>
            <w:bookmarkEnd w:id="10"/>
          </w:p>
        </w:tc>
      </w:tr>
      <w:tr w:rsidR="00A76C13" w14:paraId="6E80AD33" w14:textId="77777777" w:rsidTr="00F56698">
        <w:tc>
          <w:tcPr>
            <w:tcW w:w="9242" w:type="dxa"/>
            <w:gridSpan w:val="3"/>
          </w:tcPr>
          <w:p w14:paraId="2555FABB" w14:textId="77777777" w:rsidR="00A76C13" w:rsidRPr="00A76C13" w:rsidRDefault="00407103" w:rsidP="00407103">
            <w:pPr>
              <w:pStyle w:val="NormalHeadings"/>
              <w:jc w:val="left"/>
            </w:pPr>
            <w:bookmarkStart w:id="11" w:name="InTheMatterOf"/>
            <w:r>
              <w:t xml:space="preserve"> </w:t>
            </w:r>
            <w:bookmarkEnd w:id="11"/>
          </w:p>
        </w:tc>
      </w:tr>
      <w:tr w:rsidR="00A46CCC" w14:paraId="0A905039" w14:textId="77777777" w:rsidTr="00F56698">
        <w:trPr>
          <w:trHeight w:val="386"/>
        </w:trPr>
        <w:tc>
          <w:tcPr>
            <w:tcW w:w="2376" w:type="dxa"/>
          </w:tcPr>
          <w:p w14:paraId="5981727D" w14:textId="77777777" w:rsidR="00A46CCC" w:rsidRDefault="00A46CCC" w:rsidP="00F56698">
            <w:pPr>
              <w:pStyle w:val="NormalHeadings"/>
              <w:jc w:val="left"/>
              <w:rPr>
                <w:caps/>
                <w:szCs w:val="24"/>
              </w:rPr>
            </w:pPr>
            <w:bookmarkStart w:id="12" w:name="Parties"/>
            <w:r>
              <w:rPr>
                <w:caps/>
                <w:szCs w:val="24"/>
              </w:rPr>
              <w:t>BETWEEN:</w:t>
            </w:r>
          </w:p>
        </w:tc>
        <w:tc>
          <w:tcPr>
            <w:tcW w:w="6866" w:type="dxa"/>
            <w:gridSpan w:val="2"/>
          </w:tcPr>
          <w:p w14:paraId="56121414" w14:textId="77777777" w:rsidR="00407103" w:rsidRDefault="00407103" w:rsidP="00407103">
            <w:pPr>
              <w:pStyle w:val="NormalHeadings"/>
              <w:jc w:val="left"/>
            </w:pPr>
            <w:bookmarkStart w:id="13" w:name="Applicant"/>
            <w:r>
              <w:t>TAX PRACTITIONERS BOARD</w:t>
            </w:r>
          </w:p>
          <w:p w14:paraId="0E9927F9" w14:textId="77777777" w:rsidR="00407103" w:rsidRDefault="00407103" w:rsidP="00407103">
            <w:pPr>
              <w:pStyle w:val="PartyType"/>
            </w:pPr>
            <w:r>
              <w:t>Applicant</w:t>
            </w:r>
          </w:p>
          <w:bookmarkEnd w:id="13"/>
          <w:p w14:paraId="249F33BB" w14:textId="77777777" w:rsidR="00A46CCC" w:rsidRPr="006555B4" w:rsidRDefault="00A46CCC" w:rsidP="007739C2">
            <w:pPr>
              <w:pStyle w:val="NormalHeadings"/>
              <w:jc w:val="left"/>
            </w:pPr>
          </w:p>
        </w:tc>
      </w:tr>
      <w:tr w:rsidR="00A46CCC" w14:paraId="48753DBE" w14:textId="77777777" w:rsidTr="00F56698">
        <w:trPr>
          <w:trHeight w:val="386"/>
        </w:trPr>
        <w:tc>
          <w:tcPr>
            <w:tcW w:w="2376" w:type="dxa"/>
          </w:tcPr>
          <w:p w14:paraId="5D625287" w14:textId="77777777" w:rsidR="00A46CCC" w:rsidRDefault="00A46CCC" w:rsidP="00F56698">
            <w:pPr>
              <w:pStyle w:val="NormalHeadings"/>
              <w:jc w:val="left"/>
              <w:rPr>
                <w:caps/>
                <w:szCs w:val="24"/>
              </w:rPr>
            </w:pPr>
            <w:r>
              <w:rPr>
                <w:caps/>
                <w:szCs w:val="24"/>
              </w:rPr>
              <w:t>AND:</w:t>
            </w:r>
          </w:p>
        </w:tc>
        <w:tc>
          <w:tcPr>
            <w:tcW w:w="6866" w:type="dxa"/>
            <w:gridSpan w:val="2"/>
          </w:tcPr>
          <w:p w14:paraId="2004EB3F" w14:textId="77777777" w:rsidR="00407103" w:rsidRDefault="00407103" w:rsidP="00407103">
            <w:pPr>
              <w:pStyle w:val="NormalHeadings"/>
              <w:jc w:val="left"/>
            </w:pPr>
            <w:bookmarkStart w:id="14" w:name="Respondent"/>
            <w:r>
              <w:t>KENT SCOTT HACKER</w:t>
            </w:r>
          </w:p>
          <w:p w14:paraId="77C1A06E" w14:textId="77777777" w:rsidR="00407103" w:rsidRDefault="00407103" w:rsidP="00407103">
            <w:pPr>
              <w:pStyle w:val="PartyType"/>
            </w:pPr>
            <w:r>
              <w:t>First Respondent</w:t>
            </w:r>
          </w:p>
          <w:p w14:paraId="5A34A647" w14:textId="77777777" w:rsidR="00407103" w:rsidRDefault="00407103" w:rsidP="007739C2">
            <w:pPr>
              <w:pStyle w:val="NormalHeadings"/>
              <w:jc w:val="left"/>
            </w:pPr>
          </w:p>
          <w:p w14:paraId="30DBD79F" w14:textId="77777777" w:rsidR="00407103" w:rsidRDefault="00407103" w:rsidP="00407103">
            <w:pPr>
              <w:pStyle w:val="NormalHeadings"/>
              <w:jc w:val="left"/>
            </w:pPr>
            <w:r>
              <w:t>ONE STOP GLOBAL STAFFING PTY LTD ACN 097 166 204</w:t>
            </w:r>
          </w:p>
          <w:p w14:paraId="7CEBC2D4" w14:textId="77777777" w:rsidR="00407103" w:rsidRDefault="00407103" w:rsidP="00407103">
            <w:pPr>
              <w:pStyle w:val="PartyType"/>
            </w:pPr>
            <w:r>
              <w:t>Second Respondent</w:t>
            </w:r>
          </w:p>
          <w:p w14:paraId="7B9E3792" w14:textId="77777777" w:rsidR="00407103" w:rsidRDefault="00407103" w:rsidP="007739C2">
            <w:pPr>
              <w:pStyle w:val="NormalHeadings"/>
              <w:jc w:val="left"/>
            </w:pPr>
          </w:p>
          <w:p w14:paraId="7FC6E647" w14:textId="77777777" w:rsidR="00407103" w:rsidRDefault="00407103" w:rsidP="00407103">
            <w:pPr>
              <w:pStyle w:val="NormalHeadings"/>
              <w:jc w:val="left"/>
            </w:pPr>
            <w:r>
              <w:t>NALEVIEW PTY LIMITED ACN 051 420 010</w:t>
            </w:r>
          </w:p>
          <w:p w14:paraId="0C7D36F2" w14:textId="77777777" w:rsidR="00407103" w:rsidRDefault="00407103" w:rsidP="00407103">
            <w:pPr>
              <w:pStyle w:val="PartyType"/>
            </w:pPr>
            <w:r>
              <w:t>Third Respondent</w:t>
            </w:r>
          </w:p>
          <w:bookmarkEnd w:id="14"/>
          <w:p w14:paraId="3AB18CD9" w14:textId="77777777" w:rsidR="00A46CCC" w:rsidRPr="006555B4" w:rsidRDefault="00A46CCC" w:rsidP="007739C2">
            <w:pPr>
              <w:pStyle w:val="NormalHeadings"/>
              <w:jc w:val="left"/>
            </w:pPr>
          </w:p>
        </w:tc>
      </w:tr>
    </w:tbl>
    <w:p w14:paraId="54CE84DA"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4DE6E73F" w14:textId="77777777">
        <w:tc>
          <w:tcPr>
            <w:tcW w:w="2376" w:type="dxa"/>
          </w:tcPr>
          <w:p w14:paraId="11CB8F71" w14:textId="77777777" w:rsidR="00395B24" w:rsidRDefault="00542677">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494A9946" w14:textId="77777777" w:rsidR="00395B24" w:rsidRDefault="00407103">
            <w:pPr>
              <w:pStyle w:val="NormalHeadings"/>
              <w:jc w:val="left"/>
              <w:rPr>
                <w:caps/>
                <w:szCs w:val="24"/>
              </w:rPr>
            </w:pPr>
            <w:bookmarkStart w:id="17" w:name="Judge"/>
            <w:r>
              <w:rPr>
                <w:caps/>
                <w:szCs w:val="24"/>
              </w:rPr>
              <w:t>RANGIAH J</w:t>
            </w:r>
            <w:bookmarkEnd w:id="17"/>
          </w:p>
        </w:tc>
      </w:tr>
      <w:tr w:rsidR="00395B24" w14:paraId="602BC35C" w14:textId="77777777">
        <w:tc>
          <w:tcPr>
            <w:tcW w:w="2376" w:type="dxa"/>
          </w:tcPr>
          <w:p w14:paraId="2E424D68" w14:textId="77777777" w:rsidR="00395B24" w:rsidRPr="00407103" w:rsidRDefault="002C7385">
            <w:pPr>
              <w:pStyle w:val="NormalHeadings"/>
              <w:spacing w:after="120"/>
              <w:jc w:val="left"/>
              <w:rPr>
                <w:caps/>
                <w:szCs w:val="24"/>
              </w:rPr>
            </w:pPr>
            <w:r w:rsidRPr="00407103">
              <w:rPr>
                <w:caps/>
                <w:szCs w:val="24"/>
              </w:rPr>
              <w:t>DATE OF ORDER:</w:t>
            </w:r>
          </w:p>
        </w:tc>
        <w:tc>
          <w:tcPr>
            <w:tcW w:w="6866" w:type="dxa"/>
          </w:tcPr>
          <w:p w14:paraId="40A04960" w14:textId="77777777" w:rsidR="00395B24" w:rsidRDefault="00407103" w:rsidP="00944917">
            <w:pPr>
              <w:pStyle w:val="NormalHeadings"/>
              <w:jc w:val="left"/>
              <w:rPr>
                <w:caps/>
                <w:szCs w:val="24"/>
              </w:rPr>
            </w:pPr>
            <w:bookmarkStart w:id="18" w:name="Judgment_Dated"/>
            <w:r w:rsidRPr="00407103">
              <w:rPr>
                <w:caps/>
                <w:szCs w:val="24"/>
              </w:rPr>
              <w:t>18 DECEMBER 2020</w:t>
            </w:r>
            <w:bookmarkEnd w:id="18"/>
          </w:p>
        </w:tc>
      </w:tr>
    </w:tbl>
    <w:p w14:paraId="09F29850" w14:textId="77777777" w:rsidR="00395B24" w:rsidRDefault="00395B24">
      <w:pPr>
        <w:pStyle w:val="NormalHeadings"/>
        <w:rPr>
          <w:b w:val="0"/>
        </w:rPr>
      </w:pPr>
    </w:p>
    <w:p w14:paraId="3AC9DA27" w14:textId="77777777" w:rsidR="0071556E" w:rsidRDefault="0071556E">
      <w:pPr>
        <w:pStyle w:val="NormalHeadings"/>
        <w:rPr>
          <w:b w:val="0"/>
        </w:rPr>
      </w:pPr>
    </w:p>
    <w:p w14:paraId="6CC2E0A2" w14:textId="77777777" w:rsidR="0071556E" w:rsidRPr="0071556E" w:rsidRDefault="0071556E" w:rsidP="0071556E">
      <w:pPr>
        <w:pStyle w:val="NormalHeadings"/>
      </w:pPr>
      <w:r w:rsidRPr="0071556E">
        <w:t>THE COURT DECLARES THAT:</w:t>
      </w:r>
    </w:p>
    <w:p w14:paraId="0B309839" w14:textId="77777777" w:rsidR="0071556E" w:rsidRDefault="0071556E" w:rsidP="0071556E">
      <w:pPr>
        <w:pStyle w:val="NormalHeadings"/>
        <w:rPr>
          <w:b w:val="0"/>
        </w:rPr>
      </w:pPr>
    </w:p>
    <w:p w14:paraId="624C6F70" w14:textId="77777777" w:rsidR="005A1F99" w:rsidRPr="002B021E" w:rsidRDefault="00353CF3" w:rsidP="005A1F99">
      <w:pPr>
        <w:pStyle w:val="Order1"/>
        <w:numPr>
          <w:ilvl w:val="0"/>
          <w:numId w:val="24"/>
        </w:numPr>
      </w:pPr>
      <w:r w:rsidRPr="002B021E">
        <w:t xml:space="preserve">The </w:t>
      </w:r>
      <w:r w:rsidR="005A1F99" w:rsidRPr="002B021E">
        <w:t>first</w:t>
      </w:r>
      <w:r w:rsidR="005A1F99">
        <w:t xml:space="preserve"> </w:t>
      </w:r>
      <w:r w:rsidR="005A1F99" w:rsidRPr="002B021E">
        <w:t xml:space="preserve">respondent contravened s 50-5(1) or s 50-5(2) of the </w:t>
      </w:r>
      <w:r w:rsidR="005A1F99" w:rsidRPr="002B021E">
        <w:rPr>
          <w:i/>
        </w:rPr>
        <w:t>Tax Agent Services Act 2009</w:t>
      </w:r>
      <w:r w:rsidR="005A1F99">
        <w:t xml:space="preserve"> </w:t>
      </w:r>
      <w:r w:rsidR="005A1F99" w:rsidRPr="002B021E">
        <w:t>(</w:t>
      </w:r>
      <w:r w:rsidR="005A1F99" w:rsidRPr="005953EB">
        <w:rPr>
          <w:b/>
        </w:rPr>
        <w:t>the Act</w:t>
      </w:r>
      <w:r w:rsidR="005A1F99" w:rsidRPr="002B021E">
        <w:t>) by providing tax agent services and BAS services for fee or reward while</w:t>
      </w:r>
      <w:r w:rsidR="005A1F99">
        <w:t xml:space="preserve"> </w:t>
      </w:r>
      <w:r w:rsidR="005A1F99" w:rsidRPr="002B021E">
        <w:t>not registered to provide those services</w:t>
      </w:r>
      <w:r>
        <w:t xml:space="preserve"> </w:t>
      </w:r>
      <w:r w:rsidRPr="002B021E">
        <w:t xml:space="preserve">on each occasion </w:t>
      </w:r>
      <w:r>
        <w:t xml:space="preserve">specified </w:t>
      </w:r>
      <w:r w:rsidRPr="002B021E">
        <w:t>in Table</w:t>
      </w:r>
      <w:r w:rsidR="005C09F5">
        <w:t>s</w:t>
      </w:r>
      <w:r w:rsidRPr="002B021E">
        <w:t xml:space="preserve"> 1, 2 and 3 to Appendix A of these Orders</w:t>
      </w:r>
      <w:r w:rsidR="005A1F99" w:rsidRPr="002B021E">
        <w:t>.</w:t>
      </w:r>
    </w:p>
    <w:p w14:paraId="295C0663" w14:textId="77777777" w:rsidR="005A1F99" w:rsidRPr="002B021E" w:rsidRDefault="00636A34" w:rsidP="00742B78">
      <w:pPr>
        <w:pStyle w:val="Order1"/>
        <w:numPr>
          <w:ilvl w:val="0"/>
          <w:numId w:val="24"/>
        </w:numPr>
      </w:pPr>
      <w:r w:rsidRPr="002B021E">
        <w:t xml:space="preserve">The </w:t>
      </w:r>
      <w:r w:rsidR="005A1F99" w:rsidRPr="002B021E">
        <w:t>second respondent</w:t>
      </w:r>
      <w:r w:rsidR="005A1F99">
        <w:t xml:space="preserve"> </w:t>
      </w:r>
      <w:r w:rsidR="005A1F99" w:rsidRPr="002B021E">
        <w:t>contravened s 50-5(1)</w:t>
      </w:r>
      <w:r w:rsidR="0059529C">
        <w:t xml:space="preserve"> of</w:t>
      </w:r>
      <w:r w:rsidR="005A1F99" w:rsidRPr="002B021E">
        <w:t xml:space="preserve"> the Act by providing tax agent services for a fee while not</w:t>
      </w:r>
      <w:r w:rsidR="005A1F99">
        <w:t xml:space="preserve"> </w:t>
      </w:r>
      <w:r w:rsidR="005A1F99" w:rsidRPr="002B021E">
        <w:t>registered to provide those services</w:t>
      </w:r>
      <w:r>
        <w:t xml:space="preserve"> </w:t>
      </w:r>
      <w:r w:rsidRPr="002B021E">
        <w:t xml:space="preserve">on each occasion </w:t>
      </w:r>
      <w:r w:rsidR="00093C62">
        <w:t xml:space="preserve">specified </w:t>
      </w:r>
      <w:r w:rsidRPr="002B021E">
        <w:t>in Table 1 of Appendix A to these Orders</w:t>
      </w:r>
      <w:r w:rsidR="005A1F99" w:rsidRPr="002B021E">
        <w:t>.</w:t>
      </w:r>
    </w:p>
    <w:p w14:paraId="4A6DD09E" w14:textId="77777777" w:rsidR="005A1F99" w:rsidRDefault="00636A34" w:rsidP="00742B78">
      <w:pPr>
        <w:pStyle w:val="Order1"/>
        <w:numPr>
          <w:ilvl w:val="0"/>
          <w:numId w:val="24"/>
        </w:numPr>
      </w:pPr>
      <w:r w:rsidRPr="002B021E">
        <w:t xml:space="preserve">The </w:t>
      </w:r>
      <w:r w:rsidR="005A1F99" w:rsidRPr="002B021E">
        <w:t>third respondent</w:t>
      </w:r>
      <w:r w:rsidR="005A1F99">
        <w:t xml:space="preserve"> </w:t>
      </w:r>
      <w:r w:rsidR="005A1F99" w:rsidRPr="002B021E">
        <w:t>contravened s 50-5(1) of the Act by providing tax agent services for a fee while not</w:t>
      </w:r>
      <w:r w:rsidR="005A1F99">
        <w:t xml:space="preserve"> </w:t>
      </w:r>
      <w:r w:rsidR="005A1F99" w:rsidRPr="002B021E">
        <w:t>registered to provide those services</w:t>
      </w:r>
      <w:r>
        <w:t xml:space="preserve"> </w:t>
      </w:r>
      <w:r w:rsidRPr="002B021E">
        <w:t xml:space="preserve">on each occasion </w:t>
      </w:r>
      <w:r w:rsidR="00093C62">
        <w:t xml:space="preserve">specified </w:t>
      </w:r>
      <w:r w:rsidRPr="002B021E">
        <w:t>in Table 2 of Appendix A to these Orders</w:t>
      </w:r>
      <w:r w:rsidR="005A1F99" w:rsidRPr="002B021E">
        <w:t>.</w:t>
      </w:r>
    </w:p>
    <w:p w14:paraId="71E91044" w14:textId="77777777" w:rsidR="0071556E" w:rsidRPr="0071556E" w:rsidRDefault="0071556E" w:rsidP="00742B78">
      <w:pPr>
        <w:pStyle w:val="Order1"/>
        <w:numPr>
          <w:ilvl w:val="0"/>
          <w:numId w:val="24"/>
        </w:numPr>
      </w:pPr>
      <w:r w:rsidRPr="0071556E">
        <w:t xml:space="preserve">The </w:t>
      </w:r>
      <w:r w:rsidR="00A0203E" w:rsidRPr="0071556E">
        <w:t xml:space="preserve">first and second respondents </w:t>
      </w:r>
      <w:r w:rsidRPr="0071556E">
        <w:t xml:space="preserve">are guilty of </w:t>
      </w:r>
      <w:r w:rsidR="00093C62">
        <w:t xml:space="preserve">three </w:t>
      </w:r>
      <w:proofErr w:type="spellStart"/>
      <w:r w:rsidRPr="0071556E">
        <w:t>contempt</w:t>
      </w:r>
      <w:r w:rsidR="00093C62">
        <w:t>s</w:t>
      </w:r>
      <w:proofErr w:type="spellEnd"/>
      <w:r w:rsidR="009C135B">
        <w:t xml:space="preserve"> of </w:t>
      </w:r>
      <w:r w:rsidR="00093C62">
        <w:t>this Court</w:t>
      </w:r>
      <w:r w:rsidR="00093C62" w:rsidRPr="0071556E">
        <w:t xml:space="preserve"> </w:t>
      </w:r>
      <w:r w:rsidRPr="0071556E">
        <w:t>by reason of the matters</w:t>
      </w:r>
      <w:r>
        <w:t xml:space="preserve"> </w:t>
      </w:r>
      <w:r w:rsidRPr="0071556E">
        <w:t xml:space="preserve">set out in paragraphs 2(a), (b) and (c) of the </w:t>
      </w:r>
      <w:r w:rsidR="005F5F7D">
        <w:t>Amended S</w:t>
      </w:r>
      <w:r w:rsidRPr="0071556E">
        <w:t xml:space="preserve">tatement of </w:t>
      </w:r>
      <w:r w:rsidR="005F5F7D">
        <w:t>C</w:t>
      </w:r>
      <w:r w:rsidRPr="0071556E">
        <w:t xml:space="preserve">harge </w:t>
      </w:r>
      <w:r w:rsidR="005F5F7D">
        <w:t>filed</w:t>
      </w:r>
      <w:r>
        <w:t xml:space="preserve"> 27 </w:t>
      </w:r>
      <w:r w:rsidRPr="0071556E">
        <w:t>September 2019.</w:t>
      </w:r>
    </w:p>
    <w:p w14:paraId="1521FCDD" w14:textId="77777777" w:rsidR="0071556E" w:rsidRPr="0071556E" w:rsidRDefault="0071556E" w:rsidP="00742B78">
      <w:pPr>
        <w:pStyle w:val="Order1"/>
        <w:numPr>
          <w:ilvl w:val="0"/>
          <w:numId w:val="24"/>
        </w:numPr>
      </w:pPr>
      <w:r>
        <w:t>T</w:t>
      </w:r>
      <w:r w:rsidRPr="0071556E">
        <w:t xml:space="preserve">he </w:t>
      </w:r>
      <w:r w:rsidR="00A0203E" w:rsidRPr="0071556E">
        <w:t xml:space="preserve">first and second respondents </w:t>
      </w:r>
      <w:r w:rsidRPr="0071556E">
        <w:t xml:space="preserve">are guilty of </w:t>
      </w:r>
      <w:r w:rsidR="00093C62">
        <w:t xml:space="preserve">five </w:t>
      </w:r>
      <w:proofErr w:type="spellStart"/>
      <w:r w:rsidRPr="0071556E">
        <w:t>contempt</w:t>
      </w:r>
      <w:r w:rsidR="00093C62">
        <w:t>s</w:t>
      </w:r>
      <w:proofErr w:type="spellEnd"/>
      <w:r w:rsidR="009C135B">
        <w:t xml:space="preserve"> of </w:t>
      </w:r>
      <w:r w:rsidR="00093C62">
        <w:t>this Court</w:t>
      </w:r>
      <w:r w:rsidR="00093C62" w:rsidRPr="0071556E">
        <w:t xml:space="preserve"> </w:t>
      </w:r>
      <w:r w:rsidRPr="0071556E">
        <w:t>by reason of the matters</w:t>
      </w:r>
      <w:r>
        <w:t xml:space="preserve"> </w:t>
      </w:r>
      <w:r w:rsidRPr="0071556E">
        <w:t xml:space="preserve">set out in paragraphs 2(a), (b), (c), (d) and (e) of the </w:t>
      </w:r>
      <w:r w:rsidR="005F5F7D">
        <w:t>Amended S</w:t>
      </w:r>
      <w:r w:rsidR="005F5F7D" w:rsidRPr="0071556E">
        <w:t xml:space="preserve">tatement of </w:t>
      </w:r>
      <w:r w:rsidR="005F5F7D">
        <w:t>C</w:t>
      </w:r>
      <w:r w:rsidR="005F5F7D" w:rsidRPr="0071556E">
        <w:t>harge</w:t>
      </w:r>
      <w:r>
        <w:t xml:space="preserve"> </w:t>
      </w:r>
      <w:r w:rsidR="005F5F7D">
        <w:t>filed</w:t>
      </w:r>
      <w:r>
        <w:t xml:space="preserve"> 10 </w:t>
      </w:r>
      <w:r w:rsidRPr="0071556E">
        <w:t>December 2019.</w:t>
      </w:r>
    </w:p>
    <w:p w14:paraId="53EE5D03" w14:textId="77777777" w:rsidR="0071556E" w:rsidRPr="0071556E" w:rsidRDefault="0071556E" w:rsidP="00742B78">
      <w:pPr>
        <w:pStyle w:val="Order1"/>
        <w:numPr>
          <w:ilvl w:val="0"/>
          <w:numId w:val="24"/>
        </w:numPr>
      </w:pPr>
      <w:r w:rsidRPr="0071556E">
        <w:lastRenderedPageBreak/>
        <w:t xml:space="preserve">The </w:t>
      </w:r>
      <w:r w:rsidR="00A0203E" w:rsidRPr="0071556E">
        <w:t xml:space="preserve">first and second respondents </w:t>
      </w:r>
      <w:r w:rsidRPr="0071556E">
        <w:t xml:space="preserve">are guilty of </w:t>
      </w:r>
      <w:r w:rsidR="00093C62">
        <w:t xml:space="preserve">eight </w:t>
      </w:r>
      <w:proofErr w:type="spellStart"/>
      <w:r w:rsidRPr="0071556E">
        <w:t>contempt</w:t>
      </w:r>
      <w:r w:rsidR="00093C62">
        <w:t>s</w:t>
      </w:r>
      <w:proofErr w:type="spellEnd"/>
      <w:r w:rsidR="005F5F7D">
        <w:t xml:space="preserve"> of </w:t>
      </w:r>
      <w:r w:rsidR="00093C62">
        <w:t>this Court</w:t>
      </w:r>
      <w:r w:rsidR="00093C62" w:rsidRPr="0071556E">
        <w:t xml:space="preserve"> </w:t>
      </w:r>
      <w:r w:rsidRPr="0071556E">
        <w:t>by reason of the matters</w:t>
      </w:r>
      <w:r>
        <w:t xml:space="preserve"> </w:t>
      </w:r>
      <w:r w:rsidRPr="0071556E">
        <w:t xml:space="preserve">set out in paragraphs 2(a), (b), (c), (d), (e), (f), (g), and (h) of the </w:t>
      </w:r>
      <w:r w:rsidR="005F5F7D">
        <w:t>S</w:t>
      </w:r>
      <w:r w:rsidR="005F5F7D" w:rsidRPr="0071556E">
        <w:t xml:space="preserve">tatement of </w:t>
      </w:r>
      <w:r w:rsidR="005F5F7D">
        <w:t>C</w:t>
      </w:r>
      <w:r w:rsidR="005F5F7D" w:rsidRPr="0071556E">
        <w:t>harge</w:t>
      </w:r>
      <w:r w:rsidR="005F5F7D">
        <w:t xml:space="preserve"> filed </w:t>
      </w:r>
      <w:r w:rsidRPr="0071556E">
        <w:t>23 March 2020.</w:t>
      </w:r>
    </w:p>
    <w:p w14:paraId="7A7314CD" w14:textId="77777777" w:rsidR="0071556E" w:rsidRDefault="0071556E" w:rsidP="00742B78">
      <w:pPr>
        <w:pStyle w:val="Order1"/>
        <w:numPr>
          <w:ilvl w:val="0"/>
          <w:numId w:val="24"/>
        </w:numPr>
      </w:pPr>
      <w:r w:rsidRPr="0071556E">
        <w:t xml:space="preserve">The </w:t>
      </w:r>
      <w:r w:rsidR="00A0203E" w:rsidRPr="0071556E">
        <w:t xml:space="preserve">first and second respondents </w:t>
      </w:r>
      <w:r w:rsidRPr="0071556E">
        <w:t xml:space="preserve">are guilty of </w:t>
      </w:r>
      <w:r w:rsidR="00093C62">
        <w:t xml:space="preserve">three </w:t>
      </w:r>
      <w:proofErr w:type="spellStart"/>
      <w:r w:rsidR="005F5F7D" w:rsidRPr="0071556E">
        <w:t>contempt</w:t>
      </w:r>
      <w:r w:rsidR="00093C62">
        <w:t>s</w:t>
      </w:r>
      <w:proofErr w:type="spellEnd"/>
      <w:r w:rsidR="005F5F7D">
        <w:t xml:space="preserve"> of </w:t>
      </w:r>
      <w:r w:rsidR="00093C62">
        <w:t>this Court</w:t>
      </w:r>
      <w:r w:rsidR="00093C62" w:rsidRPr="0071556E">
        <w:t xml:space="preserve"> </w:t>
      </w:r>
      <w:r w:rsidRPr="0071556E">
        <w:t>by reason of the matters</w:t>
      </w:r>
      <w:r>
        <w:t xml:space="preserve"> </w:t>
      </w:r>
      <w:r w:rsidRPr="0071556E">
        <w:t xml:space="preserve">set out in paragraphs 2(a), (b) and (c) of the </w:t>
      </w:r>
      <w:r w:rsidR="005F5F7D">
        <w:t>S</w:t>
      </w:r>
      <w:r w:rsidR="005F5F7D" w:rsidRPr="0071556E">
        <w:t xml:space="preserve">tatement of </w:t>
      </w:r>
      <w:r w:rsidR="005F5F7D">
        <w:t>C</w:t>
      </w:r>
      <w:r w:rsidR="005F5F7D" w:rsidRPr="0071556E">
        <w:t>harge</w:t>
      </w:r>
      <w:r w:rsidR="005F5F7D">
        <w:t xml:space="preserve"> filed </w:t>
      </w:r>
      <w:r w:rsidRPr="0071556E">
        <w:t>30 June 2020.</w:t>
      </w:r>
    </w:p>
    <w:p w14:paraId="2BF1FF13" w14:textId="77777777" w:rsidR="004B21B8" w:rsidRPr="0071556E" w:rsidRDefault="004B21B8" w:rsidP="00742B78">
      <w:pPr>
        <w:pStyle w:val="Order1"/>
        <w:numPr>
          <w:ilvl w:val="0"/>
          <w:numId w:val="24"/>
        </w:numPr>
      </w:pPr>
      <w:r>
        <w:t xml:space="preserve">The first and second respondents are guilty of </w:t>
      </w:r>
      <w:r w:rsidR="00093C62">
        <w:t xml:space="preserve">nine </w:t>
      </w:r>
      <w:proofErr w:type="spellStart"/>
      <w:r w:rsidR="005F5F7D" w:rsidRPr="0071556E">
        <w:t>contempt</w:t>
      </w:r>
      <w:r w:rsidR="00093C62">
        <w:t>s</w:t>
      </w:r>
      <w:proofErr w:type="spellEnd"/>
      <w:r w:rsidR="005F5F7D">
        <w:t xml:space="preserve"> of </w:t>
      </w:r>
      <w:r w:rsidR="00093C62">
        <w:t>this Court</w:t>
      </w:r>
      <w:r w:rsidR="00093C62" w:rsidRPr="0071556E">
        <w:t xml:space="preserve"> </w:t>
      </w:r>
      <w:r>
        <w:t xml:space="preserve">by reason of the matters set out in paragraphs </w:t>
      </w:r>
      <w:r w:rsidR="007919D2">
        <w:t>6</w:t>
      </w:r>
      <w:r w:rsidR="0059529C" w:rsidRPr="0071556E">
        <w:t>(a), (b), (c), (d), (e), (f), (g)</w:t>
      </w:r>
      <w:r w:rsidR="007919D2">
        <w:t>, (h) and (</w:t>
      </w:r>
      <w:proofErr w:type="spellStart"/>
      <w:r w:rsidR="007919D2">
        <w:t>i</w:t>
      </w:r>
      <w:proofErr w:type="spellEnd"/>
      <w:r w:rsidR="007919D2">
        <w:t>)</w:t>
      </w:r>
      <w:r>
        <w:t xml:space="preserve"> of the </w:t>
      </w:r>
      <w:r w:rsidR="005F5F7D">
        <w:t>S</w:t>
      </w:r>
      <w:r w:rsidR="005F5F7D" w:rsidRPr="0071556E">
        <w:t xml:space="preserve">tatement of </w:t>
      </w:r>
      <w:r w:rsidR="005F5F7D">
        <w:t>C</w:t>
      </w:r>
      <w:r w:rsidR="005F5F7D" w:rsidRPr="0071556E">
        <w:t>harge</w:t>
      </w:r>
      <w:r w:rsidR="005F5F7D">
        <w:t xml:space="preserve"> filed </w:t>
      </w:r>
      <w:r>
        <w:t>19 August 2020.</w:t>
      </w:r>
    </w:p>
    <w:p w14:paraId="7DD34674" w14:textId="77777777" w:rsidR="00D678BE" w:rsidRDefault="00D678BE" w:rsidP="00AD0BF9">
      <w:pPr>
        <w:pStyle w:val="NormalHeadings"/>
        <w:keepNext/>
        <w:keepLines/>
      </w:pPr>
    </w:p>
    <w:p w14:paraId="2D42C614" w14:textId="77777777" w:rsidR="005A1F99" w:rsidRDefault="0071556E" w:rsidP="00AD0BF9">
      <w:pPr>
        <w:pStyle w:val="NormalHeadings"/>
        <w:keepNext/>
        <w:keepLines/>
      </w:pPr>
      <w:r w:rsidRPr="0071556E">
        <w:t>THE COURT ORDERS THAT:</w:t>
      </w:r>
    </w:p>
    <w:p w14:paraId="75B5C381" w14:textId="77777777" w:rsidR="00D678BE" w:rsidRPr="0071556E" w:rsidRDefault="00D678BE" w:rsidP="00AD0BF9">
      <w:pPr>
        <w:pStyle w:val="NormalHeadings"/>
        <w:keepNext/>
        <w:keepLines/>
      </w:pPr>
    </w:p>
    <w:p w14:paraId="591A2EB0" w14:textId="77777777" w:rsidR="005A1F99" w:rsidRDefault="005A1F99" w:rsidP="00742B78">
      <w:pPr>
        <w:pStyle w:val="Order1"/>
        <w:numPr>
          <w:ilvl w:val="0"/>
          <w:numId w:val="24"/>
        </w:numPr>
      </w:pPr>
      <w:r w:rsidRPr="002B021E">
        <w:t xml:space="preserve">Pursuant to </w:t>
      </w:r>
      <w:proofErr w:type="spellStart"/>
      <w:r w:rsidRPr="002B021E">
        <w:t>s</w:t>
      </w:r>
      <w:proofErr w:type="spellEnd"/>
      <w:r w:rsidRPr="002B021E">
        <w:t xml:space="preserve"> 70-5(1) of the Act, each respondent is restrained from providing or</w:t>
      </w:r>
      <w:r>
        <w:t xml:space="preserve"> </w:t>
      </w:r>
      <w:r w:rsidRPr="002B021E">
        <w:t>offering to provide any tax agent services (as defined in the Act) for fee or reward, unless that respon</w:t>
      </w:r>
      <w:r>
        <w:t>d</w:t>
      </w:r>
      <w:r w:rsidRPr="002B021E">
        <w:t>ent is, at the relevant</w:t>
      </w:r>
      <w:r>
        <w:t xml:space="preserve"> </w:t>
      </w:r>
      <w:r w:rsidRPr="002B021E">
        <w:t>time, registered to provide those services under the Act.</w:t>
      </w:r>
    </w:p>
    <w:p w14:paraId="5C7DF578" w14:textId="77777777" w:rsidR="00B27F33" w:rsidRPr="002B021E" w:rsidRDefault="00B27F33" w:rsidP="00742B78">
      <w:pPr>
        <w:pStyle w:val="Order1"/>
        <w:numPr>
          <w:ilvl w:val="0"/>
          <w:numId w:val="24"/>
        </w:numPr>
      </w:pPr>
      <w:r w:rsidRPr="002B021E">
        <w:t xml:space="preserve">Pursuant to </w:t>
      </w:r>
      <w:proofErr w:type="spellStart"/>
      <w:r w:rsidRPr="002B021E">
        <w:t>s</w:t>
      </w:r>
      <w:proofErr w:type="spellEnd"/>
      <w:r w:rsidRPr="002B021E">
        <w:t xml:space="preserve"> 70-5(1) of the Act, </w:t>
      </w:r>
      <w:r w:rsidR="00F00FB9">
        <w:t xml:space="preserve">the first respondent </w:t>
      </w:r>
      <w:r w:rsidRPr="002B021E">
        <w:t>is restrained from providing or</w:t>
      </w:r>
      <w:r>
        <w:t xml:space="preserve"> </w:t>
      </w:r>
      <w:r w:rsidRPr="002B021E">
        <w:t xml:space="preserve">offering to provide any </w:t>
      </w:r>
      <w:r>
        <w:t>BAS service</w:t>
      </w:r>
      <w:r w:rsidR="00824CBD">
        <w:t>s</w:t>
      </w:r>
      <w:r>
        <w:t xml:space="preserve"> </w:t>
      </w:r>
      <w:r w:rsidRPr="002B021E">
        <w:t xml:space="preserve">(as defined in the Act) for fee or reward, unless </w:t>
      </w:r>
      <w:r w:rsidR="00F00FB9">
        <w:t xml:space="preserve">the first respondent </w:t>
      </w:r>
      <w:r w:rsidRPr="002B021E">
        <w:t>is, at the relevant</w:t>
      </w:r>
      <w:r>
        <w:t xml:space="preserve"> </w:t>
      </w:r>
      <w:r w:rsidRPr="002B021E">
        <w:t>time, registered to provide those services under the Act.</w:t>
      </w:r>
    </w:p>
    <w:p w14:paraId="673EED22" w14:textId="77777777" w:rsidR="005A1F99" w:rsidRPr="002B021E" w:rsidRDefault="005A1F99" w:rsidP="00742B78">
      <w:pPr>
        <w:pStyle w:val="Order1"/>
        <w:numPr>
          <w:ilvl w:val="0"/>
          <w:numId w:val="24"/>
        </w:numPr>
      </w:pPr>
      <w:r w:rsidRPr="002B021E">
        <w:t xml:space="preserve">Pursuant to </w:t>
      </w:r>
      <w:proofErr w:type="spellStart"/>
      <w:r w:rsidRPr="002B021E">
        <w:t>s</w:t>
      </w:r>
      <w:proofErr w:type="spellEnd"/>
      <w:r w:rsidRPr="002B021E">
        <w:t xml:space="preserve"> 50-35 of the Act, the first respondent pay pecuniary penalties to the</w:t>
      </w:r>
      <w:r>
        <w:t xml:space="preserve"> </w:t>
      </w:r>
      <w:r w:rsidRPr="002B021E">
        <w:t xml:space="preserve">Commonwealth totalling </w:t>
      </w:r>
      <w:r>
        <w:t>$1</w:t>
      </w:r>
      <w:r w:rsidR="00824CBD">
        <w:t>06,875</w:t>
      </w:r>
      <w:r w:rsidRPr="002B021E">
        <w:t xml:space="preserve"> for the</w:t>
      </w:r>
      <w:r>
        <w:t xml:space="preserve"> </w:t>
      </w:r>
      <w:r w:rsidRPr="002B021E">
        <w:t xml:space="preserve">contraventions described in </w:t>
      </w:r>
      <w:r w:rsidR="009F363A">
        <w:t>Order</w:t>
      </w:r>
      <w:r w:rsidRPr="002B021E">
        <w:t xml:space="preserve"> 1 above.</w:t>
      </w:r>
    </w:p>
    <w:p w14:paraId="741C2ACF" w14:textId="77777777" w:rsidR="005A1F99" w:rsidRPr="002B021E" w:rsidRDefault="005A1F99" w:rsidP="00742B78">
      <w:pPr>
        <w:pStyle w:val="Order1"/>
        <w:numPr>
          <w:ilvl w:val="0"/>
          <w:numId w:val="24"/>
        </w:numPr>
      </w:pPr>
      <w:r w:rsidRPr="002B021E">
        <w:t xml:space="preserve">Pursuant to </w:t>
      </w:r>
      <w:proofErr w:type="spellStart"/>
      <w:r w:rsidRPr="002B021E">
        <w:t>s</w:t>
      </w:r>
      <w:proofErr w:type="spellEnd"/>
      <w:r w:rsidRPr="002B021E">
        <w:t xml:space="preserve"> 50-35 of the Act, the second respondent pay pecuniary penalties to the</w:t>
      </w:r>
      <w:r>
        <w:t xml:space="preserve"> Commonwealth t</w:t>
      </w:r>
      <w:r w:rsidR="00824CBD">
        <w:t xml:space="preserve">otalling $65,625 </w:t>
      </w:r>
      <w:r w:rsidRPr="002B021E">
        <w:t>for the</w:t>
      </w:r>
      <w:r>
        <w:t xml:space="preserve"> </w:t>
      </w:r>
      <w:r w:rsidRPr="002B021E">
        <w:t xml:space="preserve">contraventions described in </w:t>
      </w:r>
      <w:r w:rsidR="009F363A">
        <w:t>Order</w:t>
      </w:r>
      <w:r w:rsidRPr="002B021E">
        <w:t xml:space="preserve"> 2 above.</w:t>
      </w:r>
    </w:p>
    <w:p w14:paraId="77A331E5" w14:textId="77777777" w:rsidR="005A1F99" w:rsidRPr="002B021E" w:rsidRDefault="005A1F99" w:rsidP="00742B78">
      <w:pPr>
        <w:pStyle w:val="Order1"/>
        <w:numPr>
          <w:ilvl w:val="0"/>
          <w:numId w:val="24"/>
        </w:numPr>
      </w:pPr>
      <w:r w:rsidRPr="002B021E">
        <w:t xml:space="preserve">Pursuant to </w:t>
      </w:r>
      <w:proofErr w:type="spellStart"/>
      <w:r w:rsidRPr="002B021E">
        <w:t>s</w:t>
      </w:r>
      <w:proofErr w:type="spellEnd"/>
      <w:r w:rsidRPr="002B021E">
        <w:t xml:space="preserve"> 50-35 of the Act, the third respondent pay pecuniary penalties to the</w:t>
      </w:r>
      <w:r w:rsidR="00824CBD">
        <w:t xml:space="preserve"> Commonwealth totalling $455,625</w:t>
      </w:r>
      <w:r w:rsidRPr="002B021E">
        <w:t xml:space="preserve"> for the</w:t>
      </w:r>
      <w:r>
        <w:t xml:space="preserve"> </w:t>
      </w:r>
      <w:r w:rsidRPr="002B021E">
        <w:t xml:space="preserve">contraventions described in </w:t>
      </w:r>
      <w:r w:rsidR="009F363A">
        <w:t>Order</w:t>
      </w:r>
      <w:r w:rsidRPr="002B021E">
        <w:t xml:space="preserve"> 3 above.</w:t>
      </w:r>
    </w:p>
    <w:p w14:paraId="4ABE1135" w14:textId="77777777" w:rsidR="0071556E" w:rsidRPr="0071556E" w:rsidRDefault="0071556E" w:rsidP="00742B78">
      <w:pPr>
        <w:pStyle w:val="Order1"/>
        <w:numPr>
          <w:ilvl w:val="0"/>
          <w:numId w:val="24"/>
        </w:numPr>
      </w:pPr>
      <w:r w:rsidRPr="0071556E">
        <w:t xml:space="preserve">The </w:t>
      </w:r>
      <w:r w:rsidR="00AD0BF9" w:rsidRPr="0071556E">
        <w:t xml:space="preserve">second respondent </w:t>
      </w:r>
      <w:r w:rsidRPr="0071556E">
        <w:t xml:space="preserve">pay a fine of $15,000 </w:t>
      </w:r>
      <w:r w:rsidR="00F00FB9">
        <w:t xml:space="preserve">to the Commonwealth </w:t>
      </w:r>
      <w:r w:rsidRPr="0071556E">
        <w:t xml:space="preserve">in respect of the </w:t>
      </w:r>
      <w:proofErr w:type="spellStart"/>
      <w:r w:rsidRPr="0071556E">
        <w:t>contempts</w:t>
      </w:r>
      <w:proofErr w:type="spellEnd"/>
      <w:r w:rsidRPr="0071556E">
        <w:t xml:space="preserve"> referred to</w:t>
      </w:r>
      <w:r w:rsidR="00D678BE">
        <w:t xml:space="preserve"> </w:t>
      </w:r>
      <w:r w:rsidRPr="0071556E">
        <w:t xml:space="preserve">in </w:t>
      </w:r>
      <w:r w:rsidR="009F363A">
        <w:t>Orders</w:t>
      </w:r>
      <w:r w:rsidRPr="0071556E">
        <w:t xml:space="preserve"> </w:t>
      </w:r>
      <w:r w:rsidR="009F363A">
        <w:t>5, 6, 7 and 8</w:t>
      </w:r>
      <w:r w:rsidR="00F00FB9">
        <w:t xml:space="preserve">, such fine to be paid by Fisher Dore Lawyers </w:t>
      </w:r>
      <w:r w:rsidR="00824CBD">
        <w:t xml:space="preserve">to the Commonwealth </w:t>
      </w:r>
      <w:r w:rsidR="00F00FB9">
        <w:t>pursuant to the Irrevocable A</w:t>
      </w:r>
      <w:r w:rsidR="00CE2F62">
        <w:t>uthority dated 26 </w:t>
      </w:r>
      <w:r w:rsidR="00F00FB9">
        <w:t>November 2019 provided by the first respondent on behalf of the second respondent</w:t>
      </w:r>
      <w:r w:rsidRPr="0071556E">
        <w:t>.</w:t>
      </w:r>
    </w:p>
    <w:p w14:paraId="78A6F132" w14:textId="77777777" w:rsidR="0071556E" w:rsidRDefault="007939E9" w:rsidP="00742B78">
      <w:pPr>
        <w:pStyle w:val="Order1"/>
        <w:numPr>
          <w:ilvl w:val="0"/>
          <w:numId w:val="24"/>
        </w:numPr>
      </w:pPr>
      <w:r>
        <w:t xml:space="preserve">The first respondent be imprisoned for a period of 14 days for </w:t>
      </w:r>
      <w:r w:rsidR="00674917">
        <w:t xml:space="preserve">each of the three </w:t>
      </w:r>
      <w:proofErr w:type="spellStart"/>
      <w:r>
        <w:t>contempts</w:t>
      </w:r>
      <w:proofErr w:type="spellEnd"/>
      <w:r>
        <w:t xml:space="preserve"> described in </w:t>
      </w:r>
      <w:r w:rsidR="009F363A">
        <w:t>Order 5</w:t>
      </w:r>
      <w:r>
        <w:t>, each sentence to be served concurrently with the other sentence</w:t>
      </w:r>
      <w:r w:rsidR="00674917">
        <w:t>s</w:t>
      </w:r>
      <w:r w:rsidR="00824CBD">
        <w:t xml:space="preserve"> described in Order 5</w:t>
      </w:r>
      <w:r>
        <w:t>.</w:t>
      </w:r>
    </w:p>
    <w:p w14:paraId="37800E4A" w14:textId="77777777" w:rsidR="00E31BF1" w:rsidRDefault="00E31BF1" w:rsidP="00742B78">
      <w:pPr>
        <w:pStyle w:val="Order1"/>
        <w:numPr>
          <w:ilvl w:val="0"/>
          <w:numId w:val="24"/>
        </w:numPr>
      </w:pPr>
      <w:r>
        <w:lastRenderedPageBreak/>
        <w:t xml:space="preserve">The first respondent be imprisoned for a period of one month for </w:t>
      </w:r>
      <w:r w:rsidR="00DE6803">
        <w:t xml:space="preserve">each of </w:t>
      </w:r>
      <w:r>
        <w:t xml:space="preserve">the </w:t>
      </w:r>
      <w:r w:rsidR="00674917">
        <w:t xml:space="preserve">eight </w:t>
      </w:r>
      <w:proofErr w:type="spellStart"/>
      <w:r>
        <w:t>contempts</w:t>
      </w:r>
      <w:proofErr w:type="spellEnd"/>
      <w:r>
        <w:t xml:space="preserve"> described in O</w:t>
      </w:r>
      <w:r w:rsidR="00426CFF">
        <w:t>rder 6</w:t>
      </w:r>
      <w:r>
        <w:t xml:space="preserve">, each sentence to be served concurrently with the other sentences </w:t>
      </w:r>
      <w:r w:rsidR="00674917">
        <w:t xml:space="preserve">described </w:t>
      </w:r>
      <w:r>
        <w:t>in O</w:t>
      </w:r>
      <w:r w:rsidR="00426CFF">
        <w:t>rder 6</w:t>
      </w:r>
      <w:r>
        <w:t xml:space="preserve">, but consecutively upon the sentences </w:t>
      </w:r>
      <w:r w:rsidR="00674917">
        <w:t xml:space="preserve">described </w:t>
      </w:r>
      <w:r>
        <w:t>in O</w:t>
      </w:r>
      <w:r w:rsidR="00CE2F62">
        <w:t>rder </w:t>
      </w:r>
      <w:r w:rsidR="00426CFF">
        <w:t>5</w:t>
      </w:r>
      <w:r>
        <w:t>.</w:t>
      </w:r>
    </w:p>
    <w:p w14:paraId="46B101ED" w14:textId="77777777" w:rsidR="00667D28" w:rsidRDefault="00667D28" w:rsidP="00742B78">
      <w:pPr>
        <w:pStyle w:val="Order1"/>
        <w:numPr>
          <w:ilvl w:val="0"/>
          <w:numId w:val="24"/>
        </w:numPr>
      </w:pPr>
      <w:r>
        <w:t xml:space="preserve">The first respondent be imprisoned for a period of two months for </w:t>
      </w:r>
      <w:r w:rsidR="00D91299">
        <w:t xml:space="preserve">each of the three </w:t>
      </w:r>
      <w:proofErr w:type="spellStart"/>
      <w:r>
        <w:t>contempts</w:t>
      </w:r>
      <w:proofErr w:type="spellEnd"/>
      <w:r>
        <w:t xml:space="preserve"> described in Order </w:t>
      </w:r>
      <w:r w:rsidR="00426CFF">
        <w:t>7</w:t>
      </w:r>
      <w:r>
        <w:t xml:space="preserve">, each sentence to be served concurrently with the other sentences </w:t>
      </w:r>
      <w:r w:rsidR="00D91299">
        <w:t xml:space="preserve">described </w:t>
      </w:r>
      <w:r>
        <w:t>in O</w:t>
      </w:r>
      <w:r w:rsidR="00426CFF">
        <w:t>rder 7</w:t>
      </w:r>
      <w:r>
        <w:t xml:space="preserve">, but consecutively upon the sentences </w:t>
      </w:r>
      <w:r w:rsidR="00D91299">
        <w:t>described in Order </w:t>
      </w:r>
      <w:r w:rsidR="00426CFF">
        <w:t>6</w:t>
      </w:r>
      <w:r>
        <w:t>.</w:t>
      </w:r>
    </w:p>
    <w:p w14:paraId="0FA3C129" w14:textId="77777777" w:rsidR="00E31BF1" w:rsidRPr="0071556E" w:rsidRDefault="00667D28" w:rsidP="00742B78">
      <w:pPr>
        <w:pStyle w:val="Order1"/>
        <w:numPr>
          <w:ilvl w:val="0"/>
          <w:numId w:val="24"/>
        </w:numPr>
      </w:pPr>
      <w:r>
        <w:t xml:space="preserve">The first respondent be imprisoned for a period of four months for </w:t>
      </w:r>
      <w:r w:rsidR="00D91299">
        <w:t xml:space="preserve">each of the nine </w:t>
      </w:r>
      <w:proofErr w:type="spellStart"/>
      <w:r>
        <w:t>contempts</w:t>
      </w:r>
      <w:proofErr w:type="spellEnd"/>
      <w:r>
        <w:t xml:space="preserve"> described in O</w:t>
      </w:r>
      <w:r w:rsidR="00426CFF">
        <w:t>rder 8</w:t>
      </w:r>
      <w:r>
        <w:t xml:space="preserve">, each sentence to be served concurrently with the other sentences </w:t>
      </w:r>
      <w:r w:rsidR="00D91299">
        <w:t xml:space="preserve">described </w:t>
      </w:r>
      <w:r>
        <w:t>in O</w:t>
      </w:r>
      <w:r w:rsidR="00426CFF">
        <w:t>rder 8</w:t>
      </w:r>
      <w:r>
        <w:t xml:space="preserve">, but consecutively upon the sentences </w:t>
      </w:r>
      <w:r w:rsidR="00D91299">
        <w:t xml:space="preserve">described </w:t>
      </w:r>
      <w:r>
        <w:t>in O</w:t>
      </w:r>
      <w:r w:rsidR="00D91299">
        <w:t>rder </w:t>
      </w:r>
      <w:r w:rsidR="00426CFF">
        <w:t>7</w:t>
      </w:r>
      <w:r w:rsidR="0060163D">
        <w:t>.</w:t>
      </w:r>
      <w:r w:rsidR="00E20073">
        <w:t xml:space="preserve"> </w:t>
      </w:r>
      <w:r w:rsidR="0060163D">
        <w:t xml:space="preserve">After </w:t>
      </w:r>
      <w:r w:rsidR="00E20073">
        <w:t xml:space="preserve">the first respondent has served one month of the four months’ imprisonment, </w:t>
      </w:r>
      <w:r w:rsidR="0060163D">
        <w:t xml:space="preserve">the first respondent will be released from prison and the balance will be suspended from execution </w:t>
      </w:r>
      <w:r w:rsidR="00D91299">
        <w:t xml:space="preserve">subject to </w:t>
      </w:r>
      <w:r w:rsidR="00DE6803">
        <w:t xml:space="preserve">the condition that the first respondent will be imprisoned for at least the balance </w:t>
      </w:r>
      <w:r w:rsidR="00E20073">
        <w:t xml:space="preserve">in the event that the first respondent contravenes </w:t>
      </w:r>
      <w:r w:rsidR="000561C8">
        <w:t>Order 9</w:t>
      </w:r>
      <w:r w:rsidR="00D91299">
        <w:t xml:space="preserve"> or Order 10</w:t>
      </w:r>
      <w:r w:rsidR="00DE6803">
        <w:t xml:space="preserve"> within three years of the date of th</w:t>
      </w:r>
      <w:r w:rsidR="005B3E6E">
        <w:t>e</w:t>
      </w:r>
      <w:r w:rsidR="00DE6803">
        <w:t>s</w:t>
      </w:r>
      <w:r w:rsidR="005B3E6E">
        <w:t>e</w:t>
      </w:r>
      <w:r w:rsidR="00DE6803">
        <w:t xml:space="preserve"> </w:t>
      </w:r>
      <w:r w:rsidR="005B3E6E">
        <w:t>Orders</w:t>
      </w:r>
      <w:r w:rsidR="00E20073">
        <w:t xml:space="preserve">. </w:t>
      </w:r>
    </w:p>
    <w:p w14:paraId="1835F021" w14:textId="77777777" w:rsidR="008D1617" w:rsidRDefault="0071556E" w:rsidP="00742B78">
      <w:pPr>
        <w:pStyle w:val="Order1"/>
        <w:numPr>
          <w:ilvl w:val="0"/>
          <w:numId w:val="24"/>
        </w:numPr>
      </w:pPr>
      <w:r w:rsidRPr="0071556E">
        <w:t xml:space="preserve">A warrant issue for the committal of the </w:t>
      </w:r>
      <w:r w:rsidR="00D7051E" w:rsidRPr="0071556E">
        <w:t xml:space="preserve">first respondent </w:t>
      </w:r>
      <w:r w:rsidRPr="0071556E">
        <w:t>to prison.</w:t>
      </w:r>
    </w:p>
    <w:p w14:paraId="6849D83C" w14:textId="77777777" w:rsidR="00BC163D" w:rsidRDefault="00BC163D" w:rsidP="00742B78">
      <w:pPr>
        <w:pStyle w:val="Order1"/>
        <w:numPr>
          <w:ilvl w:val="0"/>
          <w:numId w:val="24"/>
        </w:numPr>
      </w:pPr>
      <w:r>
        <w:t xml:space="preserve">The warrant </w:t>
      </w:r>
      <w:r w:rsidR="00DE6803">
        <w:t xml:space="preserve">not be executed </w:t>
      </w:r>
      <w:r>
        <w:t xml:space="preserve">for a period of 35 days from the date of these </w:t>
      </w:r>
      <w:r w:rsidR="005B3E6E">
        <w:t>Orders</w:t>
      </w:r>
      <w:r>
        <w:t>.</w:t>
      </w:r>
    </w:p>
    <w:p w14:paraId="73F9631D" w14:textId="77777777" w:rsidR="00674917" w:rsidRDefault="00674917" w:rsidP="00742B78">
      <w:pPr>
        <w:pStyle w:val="Order1"/>
        <w:numPr>
          <w:ilvl w:val="0"/>
          <w:numId w:val="24"/>
        </w:numPr>
      </w:pPr>
      <w:r w:rsidRPr="002B021E">
        <w:t xml:space="preserve">The respondents pay </w:t>
      </w:r>
      <w:r>
        <w:t xml:space="preserve">35% of </w:t>
      </w:r>
      <w:r w:rsidRPr="002B021E">
        <w:t>the applicant’s costs of the proceedings</w:t>
      </w:r>
      <w:r>
        <w:t xml:space="preserve"> on a party-and-party basis</w:t>
      </w:r>
      <w:r w:rsidRPr="002B021E">
        <w:t>.</w:t>
      </w:r>
    </w:p>
    <w:p w14:paraId="415C5043" w14:textId="77777777" w:rsidR="00C337A5" w:rsidRDefault="00C337A5" w:rsidP="00C337A5">
      <w:pPr>
        <w:pStyle w:val="BodyText"/>
      </w:pPr>
    </w:p>
    <w:p w14:paraId="0D7FF694" w14:textId="77777777" w:rsidR="00C337A5" w:rsidRDefault="00C337A5" w:rsidP="00C337A5">
      <w:pPr>
        <w:pStyle w:val="BodyText"/>
      </w:pPr>
      <w:r>
        <w:t>Note:</w:t>
      </w:r>
      <w:r>
        <w:tab/>
        <w:t xml:space="preserve">Entry of orders is dealt with in Rule 39.32 of the </w:t>
      </w:r>
      <w:r>
        <w:rPr>
          <w:i/>
        </w:rPr>
        <w:t>Federal Court Rules 2011</w:t>
      </w:r>
    </w:p>
    <w:p w14:paraId="01235640" w14:textId="77777777" w:rsidR="002D1AAD" w:rsidRDefault="002D1AAD">
      <w:pPr>
        <w:spacing w:line="240" w:lineRule="auto"/>
        <w:jc w:val="left"/>
      </w:pPr>
      <w:r>
        <w:br w:type="page"/>
      </w:r>
    </w:p>
    <w:p w14:paraId="4491A86E" w14:textId="77777777" w:rsidR="00395B24" w:rsidRDefault="002D1AAD" w:rsidP="002D1AAD">
      <w:pPr>
        <w:pStyle w:val="NormalHeadings"/>
        <w:spacing w:line="480" w:lineRule="auto"/>
        <w:jc w:val="center"/>
        <w:rPr>
          <w:sz w:val="28"/>
          <w:szCs w:val="28"/>
        </w:rPr>
      </w:pPr>
      <w:r w:rsidRPr="002D1AAD">
        <w:rPr>
          <w:sz w:val="28"/>
          <w:szCs w:val="28"/>
        </w:rPr>
        <w:lastRenderedPageBreak/>
        <w:t xml:space="preserve">APPENDIX </w:t>
      </w:r>
      <w:r w:rsidR="00116DE6">
        <w:rPr>
          <w:sz w:val="28"/>
          <w:szCs w:val="28"/>
        </w:rPr>
        <w:t>A</w:t>
      </w:r>
    </w:p>
    <w:p w14:paraId="22F76C6A" w14:textId="77777777" w:rsidR="002D1AAD" w:rsidRDefault="002D1AAD" w:rsidP="002D1AAD">
      <w:pPr>
        <w:pStyle w:val="BodyText"/>
        <w:jc w:val="left"/>
        <w:rPr>
          <w:b/>
        </w:rPr>
      </w:pPr>
      <w:r w:rsidRPr="002D1AAD">
        <w:rPr>
          <w:b/>
        </w:rPr>
        <w:t>TABLE 1</w:t>
      </w:r>
    </w:p>
    <w:p w14:paraId="0906D9EE" w14:textId="77777777" w:rsidR="0054182E" w:rsidRPr="002D1AAD" w:rsidRDefault="0054182E" w:rsidP="00E404C7">
      <w:pPr>
        <w:pStyle w:val="SingleSpace"/>
        <w:rPr>
          <w:b/>
        </w:rPr>
      </w:pPr>
    </w:p>
    <w:tbl>
      <w:tblPr>
        <w:tblStyle w:val="TableGrid"/>
        <w:tblW w:w="9067" w:type="dxa"/>
        <w:tblLook w:val="04A0" w:firstRow="1" w:lastRow="0" w:firstColumn="1" w:lastColumn="0" w:noHBand="0" w:noVBand="1"/>
      </w:tblPr>
      <w:tblGrid>
        <w:gridCol w:w="540"/>
        <w:gridCol w:w="1276"/>
        <w:gridCol w:w="3152"/>
        <w:gridCol w:w="4099"/>
      </w:tblGrid>
      <w:tr w:rsidR="002D1AAD" w:rsidRPr="002D1AAD" w14:paraId="6A811F62" w14:textId="77777777" w:rsidTr="002D1AAD">
        <w:tc>
          <w:tcPr>
            <w:tcW w:w="540" w:type="dxa"/>
            <w:shd w:val="clear" w:color="auto" w:fill="D9D9D9" w:themeFill="background1" w:themeFillShade="D9"/>
          </w:tcPr>
          <w:p w14:paraId="66E33482" w14:textId="77777777" w:rsidR="002D1AAD" w:rsidRPr="002D1AAD" w:rsidRDefault="002D1AAD" w:rsidP="002D1AAD">
            <w:pPr>
              <w:pStyle w:val="Small-TableswithinQuotes"/>
              <w:rPr>
                <w:b/>
              </w:rPr>
            </w:pPr>
            <w:r w:rsidRPr="002D1AAD">
              <w:rPr>
                <w:b/>
              </w:rPr>
              <w:t>No.</w:t>
            </w:r>
          </w:p>
        </w:tc>
        <w:tc>
          <w:tcPr>
            <w:tcW w:w="1276" w:type="dxa"/>
            <w:shd w:val="clear" w:color="auto" w:fill="D9D9D9" w:themeFill="background1" w:themeFillShade="D9"/>
          </w:tcPr>
          <w:p w14:paraId="35625025" w14:textId="77777777" w:rsidR="002D1AAD" w:rsidRPr="002D1AAD" w:rsidRDefault="002D1AAD" w:rsidP="002D1AAD">
            <w:pPr>
              <w:pStyle w:val="Small-TableswithinQuotes"/>
              <w:rPr>
                <w:b/>
              </w:rPr>
            </w:pPr>
            <w:r w:rsidRPr="002D1AAD">
              <w:rPr>
                <w:b/>
              </w:rPr>
              <w:t>Date</w:t>
            </w:r>
          </w:p>
        </w:tc>
        <w:tc>
          <w:tcPr>
            <w:tcW w:w="3152" w:type="dxa"/>
            <w:shd w:val="clear" w:color="auto" w:fill="D9D9D9" w:themeFill="background1" w:themeFillShade="D9"/>
          </w:tcPr>
          <w:p w14:paraId="17A96B05" w14:textId="77777777" w:rsidR="002D1AAD" w:rsidRPr="002D1AAD" w:rsidRDefault="002D1AAD" w:rsidP="002D1AAD">
            <w:pPr>
              <w:pStyle w:val="Small-TableswithinQuotes"/>
              <w:rPr>
                <w:b/>
              </w:rPr>
            </w:pPr>
            <w:r w:rsidRPr="002D1AAD">
              <w:rPr>
                <w:b/>
              </w:rPr>
              <w:t>Tax Agent Service</w:t>
            </w:r>
          </w:p>
        </w:tc>
        <w:tc>
          <w:tcPr>
            <w:tcW w:w="4099" w:type="dxa"/>
            <w:shd w:val="clear" w:color="auto" w:fill="D9D9D9" w:themeFill="background1" w:themeFillShade="D9"/>
          </w:tcPr>
          <w:p w14:paraId="597B4E8B" w14:textId="77777777" w:rsidR="002D1AAD" w:rsidRPr="002D1AAD" w:rsidRDefault="002D1AAD" w:rsidP="002D1AAD">
            <w:pPr>
              <w:pStyle w:val="Small-TableswithinQuotes"/>
              <w:rPr>
                <w:b/>
              </w:rPr>
            </w:pPr>
            <w:r w:rsidRPr="002D1AAD">
              <w:rPr>
                <w:b/>
              </w:rPr>
              <w:t>Client</w:t>
            </w:r>
          </w:p>
        </w:tc>
      </w:tr>
      <w:tr w:rsidR="002D1AAD" w:rsidRPr="00B34555" w14:paraId="73314DC6" w14:textId="77777777" w:rsidTr="002D1AAD">
        <w:tc>
          <w:tcPr>
            <w:tcW w:w="540" w:type="dxa"/>
          </w:tcPr>
          <w:p w14:paraId="769DDA39" w14:textId="77777777" w:rsidR="002D1AAD" w:rsidRPr="00B34555" w:rsidRDefault="002D1AAD" w:rsidP="002D1AAD">
            <w:pPr>
              <w:pStyle w:val="Small-TableswithinQuotes"/>
              <w:tabs>
                <w:tab w:val="left" w:pos="323"/>
              </w:tabs>
            </w:pPr>
            <w:r>
              <w:t>1</w:t>
            </w:r>
          </w:p>
        </w:tc>
        <w:tc>
          <w:tcPr>
            <w:tcW w:w="1276" w:type="dxa"/>
          </w:tcPr>
          <w:p w14:paraId="20C9C4EE" w14:textId="77777777" w:rsidR="002D1AAD" w:rsidRPr="00B34555" w:rsidRDefault="002D1AAD" w:rsidP="002D1AAD">
            <w:pPr>
              <w:pStyle w:val="Small-TableswithinQuotes"/>
            </w:pPr>
            <w:r w:rsidRPr="00B34555">
              <w:t>12.09.2018</w:t>
            </w:r>
          </w:p>
        </w:tc>
        <w:tc>
          <w:tcPr>
            <w:tcW w:w="3152" w:type="dxa"/>
          </w:tcPr>
          <w:p w14:paraId="77949AA0" w14:textId="77777777" w:rsidR="002D1AAD" w:rsidRPr="00B34555" w:rsidRDefault="002D1AAD" w:rsidP="002D1AAD">
            <w:pPr>
              <w:pStyle w:val="Small-TableswithinQuotes"/>
            </w:pPr>
            <w:r>
              <w:t>2018 Income Tax Return (</w:t>
            </w:r>
            <w:r w:rsidRPr="009773BD">
              <w:t>ITR</w:t>
            </w:r>
            <w:r>
              <w:t>)</w:t>
            </w:r>
          </w:p>
        </w:tc>
        <w:tc>
          <w:tcPr>
            <w:tcW w:w="4099" w:type="dxa"/>
          </w:tcPr>
          <w:p w14:paraId="1AFCE6DC" w14:textId="77777777" w:rsidR="002D1AAD" w:rsidRPr="00B34555" w:rsidRDefault="002D1AAD" w:rsidP="002D1AAD">
            <w:pPr>
              <w:pStyle w:val="Small-TableswithinQuotes"/>
            </w:pPr>
            <w:r w:rsidRPr="00B34555">
              <w:t>Jung</w:t>
            </w:r>
            <w:r>
              <w:t xml:space="preserve">, </w:t>
            </w:r>
            <w:r w:rsidRPr="00B34555">
              <w:t>Yuri</w:t>
            </w:r>
          </w:p>
        </w:tc>
      </w:tr>
      <w:tr w:rsidR="002D1AAD" w:rsidRPr="00B34555" w14:paraId="04A8B765" w14:textId="77777777" w:rsidTr="002D1AAD">
        <w:tc>
          <w:tcPr>
            <w:tcW w:w="540" w:type="dxa"/>
          </w:tcPr>
          <w:p w14:paraId="4581AC8D" w14:textId="77777777" w:rsidR="002D1AAD" w:rsidRPr="00B34555" w:rsidRDefault="002D1AAD" w:rsidP="002D1AAD">
            <w:pPr>
              <w:pStyle w:val="Small-TableswithinQuotes"/>
              <w:tabs>
                <w:tab w:val="left" w:pos="323"/>
              </w:tabs>
            </w:pPr>
            <w:r>
              <w:t>2</w:t>
            </w:r>
          </w:p>
        </w:tc>
        <w:tc>
          <w:tcPr>
            <w:tcW w:w="1276" w:type="dxa"/>
          </w:tcPr>
          <w:p w14:paraId="1AC56E5F" w14:textId="77777777" w:rsidR="002D1AAD" w:rsidRPr="00B34555" w:rsidRDefault="002D1AAD" w:rsidP="002D1AAD">
            <w:pPr>
              <w:pStyle w:val="Small-TableswithinQuotes"/>
            </w:pPr>
            <w:r w:rsidRPr="00B34555">
              <w:t>06.03.2019</w:t>
            </w:r>
          </w:p>
        </w:tc>
        <w:tc>
          <w:tcPr>
            <w:tcW w:w="3152" w:type="dxa"/>
          </w:tcPr>
          <w:p w14:paraId="2328017D" w14:textId="77777777" w:rsidR="002D1AAD" w:rsidRPr="00B34555" w:rsidRDefault="002D1AAD" w:rsidP="002D1AAD">
            <w:pPr>
              <w:pStyle w:val="Small-TableswithinQuotes"/>
            </w:pPr>
            <w:r w:rsidRPr="00B34555">
              <w:t>2018 ITR</w:t>
            </w:r>
          </w:p>
        </w:tc>
        <w:tc>
          <w:tcPr>
            <w:tcW w:w="4099" w:type="dxa"/>
          </w:tcPr>
          <w:p w14:paraId="50CDDD1E" w14:textId="77777777" w:rsidR="002D1AAD" w:rsidRPr="00B34555" w:rsidRDefault="002D1AAD" w:rsidP="002D1AAD">
            <w:pPr>
              <w:pStyle w:val="Small-TableswithinQuotes"/>
            </w:pPr>
            <w:r w:rsidRPr="00B34555">
              <w:t>Lore</w:t>
            </w:r>
            <w:r>
              <w:t xml:space="preserve">, </w:t>
            </w:r>
            <w:proofErr w:type="spellStart"/>
            <w:r w:rsidRPr="00B34555">
              <w:t>Palwinder</w:t>
            </w:r>
            <w:proofErr w:type="spellEnd"/>
            <w:r w:rsidRPr="00B34555">
              <w:t xml:space="preserve"> Singh</w:t>
            </w:r>
          </w:p>
        </w:tc>
      </w:tr>
      <w:tr w:rsidR="002D1AAD" w:rsidRPr="00B34555" w14:paraId="2B2804F1" w14:textId="77777777" w:rsidTr="002D1AAD">
        <w:tc>
          <w:tcPr>
            <w:tcW w:w="540" w:type="dxa"/>
          </w:tcPr>
          <w:p w14:paraId="57905BF5" w14:textId="77777777" w:rsidR="002D1AAD" w:rsidRPr="00B34555" w:rsidRDefault="002D1AAD" w:rsidP="002D1AAD">
            <w:pPr>
              <w:pStyle w:val="Small-TableswithinQuotes"/>
              <w:tabs>
                <w:tab w:val="left" w:pos="323"/>
              </w:tabs>
            </w:pPr>
            <w:r>
              <w:t>3</w:t>
            </w:r>
          </w:p>
        </w:tc>
        <w:tc>
          <w:tcPr>
            <w:tcW w:w="1276" w:type="dxa"/>
          </w:tcPr>
          <w:p w14:paraId="58249DAB" w14:textId="77777777" w:rsidR="002D1AAD" w:rsidRPr="00B34555" w:rsidRDefault="002D1AAD" w:rsidP="002D1AAD">
            <w:pPr>
              <w:pStyle w:val="Small-TableswithinQuotes"/>
            </w:pPr>
            <w:r w:rsidRPr="00B34555">
              <w:t>14.03.2019</w:t>
            </w:r>
          </w:p>
        </w:tc>
        <w:tc>
          <w:tcPr>
            <w:tcW w:w="3152" w:type="dxa"/>
          </w:tcPr>
          <w:p w14:paraId="0FC196E5" w14:textId="77777777" w:rsidR="002D1AAD" w:rsidRPr="00B34555" w:rsidRDefault="002D1AAD" w:rsidP="002D1AAD">
            <w:pPr>
              <w:pStyle w:val="Small-TableswithinQuotes"/>
            </w:pPr>
            <w:r w:rsidRPr="00B34555">
              <w:t>2018 ITR</w:t>
            </w:r>
          </w:p>
        </w:tc>
        <w:tc>
          <w:tcPr>
            <w:tcW w:w="4099" w:type="dxa"/>
          </w:tcPr>
          <w:p w14:paraId="10C686A4" w14:textId="77777777" w:rsidR="002D1AAD" w:rsidRPr="00B34555" w:rsidRDefault="002D1AAD" w:rsidP="002D1AAD">
            <w:pPr>
              <w:pStyle w:val="Small-TableswithinQuotes"/>
            </w:pPr>
            <w:r w:rsidRPr="00B34555">
              <w:t>Park</w:t>
            </w:r>
            <w:r>
              <w:t xml:space="preserve">, </w:t>
            </w:r>
            <w:r w:rsidRPr="00B34555">
              <w:t xml:space="preserve">Jeremy </w:t>
            </w:r>
            <w:proofErr w:type="spellStart"/>
            <w:r w:rsidRPr="00B34555">
              <w:t>Jihyuk</w:t>
            </w:r>
            <w:proofErr w:type="spellEnd"/>
          </w:p>
        </w:tc>
      </w:tr>
      <w:tr w:rsidR="002D1AAD" w:rsidRPr="00B34555" w14:paraId="3B838322" w14:textId="77777777" w:rsidTr="002D1AAD">
        <w:tc>
          <w:tcPr>
            <w:tcW w:w="540" w:type="dxa"/>
          </w:tcPr>
          <w:p w14:paraId="39525057" w14:textId="77777777" w:rsidR="002D1AAD" w:rsidRPr="00B34555" w:rsidRDefault="002D1AAD" w:rsidP="002D1AAD">
            <w:pPr>
              <w:pStyle w:val="Small-TableswithinQuotes"/>
              <w:tabs>
                <w:tab w:val="left" w:pos="323"/>
              </w:tabs>
            </w:pPr>
            <w:r>
              <w:t>4</w:t>
            </w:r>
          </w:p>
        </w:tc>
        <w:tc>
          <w:tcPr>
            <w:tcW w:w="1276" w:type="dxa"/>
          </w:tcPr>
          <w:p w14:paraId="25E0FBB0" w14:textId="77777777" w:rsidR="002D1AAD" w:rsidRPr="00B34555" w:rsidRDefault="002D1AAD" w:rsidP="002D1AAD">
            <w:pPr>
              <w:pStyle w:val="Small-TableswithinQuotes"/>
            </w:pPr>
            <w:r w:rsidRPr="00B34555">
              <w:t>19.03.2019</w:t>
            </w:r>
          </w:p>
        </w:tc>
        <w:tc>
          <w:tcPr>
            <w:tcW w:w="3152" w:type="dxa"/>
          </w:tcPr>
          <w:p w14:paraId="43245FDC" w14:textId="77777777" w:rsidR="002D1AAD" w:rsidRPr="00B34555" w:rsidRDefault="002D1AAD" w:rsidP="002D1AAD">
            <w:pPr>
              <w:pStyle w:val="Small-TableswithinQuotes"/>
            </w:pPr>
            <w:r w:rsidRPr="00B34555">
              <w:t>2018 ITR</w:t>
            </w:r>
          </w:p>
        </w:tc>
        <w:tc>
          <w:tcPr>
            <w:tcW w:w="4099" w:type="dxa"/>
          </w:tcPr>
          <w:p w14:paraId="657E5B5A" w14:textId="77777777" w:rsidR="002D1AAD" w:rsidRPr="00B34555" w:rsidRDefault="002D1AAD" w:rsidP="002D1AAD">
            <w:pPr>
              <w:pStyle w:val="Small-TableswithinQuotes"/>
            </w:pPr>
            <w:r w:rsidRPr="00B34555">
              <w:t>Shaikh</w:t>
            </w:r>
            <w:r>
              <w:t xml:space="preserve">, </w:t>
            </w:r>
            <w:r w:rsidRPr="00B34555">
              <w:t xml:space="preserve">Mohammed </w:t>
            </w:r>
            <w:proofErr w:type="spellStart"/>
            <w:r w:rsidRPr="00B34555">
              <w:t>Rizwan</w:t>
            </w:r>
            <w:proofErr w:type="spellEnd"/>
          </w:p>
        </w:tc>
      </w:tr>
      <w:tr w:rsidR="002D1AAD" w14:paraId="7678CCE1" w14:textId="77777777" w:rsidTr="002D1AAD">
        <w:tc>
          <w:tcPr>
            <w:tcW w:w="540" w:type="dxa"/>
          </w:tcPr>
          <w:p w14:paraId="3F4A775C" w14:textId="77777777" w:rsidR="002D1AAD" w:rsidRPr="00B34555" w:rsidRDefault="002D1AAD" w:rsidP="002D1AAD">
            <w:pPr>
              <w:pStyle w:val="Small-TableswithinQuotes"/>
              <w:tabs>
                <w:tab w:val="left" w:pos="323"/>
              </w:tabs>
            </w:pPr>
            <w:r>
              <w:t>5</w:t>
            </w:r>
          </w:p>
        </w:tc>
        <w:tc>
          <w:tcPr>
            <w:tcW w:w="1276" w:type="dxa"/>
          </w:tcPr>
          <w:p w14:paraId="26D1CD41" w14:textId="77777777" w:rsidR="002D1AAD" w:rsidRPr="00B34555" w:rsidRDefault="002D1AAD" w:rsidP="002D1AAD">
            <w:pPr>
              <w:pStyle w:val="Small-TableswithinQuotes"/>
            </w:pPr>
            <w:r w:rsidRPr="00B34555">
              <w:t>12.09.2018</w:t>
            </w:r>
          </w:p>
        </w:tc>
        <w:tc>
          <w:tcPr>
            <w:tcW w:w="3152" w:type="dxa"/>
          </w:tcPr>
          <w:p w14:paraId="59BBFF5E" w14:textId="77777777" w:rsidR="002D1AAD" w:rsidRPr="00B34555" w:rsidRDefault="002D1AAD" w:rsidP="002D1AAD">
            <w:pPr>
              <w:pStyle w:val="Small-TableswithinQuotes"/>
            </w:pPr>
            <w:r w:rsidRPr="00B34555">
              <w:t>2018 ITR</w:t>
            </w:r>
          </w:p>
        </w:tc>
        <w:tc>
          <w:tcPr>
            <w:tcW w:w="4099" w:type="dxa"/>
          </w:tcPr>
          <w:p w14:paraId="1C40A14D" w14:textId="77777777" w:rsidR="002D1AAD" w:rsidRPr="00B34555" w:rsidRDefault="002D1AAD" w:rsidP="002D1AAD">
            <w:pPr>
              <w:pStyle w:val="Small-TableswithinQuotes"/>
            </w:pPr>
            <w:r w:rsidRPr="00B34555">
              <w:t>Wong</w:t>
            </w:r>
            <w:r>
              <w:t xml:space="preserve">, </w:t>
            </w:r>
            <w:proofErr w:type="spellStart"/>
            <w:r w:rsidRPr="00B34555">
              <w:t>Wai</w:t>
            </w:r>
            <w:proofErr w:type="spellEnd"/>
            <w:r w:rsidRPr="00B34555">
              <w:t xml:space="preserve"> </w:t>
            </w:r>
            <w:proofErr w:type="spellStart"/>
            <w:r w:rsidRPr="00B34555">
              <w:t>Kam</w:t>
            </w:r>
            <w:proofErr w:type="spellEnd"/>
          </w:p>
        </w:tc>
      </w:tr>
    </w:tbl>
    <w:p w14:paraId="1358BFA3" w14:textId="77777777" w:rsidR="002D1AAD" w:rsidRDefault="002D1AAD" w:rsidP="005A1F99">
      <w:pPr>
        <w:pStyle w:val="SingleSpace"/>
      </w:pPr>
    </w:p>
    <w:p w14:paraId="4EBC9945" w14:textId="77777777" w:rsidR="002D1AAD" w:rsidRPr="002D1AAD" w:rsidRDefault="002D1AAD" w:rsidP="005A1F99">
      <w:pPr>
        <w:pStyle w:val="SingleSpace"/>
        <w:rPr>
          <w:b/>
        </w:rPr>
      </w:pPr>
      <w:r w:rsidRPr="002D1AAD">
        <w:rPr>
          <w:b/>
        </w:rPr>
        <w:t>TABLE 2</w:t>
      </w:r>
    </w:p>
    <w:p w14:paraId="3450C9BA" w14:textId="77777777" w:rsidR="002D1AAD" w:rsidRDefault="002D1AAD" w:rsidP="005A1F99">
      <w:pPr>
        <w:pStyle w:val="SingleSpace"/>
      </w:pPr>
    </w:p>
    <w:tbl>
      <w:tblPr>
        <w:tblStyle w:val="TableGrid"/>
        <w:tblW w:w="9080" w:type="dxa"/>
        <w:tblLook w:val="04A0" w:firstRow="1" w:lastRow="0" w:firstColumn="1" w:lastColumn="0" w:noHBand="0" w:noVBand="1"/>
      </w:tblPr>
      <w:tblGrid>
        <w:gridCol w:w="541"/>
        <w:gridCol w:w="1274"/>
        <w:gridCol w:w="3150"/>
        <w:gridCol w:w="4115"/>
      </w:tblGrid>
      <w:tr w:rsidR="00B92D73" w:rsidRPr="00B92D73" w14:paraId="7588E103" w14:textId="77777777" w:rsidTr="00B92D73">
        <w:trPr>
          <w:tblHeader/>
        </w:trPr>
        <w:tc>
          <w:tcPr>
            <w:tcW w:w="541" w:type="dxa"/>
            <w:shd w:val="clear" w:color="auto" w:fill="D9D9D9" w:themeFill="background1" w:themeFillShade="D9"/>
          </w:tcPr>
          <w:p w14:paraId="1A57C05C" w14:textId="77777777" w:rsidR="00B92D73" w:rsidRPr="00B92D73" w:rsidRDefault="00B92D73" w:rsidP="00B92D73">
            <w:pPr>
              <w:pStyle w:val="Small-TableswithinQuotes"/>
              <w:rPr>
                <w:b/>
              </w:rPr>
            </w:pPr>
            <w:r w:rsidRPr="00B92D73">
              <w:rPr>
                <w:b/>
              </w:rPr>
              <w:t>No.</w:t>
            </w:r>
          </w:p>
        </w:tc>
        <w:tc>
          <w:tcPr>
            <w:tcW w:w="1274" w:type="dxa"/>
            <w:shd w:val="clear" w:color="auto" w:fill="D9D9D9" w:themeFill="background1" w:themeFillShade="D9"/>
          </w:tcPr>
          <w:p w14:paraId="337B5074" w14:textId="77777777" w:rsidR="00B92D73" w:rsidRPr="00B92D73" w:rsidRDefault="00B92D73" w:rsidP="00B92D73">
            <w:pPr>
              <w:pStyle w:val="Small-TableswithinQuotes"/>
              <w:rPr>
                <w:b/>
              </w:rPr>
            </w:pPr>
            <w:r w:rsidRPr="00B92D73">
              <w:rPr>
                <w:b/>
              </w:rPr>
              <w:t>Date</w:t>
            </w:r>
          </w:p>
        </w:tc>
        <w:tc>
          <w:tcPr>
            <w:tcW w:w="3150" w:type="dxa"/>
            <w:shd w:val="clear" w:color="auto" w:fill="D9D9D9" w:themeFill="background1" w:themeFillShade="D9"/>
          </w:tcPr>
          <w:p w14:paraId="1CCA537A" w14:textId="77777777" w:rsidR="00B92D73" w:rsidRPr="00B92D73" w:rsidRDefault="00B92D73" w:rsidP="00B92D73">
            <w:pPr>
              <w:pStyle w:val="Small-TableswithinQuotes"/>
              <w:rPr>
                <w:b/>
              </w:rPr>
            </w:pPr>
            <w:r w:rsidRPr="00B92D73">
              <w:rPr>
                <w:b/>
              </w:rPr>
              <w:t>Tax Agent Service</w:t>
            </w:r>
          </w:p>
        </w:tc>
        <w:tc>
          <w:tcPr>
            <w:tcW w:w="4115" w:type="dxa"/>
            <w:shd w:val="clear" w:color="auto" w:fill="D9D9D9" w:themeFill="background1" w:themeFillShade="D9"/>
          </w:tcPr>
          <w:p w14:paraId="18F120ED" w14:textId="77777777" w:rsidR="00B92D73" w:rsidRPr="00B92D73" w:rsidRDefault="00B92D73" w:rsidP="00B92D73">
            <w:pPr>
              <w:pStyle w:val="Small-TableswithinQuotes"/>
              <w:rPr>
                <w:b/>
              </w:rPr>
            </w:pPr>
            <w:r w:rsidRPr="00B92D73">
              <w:rPr>
                <w:b/>
              </w:rPr>
              <w:t>Client</w:t>
            </w:r>
          </w:p>
        </w:tc>
      </w:tr>
      <w:tr w:rsidR="00B92D73" w:rsidRPr="002D1AAD" w14:paraId="269A6A4F" w14:textId="77777777" w:rsidTr="00B92D73">
        <w:tc>
          <w:tcPr>
            <w:tcW w:w="541" w:type="dxa"/>
          </w:tcPr>
          <w:p w14:paraId="1F2D23C8" w14:textId="77777777" w:rsidR="00B92D73" w:rsidRPr="002D1AAD" w:rsidRDefault="00B92D73" w:rsidP="00B92D73">
            <w:pPr>
              <w:pStyle w:val="Small-TableswithinQuotes"/>
            </w:pPr>
            <w:r w:rsidRPr="002D1AAD">
              <w:t>1</w:t>
            </w:r>
          </w:p>
        </w:tc>
        <w:tc>
          <w:tcPr>
            <w:tcW w:w="1274" w:type="dxa"/>
          </w:tcPr>
          <w:p w14:paraId="21C27484" w14:textId="77777777" w:rsidR="00B92D73" w:rsidRPr="002D1AAD" w:rsidRDefault="00B92D73" w:rsidP="00B92D73">
            <w:pPr>
              <w:pStyle w:val="Small-TableswithinQuotes"/>
            </w:pPr>
            <w:r w:rsidRPr="002D1AAD">
              <w:t>15.09.2018</w:t>
            </w:r>
          </w:p>
        </w:tc>
        <w:tc>
          <w:tcPr>
            <w:tcW w:w="3150" w:type="dxa"/>
          </w:tcPr>
          <w:p w14:paraId="3BFCC305" w14:textId="77777777" w:rsidR="00B92D73" w:rsidRPr="002D1AAD" w:rsidRDefault="00B92D73" w:rsidP="00B92D73">
            <w:pPr>
              <w:pStyle w:val="Small-TableswithinQuotes"/>
            </w:pPr>
            <w:r w:rsidRPr="002D1AAD">
              <w:t>2018 ITR</w:t>
            </w:r>
          </w:p>
        </w:tc>
        <w:tc>
          <w:tcPr>
            <w:tcW w:w="4115" w:type="dxa"/>
          </w:tcPr>
          <w:p w14:paraId="6AD27333" w14:textId="77777777" w:rsidR="00B92D73" w:rsidRPr="002D1AAD" w:rsidRDefault="00B92D73" w:rsidP="00B92D73">
            <w:pPr>
              <w:pStyle w:val="Small-TableswithinQuotes"/>
            </w:pPr>
            <w:proofErr w:type="spellStart"/>
            <w:r w:rsidRPr="002D1AAD">
              <w:t>Abelita</w:t>
            </w:r>
            <w:proofErr w:type="spellEnd"/>
            <w:r w:rsidRPr="002D1AAD">
              <w:t>, Mary Ann</w:t>
            </w:r>
          </w:p>
        </w:tc>
      </w:tr>
      <w:tr w:rsidR="00B92D73" w:rsidRPr="002D1AAD" w14:paraId="55F4EDC6" w14:textId="77777777" w:rsidTr="00B92D73">
        <w:tc>
          <w:tcPr>
            <w:tcW w:w="541" w:type="dxa"/>
          </w:tcPr>
          <w:p w14:paraId="0CED1911" w14:textId="77777777" w:rsidR="00B92D73" w:rsidRPr="002D1AAD" w:rsidRDefault="00B92D73" w:rsidP="00B92D73">
            <w:pPr>
              <w:pStyle w:val="Small-TableswithinQuotes"/>
            </w:pPr>
            <w:r w:rsidRPr="002D1AAD">
              <w:t>2</w:t>
            </w:r>
          </w:p>
        </w:tc>
        <w:tc>
          <w:tcPr>
            <w:tcW w:w="1274" w:type="dxa"/>
          </w:tcPr>
          <w:p w14:paraId="7EE755C6" w14:textId="77777777" w:rsidR="00B92D73" w:rsidRPr="002D1AAD" w:rsidRDefault="00B92D73" w:rsidP="00B92D73">
            <w:pPr>
              <w:pStyle w:val="Small-TableswithinQuotes"/>
            </w:pPr>
            <w:r w:rsidRPr="002D1AAD">
              <w:t>25.08.2015</w:t>
            </w:r>
          </w:p>
        </w:tc>
        <w:tc>
          <w:tcPr>
            <w:tcW w:w="3150" w:type="dxa"/>
          </w:tcPr>
          <w:p w14:paraId="0BD27A67" w14:textId="77777777" w:rsidR="00B92D73" w:rsidRPr="002D1AAD" w:rsidRDefault="00B92D73" w:rsidP="00B92D73">
            <w:pPr>
              <w:pStyle w:val="Small-TableswithinQuotes"/>
            </w:pPr>
            <w:r w:rsidRPr="002D1AAD">
              <w:t>2015 ITR</w:t>
            </w:r>
          </w:p>
        </w:tc>
        <w:tc>
          <w:tcPr>
            <w:tcW w:w="4115" w:type="dxa"/>
          </w:tcPr>
          <w:p w14:paraId="24AE836F" w14:textId="77777777" w:rsidR="00B92D73" w:rsidRPr="002D1AAD" w:rsidRDefault="00B92D73" w:rsidP="00B92D73">
            <w:pPr>
              <w:pStyle w:val="Small-TableswithinQuotes"/>
            </w:pPr>
            <w:r w:rsidRPr="002D1AAD">
              <w:t xml:space="preserve">Anderson, </w:t>
            </w:r>
            <w:proofErr w:type="spellStart"/>
            <w:r w:rsidRPr="002D1AAD">
              <w:t>Desley</w:t>
            </w:r>
            <w:proofErr w:type="spellEnd"/>
            <w:r w:rsidRPr="002D1AAD">
              <w:t xml:space="preserve"> Frances</w:t>
            </w:r>
          </w:p>
        </w:tc>
      </w:tr>
      <w:tr w:rsidR="00B92D73" w:rsidRPr="002D1AAD" w14:paraId="7C8C0071" w14:textId="77777777" w:rsidTr="00B92D73">
        <w:tc>
          <w:tcPr>
            <w:tcW w:w="541" w:type="dxa"/>
          </w:tcPr>
          <w:p w14:paraId="3052A477" w14:textId="77777777" w:rsidR="00B92D73" w:rsidRPr="002D1AAD" w:rsidRDefault="00B92D73" w:rsidP="00B92D73">
            <w:pPr>
              <w:pStyle w:val="Small-TableswithinQuotes"/>
            </w:pPr>
            <w:r w:rsidRPr="002D1AAD">
              <w:t>3</w:t>
            </w:r>
          </w:p>
        </w:tc>
        <w:tc>
          <w:tcPr>
            <w:tcW w:w="1274" w:type="dxa"/>
          </w:tcPr>
          <w:p w14:paraId="6D7C3368" w14:textId="77777777" w:rsidR="00B92D73" w:rsidRPr="002D1AAD" w:rsidRDefault="00B92D73" w:rsidP="00B92D73">
            <w:pPr>
              <w:pStyle w:val="Small-TableswithinQuotes"/>
            </w:pPr>
            <w:r w:rsidRPr="002D1AAD">
              <w:t>17.08.2016</w:t>
            </w:r>
          </w:p>
        </w:tc>
        <w:tc>
          <w:tcPr>
            <w:tcW w:w="3150" w:type="dxa"/>
          </w:tcPr>
          <w:p w14:paraId="50CD163D" w14:textId="77777777" w:rsidR="00B92D73" w:rsidRPr="002D1AAD" w:rsidRDefault="00B92D73" w:rsidP="00B92D73">
            <w:pPr>
              <w:pStyle w:val="Small-TableswithinQuotes"/>
            </w:pPr>
            <w:r w:rsidRPr="002D1AAD">
              <w:t>2016 ITR</w:t>
            </w:r>
          </w:p>
        </w:tc>
        <w:tc>
          <w:tcPr>
            <w:tcW w:w="4115" w:type="dxa"/>
          </w:tcPr>
          <w:p w14:paraId="66DB0CEE" w14:textId="77777777" w:rsidR="00B92D73" w:rsidRPr="002D1AAD" w:rsidRDefault="00B92D73" w:rsidP="00B92D73">
            <w:pPr>
              <w:pStyle w:val="Small-TableswithinQuotes"/>
            </w:pPr>
            <w:r w:rsidRPr="002D1AAD">
              <w:t xml:space="preserve">Anderson, </w:t>
            </w:r>
            <w:proofErr w:type="spellStart"/>
            <w:r w:rsidRPr="002D1AAD">
              <w:t>Desley</w:t>
            </w:r>
            <w:proofErr w:type="spellEnd"/>
            <w:r w:rsidRPr="002D1AAD">
              <w:t xml:space="preserve"> Frances</w:t>
            </w:r>
          </w:p>
        </w:tc>
      </w:tr>
      <w:tr w:rsidR="00B92D73" w:rsidRPr="002D1AAD" w14:paraId="3B93975B" w14:textId="77777777" w:rsidTr="00B92D73">
        <w:tc>
          <w:tcPr>
            <w:tcW w:w="541" w:type="dxa"/>
          </w:tcPr>
          <w:p w14:paraId="21F9E42A" w14:textId="77777777" w:rsidR="00B92D73" w:rsidRPr="002D1AAD" w:rsidRDefault="00B92D73" w:rsidP="00B92D73">
            <w:pPr>
              <w:pStyle w:val="Small-TableswithinQuotes"/>
            </w:pPr>
            <w:r w:rsidRPr="002D1AAD">
              <w:t>4</w:t>
            </w:r>
          </w:p>
        </w:tc>
        <w:tc>
          <w:tcPr>
            <w:tcW w:w="1274" w:type="dxa"/>
          </w:tcPr>
          <w:p w14:paraId="0AB2F581" w14:textId="77777777" w:rsidR="00B92D73" w:rsidRPr="002D1AAD" w:rsidRDefault="00B92D73" w:rsidP="00B92D73">
            <w:pPr>
              <w:pStyle w:val="Small-TableswithinQuotes"/>
            </w:pPr>
            <w:r w:rsidRPr="002D1AAD">
              <w:t>20.08.2017</w:t>
            </w:r>
          </w:p>
        </w:tc>
        <w:tc>
          <w:tcPr>
            <w:tcW w:w="3150" w:type="dxa"/>
          </w:tcPr>
          <w:p w14:paraId="0E810BF7" w14:textId="77777777" w:rsidR="00B92D73" w:rsidRPr="002D1AAD" w:rsidRDefault="00B92D73" w:rsidP="00B92D73">
            <w:pPr>
              <w:pStyle w:val="Small-TableswithinQuotes"/>
            </w:pPr>
            <w:r w:rsidRPr="002D1AAD">
              <w:t>2017 ITR</w:t>
            </w:r>
          </w:p>
        </w:tc>
        <w:tc>
          <w:tcPr>
            <w:tcW w:w="4115" w:type="dxa"/>
          </w:tcPr>
          <w:p w14:paraId="07B4BBC1" w14:textId="77777777" w:rsidR="00B92D73" w:rsidRPr="002D1AAD" w:rsidRDefault="00B92D73" w:rsidP="00B92D73">
            <w:pPr>
              <w:pStyle w:val="Small-TableswithinQuotes"/>
            </w:pPr>
            <w:r w:rsidRPr="002D1AAD">
              <w:t xml:space="preserve">Anderson, </w:t>
            </w:r>
            <w:proofErr w:type="spellStart"/>
            <w:r w:rsidRPr="002D1AAD">
              <w:t>Desley</w:t>
            </w:r>
            <w:proofErr w:type="spellEnd"/>
            <w:r w:rsidRPr="002D1AAD">
              <w:t xml:space="preserve"> Frances</w:t>
            </w:r>
          </w:p>
        </w:tc>
      </w:tr>
      <w:tr w:rsidR="00B92D73" w:rsidRPr="002D1AAD" w14:paraId="3A0C6EDA" w14:textId="77777777" w:rsidTr="00B92D73">
        <w:tc>
          <w:tcPr>
            <w:tcW w:w="541" w:type="dxa"/>
          </w:tcPr>
          <w:p w14:paraId="28225966" w14:textId="77777777" w:rsidR="00B92D73" w:rsidRPr="002D1AAD" w:rsidRDefault="00B92D73" w:rsidP="00B92D73">
            <w:pPr>
              <w:pStyle w:val="Small-TableswithinQuotes"/>
            </w:pPr>
            <w:r w:rsidRPr="002D1AAD">
              <w:t>5</w:t>
            </w:r>
          </w:p>
        </w:tc>
        <w:tc>
          <w:tcPr>
            <w:tcW w:w="1274" w:type="dxa"/>
          </w:tcPr>
          <w:p w14:paraId="48CC61A4" w14:textId="77777777" w:rsidR="00B92D73" w:rsidRPr="002D1AAD" w:rsidRDefault="00B92D73" w:rsidP="00B92D73">
            <w:pPr>
              <w:pStyle w:val="Small-TableswithinQuotes"/>
            </w:pPr>
            <w:r w:rsidRPr="002D1AAD">
              <w:t>25.08.2015</w:t>
            </w:r>
          </w:p>
        </w:tc>
        <w:tc>
          <w:tcPr>
            <w:tcW w:w="3150" w:type="dxa"/>
          </w:tcPr>
          <w:p w14:paraId="63CAA445" w14:textId="77777777" w:rsidR="00B92D73" w:rsidRPr="002D1AAD" w:rsidRDefault="00B92D73" w:rsidP="00B92D73">
            <w:pPr>
              <w:pStyle w:val="Small-TableswithinQuotes"/>
            </w:pPr>
            <w:r w:rsidRPr="002D1AAD">
              <w:t>2015 ITR</w:t>
            </w:r>
          </w:p>
        </w:tc>
        <w:tc>
          <w:tcPr>
            <w:tcW w:w="4115" w:type="dxa"/>
          </w:tcPr>
          <w:p w14:paraId="700CE725" w14:textId="77777777" w:rsidR="00B92D73" w:rsidRPr="002D1AAD" w:rsidRDefault="00B92D73" w:rsidP="00B92D73">
            <w:pPr>
              <w:pStyle w:val="Small-TableswithinQuotes"/>
            </w:pPr>
            <w:r w:rsidRPr="002D1AAD">
              <w:t>Anderson, John Paul</w:t>
            </w:r>
          </w:p>
        </w:tc>
      </w:tr>
      <w:tr w:rsidR="00B92D73" w:rsidRPr="002D1AAD" w14:paraId="6842A0DB" w14:textId="77777777" w:rsidTr="00B92D73">
        <w:tc>
          <w:tcPr>
            <w:tcW w:w="541" w:type="dxa"/>
          </w:tcPr>
          <w:p w14:paraId="0A057724" w14:textId="77777777" w:rsidR="00B92D73" w:rsidRPr="002D1AAD" w:rsidRDefault="00B92D73" w:rsidP="00B92D73">
            <w:pPr>
              <w:pStyle w:val="Small-TableswithinQuotes"/>
            </w:pPr>
            <w:r w:rsidRPr="002D1AAD">
              <w:t>6</w:t>
            </w:r>
          </w:p>
        </w:tc>
        <w:tc>
          <w:tcPr>
            <w:tcW w:w="1274" w:type="dxa"/>
          </w:tcPr>
          <w:p w14:paraId="0EB860AB" w14:textId="77777777" w:rsidR="00B92D73" w:rsidRPr="002D1AAD" w:rsidRDefault="00B92D73" w:rsidP="00B92D73">
            <w:pPr>
              <w:pStyle w:val="Small-TableswithinQuotes"/>
            </w:pPr>
            <w:r w:rsidRPr="002D1AAD">
              <w:t>17.08.2016</w:t>
            </w:r>
          </w:p>
        </w:tc>
        <w:tc>
          <w:tcPr>
            <w:tcW w:w="3150" w:type="dxa"/>
          </w:tcPr>
          <w:p w14:paraId="526149A0" w14:textId="77777777" w:rsidR="00B92D73" w:rsidRPr="002D1AAD" w:rsidRDefault="00B92D73" w:rsidP="00B92D73">
            <w:pPr>
              <w:pStyle w:val="Small-TableswithinQuotes"/>
            </w:pPr>
            <w:r w:rsidRPr="002D1AAD">
              <w:t>2016 ITR</w:t>
            </w:r>
          </w:p>
        </w:tc>
        <w:tc>
          <w:tcPr>
            <w:tcW w:w="4115" w:type="dxa"/>
          </w:tcPr>
          <w:p w14:paraId="7952603B" w14:textId="77777777" w:rsidR="00B92D73" w:rsidRPr="002D1AAD" w:rsidRDefault="00B92D73" w:rsidP="00B92D73">
            <w:pPr>
              <w:pStyle w:val="Small-TableswithinQuotes"/>
            </w:pPr>
            <w:r w:rsidRPr="002D1AAD">
              <w:t>Anderson, John Paul</w:t>
            </w:r>
          </w:p>
        </w:tc>
      </w:tr>
      <w:tr w:rsidR="00B92D73" w:rsidRPr="002D1AAD" w14:paraId="22F70EB9" w14:textId="77777777" w:rsidTr="00B92D73">
        <w:tc>
          <w:tcPr>
            <w:tcW w:w="541" w:type="dxa"/>
          </w:tcPr>
          <w:p w14:paraId="5F21E146" w14:textId="77777777" w:rsidR="00B92D73" w:rsidRPr="002D1AAD" w:rsidRDefault="00B92D73" w:rsidP="00B92D73">
            <w:pPr>
              <w:pStyle w:val="Small-TableswithinQuotes"/>
            </w:pPr>
            <w:r w:rsidRPr="002D1AAD">
              <w:t>7</w:t>
            </w:r>
          </w:p>
        </w:tc>
        <w:tc>
          <w:tcPr>
            <w:tcW w:w="1274" w:type="dxa"/>
          </w:tcPr>
          <w:p w14:paraId="31CC33F7" w14:textId="77777777" w:rsidR="00B92D73" w:rsidRPr="002D1AAD" w:rsidRDefault="00B92D73" w:rsidP="00B92D73">
            <w:pPr>
              <w:pStyle w:val="Small-TableswithinQuotes"/>
            </w:pPr>
            <w:r w:rsidRPr="002D1AAD">
              <w:t>20.08.2017</w:t>
            </w:r>
          </w:p>
        </w:tc>
        <w:tc>
          <w:tcPr>
            <w:tcW w:w="3150" w:type="dxa"/>
          </w:tcPr>
          <w:p w14:paraId="01F2560A" w14:textId="77777777" w:rsidR="00B92D73" w:rsidRPr="002D1AAD" w:rsidRDefault="00B92D73" w:rsidP="00B92D73">
            <w:pPr>
              <w:pStyle w:val="Small-TableswithinQuotes"/>
            </w:pPr>
            <w:r w:rsidRPr="002D1AAD">
              <w:t>2017 ITR</w:t>
            </w:r>
          </w:p>
        </w:tc>
        <w:tc>
          <w:tcPr>
            <w:tcW w:w="4115" w:type="dxa"/>
          </w:tcPr>
          <w:p w14:paraId="48DB5FCD" w14:textId="77777777" w:rsidR="00B92D73" w:rsidRPr="002D1AAD" w:rsidRDefault="00B92D73" w:rsidP="00B92D73">
            <w:pPr>
              <w:pStyle w:val="Small-TableswithinQuotes"/>
            </w:pPr>
            <w:r w:rsidRPr="002D1AAD">
              <w:t>Anderson, John Paul</w:t>
            </w:r>
          </w:p>
        </w:tc>
      </w:tr>
      <w:tr w:rsidR="00B92D73" w:rsidRPr="002D1AAD" w14:paraId="0BDCB6BC" w14:textId="77777777" w:rsidTr="00B92D73">
        <w:tc>
          <w:tcPr>
            <w:tcW w:w="541" w:type="dxa"/>
          </w:tcPr>
          <w:p w14:paraId="7AFC921D" w14:textId="77777777" w:rsidR="00B92D73" w:rsidRPr="002D1AAD" w:rsidRDefault="00B92D73" w:rsidP="00B92D73">
            <w:pPr>
              <w:pStyle w:val="Small-TableswithinQuotes"/>
            </w:pPr>
            <w:r w:rsidRPr="002D1AAD">
              <w:t>8</w:t>
            </w:r>
          </w:p>
        </w:tc>
        <w:tc>
          <w:tcPr>
            <w:tcW w:w="1274" w:type="dxa"/>
          </w:tcPr>
          <w:p w14:paraId="467E6A9B" w14:textId="77777777" w:rsidR="00B92D73" w:rsidRPr="002D1AAD" w:rsidRDefault="00B92D73" w:rsidP="00B92D73">
            <w:pPr>
              <w:pStyle w:val="Small-TableswithinQuotes"/>
            </w:pPr>
            <w:r w:rsidRPr="002D1AAD">
              <w:t>19.08.2016</w:t>
            </w:r>
          </w:p>
        </w:tc>
        <w:tc>
          <w:tcPr>
            <w:tcW w:w="3150" w:type="dxa"/>
          </w:tcPr>
          <w:p w14:paraId="7ACC90C0" w14:textId="77777777" w:rsidR="00B92D73" w:rsidRPr="002D1AAD" w:rsidRDefault="00B92D73" w:rsidP="00B92D73">
            <w:pPr>
              <w:pStyle w:val="Small-TableswithinQuotes"/>
            </w:pPr>
            <w:r w:rsidRPr="002D1AAD">
              <w:t>2016 ITR</w:t>
            </w:r>
          </w:p>
        </w:tc>
        <w:tc>
          <w:tcPr>
            <w:tcW w:w="4115" w:type="dxa"/>
          </w:tcPr>
          <w:p w14:paraId="14DA0ACA" w14:textId="77777777" w:rsidR="00B92D73" w:rsidRPr="002D1AAD" w:rsidRDefault="00B92D73" w:rsidP="00B92D73">
            <w:pPr>
              <w:pStyle w:val="Small-TableswithinQuotes"/>
            </w:pPr>
            <w:proofErr w:type="spellStart"/>
            <w:r w:rsidRPr="002D1AAD">
              <w:t>Arandela</w:t>
            </w:r>
            <w:proofErr w:type="spellEnd"/>
            <w:r w:rsidRPr="002D1AAD">
              <w:t>, Michael</w:t>
            </w:r>
          </w:p>
        </w:tc>
      </w:tr>
      <w:tr w:rsidR="00B92D73" w:rsidRPr="002D1AAD" w14:paraId="2C721BE0" w14:textId="77777777" w:rsidTr="00B92D73">
        <w:tc>
          <w:tcPr>
            <w:tcW w:w="541" w:type="dxa"/>
          </w:tcPr>
          <w:p w14:paraId="2D5B0B7C" w14:textId="77777777" w:rsidR="00B92D73" w:rsidRPr="002D1AAD" w:rsidRDefault="00B92D73" w:rsidP="00B92D73">
            <w:pPr>
              <w:pStyle w:val="Small-TableswithinQuotes"/>
            </w:pPr>
            <w:r w:rsidRPr="002D1AAD">
              <w:t>9</w:t>
            </w:r>
          </w:p>
        </w:tc>
        <w:tc>
          <w:tcPr>
            <w:tcW w:w="1274" w:type="dxa"/>
          </w:tcPr>
          <w:p w14:paraId="18D46EF0" w14:textId="77777777" w:rsidR="00B92D73" w:rsidRPr="002D1AAD" w:rsidRDefault="00B92D73" w:rsidP="00B92D73">
            <w:pPr>
              <w:pStyle w:val="Small-TableswithinQuotes"/>
            </w:pPr>
            <w:r w:rsidRPr="002D1AAD">
              <w:t>25.07.2017</w:t>
            </w:r>
          </w:p>
        </w:tc>
        <w:tc>
          <w:tcPr>
            <w:tcW w:w="3150" w:type="dxa"/>
          </w:tcPr>
          <w:p w14:paraId="28B0AD54" w14:textId="77777777" w:rsidR="00B92D73" w:rsidRPr="002D1AAD" w:rsidRDefault="00B92D73" w:rsidP="00B92D73">
            <w:pPr>
              <w:pStyle w:val="Small-TableswithinQuotes"/>
            </w:pPr>
            <w:r w:rsidRPr="002D1AAD">
              <w:t>2017 ITR</w:t>
            </w:r>
          </w:p>
        </w:tc>
        <w:tc>
          <w:tcPr>
            <w:tcW w:w="4115" w:type="dxa"/>
          </w:tcPr>
          <w:p w14:paraId="1CF63593" w14:textId="77777777" w:rsidR="00B92D73" w:rsidRPr="002D1AAD" w:rsidRDefault="00B92D73" w:rsidP="00B92D73">
            <w:pPr>
              <w:pStyle w:val="Small-TableswithinQuotes"/>
            </w:pPr>
            <w:proofErr w:type="spellStart"/>
            <w:r w:rsidRPr="002D1AAD">
              <w:t>Arandela</w:t>
            </w:r>
            <w:proofErr w:type="spellEnd"/>
            <w:r w:rsidRPr="002D1AAD">
              <w:t>, Michael</w:t>
            </w:r>
          </w:p>
        </w:tc>
      </w:tr>
      <w:tr w:rsidR="00B92D73" w:rsidRPr="002D1AAD" w14:paraId="4E5AF95B" w14:textId="77777777" w:rsidTr="00B92D73">
        <w:tc>
          <w:tcPr>
            <w:tcW w:w="541" w:type="dxa"/>
          </w:tcPr>
          <w:p w14:paraId="30A42130" w14:textId="77777777" w:rsidR="00B92D73" w:rsidRPr="002D1AAD" w:rsidRDefault="00B92D73" w:rsidP="00B92D73">
            <w:pPr>
              <w:pStyle w:val="Small-TableswithinQuotes"/>
            </w:pPr>
            <w:r w:rsidRPr="002D1AAD">
              <w:t>10</w:t>
            </w:r>
          </w:p>
        </w:tc>
        <w:tc>
          <w:tcPr>
            <w:tcW w:w="1274" w:type="dxa"/>
          </w:tcPr>
          <w:p w14:paraId="239A0CD9" w14:textId="77777777" w:rsidR="00B92D73" w:rsidRPr="002D1AAD" w:rsidRDefault="00B92D73" w:rsidP="00B92D73">
            <w:pPr>
              <w:pStyle w:val="Small-TableswithinQuotes"/>
            </w:pPr>
            <w:r w:rsidRPr="002D1AAD">
              <w:t>21.08.2018</w:t>
            </w:r>
          </w:p>
        </w:tc>
        <w:tc>
          <w:tcPr>
            <w:tcW w:w="3150" w:type="dxa"/>
          </w:tcPr>
          <w:p w14:paraId="67EBB593" w14:textId="77777777" w:rsidR="00B92D73" w:rsidRPr="002D1AAD" w:rsidRDefault="00B92D73" w:rsidP="00B92D73">
            <w:pPr>
              <w:pStyle w:val="Small-TableswithinQuotes"/>
            </w:pPr>
            <w:r w:rsidRPr="002D1AAD">
              <w:t>2018 ITR</w:t>
            </w:r>
          </w:p>
        </w:tc>
        <w:tc>
          <w:tcPr>
            <w:tcW w:w="4115" w:type="dxa"/>
          </w:tcPr>
          <w:p w14:paraId="58A1B2F3" w14:textId="77777777" w:rsidR="00B92D73" w:rsidRPr="002D1AAD" w:rsidRDefault="00B92D73" w:rsidP="00B92D73">
            <w:pPr>
              <w:pStyle w:val="Small-TableswithinQuotes"/>
            </w:pPr>
            <w:proofErr w:type="spellStart"/>
            <w:r w:rsidRPr="002D1AAD">
              <w:t>Arandela</w:t>
            </w:r>
            <w:proofErr w:type="spellEnd"/>
            <w:r w:rsidRPr="002D1AAD">
              <w:t>, Michael</w:t>
            </w:r>
          </w:p>
        </w:tc>
      </w:tr>
      <w:tr w:rsidR="00B92D73" w:rsidRPr="002D1AAD" w14:paraId="10B7A2C0" w14:textId="77777777" w:rsidTr="00B92D73">
        <w:tc>
          <w:tcPr>
            <w:tcW w:w="541" w:type="dxa"/>
          </w:tcPr>
          <w:p w14:paraId="131CF32D" w14:textId="77777777" w:rsidR="00B92D73" w:rsidRPr="002D1AAD" w:rsidRDefault="00B92D73" w:rsidP="00B92D73">
            <w:pPr>
              <w:pStyle w:val="Small-TableswithinQuotes"/>
            </w:pPr>
            <w:r w:rsidRPr="002D1AAD">
              <w:t>11</w:t>
            </w:r>
          </w:p>
        </w:tc>
        <w:tc>
          <w:tcPr>
            <w:tcW w:w="1274" w:type="dxa"/>
          </w:tcPr>
          <w:p w14:paraId="58A9B407" w14:textId="77777777" w:rsidR="00B92D73" w:rsidRPr="002D1AAD" w:rsidRDefault="00B92D73" w:rsidP="00B92D73">
            <w:pPr>
              <w:pStyle w:val="Small-TableswithinQuotes"/>
            </w:pPr>
            <w:r w:rsidRPr="002D1AAD">
              <w:t>24.09.2018</w:t>
            </w:r>
          </w:p>
        </w:tc>
        <w:tc>
          <w:tcPr>
            <w:tcW w:w="3150" w:type="dxa"/>
          </w:tcPr>
          <w:p w14:paraId="016C509B" w14:textId="77777777" w:rsidR="00B92D73" w:rsidRPr="002D1AAD" w:rsidRDefault="00B92D73" w:rsidP="00B92D73">
            <w:pPr>
              <w:pStyle w:val="Small-TableswithinQuotes"/>
            </w:pPr>
            <w:r w:rsidRPr="002D1AAD">
              <w:t>2018 ITR</w:t>
            </w:r>
          </w:p>
        </w:tc>
        <w:tc>
          <w:tcPr>
            <w:tcW w:w="4115" w:type="dxa"/>
          </w:tcPr>
          <w:p w14:paraId="335CF88A" w14:textId="77777777" w:rsidR="00B92D73" w:rsidRPr="002D1AAD" w:rsidRDefault="00B92D73" w:rsidP="00B92D73">
            <w:pPr>
              <w:pStyle w:val="Small-TableswithinQuotes"/>
            </w:pPr>
            <w:r w:rsidRPr="002D1AAD">
              <w:t xml:space="preserve">Becker, Ana </w:t>
            </w:r>
            <w:proofErr w:type="spellStart"/>
            <w:r w:rsidRPr="002D1AAD">
              <w:t>Crolina</w:t>
            </w:r>
            <w:proofErr w:type="spellEnd"/>
          </w:p>
        </w:tc>
      </w:tr>
      <w:tr w:rsidR="00B92D73" w:rsidRPr="002D1AAD" w14:paraId="4C6FEE26" w14:textId="77777777" w:rsidTr="00B92D73">
        <w:tc>
          <w:tcPr>
            <w:tcW w:w="541" w:type="dxa"/>
          </w:tcPr>
          <w:p w14:paraId="6FEB4BD8" w14:textId="77777777" w:rsidR="00B92D73" w:rsidRPr="002D1AAD" w:rsidRDefault="00B92D73" w:rsidP="00B92D73">
            <w:pPr>
              <w:pStyle w:val="Small-TableswithinQuotes"/>
            </w:pPr>
            <w:r w:rsidRPr="002D1AAD">
              <w:t>12</w:t>
            </w:r>
          </w:p>
        </w:tc>
        <w:tc>
          <w:tcPr>
            <w:tcW w:w="1274" w:type="dxa"/>
          </w:tcPr>
          <w:p w14:paraId="30C9867B" w14:textId="77777777" w:rsidR="00B92D73" w:rsidRPr="002D1AAD" w:rsidRDefault="00B92D73" w:rsidP="00B92D73">
            <w:pPr>
              <w:pStyle w:val="Small-TableswithinQuotes"/>
            </w:pPr>
            <w:r w:rsidRPr="002D1AAD">
              <w:t>31.07.2016</w:t>
            </w:r>
          </w:p>
        </w:tc>
        <w:tc>
          <w:tcPr>
            <w:tcW w:w="3150" w:type="dxa"/>
          </w:tcPr>
          <w:p w14:paraId="3E38F938" w14:textId="77777777" w:rsidR="00B92D73" w:rsidRPr="002D1AAD" w:rsidRDefault="00B92D73" w:rsidP="00B92D73">
            <w:pPr>
              <w:pStyle w:val="Small-TableswithinQuotes"/>
            </w:pPr>
            <w:r w:rsidRPr="002D1AAD">
              <w:t>2016 ITR</w:t>
            </w:r>
          </w:p>
        </w:tc>
        <w:tc>
          <w:tcPr>
            <w:tcW w:w="4115" w:type="dxa"/>
          </w:tcPr>
          <w:p w14:paraId="2ABDBFB3" w14:textId="77777777" w:rsidR="00B92D73" w:rsidRPr="002D1AAD" w:rsidRDefault="00B92D73" w:rsidP="00B92D73">
            <w:pPr>
              <w:pStyle w:val="Small-TableswithinQuotes"/>
            </w:pPr>
            <w:r w:rsidRPr="002D1AAD">
              <w:t>Bergin, Julie Fay</w:t>
            </w:r>
          </w:p>
        </w:tc>
      </w:tr>
      <w:tr w:rsidR="00B92D73" w:rsidRPr="002D1AAD" w14:paraId="3E2A7B85" w14:textId="77777777" w:rsidTr="00B92D73">
        <w:tc>
          <w:tcPr>
            <w:tcW w:w="541" w:type="dxa"/>
          </w:tcPr>
          <w:p w14:paraId="7D100383" w14:textId="77777777" w:rsidR="00B92D73" w:rsidRPr="002D1AAD" w:rsidRDefault="00B92D73" w:rsidP="00B92D73">
            <w:pPr>
              <w:pStyle w:val="Small-TableswithinQuotes"/>
            </w:pPr>
            <w:r w:rsidRPr="002D1AAD">
              <w:t>13</w:t>
            </w:r>
          </w:p>
        </w:tc>
        <w:tc>
          <w:tcPr>
            <w:tcW w:w="1274" w:type="dxa"/>
          </w:tcPr>
          <w:p w14:paraId="6A63C561" w14:textId="77777777" w:rsidR="00B92D73" w:rsidRPr="002D1AAD" w:rsidRDefault="00B92D73" w:rsidP="00B92D73">
            <w:pPr>
              <w:pStyle w:val="Small-TableswithinQuotes"/>
            </w:pPr>
            <w:r w:rsidRPr="002D1AAD">
              <w:t>22.07.2017</w:t>
            </w:r>
          </w:p>
        </w:tc>
        <w:tc>
          <w:tcPr>
            <w:tcW w:w="3150" w:type="dxa"/>
          </w:tcPr>
          <w:p w14:paraId="1097FFC5" w14:textId="77777777" w:rsidR="00B92D73" w:rsidRPr="002D1AAD" w:rsidRDefault="00B92D73" w:rsidP="00B92D73">
            <w:pPr>
              <w:pStyle w:val="Small-TableswithinQuotes"/>
            </w:pPr>
            <w:r w:rsidRPr="002D1AAD">
              <w:t>2017 ITR</w:t>
            </w:r>
          </w:p>
        </w:tc>
        <w:tc>
          <w:tcPr>
            <w:tcW w:w="4115" w:type="dxa"/>
          </w:tcPr>
          <w:p w14:paraId="323BE0C4" w14:textId="77777777" w:rsidR="00B92D73" w:rsidRPr="002D1AAD" w:rsidRDefault="00B92D73" w:rsidP="00B92D73">
            <w:pPr>
              <w:pStyle w:val="Small-TableswithinQuotes"/>
            </w:pPr>
            <w:r w:rsidRPr="002D1AAD">
              <w:t>Bergin, Julie Fay</w:t>
            </w:r>
          </w:p>
        </w:tc>
      </w:tr>
      <w:tr w:rsidR="00B92D73" w:rsidRPr="002D1AAD" w14:paraId="048D28F2" w14:textId="77777777" w:rsidTr="00B92D73">
        <w:tc>
          <w:tcPr>
            <w:tcW w:w="541" w:type="dxa"/>
          </w:tcPr>
          <w:p w14:paraId="7ED17F9E" w14:textId="77777777" w:rsidR="00B92D73" w:rsidRPr="002D1AAD" w:rsidRDefault="00B92D73" w:rsidP="00B92D73">
            <w:pPr>
              <w:pStyle w:val="Small-TableswithinQuotes"/>
            </w:pPr>
            <w:r w:rsidRPr="002D1AAD">
              <w:t>14</w:t>
            </w:r>
          </w:p>
        </w:tc>
        <w:tc>
          <w:tcPr>
            <w:tcW w:w="1274" w:type="dxa"/>
          </w:tcPr>
          <w:p w14:paraId="4619DC97" w14:textId="77777777" w:rsidR="00B92D73" w:rsidRPr="002D1AAD" w:rsidRDefault="00B92D73" w:rsidP="00B92D73">
            <w:pPr>
              <w:pStyle w:val="Small-TableswithinQuotes"/>
            </w:pPr>
            <w:r w:rsidRPr="002D1AAD">
              <w:t>13.07.2018</w:t>
            </w:r>
          </w:p>
        </w:tc>
        <w:tc>
          <w:tcPr>
            <w:tcW w:w="3150" w:type="dxa"/>
          </w:tcPr>
          <w:p w14:paraId="693060FF" w14:textId="77777777" w:rsidR="00B92D73" w:rsidRPr="002D1AAD" w:rsidRDefault="00B92D73" w:rsidP="00B92D73">
            <w:pPr>
              <w:pStyle w:val="Small-TableswithinQuotes"/>
            </w:pPr>
            <w:r w:rsidRPr="002D1AAD">
              <w:t>2018 ITR</w:t>
            </w:r>
          </w:p>
        </w:tc>
        <w:tc>
          <w:tcPr>
            <w:tcW w:w="4115" w:type="dxa"/>
          </w:tcPr>
          <w:p w14:paraId="0006162B" w14:textId="77777777" w:rsidR="00B92D73" w:rsidRPr="002D1AAD" w:rsidRDefault="00B92D73" w:rsidP="00B92D73">
            <w:pPr>
              <w:pStyle w:val="Small-TableswithinQuotes"/>
            </w:pPr>
            <w:r w:rsidRPr="002D1AAD">
              <w:t>Bergin, Julie Fay</w:t>
            </w:r>
          </w:p>
        </w:tc>
      </w:tr>
      <w:tr w:rsidR="00B92D73" w:rsidRPr="002D1AAD" w14:paraId="5A74B055" w14:textId="77777777" w:rsidTr="00B92D73">
        <w:tc>
          <w:tcPr>
            <w:tcW w:w="541" w:type="dxa"/>
          </w:tcPr>
          <w:p w14:paraId="36687DAB" w14:textId="77777777" w:rsidR="00B92D73" w:rsidRPr="002D1AAD" w:rsidRDefault="00B92D73" w:rsidP="00B92D73">
            <w:pPr>
              <w:pStyle w:val="Small-TableswithinQuotes"/>
            </w:pPr>
            <w:r w:rsidRPr="002D1AAD">
              <w:t>15</w:t>
            </w:r>
          </w:p>
        </w:tc>
        <w:tc>
          <w:tcPr>
            <w:tcW w:w="1274" w:type="dxa"/>
          </w:tcPr>
          <w:p w14:paraId="61A9E1A1" w14:textId="77777777" w:rsidR="00B92D73" w:rsidRPr="002D1AAD" w:rsidRDefault="00B92D73" w:rsidP="00B92D73">
            <w:pPr>
              <w:pStyle w:val="Small-TableswithinQuotes"/>
            </w:pPr>
            <w:r w:rsidRPr="002D1AAD">
              <w:t>13.10.2017</w:t>
            </w:r>
          </w:p>
        </w:tc>
        <w:tc>
          <w:tcPr>
            <w:tcW w:w="3150" w:type="dxa"/>
          </w:tcPr>
          <w:p w14:paraId="4D41C351" w14:textId="77777777" w:rsidR="00B92D73" w:rsidRPr="002D1AAD" w:rsidRDefault="00B92D73" w:rsidP="00B92D73">
            <w:pPr>
              <w:pStyle w:val="Small-TableswithinQuotes"/>
            </w:pPr>
            <w:r w:rsidRPr="002D1AAD">
              <w:t>2017 ITR</w:t>
            </w:r>
          </w:p>
        </w:tc>
        <w:tc>
          <w:tcPr>
            <w:tcW w:w="4115" w:type="dxa"/>
          </w:tcPr>
          <w:p w14:paraId="6EEECE7E" w14:textId="77777777" w:rsidR="00B92D73" w:rsidRPr="002D1AAD" w:rsidRDefault="00B92D73" w:rsidP="00B92D73">
            <w:pPr>
              <w:pStyle w:val="Small-TableswithinQuotes"/>
            </w:pPr>
            <w:r w:rsidRPr="002D1AAD">
              <w:t>Camacho, Mark</w:t>
            </w:r>
          </w:p>
        </w:tc>
      </w:tr>
      <w:tr w:rsidR="00B92D73" w:rsidRPr="002D1AAD" w14:paraId="06540E5E" w14:textId="77777777" w:rsidTr="00B92D73">
        <w:tc>
          <w:tcPr>
            <w:tcW w:w="541" w:type="dxa"/>
          </w:tcPr>
          <w:p w14:paraId="499D90C2" w14:textId="77777777" w:rsidR="00B92D73" w:rsidRPr="002D1AAD" w:rsidRDefault="00B92D73" w:rsidP="00B92D73">
            <w:pPr>
              <w:pStyle w:val="Small-TableswithinQuotes"/>
            </w:pPr>
            <w:r w:rsidRPr="002D1AAD">
              <w:t>16</w:t>
            </w:r>
          </w:p>
        </w:tc>
        <w:tc>
          <w:tcPr>
            <w:tcW w:w="1274" w:type="dxa"/>
          </w:tcPr>
          <w:p w14:paraId="3CC74130" w14:textId="77777777" w:rsidR="00B92D73" w:rsidRPr="002D1AAD" w:rsidRDefault="00B92D73" w:rsidP="00B92D73">
            <w:pPr>
              <w:pStyle w:val="Small-TableswithinQuotes"/>
            </w:pPr>
            <w:r w:rsidRPr="002D1AAD">
              <w:t>31.10.2018</w:t>
            </w:r>
          </w:p>
        </w:tc>
        <w:tc>
          <w:tcPr>
            <w:tcW w:w="3150" w:type="dxa"/>
          </w:tcPr>
          <w:p w14:paraId="431C98B1" w14:textId="77777777" w:rsidR="00B92D73" w:rsidRPr="002D1AAD" w:rsidRDefault="00B92D73" w:rsidP="00B92D73">
            <w:pPr>
              <w:pStyle w:val="Small-TableswithinQuotes"/>
            </w:pPr>
            <w:r w:rsidRPr="002D1AAD">
              <w:t>2018 ITR</w:t>
            </w:r>
          </w:p>
        </w:tc>
        <w:tc>
          <w:tcPr>
            <w:tcW w:w="4115" w:type="dxa"/>
          </w:tcPr>
          <w:p w14:paraId="3B1A985D" w14:textId="77777777" w:rsidR="00B92D73" w:rsidRPr="002D1AAD" w:rsidRDefault="00B92D73" w:rsidP="00B92D73">
            <w:pPr>
              <w:pStyle w:val="Small-TableswithinQuotes"/>
            </w:pPr>
            <w:r w:rsidRPr="002D1AAD">
              <w:t>Camacho, Mark</w:t>
            </w:r>
          </w:p>
        </w:tc>
      </w:tr>
      <w:tr w:rsidR="00B92D73" w:rsidRPr="002D1AAD" w14:paraId="38FB643A" w14:textId="77777777" w:rsidTr="00B92D73">
        <w:tc>
          <w:tcPr>
            <w:tcW w:w="541" w:type="dxa"/>
          </w:tcPr>
          <w:p w14:paraId="61B7D2CF" w14:textId="77777777" w:rsidR="00B92D73" w:rsidRPr="002D1AAD" w:rsidRDefault="00B92D73" w:rsidP="00B92D73">
            <w:pPr>
              <w:pStyle w:val="Small-TableswithinQuotes"/>
            </w:pPr>
            <w:r w:rsidRPr="002D1AAD">
              <w:t>17</w:t>
            </w:r>
          </w:p>
        </w:tc>
        <w:tc>
          <w:tcPr>
            <w:tcW w:w="1274" w:type="dxa"/>
          </w:tcPr>
          <w:p w14:paraId="641F44E9" w14:textId="77777777" w:rsidR="00B92D73" w:rsidRPr="002D1AAD" w:rsidRDefault="00B92D73" w:rsidP="00B92D73">
            <w:pPr>
              <w:pStyle w:val="Small-TableswithinQuotes"/>
            </w:pPr>
            <w:r w:rsidRPr="002D1AAD">
              <w:t>24.09.2018</w:t>
            </w:r>
          </w:p>
        </w:tc>
        <w:tc>
          <w:tcPr>
            <w:tcW w:w="3150" w:type="dxa"/>
          </w:tcPr>
          <w:p w14:paraId="1EA38633" w14:textId="77777777" w:rsidR="00B92D73" w:rsidRPr="002D1AAD" w:rsidRDefault="00B92D73" w:rsidP="00B92D73">
            <w:pPr>
              <w:pStyle w:val="Small-TableswithinQuotes"/>
            </w:pPr>
            <w:r w:rsidRPr="002D1AAD">
              <w:t>2018 ITR</w:t>
            </w:r>
          </w:p>
        </w:tc>
        <w:tc>
          <w:tcPr>
            <w:tcW w:w="4115" w:type="dxa"/>
          </w:tcPr>
          <w:p w14:paraId="0260070E" w14:textId="77777777" w:rsidR="00B92D73" w:rsidRPr="002D1AAD" w:rsidRDefault="00B92D73" w:rsidP="00B92D73">
            <w:pPr>
              <w:pStyle w:val="Small-TableswithinQuotes"/>
            </w:pPr>
            <w:r w:rsidRPr="002D1AAD">
              <w:t xml:space="preserve">de Paulo, </w:t>
            </w:r>
            <w:proofErr w:type="spellStart"/>
            <w:r w:rsidRPr="002D1AAD">
              <w:t>Claudemir</w:t>
            </w:r>
            <w:proofErr w:type="spellEnd"/>
            <w:r w:rsidRPr="002D1AAD">
              <w:t xml:space="preserve"> Ferreira </w:t>
            </w:r>
          </w:p>
        </w:tc>
      </w:tr>
      <w:tr w:rsidR="00B92D73" w:rsidRPr="002D1AAD" w14:paraId="06401ED5" w14:textId="77777777" w:rsidTr="00B92D73">
        <w:tc>
          <w:tcPr>
            <w:tcW w:w="541" w:type="dxa"/>
          </w:tcPr>
          <w:p w14:paraId="1F40CB22" w14:textId="77777777" w:rsidR="00B92D73" w:rsidRPr="002D1AAD" w:rsidRDefault="00B92D73" w:rsidP="00B92D73">
            <w:pPr>
              <w:pStyle w:val="Small-TableswithinQuotes"/>
            </w:pPr>
            <w:r w:rsidRPr="002D1AAD">
              <w:t>18</w:t>
            </w:r>
          </w:p>
        </w:tc>
        <w:tc>
          <w:tcPr>
            <w:tcW w:w="1274" w:type="dxa"/>
          </w:tcPr>
          <w:p w14:paraId="13BD9B77" w14:textId="77777777" w:rsidR="00B92D73" w:rsidRPr="002D1AAD" w:rsidRDefault="00B92D73" w:rsidP="00B92D73">
            <w:pPr>
              <w:pStyle w:val="Small-TableswithinQuotes"/>
            </w:pPr>
            <w:r w:rsidRPr="002D1AAD">
              <w:t>29.09.2018</w:t>
            </w:r>
          </w:p>
        </w:tc>
        <w:tc>
          <w:tcPr>
            <w:tcW w:w="3150" w:type="dxa"/>
          </w:tcPr>
          <w:p w14:paraId="6C01DBFA" w14:textId="77777777" w:rsidR="00B92D73" w:rsidRPr="002D1AAD" w:rsidRDefault="00B92D73" w:rsidP="00B92D73">
            <w:pPr>
              <w:pStyle w:val="Small-TableswithinQuotes"/>
            </w:pPr>
            <w:r w:rsidRPr="002D1AAD">
              <w:t>2018 ITR</w:t>
            </w:r>
          </w:p>
        </w:tc>
        <w:tc>
          <w:tcPr>
            <w:tcW w:w="4115" w:type="dxa"/>
          </w:tcPr>
          <w:p w14:paraId="1E60E50E" w14:textId="77777777" w:rsidR="00B92D73" w:rsidRPr="002D1AAD" w:rsidRDefault="00B92D73" w:rsidP="00B92D73">
            <w:pPr>
              <w:pStyle w:val="Small-TableswithinQuotes"/>
            </w:pPr>
            <w:proofErr w:type="spellStart"/>
            <w:r w:rsidRPr="002D1AAD">
              <w:t>Ewnetu</w:t>
            </w:r>
            <w:proofErr w:type="spellEnd"/>
            <w:r w:rsidRPr="002D1AAD">
              <w:t xml:space="preserve">, </w:t>
            </w:r>
            <w:proofErr w:type="spellStart"/>
            <w:r w:rsidRPr="002D1AAD">
              <w:t>Gebeyaw</w:t>
            </w:r>
            <w:proofErr w:type="spellEnd"/>
          </w:p>
        </w:tc>
      </w:tr>
      <w:tr w:rsidR="00B92D73" w:rsidRPr="002D1AAD" w14:paraId="1E0B7DC7" w14:textId="77777777" w:rsidTr="00B92D73">
        <w:tc>
          <w:tcPr>
            <w:tcW w:w="541" w:type="dxa"/>
          </w:tcPr>
          <w:p w14:paraId="64EB9590" w14:textId="77777777" w:rsidR="00B92D73" w:rsidRPr="002D1AAD" w:rsidRDefault="00B92D73" w:rsidP="00B92D73">
            <w:pPr>
              <w:pStyle w:val="Small-TableswithinQuotes"/>
            </w:pPr>
            <w:r w:rsidRPr="002D1AAD">
              <w:t>19</w:t>
            </w:r>
          </w:p>
        </w:tc>
        <w:tc>
          <w:tcPr>
            <w:tcW w:w="1274" w:type="dxa"/>
          </w:tcPr>
          <w:p w14:paraId="3CD59A64" w14:textId="77777777" w:rsidR="00B92D73" w:rsidRPr="002D1AAD" w:rsidRDefault="00B92D73" w:rsidP="00B92D73">
            <w:pPr>
              <w:pStyle w:val="Small-TableswithinQuotes"/>
            </w:pPr>
            <w:r w:rsidRPr="002D1AAD">
              <w:t>18.12.2018</w:t>
            </w:r>
          </w:p>
        </w:tc>
        <w:tc>
          <w:tcPr>
            <w:tcW w:w="3150" w:type="dxa"/>
          </w:tcPr>
          <w:p w14:paraId="6990C970" w14:textId="77777777" w:rsidR="00B92D73" w:rsidRPr="002D1AAD" w:rsidRDefault="00B92D73" w:rsidP="00B92D73">
            <w:pPr>
              <w:pStyle w:val="Small-TableswithinQuotes"/>
            </w:pPr>
            <w:r w:rsidRPr="002D1AAD">
              <w:t>Amendments to 2018 ITR and/or voluntary disclosure form</w:t>
            </w:r>
          </w:p>
        </w:tc>
        <w:tc>
          <w:tcPr>
            <w:tcW w:w="4115" w:type="dxa"/>
          </w:tcPr>
          <w:p w14:paraId="728CC917" w14:textId="77777777" w:rsidR="00B92D73" w:rsidRPr="002D1AAD" w:rsidRDefault="00B92D73" w:rsidP="00B92D73">
            <w:pPr>
              <w:pStyle w:val="Small-TableswithinQuotes"/>
            </w:pPr>
            <w:r w:rsidRPr="002D1AAD">
              <w:t xml:space="preserve">Fitzgerald, </w:t>
            </w:r>
            <w:proofErr w:type="spellStart"/>
            <w:r w:rsidRPr="002D1AAD">
              <w:t>Edelmira</w:t>
            </w:r>
            <w:proofErr w:type="spellEnd"/>
            <w:r w:rsidRPr="002D1AAD">
              <w:t xml:space="preserve"> de Leon</w:t>
            </w:r>
          </w:p>
        </w:tc>
      </w:tr>
      <w:tr w:rsidR="00B92D73" w:rsidRPr="002D1AAD" w14:paraId="3262085D" w14:textId="77777777" w:rsidTr="00B92D73">
        <w:tc>
          <w:tcPr>
            <w:tcW w:w="541" w:type="dxa"/>
          </w:tcPr>
          <w:p w14:paraId="39E5100A" w14:textId="77777777" w:rsidR="00B92D73" w:rsidRPr="002D1AAD" w:rsidRDefault="00B92D73" w:rsidP="00B92D73">
            <w:pPr>
              <w:pStyle w:val="Small-TableswithinQuotes"/>
            </w:pPr>
            <w:r w:rsidRPr="002D1AAD">
              <w:t>20</w:t>
            </w:r>
          </w:p>
        </w:tc>
        <w:tc>
          <w:tcPr>
            <w:tcW w:w="1274" w:type="dxa"/>
          </w:tcPr>
          <w:p w14:paraId="23A513D2" w14:textId="77777777" w:rsidR="00B92D73" w:rsidRPr="002D1AAD" w:rsidRDefault="00B92D73" w:rsidP="00B92D73">
            <w:pPr>
              <w:pStyle w:val="Small-TableswithinQuotes"/>
            </w:pPr>
            <w:r w:rsidRPr="002D1AAD">
              <w:t>13.09.2018</w:t>
            </w:r>
          </w:p>
        </w:tc>
        <w:tc>
          <w:tcPr>
            <w:tcW w:w="3150" w:type="dxa"/>
          </w:tcPr>
          <w:p w14:paraId="0EF61E02" w14:textId="77777777" w:rsidR="00B92D73" w:rsidRPr="002D1AAD" w:rsidRDefault="00B92D73" w:rsidP="00B92D73">
            <w:pPr>
              <w:pStyle w:val="Small-TableswithinQuotes"/>
            </w:pPr>
            <w:r w:rsidRPr="002D1AAD">
              <w:t xml:space="preserve">2017 ITR </w:t>
            </w:r>
          </w:p>
        </w:tc>
        <w:tc>
          <w:tcPr>
            <w:tcW w:w="4115" w:type="dxa"/>
          </w:tcPr>
          <w:p w14:paraId="12E9E77B" w14:textId="77777777" w:rsidR="00B92D73" w:rsidRPr="002D1AAD" w:rsidRDefault="00B92D73" w:rsidP="00B92D73">
            <w:pPr>
              <w:pStyle w:val="Small-TableswithinQuotes"/>
            </w:pPr>
            <w:proofErr w:type="spellStart"/>
            <w:r w:rsidRPr="002D1AAD">
              <w:t>Giri</w:t>
            </w:r>
            <w:proofErr w:type="spellEnd"/>
            <w:r w:rsidRPr="002D1AAD">
              <w:t xml:space="preserve">, </w:t>
            </w:r>
            <w:proofErr w:type="spellStart"/>
            <w:r w:rsidRPr="002D1AAD">
              <w:t>Nirmal</w:t>
            </w:r>
            <w:proofErr w:type="spellEnd"/>
          </w:p>
        </w:tc>
      </w:tr>
      <w:tr w:rsidR="00B92D73" w:rsidRPr="002D1AAD" w14:paraId="335FEFD7" w14:textId="77777777" w:rsidTr="00B92D73">
        <w:tc>
          <w:tcPr>
            <w:tcW w:w="541" w:type="dxa"/>
          </w:tcPr>
          <w:p w14:paraId="75E7B7D7" w14:textId="77777777" w:rsidR="00B92D73" w:rsidRPr="002D1AAD" w:rsidRDefault="00B92D73" w:rsidP="00B92D73">
            <w:pPr>
              <w:pStyle w:val="Small-TableswithinQuotes"/>
            </w:pPr>
            <w:r w:rsidRPr="002D1AAD">
              <w:t>21</w:t>
            </w:r>
          </w:p>
        </w:tc>
        <w:tc>
          <w:tcPr>
            <w:tcW w:w="1274" w:type="dxa"/>
          </w:tcPr>
          <w:p w14:paraId="5584AE10" w14:textId="77777777" w:rsidR="00B92D73" w:rsidRPr="002D1AAD" w:rsidRDefault="00B92D73" w:rsidP="00B92D73">
            <w:pPr>
              <w:pStyle w:val="Small-TableswithinQuotes"/>
            </w:pPr>
            <w:r w:rsidRPr="002D1AAD">
              <w:t>13.09.2018</w:t>
            </w:r>
          </w:p>
        </w:tc>
        <w:tc>
          <w:tcPr>
            <w:tcW w:w="3150" w:type="dxa"/>
          </w:tcPr>
          <w:p w14:paraId="5E16787F" w14:textId="77777777" w:rsidR="00B92D73" w:rsidRPr="002D1AAD" w:rsidRDefault="00B92D73" w:rsidP="00B92D73">
            <w:pPr>
              <w:pStyle w:val="Small-TableswithinQuotes"/>
            </w:pPr>
            <w:r w:rsidRPr="002D1AAD">
              <w:t>2018 ITR</w:t>
            </w:r>
          </w:p>
        </w:tc>
        <w:tc>
          <w:tcPr>
            <w:tcW w:w="4115" w:type="dxa"/>
          </w:tcPr>
          <w:p w14:paraId="1F19946E" w14:textId="77777777" w:rsidR="00B92D73" w:rsidRPr="002D1AAD" w:rsidRDefault="00B92D73" w:rsidP="00B92D73">
            <w:pPr>
              <w:pStyle w:val="Small-TableswithinQuotes"/>
            </w:pPr>
            <w:proofErr w:type="spellStart"/>
            <w:r w:rsidRPr="002D1AAD">
              <w:t>Giri</w:t>
            </w:r>
            <w:proofErr w:type="spellEnd"/>
            <w:r w:rsidRPr="002D1AAD">
              <w:t xml:space="preserve">, </w:t>
            </w:r>
            <w:proofErr w:type="spellStart"/>
            <w:r w:rsidRPr="002D1AAD">
              <w:t>Nirmal</w:t>
            </w:r>
            <w:proofErr w:type="spellEnd"/>
          </w:p>
        </w:tc>
      </w:tr>
      <w:tr w:rsidR="00B92D73" w:rsidRPr="002D1AAD" w14:paraId="3A5C807B" w14:textId="77777777" w:rsidTr="00B92D73">
        <w:tc>
          <w:tcPr>
            <w:tcW w:w="541" w:type="dxa"/>
          </w:tcPr>
          <w:p w14:paraId="0280E792" w14:textId="77777777" w:rsidR="00B92D73" w:rsidRPr="002D1AAD" w:rsidRDefault="00B92D73" w:rsidP="00B92D73">
            <w:pPr>
              <w:pStyle w:val="Small-TableswithinQuotes"/>
            </w:pPr>
            <w:r w:rsidRPr="002D1AAD">
              <w:t>22</w:t>
            </w:r>
          </w:p>
        </w:tc>
        <w:tc>
          <w:tcPr>
            <w:tcW w:w="1274" w:type="dxa"/>
          </w:tcPr>
          <w:p w14:paraId="26408510" w14:textId="77777777" w:rsidR="00B92D73" w:rsidRPr="002D1AAD" w:rsidRDefault="00B92D73" w:rsidP="00B92D73">
            <w:pPr>
              <w:pStyle w:val="Small-TableswithinQuotes"/>
            </w:pPr>
            <w:r w:rsidRPr="002D1AAD">
              <w:t>19.08.2017</w:t>
            </w:r>
          </w:p>
        </w:tc>
        <w:tc>
          <w:tcPr>
            <w:tcW w:w="3150" w:type="dxa"/>
          </w:tcPr>
          <w:p w14:paraId="143D730F" w14:textId="77777777" w:rsidR="00B92D73" w:rsidRPr="002D1AAD" w:rsidRDefault="00B92D73" w:rsidP="00B92D73">
            <w:pPr>
              <w:pStyle w:val="Small-TableswithinQuotes"/>
            </w:pPr>
            <w:r w:rsidRPr="002D1AAD">
              <w:t>2017 ITR</w:t>
            </w:r>
          </w:p>
        </w:tc>
        <w:tc>
          <w:tcPr>
            <w:tcW w:w="4115" w:type="dxa"/>
          </w:tcPr>
          <w:p w14:paraId="1473D26E" w14:textId="77777777" w:rsidR="00B92D73" w:rsidRPr="002D1AAD" w:rsidRDefault="00B92D73" w:rsidP="00B92D73">
            <w:pPr>
              <w:pStyle w:val="Small-TableswithinQuotes"/>
            </w:pPr>
            <w:proofErr w:type="spellStart"/>
            <w:r w:rsidRPr="002D1AAD">
              <w:t>Gregas</w:t>
            </w:r>
            <w:proofErr w:type="spellEnd"/>
            <w:r w:rsidRPr="002D1AAD">
              <w:t>, Gary</w:t>
            </w:r>
          </w:p>
        </w:tc>
      </w:tr>
      <w:tr w:rsidR="00B92D73" w:rsidRPr="002D1AAD" w14:paraId="5DD332E5" w14:textId="77777777" w:rsidTr="00B92D73">
        <w:tc>
          <w:tcPr>
            <w:tcW w:w="541" w:type="dxa"/>
          </w:tcPr>
          <w:p w14:paraId="09B9C335" w14:textId="77777777" w:rsidR="00B92D73" w:rsidRPr="002D1AAD" w:rsidRDefault="00B92D73" w:rsidP="00B92D73">
            <w:pPr>
              <w:pStyle w:val="Small-TableswithinQuotes"/>
            </w:pPr>
            <w:r w:rsidRPr="002D1AAD">
              <w:t>23</w:t>
            </w:r>
          </w:p>
        </w:tc>
        <w:tc>
          <w:tcPr>
            <w:tcW w:w="1274" w:type="dxa"/>
          </w:tcPr>
          <w:p w14:paraId="36827789" w14:textId="77777777" w:rsidR="00B92D73" w:rsidRPr="002D1AAD" w:rsidRDefault="00B92D73" w:rsidP="00B92D73">
            <w:pPr>
              <w:pStyle w:val="Small-TableswithinQuotes"/>
            </w:pPr>
            <w:r w:rsidRPr="002D1AAD">
              <w:t>12.08.2017</w:t>
            </w:r>
          </w:p>
        </w:tc>
        <w:tc>
          <w:tcPr>
            <w:tcW w:w="3150" w:type="dxa"/>
          </w:tcPr>
          <w:p w14:paraId="46308DD9" w14:textId="77777777" w:rsidR="00B92D73" w:rsidRPr="002D1AAD" w:rsidRDefault="00B92D73" w:rsidP="00B92D73">
            <w:pPr>
              <w:pStyle w:val="Small-TableswithinQuotes"/>
            </w:pPr>
            <w:r w:rsidRPr="002D1AAD">
              <w:t>2017 ITR</w:t>
            </w:r>
          </w:p>
        </w:tc>
        <w:tc>
          <w:tcPr>
            <w:tcW w:w="4115" w:type="dxa"/>
          </w:tcPr>
          <w:p w14:paraId="4FBE97D2" w14:textId="77777777" w:rsidR="00B92D73" w:rsidRPr="002D1AAD" w:rsidRDefault="00B92D73" w:rsidP="00B92D73">
            <w:pPr>
              <w:pStyle w:val="Small-TableswithinQuotes"/>
            </w:pPr>
            <w:proofErr w:type="spellStart"/>
            <w:r w:rsidRPr="002D1AAD">
              <w:t>Gregas</w:t>
            </w:r>
            <w:proofErr w:type="spellEnd"/>
            <w:r w:rsidRPr="002D1AAD">
              <w:t xml:space="preserve">, </w:t>
            </w:r>
            <w:proofErr w:type="spellStart"/>
            <w:r w:rsidRPr="002D1AAD">
              <w:t>Maricris</w:t>
            </w:r>
            <w:proofErr w:type="spellEnd"/>
          </w:p>
        </w:tc>
      </w:tr>
      <w:tr w:rsidR="00B92D73" w:rsidRPr="002D1AAD" w14:paraId="2331185A" w14:textId="77777777" w:rsidTr="00B92D73">
        <w:tc>
          <w:tcPr>
            <w:tcW w:w="541" w:type="dxa"/>
          </w:tcPr>
          <w:p w14:paraId="0A5472B5" w14:textId="77777777" w:rsidR="00B92D73" w:rsidRPr="002D1AAD" w:rsidRDefault="00B92D73" w:rsidP="00B92D73">
            <w:pPr>
              <w:pStyle w:val="Small-TableswithinQuotes"/>
            </w:pPr>
            <w:r w:rsidRPr="002D1AAD">
              <w:t>24</w:t>
            </w:r>
          </w:p>
        </w:tc>
        <w:tc>
          <w:tcPr>
            <w:tcW w:w="1274" w:type="dxa"/>
          </w:tcPr>
          <w:p w14:paraId="64C1325D" w14:textId="77777777" w:rsidR="00B92D73" w:rsidRPr="002D1AAD" w:rsidRDefault="00B92D73" w:rsidP="00B92D73">
            <w:pPr>
              <w:pStyle w:val="Small-TableswithinQuotes"/>
            </w:pPr>
            <w:r w:rsidRPr="002D1AAD">
              <w:t>29.09.2018</w:t>
            </w:r>
          </w:p>
        </w:tc>
        <w:tc>
          <w:tcPr>
            <w:tcW w:w="3150" w:type="dxa"/>
          </w:tcPr>
          <w:p w14:paraId="62B604DB" w14:textId="77777777" w:rsidR="00B92D73" w:rsidRPr="002D1AAD" w:rsidRDefault="00B92D73" w:rsidP="00B92D73">
            <w:pPr>
              <w:pStyle w:val="Small-TableswithinQuotes"/>
            </w:pPr>
            <w:r w:rsidRPr="002D1AAD">
              <w:t>2018 ITR</w:t>
            </w:r>
          </w:p>
        </w:tc>
        <w:tc>
          <w:tcPr>
            <w:tcW w:w="4115" w:type="dxa"/>
          </w:tcPr>
          <w:p w14:paraId="7BE5350C" w14:textId="77777777" w:rsidR="00B92D73" w:rsidRPr="002D1AAD" w:rsidRDefault="00B92D73" w:rsidP="00B92D73">
            <w:pPr>
              <w:pStyle w:val="Small-TableswithinQuotes"/>
            </w:pPr>
            <w:proofErr w:type="spellStart"/>
            <w:r w:rsidRPr="002D1AAD">
              <w:t>Gregas</w:t>
            </w:r>
            <w:proofErr w:type="spellEnd"/>
            <w:r w:rsidRPr="002D1AAD">
              <w:t xml:space="preserve">, </w:t>
            </w:r>
            <w:proofErr w:type="spellStart"/>
            <w:r w:rsidRPr="002D1AAD">
              <w:t>Maricris</w:t>
            </w:r>
            <w:proofErr w:type="spellEnd"/>
          </w:p>
        </w:tc>
      </w:tr>
      <w:tr w:rsidR="00B92D73" w:rsidRPr="002D1AAD" w14:paraId="7FC1BD36" w14:textId="77777777" w:rsidTr="00B92D73">
        <w:tc>
          <w:tcPr>
            <w:tcW w:w="541" w:type="dxa"/>
          </w:tcPr>
          <w:p w14:paraId="2D800C70" w14:textId="77777777" w:rsidR="00B92D73" w:rsidRPr="002D1AAD" w:rsidRDefault="00B92D73" w:rsidP="00B92D73">
            <w:pPr>
              <w:pStyle w:val="Small-TableswithinQuotes"/>
            </w:pPr>
            <w:r w:rsidRPr="002D1AAD">
              <w:t>25</w:t>
            </w:r>
          </w:p>
        </w:tc>
        <w:tc>
          <w:tcPr>
            <w:tcW w:w="1274" w:type="dxa"/>
          </w:tcPr>
          <w:p w14:paraId="2469F311" w14:textId="77777777" w:rsidR="00B92D73" w:rsidRPr="002D1AAD" w:rsidRDefault="00B92D73" w:rsidP="00B92D73">
            <w:pPr>
              <w:pStyle w:val="Small-TableswithinQuotes"/>
            </w:pPr>
            <w:r w:rsidRPr="002D1AAD">
              <w:t>31.07.2016</w:t>
            </w:r>
          </w:p>
        </w:tc>
        <w:tc>
          <w:tcPr>
            <w:tcW w:w="3150" w:type="dxa"/>
          </w:tcPr>
          <w:p w14:paraId="0F9E8681" w14:textId="77777777" w:rsidR="00B92D73" w:rsidRPr="002D1AAD" w:rsidRDefault="00B92D73" w:rsidP="00B92D73">
            <w:pPr>
              <w:pStyle w:val="Small-TableswithinQuotes"/>
            </w:pPr>
            <w:r w:rsidRPr="002D1AAD">
              <w:t>2016 ITR</w:t>
            </w:r>
          </w:p>
        </w:tc>
        <w:tc>
          <w:tcPr>
            <w:tcW w:w="4115" w:type="dxa"/>
          </w:tcPr>
          <w:p w14:paraId="4F9AC699" w14:textId="77777777" w:rsidR="00B92D73" w:rsidRPr="002D1AAD" w:rsidRDefault="00B92D73" w:rsidP="00B92D73">
            <w:pPr>
              <w:pStyle w:val="Small-TableswithinQuotes"/>
            </w:pPr>
            <w:r w:rsidRPr="002D1AAD">
              <w:t>Harte, Leith Ann</w:t>
            </w:r>
          </w:p>
        </w:tc>
      </w:tr>
      <w:tr w:rsidR="00B92D73" w:rsidRPr="002D1AAD" w14:paraId="107DC869" w14:textId="77777777" w:rsidTr="00B92D73">
        <w:tc>
          <w:tcPr>
            <w:tcW w:w="541" w:type="dxa"/>
          </w:tcPr>
          <w:p w14:paraId="4684B475" w14:textId="77777777" w:rsidR="00B92D73" w:rsidRPr="002D1AAD" w:rsidRDefault="00B92D73" w:rsidP="00B92D73">
            <w:pPr>
              <w:pStyle w:val="Small-TableswithinQuotes"/>
            </w:pPr>
            <w:r w:rsidRPr="002D1AAD">
              <w:t>26</w:t>
            </w:r>
          </w:p>
        </w:tc>
        <w:tc>
          <w:tcPr>
            <w:tcW w:w="1274" w:type="dxa"/>
          </w:tcPr>
          <w:p w14:paraId="6C0BBF72" w14:textId="77777777" w:rsidR="00B92D73" w:rsidRPr="002D1AAD" w:rsidRDefault="00B92D73" w:rsidP="00B92D73">
            <w:pPr>
              <w:pStyle w:val="Small-TableswithinQuotes"/>
            </w:pPr>
            <w:r w:rsidRPr="002D1AAD">
              <w:t>22.07.2017</w:t>
            </w:r>
          </w:p>
        </w:tc>
        <w:tc>
          <w:tcPr>
            <w:tcW w:w="3150" w:type="dxa"/>
          </w:tcPr>
          <w:p w14:paraId="19BC7B8B" w14:textId="77777777" w:rsidR="00B92D73" w:rsidRPr="002D1AAD" w:rsidRDefault="00B92D73" w:rsidP="00B92D73">
            <w:pPr>
              <w:pStyle w:val="Small-TableswithinQuotes"/>
            </w:pPr>
            <w:r w:rsidRPr="002D1AAD">
              <w:t>2017 ITR</w:t>
            </w:r>
          </w:p>
        </w:tc>
        <w:tc>
          <w:tcPr>
            <w:tcW w:w="4115" w:type="dxa"/>
          </w:tcPr>
          <w:p w14:paraId="6EDC322D" w14:textId="77777777" w:rsidR="00B92D73" w:rsidRPr="002D1AAD" w:rsidRDefault="00B92D73" w:rsidP="00B92D73">
            <w:pPr>
              <w:pStyle w:val="Small-TableswithinQuotes"/>
            </w:pPr>
            <w:r w:rsidRPr="002D1AAD">
              <w:t>Harte, Leith Ann</w:t>
            </w:r>
          </w:p>
        </w:tc>
      </w:tr>
      <w:tr w:rsidR="00B92D73" w:rsidRPr="002D1AAD" w14:paraId="2F6D5B6B" w14:textId="77777777" w:rsidTr="00B92D73">
        <w:tc>
          <w:tcPr>
            <w:tcW w:w="541" w:type="dxa"/>
          </w:tcPr>
          <w:p w14:paraId="447E1286" w14:textId="77777777" w:rsidR="00B92D73" w:rsidRPr="002D1AAD" w:rsidRDefault="00B92D73" w:rsidP="00B92D73">
            <w:pPr>
              <w:pStyle w:val="Small-TableswithinQuotes"/>
            </w:pPr>
            <w:r w:rsidRPr="002D1AAD">
              <w:t>27</w:t>
            </w:r>
          </w:p>
        </w:tc>
        <w:tc>
          <w:tcPr>
            <w:tcW w:w="1274" w:type="dxa"/>
          </w:tcPr>
          <w:p w14:paraId="3399893B" w14:textId="77777777" w:rsidR="00B92D73" w:rsidRPr="002D1AAD" w:rsidRDefault="00B92D73" w:rsidP="00B92D73">
            <w:pPr>
              <w:pStyle w:val="Small-TableswithinQuotes"/>
            </w:pPr>
            <w:r w:rsidRPr="002D1AAD">
              <w:t>16.07.2018</w:t>
            </w:r>
          </w:p>
        </w:tc>
        <w:tc>
          <w:tcPr>
            <w:tcW w:w="3150" w:type="dxa"/>
          </w:tcPr>
          <w:p w14:paraId="24325B27" w14:textId="77777777" w:rsidR="00B92D73" w:rsidRPr="002D1AAD" w:rsidRDefault="00B92D73" w:rsidP="00B92D73">
            <w:pPr>
              <w:pStyle w:val="Small-TableswithinQuotes"/>
            </w:pPr>
            <w:r w:rsidRPr="002D1AAD">
              <w:t>2018 ITR</w:t>
            </w:r>
          </w:p>
        </w:tc>
        <w:tc>
          <w:tcPr>
            <w:tcW w:w="4115" w:type="dxa"/>
          </w:tcPr>
          <w:p w14:paraId="3ADF9BEB" w14:textId="77777777" w:rsidR="00B92D73" w:rsidRPr="002D1AAD" w:rsidRDefault="00B92D73" w:rsidP="00B92D73">
            <w:pPr>
              <w:pStyle w:val="Small-TableswithinQuotes"/>
            </w:pPr>
            <w:r w:rsidRPr="002D1AAD">
              <w:t>Harte, Leith Ann</w:t>
            </w:r>
          </w:p>
        </w:tc>
      </w:tr>
      <w:tr w:rsidR="00B92D73" w:rsidRPr="002D1AAD" w14:paraId="1968F4FD" w14:textId="77777777" w:rsidTr="00B92D73">
        <w:tc>
          <w:tcPr>
            <w:tcW w:w="541" w:type="dxa"/>
          </w:tcPr>
          <w:p w14:paraId="1158D192" w14:textId="77777777" w:rsidR="00B92D73" w:rsidRPr="002D1AAD" w:rsidRDefault="00B92D73" w:rsidP="00B92D73">
            <w:pPr>
              <w:pStyle w:val="Small-TableswithinQuotes"/>
            </w:pPr>
            <w:r w:rsidRPr="002D1AAD">
              <w:t>28</w:t>
            </w:r>
          </w:p>
        </w:tc>
        <w:tc>
          <w:tcPr>
            <w:tcW w:w="1274" w:type="dxa"/>
          </w:tcPr>
          <w:p w14:paraId="176C7C46" w14:textId="77777777" w:rsidR="00B92D73" w:rsidRPr="002D1AAD" w:rsidRDefault="00B92D73" w:rsidP="00B92D73">
            <w:pPr>
              <w:pStyle w:val="Small-TableswithinQuotes"/>
            </w:pPr>
            <w:r w:rsidRPr="002D1AAD">
              <w:t>26.08.2018</w:t>
            </w:r>
          </w:p>
        </w:tc>
        <w:tc>
          <w:tcPr>
            <w:tcW w:w="3150" w:type="dxa"/>
          </w:tcPr>
          <w:p w14:paraId="37E83FAE" w14:textId="77777777" w:rsidR="00B92D73" w:rsidRPr="002D1AAD" w:rsidRDefault="00B92D73" w:rsidP="00B92D73">
            <w:pPr>
              <w:pStyle w:val="Small-TableswithinQuotes"/>
            </w:pPr>
            <w:r w:rsidRPr="002D1AAD">
              <w:t>2018 ITR</w:t>
            </w:r>
          </w:p>
        </w:tc>
        <w:tc>
          <w:tcPr>
            <w:tcW w:w="4115" w:type="dxa"/>
          </w:tcPr>
          <w:p w14:paraId="63DFBD2B" w14:textId="77777777" w:rsidR="00B92D73" w:rsidRPr="002D1AAD" w:rsidRDefault="00E52F75" w:rsidP="00B92D73">
            <w:pPr>
              <w:pStyle w:val="Small-TableswithinQuotes"/>
            </w:pPr>
            <w:proofErr w:type="spellStart"/>
            <w:r>
              <w:t>Hl</w:t>
            </w:r>
            <w:r w:rsidR="00B92D73" w:rsidRPr="002D1AAD">
              <w:t>awn</w:t>
            </w:r>
            <w:proofErr w:type="spellEnd"/>
            <w:r w:rsidR="00B92D73" w:rsidRPr="002D1AAD">
              <w:t xml:space="preserve">-Maul, Sui </w:t>
            </w:r>
            <w:proofErr w:type="spellStart"/>
            <w:r w:rsidR="00B92D73" w:rsidRPr="002D1AAD">
              <w:t>Te</w:t>
            </w:r>
            <w:proofErr w:type="spellEnd"/>
          </w:p>
        </w:tc>
      </w:tr>
      <w:tr w:rsidR="00B92D73" w:rsidRPr="002D1AAD" w14:paraId="100FA28A" w14:textId="77777777" w:rsidTr="00B92D73">
        <w:tc>
          <w:tcPr>
            <w:tcW w:w="541" w:type="dxa"/>
          </w:tcPr>
          <w:p w14:paraId="6A8B43A2" w14:textId="77777777" w:rsidR="00B92D73" w:rsidRPr="002D1AAD" w:rsidRDefault="00B92D73" w:rsidP="00B92D73">
            <w:pPr>
              <w:pStyle w:val="Small-TableswithinQuotes"/>
            </w:pPr>
            <w:r w:rsidRPr="002D1AAD">
              <w:t>29</w:t>
            </w:r>
          </w:p>
        </w:tc>
        <w:tc>
          <w:tcPr>
            <w:tcW w:w="1274" w:type="dxa"/>
          </w:tcPr>
          <w:p w14:paraId="7BAE80C1" w14:textId="77777777" w:rsidR="00B92D73" w:rsidRPr="002D1AAD" w:rsidRDefault="00B92D73" w:rsidP="00B92D73">
            <w:pPr>
              <w:pStyle w:val="Small-TableswithinQuotes"/>
            </w:pPr>
            <w:r w:rsidRPr="002D1AAD">
              <w:t>20.08.2016</w:t>
            </w:r>
          </w:p>
        </w:tc>
        <w:tc>
          <w:tcPr>
            <w:tcW w:w="3150" w:type="dxa"/>
          </w:tcPr>
          <w:p w14:paraId="708E6352" w14:textId="77777777" w:rsidR="00B92D73" w:rsidRPr="002D1AAD" w:rsidRDefault="00B92D73" w:rsidP="00B92D73">
            <w:pPr>
              <w:pStyle w:val="Small-TableswithinQuotes"/>
            </w:pPr>
            <w:r w:rsidRPr="002D1AAD">
              <w:t>2016 ITR</w:t>
            </w:r>
          </w:p>
        </w:tc>
        <w:tc>
          <w:tcPr>
            <w:tcW w:w="4115" w:type="dxa"/>
          </w:tcPr>
          <w:p w14:paraId="218540B2" w14:textId="77777777" w:rsidR="00B92D73" w:rsidRPr="002D1AAD" w:rsidRDefault="00B92D73" w:rsidP="00B92D73">
            <w:pPr>
              <w:pStyle w:val="Small-TableswithinQuotes"/>
            </w:pPr>
            <w:r w:rsidRPr="002D1AAD">
              <w:t>Kerr, Jeffrey Scott</w:t>
            </w:r>
          </w:p>
        </w:tc>
      </w:tr>
      <w:tr w:rsidR="00B92D73" w:rsidRPr="002D1AAD" w14:paraId="3EAE036A" w14:textId="77777777" w:rsidTr="00B92D73">
        <w:tc>
          <w:tcPr>
            <w:tcW w:w="541" w:type="dxa"/>
          </w:tcPr>
          <w:p w14:paraId="42DB529D" w14:textId="77777777" w:rsidR="00B92D73" w:rsidRPr="002D1AAD" w:rsidRDefault="00B92D73" w:rsidP="00B92D73">
            <w:pPr>
              <w:pStyle w:val="Small-TableswithinQuotes"/>
            </w:pPr>
            <w:r w:rsidRPr="002D1AAD">
              <w:t>30</w:t>
            </w:r>
          </w:p>
        </w:tc>
        <w:tc>
          <w:tcPr>
            <w:tcW w:w="1274" w:type="dxa"/>
          </w:tcPr>
          <w:p w14:paraId="72FD19A3" w14:textId="77777777" w:rsidR="00B92D73" w:rsidRPr="002D1AAD" w:rsidRDefault="00B92D73" w:rsidP="00B92D73">
            <w:pPr>
              <w:pStyle w:val="Small-TableswithinQuotes"/>
            </w:pPr>
            <w:r w:rsidRPr="002D1AAD">
              <w:t>18.08.2017</w:t>
            </w:r>
          </w:p>
        </w:tc>
        <w:tc>
          <w:tcPr>
            <w:tcW w:w="3150" w:type="dxa"/>
          </w:tcPr>
          <w:p w14:paraId="72CD82CA" w14:textId="77777777" w:rsidR="00B92D73" w:rsidRPr="002D1AAD" w:rsidRDefault="00B92D73" w:rsidP="00B92D73">
            <w:pPr>
              <w:pStyle w:val="Small-TableswithinQuotes"/>
            </w:pPr>
            <w:r w:rsidRPr="002D1AAD">
              <w:t>2017 ITR</w:t>
            </w:r>
          </w:p>
        </w:tc>
        <w:tc>
          <w:tcPr>
            <w:tcW w:w="4115" w:type="dxa"/>
          </w:tcPr>
          <w:p w14:paraId="511F73E5" w14:textId="77777777" w:rsidR="00B92D73" w:rsidRPr="002D1AAD" w:rsidRDefault="00B92D73" w:rsidP="00B92D73">
            <w:pPr>
              <w:pStyle w:val="Small-TableswithinQuotes"/>
            </w:pPr>
            <w:r w:rsidRPr="002D1AAD">
              <w:t>Kerr, Jeffrey Scott</w:t>
            </w:r>
          </w:p>
        </w:tc>
      </w:tr>
      <w:tr w:rsidR="00B92D73" w:rsidRPr="002D1AAD" w14:paraId="483F88B4" w14:textId="77777777" w:rsidTr="00B92D73">
        <w:tc>
          <w:tcPr>
            <w:tcW w:w="541" w:type="dxa"/>
          </w:tcPr>
          <w:p w14:paraId="34C5D093" w14:textId="77777777" w:rsidR="00B92D73" w:rsidRPr="002D1AAD" w:rsidRDefault="00B92D73" w:rsidP="00B92D73">
            <w:pPr>
              <w:pStyle w:val="Small-TableswithinQuotes"/>
            </w:pPr>
            <w:r w:rsidRPr="002D1AAD">
              <w:t>31</w:t>
            </w:r>
          </w:p>
        </w:tc>
        <w:tc>
          <w:tcPr>
            <w:tcW w:w="1274" w:type="dxa"/>
          </w:tcPr>
          <w:p w14:paraId="23DF73CA" w14:textId="77777777" w:rsidR="00B92D73" w:rsidRPr="002D1AAD" w:rsidRDefault="00B92D73" w:rsidP="00B92D73">
            <w:pPr>
              <w:pStyle w:val="Small-TableswithinQuotes"/>
            </w:pPr>
            <w:r w:rsidRPr="002D1AAD">
              <w:t>28.09.2018</w:t>
            </w:r>
          </w:p>
        </w:tc>
        <w:tc>
          <w:tcPr>
            <w:tcW w:w="3150" w:type="dxa"/>
          </w:tcPr>
          <w:p w14:paraId="4E69E4CC" w14:textId="77777777" w:rsidR="00B92D73" w:rsidRPr="002D1AAD" w:rsidRDefault="00B92D73" w:rsidP="00B92D73">
            <w:pPr>
              <w:pStyle w:val="Small-TableswithinQuotes"/>
            </w:pPr>
            <w:r w:rsidRPr="002D1AAD">
              <w:t>2018 ITR</w:t>
            </w:r>
          </w:p>
        </w:tc>
        <w:tc>
          <w:tcPr>
            <w:tcW w:w="4115" w:type="dxa"/>
          </w:tcPr>
          <w:p w14:paraId="4F7B4CD6" w14:textId="77777777" w:rsidR="00B92D73" w:rsidRPr="002D1AAD" w:rsidRDefault="00B92D73" w:rsidP="00B92D73">
            <w:pPr>
              <w:pStyle w:val="Small-TableswithinQuotes"/>
            </w:pPr>
            <w:r w:rsidRPr="002D1AAD">
              <w:t>Kerr, Jeffrey Scott</w:t>
            </w:r>
          </w:p>
        </w:tc>
      </w:tr>
      <w:tr w:rsidR="00B92D73" w:rsidRPr="002D1AAD" w14:paraId="2204B16A" w14:textId="77777777" w:rsidTr="00B92D73">
        <w:tc>
          <w:tcPr>
            <w:tcW w:w="541" w:type="dxa"/>
          </w:tcPr>
          <w:p w14:paraId="486C4EDC" w14:textId="77777777" w:rsidR="00B92D73" w:rsidRPr="002D1AAD" w:rsidRDefault="00B92D73" w:rsidP="00B92D73">
            <w:pPr>
              <w:pStyle w:val="Small-TableswithinQuotes"/>
            </w:pPr>
            <w:r w:rsidRPr="002D1AAD">
              <w:t>32</w:t>
            </w:r>
          </w:p>
        </w:tc>
        <w:tc>
          <w:tcPr>
            <w:tcW w:w="1274" w:type="dxa"/>
          </w:tcPr>
          <w:p w14:paraId="7E1A3638" w14:textId="77777777" w:rsidR="00B92D73" w:rsidRPr="002D1AAD" w:rsidRDefault="00B92D73" w:rsidP="00B92D73">
            <w:pPr>
              <w:pStyle w:val="Small-TableswithinQuotes"/>
            </w:pPr>
            <w:r w:rsidRPr="002D1AAD">
              <w:t>08.07.2018</w:t>
            </w:r>
          </w:p>
        </w:tc>
        <w:tc>
          <w:tcPr>
            <w:tcW w:w="3150" w:type="dxa"/>
          </w:tcPr>
          <w:p w14:paraId="4E9EFC8D" w14:textId="77777777" w:rsidR="00B92D73" w:rsidRPr="002D1AAD" w:rsidRDefault="00B92D73" w:rsidP="00B92D73">
            <w:pPr>
              <w:pStyle w:val="Small-TableswithinQuotes"/>
            </w:pPr>
            <w:r w:rsidRPr="002D1AAD">
              <w:t>2018 ITR</w:t>
            </w:r>
          </w:p>
        </w:tc>
        <w:tc>
          <w:tcPr>
            <w:tcW w:w="4115" w:type="dxa"/>
          </w:tcPr>
          <w:p w14:paraId="444B90F4" w14:textId="77777777" w:rsidR="00B92D73" w:rsidRPr="002D1AAD" w:rsidRDefault="00B92D73" w:rsidP="00B92D73">
            <w:pPr>
              <w:pStyle w:val="Small-TableswithinQuotes"/>
            </w:pPr>
            <w:r w:rsidRPr="002D1AAD">
              <w:t xml:space="preserve">Law, </w:t>
            </w:r>
            <w:proofErr w:type="spellStart"/>
            <w:r w:rsidRPr="002D1AAD">
              <w:t>Sarath</w:t>
            </w:r>
            <w:proofErr w:type="spellEnd"/>
          </w:p>
        </w:tc>
      </w:tr>
      <w:tr w:rsidR="00B92D73" w:rsidRPr="002D1AAD" w14:paraId="16F62D12" w14:textId="77777777" w:rsidTr="00B92D73">
        <w:tc>
          <w:tcPr>
            <w:tcW w:w="541" w:type="dxa"/>
          </w:tcPr>
          <w:p w14:paraId="29170201" w14:textId="77777777" w:rsidR="00B92D73" w:rsidRPr="002D1AAD" w:rsidRDefault="00B92D73" w:rsidP="00B92D73">
            <w:pPr>
              <w:pStyle w:val="Small-TableswithinQuotes"/>
            </w:pPr>
            <w:r w:rsidRPr="002D1AAD">
              <w:t>33</w:t>
            </w:r>
          </w:p>
        </w:tc>
        <w:tc>
          <w:tcPr>
            <w:tcW w:w="1274" w:type="dxa"/>
          </w:tcPr>
          <w:p w14:paraId="72B4B9AD" w14:textId="77777777" w:rsidR="00B92D73" w:rsidRPr="002D1AAD" w:rsidRDefault="00B92D73" w:rsidP="00B92D73">
            <w:pPr>
              <w:pStyle w:val="Small-TableswithinQuotes"/>
            </w:pPr>
            <w:r w:rsidRPr="002D1AAD">
              <w:t>24.10.2018</w:t>
            </w:r>
          </w:p>
        </w:tc>
        <w:tc>
          <w:tcPr>
            <w:tcW w:w="3150" w:type="dxa"/>
          </w:tcPr>
          <w:p w14:paraId="1A440F78" w14:textId="77777777" w:rsidR="00B92D73" w:rsidRPr="002D1AAD" w:rsidRDefault="00B92D73" w:rsidP="00B92D73">
            <w:pPr>
              <w:pStyle w:val="Small-TableswithinQuotes"/>
            </w:pPr>
            <w:r w:rsidRPr="002D1AAD">
              <w:t>2018 ITR</w:t>
            </w:r>
          </w:p>
        </w:tc>
        <w:tc>
          <w:tcPr>
            <w:tcW w:w="4115" w:type="dxa"/>
          </w:tcPr>
          <w:p w14:paraId="40123E8B" w14:textId="77777777" w:rsidR="00B92D73" w:rsidRPr="002D1AAD" w:rsidRDefault="00B92D73" w:rsidP="00B92D73">
            <w:pPr>
              <w:pStyle w:val="Small-TableswithinQuotes"/>
            </w:pPr>
            <w:proofErr w:type="spellStart"/>
            <w:r w:rsidRPr="002D1AAD">
              <w:t>Poudel</w:t>
            </w:r>
            <w:proofErr w:type="spellEnd"/>
            <w:r w:rsidRPr="002D1AAD">
              <w:t xml:space="preserve">, Prakash Raj </w:t>
            </w:r>
          </w:p>
        </w:tc>
      </w:tr>
      <w:tr w:rsidR="00B92D73" w:rsidRPr="002D1AAD" w14:paraId="676E36B2" w14:textId="77777777" w:rsidTr="00B92D73">
        <w:tc>
          <w:tcPr>
            <w:tcW w:w="541" w:type="dxa"/>
          </w:tcPr>
          <w:p w14:paraId="7D2BC575" w14:textId="77777777" w:rsidR="00B92D73" w:rsidRPr="002D1AAD" w:rsidRDefault="00B92D73" w:rsidP="00B92D73">
            <w:pPr>
              <w:pStyle w:val="Small-TableswithinQuotes"/>
            </w:pPr>
            <w:r w:rsidRPr="002D1AAD">
              <w:t>34</w:t>
            </w:r>
          </w:p>
        </w:tc>
        <w:tc>
          <w:tcPr>
            <w:tcW w:w="1274" w:type="dxa"/>
          </w:tcPr>
          <w:p w14:paraId="13430302" w14:textId="77777777" w:rsidR="00B92D73" w:rsidRPr="002D1AAD" w:rsidRDefault="00B92D73" w:rsidP="00B92D73">
            <w:pPr>
              <w:pStyle w:val="Small-TableswithinQuotes"/>
            </w:pPr>
            <w:r w:rsidRPr="002D1AAD">
              <w:t>24.10.2018</w:t>
            </w:r>
          </w:p>
        </w:tc>
        <w:tc>
          <w:tcPr>
            <w:tcW w:w="3150" w:type="dxa"/>
          </w:tcPr>
          <w:p w14:paraId="0CD70D9D" w14:textId="77777777" w:rsidR="00B92D73" w:rsidRPr="002D1AAD" w:rsidRDefault="00B92D73" w:rsidP="00B92D73">
            <w:pPr>
              <w:pStyle w:val="Small-TableswithinQuotes"/>
            </w:pPr>
            <w:r w:rsidRPr="002D1AAD">
              <w:t>2018 ITR</w:t>
            </w:r>
          </w:p>
        </w:tc>
        <w:tc>
          <w:tcPr>
            <w:tcW w:w="4115" w:type="dxa"/>
          </w:tcPr>
          <w:p w14:paraId="3132081E" w14:textId="77777777" w:rsidR="00B92D73" w:rsidRPr="002D1AAD" w:rsidRDefault="00B92D73" w:rsidP="00B92D73">
            <w:pPr>
              <w:pStyle w:val="Small-TableswithinQuotes"/>
            </w:pPr>
            <w:proofErr w:type="spellStart"/>
            <w:r w:rsidRPr="002D1AAD">
              <w:t>Poudel</w:t>
            </w:r>
            <w:proofErr w:type="spellEnd"/>
            <w:r w:rsidRPr="002D1AAD">
              <w:t xml:space="preserve">, </w:t>
            </w:r>
            <w:proofErr w:type="spellStart"/>
            <w:r w:rsidRPr="002D1AAD">
              <w:t>Rukmani</w:t>
            </w:r>
            <w:proofErr w:type="spellEnd"/>
            <w:r w:rsidRPr="002D1AAD">
              <w:t xml:space="preserve"> </w:t>
            </w:r>
            <w:proofErr w:type="spellStart"/>
            <w:r w:rsidRPr="002D1AAD">
              <w:t>Adhikari</w:t>
            </w:r>
            <w:proofErr w:type="spellEnd"/>
          </w:p>
        </w:tc>
      </w:tr>
      <w:tr w:rsidR="00B92D73" w:rsidRPr="002D1AAD" w14:paraId="2DE7AA97" w14:textId="77777777" w:rsidTr="00B92D73">
        <w:tc>
          <w:tcPr>
            <w:tcW w:w="541" w:type="dxa"/>
          </w:tcPr>
          <w:p w14:paraId="0A3535AA" w14:textId="77777777" w:rsidR="00B92D73" w:rsidRPr="002D1AAD" w:rsidRDefault="00B92D73" w:rsidP="00B92D73">
            <w:pPr>
              <w:pStyle w:val="Small-TableswithinQuotes"/>
            </w:pPr>
            <w:r w:rsidRPr="002D1AAD">
              <w:t>35</w:t>
            </w:r>
          </w:p>
        </w:tc>
        <w:tc>
          <w:tcPr>
            <w:tcW w:w="1274" w:type="dxa"/>
          </w:tcPr>
          <w:p w14:paraId="36587CEC" w14:textId="77777777" w:rsidR="00B92D73" w:rsidRPr="002D1AAD" w:rsidRDefault="00B92D73" w:rsidP="00B92D73">
            <w:pPr>
              <w:pStyle w:val="Small-TableswithinQuotes"/>
            </w:pPr>
            <w:r w:rsidRPr="002D1AAD">
              <w:t>11.07.2016</w:t>
            </w:r>
          </w:p>
        </w:tc>
        <w:tc>
          <w:tcPr>
            <w:tcW w:w="3150" w:type="dxa"/>
          </w:tcPr>
          <w:p w14:paraId="7BBD2C1E" w14:textId="77777777" w:rsidR="00B92D73" w:rsidRPr="002D1AAD" w:rsidRDefault="00B92D73" w:rsidP="00B92D73">
            <w:pPr>
              <w:pStyle w:val="Small-TableswithinQuotes"/>
            </w:pPr>
            <w:r w:rsidRPr="002D1AAD">
              <w:t>2016 ITR</w:t>
            </w:r>
          </w:p>
        </w:tc>
        <w:tc>
          <w:tcPr>
            <w:tcW w:w="4115" w:type="dxa"/>
          </w:tcPr>
          <w:p w14:paraId="2352788E" w14:textId="77777777" w:rsidR="00B92D73" w:rsidRPr="002D1AAD" w:rsidRDefault="00B92D73" w:rsidP="00B92D73">
            <w:pPr>
              <w:pStyle w:val="Small-TableswithinQuotes"/>
            </w:pPr>
            <w:r w:rsidRPr="002D1AAD">
              <w:t>Stewart, Katie Jane</w:t>
            </w:r>
          </w:p>
        </w:tc>
      </w:tr>
      <w:tr w:rsidR="00B92D73" w:rsidRPr="002D1AAD" w14:paraId="3F0CEB71" w14:textId="77777777" w:rsidTr="00B92D73">
        <w:tc>
          <w:tcPr>
            <w:tcW w:w="541" w:type="dxa"/>
          </w:tcPr>
          <w:p w14:paraId="2B8835E1" w14:textId="77777777" w:rsidR="00B92D73" w:rsidRPr="002D1AAD" w:rsidRDefault="00B92D73" w:rsidP="00B92D73">
            <w:pPr>
              <w:pStyle w:val="Small-TableswithinQuotes"/>
            </w:pPr>
            <w:r w:rsidRPr="002D1AAD">
              <w:lastRenderedPageBreak/>
              <w:t>36</w:t>
            </w:r>
          </w:p>
        </w:tc>
        <w:tc>
          <w:tcPr>
            <w:tcW w:w="1274" w:type="dxa"/>
          </w:tcPr>
          <w:p w14:paraId="2387B61B" w14:textId="77777777" w:rsidR="00B92D73" w:rsidRPr="002D1AAD" w:rsidRDefault="00B92D73" w:rsidP="00B92D73">
            <w:pPr>
              <w:pStyle w:val="Small-TableswithinQuotes"/>
            </w:pPr>
            <w:r w:rsidRPr="002D1AAD">
              <w:t>08.07.2017</w:t>
            </w:r>
          </w:p>
        </w:tc>
        <w:tc>
          <w:tcPr>
            <w:tcW w:w="3150" w:type="dxa"/>
          </w:tcPr>
          <w:p w14:paraId="2861FA95" w14:textId="77777777" w:rsidR="00B92D73" w:rsidRPr="002D1AAD" w:rsidRDefault="00B92D73" w:rsidP="00B92D73">
            <w:pPr>
              <w:pStyle w:val="Small-TableswithinQuotes"/>
            </w:pPr>
            <w:r w:rsidRPr="002D1AAD">
              <w:t>2017 ITR</w:t>
            </w:r>
          </w:p>
        </w:tc>
        <w:tc>
          <w:tcPr>
            <w:tcW w:w="4115" w:type="dxa"/>
          </w:tcPr>
          <w:p w14:paraId="51D6F8A0" w14:textId="77777777" w:rsidR="00B92D73" w:rsidRPr="002D1AAD" w:rsidRDefault="00B92D73" w:rsidP="00B92D73">
            <w:pPr>
              <w:pStyle w:val="Small-TableswithinQuotes"/>
            </w:pPr>
            <w:r w:rsidRPr="002D1AAD">
              <w:t>Stewart, Katie Jane</w:t>
            </w:r>
          </w:p>
        </w:tc>
      </w:tr>
      <w:tr w:rsidR="00B92D73" w:rsidRPr="002D1AAD" w14:paraId="343ECC1C" w14:textId="77777777" w:rsidTr="00B92D73">
        <w:tc>
          <w:tcPr>
            <w:tcW w:w="541" w:type="dxa"/>
          </w:tcPr>
          <w:p w14:paraId="6DB1154E" w14:textId="77777777" w:rsidR="00B92D73" w:rsidRPr="002D1AAD" w:rsidRDefault="00B92D73" w:rsidP="00B92D73">
            <w:pPr>
              <w:pStyle w:val="Small-TableswithinQuotes"/>
            </w:pPr>
            <w:r w:rsidRPr="002D1AAD">
              <w:t>37</w:t>
            </w:r>
          </w:p>
        </w:tc>
        <w:tc>
          <w:tcPr>
            <w:tcW w:w="1274" w:type="dxa"/>
          </w:tcPr>
          <w:p w14:paraId="3D8B4793" w14:textId="77777777" w:rsidR="00B92D73" w:rsidRPr="002D1AAD" w:rsidRDefault="00B92D73" w:rsidP="00B92D73">
            <w:pPr>
              <w:pStyle w:val="Small-TableswithinQuotes"/>
            </w:pPr>
            <w:r w:rsidRPr="002D1AAD">
              <w:t>15.09.2018</w:t>
            </w:r>
          </w:p>
        </w:tc>
        <w:tc>
          <w:tcPr>
            <w:tcW w:w="3150" w:type="dxa"/>
          </w:tcPr>
          <w:p w14:paraId="23459E28" w14:textId="77777777" w:rsidR="00B92D73" w:rsidRPr="002D1AAD" w:rsidRDefault="00B92D73" w:rsidP="00B92D73">
            <w:pPr>
              <w:pStyle w:val="Small-TableswithinQuotes"/>
            </w:pPr>
            <w:r w:rsidRPr="002D1AAD">
              <w:t>2018 ITR</w:t>
            </w:r>
          </w:p>
        </w:tc>
        <w:tc>
          <w:tcPr>
            <w:tcW w:w="4115" w:type="dxa"/>
          </w:tcPr>
          <w:p w14:paraId="40D13082" w14:textId="77777777" w:rsidR="00B92D73" w:rsidRPr="002D1AAD" w:rsidRDefault="00B92D73" w:rsidP="00B92D73">
            <w:pPr>
              <w:pStyle w:val="Small-TableswithinQuotes"/>
            </w:pPr>
            <w:proofErr w:type="spellStart"/>
            <w:r w:rsidRPr="002D1AAD">
              <w:t>Vulker</w:t>
            </w:r>
            <w:proofErr w:type="spellEnd"/>
            <w:r w:rsidRPr="002D1AAD">
              <w:t xml:space="preserve">, </w:t>
            </w:r>
            <w:proofErr w:type="spellStart"/>
            <w:r w:rsidRPr="002D1AAD">
              <w:t>Suryati</w:t>
            </w:r>
            <w:proofErr w:type="spellEnd"/>
          </w:p>
        </w:tc>
      </w:tr>
    </w:tbl>
    <w:p w14:paraId="682922B0" w14:textId="77777777" w:rsidR="002D1AAD" w:rsidRDefault="002D1AAD" w:rsidP="005A1F99">
      <w:pPr>
        <w:pStyle w:val="SingleSpace"/>
      </w:pPr>
    </w:p>
    <w:p w14:paraId="0D24B5F2" w14:textId="77777777" w:rsidR="002D1AAD" w:rsidRPr="00B92D73" w:rsidRDefault="00B92D73" w:rsidP="005A1F99">
      <w:pPr>
        <w:pStyle w:val="SingleSpace"/>
        <w:rPr>
          <w:b/>
        </w:rPr>
      </w:pPr>
      <w:r w:rsidRPr="00B92D73">
        <w:rPr>
          <w:b/>
        </w:rPr>
        <w:t>TABLE 3</w:t>
      </w:r>
    </w:p>
    <w:p w14:paraId="5464CFFE" w14:textId="77777777" w:rsidR="00B92D73" w:rsidRDefault="00B92D73" w:rsidP="005A1F99">
      <w:pPr>
        <w:pStyle w:val="SingleSpace"/>
      </w:pPr>
    </w:p>
    <w:tbl>
      <w:tblPr>
        <w:tblStyle w:val="TableGrid"/>
        <w:tblW w:w="9080" w:type="dxa"/>
        <w:tblLook w:val="04A0" w:firstRow="1" w:lastRow="0" w:firstColumn="1" w:lastColumn="0" w:noHBand="0" w:noVBand="1"/>
      </w:tblPr>
      <w:tblGrid>
        <w:gridCol w:w="541"/>
        <w:gridCol w:w="1274"/>
        <w:gridCol w:w="3150"/>
        <w:gridCol w:w="4115"/>
      </w:tblGrid>
      <w:tr w:rsidR="00B92D73" w:rsidRPr="00B92D73" w14:paraId="43D06D1D" w14:textId="77777777" w:rsidTr="00B92D73">
        <w:tc>
          <w:tcPr>
            <w:tcW w:w="541" w:type="dxa"/>
            <w:shd w:val="clear" w:color="auto" w:fill="D9D9D9" w:themeFill="background1" w:themeFillShade="D9"/>
          </w:tcPr>
          <w:p w14:paraId="3A8C1D43" w14:textId="77777777" w:rsidR="00B92D73" w:rsidRPr="00B92D73" w:rsidRDefault="00B92D73" w:rsidP="00B92D73">
            <w:pPr>
              <w:pStyle w:val="Small-TableswithinQuotes"/>
              <w:rPr>
                <w:b/>
              </w:rPr>
            </w:pPr>
            <w:r w:rsidRPr="00B92D73">
              <w:rPr>
                <w:b/>
              </w:rPr>
              <w:t>No.</w:t>
            </w:r>
          </w:p>
        </w:tc>
        <w:tc>
          <w:tcPr>
            <w:tcW w:w="1274" w:type="dxa"/>
            <w:shd w:val="clear" w:color="auto" w:fill="D9D9D9" w:themeFill="background1" w:themeFillShade="D9"/>
          </w:tcPr>
          <w:p w14:paraId="2C4B72F3" w14:textId="77777777" w:rsidR="00B92D73" w:rsidRPr="00B92D73" w:rsidRDefault="00B92D73" w:rsidP="00B92D73">
            <w:pPr>
              <w:pStyle w:val="Small-TableswithinQuotes"/>
              <w:rPr>
                <w:b/>
              </w:rPr>
            </w:pPr>
            <w:r w:rsidRPr="00B92D73">
              <w:rPr>
                <w:b/>
              </w:rPr>
              <w:t>Date</w:t>
            </w:r>
          </w:p>
        </w:tc>
        <w:tc>
          <w:tcPr>
            <w:tcW w:w="3150" w:type="dxa"/>
            <w:shd w:val="clear" w:color="auto" w:fill="D9D9D9" w:themeFill="background1" w:themeFillShade="D9"/>
          </w:tcPr>
          <w:p w14:paraId="6585A56C" w14:textId="77777777" w:rsidR="00B92D73" w:rsidRPr="00B92D73" w:rsidRDefault="00B92D73" w:rsidP="00B92D73">
            <w:pPr>
              <w:pStyle w:val="Small-TableswithinQuotes"/>
              <w:rPr>
                <w:b/>
              </w:rPr>
            </w:pPr>
            <w:r w:rsidRPr="00B92D73">
              <w:rPr>
                <w:b/>
              </w:rPr>
              <w:t>BAS Agent Service</w:t>
            </w:r>
          </w:p>
        </w:tc>
        <w:tc>
          <w:tcPr>
            <w:tcW w:w="4115" w:type="dxa"/>
            <w:shd w:val="clear" w:color="auto" w:fill="D9D9D9" w:themeFill="background1" w:themeFillShade="D9"/>
          </w:tcPr>
          <w:p w14:paraId="53281592" w14:textId="77777777" w:rsidR="00B92D73" w:rsidRPr="00B92D73" w:rsidRDefault="00B92D73" w:rsidP="00B92D73">
            <w:pPr>
              <w:pStyle w:val="Small-TableswithinQuotes"/>
              <w:rPr>
                <w:b/>
              </w:rPr>
            </w:pPr>
            <w:r w:rsidRPr="00B92D73">
              <w:rPr>
                <w:b/>
              </w:rPr>
              <w:t>Client</w:t>
            </w:r>
          </w:p>
        </w:tc>
      </w:tr>
      <w:tr w:rsidR="00B92D73" w:rsidRPr="00B92D73" w14:paraId="488E1C87" w14:textId="77777777" w:rsidTr="00B92D73">
        <w:tc>
          <w:tcPr>
            <w:tcW w:w="541" w:type="dxa"/>
          </w:tcPr>
          <w:p w14:paraId="2DF6BAAB" w14:textId="77777777" w:rsidR="00B92D73" w:rsidRPr="00B92D73" w:rsidRDefault="00B92D73" w:rsidP="00B92D73">
            <w:pPr>
              <w:pStyle w:val="Small-TableswithinQuotes"/>
            </w:pPr>
            <w:r w:rsidRPr="00B92D73">
              <w:t>1</w:t>
            </w:r>
          </w:p>
        </w:tc>
        <w:tc>
          <w:tcPr>
            <w:tcW w:w="1274" w:type="dxa"/>
          </w:tcPr>
          <w:p w14:paraId="6D63F062" w14:textId="77777777" w:rsidR="00B92D73" w:rsidRPr="00B92D73" w:rsidRDefault="00B92D73" w:rsidP="00B92D73">
            <w:pPr>
              <w:pStyle w:val="Small-TableswithinQuotes"/>
            </w:pPr>
            <w:r w:rsidRPr="00B92D73">
              <w:t>30.10.2017</w:t>
            </w:r>
          </w:p>
        </w:tc>
        <w:tc>
          <w:tcPr>
            <w:tcW w:w="3150" w:type="dxa"/>
          </w:tcPr>
          <w:p w14:paraId="2E09DDA2" w14:textId="77777777" w:rsidR="00B92D73" w:rsidRPr="00B92D73" w:rsidRDefault="00B92D73" w:rsidP="00B92D73">
            <w:pPr>
              <w:pStyle w:val="Small-TableswithinQuotes"/>
            </w:pPr>
            <w:r w:rsidRPr="00B92D73">
              <w:t>Business Activity Statement (BAS) for period ended 31 March 2017</w:t>
            </w:r>
          </w:p>
        </w:tc>
        <w:tc>
          <w:tcPr>
            <w:tcW w:w="4115" w:type="dxa"/>
          </w:tcPr>
          <w:p w14:paraId="4B885768" w14:textId="77777777" w:rsidR="00B92D73" w:rsidRPr="00B92D73" w:rsidRDefault="00B92D73" w:rsidP="00B92D73">
            <w:pPr>
              <w:pStyle w:val="Small-TableswithinQuotes"/>
            </w:pPr>
            <w:proofErr w:type="spellStart"/>
            <w:r w:rsidRPr="00B92D73">
              <w:t>Comacho</w:t>
            </w:r>
            <w:proofErr w:type="spellEnd"/>
            <w:r w:rsidRPr="00B92D73">
              <w:t>, Mark</w:t>
            </w:r>
          </w:p>
        </w:tc>
      </w:tr>
      <w:tr w:rsidR="00B92D73" w:rsidRPr="00B92D73" w14:paraId="073304D9" w14:textId="77777777" w:rsidTr="00B92D73">
        <w:tc>
          <w:tcPr>
            <w:tcW w:w="541" w:type="dxa"/>
          </w:tcPr>
          <w:p w14:paraId="0EE94887" w14:textId="77777777" w:rsidR="00B92D73" w:rsidRPr="00B92D73" w:rsidRDefault="00B92D73" w:rsidP="00B92D73">
            <w:pPr>
              <w:pStyle w:val="Small-TableswithinQuotes"/>
            </w:pPr>
            <w:r w:rsidRPr="00B92D73">
              <w:t>2</w:t>
            </w:r>
          </w:p>
        </w:tc>
        <w:tc>
          <w:tcPr>
            <w:tcW w:w="1274" w:type="dxa"/>
          </w:tcPr>
          <w:p w14:paraId="26902296" w14:textId="77777777" w:rsidR="00B92D73" w:rsidRPr="00B92D73" w:rsidRDefault="00B92D73" w:rsidP="00B92D73">
            <w:pPr>
              <w:pStyle w:val="Small-TableswithinQuotes"/>
            </w:pPr>
            <w:r w:rsidRPr="00B92D73">
              <w:t>30.10.2017</w:t>
            </w:r>
          </w:p>
        </w:tc>
        <w:tc>
          <w:tcPr>
            <w:tcW w:w="3150" w:type="dxa"/>
          </w:tcPr>
          <w:p w14:paraId="028B892C" w14:textId="77777777" w:rsidR="00B92D73" w:rsidRPr="00B92D73" w:rsidRDefault="00B92D73" w:rsidP="00B92D73">
            <w:pPr>
              <w:pStyle w:val="Small-TableswithinQuotes"/>
            </w:pPr>
            <w:r w:rsidRPr="00B92D73">
              <w:t>BAS for period ended 30 June 2017</w:t>
            </w:r>
          </w:p>
        </w:tc>
        <w:tc>
          <w:tcPr>
            <w:tcW w:w="4115" w:type="dxa"/>
          </w:tcPr>
          <w:p w14:paraId="3E1A04B2" w14:textId="77777777" w:rsidR="00B92D73" w:rsidRPr="00B92D73" w:rsidRDefault="00B92D73" w:rsidP="00B92D73">
            <w:pPr>
              <w:pStyle w:val="Small-TableswithinQuotes"/>
            </w:pPr>
            <w:proofErr w:type="spellStart"/>
            <w:r w:rsidRPr="00B92D73">
              <w:t>Comacho</w:t>
            </w:r>
            <w:proofErr w:type="spellEnd"/>
            <w:r w:rsidRPr="00B92D73">
              <w:t>, Mark</w:t>
            </w:r>
          </w:p>
        </w:tc>
      </w:tr>
      <w:tr w:rsidR="00B92D73" w:rsidRPr="00B92D73" w14:paraId="7634FD43" w14:textId="77777777" w:rsidTr="00B92D73">
        <w:tc>
          <w:tcPr>
            <w:tcW w:w="541" w:type="dxa"/>
          </w:tcPr>
          <w:p w14:paraId="4B4DBDB1" w14:textId="77777777" w:rsidR="00B92D73" w:rsidRPr="00B92D73" w:rsidRDefault="00B92D73" w:rsidP="00B92D73">
            <w:pPr>
              <w:pStyle w:val="Small-TableswithinQuotes"/>
            </w:pPr>
            <w:r w:rsidRPr="00B92D73">
              <w:t>3</w:t>
            </w:r>
          </w:p>
        </w:tc>
        <w:tc>
          <w:tcPr>
            <w:tcW w:w="1274" w:type="dxa"/>
          </w:tcPr>
          <w:p w14:paraId="0073065F" w14:textId="77777777" w:rsidR="00B92D73" w:rsidRPr="00B92D73" w:rsidRDefault="00B92D73" w:rsidP="00B92D73">
            <w:pPr>
              <w:pStyle w:val="Small-TableswithinQuotes"/>
            </w:pPr>
            <w:r w:rsidRPr="00B92D73">
              <w:t>30.10.2017</w:t>
            </w:r>
          </w:p>
        </w:tc>
        <w:tc>
          <w:tcPr>
            <w:tcW w:w="3150" w:type="dxa"/>
          </w:tcPr>
          <w:p w14:paraId="57C82089" w14:textId="77777777" w:rsidR="00B92D73" w:rsidRPr="00B92D73" w:rsidRDefault="00B92D73" w:rsidP="00B92D73">
            <w:pPr>
              <w:pStyle w:val="Small-TableswithinQuotes"/>
            </w:pPr>
            <w:r w:rsidRPr="00B92D73">
              <w:t>BAS for period ended 30 September 2017</w:t>
            </w:r>
          </w:p>
        </w:tc>
        <w:tc>
          <w:tcPr>
            <w:tcW w:w="4115" w:type="dxa"/>
          </w:tcPr>
          <w:p w14:paraId="33950030" w14:textId="77777777" w:rsidR="00B92D73" w:rsidRPr="00B92D73" w:rsidRDefault="00B92D73" w:rsidP="00B92D73">
            <w:pPr>
              <w:pStyle w:val="Small-TableswithinQuotes"/>
            </w:pPr>
            <w:proofErr w:type="spellStart"/>
            <w:r w:rsidRPr="00B92D73">
              <w:t>Comacho</w:t>
            </w:r>
            <w:proofErr w:type="spellEnd"/>
            <w:r w:rsidRPr="00B92D73">
              <w:t>, Mark</w:t>
            </w:r>
          </w:p>
        </w:tc>
      </w:tr>
    </w:tbl>
    <w:p w14:paraId="69E4ECA6" w14:textId="77777777" w:rsidR="00B92D73" w:rsidRDefault="00B92D73" w:rsidP="005A1F99">
      <w:pPr>
        <w:pStyle w:val="SingleSpace"/>
      </w:pPr>
    </w:p>
    <w:p w14:paraId="0E577925" w14:textId="77777777" w:rsidR="00742CB4" w:rsidRDefault="00742CB4" w:rsidP="005A1F99">
      <w:pPr>
        <w:pStyle w:val="SingleSpace"/>
      </w:pPr>
    </w:p>
    <w:p w14:paraId="7CA5C741" w14:textId="77777777" w:rsidR="00823352" w:rsidRDefault="002C7385" w:rsidP="005A1F99">
      <w:pPr>
        <w:pStyle w:val="SingleSpace"/>
        <w:rPr>
          <w:b/>
        </w:rPr>
        <w:sectPr w:rsidR="00823352" w:rsidSect="008B712F">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fmt="lowerRoman" w:start="1"/>
          <w:cols w:space="720"/>
          <w:noEndnote/>
          <w:titlePg/>
        </w:sectPr>
      </w:pPr>
      <w:r>
        <w:t>Note:</w:t>
      </w:r>
      <w:r>
        <w:tab/>
        <w:t xml:space="preserve">Entry of orders is dealt with in Rule 39.32 of the </w:t>
      </w:r>
      <w:r>
        <w:rPr>
          <w:i/>
        </w:rPr>
        <w:t>Federal Court Rules 2011</w:t>
      </w:r>
      <w:bookmarkStart w:id="19" w:name="OrdersStatementN"/>
      <w:bookmarkEnd w:id="19"/>
    </w:p>
    <w:p w14:paraId="7EDA0A63" w14:textId="77777777" w:rsidR="00484F6D"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tbl>
      <w:tblPr>
        <w:tblW w:w="9291" w:type="dxa"/>
        <w:tblLook w:val="01E0" w:firstRow="1" w:lastRow="1" w:firstColumn="1" w:lastColumn="1" w:noHBand="0" w:noVBand="0"/>
      </w:tblPr>
      <w:tblGrid>
        <w:gridCol w:w="8291"/>
        <w:gridCol w:w="1000"/>
      </w:tblGrid>
      <w:tr w:rsidR="007A5A25" w:rsidRPr="00D326DB" w14:paraId="7CDB23CF" w14:textId="77777777" w:rsidTr="007A5A25">
        <w:tc>
          <w:tcPr>
            <w:tcW w:w="8291" w:type="dxa"/>
            <w:shd w:val="clear" w:color="auto" w:fill="auto"/>
          </w:tcPr>
          <w:p w14:paraId="0DCD68E3" w14:textId="77777777" w:rsidR="007A5A25" w:rsidRPr="007A5A25" w:rsidRDefault="007A5A25" w:rsidP="007A5A25">
            <w:pPr>
              <w:pStyle w:val="FTOC2"/>
              <w:rPr>
                <w:lang w:eastAsia="en-AU"/>
              </w:rPr>
            </w:pPr>
            <w:bookmarkStart w:id="21" w:name="PTOC"/>
            <w:r>
              <w:rPr>
                <w:lang w:eastAsia="en-AU"/>
              </w:rPr>
              <w:t>Evidence adduced in the penalty hearing</w:t>
            </w:r>
          </w:p>
        </w:tc>
        <w:tc>
          <w:tcPr>
            <w:tcW w:w="1000" w:type="dxa"/>
            <w:shd w:val="clear" w:color="auto" w:fill="auto"/>
            <w:vAlign w:val="bottom"/>
          </w:tcPr>
          <w:p w14:paraId="1C3D75C1" w14:textId="77777777" w:rsidR="007A5A25" w:rsidRDefault="007A5A25" w:rsidP="00075094">
            <w:pPr>
              <w:spacing w:before="120" w:after="60" w:line="240" w:lineRule="auto"/>
              <w:jc w:val="right"/>
              <w:rPr>
                <w:szCs w:val="24"/>
              </w:rPr>
            </w:pPr>
            <w:r>
              <w:rPr>
                <w:szCs w:val="24"/>
              </w:rPr>
              <w:t>[5]</w:t>
            </w:r>
          </w:p>
        </w:tc>
      </w:tr>
      <w:tr w:rsidR="007A5A25" w:rsidRPr="00D326DB" w14:paraId="76342F36" w14:textId="77777777" w:rsidTr="007A5A25">
        <w:tc>
          <w:tcPr>
            <w:tcW w:w="8291" w:type="dxa"/>
            <w:shd w:val="clear" w:color="auto" w:fill="auto"/>
          </w:tcPr>
          <w:p w14:paraId="7DF9ACF6" w14:textId="77777777" w:rsidR="007A5A25" w:rsidRPr="007A5A25" w:rsidRDefault="007A5A25" w:rsidP="007A5A25">
            <w:pPr>
              <w:pStyle w:val="FTOC3"/>
              <w:rPr>
                <w:i w:val="0"/>
                <w:lang w:eastAsia="en-AU"/>
              </w:rPr>
            </w:pPr>
            <w:r>
              <w:rPr>
                <w:lang w:eastAsia="en-AU"/>
              </w:rPr>
              <w:t>Mr Hacker</w:t>
            </w:r>
          </w:p>
        </w:tc>
        <w:tc>
          <w:tcPr>
            <w:tcW w:w="1000" w:type="dxa"/>
            <w:shd w:val="clear" w:color="auto" w:fill="auto"/>
            <w:vAlign w:val="bottom"/>
          </w:tcPr>
          <w:p w14:paraId="6E6D67CE" w14:textId="77777777" w:rsidR="007A5A25" w:rsidRDefault="007A5A25" w:rsidP="00075094">
            <w:pPr>
              <w:spacing w:before="120" w:after="60" w:line="240" w:lineRule="auto"/>
              <w:jc w:val="right"/>
              <w:rPr>
                <w:szCs w:val="24"/>
              </w:rPr>
            </w:pPr>
            <w:r>
              <w:rPr>
                <w:szCs w:val="24"/>
              </w:rPr>
              <w:t>[5]</w:t>
            </w:r>
          </w:p>
        </w:tc>
      </w:tr>
      <w:tr w:rsidR="007A5A25" w:rsidRPr="00D326DB" w14:paraId="4ED99EF7" w14:textId="77777777" w:rsidTr="007A5A25">
        <w:tc>
          <w:tcPr>
            <w:tcW w:w="8291" w:type="dxa"/>
            <w:shd w:val="clear" w:color="auto" w:fill="auto"/>
          </w:tcPr>
          <w:p w14:paraId="4B0421AE" w14:textId="77777777" w:rsidR="007A5A25" w:rsidRPr="007A5A25" w:rsidRDefault="007A5A25" w:rsidP="007A5A25">
            <w:pPr>
              <w:pStyle w:val="FTOC3"/>
              <w:rPr>
                <w:i w:val="0"/>
                <w:lang w:eastAsia="en-AU"/>
              </w:rPr>
            </w:pPr>
            <w:r>
              <w:rPr>
                <w:lang w:eastAsia="en-AU"/>
              </w:rPr>
              <w:t xml:space="preserve">Dr </w:t>
            </w:r>
            <w:proofErr w:type="spellStart"/>
            <w:r>
              <w:rPr>
                <w:lang w:eastAsia="en-AU"/>
              </w:rPr>
              <w:t>Yelland</w:t>
            </w:r>
            <w:proofErr w:type="spellEnd"/>
          </w:p>
        </w:tc>
        <w:tc>
          <w:tcPr>
            <w:tcW w:w="1000" w:type="dxa"/>
            <w:shd w:val="clear" w:color="auto" w:fill="auto"/>
            <w:vAlign w:val="bottom"/>
          </w:tcPr>
          <w:p w14:paraId="788CDBCF" w14:textId="77777777" w:rsidR="007A5A25" w:rsidRDefault="007A5A25" w:rsidP="00075094">
            <w:pPr>
              <w:spacing w:before="120" w:after="60" w:line="240" w:lineRule="auto"/>
              <w:jc w:val="right"/>
              <w:rPr>
                <w:szCs w:val="24"/>
              </w:rPr>
            </w:pPr>
            <w:r>
              <w:rPr>
                <w:szCs w:val="24"/>
              </w:rPr>
              <w:t>[22]</w:t>
            </w:r>
          </w:p>
        </w:tc>
      </w:tr>
      <w:tr w:rsidR="007A5A25" w:rsidRPr="00D326DB" w14:paraId="524AC633" w14:textId="77777777" w:rsidTr="007A5A25">
        <w:tc>
          <w:tcPr>
            <w:tcW w:w="8291" w:type="dxa"/>
            <w:shd w:val="clear" w:color="auto" w:fill="auto"/>
          </w:tcPr>
          <w:p w14:paraId="0DB452DC" w14:textId="77777777" w:rsidR="007A5A25" w:rsidRPr="007A5A25" w:rsidRDefault="007A5A25" w:rsidP="007A5A25">
            <w:pPr>
              <w:pStyle w:val="FTOC2"/>
              <w:rPr>
                <w:lang w:eastAsia="en-AU"/>
              </w:rPr>
            </w:pPr>
            <w:r>
              <w:rPr>
                <w:lang w:eastAsia="en-AU"/>
              </w:rPr>
              <w:t xml:space="preserve">Contraventions of s 50–5 of the TAS Act - Pecuniary penalties </w:t>
            </w:r>
          </w:p>
        </w:tc>
        <w:tc>
          <w:tcPr>
            <w:tcW w:w="1000" w:type="dxa"/>
            <w:shd w:val="clear" w:color="auto" w:fill="auto"/>
            <w:vAlign w:val="bottom"/>
          </w:tcPr>
          <w:p w14:paraId="59DB6F54" w14:textId="77777777" w:rsidR="007A5A25" w:rsidRDefault="007A5A25" w:rsidP="00075094">
            <w:pPr>
              <w:spacing w:before="120" w:after="60" w:line="240" w:lineRule="auto"/>
              <w:jc w:val="right"/>
              <w:rPr>
                <w:szCs w:val="24"/>
              </w:rPr>
            </w:pPr>
            <w:r>
              <w:rPr>
                <w:szCs w:val="24"/>
              </w:rPr>
              <w:t>[35]</w:t>
            </w:r>
          </w:p>
        </w:tc>
      </w:tr>
      <w:tr w:rsidR="007A5A25" w:rsidRPr="00D326DB" w14:paraId="1F970C16" w14:textId="77777777" w:rsidTr="007A5A25">
        <w:tc>
          <w:tcPr>
            <w:tcW w:w="8291" w:type="dxa"/>
            <w:shd w:val="clear" w:color="auto" w:fill="auto"/>
          </w:tcPr>
          <w:p w14:paraId="19A286D2" w14:textId="77777777" w:rsidR="007A5A25" w:rsidRPr="007A5A25" w:rsidRDefault="007A5A25" w:rsidP="007A5A25">
            <w:pPr>
              <w:pStyle w:val="FTOC3"/>
              <w:rPr>
                <w:i w:val="0"/>
                <w:lang w:eastAsia="en-AU"/>
              </w:rPr>
            </w:pPr>
            <w:r>
              <w:rPr>
                <w:lang w:eastAsia="en-AU"/>
              </w:rPr>
              <w:t xml:space="preserve">The legislation and applicable principles </w:t>
            </w:r>
          </w:p>
        </w:tc>
        <w:tc>
          <w:tcPr>
            <w:tcW w:w="1000" w:type="dxa"/>
            <w:shd w:val="clear" w:color="auto" w:fill="auto"/>
            <w:vAlign w:val="bottom"/>
          </w:tcPr>
          <w:p w14:paraId="0B1AD62C" w14:textId="77777777" w:rsidR="007A5A25" w:rsidRDefault="007A5A25" w:rsidP="00075094">
            <w:pPr>
              <w:spacing w:before="120" w:after="60" w:line="240" w:lineRule="auto"/>
              <w:jc w:val="right"/>
              <w:rPr>
                <w:szCs w:val="24"/>
              </w:rPr>
            </w:pPr>
            <w:r>
              <w:rPr>
                <w:szCs w:val="24"/>
              </w:rPr>
              <w:t>[35]</w:t>
            </w:r>
          </w:p>
        </w:tc>
      </w:tr>
      <w:tr w:rsidR="007A5A25" w:rsidRPr="00D326DB" w14:paraId="3B359201" w14:textId="77777777" w:rsidTr="007A5A25">
        <w:tc>
          <w:tcPr>
            <w:tcW w:w="8291" w:type="dxa"/>
            <w:shd w:val="clear" w:color="auto" w:fill="auto"/>
          </w:tcPr>
          <w:p w14:paraId="00B76104" w14:textId="77777777" w:rsidR="007A5A25" w:rsidRPr="007A5A25" w:rsidRDefault="007A5A25" w:rsidP="007A5A25">
            <w:pPr>
              <w:pStyle w:val="FTOC3"/>
              <w:rPr>
                <w:i w:val="0"/>
                <w:lang w:eastAsia="en-AU"/>
              </w:rPr>
            </w:pPr>
            <w:r>
              <w:rPr>
                <w:lang w:eastAsia="en-AU"/>
              </w:rPr>
              <w:t>The circumstances and seriousness of the contraventions</w:t>
            </w:r>
          </w:p>
        </w:tc>
        <w:tc>
          <w:tcPr>
            <w:tcW w:w="1000" w:type="dxa"/>
            <w:shd w:val="clear" w:color="auto" w:fill="auto"/>
            <w:vAlign w:val="bottom"/>
          </w:tcPr>
          <w:p w14:paraId="161192B3" w14:textId="77777777" w:rsidR="007A5A25" w:rsidRDefault="007A5A25" w:rsidP="00075094">
            <w:pPr>
              <w:spacing w:before="120" w:after="60" w:line="240" w:lineRule="auto"/>
              <w:jc w:val="right"/>
              <w:rPr>
                <w:szCs w:val="24"/>
              </w:rPr>
            </w:pPr>
            <w:r>
              <w:rPr>
                <w:szCs w:val="24"/>
              </w:rPr>
              <w:t>[47]</w:t>
            </w:r>
          </w:p>
        </w:tc>
      </w:tr>
      <w:tr w:rsidR="007A5A25" w:rsidRPr="00D326DB" w14:paraId="5E9E2874" w14:textId="77777777" w:rsidTr="007A5A25">
        <w:tc>
          <w:tcPr>
            <w:tcW w:w="8291" w:type="dxa"/>
            <w:shd w:val="clear" w:color="auto" w:fill="auto"/>
          </w:tcPr>
          <w:p w14:paraId="112EFF74" w14:textId="77777777" w:rsidR="007A5A25" w:rsidRPr="007A5A25" w:rsidRDefault="007A5A25" w:rsidP="007A5A25">
            <w:pPr>
              <w:pStyle w:val="FTOC3"/>
              <w:rPr>
                <w:i w:val="0"/>
                <w:lang w:eastAsia="en-AU"/>
              </w:rPr>
            </w:pPr>
            <w:r>
              <w:rPr>
                <w:lang w:eastAsia="en-AU"/>
              </w:rPr>
              <w:t xml:space="preserve">Deterrence </w:t>
            </w:r>
          </w:p>
        </w:tc>
        <w:tc>
          <w:tcPr>
            <w:tcW w:w="1000" w:type="dxa"/>
            <w:shd w:val="clear" w:color="auto" w:fill="auto"/>
            <w:vAlign w:val="bottom"/>
          </w:tcPr>
          <w:p w14:paraId="530AC115" w14:textId="77777777" w:rsidR="007A5A25" w:rsidRDefault="007A5A25" w:rsidP="00075094">
            <w:pPr>
              <w:spacing w:before="120" w:after="60" w:line="240" w:lineRule="auto"/>
              <w:jc w:val="right"/>
              <w:rPr>
                <w:szCs w:val="24"/>
              </w:rPr>
            </w:pPr>
            <w:r>
              <w:rPr>
                <w:szCs w:val="24"/>
              </w:rPr>
              <w:t>[56]</w:t>
            </w:r>
          </w:p>
        </w:tc>
      </w:tr>
      <w:tr w:rsidR="007A5A25" w:rsidRPr="00D326DB" w14:paraId="5C1BAA76" w14:textId="77777777" w:rsidTr="007A5A25">
        <w:tc>
          <w:tcPr>
            <w:tcW w:w="8291" w:type="dxa"/>
            <w:shd w:val="clear" w:color="auto" w:fill="auto"/>
          </w:tcPr>
          <w:p w14:paraId="7482E492" w14:textId="77777777" w:rsidR="007A5A25" w:rsidRPr="007A5A25" w:rsidRDefault="007A5A25" w:rsidP="007A5A25">
            <w:pPr>
              <w:pStyle w:val="FTOC3"/>
              <w:rPr>
                <w:i w:val="0"/>
                <w:lang w:eastAsia="en-AU"/>
              </w:rPr>
            </w:pPr>
            <w:r>
              <w:rPr>
                <w:lang w:eastAsia="en-AU"/>
              </w:rPr>
              <w:t xml:space="preserve">Harm caused by the contraventions </w:t>
            </w:r>
          </w:p>
        </w:tc>
        <w:tc>
          <w:tcPr>
            <w:tcW w:w="1000" w:type="dxa"/>
            <w:shd w:val="clear" w:color="auto" w:fill="auto"/>
            <w:vAlign w:val="bottom"/>
          </w:tcPr>
          <w:p w14:paraId="5C87AD99" w14:textId="77777777" w:rsidR="007A5A25" w:rsidRDefault="007A5A25" w:rsidP="00075094">
            <w:pPr>
              <w:spacing w:before="120" w:after="60" w:line="240" w:lineRule="auto"/>
              <w:jc w:val="right"/>
              <w:rPr>
                <w:szCs w:val="24"/>
              </w:rPr>
            </w:pPr>
            <w:r>
              <w:rPr>
                <w:szCs w:val="24"/>
              </w:rPr>
              <w:t>[62]</w:t>
            </w:r>
          </w:p>
        </w:tc>
      </w:tr>
      <w:tr w:rsidR="007A5A25" w:rsidRPr="00D326DB" w14:paraId="3B01B8E1" w14:textId="77777777" w:rsidTr="007A5A25">
        <w:tc>
          <w:tcPr>
            <w:tcW w:w="8291" w:type="dxa"/>
            <w:shd w:val="clear" w:color="auto" w:fill="auto"/>
          </w:tcPr>
          <w:p w14:paraId="2C674F94" w14:textId="77777777" w:rsidR="007A5A25" w:rsidRPr="007A5A25" w:rsidRDefault="007A5A25" w:rsidP="007A5A25">
            <w:pPr>
              <w:pStyle w:val="FTOC3"/>
              <w:rPr>
                <w:i w:val="0"/>
                <w:lang w:eastAsia="en-AU"/>
              </w:rPr>
            </w:pPr>
            <w:r>
              <w:rPr>
                <w:lang w:eastAsia="en-AU"/>
              </w:rPr>
              <w:t xml:space="preserve">Co-operation </w:t>
            </w:r>
          </w:p>
        </w:tc>
        <w:tc>
          <w:tcPr>
            <w:tcW w:w="1000" w:type="dxa"/>
            <w:shd w:val="clear" w:color="auto" w:fill="auto"/>
            <w:vAlign w:val="bottom"/>
          </w:tcPr>
          <w:p w14:paraId="1264AB06" w14:textId="77777777" w:rsidR="007A5A25" w:rsidRDefault="007A5A25" w:rsidP="00075094">
            <w:pPr>
              <w:spacing w:before="120" w:after="60" w:line="240" w:lineRule="auto"/>
              <w:jc w:val="right"/>
              <w:rPr>
                <w:szCs w:val="24"/>
              </w:rPr>
            </w:pPr>
            <w:r>
              <w:rPr>
                <w:szCs w:val="24"/>
              </w:rPr>
              <w:t>[64]</w:t>
            </w:r>
          </w:p>
        </w:tc>
      </w:tr>
      <w:tr w:rsidR="007A5A25" w:rsidRPr="00D326DB" w14:paraId="71D6077D" w14:textId="77777777" w:rsidTr="007A5A25">
        <w:tc>
          <w:tcPr>
            <w:tcW w:w="8291" w:type="dxa"/>
            <w:shd w:val="clear" w:color="auto" w:fill="auto"/>
          </w:tcPr>
          <w:p w14:paraId="4C1E7651" w14:textId="77777777" w:rsidR="007A5A25" w:rsidRPr="007A5A25" w:rsidRDefault="007A5A25" w:rsidP="007A5A25">
            <w:pPr>
              <w:pStyle w:val="FTOC3"/>
              <w:rPr>
                <w:i w:val="0"/>
                <w:lang w:eastAsia="en-AU"/>
              </w:rPr>
            </w:pPr>
            <w:r>
              <w:rPr>
                <w:lang w:eastAsia="en-AU"/>
              </w:rPr>
              <w:t>Double punishment</w:t>
            </w:r>
          </w:p>
        </w:tc>
        <w:tc>
          <w:tcPr>
            <w:tcW w:w="1000" w:type="dxa"/>
            <w:shd w:val="clear" w:color="auto" w:fill="auto"/>
            <w:vAlign w:val="bottom"/>
          </w:tcPr>
          <w:p w14:paraId="47ADCE74" w14:textId="77777777" w:rsidR="007A5A25" w:rsidRDefault="007A5A25" w:rsidP="00075094">
            <w:pPr>
              <w:spacing w:before="120" w:after="60" w:line="240" w:lineRule="auto"/>
              <w:jc w:val="right"/>
              <w:rPr>
                <w:szCs w:val="24"/>
              </w:rPr>
            </w:pPr>
            <w:r>
              <w:rPr>
                <w:szCs w:val="24"/>
              </w:rPr>
              <w:t>[67]</w:t>
            </w:r>
          </w:p>
        </w:tc>
      </w:tr>
      <w:tr w:rsidR="007A5A25" w:rsidRPr="00D326DB" w14:paraId="159290DC" w14:textId="77777777" w:rsidTr="007A5A25">
        <w:tc>
          <w:tcPr>
            <w:tcW w:w="8291" w:type="dxa"/>
            <w:shd w:val="clear" w:color="auto" w:fill="auto"/>
          </w:tcPr>
          <w:p w14:paraId="3AEA2DF6" w14:textId="77777777" w:rsidR="007A5A25" w:rsidRPr="007A5A25" w:rsidRDefault="007A5A25" w:rsidP="007A5A25">
            <w:pPr>
              <w:pStyle w:val="FTOC3"/>
              <w:rPr>
                <w:i w:val="0"/>
                <w:lang w:eastAsia="en-AU"/>
              </w:rPr>
            </w:pPr>
            <w:r>
              <w:rPr>
                <w:lang w:eastAsia="en-AU"/>
              </w:rPr>
              <w:t xml:space="preserve">Course of conduct </w:t>
            </w:r>
          </w:p>
        </w:tc>
        <w:tc>
          <w:tcPr>
            <w:tcW w:w="1000" w:type="dxa"/>
            <w:shd w:val="clear" w:color="auto" w:fill="auto"/>
            <w:vAlign w:val="bottom"/>
          </w:tcPr>
          <w:p w14:paraId="44F21168" w14:textId="77777777" w:rsidR="007A5A25" w:rsidRDefault="007A5A25" w:rsidP="00075094">
            <w:pPr>
              <w:spacing w:before="120" w:after="60" w:line="240" w:lineRule="auto"/>
              <w:jc w:val="right"/>
              <w:rPr>
                <w:szCs w:val="24"/>
              </w:rPr>
            </w:pPr>
            <w:r>
              <w:rPr>
                <w:szCs w:val="24"/>
              </w:rPr>
              <w:t>[76]</w:t>
            </w:r>
          </w:p>
        </w:tc>
      </w:tr>
      <w:tr w:rsidR="007A5A25" w:rsidRPr="00D326DB" w14:paraId="51A652DF" w14:textId="77777777" w:rsidTr="007A5A25">
        <w:tc>
          <w:tcPr>
            <w:tcW w:w="8291" w:type="dxa"/>
            <w:shd w:val="clear" w:color="auto" w:fill="auto"/>
          </w:tcPr>
          <w:p w14:paraId="32CC05BD" w14:textId="77777777" w:rsidR="007A5A25" w:rsidRPr="007A5A25" w:rsidRDefault="007A5A25" w:rsidP="007A5A25">
            <w:pPr>
              <w:pStyle w:val="FTOC3"/>
              <w:rPr>
                <w:i w:val="0"/>
                <w:lang w:eastAsia="en-AU"/>
              </w:rPr>
            </w:pPr>
            <w:r>
              <w:rPr>
                <w:lang w:eastAsia="en-AU"/>
              </w:rPr>
              <w:t xml:space="preserve">Penalties in other cases </w:t>
            </w:r>
          </w:p>
        </w:tc>
        <w:tc>
          <w:tcPr>
            <w:tcW w:w="1000" w:type="dxa"/>
            <w:shd w:val="clear" w:color="auto" w:fill="auto"/>
            <w:vAlign w:val="bottom"/>
          </w:tcPr>
          <w:p w14:paraId="5804F7E1" w14:textId="77777777" w:rsidR="007A5A25" w:rsidRDefault="007A5A25" w:rsidP="00075094">
            <w:pPr>
              <w:spacing w:before="120" w:after="60" w:line="240" w:lineRule="auto"/>
              <w:jc w:val="right"/>
              <w:rPr>
                <w:szCs w:val="24"/>
              </w:rPr>
            </w:pPr>
            <w:r>
              <w:rPr>
                <w:szCs w:val="24"/>
              </w:rPr>
              <w:t>[81]</w:t>
            </w:r>
          </w:p>
        </w:tc>
      </w:tr>
      <w:tr w:rsidR="007A5A25" w:rsidRPr="00D326DB" w14:paraId="7D46AB98" w14:textId="77777777" w:rsidTr="007A5A25">
        <w:tc>
          <w:tcPr>
            <w:tcW w:w="8291" w:type="dxa"/>
            <w:shd w:val="clear" w:color="auto" w:fill="auto"/>
          </w:tcPr>
          <w:p w14:paraId="74C61092" w14:textId="77777777" w:rsidR="007A5A25" w:rsidRPr="007A5A25" w:rsidRDefault="007A5A25" w:rsidP="007A5A25">
            <w:pPr>
              <w:pStyle w:val="FTOC3"/>
              <w:rPr>
                <w:i w:val="0"/>
                <w:lang w:eastAsia="en-AU"/>
              </w:rPr>
            </w:pPr>
            <w:r>
              <w:rPr>
                <w:lang w:eastAsia="en-AU"/>
              </w:rPr>
              <w:t>Assessment of penalties</w:t>
            </w:r>
          </w:p>
        </w:tc>
        <w:tc>
          <w:tcPr>
            <w:tcW w:w="1000" w:type="dxa"/>
            <w:shd w:val="clear" w:color="auto" w:fill="auto"/>
            <w:vAlign w:val="bottom"/>
          </w:tcPr>
          <w:p w14:paraId="6D76AFE4" w14:textId="77777777" w:rsidR="007A5A25" w:rsidRDefault="007A5A25" w:rsidP="00075094">
            <w:pPr>
              <w:spacing w:before="120" w:after="60" w:line="240" w:lineRule="auto"/>
              <w:jc w:val="right"/>
              <w:rPr>
                <w:szCs w:val="24"/>
              </w:rPr>
            </w:pPr>
            <w:r>
              <w:rPr>
                <w:szCs w:val="24"/>
              </w:rPr>
              <w:t>[92]</w:t>
            </w:r>
          </w:p>
        </w:tc>
      </w:tr>
      <w:tr w:rsidR="007A5A25" w:rsidRPr="00D326DB" w14:paraId="509169A3" w14:textId="77777777" w:rsidTr="007A5A25">
        <w:tc>
          <w:tcPr>
            <w:tcW w:w="8291" w:type="dxa"/>
            <w:shd w:val="clear" w:color="auto" w:fill="auto"/>
          </w:tcPr>
          <w:p w14:paraId="1B31EA78" w14:textId="77777777" w:rsidR="007A5A25" w:rsidRPr="007A5A25" w:rsidRDefault="007A5A25" w:rsidP="007A5A25">
            <w:pPr>
              <w:pStyle w:val="FTOC2"/>
              <w:rPr>
                <w:lang w:eastAsia="en-AU"/>
              </w:rPr>
            </w:pPr>
            <w:r>
              <w:rPr>
                <w:lang w:eastAsia="en-AU"/>
              </w:rPr>
              <w:t>Contraventions of s 50–5 of the TAS Act – Declarations and injunctive relief</w:t>
            </w:r>
          </w:p>
        </w:tc>
        <w:tc>
          <w:tcPr>
            <w:tcW w:w="1000" w:type="dxa"/>
            <w:shd w:val="clear" w:color="auto" w:fill="auto"/>
            <w:vAlign w:val="bottom"/>
          </w:tcPr>
          <w:p w14:paraId="64FCC7FF" w14:textId="77777777" w:rsidR="007A5A25" w:rsidRDefault="007A5A25" w:rsidP="00075094">
            <w:pPr>
              <w:spacing w:before="120" w:after="60" w:line="240" w:lineRule="auto"/>
              <w:jc w:val="right"/>
              <w:rPr>
                <w:szCs w:val="24"/>
              </w:rPr>
            </w:pPr>
            <w:r>
              <w:rPr>
                <w:szCs w:val="24"/>
              </w:rPr>
              <w:t>[103]</w:t>
            </w:r>
          </w:p>
        </w:tc>
      </w:tr>
      <w:tr w:rsidR="007A5A25" w:rsidRPr="00D326DB" w14:paraId="05608B76" w14:textId="77777777" w:rsidTr="007A5A25">
        <w:tc>
          <w:tcPr>
            <w:tcW w:w="8291" w:type="dxa"/>
            <w:shd w:val="clear" w:color="auto" w:fill="auto"/>
          </w:tcPr>
          <w:p w14:paraId="758E708C" w14:textId="77777777" w:rsidR="007A5A25" w:rsidRPr="007A5A25" w:rsidRDefault="007A5A25" w:rsidP="007A5A25">
            <w:pPr>
              <w:pStyle w:val="FTOC2"/>
              <w:rPr>
                <w:lang w:eastAsia="en-AU"/>
              </w:rPr>
            </w:pPr>
            <w:proofErr w:type="spellStart"/>
            <w:r>
              <w:rPr>
                <w:lang w:eastAsia="en-AU"/>
              </w:rPr>
              <w:t>Contempts</w:t>
            </w:r>
            <w:proofErr w:type="spellEnd"/>
            <w:r>
              <w:rPr>
                <w:lang w:eastAsia="en-AU"/>
              </w:rPr>
              <w:t xml:space="preserve"> of Court - Penalties</w:t>
            </w:r>
          </w:p>
        </w:tc>
        <w:tc>
          <w:tcPr>
            <w:tcW w:w="1000" w:type="dxa"/>
            <w:shd w:val="clear" w:color="auto" w:fill="auto"/>
            <w:vAlign w:val="bottom"/>
          </w:tcPr>
          <w:p w14:paraId="74809EFF" w14:textId="77777777" w:rsidR="007A5A25" w:rsidRDefault="007A5A25" w:rsidP="00075094">
            <w:pPr>
              <w:spacing w:before="120" w:after="60" w:line="240" w:lineRule="auto"/>
              <w:jc w:val="right"/>
              <w:rPr>
                <w:szCs w:val="24"/>
              </w:rPr>
            </w:pPr>
            <w:r>
              <w:rPr>
                <w:szCs w:val="24"/>
              </w:rPr>
              <w:t>[108]</w:t>
            </w:r>
          </w:p>
        </w:tc>
      </w:tr>
      <w:tr w:rsidR="007A5A25" w:rsidRPr="00D326DB" w14:paraId="35EAFEA6" w14:textId="77777777" w:rsidTr="007A5A25">
        <w:tc>
          <w:tcPr>
            <w:tcW w:w="8291" w:type="dxa"/>
            <w:shd w:val="clear" w:color="auto" w:fill="auto"/>
          </w:tcPr>
          <w:p w14:paraId="63D2D3DB" w14:textId="77777777" w:rsidR="007A5A25" w:rsidRPr="007A5A25" w:rsidRDefault="007A5A25" w:rsidP="007A5A25">
            <w:pPr>
              <w:pStyle w:val="FTOC3"/>
              <w:rPr>
                <w:i w:val="0"/>
                <w:lang w:eastAsia="en-AU"/>
              </w:rPr>
            </w:pPr>
            <w:r>
              <w:rPr>
                <w:lang w:eastAsia="en-AU"/>
              </w:rPr>
              <w:t>The allegations and findings of contempt</w:t>
            </w:r>
          </w:p>
        </w:tc>
        <w:tc>
          <w:tcPr>
            <w:tcW w:w="1000" w:type="dxa"/>
            <w:shd w:val="clear" w:color="auto" w:fill="auto"/>
            <w:vAlign w:val="bottom"/>
          </w:tcPr>
          <w:p w14:paraId="2A1655EC" w14:textId="77777777" w:rsidR="007A5A25" w:rsidRDefault="007A5A25" w:rsidP="00075094">
            <w:pPr>
              <w:spacing w:before="120" w:after="60" w:line="240" w:lineRule="auto"/>
              <w:jc w:val="right"/>
              <w:rPr>
                <w:szCs w:val="24"/>
              </w:rPr>
            </w:pPr>
            <w:r>
              <w:rPr>
                <w:szCs w:val="24"/>
              </w:rPr>
              <w:t>[108]</w:t>
            </w:r>
          </w:p>
        </w:tc>
      </w:tr>
      <w:tr w:rsidR="007A5A25" w:rsidRPr="00D326DB" w14:paraId="3EFC2850" w14:textId="77777777" w:rsidTr="007A5A25">
        <w:tc>
          <w:tcPr>
            <w:tcW w:w="8291" w:type="dxa"/>
            <w:shd w:val="clear" w:color="auto" w:fill="auto"/>
          </w:tcPr>
          <w:p w14:paraId="1337FDD3" w14:textId="77777777" w:rsidR="007A5A25" w:rsidRPr="007A5A25" w:rsidRDefault="007A5A25" w:rsidP="007A5A25">
            <w:pPr>
              <w:pStyle w:val="FTOC3"/>
              <w:rPr>
                <w:i w:val="0"/>
                <w:lang w:eastAsia="en-AU"/>
              </w:rPr>
            </w:pPr>
            <w:r>
              <w:rPr>
                <w:lang w:eastAsia="en-AU"/>
              </w:rPr>
              <w:t>The legislation and principles applicable to penalties for contempt</w:t>
            </w:r>
          </w:p>
        </w:tc>
        <w:tc>
          <w:tcPr>
            <w:tcW w:w="1000" w:type="dxa"/>
            <w:shd w:val="clear" w:color="auto" w:fill="auto"/>
            <w:vAlign w:val="bottom"/>
          </w:tcPr>
          <w:p w14:paraId="6611411F" w14:textId="77777777" w:rsidR="007A5A25" w:rsidRDefault="007A5A25" w:rsidP="00075094">
            <w:pPr>
              <w:spacing w:before="120" w:after="60" w:line="240" w:lineRule="auto"/>
              <w:jc w:val="right"/>
              <w:rPr>
                <w:szCs w:val="24"/>
              </w:rPr>
            </w:pPr>
            <w:r>
              <w:rPr>
                <w:szCs w:val="24"/>
              </w:rPr>
              <w:t>[123]</w:t>
            </w:r>
          </w:p>
        </w:tc>
      </w:tr>
      <w:tr w:rsidR="007A5A25" w:rsidRPr="00D326DB" w14:paraId="0213292A" w14:textId="77777777" w:rsidTr="007A5A25">
        <w:tc>
          <w:tcPr>
            <w:tcW w:w="8291" w:type="dxa"/>
            <w:shd w:val="clear" w:color="auto" w:fill="auto"/>
          </w:tcPr>
          <w:p w14:paraId="6AA36E09" w14:textId="77777777" w:rsidR="007A5A25" w:rsidRPr="007A5A25" w:rsidRDefault="007A5A25" w:rsidP="007A5A25">
            <w:pPr>
              <w:pStyle w:val="FTOC3"/>
              <w:rPr>
                <w:i w:val="0"/>
                <w:lang w:eastAsia="en-AU"/>
              </w:rPr>
            </w:pPr>
            <w:r>
              <w:rPr>
                <w:lang w:eastAsia="en-AU"/>
              </w:rPr>
              <w:t>Consideration of appropriate penalties</w:t>
            </w:r>
          </w:p>
        </w:tc>
        <w:tc>
          <w:tcPr>
            <w:tcW w:w="1000" w:type="dxa"/>
            <w:shd w:val="clear" w:color="auto" w:fill="auto"/>
            <w:vAlign w:val="bottom"/>
          </w:tcPr>
          <w:p w14:paraId="1AC13B78" w14:textId="77777777" w:rsidR="007A5A25" w:rsidRDefault="007A5A25" w:rsidP="00075094">
            <w:pPr>
              <w:spacing w:before="120" w:after="60" w:line="240" w:lineRule="auto"/>
              <w:jc w:val="right"/>
              <w:rPr>
                <w:szCs w:val="24"/>
              </w:rPr>
            </w:pPr>
            <w:r>
              <w:rPr>
                <w:szCs w:val="24"/>
              </w:rPr>
              <w:t>[136]</w:t>
            </w:r>
          </w:p>
        </w:tc>
      </w:tr>
      <w:tr w:rsidR="007A5A25" w:rsidRPr="00D326DB" w14:paraId="58FF56F7" w14:textId="77777777" w:rsidTr="007A5A25">
        <w:tc>
          <w:tcPr>
            <w:tcW w:w="8291" w:type="dxa"/>
            <w:shd w:val="clear" w:color="auto" w:fill="auto"/>
          </w:tcPr>
          <w:p w14:paraId="341ED712" w14:textId="77777777" w:rsidR="007A5A25" w:rsidRPr="007A5A25" w:rsidRDefault="007A5A25" w:rsidP="007A5A25">
            <w:pPr>
              <w:pStyle w:val="FTOC2"/>
              <w:rPr>
                <w:lang w:eastAsia="en-AU"/>
              </w:rPr>
            </w:pPr>
            <w:r>
              <w:rPr>
                <w:lang w:eastAsia="en-AU"/>
              </w:rPr>
              <w:t xml:space="preserve">Costs </w:t>
            </w:r>
          </w:p>
        </w:tc>
        <w:tc>
          <w:tcPr>
            <w:tcW w:w="1000" w:type="dxa"/>
            <w:shd w:val="clear" w:color="auto" w:fill="auto"/>
            <w:vAlign w:val="bottom"/>
          </w:tcPr>
          <w:p w14:paraId="1E2DAAD4" w14:textId="77777777" w:rsidR="007A5A25" w:rsidRDefault="007A5A25" w:rsidP="00075094">
            <w:pPr>
              <w:spacing w:before="120" w:after="60" w:line="240" w:lineRule="auto"/>
              <w:jc w:val="right"/>
              <w:rPr>
                <w:szCs w:val="24"/>
              </w:rPr>
            </w:pPr>
            <w:r>
              <w:rPr>
                <w:szCs w:val="24"/>
              </w:rPr>
              <w:t>[153]</w:t>
            </w:r>
          </w:p>
        </w:tc>
      </w:tr>
      <w:bookmarkEnd w:id="21"/>
    </w:tbl>
    <w:p w14:paraId="56B8144D" w14:textId="77777777" w:rsidR="00156A3C" w:rsidRPr="00045BB7" w:rsidRDefault="00156A3C" w:rsidP="00045BB7">
      <w:pPr>
        <w:pStyle w:val="NormalHeadings"/>
        <w:spacing w:line="480" w:lineRule="auto"/>
        <w:jc w:val="center"/>
        <w:rPr>
          <w:sz w:val="28"/>
          <w:szCs w:val="28"/>
        </w:rPr>
      </w:pPr>
    </w:p>
    <w:p w14:paraId="6EEFAE41" w14:textId="77777777" w:rsidR="00ED44F6" w:rsidRPr="00ED44F6" w:rsidRDefault="007739C2" w:rsidP="00ED44F6">
      <w:pPr>
        <w:pStyle w:val="NormalHeadings"/>
        <w:spacing w:line="360" w:lineRule="auto"/>
        <w:jc w:val="left"/>
        <w:rPr>
          <w:sz w:val="26"/>
          <w:szCs w:val="26"/>
        </w:rPr>
      </w:pPr>
      <w:r>
        <w:rPr>
          <w:sz w:val="26"/>
          <w:szCs w:val="26"/>
        </w:rPr>
        <w:t>RANGIAH J</w:t>
      </w:r>
      <w:r w:rsidR="00484F6D" w:rsidRPr="00EA03CE">
        <w:rPr>
          <w:sz w:val="26"/>
          <w:szCs w:val="26"/>
        </w:rPr>
        <w:t>:</w:t>
      </w:r>
    </w:p>
    <w:p w14:paraId="7BFCDD1C" w14:textId="77777777" w:rsidR="00C263EC" w:rsidRDefault="00545A2F" w:rsidP="00C263EC">
      <w:pPr>
        <w:pStyle w:val="ParaNumbering"/>
      </w:pPr>
      <w:r>
        <w:t xml:space="preserve">In </w:t>
      </w:r>
      <w:r w:rsidR="00C263EC" w:rsidRPr="00C263EC">
        <w:rPr>
          <w:i/>
        </w:rPr>
        <w:t xml:space="preserve">Tax Practitioners Board </w:t>
      </w:r>
      <w:r w:rsidR="00C263EC">
        <w:rPr>
          <w:i/>
        </w:rPr>
        <w:t>v H</w:t>
      </w:r>
      <w:r w:rsidR="00C263EC" w:rsidRPr="00C263EC">
        <w:rPr>
          <w:i/>
        </w:rPr>
        <w:t xml:space="preserve">acker </w:t>
      </w:r>
      <w:r w:rsidR="00EA3D22">
        <w:t>[2020] FCA 1047, I held</w:t>
      </w:r>
      <w:r w:rsidR="00C263EC">
        <w:t xml:space="preserve"> that the respondents had </w:t>
      </w:r>
      <w:r>
        <w:t xml:space="preserve">each </w:t>
      </w:r>
      <w:r w:rsidR="00C263EC">
        <w:t xml:space="preserve">contravened s 50–5(1) of the </w:t>
      </w:r>
      <w:r w:rsidR="00C263EC" w:rsidRPr="00C263EC">
        <w:rPr>
          <w:i/>
        </w:rPr>
        <w:t xml:space="preserve">Tax Agent Services Act 2009 </w:t>
      </w:r>
      <w:r w:rsidR="00C263EC">
        <w:t>(</w:t>
      </w:r>
      <w:proofErr w:type="spellStart"/>
      <w:r w:rsidR="00C263EC">
        <w:t>Cth</w:t>
      </w:r>
      <w:proofErr w:type="spellEnd"/>
      <w:r w:rsidR="00C263EC">
        <w:t>) (</w:t>
      </w:r>
      <w:r w:rsidR="00C263EC" w:rsidRPr="00C263EC">
        <w:rPr>
          <w:b/>
        </w:rPr>
        <w:t>the TAS</w:t>
      </w:r>
      <w:r w:rsidR="00C263EC">
        <w:rPr>
          <w:b/>
        </w:rPr>
        <w:t xml:space="preserve"> </w:t>
      </w:r>
      <w:r w:rsidR="00C263EC" w:rsidRPr="00C263EC">
        <w:rPr>
          <w:b/>
        </w:rPr>
        <w:t>A</w:t>
      </w:r>
      <w:r w:rsidR="00C263EC">
        <w:rPr>
          <w:b/>
        </w:rPr>
        <w:t>ct</w:t>
      </w:r>
      <w:r w:rsidR="00C263EC">
        <w:t>) by providing unregistered tax agent services for reward.</w:t>
      </w:r>
      <w:r w:rsidR="007B256F">
        <w:t xml:space="preserve"> </w:t>
      </w:r>
      <w:r w:rsidR="00EA3D22">
        <w:t>I also held</w:t>
      </w:r>
      <w:r w:rsidR="00C263EC">
        <w:t xml:space="preserve"> that the first respondent (</w:t>
      </w:r>
      <w:r w:rsidR="00375502">
        <w:rPr>
          <w:b/>
        </w:rPr>
        <w:t>Mr </w:t>
      </w:r>
      <w:r w:rsidR="00C263EC" w:rsidRPr="00C263EC">
        <w:rPr>
          <w:b/>
        </w:rPr>
        <w:t>Hacke</w:t>
      </w:r>
      <w:r w:rsidR="00593D0C">
        <w:rPr>
          <w:b/>
        </w:rPr>
        <w:t>r</w:t>
      </w:r>
      <w:r w:rsidR="00C263EC">
        <w:t>) had contravened s 50–5(2) by providing unregistered BAS services for reward.</w:t>
      </w:r>
    </w:p>
    <w:p w14:paraId="2EBB71C9" w14:textId="77777777" w:rsidR="00C263EC" w:rsidRDefault="00C263EC" w:rsidP="00C263EC">
      <w:pPr>
        <w:pStyle w:val="ParaNumbering"/>
      </w:pPr>
      <w:r>
        <w:t xml:space="preserve">In </w:t>
      </w:r>
      <w:r w:rsidR="00593D0C" w:rsidRPr="00593D0C">
        <w:rPr>
          <w:i/>
        </w:rPr>
        <w:t xml:space="preserve">Tax Practitioners Board </w:t>
      </w:r>
      <w:r w:rsidR="00593D0C">
        <w:rPr>
          <w:i/>
        </w:rPr>
        <w:t xml:space="preserve">v </w:t>
      </w:r>
      <w:r w:rsidR="00BE0EA1">
        <w:rPr>
          <w:i/>
        </w:rPr>
        <w:t>H</w:t>
      </w:r>
      <w:r w:rsidR="00593D0C" w:rsidRPr="00593D0C">
        <w:rPr>
          <w:i/>
        </w:rPr>
        <w:t xml:space="preserve">acker </w:t>
      </w:r>
      <w:r w:rsidR="00593D0C">
        <w:rPr>
          <w:i/>
        </w:rPr>
        <w:t xml:space="preserve">(No 2) </w:t>
      </w:r>
      <w:r w:rsidR="00593D0C">
        <w:t>[</w:t>
      </w:r>
      <w:r>
        <w:t>2020</w:t>
      </w:r>
      <w:r w:rsidR="00593D0C">
        <w:t>]</w:t>
      </w:r>
      <w:r>
        <w:t xml:space="preserve"> FCA 1048, I held that </w:t>
      </w:r>
      <w:r w:rsidR="00375502">
        <w:t>Mr </w:t>
      </w:r>
      <w:r>
        <w:t>Hacke</w:t>
      </w:r>
      <w:r w:rsidR="00593D0C">
        <w:t>r</w:t>
      </w:r>
      <w:r>
        <w:t xml:space="preserve"> and </w:t>
      </w:r>
      <w:r w:rsidR="005D0C2D">
        <w:t xml:space="preserve">the second respondent </w:t>
      </w:r>
      <w:r w:rsidR="00593D0C">
        <w:t>(</w:t>
      </w:r>
      <w:r w:rsidR="00593D0C" w:rsidRPr="00C71CB3">
        <w:rPr>
          <w:b/>
        </w:rPr>
        <w:t>OSGS</w:t>
      </w:r>
      <w:r w:rsidR="00593D0C">
        <w:t>)</w:t>
      </w:r>
      <w:r>
        <w:t xml:space="preserve"> </w:t>
      </w:r>
      <w:r w:rsidR="005E7D90">
        <w:t xml:space="preserve">were guilty of </w:t>
      </w:r>
      <w:r w:rsidR="00F963D1">
        <w:t xml:space="preserve">two </w:t>
      </w:r>
      <w:r w:rsidR="005E7D90">
        <w:t xml:space="preserve">charges of </w:t>
      </w:r>
      <w:r>
        <w:t xml:space="preserve">contempt of </w:t>
      </w:r>
      <w:r w:rsidR="00545A2F">
        <w:t xml:space="preserve">the </w:t>
      </w:r>
      <w:r w:rsidR="005E7D90">
        <w:t>Court.</w:t>
      </w:r>
      <w:r w:rsidR="00F963D1">
        <w:t xml:space="preserve">  They have since admitted a further three charges of contempt.</w:t>
      </w:r>
    </w:p>
    <w:p w14:paraId="6808F42C" w14:textId="77777777" w:rsidR="00C263EC" w:rsidRDefault="00EA3D22" w:rsidP="00C263EC">
      <w:pPr>
        <w:pStyle w:val="ParaNumbering"/>
      </w:pPr>
      <w:r>
        <w:lastRenderedPageBreak/>
        <w:t xml:space="preserve">A hearing was conducted on 7 October 2020 to determine issues of penalty and other relief. </w:t>
      </w:r>
      <w:r w:rsidR="00C263EC">
        <w:t>The applicant seeks declaratory orders and the imposition of pecuniary penalties</w:t>
      </w:r>
      <w:r>
        <w:t xml:space="preserve"> upon the respondents for their</w:t>
      </w:r>
      <w:r w:rsidR="00C263EC">
        <w:t xml:space="preserve"> contraventions of the TAS </w:t>
      </w:r>
      <w:r w:rsidR="00593D0C">
        <w:t>Act</w:t>
      </w:r>
      <w:r w:rsidR="00C263EC">
        <w:t>.</w:t>
      </w:r>
      <w:r w:rsidR="007B256F">
        <w:t xml:space="preserve"> </w:t>
      </w:r>
      <w:r w:rsidR="00C263EC">
        <w:t xml:space="preserve">The applicant also seeks orders that </w:t>
      </w:r>
      <w:r w:rsidR="00375502">
        <w:t>Mr </w:t>
      </w:r>
      <w:r w:rsidR="00C263EC">
        <w:t>Hacke</w:t>
      </w:r>
      <w:r w:rsidR="00593D0C">
        <w:t>r</w:t>
      </w:r>
      <w:r w:rsidR="00C263EC">
        <w:t xml:space="preserve"> be imprisoned and </w:t>
      </w:r>
      <w:r w:rsidR="00593D0C">
        <w:t>O</w:t>
      </w:r>
      <w:r w:rsidR="00C263EC">
        <w:t xml:space="preserve">SGS be fined for their </w:t>
      </w:r>
      <w:r w:rsidR="005031F2">
        <w:t xml:space="preserve">respective </w:t>
      </w:r>
      <w:proofErr w:type="spellStart"/>
      <w:r w:rsidR="00C263EC">
        <w:t>contempts</w:t>
      </w:r>
      <w:proofErr w:type="spellEnd"/>
      <w:r w:rsidR="00C263EC">
        <w:t>.</w:t>
      </w:r>
    </w:p>
    <w:p w14:paraId="3A8C391E" w14:textId="77777777" w:rsidR="00C263EC" w:rsidRDefault="00C263EC" w:rsidP="00C263EC">
      <w:pPr>
        <w:pStyle w:val="ParaNumbering"/>
      </w:pPr>
      <w:r>
        <w:t xml:space="preserve">I will proceed by first considering the </w:t>
      </w:r>
      <w:r w:rsidR="00212204">
        <w:t xml:space="preserve">evidence adduced in the penalty hearing. I will then consider </w:t>
      </w:r>
      <w:r w:rsidR="005031F2">
        <w:t xml:space="preserve">the </w:t>
      </w:r>
      <w:r>
        <w:t>relief sought by the applicant in re</w:t>
      </w:r>
      <w:r w:rsidR="00EA3D22">
        <w:t xml:space="preserve">spect of the contraventions of the TAS Act, and then </w:t>
      </w:r>
      <w:r>
        <w:t xml:space="preserve">relief in respect of the </w:t>
      </w:r>
      <w:proofErr w:type="spellStart"/>
      <w:r>
        <w:t>contempts</w:t>
      </w:r>
      <w:proofErr w:type="spellEnd"/>
      <w:r>
        <w:t>.</w:t>
      </w:r>
      <w:r w:rsidR="0092506E">
        <w:t xml:space="preserve">  I will </w:t>
      </w:r>
      <w:r w:rsidR="00460D95">
        <w:t xml:space="preserve">then </w:t>
      </w:r>
      <w:r w:rsidR="0092506E">
        <w:t>deal with the issue of costs.</w:t>
      </w:r>
    </w:p>
    <w:p w14:paraId="3077F46A" w14:textId="77777777" w:rsidR="00212204" w:rsidRDefault="00C74F07" w:rsidP="007B575A">
      <w:pPr>
        <w:pStyle w:val="Heading2"/>
      </w:pPr>
      <w:r>
        <w:t>E</w:t>
      </w:r>
      <w:r w:rsidR="00212204">
        <w:t>vidence adduced in the penalty hearing</w:t>
      </w:r>
    </w:p>
    <w:p w14:paraId="04E8490C" w14:textId="77777777" w:rsidR="00EB65F7" w:rsidRPr="00E360A8" w:rsidRDefault="00375502" w:rsidP="00E360A8">
      <w:pPr>
        <w:pStyle w:val="Heading3"/>
      </w:pPr>
      <w:r>
        <w:t>Mr </w:t>
      </w:r>
      <w:r w:rsidR="00EB65F7" w:rsidRPr="00E360A8">
        <w:t>Hacker</w:t>
      </w:r>
    </w:p>
    <w:p w14:paraId="5E471039" w14:textId="77777777" w:rsidR="007B575A" w:rsidRDefault="00375502" w:rsidP="007B575A">
      <w:pPr>
        <w:pStyle w:val="ParaNumbering"/>
      </w:pPr>
      <w:r>
        <w:t>Mr </w:t>
      </w:r>
      <w:r w:rsidR="00E12AA0">
        <w:t>Hacker gave evidence.</w:t>
      </w:r>
      <w:r w:rsidR="005E7D90">
        <w:t xml:space="preserve"> He deposed that he became a tax agent in 1979, but that his license lapsed in 1982/83. </w:t>
      </w:r>
      <w:r w:rsidR="0082648E">
        <w:t xml:space="preserve">He </w:t>
      </w:r>
      <w:r w:rsidR="00EA3D22">
        <w:t xml:space="preserve">has worked as an accountant in the years since then. </w:t>
      </w:r>
      <w:r w:rsidR="00E12AA0">
        <w:t xml:space="preserve">He is </w:t>
      </w:r>
      <w:r w:rsidR="00EA3D22">
        <w:t xml:space="preserve">now </w:t>
      </w:r>
      <w:r w:rsidR="00E12AA0">
        <w:t>72 years of age.</w:t>
      </w:r>
    </w:p>
    <w:p w14:paraId="674643C1" w14:textId="77777777" w:rsidR="007B575A" w:rsidRDefault="005031F2" w:rsidP="007B575A">
      <w:pPr>
        <w:pStyle w:val="ParaNumbering"/>
      </w:pPr>
      <w:r>
        <w:t xml:space="preserve">In his affidavit, </w:t>
      </w:r>
      <w:r w:rsidR="00375502">
        <w:t>Mr </w:t>
      </w:r>
      <w:r w:rsidR="005E7D90">
        <w:t>Hacker acknowledged</w:t>
      </w:r>
      <w:r w:rsidR="007B575A">
        <w:t xml:space="preserve"> his wrongdoing in respect of each of the contempt charges.</w:t>
      </w:r>
      <w:r w:rsidR="00E1781B">
        <w:t xml:space="preserve"> </w:t>
      </w:r>
      <w:r w:rsidR="005D6DCD">
        <w:t>He s</w:t>
      </w:r>
      <w:r w:rsidR="005E7D90">
        <w:t>tated</w:t>
      </w:r>
      <w:r w:rsidR="007B575A">
        <w:t xml:space="preserve"> that</w:t>
      </w:r>
      <w:r w:rsidR="00EA3D22">
        <w:t>,</w:t>
      </w:r>
      <w:r w:rsidR="007B575A">
        <w:t xml:space="preserve"> </w:t>
      </w:r>
      <w:r w:rsidR="005D6DCD">
        <w:t xml:space="preserve">with </w:t>
      </w:r>
      <w:r w:rsidR="007B575A">
        <w:t xml:space="preserve">the exception of the first set of contempt charges, he </w:t>
      </w:r>
      <w:r w:rsidR="005E7D90">
        <w:t xml:space="preserve">provided </w:t>
      </w:r>
      <w:r w:rsidR="005E7D90" w:rsidRPr="005E7D90">
        <w:t>early</w:t>
      </w:r>
      <w:r w:rsidR="005D6DCD">
        <w:t xml:space="preserve"> </w:t>
      </w:r>
      <w:r w:rsidR="007B575A">
        <w:t>instructions to admit the charges</w:t>
      </w:r>
      <w:r w:rsidR="005E7D90">
        <w:t>.</w:t>
      </w:r>
      <w:r w:rsidR="00E1781B">
        <w:t xml:space="preserve"> </w:t>
      </w:r>
      <w:r w:rsidR="005E7D90">
        <w:t>He said that</w:t>
      </w:r>
      <w:r w:rsidR="007B575A">
        <w:t xml:space="preserve"> </w:t>
      </w:r>
      <w:r w:rsidR="005E7D90">
        <w:t xml:space="preserve">liability as to the first </w:t>
      </w:r>
      <w:r w:rsidR="00EA3D22">
        <w:t xml:space="preserve">set of </w:t>
      </w:r>
      <w:r w:rsidR="005E7D90">
        <w:t>contempt charge</w:t>
      </w:r>
      <w:r w:rsidR="00EA3D22">
        <w:t>s</w:t>
      </w:r>
      <w:r w:rsidR="007B575A">
        <w:t xml:space="preserve"> </w:t>
      </w:r>
      <w:r w:rsidR="005D6DCD">
        <w:t>wa</w:t>
      </w:r>
      <w:r w:rsidR="007B575A">
        <w:t xml:space="preserve">s contested on the basis of a legal argument, but </w:t>
      </w:r>
      <w:r w:rsidR="005E7D90">
        <w:t xml:space="preserve">that </w:t>
      </w:r>
      <w:r w:rsidR="007B575A">
        <w:t>he admitted the underlying conduct.</w:t>
      </w:r>
    </w:p>
    <w:p w14:paraId="0DA23648" w14:textId="77777777" w:rsidR="007B575A" w:rsidRDefault="005D6DCD" w:rsidP="007B575A">
      <w:pPr>
        <w:pStyle w:val="ParaNumbering"/>
      </w:pPr>
      <w:r>
        <w:t xml:space="preserve">On </w:t>
      </w:r>
      <w:r w:rsidR="007B575A">
        <w:t xml:space="preserve">26 November 2019, </w:t>
      </w:r>
      <w:r w:rsidR="00375502">
        <w:t>Mr </w:t>
      </w:r>
      <w:r w:rsidR="007B575A">
        <w:t xml:space="preserve">Hacker paid </w:t>
      </w:r>
      <w:r>
        <w:t xml:space="preserve">into </w:t>
      </w:r>
      <w:r w:rsidR="007B575A">
        <w:t>his solicitor</w:t>
      </w:r>
      <w:r w:rsidR="00A2650E">
        <w:t>’</w:t>
      </w:r>
      <w:r w:rsidR="007B575A">
        <w:t>s trust account the amount of $</w:t>
      </w:r>
      <w:r>
        <w:t>1</w:t>
      </w:r>
      <w:r w:rsidR="007B575A">
        <w:t xml:space="preserve">5,000 as security </w:t>
      </w:r>
      <w:r w:rsidR="00460D95">
        <w:t xml:space="preserve">against </w:t>
      </w:r>
      <w:r w:rsidR="00632637">
        <w:t xml:space="preserve">the commission of </w:t>
      </w:r>
      <w:r w:rsidR="00460D95">
        <w:t xml:space="preserve">further </w:t>
      </w:r>
      <w:proofErr w:type="spellStart"/>
      <w:r w:rsidR="00460D95">
        <w:t>contempts</w:t>
      </w:r>
      <w:proofErr w:type="spellEnd"/>
      <w:r w:rsidR="00460D95">
        <w:t xml:space="preserve"> on behalf of each respondent</w:t>
      </w:r>
      <w:r w:rsidR="005E7D90">
        <w:t>.</w:t>
      </w:r>
      <w:r w:rsidR="00E1781B">
        <w:t xml:space="preserve"> </w:t>
      </w:r>
      <w:r w:rsidR="005E7D90">
        <w:t xml:space="preserve">He </w:t>
      </w:r>
      <w:r w:rsidR="0082648E">
        <w:t>accepts</w:t>
      </w:r>
      <w:r w:rsidR="007B575A">
        <w:t xml:space="preserve"> that the $</w:t>
      </w:r>
      <w:r>
        <w:t>1</w:t>
      </w:r>
      <w:r w:rsidR="005E7D90">
        <w:t xml:space="preserve">5,000 </w:t>
      </w:r>
      <w:r w:rsidR="00460D95">
        <w:t>sh</w:t>
      </w:r>
      <w:r w:rsidR="005E7D90">
        <w:t>ould</w:t>
      </w:r>
      <w:r w:rsidR="007B575A">
        <w:t xml:space="preserve"> be forfeited.</w:t>
      </w:r>
    </w:p>
    <w:p w14:paraId="2309229A" w14:textId="77777777" w:rsidR="007B575A" w:rsidRDefault="00375502" w:rsidP="007B575A">
      <w:pPr>
        <w:pStyle w:val="ParaNumbering"/>
      </w:pPr>
      <w:r>
        <w:t>Mr </w:t>
      </w:r>
      <w:r w:rsidR="005E7D90">
        <w:t>Hacker deposed</w:t>
      </w:r>
      <w:r w:rsidR="007B575A">
        <w:t xml:space="preserve"> that he has no prior convictions in relation </w:t>
      </w:r>
      <w:r w:rsidR="00CB275A">
        <w:t xml:space="preserve">to </w:t>
      </w:r>
      <w:r w:rsidR="007B575A">
        <w:t xml:space="preserve">contempt of </w:t>
      </w:r>
      <w:r w:rsidR="005D6DCD">
        <w:t>court</w:t>
      </w:r>
      <w:r w:rsidR="00E12AA0">
        <w:t>,</w:t>
      </w:r>
      <w:r w:rsidR="005D6DCD">
        <w:t xml:space="preserve"> and has </w:t>
      </w:r>
      <w:r w:rsidR="007B575A">
        <w:t>never previously been the subject of any professional disciplinary proceedings in respect of his work as an accountant.</w:t>
      </w:r>
    </w:p>
    <w:p w14:paraId="30813B7F" w14:textId="77777777" w:rsidR="007B575A" w:rsidRDefault="00375502" w:rsidP="007B575A">
      <w:pPr>
        <w:pStyle w:val="ParaNumbering"/>
      </w:pPr>
      <w:r>
        <w:t>Mr </w:t>
      </w:r>
      <w:r w:rsidR="007B575A">
        <w:t xml:space="preserve">Hacker </w:t>
      </w:r>
      <w:r w:rsidR="005E7D90">
        <w:t>annexed</w:t>
      </w:r>
      <w:r w:rsidR="007B575A">
        <w:t xml:space="preserve"> to his affidavit a report from Peter </w:t>
      </w:r>
      <w:proofErr w:type="spellStart"/>
      <w:r w:rsidR="007B575A">
        <w:t>P</w:t>
      </w:r>
      <w:r w:rsidR="005D6DCD">
        <w:t>e</w:t>
      </w:r>
      <w:r w:rsidR="007B575A">
        <w:t>rr</w:t>
      </w:r>
      <w:r w:rsidR="005D6DCD">
        <w:t>o</w:t>
      </w:r>
      <w:r w:rsidR="007B575A">
        <w:t>s</w:t>
      </w:r>
      <w:proofErr w:type="spellEnd"/>
      <w:r w:rsidR="005D6DCD">
        <w:t xml:space="preserve">, a </w:t>
      </w:r>
      <w:r w:rsidR="005E7D90">
        <w:t>neuro</w:t>
      </w:r>
      <w:r w:rsidR="005D6DCD">
        <w:t>psychologist, dated 11 </w:t>
      </w:r>
      <w:r w:rsidR="007B575A">
        <w:t>September 2020</w:t>
      </w:r>
      <w:r w:rsidR="00BC0981">
        <w:t>,</w:t>
      </w:r>
      <w:r w:rsidR="007B575A">
        <w:t xml:space="preserve"> and </w:t>
      </w:r>
      <w:r w:rsidR="005D6DCD">
        <w:t xml:space="preserve">a </w:t>
      </w:r>
      <w:r w:rsidR="007B575A">
        <w:t xml:space="preserve">report from Dr Catherine </w:t>
      </w:r>
      <w:proofErr w:type="spellStart"/>
      <w:r w:rsidR="007B575A">
        <w:t>Yell</w:t>
      </w:r>
      <w:r w:rsidR="005D6DCD">
        <w:t>a</w:t>
      </w:r>
      <w:r w:rsidR="007B575A">
        <w:t>n</w:t>
      </w:r>
      <w:r w:rsidR="005D6DCD">
        <w:t>d</w:t>
      </w:r>
      <w:proofErr w:type="spellEnd"/>
      <w:r w:rsidR="007B575A">
        <w:t>, a geriatr</w:t>
      </w:r>
      <w:r w:rsidR="005D6DCD">
        <w:t>ician, dated 15 September 2020.</w:t>
      </w:r>
    </w:p>
    <w:p w14:paraId="68D450E6" w14:textId="77777777" w:rsidR="007B575A" w:rsidRDefault="007B575A" w:rsidP="007B575A">
      <w:pPr>
        <w:pStyle w:val="ParaNumbering"/>
      </w:pPr>
      <w:r>
        <w:t xml:space="preserve">In his report, </w:t>
      </w:r>
      <w:r w:rsidR="00375502">
        <w:t>Mr </w:t>
      </w:r>
      <w:proofErr w:type="spellStart"/>
      <w:r w:rsidR="005D6DCD">
        <w:t>Perros</w:t>
      </w:r>
      <w:proofErr w:type="spellEnd"/>
      <w:r w:rsidR="005D6DCD">
        <w:t xml:space="preserve"> </w:t>
      </w:r>
      <w:r>
        <w:t xml:space="preserve">noted that </w:t>
      </w:r>
      <w:r w:rsidR="00375502">
        <w:t>Mr </w:t>
      </w:r>
      <w:r>
        <w:t>Hacke</w:t>
      </w:r>
      <w:r w:rsidR="00E6518A">
        <w:t>r</w:t>
      </w:r>
      <w:r>
        <w:t xml:space="preserve"> reported that he</w:t>
      </w:r>
      <w:r w:rsidR="00E6518A">
        <w:t xml:space="preserve"> was not depressed, anxious or </w:t>
      </w:r>
      <w:r>
        <w:t>stressed, and seemed untroubled by the potential penalties he faces.</w:t>
      </w:r>
      <w:r w:rsidR="00E1781B">
        <w:t xml:space="preserve"> </w:t>
      </w:r>
      <w:r w:rsidR="00375502">
        <w:t>Mr </w:t>
      </w:r>
      <w:proofErr w:type="spellStart"/>
      <w:r w:rsidR="00E6518A">
        <w:t>Perros</w:t>
      </w:r>
      <w:proofErr w:type="spellEnd"/>
      <w:r w:rsidR="00E6518A">
        <w:t xml:space="preserve"> said that </w:t>
      </w:r>
      <w:r>
        <w:t>neuropsychological assessm</w:t>
      </w:r>
      <w:r w:rsidR="00E6518A">
        <w:t>ent had identified a subtle visuospatial</w:t>
      </w:r>
      <w:r>
        <w:t xml:space="preserve"> disturbance and inefficient visual scanning, which could contribute to clerical errors in his work.</w:t>
      </w:r>
      <w:r w:rsidR="00E1781B">
        <w:t xml:space="preserve"> </w:t>
      </w:r>
      <w:r w:rsidR="00375502">
        <w:t>Mr </w:t>
      </w:r>
      <w:proofErr w:type="spellStart"/>
      <w:r w:rsidR="00E6518A">
        <w:t>Perros</w:t>
      </w:r>
      <w:proofErr w:type="spellEnd"/>
      <w:r w:rsidR="00E6518A">
        <w:t xml:space="preserve"> </w:t>
      </w:r>
      <w:r>
        <w:t xml:space="preserve">said that this </w:t>
      </w:r>
      <w:r w:rsidR="005031F2">
        <w:lastRenderedPageBreak/>
        <w:t xml:space="preserve">was not </w:t>
      </w:r>
      <w:r w:rsidR="00E6518A">
        <w:t xml:space="preserve">a </w:t>
      </w:r>
      <w:r>
        <w:t xml:space="preserve">full explanation of the offending as, for example, </w:t>
      </w:r>
      <w:r w:rsidR="00375502">
        <w:t>Mr </w:t>
      </w:r>
      <w:r>
        <w:t xml:space="preserve">Hacker said that he provided taxation services to </w:t>
      </w:r>
      <w:r w:rsidR="00E6518A">
        <w:t xml:space="preserve">at least </w:t>
      </w:r>
      <w:r>
        <w:t>some clients because they were struggling.</w:t>
      </w:r>
    </w:p>
    <w:p w14:paraId="3430789F" w14:textId="77777777" w:rsidR="007B575A" w:rsidRDefault="00375502" w:rsidP="007B575A">
      <w:pPr>
        <w:pStyle w:val="ParaNumbering"/>
      </w:pPr>
      <w:r>
        <w:t>Mr </w:t>
      </w:r>
      <w:proofErr w:type="spellStart"/>
      <w:r w:rsidR="007B575A">
        <w:t>Perr</w:t>
      </w:r>
      <w:r w:rsidR="00E6518A">
        <w:t>o</w:t>
      </w:r>
      <w:r w:rsidR="007B575A">
        <w:t>s</w:t>
      </w:r>
      <w:proofErr w:type="spellEnd"/>
      <w:r w:rsidR="007B575A">
        <w:t xml:space="preserve"> said that there was </w:t>
      </w:r>
      <w:r w:rsidR="005F1FBB">
        <w:t>“</w:t>
      </w:r>
      <w:r w:rsidR="007B575A">
        <w:t>a small chance</w:t>
      </w:r>
      <w:r w:rsidR="005F1FBB">
        <w:t>”</w:t>
      </w:r>
      <w:r w:rsidR="007B575A">
        <w:t xml:space="preserve"> </w:t>
      </w:r>
      <w:r w:rsidR="00E6518A">
        <w:t xml:space="preserve">that </w:t>
      </w:r>
      <w:r>
        <w:t>Mr </w:t>
      </w:r>
      <w:r w:rsidR="007B575A">
        <w:t>Hacker</w:t>
      </w:r>
      <w:r w:rsidR="00A2650E">
        <w:t>’</w:t>
      </w:r>
      <w:r w:rsidR="00E6518A">
        <w:t>s judgement was sub-</w:t>
      </w:r>
      <w:r w:rsidR="007B575A">
        <w:t>optimal due to a medical condition.</w:t>
      </w:r>
      <w:r w:rsidR="00E1781B">
        <w:t xml:space="preserve"> </w:t>
      </w:r>
      <w:r w:rsidR="00E6518A">
        <w:t xml:space="preserve">His testing </w:t>
      </w:r>
      <w:r w:rsidR="00E12AA0">
        <w:t>suggested</w:t>
      </w:r>
      <w:r w:rsidR="007B575A">
        <w:t xml:space="preserve"> that there was an emerging picture of an age-related cognitive decline.</w:t>
      </w:r>
      <w:r w:rsidR="00E1781B">
        <w:t xml:space="preserve"> </w:t>
      </w:r>
      <w:r>
        <w:t>Mr </w:t>
      </w:r>
      <w:proofErr w:type="spellStart"/>
      <w:r w:rsidR="00E6518A">
        <w:t>Perros</w:t>
      </w:r>
      <w:proofErr w:type="spellEnd"/>
      <w:r w:rsidR="00E6518A">
        <w:t xml:space="preserve"> said that the opinion </w:t>
      </w:r>
      <w:r w:rsidR="007B575A">
        <w:t xml:space="preserve">of a geriatrician was needed to clarify whether the cognitive difficulties identified by the assessment </w:t>
      </w:r>
      <w:r w:rsidR="005E7D90">
        <w:t>were</w:t>
      </w:r>
      <w:r w:rsidR="007B575A">
        <w:t xml:space="preserve"> functional or biological in nature.</w:t>
      </w:r>
    </w:p>
    <w:p w14:paraId="42904946" w14:textId="77777777" w:rsidR="00EB65F7" w:rsidRDefault="00EB65F7" w:rsidP="00EB65F7">
      <w:pPr>
        <w:pStyle w:val="ParaNumbering"/>
      </w:pPr>
      <w:r>
        <w:t xml:space="preserve">Under cross-examination, </w:t>
      </w:r>
      <w:r w:rsidR="00375502">
        <w:t>Mr </w:t>
      </w:r>
      <w:r>
        <w:t xml:space="preserve">Hacker was taken to a passage of </w:t>
      </w:r>
      <w:r w:rsidR="00375502">
        <w:t>Mr </w:t>
      </w:r>
      <w:proofErr w:type="spellStart"/>
      <w:r>
        <w:t>Perros</w:t>
      </w:r>
      <w:proofErr w:type="spellEnd"/>
      <w:r w:rsidR="00A2650E">
        <w:t>’</w:t>
      </w:r>
      <w:r>
        <w:t xml:space="preserve"> report which state</w:t>
      </w:r>
      <w:r w:rsidR="005031F2">
        <w:t>d</w:t>
      </w:r>
      <w:r>
        <w:t xml:space="preserve"> that:</w:t>
      </w:r>
    </w:p>
    <w:p w14:paraId="3457D048" w14:textId="77777777" w:rsidR="00EB65F7" w:rsidRDefault="00375502" w:rsidP="00EB65F7">
      <w:pPr>
        <w:pStyle w:val="Quote1"/>
      </w:pPr>
      <w:r>
        <w:t>Mr </w:t>
      </w:r>
      <w:r w:rsidR="00EB65F7">
        <w:t>Hacker reported that he had continued lodging income tax returns for clients who are themselves under financial strain and personal duress, and he bowed to pressure to make claims for deductions the clients were not entitled to or could not prove.</w:t>
      </w:r>
    </w:p>
    <w:p w14:paraId="27DE296F" w14:textId="77777777" w:rsidR="00EB65F7" w:rsidRDefault="00375502" w:rsidP="00EB65F7">
      <w:pPr>
        <w:pStyle w:val="ParaNumbering"/>
      </w:pPr>
      <w:r>
        <w:t>Mr </w:t>
      </w:r>
      <w:r w:rsidR="00EB65F7">
        <w:t xml:space="preserve">Hacker accepted that he told </w:t>
      </w:r>
      <w:r>
        <w:t>Mr </w:t>
      </w:r>
      <w:proofErr w:type="spellStart"/>
      <w:r w:rsidR="00EB65F7">
        <w:t>Perros</w:t>
      </w:r>
      <w:proofErr w:type="spellEnd"/>
      <w:r w:rsidR="00EB65F7">
        <w:t xml:space="preserve"> that clients had pressured him into making deductions to which they were not entitled, but denied that was a lie. </w:t>
      </w:r>
    </w:p>
    <w:p w14:paraId="10E8418C" w14:textId="77777777" w:rsidR="00EB65F7" w:rsidRDefault="00375502" w:rsidP="00BC0981">
      <w:pPr>
        <w:pStyle w:val="ParaNumbering"/>
      </w:pPr>
      <w:r>
        <w:t>Mr </w:t>
      </w:r>
      <w:r w:rsidR="00EB65F7">
        <w:t>Hacker agreed that h</w:t>
      </w:r>
      <w:r w:rsidR="005031F2">
        <w:t xml:space="preserve">e had told Dr </w:t>
      </w:r>
      <w:proofErr w:type="spellStart"/>
      <w:r w:rsidR="005031F2">
        <w:t>Yelland</w:t>
      </w:r>
      <w:proofErr w:type="spellEnd"/>
      <w:r w:rsidR="005031F2">
        <w:t xml:space="preserve"> that he </w:t>
      </w:r>
      <w:r w:rsidR="00EB65F7">
        <w:t>did not lodge</w:t>
      </w:r>
      <w:r w:rsidR="005031F2">
        <w:t xml:space="preserve"> clients</w:t>
      </w:r>
      <w:r w:rsidR="00A2650E">
        <w:t>’</w:t>
      </w:r>
      <w:r w:rsidR="005031F2">
        <w:t xml:space="preserve"> tax returns</w:t>
      </w:r>
      <w:r w:rsidR="00EB65F7">
        <w:t>.</w:t>
      </w:r>
      <w:r w:rsidR="00E1781B">
        <w:t xml:space="preserve"> </w:t>
      </w:r>
      <w:r w:rsidR="00EB65F7">
        <w:t xml:space="preserve">He accepted </w:t>
      </w:r>
      <w:r w:rsidR="00BC0981">
        <w:t xml:space="preserve">a proposition put to him </w:t>
      </w:r>
      <w:r w:rsidR="00EB65F7">
        <w:t>that the contempt charges that he had admitted had, as their underlying basis, that he had lodged tax returns on behalf of taxpayers.</w:t>
      </w:r>
      <w:r w:rsidR="00BC0981">
        <w:t xml:space="preserve">  However, that proposition was inaccurate—the basis of the contempt charges was that Mr Hacker and OSGS had prepared income tax returns</w:t>
      </w:r>
      <w:r w:rsidR="00632637">
        <w:t>, not that he had lodged them</w:t>
      </w:r>
      <w:r w:rsidR="00BC0981">
        <w:t>.</w:t>
      </w:r>
    </w:p>
    <w:p w14:paraId="39275082" w14:textId="77777777" w:rsidR="00EB65F7" w:rsidRDefault="00375502" w:rsidP="00FB7BAB">
      <w:pPr>
        <w:pStyle w:val="ParaNumbering"/>
      </w:pPr>
      <w:r>
        <w:t>Mr </w:t>
      </w:r>
      <w:r w:rsidR="00E12AA0">
        <w:t xml:space="preserve">Hacker was taken to </w:t>
      </w:r>
      <w:r w:rsidR="00B95655">
        <w:t xml:space="preserve">a </w:t>
      </w:r>
      <w:r w:rsidR="00EB65F7">
        <w:t xml:space="preserve">statement </w:t>
      </w:r>
      <w:r w:rsidR="00B95655">
        <w:t xml:space="preserve">in his affidavit </w:t>
      </w:r>
      <w:r w:rsidR="00EB65F7">
        <w:t xml:space="preserve">that he had never </w:t>
      </w:r>
      <w:r w:rsidR="00E12AA0">
        <w:t xml:space="preserve">previously </w:t>
      </w:r>
      <w:r w:rsidR="00EB65F7">
        <w:t>been the subject of any professional disciplinary proceedings in respect of his work as an accountant.</w:t>
      </w:r>
      <w:r w:rsidR="00E1781B">
        <w:t xml:space="preserve"> </w:t>
      </w:r>
      <w:r>
        <w:t>Mr </w:t>
      </w:r>
      <w:r w:rsidR="00EB65F7">
        <w:t xml:space="preserve">Hacker was </w:t>
      </w:r>
      <w:r w:rsidR="00B95655">
        <w:t xml:space="preserve">shown </w:t>
      </w:r>
      <w:r w:rsidR="00EB65F7">
        <w:t>an order dated 4 March 2020 issued by the Australian Securities and Investments Commission (</w:t>
      </w:r>
      <w:r w:rsidR="00EB65F7" w:rsidRPr="00EB65F7">
        <w:rPr>
          <w:b/>
        </w:rPr>
        <w:t>ASIC</w:t>
      </w:r>
      <w:r w:rsidR="00EB65F7">
        <w:t>) which disqualified him from acting as a Self-Managed Superannuation Fund (</w:t>
      </w:r>
      <w:r w:rsidR="00EB65F7" w:rsidRPr="00EB65F7">
        <w:rPr>
          <w:b/>
        </w:rPr>
        <w:t>SMSF</w:t>
      </w:r>
      <w:r w:rsidR="00EB65F7">
        <w:t>) auditor.</w:t>
      </w:r>
      <w:r w:rsidR="00E1781B">
        <w:t xml:space="preserve"> </w:t>
      </w:r>
      <w:r w:rsidR="00EB65F7">
        <w:t>When asked whether t</w:t>
      </w:r>
      <w:r w:rsidR="00E12AA0">
        <w:t>he statement in his affidavit was</w:t>
      </w:r>
      <w:r w:rsidR="00EB65F7">
        <w:t xml:space="preserve"> deliberately false, </w:t>
      </w:r>
      <w:r>
        <w:t>Mr </w:t>
      </w:r>
      <w:r w:rsidR="00284F8F">
        <w:t>Hacker</w:t>
      </w:r>
      <w:r w:rsidR="00EB65F7">
        <w:t xml:space="preserve"> said, </w:t>
      </w:r>
      <w:r w:rsidR="005F1FBB">
        <w:t>“</w:t>
      </w:r>
      <w:r w:rsidR="00EB65F7">
        <w:t>I will make no comment</w:t>
      </w:r>
      <w:r w:rsidR="005F1FBB">
        <w:t>”</w:t>
      </w:r>
      <w:r w:rsidR="00EB65F7">
        <w:t>.</w:t>
      </w:r>
      <w:r w:rsidR="00E1781B">
        <w:t xml:space="preserve"> </w:t>
      </w:r>
      <w:r w:rsidR="00EB65F7">
        <w:t xml:space="preserve">Later, </w:t>
      </w:r>
      <w:r>
        <w:t>Mr </w:t>
      </w:r>
      <w:r w:rsidR="00EB65F7">
        <w:t xml:space="preserve">Hacker said, </w:t>
      </w:r>
      <w:r w:rsidR="005F1FBB">
        <w:t>“</w:t>
      </w:r>
      <w:r w:rsidR="00EB65F7">
        <w:t>I decided not to continue as an auditor.</w:t>
      </w:r>
      <w:r w:rsidR="00E1781B">
        <w:t xml:space="preserve"> </w:t>
      </w:r>
      <w:r w:rsidR="00EB65F7">
        <w:t>That was just a formality disqualification</w:t>
      </w:r>
      <w:r w:rsidR="005F1FBB">
        <w:t>”</w:t>
      </w:r>
      <w:r w:rsidR="00EB65F7">
        <w:t>.</w:t>
      </w:r>
      <w:r w:rsidR="00E1781B">
        <w:t xml:space="preserve"> </w:t>
      </w:r>
    </w:p>
    <w:p w14:paraId="34484AFE" w14:textId="77777777" w:rsidR="00EB65F7" w:rsidRDefault="00B42E57" w:rsidP="00EB65F7">
      <w:pPr>
        <w:pStyle w:val="ParaNumbering"/>
      </w:pPr>
      <w:r>
        <w:t xml:space="preserve">When </w:t>
      </w:r>
      <w:r w:rsidR="00375502">
        <w:t>Mr </w:t>
      </w:r>
      <w:r w:rsidR="00EB65F7">
        <w:t>Hacker was asked about whether the reason he did not display the notices as required by the Court</w:t>
      </w:r>
      <w:r w:rsidR="00A2650E">
        <w:t>’</w:t>
      </w:r>
      <w:r w:rsidR="00EB65F7">
        <w:t>s order was that</w:t>
      </w:r>
      <w:r w:rsidR="00632637">
        <w:t>,</w:t>
      </w:r>
      <w:r w:rsidR="00EB65F7">
        <w:t xml:space="preserve"> </w:t>
      </w:r>
      <w:r w:rsidR="005F1FBB">
        <w:t>“</w:t>
      </w:r>
      <w:r w:rsidR="00EB65F7">
        <w:t>he did not like them</w:t>
      </w:r>
      <w:r w:rsidR="005F1FBB">
        <w:t>”</w:t>
      </w:r>
      <w:r w:rsidR="00E12AA0">
        <w:t xml:space="preserve"> (as was reported by Dr </w:t>
      </w:r>
      <w:proofErr w:type="spellStart"/>
      <w:r w:rsidR="00E12AA0">
        <w:t>Yelland</w:t>
      </w:r>
      <w:proofErr w:type="spellEnd"/>
      <w:r w:rsidR="00E12AA0">
        <w:t>)</w:t>
      </w:r>
      <w:r w:rsidR="00EB65F7">
        <w:t xml:space="preserve">, </w:t>
      </w:r>
      <w:r w:rsidR="00375502">
        <w:t>Mr </w:t>
      </w:r>
      <w:r w:rsidR="00EB65F7">
        <w:t>Hacker did not directly answer the question.</w:t>
      </w:r>
      <w:r w:rsidR="00E1781B">
        <w:t xml:space="preserve"> </w:t>
      </w:r>
      <w:r w:rsidR="00EB65F7">
        <w:t>He indicated that he had displayed them in his office at the back wall, and</w:t>
      </w:r>
      <w:r w:rsidR="00E12AA0">
        <w:t>,</w:t>
      </w:r>
      <w:r w:rsidR="00EB65F7">
        <w:t xml:space="preserve"> </w:t>
      </w:r>
      <w:r w:rsidR="005F1FBB">
        <w:t>“</w:t>
      </w:r>
      <w:r w:rsidR="00EB65F7">
        <w:t>then they were later put up</w:t>
      </w:r>
      <w:r w:rsidR="005F1FBB">
        <w:t>”</w:t>
      </w:r>
      <w:r w:rsidR="00EB65F7">
        <w:t>.</w:t>
      </w:r>
      <w:r w:rsidR="00E1781B">
        <w:t xml:space="preserve"> </w:t>
      </w:r>
      <w:r w:rsidR="00375502">
        <w:t>Mr </w:t>
      </w:r>
      <w:r w:rsidR="00E12AA0">
        <w:t>Hacker was asked whether he was</w:t>
      </w:r>
      <w:r w:rsidR="00EB65F7">
        <w:t xml:space="preserve"> prepared to say anything under oath which he thought might assist his cause, and he responded, </w:t>
      </w:r>
      <w:r w:rsidR="005F1FBB">
        <w:t>“</w:t>
      </w:r>
      <w:r w:rsidR="00EB65F7">
        <w:t>I will make no comment to that, your Honour</w:t>
      </w:r>
      <w:r w:rsidR="005F1FBB">
        <w:t>”</w:t>
      </w:r>
      <w:r w:rsidR="00EB65F7">
        <w:t>.</w:t>
      </w:r>
      <w:r w:rsidR="00E1781B">
        <w:t xml:space="preserve"> </w:t>
      </w:r>
    </w:p>
    <w:p w14:paraId="5471BBDA" w14:textId="77777777" w:rsidR="00EB65F7" w:rsidRDefault="00EB65F7" w:rsidP="00EB65F7">
      <w:pPr>
        <w:pStyle w:val="ParaNumbering"/>
      </w:pPr>
      <w:r>
        <w:lastRenderedPageBreak/>
        <w:t xml:space="preserve">There is in evidence a decision of ASIC dated 4 March 2020 disqualifying </w:t>
      </w:r>
      <w:r w:rsidR="00375502">
        <w:t>Mr </w:t>
      </w:r>
      <w:r>
        <w:t xml:space="preserve">Hacker from being an approved SMSF auditor on the basis that he had breached independence requirements, had failed to obtain sufficient audit evidence in relation to audits he carried out and that he had failed to comply with an enforceable undertaking he had provided to the Australian Taxation Office </w:t>
      </w:r>
      <w:r w:rsidR="00E12AA0">
        <w:t>(</w:t>
      </w:r>
      <w:r w:rsidR="00E12AA0" w:rsidRPr="00E12AA0">
        <w:rPr>
          <w:b/>
        </w:rPr>
        <w:t>ATO</w:t>
      </w:r>
      <w:r w:rsidR="00E12AA0">
        <w:t xml:space="preserve">) </w:t>
      </w:r>
      <w:r>
        <w:t>in 2011.</w:t>
      </w:r>
      <w:r w:rsidR="00E1781B">
        <w:t xml:space="preserve"> </w:t>
      </w:r>
      <w:r>
        <w:t xml:space="preserve">ASIC concluded that </w:t>
      </w:r>
      <w:r w:rsidR="00375502">
        <w:t>Mr </w:t>
      </w:r>
      <w:r>
        <w:t>Hacker was not a fit and proper person to remain an approved SMSF auditor.</w:t>
      </w:r>
    </w:p>
    <w:p w14:paraId="2A408246" w14:textId="77777777" w:rsidR="00EB65F7" w:rsidRDefault="00EB65F7" w:rsidP="00EB65F7">
      <w:pPr>
        <w:pStyle w:val="ParaNumbering"/>
      </w:pPr>
      <w:r>
        <w:t>ASIC</w:t>
      </w:r>
      <w:r w:rsidR="00A2650E">
        <w:t>’</w:t>
      </w:r>
      <w:r>
        <w:t xml:space="preserve">s </w:t>
      </w:r>
      <w:r w:rsidR="00E12AA0">
        <w:t xml:space="preserve">decision record </w:t>
      </w:r>
      <w:r w:rsidR="008E187E">
        <w:t>indicate</w:t>
      </w:r>
      <w:r w:rsidR="00E12AA0">
        <w:t>s</w:t>
      </w:r>
      <w:r w:rsidR="008E187E">
        <w:t xml:space="preserve"> that </w:t>
      </w:r>
      <w:r w:rsidR="00584D52">
        <w:t xml:space="preserve">as </w:t>
      </w:r>
      <w:r w:rsidR="008E187E">
        <w:t xml:space="preserve">a </w:t>
      </w:r>
      <w:r w:rsidR="00584D52">
        <w:t xml:space="preserve">result of a previous audit, </w:t>
      </w:r>
      <w:r w:rsidR="00375502">
        <w:t>Mr </w:t>
      </w:r>
      <w:r w:rsidR="008E187E">
        <w:t>Hacker had given an enforceable undertaking</w:t>
      </w:r>
      <w:r w:rsidR="00B95655">
        <w:t xml:space="preserve"> to the ATO</w:t>
      </w:r>
      <w:r w:rsidR="00584D52">
        <w:t xml:space="preserve"> in 2011</w:t>
      </w:r>
      <w:r w:rsidR="008E187E">
        <w:t>, including to use a particular audit tool, to take steps to ensure his independence</w:t>
      </w:r>
      <w:r w:rsidR="00584D52">
        <w:t>,</w:t>
      </w:r>
      <w:r w:rsidR="008E187E">
        <w:t xml:space="preserve"> to report audit contraventions</w:t>
      </w:r>
      <w:r w:rsidR="00584D52">
        <w:t xml:space="preserve"> and to attend certain courses</w:t>
      </w:r>
      <w:r w:rsidR="008E187E">
        <w:t xml:space="preserve">. </w:t>
      </w:r>
      <w:r w:rsidR="00584D52">
        <w:t xml:space="preserve">ASIC found that he had breached a number of aspects of his undertaking. </w:t>
      </w:r>
    </w:p>
    <w:p w14:paraId="07D27660" w14:textId="77777777" w:rsidR="00584D52" w:rsidRDefault="00584D52" w:rsidP="00584D52">
      <w:pPr>
        <w:pStyle w:val="ParaNumbering"/>
      </w:pPr>
      <w:r>
        <w:t xml:space="preserve">I found </w:t>
      </w:r>
      <w:r w:rsidR="00375502">
        <w:t>Mr </w:t>
      </w:r>
      <w:r>
        <w:t>Hacker to be an unreliable witness. His answers were sometimes evasive under cross-examination and, in some respects, inconsistent with</w:t>
      </w:r>
      <w:r w:rsidR="000276B9">
        <w:t xml:space="preserve"> information he had given to Dr </w:t>
      </w:r>
      <w:proofErr w:type="spellStart"/>
      <w:r>
        <w:t>Yelland</w:t>
      </w:r>
      <w:proofErr w:type="spellEnd"/>
      <w:r>
        <w:t xml:space="preserve"> and with his own affidavit.</w:t>
      </w:r>
    </w:p>
    <w:p w14:paraId="3013E42B" w14:textId="77777777" w:rsidR="00EB65F7" w:rsidRDefault="00375502" w:rsidP="00584D52">
      <w:pPr>
        <w:pStyle w:val="ParaNumbering"/>
      </w:pPr>
      <w:r>
        <w:t>Mr </w:t>
      </w:r>
      <w:r w:rsidR="00584D52">
        <w:t>Hacker</w:t>
      </w:r>
      <w:r w:rsidR="00EB65F7">
        <w:t xml:space="preserve"> did not cross-examine any of the clients who </w:t>
      </w:r>
      <w:r w:rsidR="00584D52">
        <w:t xml:space="preserve">had provided affidavits </w:t>
      </w:r>
      <w:r w:rsidR="00EB65F7">
        <w:t>in order to put to them</w:t>
      </w:r>
      <w:r w:rsidR="00584D52">
        <w:t xml:space="preserve"> that they had pressured him into making inflated claims for tax deductions</w:t>
      </w:r>
      <w:r w:rsidR="00EB65F7">
        <w:t>.</w:t>
      </w:r>
      <w:r w:rsidR="00E1781B">
        <w:t xml:space="preserve"> </w:t>
      </w:r>
      <w:r w:rsidR="00584D52">
        <w:t xml:space="preserve">I am not satisfied that </w:t>
      </w:r>
      <w:r>
        <w:t>Mr </w:t>
      </w:r>
      <w:r w:rsidR="00584D52">
        <w:t>Hacker was pre</w:t>
      </w:r>
      <w:r w:rsidR="00E12AA0">
        <w:t>ssured by clients into doing so</w:t>
      </w:r>
      <w:r w:rsidR="00CB4E38">
        <w:t>, although, as I will explain, this issue ultimately has no effect upon the penalties that will be</w:t>
      </w:r>
      <w:r w:rsidR="00B42E57">
        <w:t xml:space="preserve"> imposed</w:t>
      </w:r>
      <w:r w:rsidR="00584D52">
        <w:t>.</w:t>
      </w:r>
      <w:r w:rsidR="00E1781B">
        <w:t xml:space="preserve"> </w:t>
      </w:r>
    </w:p>
    <w:p w14:paraId="06250E4E" w14:textId="77777777" w:rsidR="00EB65F7" w:rsidRDefault="00375502" w:rsidP="00584D52">
      <w:pPr>
        <w:pStyle w:val="ParaNumbering"/>
      </w:pPr>
      <w:r>
        <w:t>Mr </w:t>
      </w:r>
      <w:r w:rsidR="00EB65F7">
        <w:t xml:space="preserve">Hacker has </w:t>
      </w:r>
      <w:r w:rsidR="0082648E">
        <w:t xml:space="preserve">not explained </w:t>
      </w:r>
      <w:r w:rsidR="00EB65F7">
        <w:t>why h</w:t>
      </w:r>
      <w:r w:rsidR="0082648E">
        <w:t xml:space="preserve">e provided unregistered tax agent services, </w:t>
      </w:r>
      <w:r w:rsidR="00EB65F7">
        <w:t xml:space="preserve">and caused OSGS and </w:t>
      </w:r>
      <w:r w:rsidR="003B740A">
        <w:t>the third respondent (</w:t>
      </w:r>
      <w:proofErr w:type="spellStart"/>
      <w:r w:rsidR="00EB65F7" w:rsidRPr="00804CE2">
        <w:rPr>
          <w:b/>
        </w:rPr>
        <w:t>Naleview</w:t>
      </w:r>
      <w:proofErr w:type="spellEnd"/>
      <w:r w:rsidR="003B740A">
        <w:t>)</w:t>
      </w:r>
      <w:r w:rsidR="00EB65F7">
        <w:t xml:space="preserve"> to do so, in contravention of s 50–</w:t>
      </w:r>
      <w:r w:rsidR="00B42E57">
        <w:t>5</w:t>
      </w:r>
      <w:r w:rsidR="00EB65F7">
        <w:t xml:space="preserve"> of the TAS Act</w:t>
      </w:r>
      <w:r w:rsidR="00584D52">
        <w:t xml:space="preserve">. </w:t>
      </w:r>
      <w:r w:rsidR="00EB65F7">
        <w:t xml:space="preserve">He has not explained why he </w:t>
      </w:r>
      <w:r w:rsidR="0082648E">
        <w:t xml:space="preserve">provided </w:t>
      </w:r>
      <w:r w:rsidR="00EB65F7">
        <w:t>unregistered BAS agent services.</w:t>
      </w:r>
      <w:r w:rsidR="00E1781B">
        <w:t xml:space="preserve"> </w:t>
      </w:r>
      <w:r w:rsidR="00EB65F7">
        <w:t xml:space="preserve">Neither has he explained why he committed the </w:t>
      </w:r>
      <w:proofErr w:type="spellStart"/>
      <w:r w:rsidR="00EB65F7">
        <w:t>contempts</w:t>
      </w:r>
      <w:proofErr w:type="spellEnd"/>
      <w:r w:rsidR="00EB65F7">
        <w:t xml:space="preserve"> of court.</w:t>
      </w:r>
      <w:r w:rsidR="0082648E">
        <w:t xml:space="preserve"> The reasons can only be inferred from the available evidence. </w:t>
      </w:r>
    </w:p>
    <w:p w14:paraId="56A28127" w14:textId="77777777" w:rsidR="00584D52" w:rsidRPr="00E360A8" w:rsidRDefault="00584D52" w:rsidP="00E360A8">
      <w:pPr>
        <w:pStyle w:val="Heading3"/>
      </w:pPr>
      <w:r w:rsidRPr="00E360A8">
        <w:t xml:space="preserve">Dr </w:t>
      </w:r>
      <w:proofErr w:type="spellStart"/>
      <w:r w:rsidRPr="00E360A8">
        <w:t>Yelland</w:t>
      </w:r>
      <w:proofErr w:type="spellEnd"/>
    </w:p>
    <w:p w14:paraId="3341A590" w14:textId="77777777" w:rsidR="005E7D90" w:rsidRDefault="00220675" w:rsidP="00220675">
      <w:pPr>
        <w:pStyle w:val="ParaNumbering"/>
      </w:pPr>
      <w:r>
        <w:t xml:space="preserve">Dr </w:t>
      </w:r>
      <w:proofErr w:type="spellStart"/>
      <w:r>
        <w:t>Yelland</w:t>
      </w:r>
      <w:r w:rsidR="00A2650E">
        <w:t>’</w:t>
      </w:r>
      <w:r w:rsidR="00C74F07">
        <w:t>s</w:t>
      </w:r>
      <w:proofErr w:type="spellEnd"/>
      <w:r w:rsidR="00C74F07">
        <w:t xml:space="preserve"> report</w:t>
      </w:r>
      <w:r>
        <w:t xml:space="preserve"> indicated that a normal score was demonstrated on testing </w:t>
      </w:r>
      <w:r w:rsidR="00375502">
        <w:t>Mr </w:t>
      </w:r>
      <w:r w:rsidR="00E12AA0">
        <w:t xml:space="preserve">Hacker </w:t>
      </w:r>
      <w:r>
        <w:t>for mild cognitive impairment. Testing also demonstrated average intelligence, lower-than-expected scores for perceptual reasoning and visuospatial tests, mild deficits in divided attention and marked impairment on executive function tasks.</w:t>
      </w:r>
      <w:r w:rsidR="00E1781B">
        <w:t xml:space="preserve"> </w:t>
      </w:r>
      <w:r>
        <w:t>A simple screening test for frontal type disorders did not indicate any significant deficit.</w:t>
      </w:r>
    </w:p>
    <w:p w14:paraId="78794A78" w14:textId="77777777" w:rsidR="007B575A" w:rsidRDefault="00E6518A" w:rsidP="007B575A">
      <w:pPr>
        <w:pStyle w:val="ParaNumbering"/>
      </w:pPr>
      <w:r>
        <w:t xml:space="preserve">When </w:t>
      </w:r>
      <w:r w:rsidR="007B575A">
        <w:t>Dr</w:t>
      </w:r>
      <w:r>
        <w:t xml:space="preserve"> </w:t>
      </w:r>
      <w:proofErr w:type="spellStart"/>
      <w:r>
        <w:t>Yelland</w:t>
      </w:r>
      <w:proofErr w:type="spellEnd"/>
      <w:r w:rsidR="007B575A">
        <w:t xml:space="preserve"> asked </w:t>
      </w:r>
      <w:r w:rsidR="00375502">
        <w:t>Mr </w:t>
      </w:r>
      <w:r>
        <w:t xml:space="preserve">Hacker </w:t>
      </w:r>
      <w:r w:rsidR="002F2A0F">
        <w:t xml:space="preserve">about </w:t>
      </w:r>
      <w:r w:rsidR="007B575A">
        <w:t>the implication</w:t>
      </w:r>
      <w:r w:rsidR="00220675">
        <w:t>s</w:t>
      </w:r>
      <w:r w:rsidR="007B575A">
        <w:t xml:space="preserve"> of a criminal conviction and jail sentence</w:t>
      </w:r>
      <w:r w:rsidR="002F2A0F">
        <w:t xml:space="preserve"> and his</w:t>
      </w:r>
      <w:r w:rsidR="007B575A">
        <w:t xml:space="preserve"> ability to work as a company director, he appeared not to be</w:t>
      </w:r>
      <w:r w:rsidR="00220675">
        <w:t xml:space="preserve"> particularly concerned</w:t>
      </w:r>
      <w:r w:rsidR="007B575A">
        <w:t>.</w:t>
      </w:r>
      <w:r w:rsidR="00E1781B">
        <w:t xml:space="preserve"> </w:t>
      </w:r>
      <w:r w:rsidR="005A61F6">
        <w:t xml:space="preserve">Dr </w:t>
      </w:r>
      <w:proofErr w:type="spellStart"/>
      <w:r w:rsidR="005A61F6">
        <w:t>Yelland</w:t>
      </w:r>
      <w:proofErr w:type="spellEnd"/>
      <w:r w:rsidR="005A61F6">
        <w:t xml:space="preserve"> </w:t>
      </w:r>
      <w:r w:rsidR="00220675">
        <w:t>recorded that when</w:t>
      </w:r>
      <w:r w:rsidR="00B675F4">
        <w:t xml:space="preserve"> she</w:t>
      </w:r>
      <w:r w:rsidR="00220675">
        <w:t xml:space="preserve"> asked </w:t>
      </w:r>
      <w:r w:rsidR="00375502">
        <w:t>Mr </w:t>
      </w:r>
      <w:r w:rsidR="00220675">
        <w:t>Hacker</w:t>
      </w:r>
      <w:r w:rsidR="005A61F6">
        <w:t xml:space="preserve"> about his failure </w:t>
      </w:r>
      <w:r w:rsidR="007B575A">
        <w:t xml:space="preserve">to display </w:t>
      </w:r>
      <w:r w:rsidR="007B575A">
        <w:lastRenderedPageBreak/>
        <w:t>notices requ</w:t>
      </w:r>
      <w:r w:rsidR="00220675">
        <w:t xml:space="preserve">ired by court orders, he </w:t>
      </w:r>
      <w:r w:rsidR="007B575A">
        <w:t>said</w:t>
      </w:r>
      <w:r w:rsidR="00220675">
        <w:t>,</w:t>
      </w:r>
      <w:r w:rsidR="007B575A">
        <w:t xml:space="preserve"> </w:t>
      </w:r>
      <w:r w:rsidR="005F1FBB">
        <w:t>“</w:t>
      </w:r>
      <w:r w:rsidR="00220675">
        <w:t>h</w:t>
      </w:r>
      <w:r w:rsidR="00E22500">
        <w:t xml:space="preserve">e </w:t>
      </w:r>
      <w:r w:rsidR="007B575A">
        <w:t>did not like them and that a lot o</w:t>
      </w:r>
      <w:r w:rsidR="00B42E57">
        <w:t>f his work did not relate to it</w:t>
      </w:r>
      <w:r w:rsidR="005F1FBB">
        <w:t>”</w:t>
      </w:r>
      <w:r w:rsidR="00B42E57">
        <w:t>.</w:t>
      </w:r>
    </w:p>
    <w:p w14:paraId="602AD088" w14:textId="77777777" w:rsidR="007B575A" w:rsidRDefault="007B575A" w:rsidP="007B575A">
      <w:pPr>
        <w:pStyle w:val="ParaNumbering"/>
      </w:pPr>
      <w:r>
        <w:t xml:space="preserve">Dr </w:t>
      </w:r>
      <w:proofErr w:type="spellStart"/>
      <w:r>
        <w:t>Yell</w:t>
      </w:r>
      <w:r w:rsidR="00E22500">
        <w:t>a</w:t>
      </w:r>
      <w:r>
        <w:t>n</w:t>
      </w:r>
      <w:r w:rsidR="00E22500">
        <w:t>d</w:t>
      </w:r>
      <w:proofErr w:type="spellEnd"/>
      <w:r>
        <w:t xml:space="preserve"> concluded:</w:t>
      </w:r>
    </w:p>
    <w:p w14:paraId="658EE3D2" w14:textId="77777777" w:rsidR="007B575A" w:rsidRDefault="00E22500" w:rsidP="00E22500">
      <w:pPr>
        <w:pStyle w:val="Quote1"/>
      </w:pPr>
      <w:r>
        <w:t>Overall</w:t>
      </w:r>
      <w:r w:rsidR="007B575A">
        <w:t xml:space="preserve">, I think that this is a consistent with a frontotemporal </w:t>
      </w:r>
      <w:r>
        <w:t>dementia.</w:t>
      </w:r>
      <w:r w:rsidR="00E1781B">
        <w:t xml:space="preserve"> </w:t>
      </w:r>
      <w:r>
        <w:t>I did</w:t>
      </w:r>
      <w:r w:rsidR="007B575A">
        <w:t xml:space="preserve"> not have sufficient history, either about his personal life or his business dealings, to know if there is a longer history of poor judgement and insight, but none of this is evident and it is only in recent years that he has come to the attention of the courts and the Australian </w:t>
      </w:r>
      <w:r>
        <w:t>taxation officer</w:t>
      </w:r>
      <w:r w:rsidR="007B575A">
        <w:t>.</w:t>
      </w:r>
    </w:p>
    <w:p w14:paraId="35C6D724" w14:textId="77777777" w:rsidR="007B575A" w:rsidRDefault="007B575A" w:rsidP="00E22500">
      <w:pPr>
        <w:pStyle w:val="Quote1"/>
      </w:pPr>
      <w:r>
        <w:t xml:space="preserve">Frontotemporal dementia is an atypical dementia, where cognition may be well preserved </w:t>
      </w:r>
      <w:r w:rsidR="00E22500">
        <w:t xml:space="preserve">or </w:t>
      </w:r>
      <w:r>
        <w:t>only mildly impaired as noted in the neuropsychology report.</w:t>
      </w:r>
      <w:r w:rsidR="00E1781B">
        <w:t xml:space="preserve"> </w:t>
      </w:r>
      <w:r>
        <w:t xml:space="preserve">The prime symptoms of frontal type disorders are </w:t>
      </w:r>
      <w:r w:rsidR="00E22500">
        <w:t xml:space="preserve">a </w:t>
      </w:r>
      <w:r>
        <w:t xml:space="preserve">lack of executive function </w:t>
      </w:r>
      <w:r w:rsidR="00E22500">
        <w:t xml:space="preserve">i.e. </w:t>
      </w:r>
      <w:r>
        <w:t xml:space="preserve">being able to plan and complete a task, poor insight into behaviour and consequences, lack of understanding about the effects of behaviour and actions on others, and often indifferent about </w:t>
      </w:r>
      <w:r w:rsidR="00E22500">
        <w:t>of</w:t>
      </w:r>
      <w:r>
        <w:t>fence or harm which may be caused.</w:t>
      </w:r>
      <w:r w:rsidR="00E1781B">
        <w:t xml:space="preserve"> </w:t>
      </w:r>
      <w:r>
        <w:t>The</w:t>
      </w:r>
      <w:r w:rsidR="00E22500">
        <w:t>re</w:t>
      </w:r>
      <w:r>
        <w:t xml:space="preserve"> can be disinhibited or antisocial behaviour.</w:t>
      </w:r>
      <w:r w:rsidR="00E1781B">
        <w:t xml:space="preserve"> </w:t>
      </w:r>
      <w:r>
        <w:t>It is a progr</w:t>
      </w:r>
      <w:r w:rsidR="00A50F5F">
        <w:t xml:space="preserve">essive, degenerative condition, </w:t>
      </w:r>
      <w:r w:rsidR="00E22500">
        <w:t xml:space="preserve">that </w:t>
      </w:r>
      <w:r>
        <w:t>may take several forms.</w:t>
      </w:r>
      <w:r w:rsidR="00E1781B">
        <w:t xml:space="preserve"> </w:t>
      </w:r>
      <w:r>
        <w:t>The behavioural variant is usually increasing</w:t>
      </w:r>
      <w:r w:rsidR="00E22500">
        <w:t>ly</w:t>
      </w:r>
      <w:r>
        <w:t xml:space="preserve"> evident over the years.</w:t>
      </w:r>
      <w:r w:rsidR="00E1781B">
        <w:t xml:space="preserve"> </w:t>
      </w:r>
      <w:r>
        <w:t>The diagnosis is made by a combination of clinical history, including collateral from family or other informants, examination and neuropsychology testing.</w:t>
      </w:r>
      <w:r w:rsidR="00E1781B">
        <w:t xml:space="preserve"> </w:t>
      </w:r>
      <w:r>
        <w:t xml:space="preserve">Investigations may support </w:t>
      </w:r>
      <w:r w:rsidR="00E22500">
        <w:t xml:space="preserve">but </w:t>
      </w:r>
      <w:r>
        <w:t>not prove the diagnosis.</w:t>
      </w:r>
    </w:p>
    <w:p w14:paraId="2838507A" w14:textId="77777777" w:rsidR="007B575A" w:rsidRDefault="007B575A" w:rsidP="00E22500">
      <w:pPr>
        <w:pStyle w:val="Quote1"/>
      </w:pPr>
      <w:r>
        <w:t>…</w:t>
      </w:r>
    </w:p>
    <w:p w14:paraId="13742E57" w14:textId="77777777" w:rsidR="007B575A" w:rsidRDefault="007B575A" w:rsidP="00E22500">
      <w:pPr>
        <w:pStyle w:val="Quote1"/>
      </w:pPr>
      <w:r>
        <w:t>In summary, the recent decline in professional behaviour, and lack of insight and remorse are consistent with a developing frontotemporal dementia.</w:t>
      </w:r>
      <w:r w:rsidR="00E1781B">
        <w:t xml:space="preserve"> </w:t>
      </w:r>
      <w:r>
        <w:t xml:space="preserve">With respect to the question of the effects of a jail term on </w:t>
      </w:r>
      <w:r w:rsidR="00375502">
        <w:t>Mr </w:t>
      </w:r>
      <w:r>
        <w:t>Hacker</w:t>
      </w:r>
      <w:r w:rsidR="00A2650E">
        <w:t>’</w:t>
      </w:r>
      <w:r>
        <w:t xml:space="preserve">s health, </w:t>
      </w:r>
      <w:r w:rsidR="00E22500">
        <w:t xml:space="preserve">he </w:t>
      </w:r>
      <w:r>
        <w:t xml:space="preserve">is otherwise healthy, and has no other medical conditions, </w:t>
      </w:r>
      <w:r w:rsidR="00E22500">
        <w:t xml:space="preserve">so </w:t>
      </w:r>
      <w:r>
        <w:t>the impact would be similar to that of such a sentence for any other 71-year-old man with no experience of the co</w:t>
      </w:r>
      <w:r w:rsidR="00E22500">
        <w:t>rrective services system.</w:t>
      </w:r>
      <w:r w:rsidR="00E1781B">
        <w:t xml:space="preserve"> </w:t>
      </w:r>
    </w:p>
    <w:p w14:paraId="6B228729" w14:textId="77777777" w:rsidR="00A10024" w:rsidRDefault="00A10024" w:rsidP="00E22500">
      <w:pPr>
        <w:pStyle w:val="Quote1"/>
      </w:pPr>
      <w:r>
        <w:t>(Errors in the original.)</w:t>
      </w:r>
    </w:p>
    <w:p w14:paraId="26A81BA5" w14:textId="77777777" w:rsidR="007B575A" w:rsidRDefault="007B575A" w:rsidP="00220675">
      <w:pPr>
        <w:pStyle w:val="ParaNumbering"/>
      </w:pPr>
      <w:r>
        <w:t xml:space="preserve">Under cross-examination, </w:t>
      </w:r>
      <w:r w:rsidR="003300DA">
        <w:t xml:space="preserve">Dr </w:t>
      </w:r>
      <w:proofErr w:type="spellStart"/>
      <w:r w:rsidR="003300DA">
        <w:t>Yelland</w:t>
      </w:r>
      <w:proofErr w:type="spellEnd"/>
      <w:r>
        <w:t xml:space="preserve"> said, </w:t>
      </w:r>
      <w:r w:rsidR="005F1FBB">
        <w:t>“</w:t>
      </w:r>
      <w:r>
        <w:t xml:space="preserve">I have </w:t>
      </w:r>
      <w:r w:rsidR="0070002F">
        <w:t xml:space="preserve">assessed him </w:t>
      </w:r>
      <w:r>
        <w:t>as possibly having frontotemporal dementia</w:t>
      </w:r>
      <w:r w:rsidR="005F1FBB">
        <w:t>”</w:t>
      </w:r>
      <w:r>
        <w:t>.</w:t>
      </w:r>
      <w:r w:rsidR="00E1781B">
        <w:t xml:space="preserve"> </w:t>
      </w:r>
      <w:r>
        <w:t xml:space="preserve">In relation to her assumption that there had been a recent decline in </w:t>
      </w:r>
      <w:r w:rsidR="00375502">
        <w:t>Mr </w:t>
      </w:r>
      <w:r>
        <w:t>Hacker</w:t>
      </w:r>
      <w:r w:rsidR="00A2650E">
        <w:t>’</w:t>
      </w:r>
      <w:r>
        <w:t xml:space="preserve">s professional behaviour, </w:t>
      </w:r>
      <w:r w:rsidR="003300DA">
        <w:t xml:space="preserve">Dr </w:t>
      </w:r>
      <w:proofErr w:type="spellStart"/>
      <w:r w:rsidR="003300DA">
        <w:t>Yelland</w:t>
      </w:r>
      <w:proofErr w:type="spellEnd"/>
      <w:r>
        <w:t xml:space="preserve"> was asked whether</w:t>
      </w:r>
      <w:r w:rsidR="008C46CC">
        <w:t>,</w:t>
      </w:r>
      <w:r>
        <w:t xml:space="preserve"> </w:t>
      </w:r>
      <w:r w:rsidR="00A10024">
        <w:t xml:space="preserve">had </w:t>
      </w:r>
      <w:r>
        <w:t>she been t</w:t>
      </w:r>
      <w:r w:rsidR="0070002F">
        <w:t xml:space="preserve">old that the </w:t>
      </w:r>
      <w:r w:rsidR="00E12AA0">
        <w:t xml:space="preserve">ATO </w:t>
      </w:r>
      <w:r w:rsidR="0070002F">
        <w:t xml:space="preserve">found </w:t>
      </w:r>
      <w:r w:rsidR="00A10024">
        <w:t xml:space="preserve">in 2011 </w:t>
      </w:r>
      <w:r>
        <w:t xml:space="preserve">that </w:t>
      </w:r>
      <w:r w:rsidR="00375502">
        <w:t>Mr </w:t>
      </w:r>
      <w:r>
        <w:t>Hacker was not a fit and proper person by reason of misconduct to be an approved auditor of superannuation schemes, that would have had an effect upon her approach to the report.</w:t>
      </w:r>
      <w:r w:rsidR="00E1781B">
        <w:t xml:space="preserve"> </w:t>
      </w:r>
      <w:r w:rsidR="003300DA">
        <w:t xml:space="preserve">Dr </w:t>
      </w:r>
      <w:proofErr w:type="spellStart"/>
      <w:r w:rsidR="003300DA">
        <w:t>Yelland</w:t>
      </w:r>
      <w:proofErr w:type="spellEnd"/>
      <w:r w:rsidR="00220675">
        <w:t xml:space="preserve"> indicated that such</w:t>
      </w:r>
      <w:r>
        <w:t xml:space="preserve"> information may have had an effect, as frontotemporal dementia is a progressive degenerative condition, and she would have anticipated more decline over a period of nine years.</w:t>
      </w:r>
      <w:r w:rsidR="00220675" w:rsidRPr="00220675">
        <w:t xml:space="preserve"> </w:t>
      </w:r>
      <w:r w:rsidR="00220675">
        <w:t xml:space="preserve">Dr </w:t>
      </w:r>
      <w:proofErr w:type="spellStart"/>
      <w:r w:rsidR="00220675">
        <w:t>Yelland</w:t>
      </w:r>
      <w:proofErr w:type="spellEnd"/>
      <w:r w:rsidR="00220675">
        <w:t xml:space="preserve"> said that the</w:t>
      </w:r>
      <w:r w:rsidR="00E12AA0">
        <w:t xml:space="preserve"> most useful diagnostic tool for </w:t>
      </w:r>
      <w:r w:rsidR="00220675">
        <w:t xml:space="preserve">frontotemporal dementia is often the passage of time </w:t>
      </w:r>
      <w:r w:rsidR="005F4556">
        <w:t xml:space="preserve">as </w:t>
      </w:r>
      <w:r w:rsidR="00220675">
        <w:t>it is a degenerative condition.</w:t>
      </w:r>
    </w:p>
    <w:p w14:paraId="1A394436" w14:textId="77777777" w:rsidR="007B575A" w:rsidRDefault="003300DA" w:rsidP="007B575A">
      <w:pPr>
        <w:pStyle w:val="ParaNumbering"/>
      </w:pPr>
      <w:r>
        <w:lastRenderedPageBreak/>
        <w:t xml:space="preserve">Dr </w:t>
      </w:r>
      <w:proofErr w:type="spellStart"/>
      <w:r>
        <w:t>Yelland</w:t>
      </w:r>
      <w:proofErr w:type="spellEnd"/>
      <w:r w:rsidR="007B575A">
        <w:t xml:space="preserve"> had obtained an MRI scan since providing </w:t>
      </w:r>
      <w:r w:rsidR="0070002F">
        <w:t>her</w:t>
      </w:r>
      <w:r w:rsidR="007B575A">
        <w:t xml:space="preserve"> report which indicated that there was some atrophy of the brain and non-specific white matter changes which can occur with ageing</w:t>
      </w:r>
      <w:r w:rsidR="008C46CC">
        <w:t>,</w:t>
      </w:r>
      <w:r w:rsidR="007B575A">
        <w:t xml:space="preserve"> </w:t>
      </w:r>
      <w:r w:rsidR="0070002F">
        <w:t xml:space="preserve">and </w:t>
      </w:r>
      <w:r w:rsidR="007B575A">
        <w:t>a SPECT scan showed that an early dementia disorder is a possibility.</w:t>
      </w:r>
    </w:p>
    <w:p w14:paraId="21FA9918" w14:textId="77777777" w:rsidR="007B575A" w:rsidRDefault="007B575A" w:rsidP="007B575A">
      <w:pPr>
        <w:pStyle w:val="ParaNumbering"/>
      </w:pPr>
      <w:r>
        <w:t xml:space="preserve">Under </w:t>
      </w:r>
      <w:r w:rsidR="0081112F">
        <w:t>re-</w:t>
      </w:r>
      <w:r>
        <w:t xml:space="preserve">examination, </w:t>
      </w:r>
      <w:r w:rsidR="003300DA">
        <w:t xml:space="preserve">Dr </w:t>
      </w:r>
      <w:proofErr w:type="spellStart"/>
      <w:r w:rsidR="003300DA">
        <w:t>Yelland</w:t>
      </w:r>
      <w:proofErr w:type="spellEnd"/>
      <w:r>
        <w:t xml:space="preserve"> </w:t>
      </w:r>
      <w:r w:rsidR="0081112F">
        <w:t xml:space="preserve">explained </w:t>
      </w:r>
      <w:r>
        <w:t>that the front</w:t>
      </w:r>
      <w:r w:rsidR="00EB65F7">
        <w:t>al lobes control behaviour (</w:t>
      </w:r>
      <w:r>
        <w:t>executive function</w:t>
      </w:r>
      <w:r w:rsidR="00EB65F7">
        <w:t>s)</w:t>
      </w:r>
      <w:r>
        <w:t xml:space="preserve"> and </w:t>
      </w:r>
      <w:r w:rsidR="0081112F">
        <w:t xml:space="preserve">are </w:t>
      </w:r>
      <w:r>
        <w:t xml:space="preserve">responsible </w:t>
      </w:r>
      <w:r w:rsidR="00EB65F7">
        <w:t xml:space="preserve">for </w:t>
      </w:r>
      <w:r>
        <w:t>judgement and insight.</w:t>
      </w:r>
      <w:r w:rsidR="00E1781B">
        <w:t xml:space="preserve"> </w:t>
      </w:r>
      <w:r>
        <w:t>Those matters can be affected if there is frontal lobe damage.</w:t>
      </w:r>
      <w:r w:rsidR="00E1781B">
        <w:t xml:space="preserve"> </w:t>
      </w:r>
      <w:r>
        <w:t xml:space="preserve">She said that the results </w:t>
      </w:r>
      <w:r w:rsidR="00EB65F7">
        <w:t xml:space="preserve">of </w:t>
      </w:r>
      <w:r>
        <w:t>neuropsychology testing</w:t>
      </w:r>
      <w:r w:rsidR="008C46CC">
        <w:t>,</w:t>
      </w:r>
      <w:r>
        <w:t xml:space="preserve"> </w:t>
      </w:r>
      <w:r w:rsidR="008C46CC">
        <w:t>“</w:t>
      </w:r>
      <w:r>
        <w:t xml:space="preserve">is in keeping with </w:t>
      </w:r>
      <w:r w:rsidR="008C46CC">
        <w:t xml:space="preserve">a </w:t>
      </w:r>
      <w:r>
        <w:t>frontotemporal dementia</w:t>
      </w:r>
      <w:r w:rsidR="008C46CC">
        <w:t>”</w:t>
      </w:r>
      <w:r>
        <w:t>.</w:t>
      </w:r>
      <w:r w:rsidR="00E1781B">
        <w:t xml:space="preserve"> </w:t>
      </w:r>
      <w:r w:rsidR="003300DA">
        <w:t xml:space="preserve">Dr </w:t>
      </w:r>
      <w:proofErr w:type="spellStart"/>
      <w:r w:rsidR="003300DA">
        <w:t>Yelland</w:t>
      </w:r>
      <w:proofErr w:type="spellEnd"/>
      <w:r>
        <w:t xml:space="preserve"> also said that fronto</w:t>
      </w:r>
      <w:r w:rsidR="00E12AA0">
        <w:t>temporal dementia may affect</w:t>
      </w:r>
      <w:r>
        <w:t xml:space="preserve"> understanding of risk.</w:t>
      </w:r>
      <w:r w:rsidR="00E1781B">
        <w:t xml:space="preserve"> </w:t>
      </w:r>
      <w:r w:rsidR="003300DA">
        <w:t xml:space="preserve">Dr </w:t>
      </w:r>
      <w:proofErr w:type="spellStart"/>
      <w:r w:rsidR="003300DA">
        <w:t>Yelland</w:t>
      </w:r>
      <w:proofErr w:type="spellEnd"/>
      <w:r>
        <w:t xml:space="preserve"> also said that the apparent disregard of consequences or lack of remorse are typical of frontal lo</w:t>
      </w:r>
      <w:r w:rsidR="00932A1B">
        <w:t>be disorders.</w:t>
      </w:r>
      <w:r w:rsidR="00E1781B">
        <w:t xml:space="preserve"> </w:t>
      </w:r>
      <w:r w:rsidR="00932A1B">
        <w:t xml:space="preserve">She said that </w:t>
      </w:r>
      <w:r w:rsidR="00375502">
        <w:t>Mr </w:t>
      </w:r>
      <w:r>
        <w:t xml:space="preserve">Hacker seemed to be quite dismissive of the consequences </w:t>
      </w:r>
      <w:r w:rsidR="00EB65F7">
        <w:t xml:space="preserve">of the contraventions and </w:t>
      </w:r>
      <w:proofErr w:type="spellStart"/>
      <w:r w:rsidR="00EB65F7">
        <w:t>contempts</w:t>
      </w:r>
      <w:proofErr w:type="spellEnd"/>
      <w:r w:rsidR="00EB65F7">
        <w:t xml:space="preserve"> </w:t>
      </w:r>
      <w:r>
        <w:t>for him.</w:t>
      </w:r>
    </w:p>
    <w:p w14:paraId="25D00084" w14:textId="77777777" w:rsidR="007B575A" w:rsidRDefault="007B575A" w:rsidP="007B575A">
      <w:pPr>
        <w:pStyle w:val="ParaNumbering"/>
      </w:pPr>
      <w:r>
        <w:t xml:space="preserve">I permitted the applicant </w:t>
      </w:r>
      <w:r w:rsidR="00181A15">
        <w:t xml:space="preserve">to ask further questions </w:t>
      </w:r>
      <w:r w:rsidR="00EB65F7">
        <w:t xml:space="preserve">of Dr </w:t>
      </w:r>
      <w:proofErr w:type="spellStart"/>
      <w:r w:rsidR="00EB65F7">
        <w:t>Yelland</w:t>
      </w:r>
      <w:proofErr w:type="spellEnd"/>
      <w:r>
        <w:t>, as some of the question</w:t>
      </w:r>
      <w:r w:rsidR="00EB65F7">
        <w:t>s</w:t>
      </w:r>
      <w:r w:rsidR="00F26AD8">
        <w:t xml:space="preserve"> </w:t>
      </w:r>
      <w:r w:rsidR="00181A15">
        <w:t>asked i</w:t>
      </w:r>
      <w:r w:rsidR="00F26AD8">
        <w:t>n re-</w:t>
      </w:r>
      <w:r w:rsidR="00181A15">
        <w:t>examination had</w:t>
      </w:r>
      <w:r>
        <w:t xml:space="preserve"> not arise</w:t>
      </w:r>
      <w:r w:rsidR="00181A15">
        <w:t>n</w:t>
      </w:r>
      <w:r>
        <w:t xml:space="preserve"> out of cross-examination.</w:t>
      </w:r>
      <w:r w:rsidR="00E1781B">
        <w:t xml:space="preserve"> </w:t>
      </w:r>
      <w:r>
        <w:t xml:space="preserve">When </w:t>
      </w:r>
      <w:r w:rsidR="00D748C6">
        <w:t xml:space="preserve">it was put that </w:t>
      </w:r>
      <w:r>
        <w:t>the conclusion she</w:t>
      </w:r>
      <w:r w:rsidR="00F26AD8">
        <w:t xml:space="preserve"> had reached in her </w:t>
      </w:r>
      <w:r>
        <w:t xml:space="preserve">report did not amount to a diagnosis of frontotemporal dementia, </w:t>
      </w:r>
      <w:r w:rsidR="003300DA">
        <w:t xml:space="preserve">Dr </w:t>
      </w:r>
      <w:proofErr w:type="spellStart"/>
      <w:r w:rsidR="003300DA">
        <w:t>Yelland</w:t>
      </w:r>
      <w:proofErr w:type="spellEnd"/>
      <w:r>
        <w:t xml:space="preserve"> said:</w:t>
      </w:r>
    </w:p>
    <w:p w14:paraId="37B096C7" w14:textId="77777777" w:rsidR="007B575A" w:rsidRDefault="00F26AD8" w:rsidP="00F26AD8">
      <w:pPr>
        <w:pStyle w:val="Quote1"/>
      </w:pPr>
      <w:r>
        <w:t xml:space="preserve">It </w:t>
      </w:r>
      <w:r w:rsidR="008C46CC">
        <w:t>amounts to what I’</w:t>
      </w:r>
      <w:r w:rsidR="007B575A">
        <w:t xml:space="preserve">m calling, </w:t>
      </w:r>
      <w:r>
        <w:t xml:space="preserve">in </w:t>
      </w:r>
      <w:r w:rsidR="007B575A">
        <w:t>medical terms, a provisional diagnosis.</w:t>
      </w:r>
      <w:r w:rsidR="00E1781B">
        <w:t xml:space="preserve"> </w:t>
      </w:r>
      <w:r w:rsidR="007B575A">
        <w:t>It isn</w:t>
      </w:r>
      <w:r w:rsidR="00A2650E">
        <w:t>’</w:t>
      </w:r>
      <w:r w:rsidR="007B575A">
        <w:t>t the kind of condition that any of us would be able to say with absolute certainty on the basis of one assessment and the investigations that I</w:t>
      </w:r>
      <w:r w:rsidR="00A2650E">
        <w:t>’</w:t>
      </w:r>
      <w:r w:rsidR="007B575A">
        <w:t>ve done, but it is definitely that.</w:t>
      </w:r>
      <w:r w:rsidR="00E1781B">
        <w:t xml:space="preserve"> </w:t>
      </w:r>
      <w:r w:rsidR="007B575A">
        <w:t>It is a possibility.</w:t>
      </w:r>
      <w:r w:rsidR="00E1781B">
        <w:t xml:space="preserve"> </w:t>
      </w:r>
      <w:r w:rsidR="007B575A">
        <w:t>It is likely, actually.</w:t>
      </w:r>
      <w:r w:rsidR="00E1781B">
        <w:t xml:space="preserve"> </w:t>
      </w:r>
      <w:r w:rsidR="007B575A">
        <w:t xml:space="preserve">I would probably </w:t>
      </w:r>
      <w:r w:rsidR="008C46CC">
        <w:t xml:space="preserve">go </w:t>
      </w:r>
      <w:r w:rsidR="007B575A">
        <w:t>a little bit further to say I think that that</w:t>
      </w:r>
      <w:r w:rsidR="00A2650E">
        <w:t>’</w:t>
      </w:r>
      <w:r w:rsidR="007B575A">
        <w:t>s quite likely to be frontotemporal dementia, but time will tell.</w:t>
      </w:r>
    </w:p>
    <w:p w14:paraId="0C952D6F" w14:textId="77777777" w:rsidR="007B575A" w:rsidRDefault="007B575A" w:rsidP="007B575A">
      <w:pPr>
        <w:pStyle w:val="ParaNumbering"/>
      </w:pPr>
      <w:r>
        <w:t xml:space="preserve">On questioning by the </w:t>
      </w:r>
      <w:r w:rsidR="00F26AD8">
        <w:t>Court</w:t>
      </w:r>
      <w:r>
        <w:t xml:space="preserve">, </w:t>
      </w:r>
      <w:r w:rsidR="003300DA">
        <w:t xml:space="preserve">Dr </w:t>
      </w:r>
      <w:proofErr w:type="spellStart"/>
      <w:r w:rsidR="003300DA">
        <w:t>Yelland</w:t>
      </w:r>
      <w:proofErr w:type="spellEnd"/>
      <w:r>
        <w:t xml:space="preserve"> accepted that i</w:t>
      </w:r>
      <w:r w:rsidR="00F26AD8">
        <w:t xml:space="preserve">t is possible for someone of </w:t>
      </w:r>
      <w:r w:rsidR="00375502">
        <w:t>Mr </w:t>
      </w:r>
      <w:r>
        <w:t>Hacker</w:t>
      </w:r>
      <w:r w:rsidR="00A2650E">
        <w:t>’</w:t>
      </w:r>
      <w:r>
        <w:t>s age to have a lack of remorse and a lack of insight into his conduct without having frontotemporal dementia.</w:t>
      </w:r>
      <w:r w:rsidR="00E1781B">
        <w:t xml:space="preserve"> </w:t>
      </w:r>
      <w:r>
        <w:t>That may be as a result of personality type.</w:t>
      </w:r>
    </w:p>
    <w:p w14:paraId="51FCA655" w14:textId="77777777" w:rsidR="004E15F2" w:rsidRDefault="004E15F2" w:rsidP="004E15F2">
      <w:pPr>
        <w:pStyle w:val="ParaNumbering"/>
      </w:pPr>
      <w:r>
        <w:t xml:space="preserve">I do not accept Dr </w:t>
      </w:r>
      <w:proofErr w:type="spellStart"/>
      <w:r w:rsidR="00A9211F">
        <w:t>Yelland</w:t>
      </w:r>
      <w:r w:rsidR="00A2650E">
        <w:t>’</w:t>
      </w:r>
      <w:r>
        <w:t>s</w:t>
      </w:r>
      <w:proofErr w:type="spellEnd"/>
      <w:r>
        <w:t xml:space="preserve"> evidence that </w:t>
      </w:r>
      <w:r w:rsidR="00375502">
        <w:t>Mr </w:t>
      </w:r>
      <w:r w:rsidR="00A9211F">
        <w:t xml:space="preserve">Hacker </w:t>
      </w:r>
      <w:r w:rsidR="00A06A4F">
        <w:t xml:space="preserve">is </w:t>
      </w:r>
      <w:r w:rsidR="005F1FBB">
        <w:t>“</w:t>
      </w:r>
      <w:r w:rsidR="00A06A4F">
        <w:t>likely</w:t>
      </w:r>
      <w:r w:rsidR="005F1FBB">
        <w:t>”</w:t>
      </w:r>
      <w:r w:rsidR="00A06A4F">
        <w:t xml:space="preserve"> or </w:t>
      </w:r>
      <w:r w:rsidR="005F1FBB">
        <w:t>“</w:t>
      </w:r>
      <w:r w:rsidR="00A06A4F">
        <w:t>quite likely</w:t>
      </w:r>
      <w:r w:rsidR="005F1FBB">
        <w:t>”</w:t>
      </w:r>
      <w:r w:rsidR="00A06A4F">
        <w:t xml:space="preserve"> to have frontotemporal</w:t>
      </w:r>
      <w:r>
        <w:t xml:space="preserve"> lobe damage.</w:t>
      </w:r>
      <w:r w:rsidR="00E1781B">
        <w:t xml:space="preserve"> </w:t>
      </w:r>
      <w:r>
        <w:t xml:space="preserve">Initially Dr </w:t>
      </w:r>
      <w:proofErr w:type="spellStart"/>
      <w:r w:rsidR="00A9211F">
        <w:t>Yelland</w:t>
      </w:r>
      <w:proofErr w:type="spellEnd"/>
      <w:r>
        <w:t xml:space="preserve"> </w:t>
      </w:r>
      <w:r w:rsidR="005F4556">
        <w:t xml:space="preserve">merely </w:t>
      </w:r>
      <w:r>
        <w:t>said that this was a possible diagnosis.</w:t>
      </w:r>
      <w:r w:rsidR="00E1781B">
        <w:t xml:space="preserve"> </w:t>
      </w:r>
      <w:r w:rsidR="00A9211F">
        <w:t>It w</w:t>
      </w:r>
      <w:r>
        <w:t xml:space="preserve">as not until near the end of her oral evidence that she suggested that it was a </w:t>
      </w:r>
      <w:r w:rsidR="005F1FBB">
        <w:t>“</w:t>
      </w:r>
      <w:r w:rsidR="00A06A4F">
        <w:t>likely</w:t>
      </w:r>
      <w:r w:rsidR="005F1FBB">
        <w:t>”</w:t>
      </w:r>
      <w:r w:rsidR="00A06A4F">
        <w:t xml:space="preserve"> </w:t>
      </w:r>
      <w:r w:rsidR="00C74F07">
        <w:t xml:space="preserve">or </w:t>
      </w:r>
      <w:r w:rsidR="005F1FBB">
        <w:t>“</w:t>
      </w:r>
      <w:r w:rsidR="00C74F07">
        <w:t>quite likely</w:t>
      </w:r>
      <w:r w:rsidR="005F1FBB">
        <w:t>”</w:t>
      </w:r>
      <w:r w:rsidR="00C74F07">
        <w:t xml:space="preserve"> </w:t>
      </w:r>
      <w:r>
        <w:t>diagnosis.</w:t>
      </w:r>
      <w:r w:rsidR="00E1781B">
        <w:t xml:space="preserve"> </w:t>
      </w:r>
      <w:r>
        <w:t>She did not explain why her opinion had changed</w:t>
      </w:r>
      <w:r w:rsidR="00A06A4F">
        <w:t xml:space="preserve"> in the course of giving evidence</w:t>
      </w:r>
      <w:r>
        <w:t>.</w:t>
      </w:r>
    </w:p>
    <w:p w14:paraId="6485EEC2" w14:textId="77777777" w:rsidR="00C74F07" w:rsidRDefault="00D748C6" w:rsidP="00C74F07">
      <w:pPr>
        <w:pStyle w:val="ParaNumbering"/>
      </w:pPr>
      <w:r>
        <w:t xml:space="preserve">In her evidence, </w:t>
      </w:r>
      <w:r w:rsidR="00A06A4F">
        <w:t xml:space="preserve">Dr </w:t>
      </w:r>
      <w:proofErr w:type="spellStart"/>
      <w:r w:rsidR="00A06A4F">
        <w:t>Yelland</w:t>
      </w:r>
      <w:proofErr w:type="spellEnd"/>
      <w:r w:rsidR="00A06A4F">
        <w:t xml:space="preserve"> accepted that </w:t>
      </w:r>
      <w:r>
        <w:t xml:space="preserve">if </w:t>
      </w:r>
      <w:r w:rsidR="00A06A4F">
        <w:t>disciplinary pr</w:t>
      </w:r>
      <w:r>
        <w:t xml:space="preserve">oceedings were taken against </w:t>
      </w:r>
      <w:r w:rsidR="00375502">
        <w:t>Mr </w:t>
      </w:r>
      <w:r w:rsidR="00A06A4F">
        <w:t>Hacker in 2011</w:t>
      </w:r>
      <w:r>
        <w:t xml:space="preserve">, that would be </w:t>
      </w:r>
      <w:r w:rsidR="00A06A4F">
        <w:t>against a diagnosis of frontotemporal lobe damage, since she would have expected a more significant deterioration over the nine years since then</w:t>
      </w:r>
      <w:r w:rsidR="00C74F07">
        <w:t>.</w:t>
      </w:r>
      <w:r w:rsidR="00E1781B">
        <w:t xml:space="preserve"> </w:t>
      </w:r>
      <w:r>
        <w:t xml:space="preserve">The proposition put to Dr </w:t>
      </w:r>
      <w:proofErr w:type="spellStart"/>
      <w:r>
        <w:t>Yelland</w:t>
      </w:r>
      <w:proofErr w:type="spellEnd"/>
      <w:r>
        <w:t xml:space="preserve"> in cross-examination that </w:t>
      </w:r>
      <w:r w:rsidR="00375502">
        <w:t>Mr </w:t>
      </w:r>
      <w:r>
        <w:t xml:space="preserve">Hacker was found </w:t>
      </w:r>
      <w:r w:rsidR="002F39EF">
        <w:t xml:space="preserve">in 2011 </w:t>
      </w:r>
      <w:r>
        <w:t xml:space="preserve">not to be a fit and proper person by reason of misconduct to be an approved auditor of superannuation schemes was inaccurate, as </w:t>
      </w:r>
      <w:r w:rsidR="002F39EF">
        <w:t>that did not occur until 2020</w:t>
      </w:r>
      <w:r>
        <w:t>.</w:t>
      </w:r>
      <w:r w:rsidR="00E1781B">
        <w:t xml:space="preserve"> </w:t>
      </w:r>
    </w:p>
    <w:p w14:paraId="01256731" w14:textId="77777777" w:rsidR="00A06A4F" w:rsidRDefault="005F4556" w:rsidP="00C74F07">
      <w:pPr>
        <w:pStyle w:val="ParaNumbering"/>
      </w:pPr>
      <w:r>
        <w:lastRenderedPageBreak/>
        <w:t>However, t</w:t>
      </w:r>
      <w:r w:rsidR="002F39EF">
        <w:t xml:space="preserve">he </w:t>
      </w:r>
      <w:r w:rsidR="00C74F07">
        <w:t xml:space="preserve">evidence does establish that in 2011, </w:t>
      </w:r>
      <w:r w:rsidR="00375502">
        <w:t>Mr </w:t>
      </w:r>
      <w:r w:rsidR="00C74F07">
        <w:t xml:space="preserve">Hacker was required to give the ATO an enforceable undertaking in respect of his work as an SMSF auditor, so it is apparent that his work and </w:t>
      </w:r>
      <w:r w:rsidR="002F39EF">
        <w:t xml:space="preserve">professional </w:t>
      </w:r>
      <w:r w:rsidR="00C74F07">
        <w:t xml:space="preserve">conduct was unsatisfactory at that time. </w:t>
      </w:r>
      <w:r w:rsidR="002F39EF">
        <w:t>That is inconsistent with Dr </w:t>
      </w:r>
      <w:proofErr w:type="spellStart"/>
      <w:r w:rsidR="00A06A4F">
        <w:t>Y</w:t>
      </w:r>
      <w:r w:rsidR="00181A15">
        <w:t>elland</w:t>
      </w:r>
      <w:r w:rsidR="00A2650E">
        <w:t>’</w:t>
      </w:r>
      <w:r w:rsidR="00181A15">
        <w:t>s</w:t>
      </w:r>
      <w:proofErr w:type="spellEnd"/>
      <w:r w:rsidR="00181A15">
        <w:t xml:space="preserve"> assumption</w:t>
      </w:r>
      <w:r w:rsidR="002F39EF">
        <w:t>s</w:t>
      </w:r>
      <w:r w:rsidR="00181A15">
        <w:t xml:space="preserve"> </w:t>
      </w:r>
      <w:r w:rsidR="00C74F07">
        <w:t xml:space="preserve">in her report </w:t>
      </w:r>
      <w:r w:rsidR="00181A15">
        <w:t xml:space="preserve">that there was </w:t>
      </w:r>
      <w:r w:rsidR="00A06A4F">
        <w:t>a</w:t>
      </w:r>
      <w:r w:rsidR="00181A15">
        <w:t>,</w:t>
      </w:r>
      <w:r w:rsidR="00A06A4F">
        <w:t xml:space="preserve"> </w:t>
      </w:r>
      <w:r w:rsidR="005F1FBB">
        <w:t>“</w:t>
      </w:r>
      <w:r w:rsidR="00A06A4F">
        <w:t>recent decline in professional behaviour</w:t>
      </w:r>
      <w:r w:rsidR="005F1FBB">
        <w:t>”</w:t>
      </w:r>
      <w:r>
        <w:t>,</w:t>
      </w:r>
      <w:r w:rsidR="002F39EF">
        <w:t xml:space="preserve"> and that</w:t>
      </w:r>
      <w:r>
        <w:t>,</w:t>
      </w:r>
      <w:r w:rsidR="002F39EF">
        <w:t xml:space="preserve"> </w:t>
      </w:r>
      <w:r w:rsidR="005F1FBB">
        <w:t>“</w:t>
      </w:r>
      <w:r w:rsidR="002F39EF">
        <w:t xml:space="preserve">it is only in </w:t>
      </w:r>
      <w:r w:rsidR="008C46CC">
        <w:t xml:space="preserve">recent </w:t>
      </w:r>
      <w:r w:rsidR="002F39EF">
        <w:t>years that he has come to the attention of...the [ATO]</w:t>
      </w:r>
      <w:r w:rsidR="005F1FBB">
        <w:t>”</w:t>
      </w:r>
      <w:r w:rsidR="002F39EF">
        <w:t>.</w:t>
      </w:r>
      <w:r w:rsidR="00E1781B">
        <w:t xml:space="preserve"> </w:t>
      </w:r>
      <w:r w:rsidR="00D41437">
        <w:t xml:space="preserve">Dr </w:t>
      </w:r>
      <w:proofErr w:type="spellStart"/>
      <w:r w:rsidR="00D41437">
        <w:t>Yelland</w:t>
      </w:r>
      <w:r w:rsidR="00A2650E">
        <w:t>’</w:t>
      </w:r>
      <w:r w:rsidR="00D41437">
        <w:t>s</w:t>
      </w:r>
      <w:proofErr w:type="spellEnd"/>
      <w:r w:rsidR="00D41437">
        <w:t xml:space="preserve"> view that she would have expected a more significant deterioration over the nine years since 2011 if </w:t>
      </w:r>
      <w:r w:rsidR="00375502">
        <w:t>Mr </w:t>
      </w:r>
      <w:r w:rsidR="00D41437">
        <w:t xml:space="preserve">Hacker has frontotemporal dementia </w:t>
      </w:r>
      <w:r w:rsidR="00C74F07">
        <w:t>can be applied in light of that evidence of unsatisfactory professional behaviour.</w:t>
      </w:r>
    </w:p>
    <w:p w14:paraId="12F466B2" w14:textId="77777777" w:rsidR="00D41437" w:rsidRDefault="00D41437" w:rsidP="004E15F2">
      <w:pPr>
        <w:pStyle w:val="ParaNumbering"/>
      </w:pPr>
      <w:r>
        <w:t xml:space="preserve">Another basis for Dr </w:t>
      </w:r>
      <w:proofErr w:type="spellStart"/>
      <w:r>
        <w:t>Y</w:t>
      </w:r>
      <w:r w:rsidR="00181A15">
        <w:t>elland</w:t>
      </w:r>
      <w:r w:rsidR="00A2650E">
        <w:t>’</w:t>
      </w:r>
      <w:r w:rsidR="00181A15">
        <w:t>s</w:t>
      </w:r>
      <w:proofErr w:type="spellEnd"/>
      <w:r w:rsidR="00181A15">
        <w:t xml:space="preserve"> opinion was </w:t>
      </w:r>
      <w:r w:rsidR="00375502">
        <w:t>Mr </w:t>
      </w:r>
      <w:r w:rsidR="00181A15">
        <w:t>Hacker</w:t>
      </w:r>
      <w:r w:rsidR="00A2650E">
        <w:t>’</w:t>
      </w:r>
      <w:r w:rsidR="00181A15">
        <w:t>s</w:t>
      </w:r>
      <w:r>
        <w:t xml:space="preserve"> </w:t>
      </w:r>
      <w:r w:rsidR="004E15F2">
        <w:t>apparent lack of concern about the consequences and lack of insight</w:t>
      </w:r>
      <w:r>
        <w:t xml:space="preserve"> into his behaviour. However, she accepted </w:t>
      </w:r>
      <w:r w:rsidR="00C74F07">
        <w:t xml:space="preserve">in oral evidence </w:t>
      </w:r>
      <w:r>
        <w:t>that this</w:t>
      </w:r>
      <w:r w:rsidR="004E15F2">
        <w:t xml:space="preserve"> could </w:t>
      </w:r>
      <w:r>
        <w:t xml:space="preserve">simply be a product of </w:t>
      </w:r>
      <w:r w:rsidR="003551CE">
        <w:t xml:space="preserve">his </w:t>
      </w:r>
      <w:r>
        <w:t>personality</w:t>
      </w:r>
      <w:r w:rsidR="00181A15">
        <w:t>, rather than frontotemporal lobe damage</w:t>
      </w:r>
      <w:r w:rsidR="004E15F2">
        <w:t>.</w:t>
      </w:r>
      <w:r w:rsidR="00E1781B">
        <w:t xml:space="preserve"> </w:t>
      </w:r>
    </w:p>
    <w:p w14:paraId="45146E5E" w14:textId="77777777" w:rsidR="007B575A" w:rsidRDefault="004E15F2" w:rsidP="00D41437">
      <w:pPr>
        <w:pStyle w:val="ParaNumbering"/>
      </w:pPr>
      <w:r>
        <w:t>I</w:t>
      </w:r>
      <w:r w:rsidR="003551CE">
        <w:t xml:space="preserve"> a</w:t>
      </w:r>
      <w:r>
        <w:t xml:space="preserve">m not satisfied that </w:t>
      </w:r>
      <w:r w:rsidR="00375502">
        <w:t>Mr </w:t>
      </w:r>
      <w:r w:rsidR="003551CE">
        <w:t xml:space="preserve">Hacker </w:t>
      </w:r>
      <w:r w:rsidR="00D41437">
        <w:t>has fronto</w:t>
      </w:r>
      <w:r>
        <w:t>temporal lobe damage.</w:t>
      </w:r>
      <w:r w:rsidR="00D41437">
        <w:t xml:space="preserve"> </w:t>
      </w:r>
      <w:r w:rsidR="005F4556">
        <w:t xml:space="preserve">While Mr </w:t>
      </w:r>
      <w:proofErr w:type="spellStart"/>
      <w:r w:rsidR="005F4556">
        <w:t>Perros</w:t>
      </w:r>
      <w:proofErr w:type="spellEnd"/>
      <w:r w:rsidR="005F4556">
        <w:t xml:space="preserve"> detected some disturbance that could contribute to clerical errors, the contraventions and </w:t>
      </w:r>
      <w:proofErr w:type="spellStart"/>
      <w:r w:rsidR="005F4556">
        <w:t>contempts</w:t>
      </w:r>
      <w:proofErr w:type="spellEnd"/>
      <w:r w:rsidR="005F4556">
        <w:t xml:space="preserve"> involved deliberate conduct, rather than clerical errors. </w:t>
      </w:r>
      <w:r>
        <w:t>I</w:t>
      </w:r>
      <w:r w:rsidR="003551CE">
        <w:t xml:space="preserve"> a</w:t>
      </w:r>
      <w:r>
        <w:t xml:space="preserve">m not satisfied that </w:t>
      </w:r>
      <w:r w:rsidR="00375502">
        <w:t>Mr </w:t>
      </w:r>
      <w:r w:rsidR="003551CE">
        <w:t>Hacker</w:t>
      </w:r>
      <w:r w:rsidR="00A2650E">
        <w:t>’</w:t>
      </w:r>
      <w:r w:rsidR="003551CE">
        <w:t xml:space="preserve">s </w:t>
      </w:r>
      <w:r>
        <w:t xml:space="preserve">conduct in relation to the contraventions of the TAS </w:t>
      </w:r>
      <w:r w:rsidR="003551CE">
        <w:t xml:space="preserve">Act </w:t>
      </w:r>
      <w:r>
        <w:t xml:space="preserve">or </w:t>
      </w:r>
      <w:r w:rsidR="000860D9">
        <w:t xml:space="preserve">his </w:t>
      </w:r>
      <w:proofErr w:type="spellStart"/>
      <w:r>
        <w:t>contempts</w:t>
      </w:r>
      <w:proofErr w:type="spellEnd"/>
      <w:r>
        <w:t xml:space="preserve"> was caused or contributed to by</w:t>
      </w:r>
      <w:r w:rsidR="00D41437">
        <w:t xml:space="preserve"> cognitive or neurological defects</w:t>
      </w:r>
      <w:r w:rsidR="003551CE">
        <w:t>.</w:t>
      </w:r>
      <w:r>
        <w:t xml:space="preserve"> </w:t>
      </w:r>
    </w:p>
    <w:p w14:paraId="3BDAD7DD" w14:textId="77777777" w:rsidR="00593D0C" w:rsidRDefault="00593D0C" w:rsidP="002837BA">
      <w:pPr>
        <w:pStyle w:val="Heading2"/>
      </w:pPr>
      <w:r w:rsidRPr="00D41437">
        <w:t xml:space="preserve">Contraventions </w:t>
      </w:r>
      <w:r w:rsidR="00C263EC" w:rsidRPr="00D41437">
        <w:t xml:space="preserve">of </w:t>
      </w:r>
      <w:r w:rsidRPr="00D41437">
        <w:t>s </w:t>
      </w:r>
      <w:r w:rsidR="00C263EC" w:rsidRPr="00D41437">
        <w:t>50–</w:t>
      </w:r>
      <w:r w:rsidRPr="00D41437">
        <w:t>5 of the TAS Act</w:t>
      </w:r>
      <w:r>
        <w:t xml:space="preserve"> </w:t>
      </w:r>
      <w:r w:rsidR="005D0C2D">
        <w:t xml:space="preserve">- </w:t>
      </w:r>
      <w:r w:rsidR="005D0C2D" w:rsidRPr="005D0C2D">
        <w:t>Pecuniary penalties</w:t>
      </w:r>
      <w:r w:rsidR="005D0C2D">
        <w:t xml:space="preserve"> </w:t>
      </w:r>
    </w:p>
    <w:p w14:paraId="559814FF" w14:textId="77777777" w:rsidR="00D2747C" w:rsidRPr="005D0C2D" w:rsidRDefault="002B0CB7" w:rsidP="002837BA">
      <w:pPr>
        <w:pStyle w:val="Heading3"/>
      </w:pPr>
      <w:r>
        <w:t>The legislation and a</w:t>
      </w:r>
      <w:r w:rsidR="007B256F" w:rsidRPr="005D0C2D">
        <w:t xml:space="preserve">pplicable principles </w:t>
      </w:r>
    </w:p>
    <w:p w14:paraId="466A6110" w14:textId="77777777" w:rsidR="002B0CB7" w:rsidRDefault="002B0CB7" w:rsidP="00AD6D3C">
      <w:pPr>
        <w:pStyle w:val="ParaNumbering"/>
      </w:pPr>
      <w:r>
        <w:t>Section 50-35 of the TAS Act provides:</w:t>
      </w:r>
    </w:p>
    <w:p w14:paraId="7A1A8843" w14:textId="77777777" w:rsidR="004D0E0E" w:rsidRPr="000F5E5D" w:rsidRDefault="004D0E0E" w:rsidP="004D0E0E">
      <w:pPr>
        <w:pStyle w:val="Quote1"/>
        <w:rPr>
          <w:i/>
        </w:rPr>
      </w:pPr>
      <w:r w:rsidRPr="000F5E5D">
        <w:rPr>
          <w:i/>
        </w:rPr>
        <w:t>Application for order</w:t>
      </w:r>
    </w:p>
    <w:p w14:paraId="66EA704B" w14:textId="77777777" w:rsidR="004D0E0E" w:rsidRDefault="004D0E0E" w:rsidP="000F5E5D">
      <w:pPr>
        <w:pStyle w:val="Quote1"/>
        <w:ind w:left="1440" w:hanging="703"/>
      </w:pPr>
      <w:r>
        <w:t>(1)</w:t>
      </w:r>
      <w:r w:rsidR="000F5E5D">
        <w:tab/>
      </w:r>
      <w:r>
        <w:t xml:space="preserve">Within 4 years after you contravene a civil penalty provision, the Board may apply on behalf of the Commonwealth to the *Federal Court for an order that you pay the Commonwealth a pecuniary penalty. </w:t>
      </w:r>
    </w:p>
    <w:p w14:paraId="4AE2D41F" w14:textId="77777777" w:rsidR="004D0E0E" w:rsidRPr="000F5E5D" w:rsidRDefault="004D0E0E" w:rsidP="004D0E0E">
      <w:pPr>
        <w:pStyle w:val="Quote1"/>
        <w:rPr>
          <w:i/>
        </w:rPr>
      </w:pPr>
      <w:r w:rsidRPr="000F5E5D">
        <w:rPr>
          <w:i/>
        </w:rPr>
        <w:t xml:space="preserve">Court may order you to pay pecuniary penalty </w:t>
      </w:r>
    </w:p>
    <w:p w14:paraId="7AF09228" w14:textId="77777777" w:rsidR="004D0E0E" w:rsidRDefault="004D0E0E" w:rsidP="000F5E5D">
      <w:pPr>
        <w:pStyle w:val="Quote1"/>
        <w:ind w:left="1440" w:hanging="703"/>
      </w:pPr>
      <w:r>
        <w:t>(2)</w:t>
      </w:r>
      <w:r w:rsidR="000F5E5D">
        <w:tab/>
      </w:r>
      <w:r>
        <w:t xml:space="preserve">If the *Federal Court is satisfied that you have contravened a civil penalty provision, the Federal Court may order you to pay to the Commonwealth, for each contravention, the pecuniary penalty that the Federal Court determines is appropriate (but not more than the maximum amount specified for the provision). </w:t>
      </w:r>
    </w:p>
    <w:p w14:paraId="7A24141F" w14:textId="77777777" w:rsidR="004D0E0E" w:rsidRPr="000F5E5D" w:rsidRDefault="004D0E0E" w:rsidP="004D0E0E">
      <w:pPr>
        <w:pStyle w:val="Quote1"/>
        <w:rPr>
          <w:i/>
        </w:rPr>
      </w:pPr>
      <w:r w:rsidRPr="000F5E5D">
        <w:rPr>
          <w:i/>
        </w:rPr>
        <w:t xml:space="preserve">Conduct contravening more than one civil penalty provision </w:t>
      </w:r>
    </w:p>
    <w:p w14:paraId="5524D263" w14:textId="77777777" w:rsidR="002B0CB7" w:rsidRPr="002B0CB7" w:rsidRDefault="004D0E0E" w:rsidP="000F5E5D">
      <w:pPr>
        <w:pStyle w:val="Quote1"/>
        <w:ind w:left="1440" w:hanging="703"/>
      </w:pPr>
      <w:r>
        <w:t>(3)</w:t>
      </w:r>
      <w:r w:rsidR="000F5E5D">
        <w:tab/>
      </w:r>
      <w:r>
        <w:t>If conduct contravenes 2 or more civil penalty provisions of this Act, proceedings may be instituted against you in relation to the contravention of any one or more of those provisions. However, you are not liable to more than one pecuniary penalty in respect of the same conduct.</w:t>
      </w:r>
    </w:p>
    <w:p w14:paraId="00A7F3D0" w14:textId="77777777" w:rsidR="002B0CB7" w:rsidRDefault="002B0CB7" w:rsidP="00181A15">
      <w:pPr>
        <w:pStyle w:val="ParaNumbering"/>
      </w:pPr>
      <w:r>
        <w:lastRenderedPageBreak/>
        <w:t xml:space="preserve">The maximum penalty for a contravention of </w:t>
      </w:r>
      <w:proofErr w:type="spellStart"/>
      <w:r>
        <w:t>ss</w:t>
      </w:r>
      <w:proofErr w:type="spellEnd"/>
      <w:r>
        <w:t> 50</w:t>
      </w:r>
      <w:r w:rsidR="00181A15">
        <w:t xml:space="preserve">-5(1) and (2) of the TAS Act is 250 penalty units </w:t>
      </w:r>
      <w:r>
        <w:t>for an individual; and 1,250 penalty units for a body corporate.</w:t>
      </w:r>
      <w:r w:rsidR="00181A15">
        <w:t xml:space="preserve"> A penalty unit was $180 prior to 1 July 2017 and $</w:t>
      </w:r>
      <w:r w:rsidR="00D726F9">
        <w:t>210 after that date. Therefore, the maximum penalty for one contravention was $45,000 for an individual and $225,000 for a company prior to 1 July 2017</w:t>
      </w:r>
      <w:r w:rsidR="00814061">
        <w:t>;</w:t>
      </w:r>
      <w:r w:rsidR="00D726F9">
        <w:t xml:space="preserve"> and $52,500 for an individual and $262,500 </w:t>
      </w:r>
      <w:r w:rsidR="00F233E3">
        <w:t xml:space="preserve">for a company </w:t>
      </w:r>
      <w:r w:rsidR="00D726F9">
        <w:t>after that date.</w:t>
      </w:r>
    </w:p>
    <w:p w14:paraId="46412FDB" w14:textId="77777777" w:rsidR="002B0CB7" w:rsidRDefault="002B0CB7" w:rsidP="002B0CB7">
      <w:pPr>
        <w:pStyle w:val="ParaNumbering"/>
      </w:pPr>
      <w:r>
        <w:t xml:space="preserve">In </w:t>
      </w:r>
      <w:proofErr w:type="spellStart"/>
      <w:r w:rsidRPr="00DC3B6C">
        <w:rPr>
          <w:i/>
        </w:rPr>
        <w:t>Markarian</w:t>
      </w:r>
      <w:proofErr w:type="spellEnd"/>
      <w:r w:rsidRPr="00DC3B6C">
        <w:rPr>
          <w:i/>
        </w:rPr>
        <w:t xml:space="preserve"> v The Queen</w:t>
      </w:r>
      <w:r>
        <w:t xml:space="preserve"> (2005) 228 CLR 357 it was held</w:t>
      </w:r>
      <w:r w:rsidR="002645EF">
        <w:t xml:space="preserve"> at [31] </w:t>
      </w:r>
      <w:r>
        <w:t>that:</w:t>
      </w:r>
    </w:p>
    <w:p w14:paraId="4DD5AE5D" w14:textId="77777777" w:rsidR="002B0CB7" w:rsidRDefault="008C46CC" w:rsidP="002B0CB7">
      <w:pPr>
        <w:pStyle w:val="Quote1"/>
      </w:pPr>
      <w:r>
        <w:t xml:space="preserve">…careful </w:t>
      </w:r>
      <w:r w:rsidR="002B0CB7">
        <w:t>attention to maximum penalties will almost always be required, first because the legislature has legislated for them; secondly, because they invite comparison between the worst possible case and the case before the court at the time; and thirdly, because in that regard they do provide, taken and balanced with all of the other relevant factors, a yardstick.</w:t>
      </w:r>
    </w:p>
    <w:p w14:paraId="198F07DE" w14:textId="77777777" w:rsidR="00184B48" w:rsidRDefault="007B256F" w:rsidP="00184B48">
      <w:pPr>
        <w:pStyle w:val="ParaNumbering"/>
      </w:pPr>
      <w:r>
        <w:t>The principal object of imposing pecuniary penalties is to ensure compliance with the law by deterring future contraventions</w:t>
      </w:r>
      <w:r w:rsidR="00D41437">
        <w:t xml:space="preserve">: </w:t>
      </w:r>
      <w:r w:rsidR="00D41437" w:rsidRPr="002B0CB7">
        <w:rPr>
          <w:i/>
        </w:rPr>
        <w:t>Commonwealth v D</w:t>
      </w:r>
      <w:r w:rsidR="008C46CC">
        <w:rPr>
          <w:i/>
        </w:rPr>
        <w:t xml:space="preserve">irector, </w:t>
      </w:r>
      <w:r w:rsidR="00D41437" w:rsidRPr="002B0CB7">
        <w:rPr>
          <w:i/>
        </w:rPr>
        <w:t>F</w:t>
      </w:r>
      <w:r w:rsidR="008C46CC">
        <w:rPr>
          <w:i/>
        </w:rPr>
        <w:t xml:space="preserve">air </w:t>
      </w:r>
      <w:r w:rsidR="00D41437" w:rsidRPr="002B0CB7">
        <w:rPr>
          <w:i/>
        </w:rPr>
        <w:t>W</w:t>
      </w:r>
      <w:r w:rsidR="008C46CC">
        <w:rPr>
          <w:i/>
        </w:rPr>
        <w:t xml:space="preserve">ork </w:t>
      </w:r>
      <w:r w:rsidR="00D41437" w:rsidRPr="002B0CB7">
        <w:rPr>
          <w:i/>
        </w:rPr>
        <w:t>B</w:t>
      </w:r>
      <w:r w:rsidR="008C46CC">
        <w:rPr>
          <w:i/>
        </w:rPr>
        <w:t xml:space="preserve">uilding </w:t>
      </w:r>
      <w:r w:rsidR="00D41437" w:rsidRPr="002B0CB7">
        <w:rPr>
          <w:i/>
        </w:rPr>
        <w:t>I</w:t>
      </w:r>
      <w:r w:rsidR="008C46CC">
        <w:rPr>
          <w:i/>
        </w:rPr>
        <w:t xml:space="preserve">ndustry </w:t>
      </w:r>
      <w:r w:rsidR="00D41437" w:rsidRPr="002B0CB7">
        <w:rPr>
          <w:i/>
        </w:rPr>
        <w:t>I</w:t>
      </w:r>
      <w:r w:rsidR="008C46CC">
        <w:rPr>
          <w:i/>
        </w:rPr>
        <w:t>nspectorate</w:t>
      </w:r>
      <w:r w:rsidR="00D41437">
        <w:t xml:space="preserve"> (2015) 258 CLR 482 at [55]. </w:t>
      </w:r>
      <w:r w:rsidR="002B0CB7">
        <w:t xml:space="preserve">Deterrence is, </w:t>
      </w:r>
      <w:r w:rsidR="005F1FBB">
        <w:t>“</w:t>
      </w:r>
      <w:r w:rsidR="002B0CB7">
        <w:t>specific deterrence of the contravener and, by his or her example, general deterrence</w:t>
      </w:r>
      <w:r w:rsidR="00C653DC">
        <w:t xml:space="preserve"> of other would-be contraveners</w:t>
      </w:r>
      <w:r w:rsidR="005F1FBB">
        <w:t>”</w:t>
      </w:r>
      <w:r w:rsidR="002B0CB7">
        <w:t xml:space="preserve">: </w:t>
      </w:r>
      <w:r w:rsidR="002B0CB7" w:rsidRPr="00D726F9">
        <w:rPr>
          <w:i/>
        </w:rPr>
        <w:t>A</w:t>
      </w:r>
      <w:r w:rsidR="008C46CC">
        <w:rPr>
          <w:i/>
        </w:rPr>
        <w:t xml:space="preserve">ustralian </w:t>
      </w:r>
      <w:r w:rsidR="002B0CB7" w:rsidRPr="00D726F9">
        <w:rPr>
          <w:i/>
        </w:rPr>
        <w:t>B</w:t>
      </w:r>
      <w:r w:rsidR="008C46CC">
        <w:rPr>
          <w:i/>
        </w:rPr>
        <w:t xml:space="preserve">uilding and </w:t>
      </w:r>
      <w:r w:rsidR="002B0CB7" w:rsidRPr="00D726F9">
        <w:rPr>
          <w:i/>
        </w:rPr>
        <w:t>C</w:t>
      </w:r>
      <w:r w:rsidR="008C46CC">
        <w:rPr>
          <w:i/>
        </w:rPr>
        <w:t xml:space="preserve">onstruction </w:t>
      </w:r>
      <w:r w:rsidR="002B0CB7" w:rsidRPr="00D726F9">
        <w:rPr>
          <w:i/>
        </w:rPr>
        <w:t>C</w:t>
      </w:r>
      <w:r w:rsidR="008C46CC">
        <w:rPr>
          <w:i/>
        </w:rPr>
        <w:t>ommissioner</w:t>
      </w:r>
      <w:r w:rsidR="002B0CB7" w:rsidRPr="00D726F9">
        <w:rPr>
          <w:i/>
        </w:rPr>
        <w:t xml:space="preserve"> v C</w:t>
      </w:r>
      <w:r w:rsidR="008C46CC">
        <w:rPr>
          <w:i/>
        </w:rPr>
        <w:t xml:space="preserve">onstruction, </w:t>
      </w:r>
      <w:r w:rsidR="002B0CB7" w:rsidRPr="00D726F9">
        <w:rPr>
          <w:i/>
        </w:rPr>
        <w:t>F</w:t>
      </w:r>
      <w:r w:rsidR="008C46CC">
        <w:rPr>
          <w:i/>
        </w:rPr>
        <w:t xml:space="preserve">orestry, </w:t>
      </w:r>
      <w:r w:rsidR="002B0CB7" w:rsidRPr="00D726F9">
        <w:rPr>
          <w:i/>
        </w:rPr>
        <w:t>M</w:t>
      </w:r>
      <w:r w:rsidR="008C46CC">
        <w:rPr>
          <w:i/>
        </w:rPr>
        <w:t xml:space="preserve">ining and </w:t>
      </w:r>
      <w:r w:rsidR="00184B48" w:rsidRPr="00D726F9">
        <w:rPr>
          <w:i/>
        </w:rPr>
        <w:t>E</w:t>
      </w:r>
      <w:r w:rsidR="008C46CC">
        <w:rPr>
          <w:i/>
        </w:rPr>
        <w:t xml:space="preserve">nergy </w:t>
      </w:r>
      <w:r w:rsidR="00184B48" w:rsidRPr="00D726F9">
        <w:rPr>
          <w:i/>
        </w:rPr>
        <w:t>U</w:t>
      </w:r>
      <w:r w:rsidR="008C46CC">
        <w:rPr>
          <w:i/>
        </w:rPr>
        <w:t>nion</w:t>
      </w:r>
      <w:r w:rsidR="00184B48">
        <w:t xml:space="preserve"> (2018) 262 CLR 157 at [116].</w:t>
      </w:r>
    </w:p>
    <w:p w14:paraId="1F2DA093" w14:textId="77777777" w:rsidR="007B256F" w:rsidRDefault="007B256F" w:rsidP="00184B48">
      <w:pPr>
        <w:pStyle w:val="ParaNumbering"/>
      </w:pPr>
      <w:r>
        <w:t xml:space="preserve">The Court </w:t>
      </w:r>
      <w:r w:rsidR="0027663D">
        <w:t>must</w:t>
      </w:r>
      <w:r>
        <w:t xml:space="preserve"> put a price on contravention which is sufficiently high to deter repetition of the conduct by the r</w:t>
      </w:r>
      <w:r w:rsidR="00F01091">
        <w:t>espondent</w:t>
      </w:r>
      <w:r>
        <w:t xml:space="preserve"> and other would-be </w:t>
      </w:r>
      <w:r w:rsidR="00F01091">
        <w:t>contraveners</w:t>
      </w:r>
      <w:r w:rsidR="00CA69C6">
        <w:t xml:space="preserve">: </w:t>
      </w:r>
      <w:r w:rsidR="00CA69C6" w:rsidRPr="00184B48">
        <w:rPr>
          <w:i/>
        </w:rPr>
        <w:t>Trade Practices Commission v CSR Ltd</w:t>
      </w:r>
      <w:r w:rsidR="00CA69C6">
        <w:t xml:space="preserve"> [1990] FCA 521 at [40</w:t>
      </w:r>
      <w:r w:rsidR="00556F18">
        <w:t>]–[</w:t>
      </w:r>
      <w:r w:rsidR="00CA69C6">
        <w:t>42]</w:t>
      </w:r>
      <w:r w:rsidR="00C66566">
        <w:t>.</w:t>
      </w:r>
      <w:r w:rsidR="00E1781B">
        <w:t xml:space="preserve"> </w:t>
      </w:r>
      <w:r w:rsidR="003D6889">
        <w:t xml:space="preserve">A penalty, </w:t>
      </w:r>
      <w:r w:rsidR="005F1FBB">
        <w:t>“</w:t>
      </w:r>
      <w:r w:rsidR="003D6889">
        <w:t xml:space="preserve">must be fixed with a view to ensuring that the penalty is </w:t>
      </w:r>
      <w:r w:rsidR="0081091D">
        <w:t xml:space="preserve">not </w:t>
      </w:r>
      <w:r w:rsidR="003D6889">
        <w:t>such as to be regarded … as an acceptable cost of doing business</w:t>
      </w:r>
      <w:r w:rsidR="005F1FBB">
        <w:t>”</w:t>
      </w:r>
      <w:r w:rsidR="003D6889">
        <w:t xml:space="preserve">: </w:t>
      </w:r>
      <w:r w:rsidR="0081091D">
        <w:t xml:space="preserve"> </w:t>
      </w:r>
      <w:proofErr w:type="spellStart"/>
      <w:r w:rsidR="0081091D" w:rsidRPr="0081091D">
        <w:rPr>
          <w:i/>
        </w:rPr>
        <w:t>Sing</w:t>
      </w:r>
      <w:r w:rsidR="0081091D">
        <w:rPr>
          <w:i/>
          <w:iCs/>
        </w:rPr>
        <w:t>tel</w:t>
      </w:r>
      <w:proofErr w:type="spellEnd"/>
      <w:r w:rsidR="0081091D">
        <w:rPr>
          <w:i/>
          <w:iCs/>
        </w:rPr>
        <w:t xml:space="preserve"> Optus Pty Ltd v Australian Competition and Consumer Commission </w:t>
      </w:r>
      <w:r w:rsidR="0081091D">
        <w:rPr>
          <w:iCs/>
        </w:rPr>
        <w:t xml:space="preserve">(2012) 287 ALR 249 at [62]–[63], cited in </w:t>
      </w:r>
      <w:r w:rsidR="003D6889">
        <w:rPr>
          <w:i/>
          <w:iCs/>
        </w:rPr>
        <w:t xml:space="preserve">Australian Competition and Consumer Commission v TPG Internet Pty Ltd </w:t>
      </w:r>
      <w:r w:rsidR="003D6889">
        <w:t>(2013) 250 CLR 640 at [66]</w:t>
      </w:r>
      <w:r w:rsidR="003A78CD">
        <w:t>.</w:t>
      </w:r>
    </w:p>
    <w:p w14:paraId="3475E179" w14:textId="77777777" w:rsidR="0055709B" w:rsidRPr="00671FAC" w:rsidRDefault="00184B48" w:rsidP="0055709B">
      <w:pPr>
        <w:pStyle w:val="ParaNumbering"/>
      </w:pPr>
      <w:r>
        <w:t xml:space="preserve">The </w:t>
      </w:r>
      <w:r w:rsidR="0081091D">
        <w:t xml:space="preserve">task of the </w:t>
      </w:r>
      <w:r w:rsidR="009D4A44">
        <w:t>Court</w:t>
      </w:r>
      <w:r>
        <w:t xml:space="preserve"> </w:t>
      </w:r>
      <w:r w:rsidR="0081091D">
        <w:t xml:space="preserve">in </w:t>
      </w:r>
      <w:r>
        <w:t xml:space="preserve">assessing a penalty is one of </w:t>
      </w:r>
      <w:r w:rsidR="005F1FBB">
        <w:t>“</w:t>
      </w:r>
      <w:r>
        <w:t>instinctive synthesis</w:t>
      </w:r>
      <w:r w:rsidR="005F1FBB">
        <w:t>”</w:t>
      </w:r>
      <w:r>
        <w:t>, arriving at a single result through</w:t>
      </w:r>
      <w:r w:rsidR="00E1781B">
        <w:t xml:space="preserve"> </w:t>
      </w:r>
      <w:r w:rsidR="00A94577">
        <w:t>a</w:t>
      </w:r>
      <w:r w:rsidR="007B256F">
        <w:t xml:space="preserve"> weighing of all relevant factors, rather than starting from a predetermined figure and making adjus</w:t>
      </w:r>
      <w:r w:rsidR="00A94577">
        <w:t>tments for each separate factor</w:t>
      </w:r>
      <w:r w:rsidR="005D0C2D">
        <w:t xml:space="preserve">: </w:t>
      </w:r>
      <w:r w:rsidR="005D0C2D" w:rsidRPr="00E04761">
        <w:rPr>
          <w:i/>
          <w:iCs/>
          <w:szCs w:val="24"/>
          <w:lang w:eastAsia="en-AU"/>
        </w:rPr>
        <w:t>Wong v The Queen</w:t>
      </w:r>
      <w:r w:rsidR="00E1781B">
        <w:rPr>
          <w:i/>
          <w:iCs/>
          <w:szCs w:val="24"/>
          <w:lang w:eastAsia="en-AU"/>
        </w:rPr>
        <w:t xml:space="preserve"> </w:t>
      </w:r>
      <w:r w:rsidR="005D0C2D" w:rsidRPr="00E04761">
        <w:rPr>
          <w:szCs w:val="24"/>
          <w:lang w:eastAsia="en-AU"/>
        </w:rPr>
        <w:t xml:space="preserve">(2001) 207 </w:t>
      </w:r>
      <w:r w:rsidR="006D733F">
        <w:rPr>
          <w:szCs w:val="24"/>
          <w:lang w:eastAsia="en-AU"/>
        </w:rPr>
        <w:t>CLR 584</w:t>
      </w:r>
      <w:r w:rsidR="005D0C2D" w:rsidRPr="00E04761">
        <w:rPr>
          <w:szCs w:val="24"/>
          <w:lang w:eastAsia="en-AU"/>
        </w:rPr>
        <w:t xml:space="preserve"> at </w:t>
      </w:r>
      <w:r w:rsidR="005D0C2D">
        <w:rPr>
          <w:szCs w:val="24"/>
          <w:lang w:eastAsia="en-AU"/>
        </w:rPr>
        <w:t>[75</w:t>
      </w:r>
      <w:r w:rsidR="005D0C2D" w:rsidRPr="00E04761">
        <w:rPr>
          <w:szCs w:val="24"/>
          <w:lang w:eastAsia="en-AU"/>
        </w:rPr>
        <w:t>]</w:t>
      </w:r>
      <w:r>
        <w:rPr>
          <w:szCs w:val="24"/>
          <w:lang w:eastAsia="en-AU"/>
        </w:rPr>
        <w:t xml:space="preserve">; </w:t>
      </w:r>
      <w:r w:rsidRPr="00184B48">
        <w:rPr>
          <w:i/>
          <w:szCs w:val="24"/>
          <w:lang w:eastAsia="en-AU"/>
        </w:rPr>
        <w:t>Pattinson v A</w:t>
      </w:r>
      <w:r w:rsidR="0081091D">
        <w:rPr>
          <w:i/>
          <w:szCs w:val="24"/>
          <w:lang w:eastAsia="en-AU"/>
        </w:rPr>
        <w:t xml:space="preserve">ustralian </w:t>
      </w:r>
      <w:r w:rsidRPr="00184B48">
        <w:rPr>
          <w:i/>
          <w:szCs w:val="24"/>
          <w:lang w:eastAsia="en-AU"/>
        </w:rPr>
        <w:t>B</w:t>
      </w:r>
      <w:r w:rsidR="0081091D">
        <w:rPr>
          <w:i/>
          <w:szCs w:val="24"/>
          <w:lang w:eastAsia="en-AU"/>
        </w:rPr>
        <w:t xml:space="preserve">uilding and </w:t>
      </w:r>
      <w:r w:rsidRPr="00184B48">
        <w:rPr>
          <w:i/>
          <w:szCs w:val="24"/>
          <w:lang w:eastAsia="en-AU"/>
        </w:rPr>
        <w:t>C</w:t>
      </w:r>
      <w:r w:rsidR="0081091D">
        <w:rPr>
          <w:i/>
          <w:szCs w:val="24"/>
          <w:lang w:eastAsia="en-AU"/>
        </w:rPr>
        <w:t xml:space="preserve">onstruction </w:t>
      </w:r>
      <w:r w:rsidRPr="00184B48">
        <w:rPr>
          <w:i/>
          <w:szCs w:val="24"/>
          <w:lang w:eastAsia="en-AU"/>
        </w:rPr>
        <w:t>C</w:t>
      </w:r>
      <w:r w:rsidR="0081091D">
        <w:rPr>
          <w:i/>
          <w:szCs w:val="24"/>
          <w:lang w:eastAsia="en-AU"/>
        </w:rPr>
        <w:t>ommissioner</w:t>
      </w:r>
      <w:r w:rsidR="0081091D">
        <w:rPr>
          <w:szCs w:val="24"/>
          <w:lang w:eastAsia="en-AU"/>
        </w:rPr>
        <w:t xml:space="preserve"> (2020) 384 ALR 75;</w:t>
      </w:r>
      <w:r>
        <w:rPr>
          <w:szCs w:val="24"/>
          <w:lang w:eastAsia="en-AU"/>
        </w:rPr>
        <w:t xml:space="preserve"> [2020] FCAFC </w:t>
      </w:r>
      <w:r w:rsidR="0081091D">
        <w:rPr>
          <w:szCs w:val="24"/>
          <w:lang w:eastAsia="en-AU"/>
        </w:rPr>
        <w:t>1</w:t>
      </w:r>
      <w:r>
        <w:rPr>
          <w:szCs w:val="24"/>
          <w:lang w:eastAsia="en-AU"/>
        </w:rPr>
        <w:t>77 at [112].</w:t>
      </w:r>
    </w:p>
    <w:p w14:paraId="2957B008" w14:textId="77777777" w:rsidR="00671FAC" w:rsidRPr="004047BC" w:rsidRDefault="00ED3F41" w:rsidP="00671FAC">
      <w:pPr>
        <w:pStyle w:val="ParaNumbering"/>
      </w:pPr>
      <w:r>
        <w:t xml:space="preserve">Section 50–35(2) </w:t>
      </w:r>
      <w:r w:rsidR="00005DED">
        <w:t xml:space="preserve">of the TAS Act </w:t>
      </w:r>
      <w:r>
        <w:t>gives the Court a discretion to order that a contravener pay a pecuniary penalty that the Court</w:t>
      </w:r>
      <w:r w:rsidR="00F233E3">
        <w:t>,</w:t>
      </w:r>
      <w:r>
        <w:t xml:space="preserve"> </w:t>
      </w:r>
      <w:r w:rsidR="005F1FBB">
        <w:t>“</w:t>
      </w:r>
      <w:r>
        <w:t xml:space="preserve">determines </w:t>
      </w:r>
      <w:r w:rsidR="00005DED">
        <w:t>i</w:t>
      </w:r>
      <w:r>
        <w:t>s appropriate</w:t>
      </w:r>
      <w:r w:rsidR="005F1FBB">
        <w:t>”</w:t>
      </w:r>
      <w:r>
        <w:t>.</w:t>
      </w:r>
      <w:r w:rsidR="00E1781B">
        <w:t xml:space="preserve"> </w:t>
      </w:r>
      <w:r w:rsidR="00671FAC" w:rsidRPr="00EA5DD4">
        <w:t xml:space="preserve">In </w:t>
      </w:r>
      <w:r w:rsidR="00671FAC" w:rsidRPr="00EA5DD4">
        <w:rPr>
          <w:i/>
        </w:rPr>
        <w:t>Pattinson</w:t>
      </w:r>
      <w:r w:rsidR="00671FAC" w:rsidRPr="00EA5DD4">
        <w:t>, the Full Court considered s 546</w:t>
      </w:r>
      <w:r w:rsidR="00671FAC">
        <w:t>(1)</w:t>
      </w:r>
      <w:r w:rsidR="00671FAC" w:rsidRPr="00EA5DD4">
        <w:t xml:space="preserve"> of the </w:t>
      </w:r>
      <w:r w:rsidR="00671FAC" w:rsidRPr="00EA5DD4">
        <w:rPr>
          <w:i/>
        </w:rPr>
        <w:t>Fair Work Act 2009</w:t>
      </w:r>
      <w:r w:rsidR="00671FAC" w:rsidRPr="00EA5DD4">
        <w:t xml:space="preserve"> (</w:t>
      </w:r>
      <w:proofErr w:type="spellStart"/>
      <w:r w:rsidR="00671FAC" w:rsidRPr="00EA5DD4">
        <w:t>Cth</w:t>
      </w:r>
      <w:proofErr w:type="spellEnd"/>
      <w:r w:rsidR="00671FAC" w:rsidRPr="00EA5DD4">
        <w:t xml:space="preserve">), which provides that a person </w:t>
      </w:r>
      <w:r>
        <w:t xml:space="preserve">may be </w:t>
      </w:r>
      <w:r>
        <w:lastRenderedPageBreak/>
        <w:t xml:space="preserve">ordered to pay </w:t>
      </w:r>
      <w:r w:rsidR="00671FAC" w:rsidRPr="00EA5DD4">
        <w:t xml:space="preserve">a pecuniary penalty the Court </w:t>
      </w:r>
      <w:r w:rsidR="005F1FBB">
        <w:t>“</w:t>
      </w:r>
      <w:r w:rsidR="00671FAC" w:rsidRPr="00EA5DD4">
        <w:t>considers is appropriate</w:t>
      </w:r>
      <w:r w:rsidR="005F1FBB">
        <w:t>”</w:t>
      </w:r>
      <w:r w:rsidR="00671FAC" w:rsidRPr="00EA5DD4">
        <w:t xml:space="preserve"> if the Court is satisfied that the person has contravened a civil remedy provision. The plurality observed at [98]:</w:t>
      </w:r>
    </w:p>
    <w:p w14:paraId="2408EAEA" w14:textId="77777777" w:rsidR="00671FAC" w:rsidRPr="004047BC" w:rsidRDefault="00671FAC" w:rsidP="00671FAC">
      <w:pPr>
        <w:pStyle w:val="Quote1"/>
      </w:pPr>
      <w:r w:rsidRPr="00EA5DD4">
        <w:t>The court</w:t>
      </w:r>
      <w:r w:rsidR="00A2650E">
        <w:t>’</w:t>
      </w:r>
      <w:r w:rsidRPr="00EA5DD4">
        <w:t xml:space="preserve">s task is to determine and impose a penalty that it considers </w:t>
      </w:r>
      <w:r w:rsidR="005F1FBB">
        <w:t>“</w:t>
      </w:r>
      <w:r w:rsidRPr="00EA5DD4">
        <w:t>appropriate</w:t>
      </w:r>
      <w:r w:rsidR="005F1FBB">
        <w:t>”</w:t>
      </w:r>
      <w:r w:rsidRPr="00EA5DD4">
        <w:t xml:space="preserve"> if it is satisfied that a person upon whom the penalty is to be imposed has contravened a civil remedy provision. That task is to be undertaken in the light of the object or purpose of the imposition: the promotion of the public interest in compliance with the provision of the statute in question, by deterrence, specific and general. It is clear that the object of deterrence is directed to the subject contravention. That is, it is the deterring of contraventions of the kind before the court to which regard must be had in fixing the penalty that is considered appropriate, by reference to the frame of reference or yardstick provided by the maximum penalty as set by Parliament. Thus, it will always be important to understand the nature, character and full context of the contravening.</w:t>
      </w:r>
    </w:p>
    <w:p w14:paraId="0528DBD8" w14:textId="77777777" w:rsidR="00671FAC" w:rsidRDefault="00671FAC" w:rsidP="00671FAC">
      <w:pPr>
        <w:pStyle w:val="ParaNumbering"/>
      </w:pPr>
      <w:r>
        <w:t xml:space="preserve">In </w:t>
      </w:r>
      <w:r w:rsidRPr="00F47AC6">
        <w:rPr>
          <w:i/>
        </w:rPr>
        <w:t>Pattinson</w:t>
      </w:r>
      <w:r>
        <w:t>, the plurality stated at [104]:</w:t>
      </w:r>
    </w:p>
    <w:p w14:paraId="0B868FDD" w14:textId="77777777" w:rsidR="00671FAC" w:rsidRPr="000B6DFE" w:rsidRDefault="00671FAC" w:rsidP="00671FAC">
      <w:pPr>
        <w:pStyle w:val="Quote1"/>
      </w:pPr>
      <w:r w:rsidRPr="00EA5DD4">
        <w:t xml:space="preserve">…[O]ne sees a </w:t>
      </w:r>
      <w:r w:rsidRPr="002414D2">
        <w:rPr>
          <w:i/>
        </w:rPr>
        <w:t>notion</w:t>
      </w:r>
      <w:r w:rsidRPr="00EA5DD4">
        <w:t xml:space="preserve"> of proportionality within the task set out in s 546. That task, of course, is the imposing of an </w:t>
      </w:r>
      <w:r w:rsidR="005F1FBB">
        <w:t>“</w:t>
      </w:r>
      <w:r w:rsidRPr="00EA5DD4">
        <w:t>appropriate</w:t>
      </w:r>
      <w:r w:rsidR="005F1FBB">
        <w:t>”</w:t>
      </w:r>
      <w:r w:rsidRPr="00EA5DD4">
        <w:t xml:space="preserve"> penalty for the instant contravention to serve the object of deterrence from repetition of like contravening in the future. Proportionality and appropriateness are thus intimately related. Proportionality is not a free-standing principle separate from the requirement of what is </w:t>
      </w:r>
      <w:r w:rsidR="005F1FBB">
        <w:t>“</w:t>
      </w:r>
      <w:r w:rsidRPr="00EA5DD4">
        <w:t>appropriate</w:t>
      </w:r>
      <w:r w:rsidR="005F1FBB">
        <w:t>”</w:t>
      </w:r>
      <w:r w:rsidRPr="00EA5DD4">
        <w:t>, rather it is part of that assessment which will necessarily involve examining the nature of the contravention, and all factors that rationally bear on the assessment of the need for deterrence in all the circumstances.</w:t>
      </w:r>
    </w:p>
    <w:p w14:paraId="4449D312" w14:textId="77777777" w:rsidR="00671FAC" w:rsidRDefault="00671FAC" w:rsidP="00E4050F">
      <w:pPr>
        <w:pStyle w:val="ParaNumbering"/>
      </w:pPr>
      <w:r>
        <w:t>The plurality also observed at [109]:</w:t>
      </w:r>
    </w:p>
    <w:p w14:paraId="5F3345CF" w14:textId="77777777" w:rsidR="00671FAC" w:rsidRDefault="00671FAC" w:rsidP="00E4050F">
      <w:pPr>
        <w:pStyle w:val="Quote1"/>
      </w:pPr>
      <w:r w:rsidRPr="00EA5DD4">
        <w:t xml:space="preserve">The process is whole and discretionary, and evaluative in character, to which objective aspects of the contravention and what might be called the subjective characteristics of the </w:t>
      </w:r>
      <w:proofErr w:type="spellStart"/>
      <w:r w:rsidRPr="00EA5DD4">
        <w:t>contravenor</w:t>
      </w:r>
      <w:proofErr w:type="spellEnd"/>
      <w:r w:rsidRPr="00EA5DD4">
        <w:t>, indeed all considerations that rationally touch on or inform deterrence, are relevant.</w:t>
      </w:r>
    </w:p>
    <w:p w14:paraId="4D0A0218" w14:textId="77777777" w:rsidR="00F01091" w:rsidRPr="0055709B" w:rsidRDefault="00F01091" w:rsidP="009A0973">
      <w:pPr>
        <w:pStyle w:val="ParaNumbering"/>
      </w:pPr>
      <w:r>
        <w:rPr>
          <w:lang w:eastAsia="en-AU"/>
        </w:rPr>
        <w:t xml:space="preserve">Where there are multiple contraventions of the same provision, </w:t>
      </w:r>
      <w:r w:rsidR="000E4D53">
        <w:rPr>
          <w:lang w:eastAsia="en-AU"/>
        </w:rPr>
        <w:t xml:space="preserve">in some circumstances </w:t>
      </w:r>
      <w:r>
        <w:rPr>
          <w:lang w:eastAsia="en-AU"/>
        </w:rPr>
        <w:t xml:space="preserve">the </w:t>
      </w:r>
      <w:r w:rsidR="005F1FBB">
        <w:rPr>
          <w:lang w:eastAsia="en-AU"/>
        </w:rPr>
        <w:t>“</w:t>
      </w:r>
      <w:r>
        <w:rPr>
          <w:lang w:eastAsia="en-AU"/>
        </w:rPr>
        <w:t>course of conduct</w:t>
      </w:r>
      <w:r w:rsidR="005F1FBB">
        <w:rPr>
          <w:lang w:eastAsia="en-AU"/>
        </w:rPr>
        <w:t>”</w:t>
      </w:r>
      <w:r>
        <w:rPr>
          <w:lang w:eastAsia="en-AU"/>
        </w:rPr>
        <w:t xml:space="preserve"> principle may be applied</w:t>
      </w:r>
      <w:r w:rsidR="000E4D53">
        <w:rPr>
          <w:lang w:eastAsia="en-AU"/>
        </w:rPr>
        <w:t xml:space="preserve"> </w:t>
      </w:r>
      <w:r>
        <w:rPr>
          <w:lang w:eastAsia="en-AU"/>
        </w:rPr>
        <w:t xml:space="preserve">to ensure that the offender is not punished more than once for essentially the same criminality: </w:t>
      </w:r>
      <w:r w:rsidRPr="009A0973">
        <w:rPr>
          <w:i/>
          <w:lang w:eastAsia="en-AU"/>
        </w:rPr>
        <w:t>C</w:t>
      </w:r>
      <w:r w:rsidR="005A27AA">
        <w:rPr>
          <w:i/>
          <w:lang w:eastAsia="en-AU"/>
        </w:rPr>
        <w:t xml:space="preserve">onstruction, </w:t>
      </w:r>
      <w:r w:rsidRPr="009A0973">
        <w:rPr>
          <w:i/>
          <w:lang w:eastAsia="en-AU"/>
        </w:rPr>
        <w:t>F</w:t>
      </w:r>
      <w:r w:rsidR="005A27AA">
        <w:rPr>
          <w:i/>
          <w:lang w:eastAsia="en-AU"/>
        </w:rPr>
        <w:t xml:space="preserve">orestry, </w:t>
      </w:r>
      <w:r w:rsidRPr="009A0973">
        <w:rPr>
          <w:i/>
          <w:lang w:eastAsia="en-AU"/>
        </w:rPr>
        <w:t>M</w:t>
      </w:r>
      <w:r w:rsidR="005A27AA">
        <w:rPr>
          <w:i/>
          <w:lang w:eastAsia="en-AU"/>
        </w:rPr>
        <w:t xml:space="preserve">ining and </w:t>
      </w:r>
      <w:r w:rsidRPr="009A0973">
        <w:rPr>
          <w:i/>
          <w:lang w:eastAsia="en-AU"/>
        </w:rPr>
        <w:t>E</w:t>
      </w:r>
      <w:r w:rsidR="005A27AA">
        <w:rPr>
          <w:i/>
          <w:lang w:eastAsia="en-AU"/>
        </w:rPr>
        <w:t xml:space="preserve">nergy </w:t>
      </w:r>
      <w:r w:rsidRPr="009A0973">
        <w:rPr>
          <w:i/>
          <w:lang w:eastAsia="en-AU"/>
        </w:rPr>
        <w:t>U</w:t>
      </w:r>
      <w:r w:rsidR="005A27AA">
        <w:rPr>
          <w:i/>
          <w:lang w:eastAsia="en-AU"/>
        </w:rPr>
        <w:t>nion</w:t>
      </w:r>
      <w:r w:rsidRPr="009A0973">
        <w:rPr>
          <w:i/>
          <w:lang w:eastAsia="en-AU"/>
        </w:rPr>
        <w:t xml:space="preserve"> v Cahill</w:t>
      </w:r>
      <w:r>
        <w:rPr>
          <w:lang w:eastAsia="en-AU"/>
        </w:rPr>
        <w:t xml:space="preserve"> (2010) 194 IR 461 at [39]. However, </w:t>
      </w:r>
      <w:r>
        <w:t>that phrase should not simplistically be adopted to transfer multiple contraventions into one contravention, or, necessarily, to impose one penalty by reference to one maximum amount; t</w:t>
      </w:r>
      <w:r w:rsidRPr="00F01091">
        <w:t>he task is to evaluate the conduct and its course and assess what penalty is, or penalties are, app</w:t>
      </w:r>
      <w:r>
        <w:t xml:space="preserve">ropriate for the contraventions: </w:t>
      </w:r>
      <w:r w:rsidRPr="009A0973">
        <w:rPr>
          <w:i/>
          <w:iCs/>
        </w:rPr>
        <w:t>Transport Workers</w:t>
      </w:r>
      <w:r w:rsidR="00A2650E">
        <w:rPr>
          <w:i/>
          <w:iCs/>
        </w:rPr>
        <w:t>’</w:t>
      </w:r>
      <w:r w:rsidRPr="009A0973">
        <w:rPr>
          <w:i/>
          <w:iCs/>
        </w:rPr>
        <w:t xml:space="preserve"> Union of Australia v Registered Organisations</w:t>
      </w:r>
      <w:r w:rsidR="005A27AA">
        <w:rPr>
          <w:i/>
          <w:iCs/>
        </w:rPr>
        <w:t xml:space="preserve"> Commissioner (</w:t>
      </w:r>
      <w:r w:rsidRPr="009A0973">
        <w:rPr>
          <w:i/>
          <w:iCs/>
        </w:rPr>
        <w:t>No 2</w:t>
      </w:r>
      <w:r w:rsidR="005A27AA">
        <w:rPr>
          <w:i/>
          <w:iCs/>
        </w:rPr>
        <w:t>)</w:t>
      </w:r>
      <w:r>
        <w:t xml:space="preserve"> </w:t>
      </w:r>
      <w:r w:rsidR="005A27AA">
        <w:t xml:space="preserve">(2018) 267 FCR 40 </w:t>
      </w:r>
      <w:r>
        <w:t xml:space="preserve">at [84]–[91]. </w:t>
      </w:r>
    </w:p>
    <w:p w14:paraId="13FF4224" w14:textId="77777777" w:rsidR="00586B62" w:rsidRDefault="006D733F" w:rsidP="003551CE">
      <w:pPr>
        <w:pStyle w:val="ParaNumbering"/>
      </w:pPr>
      <w:r>
        <w:t xml:space="preserve">The totality principle operates as a </w:t>
      </w:r>
      <w:r w:rsidR="005F1FBB">
        <w:rPr>
          <w:iCs/>
        </w:rPr>
        <w:t>“</w:t>
      </w:r>
      <w:r w:rsidRPr="00184B48">
        <w:rPr>
          <w:iCs/>
        </w:rPr>
        <w:t>final check</w:t>
      </w:r>
      <w:r w:rsidR="005F1FBB">
        <w:rPr>
          <w:iCs/>
        </w:rPr>
        <w:t>”</w:t>
      </w:r>
      <w:r w:rsidRPr="00184B48">
        <w:rPr>
          <w:i/>
          <w:iCs/>
        </w:rPr>
        <w:t xml:space="preserve"> </w:t>
      </w:r>
      <w:r>
        <w:t>to ensure that the penalties to be imposed on a wrongdoer, considered as a whole, are</w:t>
      </w:r>
      <w:r w:rsidR="00E4050F">
        <w:t>,</w:t>
      </w:r>
      <w:r>
        <w:t xml:space="preserve"> </w:t>
      </w:r>
      <w:r w:rsidR="005F1FBB">
        <w:rPr>
          <w:iCs/>
        </w:rPr>
        <w:t>“</w:t>
      </w:r>
      <w:r w:rsidRPr="00184B48">
        <w:rPr>
          <w:iCs/>
        </w:rPr>
        <w:t>just and appropriate</w:t>
      </w:r>
      <w:r w:rsidR="005F1FBB">
        <w:rPr>
          <w:iCs/>
        </w:rPr>
        <w:t>”</w:t>
      </w:r>
      <w:r>
        <w:t xml:space="preserve">: </w:t>
      </w:r>
      <w:r w:rsidRPr="00184B48">
        <w:rPr>
          <w:i/>
          <w:iCs/>
        </w:rPr>
        <w:t>Mill v The Queen</w:t>
      </w:r>
      <w:r>
        <w:t xml:space="preserve"> (1988) 166 CLR 59 at 62–63; </w:t>
      </w:r>
      <w:r w:rsidRPr="00184B48">
        <w:rPr>
          <w:i/>
          <w:iCs/>
        </w:rPr>
        <w:t>Johnson</w:t>
      </w:r>
      <w:r w:rsidR="005A27AA">
        <w:rPr>
          <w:i/>
          <w:iCs/>
        </w:rPr>
        <w:t xml:space="preserve"> v The Queen</w:t>
      </w:r>
      <w:r>
        <w:t xml:space="preserve"> </w:t>
      </w:r>
      <w:r w:rsidR="006D39E8">
        <w:t xml:space="preserve">(2004) 205 ALR 346 </w:t>
      </w:r>
      <w:r>
        <w:t>at [3]–[5] and</w:t>
      </w:r>
      <w:r w:rsidR="00B52098">
        <w:t xml:space="preserve"> [</w:t>
      </w:r>
      <w:r>
        <w:t>18]–[35].</w:t>
      </w:r>
      <w:r w:rsidR="00E1781B">
        <w:t xml:space="preserve"> </w:t>
      </w:r>
    </w:p>
    <w:p w14:paraId="42991660" w14:textId="77777777" w:rsidR="00EA35B3" w:rsidRDefault="00EA35B3" w:rsidP="003551CE">
      <w:pPr>
        <w:pStyle w:val="ParaNumbering"/>
      </w:pPr>
      <w:r>
        <w:lastRenderedPageBreak/>
        <w:t xml:space="preserve">In </w:t>
      </w:r>
      <w:r w:rsidRPr="00EA35B3">
        <w:rPr>
          <w:i/>
        </w:rPr>
        <w:t xml:space="preserve">Australian </w:t>
      </w:r>
      <w:proofErr w:type="spellStart"/>
      <w:r w:rsidRPr="00EA35B3">
        <w:rPr>
          <w:i/>
        </w:rPr>
        <w:t>Opthalmic</w:t>
      </w:r>
      <w:proofErr w:type="spellEnd"/>
      <w:r w:rsidRPr="00EA35B3">
        <w:rPr>
          <w:i/>
        </w:rPr>
        <w:t xml:space="preserve"> Supplies </w:t>
      </w:r>
      <w:r w:rsidR="00B52098">
        <w:rPr>
          <w:i/>
        </w:rPr>
        <w:t xml:space="preserve">Pty Ltd </w:t>
      </w:r>
      <w:r w:rsidRPr="00EA35B3">
        <w:rPr>
          <w:i/>
        </w:rPr>
        <w:t xml:space="preserve">v </w:t>
      </w:r>
      <w:proofErr w:type="spellStart"/>
      <w:r w:rsidRPr="00EA35B3">
        <w:rPr>
          <w:i/>
        </w:rPr>
        <w:t>McAlary</w:t>
      </w:r>
      <w:proofErr w:type="spellEnd"/>
      <w:r w:rsidRPr="00EA35B3">
        <w:rPr>
          <w:i/>
        </w:rPr>
        <w:t>-Smith</w:t>
      </w:r>
      <w:r w:rsidR="00B52098">
        <w:t xml:space="preserve"> (2008) 165 FCR 560, Buchanan J </w:t>
      </w:r>
      <w:r>
        <w:t>explained at [102]:</w:t>
      </w:r>
    </w:p>
    <w:p w14:paraId="05FC3CAB" w14:textId="77777777" w:rsidR="00EA35B3" w:rsidRDefault="00E1781B" w:rsidP="00E1781B">
      <w:pPr>
        <w:pStyle w:val="Quote1"/>
      </w:pPr>
      <w:r>
        <w:t>The totality principle is a guide to sentencing practice. It must be adapted to the circumstances. It is designed to avoid injustice in the overall result. It is not a principle which suggests that a penalty should necessarily be reduced from an aggregate total fixed for multiple offences. Rather, it involves a final check to ensure that a total or aggregate penalty is not, in all the circumstances, excessive</w:t>
      </w:r>
      <w:r w:rsidR="000137AA">
        <w:t>…</w:t>
      </w:r>
      <w:r>
        <w:t xml:space="preserve"> </w:t>
      </w:r>
    </w:p>
    <w:p w14:paraId="38B00CCA" w14:textId="77777777" w:rsidR="00556ED1" w:rsidRPr="00EA35B3" w:rsidRDefault="00556ED1" w:rsidP="002837BA">
      <w:pPr>
        <w:pStyle w:val="Heading3"/>
      </w:pPr>
      <w:r w:rsidRPr="00EA35B3">
        <w:t>Th</w:t>
      </w:r>
      <w:r w:rsidR="00D726F9" w:rsidRPr="00EA35B3">
        <w:t xml:space="preserve">e circumstances </w:t>
      </w:r>
      <w:r w:rsidR="00EE1121">
        <w:t xml:space="preserve">and seriousness </w:t>
      </w:r>
      <w:r w:rsidR="00D726F9" w:rsidRPr="00EA35B3">
        <w:t>of the contraventions</w:t>
      </w:r>
    </w:p>
    <w:p w14:paraId="54E782B7" w14:textId="77777777" w:rsidR="00556ED1" w:rsidRDefault="00375502" w:rsidP="00556ED1">
      <w:pPr>
        <w:pStyle w:val="ParaNumbering"/>
      </w:pPr>
      <w:r>
        <w:t>Mr </w:t>
      </w:r>
      <w:r w:rsidR="00556ED1">
        <w:t>Hacker is the sole director of OSGS.</w:t>
      </w:r>
      <w:r w:rsidR="00E1781B">
        <w:t xml:space="preserve"> </w:t>
      </w:r>
      <w:proofErr w:type="spellStart"/>
      <w:r w:rsidR="00EA35B3">
        <w:t>Naleview</w:t>
      </w:r>
      <w:proofErr w:type="spellEnd"/>
      <w:r w:rsidR="00EA35B3">
        <w:t xml:space="preserve"> is the holder of the single share in OSGS. </w:t>
      </w:r>
      <w:r>
        <w:t>Mr </w:t>
      </w:r>
      <w:r w:rsidR="00556ED1">
        <w:t xml:space="preserve">Hacker is a director of </w:t>
      </w:r>
      <w:proofErr w:type="spellStart"/>
      <w:r w:rsidR="00556ED1">
        <w:t>Naleview</w:t>
      </w:r>
      <w:proofErr w:type="spellEnd"/>
      <w:r w:rsidR="00556ED1">
        <w:t>, together with one other person.</w:t>
      </w:r>
      <w:r w:rsidR="00E1781B">
        <w:t xml:space="preserve"> </w:t>
      </w:r>
      <w:r>
        <w:t>Mr </w:t>
      </w:r>
      <w:r w:rsidR="00556ED1">
        <w:t xml:space="preserve">Hacker holds half </w:t>
      </w:r>
      <w:r w:rsidR="00F4189C">
        <w:t xml:space="preserve">of </w:t>
      </w:r>
      <w:proofErr w:type="spellStart"/>
      <w:r w:rsidR="00556ED1">
        <w:t>Naleview</w:t>
      </w:r>
      <w:r w:rsidR="00A2650E">
        <w:t>’</w:t>
      </w:r>
      <w:r w:rsidR="00556ED1">
        <w:t>s</w:t>
      </w:r>
      <w:proofErr w:type="spellEnd"/>
      <w:r w:rsidR="00556ED1">
        <w:t xml:space="preserve"> shares, while the other director holds the other half.</w:t>
      </w:r>
      <w:r w:rsidR="00E1781B">
        <w:t xml:space="preserve"> </w:t>
      </w:r>
      <w:r w:rsidR="00556ED1">
        <w:t>The other director has not participated in the management of</w:t>
      </w:r>
      <w:r w:rsidR="006A757E">
        <w:t>, or received any benefit from,</w:t>
      </w:r>
      <w:r w:rsidR="00556ED1">
        <w:t xml:space="preserve"> </w:t>
      </w:r>
      <w:proofErr w:type="spellStart"/>
      <w:r w:rsidR="00556ED1">
        <w:t>Naleview</w:t>
      </w:r>
      <w:proofErr w:type="spellEnd"/>
      <w:r w:rsidR="00556ED1">
        <w:t xml:space="preserve"> since 2000. </w:t>
      </w:r>
      <w:r>
        <w:t>Mr </w:t>
      </w:r>
      <w:r w:rsidR="00556ED1">
        <w:t xml:space="preserve">Hacker effectively controls both OSGS and </w:t>
      </w:r>
      <w:proofErr w:type="spellStart"/>
      <w:r w:rsidR="00556ED1">
        <w:t>Naleview</w:t>
      </w:r>
      <w:proofErr w:type="spellEnd"/>
      <w:r w:rsidR="00556ED1">
        <w:t>.</w:t>
      </w:r>
    </w:p>
    <w:p w14:paraId="508E7E72" w14:textId="77777777" w:rsidR="00556ED1" w:rsidRDefault="00556ED1" w:rsidP="00556ED1">
      <w:pPr>
        <w:pStyle w:val="ParaNumbering"/>
      </w:pPr>
      <w:r>
        <w:t>OSGS operated from an office in Brisbane City</w:t>
      </w:r>
      <w:r w:rsidR="006A757E">
        <w:t>,</w:t>
      </w:r>
      <w:r>
        <w:t xml:space="preserve"> and </w:t>
      </w:r>
      <w:proofErr w:type="spellStart"/>
      <w:r>
        <w:t>Naleview</w:t>
      </w:r>
      <w:proofErr w:type="spellEnd"/>
      <w:r>
        <w:t xml:space="preserve"> operated from </w:t>
      </w:r>
      <w:r w:rsidR="00951548">
        <w:t xml:space="preserve">an office in </w:t>
      </w:r>
      <w:r>
        <w:t>Stafford in the northern suburbs of Brisbane.</w:t>
      </w:r>
      <w:r w:rsidR="00E1781B">
        <w:t xml:space="preserve"> </w:t>
      </w:r>
      <w:r w:rsidR="00375502">
        <w:t>Mr </w:t>
      </w:r>
      <w:r w:rsidR="00D726F9">
        <w:t xml:space="preserve">Hacker would consult </w:t>
      </w:r>
      <w:r w:rsidR="00E30DEC">
        <w:t xml:space="preserve">with </w:t>
      </w:r>
      <w:r w:rsidR="00D726F9">
        <w:t>clients who</w:t>
      </w:r>
      <w:r>
        <w:t xml:space="preserve"> attended the offices and </w:t>
      </w:r>
      <w:r w:rsidR="006A757E">
        <w:t xml:space="preserve">would </w:t>
      </w:r>
      <w:r>
        <w:t>prepare and lodge their income tax returns online.</w:t>
      </w:r>
      <w:r w:rsidR="00D726F9">
        <w:t xml:space="preserve"> The clients </w:t>
      </w:r>
      <w:r w:rsidR="00E30DEC">
        <w:t>who attended the Brisbane City office would pay OSGS</w:t>
      </w:r>
      <w:r w:rsidR="006A757E">
        <w:t>,</w:t>
      </w:r>
      <w:r w:rsidR="00E30DEC">
        <w:t xml:space="preserve"> and those who attended the Stafford office would pay </w:t>
      </w:r>
      <w:proofErr w:type="spellStart"/>
      <w:r w:rsidR="00D726F9">
        <w:t>Naleview</w:t>
      </w:r>
      <w:proofErr w:type="spellEnd"/>
      <w:r w:rsidR="006A757E">
        <w:t>,</w:t>
      </w:r>
      <w:r w:rsidR="00D726F9">
        <w:t xml:space="preserve"> a fee for </w:t>
      </w:r>
      <w:r w:rsidR="00375502">
        <w:t>Mr </w:t>
      </w:r>
      <w:r w:rsidR="00D726F9">
        <w:t>Hacker</w:t>
      </w:r>
      <w:r w:rsidR="00A2650E">
        <w:t>’</w:t>
      </w:r>
      <w:r w:rsidR="00D726F9">
        <w:t xml:space="preserve">s services. </w:t>
      </w:r>
      <w:r w:rsidR="00951548">
        <w:t xml:space="preserve">None of OSGS, </w:t>
      </w:r>
      <w:proofErr w:type="spellStart"/>
      <w:r w:rsidR="00951548">
        <w:t>Naleview</w:t>
      </w:r>
      <w:proofErr w:type="spellEnd"/>
      <w:r w:rsidR="00F4189C">
        <w:t xml:space="preserve"> or</w:t>
      </w:r>
      <w:r>
        <w:t xml:space="preserve"> </w:t>
      </w:r>
      <w:r w:rsidR="00375502">
        <w:t>Mr </w:t>
      </w:r>
      <w:r>
        <w:t xml:space="preserve">Hacker were registered </w:t>
      </w:r>
      <w:r w:rsidR="00D726F9">
        <w:t>as tax agents under the TAS Act</w:t>
      </w:r>
      <w:r>
        <w:t>.</w:t>
      </w:r>
    </w:p>
    <w:p w14:paraId="0595BEB3" w14:textId="77777777" w:rsidR="00556ED1" w:rsidRDefault="00556ED1" w:rsidP="00556ED1">
      <w:pPr>
        <w:pStyle w:val="ParaNumbering"/>
      </w:pPr>
      <w:r>
        <w:t xml:space="preserve">I </w:t>
      </w:r>
      <w:r w:rsidR="000E4D53">
        <w:t>held</w:t>
      </w:r>
      <w:r>
        <w:t xml:space="preserve"> that OSGS and </w:t>
      </w:r>
      <w:r w:rsidR="00375502">
        <w:t>Mr </w:t>
      </w:r>
      <w:r>
        <w:t xml:space="preserve">Hacker engaged in five contraventions of s 50–5(1) of the TAS Act between September 2018 and March 2019 by providing unregistered tax agent services to </w:t>
      </w:r>
      <w:r w:rsidR="00E30DEC">
        <w:t xml:space="preserve">five </w:t>
      </w:r>
      <w:r>
        <w:t>different clients.</w:t>
      </w:r>
      <w:r w:rsidR="00E1781B">
        <w:t xml:space="preserve"> </w:t>
      </w:r>
      <w:r>
        <w:t>Four of the customers were charged $132 by OSGS, and the fifth was charged $187.</w:t>
      </w:r>
      <w:r w:rsidR="00F25937">
        <w:t xml:space="preserve"> OSGS received $</w:t>
      </w:r>
      <w:r w:rsidR="00236F7C">
        <w:t>715</w:t>
      </w:r>
      <w:r w:rsidR="00F25937">
        <w:t xml:space="preserve"> in total for these services.</w:t>
      </w:r>
    </w:p>
    <w:p w14:paraId="5CC17FFD" w14:textId="77777777" w:rsidR="00556ED1" w:rsidRDefault="00556ED1" w:rsidP="00556ED1">
      <w:pPr>
        <w:pStyle w:val="ParaNumbering"/>
      </w:pPr>
      <w:r>
        <w:t xml:space="preserve">I </w:t>
      </w:r>
      <w:r w:rsidR="000E4D53">
        <w:t xml:space="preserve">held </w:t>
      </w:r>
      <w:r>
        <w:t xml:space="preserve">that </w:t>
      </w:r>
      <w:proofErr w:type="spellStart"/>
      <w:r>
        <w:t>Naleview</w:t>
      </w:r>
      <w:proofErr w:type="spellEnd"/>
      <w:r>
        <w:t xml:space="preserve"> and </w:t>
      </w:r>
      <w:r w:rsidR="00375502">
        <w:t>Mr </w:t>
      </w:r>
      <w:r>
        <w:t>Hacker engaged in 37 contraventions of s 50–5(1) of the TAS Act between August 2015 and December 2018 by providing unregistere</w:t>
      </w:r>
      <w:r w:rsidR="000E4D53">
        <w:t>d tax agent</w:t>
      </w:r>
      <w:r>
        <w:t xml:space="preserve"> services</w:t>
      </w:r>
      <w:r w:rsidR="00E30DEC">
        <w:t xml:space="preserve"> to </w:t>
      </w:r>
      <w:r w:rsidR="00236F7C">
        <w:t>20</w:t>
      </w:r>
      <w:r w:rsidR="00E30DEC">
        <w:t xml:space="preserve"> different clients</w:t>
      </w:r>
      <w:r>
        <w:t>.</w:t>
      </w:r>
      <w:r w:rsidR="00E1781B">
        <w:t xml:space="preserve"> </w:t>
      </w:r>
      <w:proofErr w:type="spellStart"/>
      <w:r>
        <w:t>Naleview</w:t>
      </w:r>
      <w:proofErr w:type="spellEnd"/>
      <w:r>
        <w:t xml:space="preserve"> </w:t>
      </w:r>
      <w:r w:rsidR="00F25937">
        <w:t xml:space="preserve">charged either </w:t>
      </w:r>
      <w:r>
        <w:t>$110 or $121 for</w:t>
      </w:r>
      <w:r w:rsidR="00E30DEC">
        <w:t xml:space="preserve"> ea</w:t>
      </w:r>
      <w:r w:rsidR="000E4D53">
        <w:t xml:space="preserve">ch of these services, except on three </w:t>
      </w:r>
      <w:r w:rsidR="00F4189C">
        <w:t xml:space="preserve">instances </w:t>
      </w:r>
      <w:r w:rsidR="000E4D53">
        <w:t>when</w:t>
      </w:r>
      <w:r>
        <w:t xml:space="preserve"> it was paid $55, $176 and $242.</w:t>
      </w:r>
      <w:r w:rsidR="00E1781B">
        <w:t xml:space="preserve"> </w:t>
      </w:r>
      <w:proofErr w:type="spellStart"/>
      <w:r>
        <w:t>Naleview</w:t>
      </w:r>
      <w:proofErr w:type="spellEnd"/>
      <w:r>
        <w:t xml:space="preserve"> received $</w:t>
      </w:r>
      <w:r w:rsidR="00F4189C">
        <w:t>4,015</w:t>
      </w:r>
      <w:r w:rsidR="000E4D53">
        <w:t xml:space="preserve"> in total for tho</w:t>
      </w:r>
      <w:r w:rsidR="00F25937">
        <w:t>se</w:t>
      </w:r>
      <w:r>
        <w:t xml:space="preserve"> services.</w:t>
      </w:r>
    </w:p>
    <w:p w14:paraId="0657F823" w14:textId="77777777" w:rsidR="00F4189C" w:rsidRDefault="00F4189C" w:rsidP="00556ED1">
      <w:pPr>
        <w:pStyle w:val="ParaNumbering"/>
      </w:pPr>
      <w:r>
        <w:t xml:space="preserve">I </w:t>
      </w:r>
      <w:r w:rsidR="00882747">
        <w:t xml:space="preserve">held </w:t>
      </w:r>
      <w:r>
        <w:t xml:space="preserve">that Mr Hacker engaged in </w:t>
      </w:r>
      <w:r w:rsidR="003F2D77">
        <w:t>three</w:t>
      </w:r>
      <w:r>
        <w:t xml:space="preserve"> contraventions of s 50–5(2) of the TAS Act on 13 October 2017 by providing unregistered BAS services to a client.  </w:t>
      </w:r>
      <w:r w:rsidR="000137AA">
        <w:t xml:space="preserve">The client was </w:t>
      </w:r>
      <w:r>
        <w:t>charged $50 for each of these services.</w:t>
      </w:r>
    </w:p>
    <w:p w14:paraId="77D7076A" w14:textId="77777777" w:rsidR="00556ED1" w:rsidRDefault="00556ED1" w:rsidP="00F25937">
      <w:pPr>
        <w:pStyle w:val="ParaNumbering"/>
      </w:pPr>
      <w:r>
        <w:lastRenderedPageBreak/>
        <w:t xml:space="preserve">I am satisfied that </w:t>
      </w:r>
      <w:r w:rsidR="00E0694A">
        <w:t xml:space="preserve">the contraventions </w:t>
      </w:r>
      <w:r w:rsidR="00AF3ACD">
        <w:t xml:space="preserve">of s 50–5(1) of the TAS Act </w:t>
      </w:r>
      <w:r w:rsidR="00E0694A">
        <w:t xml:space="preserve">occurred in the context of OSGS and </w:t>
      </w:r>
      <w:proofErr w:type="spellStart"/>
      <w:r w:rsidR="00E0694A">
        <w:t>Naleview</w:t>
      </w:r>
      <w:proofErr w:type="spellEnd"/>
      <w:r w:rsidR="00E0694A">
        <w:t xml:space="preserve"> each carrying on</w:t>
      </w:r>
      <w:r w:rsidR="000E4D53">
        <w:t xml:space="preserve"> a business of providing</w:t>
      </w:r>
      <w:r>
        <w:t xml:space="preserve"> tax</w:t>
      </w:r>
      <w:r w:rsidR="000E4D53">
        <w:t xml:space="preserve"> agent</w:t>
      </w:r>
      <w:r>
        <w:t xml:space="preserve"> services</w:t>
      </w:r>
      <w:r w:rsidR="00951548">
        <w:t xml:space="preserve"> for a fee</w:t>
      </w:r>
      <w:r>
        <w:t>.</w:t>
      </w:r>
      <w:r w:rsidR="00E1781B">
        <w:t xml:space="preserve"> </w:t>
      </w:r>
    </w:p>
    <w:p w14:paraId="0F447043" w14:textId="77777777" w:rsidR="00E0694A" w:rsidRDefault="00586B62" w:rsidP="00E0694A">
      <w:pPr>
        <w:pStyle w:val="ParaNumbering"/>
      </w:pPr>
      <w:r>
        <w:t xml:space="preserve">The contraventions must be seen </w:t>
      </w:r>
      <w:r w:rsidR="00F25937">
        <w:t xml:space="preserve">in the context of previous warnings given to </w:t>
      </w:r>
      <w:r w:rsidR="00375502">
        <w:t>Mr </w:t>
      </w:r>
      <w:r w:rsidR="00F25937">
        <w:t>Hacker.</w:t>
      </w:r>
      <w:r w:rsidR="00E0694A">
        <w:t xml:space="preserve"> </w:t>
      </w:r>
      <w:r w:rsidR="00F25937">
        <w:t xml:space="preserve">On 11 February 2013, the applicant wrote to </w:t>
      </w:r>
      <w:r w:rsidR="00375502">
        <w:t>Mr </w:t>
      </w:r>
      <w:r w:rsidR="00F25937">
        <w:t xml:space="preserve">Hacker </w:t>
      </w:r>
      <w:r w:rsidR="007943C4">
        <w:t>in his capacity as a directo</w:t>
      </w:r>
      <w:r w:rsidR="00F25937">
        <w:t xml:space="preserve">r of </w:t>
      </w:r>
      <w:proofErr w:type="spellStart"/>
      <w:r w:rsidR="00F25937">
        <w:t>Naleview</w:t>
      </w:r>
      <w:proofErr w:type="spellEnd"/>
      <w:r w:rsidR="007943C4">
        <w:t xml:space="preserve"> advising </w:t>
      </w:r>
      <w:r>
        <w:t xml:space="preserve">that </w:t>
      </w:r>
      <w:r w:rsidR="007943C4">
        <w:t xml:space="preserve">provision of </w:t>
      </w:r>
      <w:r>
        <w:t xml:space="preserve">tax agent services </w:t>
      </w:r>
      <w:r w:rsidR="007943C4">
        <w:t xml:space="preserve">for reward </w:t>
      </w:r>
      <w:r>
        <w:t>whilst unregistered</w:t>
      </w:r>
      <w:r w:rsidR="00E0694A">
        <w:t xml:space="preserve"> under the TAS Act was unlawful</w:t>
      </w:r>
      <w:r>
        <w:t>. Two years later, on 23 January 2015,</w:t>
      </w:r>
      <w:r w:rsidR="00F25937">
        <w:t xml:space="preserve"> and again on 4 February 2015,</w:t>
      </w:r>
      <w:r>
        <w:t xml:space="preserve"> the </w:t>
      </w:r>
      <w:r w:rsidR="00F25937">
        <w:t xml:space="preserve">applicant </w:t>
      </w:r>
      <w:r>
        <w:t xml:space="preserve">sent further correspondence to </w:t>
      </w:r>
      <w:r w:rsidR="003B740A">
        <w:t xml:space="preserve">Mr Hacker </w:t>
      </w:r>
      <w:r>
        <w:t xml:space="preserve">notifying him </w:t>
      </w:r>
      <w:r w:rsidR="000E4D53">
        <w:t xml:space="preserve">that as </w:t>
      </w:r>
      <w:r>
        <w:t>he wa</w:t>
      </w:r>
      <w:r w:rsidR="000E4D53">
        <w:t>s not a registered tax agent, he</w:t>
      </w:r>
      <w:r>
        <w:t xml:space="preserve"> may be engaging in conduct prohibited by the TAS Act.</w:t>
      </w:r>
      <w:r w:rsidR="00E0694A">
        <w:t xml:space="preserve"> </w:t>
      </w:r>
      <w:r w:rsidR="00EA0E92">
        <w:t xml:space="preserve">This </w:t>
      </w:r>
      <w:r w:rsidR="00F25937">
        <w:t xml:space="preserve">correspondence, </w:t>
      </w:r>
      <w:r>
        <w:t xml:space="preserve">which </w:t>
      </w:r>
      <w:r w:rsidR="00375502">
        <w:t>Mr </w:t>
      </w:r>
      <w:r>
        <w:t>Hacker admits receiving</w:t>
      </w:r>
      <w:r w:rsidR="00F25937">
        <w:t>,</w:t>
      </w:r>
      <w:r>
        <w:t xml:space="preserve"> put </w:t>
      </w:r>
      <w:r w:rsidR="001B6415">
        <w:t xml:space="preserve">him </w:t>
      </w:r>
      <w:r w:rsidR="00E0694A">
        <w:t>on notice of the unlawfulness</w:t>
      </w:r>
      <w:r>
        <w:t xml:space="preserve"> of providing </w:t>
      </w:r>
      <w:r w:rsidR="00F25937">
        <w:t xml:space="preserve">unregistered </w:t>
      </w:r>
      <w:r>
        <w:t>tax age</w:t>
      </w:r>
      <w:r w:rsidR="00556ED1">
        <w:t>nt services.</w:t>
      </w:r>
      <w:r w:rsidR="00E0694A">
        <w:t xml:space="preserve"> </w:t>
      </w:r>
      <w:r w:rsidR="00EA0E92">
        <w:t xml:space="preserve">However, </w:t>
      </w:r>
      <w:r w:rsidR="00375502">
        <w:t>Mr </w:t>
      </w:r>
      <w:r w:rsidR="00F25937">
        <w:t xml:space="preserve">Hacker, OSGS and </w:t>
      </w:r>
      <w:proofErr w:type="spellStart"/>
      <w:r w:rsidR="00F25937">
        <w:t>Naleview</w:t>
      </w:r>
      <w:proofErr w:type="spellEnd"/>
      <w:r w:rsidR="00F25937">
        <w:t xml:space="preserve"> proceeded to provide the services that</w:t>
      </w:r>
      <w:r w:rsidR="00CD5374">
        <w:t xml:space="preserve"> I have found contravened s 50-5</w:t>
      </w:r>
      <w:r w:rsidR="00F25937">
        <w:t xml:space="preserve"> of the TAS Act. </w:t>
      </w:r>
    </w:p>
    <w:p w14:paraId="4F936C77" w14:textId="77777777" w:rsidR="00AF3ACD" w:rsidRDefault="00375502" w:rsidP="00E0694A">
      <w:pPr>
        <w:pStyle w:val="ParaNumbering"/>
      </w:pPr>
      <w:r>
        <w:t>Mr </w:t>
      </w:r>
      <w:r w:rsidR="00E0694A">
        <w:t xml:space="preserve">Hacker has not directly provided any explanation for why he, OSGS and </w:t>
      </w:r>
      <w:proofErr w:type="spellStart"/>
      <w:r w:rsidR="00E0694A">
        <w:t>Naleview</w:t>
      </w:r>
      <w:proofErr w:type="spellEnd"/>
      <w:r w:rsidR="00E0694A">
        <w:t xml:space="preserve"> engaged in the contravening conduct. In his affidavit </w:t>
      </w:r>
      <w:r w:rsidR="00DD6925">
        <w:t xml:space="preserve">sworn on 18 September 2020, </w:t>
      </w:r>
      <w:r w:rsidR="00E0694A">
        <w:t xml:space="preserve">he states that his own liability </w:t>
      </w:r>
      <w:r w:rsidR="002645EF">
        <w:t xml:space="preserve">in respect of the first contempt charge </w:t>
      </w:r>
      <w:r w:rsidR="00E0694A">
        <w:t>was</w:t>
      </w:r>
      <w:r w:rsidR="00E30AC2">
        <w:t>,</w:t>
      </w:r>
      <w:r w:rsidR="00E0694A">
        <w:t xml:space="preserve"> </w:t>
      </w:r>
      <w:r w:rsidR="005F1FBB">
        <w:t>“</w:t>
      </w:r>
      <w:r w:rsidR="00E0694A">
        <w:t>contested on the basis of a legal argument</w:t>
      </w:r>
      <w:r w:rsidR="005F1FBB">
        <w:t>”</w:t>
      </w:r>
      <w:r w:rsidR="00E0694A">
        <w:t xml:space="preserve">, but </w:t>
      </w:r>
      <w:r w:rsidR="002645EF">
        <w:t xml:space="preserve">he </w:t>
      </w:r>
      <w:r w:rsidR="00E0694A">
        <w:t xml:space="preserve">does not assert that he believed that he was not contravening the TAS Act by providing </w:t>
      </w:r>
      <w:r w:rsidR="00E30AC2">
        <w:t>t</w:t>
      </w:r>
      <w:r w:rsidR="00E0694A">
        <w:t xml:space="preserve">he services. </w:t>
      </w:r>
    </w:p>
    <w:p w14:paraId="65B4FEEC" w14:textId="77777777" w:rsidR="00E0694A" w:rsidRDefault="00E30AC2" w:rsidP="00E0694A">
      <w:pPr>
        <w:pStyle w:val="ParaNumbering"/>
      </w:pPr>
      <w:r>
        <w:t xml:space="preserve">I find that </w:t>
      </w:r>
      <w:r w:rsidR="00375502">
        <w:t>Mr </w:t>
      </w:r>
      <w:r>
        <w:t xml:space="preserve">Hacker </w:t>
      </w:r>
      <w:r w:rsidR="00B8559E">
        <w:t xml:space="preserve">deliberately </w:t>
      </w:r>
      <w:r>
        <w:t xml:space="preserve">engaged in the relevant conduct, and caused OSGS and </w:t>
      </w:r>
      <w:proofErr w:type="spellStart"/>
      <w:r>
        <w:t>Naleview</w:t>
      </w:r>
      <w:proofErr w:type="spellEnd"/>
      <w:r>
        <w:t xml:space="preserve"> t</w:t>
      </w:r>
      <w:r w:rsidR="00237DB2">
        <w:t>o do so, understanding that</w:t>
      </w:r>
      <w:r>
        <w:t xml:space="preserve"> he, OSGS and </w:t>
      </w:r>
      <w:proofErr w:type="spellStart"/>
      <w:r>
        <w:t>N</w:t>
      </w:r>
      <w:r w:rsidR="00CD5374">
        <w:t>aleview</w:t>
      </w:r>
      <w:proofErr w:type="spellEnd"/>
      <w:r w:rsidR="00CD5374">
        <w:t xml:space="preserve"> were contravening </w:t>
      </w:r>
      <w:r>
        <w:t xml:space="preserve">the TAS Act. </w:t>
      </w:r>
      <w:r w:rsidR="000E4D53">
        <w:t xml:space="preserve">I infer that OSGS and </w:t>
      </w:r>
      <w:proofErr w:type="spellStart"/>
      <w:r w:rsidR="000E4D53">
        <w:t>Naleview</w:t>
      </w:r>
      <w:proofErr w:type="spellEnd"/>
      <w:r>
        <w:t xml:space="preserve"> engaged in that conduct</w:t>
      </w:r>
      <w:r w:rsidR="000E4D53">
        <w:t xml:space="preserve"> </w:t>
      </w:r>
      <w:r w:rsidR="00AF3ACD">
        <w:t xml:space="preserve">in the course of conducting businesses that </w:t>
      </w:r>
      <w:r w:rsidR="000E4D53">
        <w:t>profit</w:t>
      </w:r>
      <w:r w:rsidR="00FD1B27">
        <w:t>ed</w:t>
      </w:r>
      <w:r w:rsidR="000E4D53">
        <w:t xml:space="preserve"> from the payment of fees by clients</w:t>
      </w:r>
      <w:r w:rsidR="00FD1B27">
        <w:t xml:space="preserve"> for Mr Hacker’s services</w:t>
      </w:r>
      <w:r>
        <w:t>. These matters make the contraventions very serious.</w:t>
      </w:r>
    </w:p>
    <w:p w14:paraId="6BA4A0F0" w14:textId="77777777" w:rsidR="003E428D" w:rsidRPr="003E428D" w:rsidRDefault="00EE1121" w:rsidP="003551CE">
      <w:pPr>
        <w:pStyle w:val="Heading3"/>
      </w:pPr>
      <w:r>
        <w:t>D</w:t>
      </w:r>
      <w:r w:rsidR="00586B62" w:rsidRPr="003E428D">
        <w:t xml:space="preserve">eterrence </w:t>
      </w:r>
    </w:p>
    <w:p w14:paraId="25BF0509" w14:textId="77777777" w:rsidR="00586B62" w:rsidRDefault="00586B62" w:rsidP="00AD6D3C">
      <w:pPr>
        <w:pStyle w:val="ParaNumbering"/>
      </w:pPr>
      <w:r>
        <w:t>The respondents</w:t>
      </w:r>
      <w:r w:rsidR="00A2650E">
        <w:t>’</w:t>
      </w:r>
      <w:r>
        <w:t xml:space="preserve"> contraventions should attract penalties which will serve as a strong det</w:t>
      </w:r>
      <w:r w:rsidR="000E4D53">
        <w:t>errent to others from providing</w:t>
      </w:r>
      <w:r>
        <w:t xml:space="preserve"> tax agent services and BAS services </w:t>
      </w:r>
      <w:r w:rsidR="000E4D53">
        <w:t>for fee or reward to</w:t>
      </w:r>
      <w:r>
        <w:t xml:space="preserve"> members of the public </w:t>
      </w:r>
      <w:r w:rsidR="00507C55">
        <w:t xml:space="preserve">while </w:t>
      </w:r>
      <w:r>
        <w:t xml:space="preserve">unregistered. </w:t>
      </w:r>
    </w:p>
    <w:p w14:paraId="2C30E8D6" w14:textId="77777777" w:rsidR="00A218E7" w:rsidRDefault="00A218E7" w:rsidP="00A218E7">
      <w:pPr>
        <w:pStyle w:val="ParaNumbering"/>
      </w:pPr>
      <w:r>
        <w:t>The object described in s 2-5 of the TAS Act is to ensure that tax agent services are provided to the public in accordance with appropriate standards of professional and</w:t>
      </w:r>
      <w:r w:rsidR="00204415">
        <w:t xml:space="preserve"> ethical conduct. This is </w:t>
      </w:r>
      <w:r>
        <w:t xml:space="preserve">achieved by, among other things, establishing a national board to register tax </w:t>
      </w:r>
      <w:r w:rsidR="00F577A6">
        <w:t>agents and BAS agents</w:t>
      </w:r>
      <w:r>
        <w:t>, introducing a Code of Professional Conduct and providing for sanctions to discipline registered tax agents</w:t>
      </w:r>
      <w:r w:rsidR="00F577A6">
        <w:t xml:space="preserve"> and BAS agents</w:t>
      </w:r>
      <w:r>
        <w:t xml:space="preserve">. </w:t>
      </w:r>
    </w:p>
    <w:p w14:paraId="6B6126EA" w14:textId="77777777" w:rsidR="00586B62" w:rsidRDefault="00A218E7" w:rsidP="00F577A6">
      <w:pPr>
        <w:pStyle w:val="ParaNumbering"/>
      </w:pPr>
      <w:r>
        <w:lastRenderedPageBreak/>
        <w:t xml:space="preserve">Those who provide tax agent services for fee or reward while unregistered </w:t>
      </w:r>
      <w:r w:rsidR="00204415">
        <w:t xml:space="preserve">seek to </w:t>
      </w:r>
      <w:r>
        <w:t xml:space="preserve">avoid </w:t>
      </w:r>
      <w:r w:rsidR="00F577A6">
        <w:t xml:space="preserve">compliance with some or all of </w:t>
      </w:r>
      <w:r>
        <w:t xml:space="preserve">the </w:t>
      </w:r>
      <w:r w:rsidR="00204415">
        <w:t xml:space="preserve">requirements and </w:t>
      </w:r>
      <w:r>
        <w:t xml:space="preserve">standards </w:t>
      </w:r>
      <w:r w:rsidR="00F577A6">
        <w:t xml:space="preserve">required of </w:t>
      </w:r>
      <w:r w:rsidR="00204415">
        <w:t xml:space="preserve">registered </w:t>
      </w:r>
      <w:r w:rsidR="00F577A6">
        <w:t>tax agents under the TAS Act</w:t>
      </w:r>
      <w:r>
        <w:t xml:space="preserve">, </w:t>
      </w:r>
      <w:r w:rsidR="0086056F">
        <w:t xml:space="preserve">which include </w:t>
      </w:r>
      <w:r>
        <w:t>bei</w:t>
      </w:r>
      <w:r w:rsidR="00204415">
        <w:t xml:space="preserve">ng a fit and proper person, </w:t>
      </w:r>
      <w:r>
        <w:t>having the prescribed qualifications, training and experience and maintaining</w:t>
      </w:r>
      <w:r w:rsidR="00E1781B">
        <w:t xml:space="preserve"> </w:t>
      </w:r>
      <w:r>
        <w:t xml:space="preserve">professional indemnity insurance. </w:t>
      </w:r>
      <w:r w:rsidR="00F577A6">
        <w:t>Unregistered agents endanger the taxation and financial affairs of taxpayers</w:t>
      </w:r>
      <w:r w:rsidR="00636CA7">
        <w:t xml:space="preserve"> and </w:t>
      </w:r>
      <w:r w:rsidR="00C37AEC">
        <w:t>also pose r</w:t>
      </w:r>
      <w:r w:rsidR="00F577A6">
        <w:t xml:space="preserve">isks </w:t>
      </w:r>
      <w:r w:rsidR="00AF40EC">
        <w:t>to the integrity of the taxation system</w:t>
      </w:r>
      <w:r w:rsidR="00C37AEC">
        <w:t>.</w:t>
      </w:r>
    </w:p>
    <w:p w14:paraId="091EE2A9" w14:textId="77777777" w:rsidR="00586B62" w:rsidRDefault="00F577A6" w:rsidP="00F577A6">
      <w:pPr>
        <w:pStyle w:val="ParaNumbering"/>
      </w:pPr>
      <w:r>
        <w:t xml:space="preserve">Strong penalties </w:t>
      </w:r>
      <w:r w:rsidR="00237DB2">
        <w:t xml:space="preserve">are </w:t>
      </w:r>
      <w:r>
        <w:t xml:space="preserve">required to deter </w:t>
      </w:r>
      <w:r w:rsidR="003D6889">
        <w:t xml:space="preserve">those </w:t>
      </w:r>
      <w:r>
        <w:t xml:space="preserve">who may view the requirement of registration </w:t>
      </w:r>
      <w:r w:rsidR="00586B62">
        <w:t>as op</w:t>
      </w:r>
      <w:r>
        <w:t>tional.</w:t>
      </w:r>
      <w:bookmarkStart w:id="22" w:name="PastedTemp77"/>
      <w:r>
        <w:t xml:space="preserve"> </w:t>
      </w:r>
      <w:r w:rsidR="005E5549">
        <w:t xml:space="preserve">There </w:t>
      </w:r>
      <w:r w:rsidR="00586B62">
        <w:t xml:space="preserve">is an obvious and real temptation for unethical and unprofessional people to provide </w:t>
      </w:r>
      <w:r w:rsidR="00204415">
        <w:t xml:space="preserve">unregistered </w:t>
      </w:r>
      <w:r w:rsidR="00586B62">
        <w:t>tax agent and BAS services for profit. The penalties must therefore be imposed at a level which will signal</w:t>
      </w:r>
      <w:r>
        <w:t xml:space="preserve"> </w:t>
      </w:r>
      <w:r w:rsidR="00586B62">
        <w:t>t</w:t>
      </w:r>
      <w:r>
        <w:t>hat contraventions will not pay</w:t>
      </w:r>
      <w:r w:rsidR="00586B62">
        <w:t>.</w:t>
      </w:r>
      <w:r>
        <w:t xml:space="preserve"> At the same time, it must be remembered that the penalties must be </w:t>
      </w:r>
      <w:r w:rsidR="003D6889">
        <w:t xml:space="preserve">limited to what is </w:t>
      </w:r>
      <w:r>
        <w:t>proportional</w:t>
      </w:r>
      <w:r w:rsidR="003D6889">
        <w:t xml:space="preserve"> and appropriate for the</w:t>
      </w:r>
      <w:r>
        <w:t xml:space="preserve"> contraventions committed. </w:t>
      </w:r>
    </w:p>
    <w:p w14:paraId="00EA266B" w14:textId="77777777" w:rsidR="00204415" w:rsidRDefault="00204415" w:rsidP="00204415">
      <w:pPr>
        <w:pStyle w:val="ParaNumbering"/>
      </w:pPr>
      <w:r>
        <w:t>Mr Hacker denied all the allegations of contravention</w:t>
      </w:r>
      <w:r w:rsidR="00F66327">
        <w:t>s</w:t>
      </w:r>
      <w:r>
        <w:t xml:space="preserve"> made against him. OSGS and </w:t>
      </w:r>
      <w:proofErr w:type="spellStart"/>
      <w:r>
        <w:t>Naleview</w:t>
      </w:r>
      <w:proofErr w:type="spellEnd"/>
      <w:r>
        <w:t xml:space="preserve"> admitted some contraventions in the face of a strong case against them and denied others that were ultimately proved. The respondents were entitled to defend the allegations and cannot be criticised or </w:t>
      </w:r>
      <w:r w:rsidR="001B6415">
        <w:t xml:space="preserve">punished </w:t>
      </w:r>
      <w:r>
        <w:t>for doing so. However, I am unable to infer that the respondents are remorseful, as might have been the case if they had admitted all the allegations. In addition, Mr Hacker</w:t>
      </w:r>
      <w:r w:rsidR="008A5920">
        <w:t>’s</w:t>
      </w:r>
      <w:r>
        <w:t xml:space="preserve"> and OSGS</w:t>
      </w:r>
      <w:r w:rsidR="008A5920">
        <w:t>’</w:t>
      </w:r>
      <w:r w:rsidR="001B6415">
        <w:t>s</w:t>
      </w:r>
      <w:r w:rsidR="008A5920">
        <w:t xml:space="preserve"> lack of remorse is demonstrated by the fact that they </w:t>
      </w:r>
      <w:r>
        <w:t>continued to offend even well after the proceedings were commenced.</w:t>
      </w:r>
    </w:p>
    <w:p w14:paraId="31D0931D" w14:textId="77777777" w:rsidR="003D6889" w:rsidRDefault="00586B62" w:rsidP="003D6889">
      <w:pPr>
        <w:pStyle w:val="ParaNumbering"/>
      </w:pPr>
      <w:r>
        <w:t>Specific deterrence is a significant factor where</w:t>
      </w:r>
      <w:r w:rsidR="00204415">
        <w:t>, as here,</w:t>
      </w:r>
      <w:r w:rsidR="003D6889">
        <w:t xml:space="preserve"> </w:t>
      </w:r>
      <w:r w:rsidR="00204415">
        <w:t>the contraventions involve</w:t>
      </w:r>
      <w:r>
        <w:t xml:space="preserve"> deliberate wrongdoing, numerous contraventions over a sustained period of time and </w:t>
      </w:r>
      <w:r w:rsidR="005207E1">
        <w:t xml:space="preserve">a </w:t>
      </w:r>
      <w:r>
        <w:t>lack of remorse</w:t>
      </w:r>
      <w:r w:rsidR="00D827ED">
        <w:t>:</w:t>
      </w:r>
      <w:r w:rsidR="00EC5294">
        <w:t xml:space="preserve"> </w:t>
      </w:r>
      <w:r w:rsidR="00D827ED">
        <w:t xml:space="preserve">see, for example, </w:t>
      </w:r>
      <w:r w:rsidR="00D827ED" w:rsidRPr="007452A8">
        <w:rPr>
          <w:i/>
        </w:rPr>
        <w:t xml:space="preserve">Australian Ophthalmic Supplies </w:t>
      </w:r>
      <w:r w:rsidR="00D827ED">
        <w:t xml:space="preserve">at [16]–[17]; </w:t>
      </w:r>
      <w:r w:rsidR="00D827ED" w:rsidRPr="007452A8">
        <w:rPr>
          <w:i/>
        </w:rPr>
        <w:t>Construction, Forestry, Mining and Energy Union v Pilbara Iron Company (Services) Pty Ltd (No 4)</w:t>
      </w:r>
      <w:r w:rsidR="00D827ED">
        <w:t xml:space="preserve"> </w:t>
      </w:r>
      <w:r w:rsidR="00EA471C">
        <w:t xml:space="preserve">(2012) 225 IR 113; </w:t>
      </w:r>
      <w:r w:rsidR="00D827ED">
        <w:t>[2012] FCA 894 at [32] and [37]</w:t>
      </w:r>
      <w:r w:rsidR="003D6889">
        <w:t>;</w:t>
      </w:r>
      <w:r w:rsidR="00D827ED">
        <w:t xml:space="preserve"> </w:t>
      </w:r>
      <w:r w:rsidR="00D827ED" w:rsidRPr="007452A8">
        <w:rPr>
          <w:i/>
        </w:rPr>
        <w:t xml:space="preserve">Australian Securities </w:t>
      </w:r>
      <w:r w:rsidR="00EA471C">
        <w:rPr>
          <w:i/>
        </w:rPr>
        <w:t xml:space="preserve">&amp; </w:t>
      </w:r>
      <w:r w:rsidR="00D827ED" w:rsidRPr="007452A8">
        <w:rPr>
          <w:i/>
        </w:rPr>
        <w:t xml:space="preserve">Investments Commission v </w:t>
      </w:r>
      <w:proofErr w:type="spellStart"/>
      <w:r w:rsidR="00D827ED" w:rsidRPr="007452A8">
        <w:rPr>
          <w:i/>
        </w:rPr>
        <w:t>Soust</w:t>
      </w:r>
      <w:proofErr w:type="spellEnd"/>
      <w:r w:rsidR="00D827ED" w:rsidRPr="007452A8">
        <w:rPr>
          <w:i/>
        </w:rPr>
        <w:t xml:space="preserve"> (No 2)</w:t>
      </w:r>
      <w:r w:rsidR="00D827ED">
        <w:t xml:space="preserve"> </w:t>
      </w:r>
      <w:r w:rsidR="00EA471C">
        <w:t xml:space="preserve">(2010) 78 ACSR 1; </w:t>
      </w:r>
      <w:r w:rsidR="00D827ED">
        <w:t>[2010] FCA 388 at [34]–[39]</w:t>
      </w:r>
      <w:r w:rsidR="00EA471C">
        <w:t>,</w:t>
      </w:r>
      <w:r w:rsidR="00D827ED">
        <w:t xml:space="preserve"> [65]–[66], [71] and [93].</w:t>
      </w:r>
      <w:r w:rsidR="00A56C45">
        <w:t xml:space="preserve"> </w:t>
      </w:r>
    </w:p>
    <w:p w14:paraId="29A89AE0" w14:textId="77777777" w:rsidR="00042800" w:rsidRPr="00347796" w:rsidRDefault="00586B62" w:rsidP="002837BA">
      <w:pPr>
        <w:pStyle w:val="Heading3"/>
      </w:pPr>
      <w:bookmarkStart w:id="23" w:name="PastedTemp1"/>
      <w:bookmarkEnd w:id="22"/>
      <w:r w:rsidRPr="00347796">
        <w:t xml:space="preserve">Harm caused by the contraventions </w:t>
      </w:r>
    </w:p>
    <w:p w14:paraId="444A5276" w14:textId="77777777" w:rsidR="00347796" w:rsidRDefault="00586B62" w:rsidP="003902C3">
      <w:pPr>
        <w:pStyle w:val="ParaNumbering"/>
      </w:pPr>
      <w:r>
        <w:t xml:space="preserve">The </w:t>
      </w:r>
      <w:r w:rsidR="00347796">
        <w:t xml:space="preserve">applicant submits that the harm caused by </w:t>
      </w:r>
      <w:r w:rsidR="00204415">
        <w:t xml:space="preserve">the respondents </w:t>
      </w:r>
      <w:r w:rsidR="00347796">
        <w:t>to clients</w:t>
      </w:r>
      <w:r w:rsidR="00204415">
        <w:t>,</w:t>
      </w:r>
      <w:r w:rsidR="00347796">
        <w:t xml:space="preserve"> by including improperly claimed tax deductions in their tax returns resulting in the imposition of administrative penalties by the</w:t>
      </w:r>
      <w:r w:rsidR="00E70CD9">
        <w:t xml:space="preserve"> </w:t>
      </w:r>
      <w:r w:rsidR="003902C3">
        <w:t>ATO</w:t>
      </w:r>
      <w:r w:rsidR="00204415">
        <w:t>,</w:t>
      </w:r>
      <w:r w:rsidR="00EE1121">
        <w:t xml:space="preserve"> should be taken into account</w:t>
      </w:r>
      <w:r w:rsidR="00347796">
        <w:t xml:space="preserve">. It is submitted that </w:t>
      </w:r>
      <w:r w:rsidR="00204415">
        <w:t xml:space="preserve">their </w:t>
      </w:r>
      <w:r w:rsidR="00347796">
        <w:t xml:space="preserve">conduct has demonstrably harmed the financial interests of his clients, was designed to cheat the Commonwealth out of tax revenue, and increased the burden on the ATO of assessing his </w:t>
      </w:r>
      <w:r w:rsidR="00347796">
        <w:lastRenderedPageBreak/>
        <w:t>clients</w:t>
      </w:r>
      <w:r w:rsidR="00A2650E">
        <w:t>’</w:t>
      </w:r>
      <w:r w:rsidR="00347796">
        <w:t xml:space="preserve"> income tax returns. </w:t>
      </w:r>
      <w:r w:rsidR="003902C3">
        <w:t>The applicant submits that t</w:t>
      </w:r>
      <w:r w:rsidR="00347796">
        <w:t>his conduct deserves strong disapproval.</w:t>
      </w:r>
    </w:p>
    <w:p w14:paraId="724A5B35" w14:textId="77777777" w:rsidR="003902C3" w:rsidRDefault="003902C3" w:rsidP="003820CB">
      <w:pPr>
        <w:pStyle w:val="ParaNumbering"/>
      </w:pPr>
      <w:bookmarkStart w:id="24" w:name="PastedTemp76"/>
      <w:bookmarkEnd w:id="23"/>
      <w:r>
        <w:t>However, it must be remembered that the respondents are being sentenced only for providing unregistered tax agent services, and</w:t>
      </w:r>
      <w:r w:rsidR="00EE1121">
        <w:t>,</w:t>
      </w:r>
      <w:r>
        <w:t xml:space="preserve"> in </w:t>
      </w:r>
      <w:r w:rsidR="00375502">
        <w:t>Mr </w:t>
      </w:r>
      <w:r>
        <w:t>Hacker</w:t>
      </w:r>
      <w:r w:rsidR="00A2650E">
        <w:t>’</w:t>
      </w:r>
      <w:r>
        <w:t>s case</w:t>
      </w:r>
      <w:r w:rsidR="00EE1121">
        <w:t>,</w:t>
      </w:r>
      <w:r>
        <w:t xml:space="preserve"> by also providing unregistered BAS services, in contravention of </w:t>
      </w:r>
      <w:r w:rsidRPr="003902C3">
        <w:t>s 50-5 of the TAS Act</w:t>
      </w:r>
      <w:r>
        <w:t xml:space="preserve">. </w:t>
      </w:r>
      <w:r w:rsidR="00204415">
        <w:t xml:space="preserve">Under s 50-35(2), the Court may </w:t>
      </w:r>
      <w:r w:rsidR="007E2C8A">
        <w:t xml:space="preserve">order </w:t>
      </w:r>
      <w:r w:rsidR="00204415">
        <w:t>payment of the pecuniary penalty that the Court determines is appropriate</w:t>
      </w:r>
      <w:r w:rsidR="00204415" w:rsidRPr="00204415">
        <w:t xml:space="preserve"> </w:t>
      </w:r>
      <w:r w:rsidR="00204415">
        <w:t xml:space="preserve">if </w:t>
      </w:r>
      <w:r w:rsidR="007E2C8A">
        <w:t>the Court is satisfied that a</w:t>
      </w:r>
      <w:r w:rsidR="00204415">
        <w:t xml:space="preserve"> person has contravened a civil penalty provision. </w:t>
      </w:r>
      <w:r w:rsidR="003820CB">
        <w:t>The respondents’ contraventions are based only upon the fact of having provided the services for fee or reward while unregistered, not upon incompetence or fraudulent conduct in providing those services.</w:t>
      </w:r>
      <w:r w:rsidR="00204415">
        <w:t xml:space="preserve"> </w:t>
      </w:r>
      <w:r w:rsidR="007C3FCC">
        <w:t xml:space="preserve">It would not be appropriate to impose a penalty for consequences that are outside the scope or reach of the particular provision that is contravened. </w:t>
      </w:r>
      <w:r w:rsidR="00204415">
        <w:t>In my opinion, i</w:t>
      </w:r>
      <w:r w:rsidR="00C54BD1">
        <w:t xml:space="preserve">t </w:t>
      </w:r>
      <w:r>
        <w:t xml:space="preserve">is not </w:t>
      </w:r>
      <w:r w:rsidR="003820CB">
        <w:t xml:space="preserve">appropriate </w:t>
      </w:r>
      <w:r>
        <w:t xml:space="preserve">to </w:t>
      </w:r>
      <w:r w:rsidR="003820CB">
        <w:t xml:space="preserve">determine penalties based upon </w:t>
      </w:r>
      <w:r>
        <w:t xml:space="preserve">harm </w:t>
      </w:r>
      <w:r w:rsidR="00204415">
        <w:t xml:space="preserve">caused </w:t>
      </w:r>
      <w:r>
        <w:t xml:space="preserve">to clients resulting from </w:t>
      </w:r>
      <w:r w:rsidR="00204415">
        <w:t>the provision of the tax agent services</w:t>
      </w:r>
      <w:r w:rsidR="007E2C8A">
        <w:t>.</w:t>
      </w:r>
    </w:p>
    <w:p w14:paraId="2999FCC9" w14:textId="77777777" w:rsidR="009542CF" w:rsidRPr="003820CB" w:rsidRDefault="003902C3" w:rsidP="00EA471C">
      <w:pPr>
        <w:pStyle w:val="Heading3"/>
      </w:pPr>
      <w:bookmarkStart w:id="25" w:name="PastedTemp81"/>
      <w:bookmarkEnd w:id="24"/>
      <w:r w:rsidRPr="003820CB">
        <w:t>C</w:t>
      </w:r>
      <w:r w:rsidR="00586B62" w:rsidRPr="003820CB">
        <w:t xml:space="preserve">o-operation </w:t>
      </w:r>
    </w:p>
    <w:p w14:paraId="138380AA" w14:textId="77777777" w:rsidR="00586B62" w:rsidRDefault="00586B62" w:rsidP="00AD6D3C">
      <w:pPr>
        <w:pStyle w:val="ParaNumbering"/>
      </w:pPr>
      <w:r>
        <w:t>Co-operation with authorities in the course of investigations and subsequent proceedings will be a mitigating factor that may reduce the penalty that would otherwise be imposed. The reduction reflects the fact that such co-operation:</w:t>
      </w:r>
    </w:p>
    <w:p w14:paraId="36EBC4D6" w14:textId="77777777" w:rsidR="00586B62" w:rsidRDefault="00586B62" w:rsidP="00742B78">
      <w:pPr>
        <w:pStyle w:val="ListNo1"/>
        <w:numPr>
          <w:ilvl w:val="0"/>
          <w:numId w:val="0"/>
        </w:numPr>
        <w:ind w:left="720" w:hanging="720"/>
      </w:pPr>
      <w:r>
        <w:t xml:space="preserve">(a) </w:t>
      </w:r>
      <w:r w:rsidR="009542CF">
        <w:tab/>
      </w:r>
      <w:r>
        <w:t>can be evidence of contrition and an acceptance of responsibility;</w:t>
      </w:r>
    </w:p>
    <w:p w14:paraId="0DEB1FBC" w14:textId="77777777" w:rsidR="00586B62" w:rsidRDefault="00586B62" w:rsidP="00742B78">
      <w:pPr>
        <w:pStyle w:val="ListNo1"/>
        <w:numPr>
          <w:ilvl w:val="0"/>
          <w:numId w:val="0"/>
        </w:numPr>
        <w:ind w:left="720" w:hanging="720"/>
      </w:pPr>
      <w:r>
        <w:t xml:space="preserve">(b) </w:t>
      </w:r>
      <w:r w:rsidR="009542CF">
        <w:tab/>
      </w:r>
      <w:r>
        <w:t>increases the likelihood of co-operation in a way that furthers the object of the legislation;</w:t>
      </w:r>
    </w:p>
    <w:p w14:paraId="102D288C" w14:textId="77777777" w:rsidR="009542CF" w:rsidRDefault="00586B62" w:rsidP="00742B78">
      <w:pPr>
        <w:pStyle w:val="ListNo1"/>
        <w:numPr>
          <w:ilvl w:val="0"/>
          <w:numId w:val="0"/>
        </w:numPr>
        <w:ind w:left="720" w:hanging="720"/>
      </w:pPr>
      <w:r>
        <w:t xml:space="preserve">(c) </w:t>
      </w:r>
      <w:r w:rsidR="009542CF">
        <w:tab/>
      </w:r>
      <w:r>
        <w:t>frees up the regulator</w:t>
      </w:r>
      <w:r w:rsidR="00A2650E">
        <w:t>’</w:t>
      </w:r>
      <w:r>
        <w:t xml:space="preserve">s resources, thereby increasing the likelihood that other </w:t>
      </w:r>
      <w:r w:rsidR="00EE1121">
        <w:t>contraveners</w:t>
      </w:r>
      <w:r>
        <w:t xml:space="preserve"> will be detected and brought to justice; and </w:t>
      </w:r>
    </w:p>
    <w:p w14:paraId="2F792DA5" w14:textId="77777777" w:rsidR="003902C3" w:rsidRDefault="00586B62" w:rsidP="00742B78">
      <w:pPr>
        <w:pStyle w:val="ListNo1"/>
        <w:numPr>
          <w:ilvl w:val="0"/>
          <w:numId w:val="0"/>
        </w:numPr>
        <w:ind w:left="720" w:hanging="720"/>
      </w:pPr>
      <w:r>
        <w:t xml:space="preserve">(d) </w:t>
      </w:r>
      <w:r w:rsidR="009542CF">
        <w:tab/>
      </w:r>
      <w:r>
        <w:t>reflects a willingness to facilitate the course of justice</w:t>
      </w:r>
      <w:r w:rsidR="003902C3">
        <w:t>.</w:t>
      </w:r>
    </w:p>
    <w:p w14:paraId="56D8E1EA" w14:textId="77777777" w:rsidR="003902C3" w:rsidRDefault="003902C3" w:rsidP="00C54BD1">
      <w:pPr>
        <w:pStyle w:val="NoNum"/>
      </w:pPr>
      <w:bookmarkStart w:id="26" w:name="PastedTemp86"/>
      <w:r>
        <w:t>(</w:t>
      </w:r>
      <w:r w:rsidR="00C54BD1">
        <w:t xml:space="preserve">See </w:t>
      </w:r>
      <w:r w:rsidR="00EC5294" w:rsidRPr="00787674">
        <w:rPr>
          <w:i/>
        </w:rPr>
        <w:t>NW Frozen Foods v A</w:t>
      </w:r>
      <w:r w:rsidR="00EA471C">
        <w:rPr>
          <w:i/>
        </w:rPr>
        <w:t xml:space="preserve">ustralian </w:t>
      </w:r>
      <w:r w:rsidR="00EC5294" w:rsidRPr="00787674">
        <w:rPr>
          <w:i/>
        </w:rPr>
        <w:t>C</w:t>
      </w:r>
      <w:r w:rsidR="00EA471C">
        <w:rPr>
          <w:i/>
        </w:rPr>
        <w:t xml:space="preserve">ompetition and </w:t>
      </w:r>
      <w:r w:rsidR="00EC5294" w:rsidRPr="00787674">
        <w:rPr>
          <w:i/>
        </w:rPr>
        <w:t>C</w:t>
      </w:r>
      <w:r w:rsidR="00EA471C">
        <w:rPr>
          <w:i/>
        </w:rPr>
        <w:t xml:space="preserve">onsumer </w:t>
      </w:r>
      <w:r w:rsidR="00EC5294" w:rsidRPr="00787674">
        <w:rPr>
          <w:i/>
        </w:rPr>
        <w:t>C</w:t>
      </w:r>
      <w:r w:rsidR="00EA471C">
        <w:rPr>
          <w:i/>
        </w:rPr>
        <w:t>ommission</w:t>
      </w:r>
      <w:r w:rsidR="00EC5294">
        <w:t xml:space="preserve"> (1996) 71 FCR 285 at 293–294</w:t>
      </w:r>
      <w:r>
        <w:t>;</w:t>
      </w:r>
      <w:r w:rsidR="00EC5294">
        <w:t xml:space="preserve"> </w:t>
      </w:r>
      <w:r w:rsidR="00EC5294" w:rsidRPr="00787674">
        <w:rPr>
          <w:i/>
        </w:rPr>
        <w:t>Mornington Inn Pty Ltd v Jordan</w:t>
      </w:r>
      <w:r w:rsidR="00EC5294">
        <w:t xml:space="preserve"> (2008) 168 FCR 383 at [73]–[74].</w:t>
      </w:r>
      <w:bookmarkEnd w:id="26"/>
      <w:r>
        <w:t>)</w:t>
      </w:r>
    </w:p>
    <w:p w14:paraId="595FB914" w14:textId="77777777" w:rsidR="003902C3" w:rsidRDefault="003902C3" w:rsidP="00EE1121">
      <w:pPr>
        <w:pStyle w:val="ParaNumbering"/>
      </w:pPr>
      <w:r>
        <w:t>I have rejected any suggestion that the respondents have demonstrated contrition.</w:t>
      </w:r>
      <w:r w:rsidR="00EE1121">
        <w:t xml:space="preserve"> </w:t>
      </w:r>
      <w:r>
        <w:t xml:space="preserve">However, I accept that </w:t>
      </w:r>
      <w:r w:rsidR="00836C37">
        <w:t xml:space="preserve">OSGS and </w:t>
      </w:r>
      <w:proofErr w:type="spellStart"/>
      <w:r w:rsidR="00836C37">
        <w:t>Naleview</w:t>
      </w:r>
      <w:proofErr w:type="spellEnd"/>
      <w:r w:rsidR="00836C37">
        <w:t xml:space="preserve"> have cooperated to some extent in a way </w:t>
      </w:r>
      <w:r w:rsidR="00EA471C">
        <w:t xml:space="preserve">that </w:t>
      </w:r>
      <w:r w:rsidR="00836C37">
        <w:t>reflected a willingness to facilitate the course of justice</w:t>
      </w:r>
      <w:r w:rsidR="00EE1121">
        <w:t xml:space="preserve"> and has</w:t>
      </w:r>
      <w:r w:rsidR="00EE1121" w:rsidRPr="00EE1121">
        <w:t xml:space="preserve"> </w:t>
      </w:r>
      <w:r w:rsidR="00EE1121">
        <w:t>saved the regulator</w:t>
      </w:r>
      <w:r w:rsidR="00A2650E">
        <w:t>’</w:t>
      </w:r>
      <w:r w:rsidR="00EE1121">
        <w:t>s resources</w:t>
      </w:r>
      <w:r w:rsidR="00C70A84">
        <w:t xml:space="preserve"> to some extent</w:t>
      </w:r>
      <w:r w:rsidR="00EE1121">
        <w:t xml:space="preserve">. OSGS and </w:t>
      </w:r>
      <w:proofErr w:type="spellStart"/>
      <w:r w:rsidR="00EE1121">
        <w:t>Naleview</w:t>
      </w:r>
      <w:proofErr w:type="spellEnd"/>
      <w:r w:rsidR="00EE1121">
        <w:t xml:space="preserve"> </w:t>
      </w:r>
      <w:r w:rsidR="00836C37">
        <w:t xml:space="preserve">admitted a number of contraventions, although they denied others that were ultimately proved. The admissions were made in the face of a strong case against </w:t>
      </w:r>
      <w:r w:rsidR="00836C37">
        <w:lastRenderedPageBreak/>
        <w:t>them, supported by affidavits from each of the relevant clients.</w:t>
      </w:r>
      <w:r w:rsidR="00E1781B">
        <w:t xml:space="preserve"> </w:t>
      </w:r>
      <w:r w:rsidR="00836C37">
        <w:t>I accept that they are to be given some credit for their admissions.</w:t>
      </w:r>
    </w:p>
    <w:p w14:paraId="484C23C2" w14:textId="77777777" w:rsidR="00836C37" w:rsidRDefault="00836C37" w:rsidP="00AD6D3C">
      <w:pPr>
        <w:pStyle w:val="ParaNumbering"/>
      </w:pPr>
      <w:r>
        <w:t xml:space="preserve">While </w:t>
      </w:r>
      <w:r w:rsidR="00375502">
        <w:t>Mr </w:t>
      </w:r>
      <w:r>
        <w:t>Hacker submits that he should also be given credit for his admission of a number of facts and for the fact that he did not challenge clients</w:t>
      </w:r>
      <w:r w:rsidR="00A2650E">
        <w:t>’</w:t>
      </w:r>
      <w:r>
        <w:t xml:space="preserve"> evidence, any such credit should be</w:t>
      </w:r>
      <w:r w:rsidR="00CC601A">
        <w:t xml:space="preserve"> very limited</w:t>
      </w:r>
      <w:r>
        <w:t>. The admissions were made after much of the evidence had already been gathered and in the face of a strong case against him.</w:t>
      </w:r>
      <w:r w:rsidR="00EE1121">
        <w:t xml:space="preserve"> </w:t>
      </w:r>
    </w:p>
    <w:p w14:paraId="2C04AE1B" w14:textId="77777777" w:rsidR="00D60119" w:rsidRPr="00D60119" w:rsidRDefault="00D60119" w:rsidP="007C0749">
      <w:pPr>
        <w:pStyle w:val="Heading3"/>
      </w:pPr>
      <w:bookmarkStart w:id="27" w:name="PastedTemp4"/>
      <w:bookmarkEnd w:id="25"/>
      <w:r w:rsidRPr="00D60119">
        <w:t>Double punishment</w:t>
      </w:r>
    </w:p>
    <w:p w14:paraId="4A981979" w14:textId="77777777" w:rsidR="00EA471C" w:rsidRDefault="00B92EE5" w:rsidP="00EA471C">
      <w:pPr>
        <w:pStyle w:val="ParaNumbering"/>
      </w:pPr>
      <w:r>
        <w:t xml:space="preserve">The respondents submit that s 50-35(3) of the TAS Act is applicable. </w:t>
      </w:r>
      <w:r w:rsidR="00EA471C">
        <w:t>Section 50–35(3) provides that:</w:t>
      </w:r>
    </w:p>
    <w:p w14:paraId="481624BA" w14:textId="77777777" w:rsidR="00B92EE5" w:rsidRPr="00EA471C" w:rsidRDefault="00EA471C" w:rsidP="00EA471C">
      <w:pPr>
        <w:pStyle w:val="Quote1"/>
      </w:pPr>
      <w:r w:rsidRPr="00EA471C">
        <w:t xml:space="preserve">If </w:t>
      </w:r>
      <w:r w:rsidR="00CC601A" w:rsidRPr="00EA471C">
        <w:t>conduct contravenes 2 or more civil penalty provisions of this Act, proceedings may be instituted against you in relation to the contravention of any one or more of those provisions. However, you are not liable to more than one pecuniary penalty in respect of the same conduct.</w:t>
      </w:r>
    </w:p>
    <w:p w14:paraId="148BD162" w14:textId="77777777" w:rsidR="00E66B36" w:rsidRDefault="00E66B36" w:rsidP="00E66B36">
      <w:pPr>
        <w:pStyle w:val="ParaNumbering"/>
      </w:pPr>
      <w:r>
        <w:t>The respond</w:t>
      </w:r>
      <w:r w:rsidR="003820CB">
        <w:t xml:space="preserve">ents argue that in respect of each contravention of s 50-5(1), </w:t>
      </w:r>
      <w:r w:rsidR="00375502">
        <w:t>Mr </w:t>
      </w:r>
      <w:r>
        <w:t>Hacker</w:t>
      </w:r>
      <w:r w:rsidR="003820CB">
        <w:t>’s conduct constituted, at the same time,</w:t>
      </w:r>
      <w:r>
        <w:t xml:space="preserve"> a contravention </w:t>
      </w:r>
      <w:r w:rsidR="003820CB">
        <w:t xml:space="preserve">of </w:t>
      </w:r>
      <w:r w:rsidR="00F55609">
        <w:t>the provision</w:t>
      </w:r>
      <w:r w:rsidR="003820CB">
        <w:t xml:space="preserve"> by both Mr Hacker</w:t>
      </w:r>
      <w:r>
        <w:t xml:space="preserve"> and </w:t>
      </w:r>
      <w:r w:rsidR="00CC601A">
        <w:t>the relevant corporate respondent</w:t>
      </w:r>
      <w:r>
        <w:t>.</w:t>
      </w:r>
      <w:r w:rsidR="00E1781B">
        <w:t xml:space="preserve"> </w:t>
      </w:r>
      <w:r>
        <w:t>In each instance</w:t>
      </w:r>
      <w:r w:rsidR="003820CB">
        <w:t>,</w:t>
      </w:r>
      <w:r>
        <w:t xml:space="preserve"> a single act constituted two contraventions. </w:t>
      </w:r>
      <w:r w:rsidR="00403668">
        <w:t xml:space="preserve">The respondents submit that under s 50-35(3), a penalty may be imposed against </w:t>
      </w:r>
      <w:r w:rsidR="00375502">
        <w:t>Mr </w:t>
      </w:r>
      <w:r w:rsidR="00403668">
        <w:t>Hacker</w:t>
      </w:r>
      <w:r w:rsidR="00CC601A">
        <w:t>,</w:t>
      </w:r>
      <w:r w:rsidR="00403668">
        <w:t xml:space="preserve"> or the relevant corporate respondent</w:t>
      </w:r>
      <w:r w:rsidR="00CC601A">
        <w:t>,</w:t>
      </w:r>
      <w:r w:rsidR="00403668">
        <w:t xml:space="preserve"> but not both.</w:t>
      </w:r>
      <w:r w:rsidR="00FF283F">
        <w:t xml:space="preserve"> They submit that otherwise a sanction would be imposed twice for the same conduct. </w:t>
      </w:r>
    </w:p>
    <w:p w14:paraId="52EC5FF6" w14:textId="77777777" w:rsidR="00403668" w:rsidRPr="00274E21" w:rsidRDefault="009A01EB" w:rsidP="00274E21">
      <w:pPr>
        <w:pStyle w:val="ParaNumbering"/>
        <w:rPr>
          <w:szCs w:val="24"/>
        </w:rPr>
      </w:pPr>
      <w:r w:rsidRPr="00274E21">
        <w:rPr>
          <w:szCs w:val="24"/>
        </w:rPr>
        <w:t>I reject the construction of</w:t>
      </w:r>
      <w:r w:rsidR="00403668" w:rsidRPr="00274E21">
        <w:rPr>
          <w:szCs w:val="24"/>
        </w:rPr>
        <w:t xml:space="preserve"> s 50-35(3) contended for by the</w:t>
      </w:r>
      <w:r w:rsidR="008454B8">
        <w:rPr>
          <w:szCs w:val="24"/>
        </w:rPr>
        <w:t xml:space="preserve"> respondent</w:t>
      </w:r>
      <w:r w:rsidR="00403668" w:rsidRPr="00274E21">
        <w:rPr>
          <w:szCs w:val="24"/>
        </w:rPr>
        <w:t xml:space="preserve">. The </w:t>
      </w:r>
      <w:r w:rsidR="009A5269" w:rsidRPr="00274E21">
        <w:rPr>
          <w:szCs w:val="24"/>
        </w:rPr>
        <w:t>first sentence of the provision applies where</w:t>
      </w:r>
      <w:r w:rsidR="00D22016">
        <w:rPr>
          <w:szCs w:val="24"/>
        </w:rPr>
        <w:t>,</w:t>
      </w:r>
      <w:r w:rsidR="009A5269" w:rsidRPr="00274E21">
        <w:rPr>
          <w:szCs w:val="24"/>
        </w:rPr>
        <w:t xml:space="preserve"> </w:t>
      </w:r>
      <w:r w:rsidR="005F1FBB">
        <w:rPr>
          <w:szCs w:val="24"/>
        </w:rPr>
        <w:t>“</w:t>
      </w:r>
      <w:r w:rsidR="009A5269" w:rsidRPr="00274E21">
        <w:rPr>
          <w:szCs w:val="24"/>
        </w:rPr>
        <w:t>conduct contravenes 2 or more civil penalty provisions of this Act</w:t>
      </w:r>
      <w:r w:rsidR="005F1FBB">
        <w:rPr>
          <w:szCs w:val="24"/>
        </w:rPr>
        <w:t>”</w:t>
      </w:r>
      <w:r w:rsidR="00CC601A">
        <w:rPr>
          <w:szCs w:val="24"/>
        </w:rPr>
        <w:t xml:space="preserve">, </w:t>
      </w:r>
      <w:r w:rsidR="009A5269" w:rsidRPr="00274E21">
        <w:rPr>
          <w:szCs w:val="24"/>
        </w:rPr>
        <w:t>and allows proceedings to be instituted against the contravener</w:t>
      </w:r>
      <w:r w:rsidR="00D22016">
        <w:rPr>
          <w:szCs w:val="24"/>
        </w:rPr>
        <w:t>,</w:t>
      </w:r>
      <w:r w:rsidR="009A5269" w:rsidRPr="00274E21">
        <w:rPr>
          <w:szCs w:val="24"/>
        </w:rPr>
        <w:t xml:space="preserve"> </w:t>
      </w:r>
      <w:r w:rsidR="005F1FBB">
        <w:rPr>
          <w:szCs w:val="24"/>
        </w:rPr>
        <w:t>“</w:t>
      </w:r>
      <w:r w:rsidR="009A5269" w:rsidRPr="00274E21">
        <w:rPr>
          <w:szCs w:val="24"/>
        </w:rPr>
        <w:t>in relation to the contravention of any one or more of those provisions</w:t>
      </w:r>
      <w:r w:rsidR="005F1FBB">
        <w:rPr>
          <w:szCs w:val="24"/>
        </w:rPr>
        <w:t>”</w:t>
      </w:r>
      <w:r w:rsidR="009A5269" w:rsidRPr="00274E21">
        <w:rPr>
          <w:szCs w:val="24"/>
        </w:rPr>
        <w:t xml:space="preserve">. The </w:t>
      </w:r>
      <w:r w:rsidR="00CC601A">
        <w:rPr>
          <w:szCs w:val="24"/>
        </w:rPr>
        <w:t xml:space="preserve">opening of the </w:t>
      </w:r>
      <w:r w:rsidR="009A5269" w:rsidRPr="00274E21">
        <w:rPr>
          <w:szCs w:val="24"/>
        </w:rPr>
        <w:t xml:space="preserve">second sentence </w:t>
      </w:r>
      <w:r w:rsidR="00CC601A">
        <w:rPr>
          <w:szCs w:val="24"/>
        </w:rPr>
        <w:t xml:space="preserve">with the word </w:t>
      </w:r>
      <w:r w:rsidR="005F1FBB">
        <w:rPr>
          <w:szCs w:val="24"/>
        </w:rPr>
        <w:t>“</w:t>
      </w:r>
      <w:r w:rsidR="00CC601A">
        <w:rPr>
          <w:szCs w:val="24"/>
        </w:rPr>
        <w:t>However</w:t>
      </w:r>
      <w:r w:rsidR="005F1FBB">
        <w:rPr>
          <w:szCs w:val="24"/>
        </w:rPr>
        <w:t>”</w:t>
      </w:r>
      <w:r w:rsidR="00CC601A">
        <w:rPr>
          <w:szCs w:val="24"/>
        </w:rPr>
        <w:t xml:space="preserve"> </w:t>
      </w:r>
      <w:r w:rsidR="009A5269" w:rsidRPr="00274E21">
        <w:rPr>
          <w:szCs w:val="24"/>
        </w:rPr>
        <w:t xml:space="preserve">qualifies the first sentence. The words, </w:t>
      </w:r>
      <w:r w:rsidR="005F1FBB">
        <w:rPr>
          <w:szCs w:val="24"/>
        </w:rPr>
        <w:t>“</w:t>
      </w:r>
      <w:r w:rsidR="00403668" w:rsidRPr="00274E21">
        <w:rPr>
          <w:szCs w:val="24"/>
        </w:rPr>
        <w:t>you are not liable to more than one pecuniary penalty in respect of the same conduct</w:t>
      </w:r>
      <w:r w:rsidR="005F1FBB">
        <w:rPr>
          <w:szCs w:val="24"/>
        </w:rPr>
        <w:t>”</w:t>
      </w:r>
      <w:r w:rsidR="009A5269" w:rsidRPr="00274E21">
        <w:rPr>
          <w:szCs w:val="24"/>
        </w:rPr>
        <w:t>,</w:t>
      </w:r>
      <w:r w:rsidR="00E1781B">
        <w:rPr>
          <w:szCs w:val="24"/>
        </w:rPr>
        <w:t xml:space="preserve"> </w:t>
      </w:r>
      <w:r w:rsidR="009A5269" w:rsidRPr="00274E21">
        <w:rPr>
          <w:szCs w:val="24"/>
        </w:rPr>
        <w:t xml:space="preserve">do not have a free-standing operation, but </w:t>
      </w:r>
      <w:r w:rsidR="00274E21">
        <w:rPr>
          <w:szCs w:val="24"/>
        </w:rPr>
        <w:t xml:space="preserve">only </w:t>
      </w:r>
      <w:r w:rsidR="009A5269" w:rsidRPr="00274E21">
        <w:rPr>
          <w:szCs w:val="24"/>
        </w:rPr>
        <w:t xml:space="preserve">apply such that the contravener is not liable to more than one pecuniary penalty </w:t>
      </w:r>
      <w:r w:rsidR="00D22016">
        <w:rPr>
          <w:szCs w:val="24"/>
        </w:rPr>
        <w:t xml:space="preserve">where </w:t>
      </w:r>
      <w:r w:rsidR="009A5269" w:rsidRPr="00274E21">
        <w:rPr>
          <w:szCs w:val="24"/>
        </w:rPr>
        <w:t xml:space="preserve">the same conduct </w:t>
      </w:r>
      <w:r w:rsidR="00D22016">
        <w:rPr>
          <w:szCs w:val="24"/>
        </w:rPr>
        <w:t>constitutes a contravention of</w:t>
      </w:r>
      <w:r w:rsidR="009A5269" w:rsidRPr="00274E21">
        <w:rPr>
          <w:szCs w:val="24"/>
        </w:rPr>
        <w:t xml:space="preserve"> two or more civil penalty provisions. </w:t>
      </w:r>
      <w:r w:rsidR="00274E21">
        <w:rPr>
          <w:szCs w:val="24"/>
        </w:rPr>
        <w:t>Further, the second sentence</w:t>
      </w:r>
      <w:r w:rsidR="00274E21" w:rsidRPr="00274E21">
        <w:rPr>
          <w:szCs w:val="24"/>
        </w:rPr>
        <w:t xml:space="preserve"> does not mean that </w:t>
      </w:r>
      <w:r w:rsidRPr="00274E21">
        <w:rPr>
          <w:szCs w:val="24"/>
        </w:rPr>
        <w:t xml:space="preserve">where the conduct of a person </w:t>
      </w:r>
      <w:r w:rsidR="00274E21">
        <w:rPr>
          <w:szCs w:val="24"/>
        </w:rPr>
        <w:t xml:space="preserve">has the consequence </w:t>
      </w:r>
      <w:r w:rsidRPr="00274E21">
        <w:rPr>
          <w:szCs w:val="24"/>
        </w:rPr>
        <w:t xml:space="preserve">that both the person and </w:t>
      </w:r>
      <w:r w:rsidR="00D22016">
        <w:rPr>
          <w:szCs w:val="24"/>
        </w:rPr>
        <w:t xml:space="preserve">another entity </w:t>
      </w:r>
      <w:r w:rsidR="00274E21">
        <w:rPr>
          <w:szCs w:val="24"/>
        </w:rPr>
        <w:t>contravene</w:t>
      </w:r>
      <w:r w:rsidRPr="00274E21">
        <w:rPr>
          <w:szCs w:val="24"/>
        </w:rPr>
        <w:t xml:space="preserve"> a civil penalty provision</w:t>
      </w:r>
      <w:r w:rsidR="00CC601A">
        <w:rPr>
          <w:szCs w:val="24"/>
        </w:rPr>
        <w:t>,</w:t>
      </w:r>
      <w:r w:rsidRPr="00274E21">
        <w:rPr>
          <w:szCs w:val="24"/>
        </w:rPr>
        <w:t xml:space="preserve"> they </w:t>
      </w:r>
      <w:r w:rsidR="00403668" w:rsidRPr="00274E21">
        <w:rPr>
          <w:szCs w:val="24"/>
        </w:rPr>
        <w:t>are not each liable to a pecuniary penalty.</w:t>
      </w:r>
    </w:p>
    <w:p w14:paraId="512A4585" w14:textId="77777777" w:rsidR="00FF283F" w:rsidRDefault="00FF283F" w:rsidP="00E66B36">
      <w:pPr>
        <w:pStyle w:val="ParaNumbering"/>
      </w:pPr>
      <w:r>
        <w:t>However, there are other reasons for accepting the respondents</w:t>
      </w:r>
      <w:r w:rsidR="00A2650E">
        <w:t>’</w:t>
      </w:r>
      <w:r>
        <w:t xml:space="preserve"> submission that the imposition of two penalties for the same conduct risks double punishment of </w:t>
      </w:r>
      <w:r w:rsidR="00375502">
        <w:t>Mr </w:t>
      </w:r>
      <w:r>
        <w:t xml:space="preserve">Hacker for the same </w:t>
      </w:r>
      <w:r>
        <w:lastRenderedPageBreak/>
        <w:t xml:space="preserve">conduct. </w:t>
      </w:r>
      <w:r w:rsidR="00375502">
        <w:t>Mr </w:t>
      </w:r>
      <w:r>
        <w:t xml:space="preserve">Hacker is a shareholder in </w:t>
      </w:r>
      <w:proofErr w:type="spellStart"/>
      <w:r>
        <w:t>Naleview</w:t>
      </w:r>
      <w:proofErr w:type="spellEnd"/>
      <w:r>
        <w:t xml:space="preserve"> and, through </w:t>
      </w:r>
      <w:proofErr w:type="spellStart"/>
      <w:r>
        <w:t>Naleview</w:t>
      </w:r>
      <w:proofErr w:type="spellEnd"/>
      <w:r>
        <w:t xml:space="preserve">, is an ultimate beneficial owner of the share in OSGS. To impose a penalty on </w:t>
      </w:r>
      <w:proofErr w:type="spellStart"/>
      <w:r>
        <w:t>Naleview</w:t>
      </w:r>
      <w:proofErr w:type="spellEnd"/>
      <w:r>
        <w:t xml:space="preserve"> or OSGS </w:t>
      </w:r>
      <w:r w:rsidR="00FF5474">
        <w:t xml:space="preserve">would </w:t>
      </w:r>
      <w:r>
        <w:t xml:space="preserve">effectively impose a penalty on </w:t>
      </w:r>
      <w:r w:rsidR="00375502">
        <w:t>Mr </w:t>
      </w:r>
      <w:r>
        <w:t>Hacker.</w:t>
      </w:r>
    </w:p>
    <w:p w14:paraId="5DB9E165" w14:textId="77777777" w:rsidR="00FF283F" w:rsidRDefault="00FF283F" w:rsidP="00E66B36">
      <w:pPr>
        <w:pStyle w:val="ParaNumbering"/>
      </w:pPr>
      <w:r>
        <w:t xml:space="preserve">In </w:t>
      </w:r>
      <w:r w:rsidRPr="00FF283F">
        <w:rPr>
          <w:i/>
        </w:rPr>
        <w:t>Parker v A</w:t>
      </w:r>
      <w:r w:rsidR="00DA2B89">
        <w:rPr>
          <w:i/>
        </w:rPr>
        <w:t xml:space="preserve">ustralian </w:t>
      </w:r>
      <w:r w:rsidRPr="00FF283F">
        <w:rPr>
          <w:i/>
        </w:rPr>
        <w:t>B</w:t>
      </w:r>
      <w:r w:rsidR="00DA2B89">
        <w:rPr>
          <w:i/>
        </w:rPr>
        <w:t xml:space="preserve">uilding and </w:t>
      </w:r>
      <w:r w:rsidRPr="00FF283F">
        <w:rPr>
          <w:i/>
        </w:rPr>
        <w:t>C</w:t>
      </w:r>
      <w:r w:rsidR="00DA2B89">
        <w:rPr>
          <w:i/>
        </w:rPr>
        <w:t xml:space="preserve">onstruction </w:t>
      </w:r>
      <w:r w:rsidRPr="00FF283F">
        <w:rPr>
          <w:i/>
        </w:rPr>
        <w:t>C</w:t>
      </w:r>
      <w:r w:rsidR="00DA2B89">
        <w:rPr>
          <w:i/>
        </w:rPr>
        <w:t>ommissioner</w:t>
      </w:r>
      <w:r>
        <w:t xml:space="preserve"> </w:t>
      </w:r>
      <w:r w:rsidR="00DA2B89">
        <w:t>(2019) 270 FCR 39</w:t>
      </w:r>
      <w:r>
        <w:t>, Besank</w:t>
      </w:r>
      <w:r w:rsidR="00D22016">
        <w:t>o and Bromwich JJ held</w:t>
      </w:r>
      <w:r>
        <w:t>:</w:t>
      </w:r>
    </w:p>
    <w:p w14:paraId="3F08D6FA" w14:textId="77777777" w:rsidR="006C11F7" w:rsidRDefault="006C11F7" w:rsidP="006C11F7">
      <w:pPr>
        <w:pStyle w:val="Quote1"/>
        <w:ind w:left="1440" w:hanging="703"/>
      </w:pPr>
      <w:r>
        <w:t>250</w:t>
      </w:r>
      <w:r>
        <w:tab/>
        <w:t xml:space="preserve">In the criminal law context, including </w:t>
      </w:r>
      <w:r w:rsidRPr="006C11F7">
        <w:rPr>
          <w:i/>
        </w:rPr>
        <w:t>Hamilton v Whitehead</w:t>
      </w:r>
      <w:r>
        <w:t xml:space="preserve"> itself, direct liability often results in but a single sanction actually being sought and imposed per contravention: </w:t>
      </w:r>
      <w:r w:rsidR="00375502">
        <w:t>Mr </w:t>
      </w:r>
      <w:r>
        <w:t xml:space="preserve">Whitehead was charged with being knowingly concerned in six offences under s 169 of the former </w:t>
      </w:r>
      <w:r w:rsidRPr="006C11F7">
        <w:rPr>
          <w:i/>
        </w:rPr>
        <w:t>Companies (Western Australia) Code</w:t>
      </w:r>
      <w:r>
        <w:t>, but the company was not charged with those offences, but was charged with other offences. A choice was made to sanction that conduct in the hands of the individual as accessory, but not the company as well as principal.</w:t>
      </w:r>
      <w:r w:rsidR="00DA2B89">
        <w:t xml:space="preserve"> </w:t>
      </w:r>
      <w:r>
        <w:t xml:space="preserve">Sometimes there is no choice but to only sanction one, because, for example, the company has ceased to trade, so that charging the individual by whom the company offended on a </w:t>
      </w:r>
      <w:r w:rsidRPr="006C11F7">
        <w:rPr>
          <w:i/>
        </w:rPr>
        <w:t>Hamilton v Whitehead</w:t>
      </w:r>
      <w:r>
        <w:t xml:space="preserve"> basis is the only option.</w:t>
      </w:r>
    </w:p>
    <w:p w14:paraId="512C1541" w14:textId="77777777" w:rsidR="00FF283F" w:rsidRDefault="006C11F7" w:rsidP="006C11F7">
      <w:pPr>
        <w:pStyle w:val="Quote1"/>
        <w:ind w:left="1440" w:hanging="703"/>
      </w:pPr>
      <w:r>
        <w:t xml:space="preserve">251 </w:t>
      </w:r>
      <w:r>
        <w:tab/>
        <w:t xml:space="preserve">The approach of the Commissioner, while legally available, has an element of overkill, especially in the context of totality and deterrence. That is not to say that there will not be cases in which seeking dual sanctions will be appropriate, but this is not such a case. In the present circumstances, there is little or no additional deterrent value to be had in imposing further sanctions on the eight individual respondents, which is the dominant purpose, if not sole purpose, in imposing such sanctions. However, this is a relevant circumstance when considering the response to the penalty appeal in relation to the s 50 contravention in the hands of the CFMEU as a result of the conduct of the eight individual appellants, apart from </w:t>
      </w:r>
      <w:r w:rsidR="00375502">
        <w:t>Mr </w:t>
      </w:r>
      <w:r>
        <w:t xml:space="preserve">Reeves. The appropriate outcome is therefore to uphold this ground of cross-appeal, make declarations of contravention on the part of those eight individual respondents, but decline to impose any further penalty upon those appellants. </w:t>
      </w:r>
    </w:p>
    <w:p w14:paraId="23382FB0" w14:textId="77777777" w:rsidR="00FF283F" w:rsidRDefault="00D60119" w:rsidP="00981FCE">
      <w:pPr>
        <w:pStyle w:val="ParaNumbering"/>
        <w:keepNext/>
        <w:keepLines/>
      </w:pPr>
      <w:r>
        <w:t xml:space="preserve">The present situation also has some analogy with the course of conduct principle. In </w:t>
      </w:r>
      <w:r w:rsidR="002A2A53" w:rsidRPr="0043061E">
        <w:rPr>
          <w:i/>
        </w:rPr>
        <w:t>Cahill</w:t>
      </w:r>
      <w:r w:rsidR="002A2A53">
        <w:t xml:space="preserve"> </w:t>
      </w:r>
      <w:r>
        <w:t>the plurality held at [39]:</w:t>
      </w:r>
    </w:p>
    <w:p w14:paraId="3D8A3AF2" w14:textId="77777777" w:rsidR="00D60119" w:rsidRDefault="00DA2B89" w:rsidP="00981FCE">
      <w:pPr>
        <w:pStyle w:val="Quote1"/>
        <w:keepNext/>
        <w:keepLines/>
      </w:pPr>
      <w:r>
        <w:t xml:space="preserve">As the passages in </w:t>
      </w:r>
      <w:r w:rsidRPr="00DA2B89">
        <w:rPr>
          <w:i/>
        </w:rPr>
        <w:t>Williams</w:t>
      </w:r>
      <w:r>
        <w:t xml:space="preserve"> 262 ALR 417 explain, a </w:t>
      </w:r>
      <w:r w:rsidR="005F1FBB">
        <w:t>“</w:t>
      </w:r>
      <w:r>
        <w:t>course of conduct</w:t>
      </w:r>
      <w:r w:rsidR="005F1FBB">
        <w:t>”</w:t>
      </w:r>
      <w:r>
        <w:t xml:space="preserve"> or the </w:t>
      </w:r>
      <w:r w:rsidR="005F1FBB">
        <w:t>“</w:t>
      </w:r>
      <w:r>
        <w:t>one transaction principle</w:t>
      </w:r>
      <w:r w:rsidR="005F1FBB">
        <w:t>”</w:t>
      </w:r>
      <w:r>
        <w:t xml:space="preserve"> is not a concept peculiar to the industrial context. It is a concept which arises in the criminal context generally and one which may be relevant to the proper exercise of the sentencing discretion. The principle recognises that where there is an interrelationship between the </w:t>
      </w:r>
      <w:r w:rsidRPr="00DA2B89">
        <w:rPr>
          <w:i/>
        </w:rPr>
        <w:t>legal and factual elements of two or more offences</w:t>
      </w:r>
      <w:r>
        <w:t xml:space="preserve"> for which an offender has been charged, care must be taken to ensure that the offender is not punished twice for what is essentially the same criminality</w:t>
      </w:r>
      <w:r w:rsidR="00F55609">
        <w:t>…</w:t>
      </w:r>
    </w:p>
    <w:p w14:paraId="7B041EBE" w14:textId="77777777" w:rsidR="00D60119" w:rsidRDefault="00D60119" w:rsidP="006D7BDA">
      <w:pPr>
        <w:pStyle w:val="ParaNumbering"/>
      </w:pPr>
      <w:r>
        <w:t>Although this passage applies</w:t>
      </w:r>
      <w:r w:rsidR="00274E21">
        <w:t xml:space="preserve"> to two or more </w:t>
      </w:r>
      <w:r w:rsidR="00EA5B12">
        <w:t xml:space="preserve">offences </w:t>
      </w:r>
      <w:r>
        <w:t>committed by the</w:t>
      </w:r>
      <w:r w:rsidR="00274E21">
        <w:t xml:space="preserve"> same offender</w:t>
      </w:r>
      <w:r>
        <w:t xml:space="preserve">, its rationale that an offender should not be punished twice for what is essentially the same </w:t>
      </w:r>
      <w:r w:rsidR="00EA5B12">
        <w:t>“</w:t>
      </w:r>
      <w:r>
        <w:t>criminality</w:t>
      </w:r>
      <w:r w:rsidR="00EA5B12">
        <w:t>”</w:t>
      </w:r>
      <w:r>
        <w:t xml:space="preserve"> applies</w:t>
      </w:r>
      <w:r w:rsidR="007945B8">
        <w:t xml:space="preserve"> where, as here, the same conduct constitutes a contravention by both a person and a </w:t>
      </w:r>
      <w:r w:rsidR="00274E21">
        <w:t>company</w:t>
      </w:r>
      <w:r w:rsidR="00882747">
        <w:t>,</w:t>
      </w:r>
      <w:r w:rsidR="00274E21">
        <w:t xml:space="preserve"> </w:t>
      </w:r>
      <w:r w:rsidR="007945B8">
        <w:t>and the person has a substantial ownership interest in the corporate entity</w:t>
      </w:r>
      <w:r w:rsidR="00274E21">
        <w:t>. In such a case</w:t>
      </w:r>
      <w:r w:rsidR="00170B4B">
        <w:t>,</w:t>
      </w:r>
      <w:r w:rsidR="00274E21">
        <w:t xml:space="preserve"> penalising the company effectively penalise</w:t>
      </w:r>
      <w:r w:rsidR="00EA5B12">
        <w:t>s</w:t>
      </w:r>
      <w:r w:rsidR="00274E21">
        <w:t xml:space="preserve"> the person, so that a separate </w:t>
      </w:r>
      <w:r w:rsidR="00274E21">
        <w:lastRenderedPageBreak/>
        <w:t>penalty upon the person risks double punishment</w:t>
      </w:r>
      <w:r w:rsidR="006D7BDA">
        <w:t xml:space="preserve">: see </w:t>
      </w:r>
      <w:r w:rsidR="008929A9">
        <w:rPr>
          <w:i/>
        </w:rPr>
        <w:t>Australian Competition and Consumer Commission</w:t>
      </w:r>
      <w:r w:rsidR="006D7BDA" w:rsidRPr="002349B4">
        <w:rPr>
          <w:i/>
        </w:rPr>
        <w:t xml:space="preserve"> v ABB Transmission</w:t>
      </w:r>
      <w:r w:rsidR="00EF3BAA">
        <w:rPr>
          <w:i/>
        </w:rPr>
        <w:t xml:space="preserve"> and Distribution </w:t>
      </w:r>
      <w:r w:rsidR="00F63559">
        <w:rPr>
          <w:i/>
        </w:rPr>
        <w:t>L</w:t>
      </w:r>
      <w:r w:rsidR="00EF3BAA">
        <w:rPr>
          <w:i/>
        </w:rPr>
        <w:t xml:space="preserve">td (No 2) </w:t>
      </w:r>
      <w:r w:rsidR="00EF3BAA">
        <w:t>(2002) 190 ALR 169;</w:t>
      </w:r>
      <w:r w:rsidR="006D7BDA">
        <w:t xml:space="preserve"> [2002] FCA 559 at [45].</w:t>
      </w:r>
    </w:p>
    <w:p w14:paraId="681C4E24" w14:textId="77777777" w:rsidR="007945B8" w:rsidRDefault="00274E21" w:rsidP="00E66B36">
      <w:pPr>
        <w:pStyle w:val="ParaNumbering"/>
      </w:pPr>
      <w:r>
        <w:t>D</w:t>
      </w:r>
      <w:r w:rsidR="007945B8">
        <w:t xml:space="preserve">ouble punishment can be avoided by either imposing a penalty on the corporate respondent </w:t>
      </w:r>
      <w:r w:rsidR="00EF3BAA">
        <w:t>or</w:t>
      </w:r>
      <w:r w:rsidR="007945B8">
        <w:t xml:space="preserve"> </w:t>
      </w:r>
      <w:r w:rsidR="00D22016">
        <w:t xml:space="preserve">the </w:t>
      </w:r>
      <w:r w:rsidR="007945B8">
        <w:t>person</w:t>
      </w:r>
      <w:r w:rsidR="00D22016">
        <w:t xml:space="preserve"> but not both</w:t>
      </w:r>
      <w:r w:rsidR="007945B8">
        <w:t xml:space="preserve">, or by assessing a penalty for </w:t>
      </w:r>
      <w:r w:rsidR="000137AA">
        <w:t xml:space="preserve">each of the </w:t>
      </w:r>
      <w:r w:rsidR="007945B8">
        <w:t xml:space="preserve">corporate </w:t>
      </w:r>
      <w:r w:rsidR="00D22016">
        <w:t xml:space="preserve">respondent </w:t>
      </w:r>
      <w:r w:rsidR="007945B8">
        <w:t>and t</w:t>
      </w:r>
      <w:r w:rsidR="00D22016">
        <w:t>he person and reducing both to an appropriate</w:t>
      </w:r>
      <w:r w:rsidR="007945B8">
        <w:t xml:space="preserve"> lev</w:t>
      </w:r>
      <w:r>
        <w:t>el</w:t>
      </w:r>
      <w:r w:rsidR="007945B8">
        <w:t xml:space="preserve">. The </w:t>
      </w:r>
      <w:r w:rsidR="00D22016">
        <w:t xml:space="preserve">respondents submit pecuniary penalties should be imposed only upon OSGS and </w:t>
      </w:r>
      <w:proofErr w:type="spellStart"/>
      <w:r w:rsidR="00D22016">
        <w:t>Naleview</w:t>
      </w:r>
      <w:proofErr w:type="spellEnd"/>
      <w:r w:rsidR="00D22016">
        <w:t>, and not Mr Hacker</w:t>
      </w:r>
      <w:r w:rsidR="007945B8">
        <w:t>.</w:t>
      </w:r>
      <w:r w:rsidR="00E1781B">
        <w:t xml:space="preserve"> </w:t>
      </w:r>
      <w:r w:rsidR="007945B8">
        <w:t xml:space="preserve">However, in circumstances where the conduct was actually carried out by </w:t>
      </w:r>
      <w:r w:rsidR="00375502">
        <w:t>Mr </w:t>
      </w:r>
      <w:r w:rsidR="007945B8">
        <w:t xml:space="preserve">Hacker and there is a </w:t>
      </w:r>
      <w:r w:rsidR="008563BE">
        <w:t xml:space="preserve">particular </w:t>
      </w:r>
      <w:r w:rsidR="007945B8">
        <w:t>need to deter him</w:t>
      </w:r>
      <w:r>
        <w:t xml:space="preserve">, as well as the corporate </w:t>
      </w:r>
      <w:r w:rsidR="000E25A8">
        <w:t>respondents</w:t>
      </w:r>
      <w:r>
        <w:t>,</w:t>
      </w:r>
      <w:r w:rsidR="007945B8">
        <w:t xml:space="preserve"> from such conduct in the future, he should not be allowed to escape a penalty being imposed directly upon him. Therefor</w:t>
      </w:r>
      <w:r w:rsidR="00D22016">
        <w:t>e, I propose to adopt the second</w:t>
      </w:r>
      <w:r w:rsidR="007945B8">
        <w:t xml:space="preserve"> approach.</w:t>
      </w:r>
    </w:p>
    <w:p w14:paraId="20EEA34E" w14:textId="77777777" w:rsidR="006D7BDA" w:rsidRDefault="00EE1121" w:rsidP="008C46CC">
      <w:pPr>
        <w:pStyle w:val="ParaNumbering"/>
      </w:pPr>
      <w:r>
        <w:t xml:space="preserve">It has been held that </w:t>
      </w:r>
      <w:r w:rsidR="00170B4B">
        <w:t xml:space="preserve">the </w:t>
      </w:r>
      <w:r>
        <w:t>overall penalty imposed should be no less than if the company had been the sole contravener</w:t>
      </w:r>
      <w:r w:rsidR="006D7BDA">
        <w:t>,</w:t>
      </w:r>
      <w:r>
        <w:t xml:space="preserve"> and the overall penalty should reflect the fact that </w:t>
      </w:r>
      <w:r w:rsidR="006D7BDA">
        <w:t xml:space="preserve">both </w:t>
      </w:r>
      <w:r>
        <w:t>the individual and company had contravened the Act:</w:t>
      </w:r>
      <w:r w:rsidR="00E1781B">
        <w:t xml:space="preserve"> </w:t>
      </w:r>
      <w:bookmarkStart w:id="28" w:name="PastedTemp79"/>
      <w:r w:rsidRPr="00170B4B">
        <w:rPr>
          <w:i/>
        </w:rPr>
        <w:t xml:space="preserve">Minister for the Environment </w:t>
      </w:r>
      <w:r w:rsidR="00170B4B">
        <w:rPr>
          <w:i/>
        </w:rPr>
        <w:t xml:space="preserve">&amp; </w:t>
      </w:r>
      <w:r w:rsidRPr="00170B4B">
        <w:rPr>
          <w:i/>
        </w:rPr>
        <w:t xml:space="preserve">Heritage v </w:t>
      </w:r>
      <w:proofErr w:type="spellStart"/>
      <w:r w:rsidRPr="00170B4B">
        <w:rPr>
          <w:i/>
        </w:rPr>
        <w:t>Greentree</w:t>
      </w:r>
      <w:proofErr w:type="spellEnd"/>
      <w:r w:rsidRPr="00170B4B">
        <w:rPr>
          <w:i/>
        </w:rPr>
        <w:t xml:space="preserve"> (No 3)</w:t>
      </w:r>
      <w:r>
        <w:t xml:space="preserve"> [2</w:t>
      </w:r>
      <w:r w:rsidR="00D22016">
        <w:t>004] FCA 1317, at [77]–[78]</w:t>
      </w:r>
      <w:bookmarkEnd w:id="28"/>
      <w:r w:rsidR="006D7BDA">
        <w:t>.</w:t>
      </w:r>
    </w:p>
    <w:p w14:paraId="7DFBB435" w14:textId="77777777" w:rsidR="000E25A8" w:rsidRPr="006D7BDA" w:rsidRDefault="000E25A8" w:rsidP="00706389">
      <w:pPr>
        <w:pStyle w:val="Heading3"/>
      </w:pPr>
      <w:r w:rsidRPr="006D7BDA">
        <w:t xml:space="preserve">Course of conduct </w:t>
      </w:r>
    </w:p>
    <w:p w14:paraId="3C3D6365" w14:textId="77777777" w:rsidR="000E25A8" w:rsidRDefault="00E70CD9" w:rsidP="00E66B36">
      <w:pPr>
        <w:pStyle w:val="ParaNumbering"/>
      </w:pPr>
      <w:r>
        <w:t xml:space="preserve">I do not understand the respondents to submit that </w:t>
      </w:r>
      <w:proofErr w:type="spellStart"/>
      <w:r>
        <w:t>Naleview</w:t>
      </w:r>
      <w:r w:rsidR="00A2650E">
        <w:t>’</w:t>
      </w:r>
      <w:r>
        <w:t>s</w:t>
      </w:r>
      <w:proofErr w:type="spellEnd"/>
      <w:r w:rsidR="007C0749">
        <w:t>,</w:t>
      </w:r>
      <w:r>
        <w:t xml:space="preserve"> </w:t>
      </w:r>
      <w:r w:rsidR="007C0749">
        <w:t>OSGS</w:t>
      </w:r>
      <w:r w:rsidR="00706389">
        <w:t>’s</w:t>
      </w:r>
      <w:r w:rsidR="007C0749">
        <w:t xml:space="preserve"> </w:t>
      </w:r>
      <w:r w:rsidR="008575B9">
        <w:t>and</w:t>
      </w:r>
      <w:r w:rsidR="007C0749">
        <w:t xml:space="preserve"> </w:t>
      </w:r>
      <w:r w:rsidR="00375502">
        <w:t>Mr </w:t>
      </w:r>
      <w:r w:rsidR="007C0749">
        <w:t>Hacker</w:t>
      </w:r>
      <w:r w:rsidR="00A2650E">
        <w:t>’</w:t>
      </w:r>
      <w:r w:rsidR="007C0749">
        <w:t xml:space="preserve">s </w:t>
      </w:r>
      <w:r>
        <w:t xml:space="preserve">contraventions should </w:t>
      </w:r>
      <w:r w:rsidR="008575B9">
        <w:t xml:space="preserve">all </w:t>
      </w:r>
      <w:r w:rsidR="003B740A">
        <w:t xml:space="preserve">be </w:t>
      </w:r>
      <w:r>
        <w:t xml:space="preserve">regarded as occurring in </w:t>
      </w:r>
      <w:r w:rsidR="008575B9">
        <w:t xml:space="preserve">an </w:t>
      </w:r>
      <w:r w:rsidR="007C0749">
        <w:t xml:space="preserve">individual </w:t>
      </w:r>
      <w:r>
        <w:t>course of conduct</w:t>
      </w:r>
      <w:r w:rsidR="008575B9">
        <w:t xml:space="preserve"> referrable respectively to each of them</w:t>
      </w:r>
      <w:r>
        <w:t xml:space="preserve">. I would not have accepted any such submission as the contraventions </w:t>
      </w:r>
      <w:r w:rsidR="00260B60">
        <w:t xml:space="preserve">generally </w:t>
      </w:r>
      <w:r>
        <w:t>involved separate tax returns, on separate dates, to separate clients, for separate fees. It was not a single course of substantially the same</w:t>
      </w:r>
      <w:r w:rsidR="006D7BDA">
        <w:t xml:space="preserve"> contravening conduct</w:t>
      </w:r>
      <w:r>
        <w:t xml:space="preserve">, but a series of </w:t>
      </w:r>
      <w:r w:rsidR="006D7BDA">
        <w:t xml:space="preserve">distinct </w:t>
      </w:r>
      <w:r>
        <w:t>transactions</w:t>
      </w:r>
      <w:r w:rsidR="006D7BDA">
        <w:t xml:space="preserve"> each involving its own contravening conduct</w:t>
      </w:r>
      <w:r>
        <w:t>.</w:t>
      </w:r>
    </w:p>
    <w:p w14:paraId="1A1AE333" w14:textId="77777777" w:rsidR="00E70CD9" w:rsidRDefault="00E70CD9" w:rsidP="00706389">
      <w:pPr>
        <w:pStyle w:val="ParaNumbering"/>
      </w:pPr>
      <w:r>
        <w:t xml:space="preserve">However, the respondents submit that certain of </w:t>
      </w:r>
      <w:proofErr w:type="spellStart"/>
      <w:r>
        <w:t>Naleview</w:t>
      </w:r>
      <w:r w:rsidR="00A2650E">
        <w:t>’</w:t>
      </w:r>
      <w:r>
        <w:t>s</w:t>
      </w:r>
      <w:proofErr w:type="spellEnd"/>
      <w:r>
        <w:t xml:space="preserve"> contraventions </w:t>
      </w:r>
      <w:r w:rsidR="00096AF7">
        <w:t xml:space="preserve">(and, correspondingly, </w:t>
      </w:r>
      <w:r w:rsidR="00375502">
        <w:t>Mr </w:t>
      </w:r>
      <w:r w:rsidR="00096AF7">
        <w:t>Hacker</w:t>
      </w:r>
      <w:r w:rsidR="00A2650E">
        <w:t>’</w:t>
      </w:r>
      <w:r w:rsidR="00096AF7">
        <w:t xml:space="preserve">s contraventions) </w:t>
      </w:r>
      <w:r>
        <w:t xml:space="preserve">should be grouped together as part of a single course of conduct. </w:t>
      </w:r>
      <w:r w:rsidR="00370111">
        <w:t>Those groups of contraventions are:</w:t>
      </w:r>
    </w:p>
    <w:p w14:paraId="148AD646" w14:textId="77777777" w:rsidR="007C0749" w:rsidRDefault="007C0749" w:rsidP="005E3230">
      <w:pPr>
        <w:pStyle w:val="FCBullets"/>
      </w:pPr>
      <w:r>
        <w:t xml:space="preserve">The tax agent services provided to </w:t>
      </w:r>
      <w:proofErr w:type="spellStart"/>
      <w:r>
        <w:t>Desley</w:t>
      </w:r>
      <w:proofErr w:type="spellEnd"/>
      <w:r>
        <w:t xml:space="preserve"> Frances Anderson and John Paul Anderson on 25 August 2015, 1</w:t>
      </w:r>
      <w:r w:rsidR="00706389">
        <w:t>7 August 2016 and 20 August 2017</w:t>
      </w:r>
      <w:r>
        <w:t xml:space="preserve">. </w:t>
      </w:r>
      <w:r w:rsidR="00706389">
        <w:t xml:space="preserve"> </w:t>
      </w:r>
      <w:r w:rsidR="00375502">
        <w:t>Mr </w:t>
      </w:r>
      <w:r>
        <w:t xml:space="preserve">and Mrs Anderson are married. They attended </w:t>
      </w:r>
      <w:proofErr w:type="spellStart"/>
      <w:r>
        <w:t>Naleview</w:t>
      </w:r>
      <w:r w:rsidR="00A2650E">
        <w:t>’</w:t>
      </w:r>
      <w:r>
        <w:t>s</w:t>
      </w:r>
      <w:proofErr w:type="spellEnd"/>
      <w:r>
        <w:t xml:space="preserve"> office together and services were provided during those attendances. They were paid </w:t>
      </w:r>
      <w:r w:rsidR="0077164B">
        <w:t xml:space="preserve">for </w:t>
      </w:r>
      <w:r>
        <w:t xml:space="preserve">as part of the same transaction. </w:t>
      </w:r>
    </w:p>
    <w:p w14:paraId="2D4AFE7E" w14:textId="77777777" w:rsidR="007C0749" w:rsidRDefault="007C0749" w:rsidP="005E3230">
      <w:pPr>
        <w:pStyle w:val="FCBullets"/>
      </w:pPr>
      <w:r>
        <w:t xml:space="preserve">The tax agent services provided to Ana </w:t>
      </w:r>
      <w:proofErr w:type="spellStart"/>
      <w:r>
        <w:t>Crolina</w:t>
      </w:r>
      <w:proofErr w:type="spellEnd"/>
      <w:r>
        <w:t xml:space="preserve"> Becker and </w:t>
      </w:r>
      <w:proofErr w:type="spellStart"/>
      <w:r>
        <w:t>Claudemir</w:t>
      </w:r>
      <w:proofErr w:type="spellEnd"/>
      <w:r>
        <w:t xml:space="preserve"> Ferrei</w:t>
      </w:r>
      <w:r w:rsidR="00726909">
        <w:t>ra de Paulo on 24 September 2018</w:t>
      </w:r>
      <w:r>
        <w:t xml:space="preserve">. </w:t>
      </w:r>
      <w:r w:rsidR="00726909">
        <w:t xml:space="preserve"> </w:t>
      </w:r>
      <w:r>
        <w:t xml:space="preserve">Ms Becker and </w:t>
      </w:r>
      <w:r w:rsidR="00375502">
        <w:t>Mr </w:t>
      </w:r>
      <w:r>
        <w:t xml:space="preserve">de Paulo are married. They attended </w:t>
      </w:r>
      <w:proofErr w:type="spellStart"/>
      <w:r>
        <w:lastRenderedPageBreak/>
        <w:t>Naleview</w:t>
      </w:r>
      <w:r w:rsidR="00A2650E">
        <w:t>’</w:t>
      </w:r>
      <w:r>
        <w:t>s</w:t>
      </w:r>
      <w:proofErr w:type="spellEnd"/>
      <w:r>
        <w:t xml:space="preserve"> office together and services were provided during those attendances. </w:t>
      </w:r>
      <w:r w:rsidR="006D7BDA">
        <w:t>They were paid for in</w:t>
      </w:r>
      <w:r>
        <w:t xml:space="preserve"> the same transaction. </w:t>
      </w:r>
    </w:p>
    <w:p w14:paraId="3111F10E" w14:textId="77777777" w:rsidR="007C0749" w:rsidRDefault="007C0749" w:rsidP="005E3230">
      <w:pPr>
        <w:pStyle w:val="FCBullets"/>
      </w:pPr>
      <w:r>
        <w:t xml:space="preserve">The tax agent services provided to Julie Fay Bergin and Leith Ann Harte on 31 July 2016, 22 July 2017 and 13 July 2018. Both clients attended </w:t>
      </w:r>
      <w:proofErr w:type="spellStart"/>
      <w:r>
        <w:t>Naleview</w:t>
      </w:r>
      <w:r w:rsidR="00A2650E">
        <w:t>’</w:t>
      </w:r>
      <w:r>
        <w:t>s</w:t>
      </w:r>
      <w:proofErr w:type="spellEnd"/>
      <w:r>
        <w:t xml:space="preserve"> office at the same time for the purpose of </w:t>
      </w:r>
      <w:r w:rsidR="00375502">
        <w:t>Mr </w:t>
      </w:r>
      <w:r>
        <w:t>Hacker assisting with their tax returns</w:t>
      </w:r>
      <w:r w:rsidR="00726909">
        <w:t xml:space="preserve">, </w:t>
      </w:r>
      <w:r w:rsidR="007573DB">
        <w:t xml:space="preserve">except that </w:t>
      </w:r>
      <w:r w:rsidR="00726909">
        <w:t>Ms Harte did not attend on 13 July 2018, instead attending on 16 July 2018</w:t>
      </w:r>
      <w:r>
        <w:t xml:space="preserve">. </w:t>
      </w:r>
    </w:p>
    <w:p w14:paraId="1859724A" w14:textId="77777777" w:rsidR="007C0749" w:rsidRDefault="007C0749" w:rsidP="005E3230">
      <w:pPr>
        <w:pStyle w:val="FCBullets"/>
      </w:pPr>
      <w:r>
        <w:t xml:space="preserve">The tax agent services </w:t>
      </w:r>
      <w:r w:rsidR="00901C93">
        <w:t xml:space="preserve">and BAS services </w:t>
      </w:r>
      <w:r>
        <w:t xml:space="preserve">provided to Mark Camacho on 13 October 2017. </w:t>
      </w:r>
      <w:r w:rsidR="00726909">
        <w:t xml:space="preserve"> </w:t>
      </w:r>
      <w:r>
        <w:t xml:space="preserve">All of these services were provided to </w:t>
      </w:r>
      <w:r w:rsidR="00375502">
        <w:t>Mr </w:t>
      </w:r>
      <w:r>
        <w:t xml:space="preserve">Camacho during the same appointment. </w:t>
      </w:r>
    </w:p>
    <w:p w14:paraId="3A82504F" w14:textId="77777777" w:rsidR="007C0749" w:rsidRDefault="007C0749" w:rsidP="005E3230">
      <w:pPr>
        <w:pStyle w:val="FCBullets"/>
      </w:pPr>
      <w:r>
        <w:t xml:space="preserve">The tax agent services provided to </w:t>
      </w:r>
      <w:proofErr w:type="spellStart"/>
      <w:r>
        <w:t>Nirmal</w:t>
      </w:r>
      <w:proofErr w:type="spellEnd"/>
      <w:r>
        <w:t xml:space="preserve"> </w:t>
      </w:r>
      <w:proofErr w:type="spellStart"/>
      <w:r>
        <w:t>Giri</w:t>
      </w:r>
      <w:proofErr w:type="spellEnd"/>
      <w:r>
        <w:t xml:space="preserve"> on 13 September 2018 in respect of his 2017 and 2018 tax returns. </w:t>
      </w:r>
      <w:r w:rsidR="00726909">
        <w:t xml:space="preserve"> </w:t>
      </w:r>
      <w:r>
        <w:t xml:space="preserve">These services were provided during the same appointment and were paid for as one transaction. </w:t>
      </w:r>
    </w:p>
    <w:p w14:paraId="344FAEDB" w14:textId="77777777" w:rsidR="00096AF7" w:rsidRPr="00370111" w:rsidRDefault="007C0749" w:rsidP="005E3230">
      <w:pPr>
        <w:pStyle w:val="FCBullets"/>
      </w:pPr>
      <w:r>
        <w:t xml:space="preserve">The tax agent services provided to Prakash Raj </w:t>
      </w:r>
      <w:proofErr w:type="spellStart"/>
      <w:r>
        <w:t>Poudel</w:t>
      </w:r>
      <w:proofErr w:type="spellEnd"/>
      <w:r>
        <w:t xml:space="preserve"> and </w:t>
      </w:r>
      <w:proofErr w:type="spellStart"/>
      <w:r>
        <w:t>Rukmani</w:t>
      </w:r>
      <w:proofErr w:type="spellEnd"/>
      <w:r>
        <w:t xml:space="preserve"> </w:t>
      </w:r>
      <w:proofErr w:type="spellStart"/>
      <w:r>
        <w:t>Adhikari</w:t>
      </w:r>
      <w:proofErr w:type="spellEnd"/>
      <w:r>
        <w:t xml:space="preserve"> </w:t>
      </w:r>
      <w:proofErr w:type="spellStart"/>
      <w:r>
        <w:t>Poudel</w:t>
      </w:r>
      <w:proofErr w:type="spellEnd"/>
      <w:r>
        <w:t xml:space="preserve"> on 24 October 2018. </w:t>
      </w:r>
      <w:r w:rsidR="00DC767E">
        <w:t xml:space="preserve"> </w:t>
      </w:r>
      <w:r w:rsidR="00375502">
        <w:t>Mr </w:t>
      </w:r>
      <w:r>
        <w:t xml:space="preserve">and Mrs </w:t>
      </w:r>
      <w:proofErr w:type="spellStart"/>
      <w:r>
        <w:t>Poudel</w:t>
      </w:r>
      <w:proofErr w:type="spellEnd"/>
      <w:r>
        <w:t xml:space="preserve"> are married. They attended </w:t>
      </w:r>
      <w:proofErr w:type="spellStart"/>
      <w:r>
        <w:t>Naleview</w:t>
      </w:r>
      <w:r w:rsidR="00A2650E">
        <w:t>’</w:t>
      </w:r>
      <w:r>
        <w:t>s</w:t>
      </w:r>
      <w:proofErr w:type="spellEnd"/>
      <w:r>
        <w:t xml:space="preserve"> office together and services were provided during those attendances. They were paid for in the same transaction.</w:t>
      </w:r>
      <w:r w:rsidR="00370111" w:rsidRPr="00096AF7">
        <w:t xml:space="preserve"> </w:t>
      </w:r>
    </w:p>
    <w:p w14:paraId="6FF3DE53" w14:textId="77777777" w:rsidR="00096AF7" w:rsidRDefault="00260B60" w:rsidP="00981FCE">
      <w:pPr>
        <w:pStyle w:val="ParaNumbering"/>
        <w:keepNext/>
        <w:keepLines/>
      </w:pPr>
      <w:r>
        <w:t>As to</w:t>
      </w:r>
      <w:r w:rsidR="00370111">
        <w:t xml:space="preserve"> the first, second, third and sixth </w:t>
      </w:r>
      <w:r>
        <w:t>set</w:t>
      </w:r>
      <w:r w:rsidR="006D7BDA">
        <w:t>s</w:t>
      </w:r>
      <w:r>
        <w:t xml:space="preserve"> of </w:t>
      </w:r>
      <w:r w:rsidR="00370111">
        <w:t>contraventions</w:t>
      </w:r>
      <w:r>
        <w:t>, e</w:t>
      </w:r>
      <w:r w:rsidR="00370111">
        <w:t>ven though these clients were married or attended together, they were distinct clients who were provide</w:t>
      </w:r>
      <w:r w:rsidR="00901C93">
        <w:t>d</w:t>
      </w:r>
      <w:r w:rsidR="00370111">
        <w:t xml:space="preserve"> tax agent services in respect of their individual tax returns and were charged a fee for those separate services. </w:t>
      </w:r>
      <w:r w:rsidR="00492A5A">
        <w:t>I do not accept that the contraventions involved sub</w:t>
      </w:r>
      <w:r w:rsidR="006D7BDA">
        <w:t>stantially the same contravening conduct.</w:t>
      </w:r>
      <w:r w:rsidR="00492A5A">
        <w:t xml:space="preserve"> </w:t>
      </w:r>
      <w:r>
        <w:t xml:space="preserve">I do not accept that these contraventions arose </w:t>
      </w:r>
      <w:r w:rsidR="006D7BDA">
        <w:t xml:space="preserve">within </w:t>
      </w:r>
      <w:r>
        <w:t>the same course of conduct.</w:t>
      </w:r>
    </w:p>
    <w:p w14:paraId="79A4FD07" w14:textId="77777777" w:rsidR="00492A5A" w:rsidRDefault="00492A5A" w:rsidP="00E66B36">
      <w:pPr>
        <w:pStyle w:val="ParaNumbering"/>
      </w:pPr>
      <w:r>
        <w:t xml:space="preserve">The position is different with the </w:t>
      </w:r>
      <w:r w:rsidR="006A1827">
        <w:t xml:space="preserve">four </w:t>
      </w:r>
      <w:r>
        <w:t xml:space="preserve">contraventions in respect of </w:t>
      </w:r>
      <w:r w:rsidR="00375502">
        <w:t>Mr </w:t>
      </w:r>
      <w:proofErr w:type="spellStart"/>
      <w:r>
        <w:t>Comacho</w:t>
      </w:r>
      <w:proofErr w:type="spellEnd"/>
      <w:r>
        <w:t xml:space="preserve">. The tax agent services </w:t>
      </w:r>
      <w:r w:rsidR="006A1827">
        <w:t xml:space="preserve">and BAS services </w:t>
      </w:r>
      <w:r>
        <w:t>were provided to the same client a</w:t>
      </w:r>
      <w:r w:rsidR="00260B60">
        <w:t>t the same appointment.</w:t>
      </w:r>
      <w:r w:rsidR="00D33850">
        <w:t xml:space="preserve"> However, </w:t>
      </w:r>
      <w:r w:rsidR="003B740A">
        <w:t xml:space="preserve">the </w:t>
      </w:r>
      <w:r w:rsidR="00D33850">
        <w:t>services involved contravention</w:t>
      </w:r>
      <w:r w:rsidR="004E40E9">
        <w:t>s</w:t>
      </w:r>
      <w:r w:rsidR="00D33850">
        <w:t xml:space="preserve"> of </w:t>
      </w:r>
      <w:r w:rsidR="004E40E9">
        <w:t xml:space="preserve">different provisions of </w:t>
      </w:r>
      <w:r w:rsidR="00D33850">
        <w:t>the TAS Act.</w:t>
      </w:r>
      <w:r w:rsidR="00260B60">
        <w:t xml:space="preserve"> I find</w:t>
      </w:r>
      <w:r>
        <w:t xml:space="preserve"> that</w:t>
      </w:r>
      <w:r w:rsidR="00D33850">
        <w:t xml:space="preserve"> the </w:t>
      </w:r>
      <w:r w:rsidR="00882747">
        <w:t xml:space="preserve">three </w:t>
      </w:r>
      <w:r w:rsidR="00D33850">
        <w:t xml:space="preserve">contraventions involving the provision of BAS services to Mr </w:t>
      </w:r>
      <w:proofErr w:type="spellStart"/>
      <w:r w:rsidR="00D33850">
        <w:t>Comacho</w:t>
      </w:r>
      <w:proofErr w:type="spellEnd"/>
      <w:r>
        <w:t xml:space="preserve"> arose from a single course of conduct</w:t>
      </w:r>
      <w:r w:rsidR="00D33850">
        <w:t>, whil</w:t>
      </w:r>
      <w:r w:rsidR="004E40E9">
        <w:t>e</w:t>
      </w:r>
      <w:r w:rsidR="00D33850">
        <w:t xml:space="preserve"> the one contravention involving the provision of tax agent services does not arise from the same course of conduct</w:t>
      </w:r>
      <w:r>
        <w:t xml:space="preserve">. </w:t>
      </w:r>
    </w:p>
    <w:p w14:paraId="498BDE84" w14:textId="77777777" w:rsidR="00492A5A" w:rsidRDefault="00260B60" w:rsidP="00E66B36">
      <w:pPr>
        <w:pStyle w:val="ParaNumbering"/>
      </w:pPr>
      <w:r>
        <w:t xml:space="preserve">I also find </w:t>
      </w:r>
      <w:r w:rsidR="00492A5A">
        <w:t xml:space="preserve">that the two contraventions in respect of </w:t>
      </w:r>
      <w:r w:rsidR="00375502">
        <w:t>Mr </w:t>
      </w:r>
      <w:proofErr w:type="spellStart"/>
      <w:r w:rsidR="006D7BDA">
        <w:t>Giri</w:t>
      </w:r>
      <w:proofErr w:type="spellEnd"/>
      <w:r w:rsidR="006D7BDA">
        <w:t xml:space="preserve"> arose within</w:t>
      </w:r>
      <w:r w:rsidR="00492A5A">
        <w:t xml:space="preserve"> a single course of conduct.</w:t>
      </w:r>
      <w:r w:rsidR="00E1781B">
        <w:t xml:space="preserve"> </w:t>
      </w:r>
    </w:p>
    <w:p w14:paraId="15E45A3A" w14:textId="77777777" w:rsidR="005F424D" w:rsidRPr="00836C37" w:rsidRDefault="0092506E" w:rsidP="002837BA">
      <w:pPr>
        <w:pStyle w:val="Heading3"/>
      </w:pPr>
      <w:r w:rsidRPr="00836C37">
        <w:lastRenderedPageBreak/>
        <w:t xml:space="preserve">Penalties </w:t>
      </w:r>
      <w:r w:rsidR="00586B62" w:rsidRPr="00836C37">
        <w:t xml:space="preserve">in other cases </w:t>
      </w:r>
    </w:p>
    <w:p w14:paraId="7466289A" w14:textId="77777777" w:rsidR="00586B62" w:rsidRDefault="00586B62" w:rsidP="00C921A7">
      <w:pPr>
        <w:pStyle w:val="ParaNumbering"/>
      </w:pPr>
      <w:r>
        <w:t>There are a handful of other decisions where the Court has imposed penalties on an individual</w:t>
      </w:r>
      <w:r w:rsidR="00836C37" w:rsidRPr="00836C37">
        <w:t xml:space="preserve"> </w:t>
      </w:r>
      <w:r w:rsidR="00836C37">
        <w:t xml:space="preserve">for contraventions of </w:t>
      </w:r>
      <w:proofErr w:type="spellStart"/>
      <w:r w:rsidR="00836C37">
        <w:t>ss</w:t>
      </w:r>
      <w:proofErr w:type="spellEnd"/>
      <w:r w:rsidR="00836C37">
        <w:t xml:space="preserve"> 50-5(1) or (2) of the TAS Act, namely</w:t>
      </w:r>
      <w:r w:rsidR="00E1781B">
        <w:t xml:space="preserve"> </w:t>
      </w:r>
      <w:bookmarkStart w:id="29" w:name="PastedTemp37"/>
      <w:r w:rsidR="00EA18F0" w:rsidRPr="002349B4">
        <w:rPr>
          <w:i/>
        </w:rPr>
        <w:t xml:space="preserve">Tax Practitioners Board v </w:t>
      </w:r>
      <w:proofErr w:type="spellStart"/>
      <w:r w:rsidR="00EA18F0" w:rsidRPr="002349B4">
        <w:rPr>
          <w:i/>
        </w:rPr>
        <w:t>Dedic</w:t>
      </w:r>
      <w:proofErr w:type="spellEnd"/>
      <w:r w:rsidR="00EA18F0">
        <w:t xml:space="preserve"> [2014] FCA 511; </w:t>
      </w:r>
      <w:r w:rsidR="00EA18F0" w:rsidRPr="002349B4">
        <w:rPr>
          <w:i/>
        </w:rPr>
        <w:t>Tax Practitioners Board v Shanahan</w:t>
      </w:r>
      <w:r w:rsidR="00EA18F0">
        <w:t xml:space="preserve"> [2013] FCA 764; </w:t>
      </w:r>
      <w:r w:rsidR="00EA18F0" w:rsidRPr="003432E4">
        <w:rPr>
          <w:i/>
        </w:rPr>
        <w:t xml:space="preserve">Tax Practitioners Board v </w:t>
      </w:r>
      <w:proofErr w:type="spellStart"/>
      <w:r w:rsidR="00EA18F0" w:rsidRPr="003432E4">
        <w:rPr>
          <w:i/>
        </w:rPr>
        <w:t>Hinckfuss</w:t>
      </w:r>
      <w:proofErr w:type="spellEnd"/>
      <w:r w:rsidR="00EA18F0">
        <w:t xml:space="preserve"> [2013] FCA 1168; </w:t>
      </w:r>
      <w:r w:rsidR="00EA18F0" w:rsidRPr="003432E4">
        <w:rPr>
          <w:i/>
        </w:rPr>
        <w:t>Tax Practitioners Board v Hogan</w:t>
      </w:r>
      <w:r w:rsidR="00EA18F0">
        <w:t xml:space="preserve"> [2012] FCA 642; </w:t>
      </w:r>
      <w:r w:rsidR="00EA18F0" w:rsidRPr="003432E4">
        <w:rPr>
          <w:i/>
        </w:rPr>
        <w:t>Tax Practitioners Board v Campbell</w:t>
      </w:r>
      <w:r w:rsidR="00836C37">
        <w:t xml:space="preserve"> [2012] FCA 1153</w:t>
      </w:r>
      <w:r w:rsidR="007573DB">
        <w:t>;</w:t>
      </w:r>
      <w:r w:rsidR="00836C37">
        <w:t xml:space="preserve"> and</w:t>
      </w:r>
      <w:r w:rsidR="00EA18F0">
        <w:t xml:space="preserve"> </w:t>
      </w:r>
      <w:r w:rsidR="00EA18F0" w:rsidRPr="003432E4">
        <w:rPr>
          <w:i/>
        </w:rPr>
        <w:t>Tax Practitioners Board v Munro</w:t>
      </w:r>
      <w:r w:rsidR="00EA18F0">
        <w:t xml:space="preserve"> [2012] FCA 1338</w:t>
      </w:r>
      <w:bookmarkEnd w:id="29"/>
      <w:r w:rsidR="00836C37">
        <w:t xml:space="preserve">. In two cases penalties have been imposed on </w:t>
      </w:r>
      <w:r>
        <w:t>an individual and a body corporate</w:t>
      </w:r>
      <w:bookmarkStart w:id="30" w:name="PastedTemp96"/>
      <w:r w:rsidR="00836C37">
        <w:t xml:space="preserve">: </w:t>
      </w:r>
      <w:r w:rsidR="00C921A7" w:rsidRPr="003432E4">
        <w:rPr>
          <w:i/>
        </w:rPr>
        <w:t xml:space="preserve">Tax Practitioners Board v </w:t>
      </w:r>
      <w:proofErr w:type="spellStart"/>
      <w:r w:rsidR="00C921A7" w:rsidRPr="003432E4">
        <w:rPr>
          <w:i/>
        </w:rPr>
        <w:t>Lamede</w:t>
      </w:r>
      <w:proofErr w:type="spellEnd"/>
      <w:r w:rsidR="00C921A7" w:rsidRPr="003432E4">
        <w:rPr>
          <w:i/>
        </w:rPr>
        <w:t xml:space="preserve"> Group Pty Ltd</w:t>
      </w:r>
      <w:r w:rsidR="00C921A7" w:rsidRPr="00C921A7">
        <w:t xml:space="preserve"> [2016] FCA 63</w:t>
      </w:r>
      <w:bookmarkEnd w:id="30"/>
      <w:r w:rsidR="00B31397">
        <w:t>;</w:t>
      </w:r>
      <w:r w:rsidR="004B1FF8">
        <w:t xml:space="preserve"> and</w:t>
      </w:r>
      <w:r w:rsidR="004B1FF8" w:rsidRPr="004B1FF8">
        <w:t xml:space="preserve"> </w:t>
      </w:r>
      <w:r w:rsidR="004B1FF8" w:rsidRPr="004B1FF8">
        <w:rPr>
          <w:i/>
        </w:rPr>
        <w:t xml:space="preserve">Tax Practitioners Board v HP </w:t>
      </w:r>
      <w:proofErr w:type="spellStart"/>
      <w:r w:rsidR="004B1FF8" w:rsidRPr="004B1FF8">
        <w:rPr>
          <w:i/>
        </w:rPr>
        <w:t>Kolya</w:t>
      </w:r>
      <w:proofErr w:type="spellEnd"/>
      <w:r w:rsidR="004B1FF8" w:rsidRPr="004B1FF8">
        <w:rPr>
          <w:i/>
        </w:rPr>
        <w:t xml:space="preserve"> Pty Ltd</w:t>
      </w:r>
      <w:r w:rsidR="004B1FF8">
        <w:t xml:space="preserve"> </w:t>
      </w:r>
      <w:r w:rsidR="006A1827">
        <w:t>(2015) 232 FCR 34</w:t>
      </w:r>
      <w:r>
        <w:t>.</w:t>
      </w:r>
      <w:r w:rsidR="005F424D">
        <w:t xml:space="preserve"> </w:t>
      </w:r>
    </w:p>
    <w:p w14:paraId="0E308B5E" w14:textId="77777777" w:rsidR="00901C93" w:rsidRDefault="00901C93" w:rsidP="00901C93">
      <w:pPr>
        <w:pStyle w:val="ParaNumbering"/>
      </w:pPr>
      <w:r>
        <w:t xml:space="preserve">The Full Court has emphasised that, although similar contraventions should incur similar penalties, the differing circumstances of individual cases means that a penalty in an earlier case cannot dictate the penalty in a later case: see for example </w:t>
      </w:r>
      <w:r w:rsidRPr="005F424D">
        <w:rPr>
          <w:i/>
        </w:rPr>
        <w:t>NW Frozen Foods</w:t>
      </w:r>
      <w:r>
        <w:t xml:space="preserve"> at 295–6; </w:t>
      </w:r>
      <w:r w:rsidRPr="005F424D">
        <w:rPr>
          <w:i/>
        </w:rPr>
        <w:t>Australian Ophthalmic Supplies</w:t>
      </w:r>
      <w:r>
        <w:t xml:space="preserve"> at [12</w:t>
      </w:r>
      <w:r w:rsidR="00556F18">
        <w:t>]–[</w:t>
      </w:r>
      <w:r>
        <w:t>14], [56</w:t>
      </w:r>
      <w:r w:rsidR="00556F18">
        <w:t>]–[</w:t>
      </w:r>
      <w:r>
        <w:t>57] and [87].</w:t>
      </w:r>
    </w:p>
    <w:p w14:paraId="775F4C84" w14:textId="77777777" w:rsidR="0064144E" w:rsidRDefault="00586B62" w:rsidP="004B1FF8">
      <w:pPr>
        <w:pStyle w:val="ParaNumbering"/>
      </w:pPr>
      <w:r>
        <w:t xml:space="preserve">The </w:t>
      </w:r>
      <w:r w:rsidR="004B1FF8">
        <w:t xml:space="preserve">applicant contends that </w:t>
      </w:r>
      <w:proofErr w:type="spellStart"/>
      <w:r w:rsidRPr="005F424D">
        <w:rPr>
          <w:i/>
        </w:rPr>
        <w:t>Kolya</w:t>
      </w:r>
      <w:proofErr w:type="spellEnd"/>
      <w:r w:rsidR="004B1FF8">
        <w:rPr>
          <w:i/>
        </w:rPr>
        <w:t xml:space="preserve"> </w:t>
      </w:r>
      <w:r w:rsidR="004B1FF8">
        <w:t xml:space="preserve">is </w:t>
      </w:r>
      <w:r w:rsidR="005F1FBB">
        <w:t>“</w:t>
      </w:r>
      <w:r w:rsidR="004B1FF8">
        <w:t>relatively comparable</w:t>
      </w:r>
      <w:r w:rsidR="005F1FBB">
        <w:t>”</w:t>
      </w:r>
      <w:r>
        <w:t xml:space="preserve">. </w:t>
      </w:r>
      <w:r w:rsidR="00375502">
        <w:t>Mr </w:t>
      </w:r>
      <w:proofErr w:type="spellStart"/>
      <w:r>
        <w:t>Kolya</w:t>
      </w:r>
      <w:proofErr w:type="spellEnd"/>
      <w:r>
        <w:t xml:space="preserve"> and his company were found to have provided tax agent services and BAS agent services to members of the public in contravention of </w:t>
      </w:r>
      <w:proofErr w:type="spellStart"/>
      <w:r>
        <w:t>ss</w:t>
      </w:r>
      <w:proofErr w:type="spellEnd"/>
      <w:r>
        <w:t xml:space="preserve"> 50-5(1) and (2) of the TAS Act. </w:t>
      </w:r>
      <w:r w:rsidR="004B1FF8">
        <w:t>T</w:t>
      </w:r>
      <w:r w:rsidR="005F424D">
        <w:t>he company contravened s </w:t>
      </w:r>
      <w:r>
        <w:t>50-5(1) of the TAS Act on 32 occasions</w:t>
      </w:r>
      <w:r w:rsidR="004B1FF8">
        <w:t xml:space="preserve"> and s 50-5(2) on one occasion</w:t>
      </w:r>
      <w:r>
        <w:t xml:space="preserve">, and </w:t>
      </w:r>
      <w:r w:rsidR="00375502">
        <w:t>Mr </w:t>
      </w:r>
      <w:proofErr w:type="spellStart"/>
      <w:r>
        <w:t>Kolya</w:t>
      </w:r>
      <w:proofErr w:type="spellEnd"/>
      <w:r>
        <w:t xml:space="preserve"> cont</w:t>
      </w:r>
      <w:r w:rsidR="005F424D">
        <w:t xml:space="preserve">ravened </w:t>
      </w:r>
      <w:r w:rsidR="004B1FF8">
        <w:t>s</w:t>
      </w:r>
      <w:r w:rsidR="000F3E54">
        <w:t> </w:t>
      </w:r>
      <w:r w:rsidR="004B1FF8">
        <w:t xml:space="preserve">50-5(1) </w:t>
      </w:r>
      <w:r w:rsidR="005F424D">
        <w:t xml:space="preserve">on eight </w:t>
      </w:r>
      <w:r>
        <w:t>occasions</w:t>
      </w:r>
      <w:r w:rsidR="0064144E">
        <w:t xml:space="preserve"> and s 50-5(2) on one oc</w:t>
      </w:r>
      <w:r w:rsidR="00456C35">
        <w:t>casion. Justice Foster imposed penalties</w:t>
      </w:r>
      <w:r w:rsidR="0064144E">
        <w:t xml:space="preserve"> of $750,000 upon the company and $150,000 upon </w:t>
      </w:r>
      <w:r w:rsidR="00375502">
        <w:t>Mr </w:t>
      </w:r>
      <w:proofErr w:type="spellStart"/>
      <w:r w:rsidR="0064144E">
        <w:t>Kolya</w:t>
      </w:r>
      <w:proofErr w:type="spellEnd"/>
      <w:r w:rsidR="0064144E">
        <w:t>.</w:t>
      </w:r>
    </w:p>
    <w:p w14:paraId="1E076D13" w14:textId="77777777" w:rsidR="004B1FF8" w:rsidRDefault="004B1FF8" w:rsidP="004B1FF8">
      <w:pPr>
        <w:pStyle w:val="ParaNumbering"/>
      </w:pPr>
      <w:r>
        <w:t>The applicant accepts that a</w:t>
      </w:r>
      <w:r w:rsidR="00586B62">
        <w:t xml:space="preserve"> distinguishing feature is that </w:t>
      </w:r>
      <w:r w:rsidR="00375502">
        <w:t>Mr </w:t>
      </w:r>
      <w:proofErr w:type="spellStart"/>
      <w:r w:rsidR="00586B62">
        <w:t>Koly</w:t>
      </w:r>
      <w:r w:rsidR="00492A5A">
        <w:t>a</w:t>
      </w:r>
      <w:proofErr w:type="spellEnd"/>
      <w:r w:rsidR="00492A5A">
        <w:t xml:space="preserve"> was found to have advertised</w:t>
      </w:r>
      <w:r w:rsidR="00586B62">
        <w:t xml:space="preserve"> tax agent service</w:t>
      </w:r>
      <w:r w:rsidR="00492A5A">
        <w:t>s</w:t>
      </w:r>
      <w:r w:rsidR="00586B62">
        <w:t xml:space="preserve"> </w:t>
      </w:r>
      <w:r>
        <w:t xml:space="preserve">on two occasions </w:t>
      </w:r>
      <w:r w:rsidR="00F5473C">
        <w:t>in contravention of s </w:t>
      </w:r>
      <w:r w:rsidR="00981FCE">
        <w:t>50-</w:t>
      </w:r>
      <w:r w:rsidR="00586B62">
        <w:t>10(1) of the TAS Act. There are other substantial differences</w:t>
      </w:r>
      <w:r>
        <w:t>, including that</w:t>
      </w:r>
      <w:r w:rsidR="00B92EE5">
        <w:t xml:space="preserve"> the Court found that</w:t>
      </w:r>
      <w:r>
        <w:t xml:space="preserve"> </w:t>
      </w:r>
      <w:r w:rsidR="00375502">
        <w:t>Mr </w:t>
      </w:r>
      <w:proofErr w:type="spellStart"/>
      <w:r>
        <w:t>Kolya</w:t>
      </w:r>
      <w:proofErr w:type="spellEnd"/>
      <w:r>
        <w:t xml:space="preserve"> knew that he was engaging in conduct which he had been prohibited from undertaking by various decisions of courts and tribunals; </w:t>
      </w:r>
      <w:r w:rsidR="00B92EE5">
        <w:t>he had prepared over 1</w:t>
      </w:r>
      <w:r w:rsidR="003B740A">
        <w:t>,</w:t>
      </w:r>
      <w:r w:rsidR="00B92EE5">
        <w:t xml:space="preserve">800 tax returns over a decade; </w:t>
      </w:r>
      <w:r>
        <w:t xml:space="preserve">he was well aware of the likely harm that </w:t>
      </w:r>
      <w:r w:rsidR="000F3E54">
        <w:t xml:space="preserve">the </w:t>
      </w:r>
      <w:r>
        <w:t>continued conduct of his business was likely to cause;</w:t>
      </w:r>
      <w:r w:rsidR="00B92EE5">
        <w:t xml:space="preserve"> and</w:t>
      </w:r>
      <w:r w:rsidRPr="004B1FF8">
        <w:t xml:space="preserve"> </w:t>
      </w:r>
      <w:r>
        <w:t>he engaged in misleading conduct by representing that he was entitled to use a</w:t>
      </w:r>
      <w:r w:rsidRPr="004B1FF8">
        <w:t xml:space="preserve"> tax agent number and </w:t>
      </w:r>
      <w:r>
        <w:t xml:space="preserve">that he was operating </w:t>
      </w:r>
      <w:r w:rsidRPr="004B1FF8">
        <w:t>under the auspices of H&amp;R Block Ltd</w:t>
      </w:r>
      <w:r w:rsidR="00B92EE5">
        <w:t>.</w:t>
      </w:r>
    </w:p>
    <w:p w14:paraId="1DF034F7" w14:textId="77777777" w:rsidR="00586B62" w:rsidRDefault="0064144E" w:rsidP="00292FC6">
      <w:pPr>
        <w:pStyle w:val="ParaNumbering"/>
      </w:pPr>
      <w:r>
        <w:t>A</w:t>
      </w:r>
      <w:r w:rsidR="00586B62">
        <w:t xml:space="preserve">t the time of the contraventions in </w:t>
      </w:r>
      <w:proofErr w:type="spellStart"/>
      <w:r w:rsidR="00586B62" w:rsidRPr="00CA69C6">
        <w:rPr>
          <w:i/>
        </w:rPr>
        <w:t>Kolya</w:t>
      </w:r>
      <w:proofErr w:type="spellEnd"/>
      <w:r w:rsidR="00586B62">
        <w:t xml:space="preserve"> the value of a penalty </w:t>
      </w:r>
      <w:bookmarkStart w:id="31" w:name="PastedTemp41"/>
      <w:r w:rsidR="00586B62">
        <w:t>unit was $110 (it i</w:t>
      </w:r>
      <w:r>
        <w:t>s now $210). In arriving at the penalties</w:t>
      </w:r>
      <w:r w:rsidR="00586B62">
        <w:t>, Foster J summ</w:t>
      </w:r>
      <w:r>
        <w:t>arised the circumstances as follows</w:t>
      </w:r>
      <w:r w:rsidR="00586B62">
        <w:t>:</w:t>
      </w:r>
    </w:p>
    <w:p w14:paraId="232CB103" w14:textId="77777777" w:rsidR="00586B62" w:rsidRDefault="00586B62" w:rsidP="00292FC6">
      <w:pPr>
        <w:pStyle w:val="Quote1"/>
        <w:ind w:left="1440" w:hanging="703"/>
      </w:pPr>
      <w:r>
        <w:t xml:space="preserve">[80] </w:t>
      </w:r>
      <w:r w:rsidR="00D42CA0">
        <w:tab/>
      </w:r>
      <w:r>
        <w:t xml:space="preserve">In the present case, there is an urgent and strong imperative to impose penalties which will, once and for all, bring home to </w:t>
      </w:r>
      <w:r w:rsidR="00375502">
        <w:t>Mr </w:t>
      </w:r>
      <w:proofErr w:type="spellStart"/>
      <w:r>
        <w:t>Kolya</w:t>
      </w:r>
      <w:proofErr w:type="spellEnd"/>
      <w:r>
        <w:t xml:space="preserve"> that he can no longer flout the regulatory requirements embodied in the TAS Act for his own commercial benefit. He is the principal perpetrator of the contravening </w:t>
      </w:r>
      <w:r>
        <w:lastRenderedPageBreak/>
        <w:t xml:space="preserve">conduct. He is the person who has caused HP </w:t>
      </w:r>
      <w:proofErr w:type="spellStart"/>
      <w:r>
        <w:t>Kolya</w:t>
      </w:r>
      <w:proofErr w:type="spellEnd"/>
      <w:r>
        <w:t xml:space="preserve"> to contravene the TAS</w:t>
      </w:r>
      <w:r w:rsidR="00D42CA0">
        <w:t xml:space="preserve"> </w:t>
      </w:r>
      <w:r>
        <w:t xml:space="preserve">Act. To date, he has been a recalcitrant </w:t>
      </w:r>
      <w:proofErr w:type="spellStart"/>
      <w:r>
        <w:t>contravenor</w:t>
      </w:r>
      <w:proofErr w:type="spellEnd"/>
      <w:r>
        <w:t xml:space="preserve"> who has repeatedly and persistently ignored the prohibition on providing tax agent services and BAS</w:t>
      </w:r>
      <w:r w:rsidR="00D42CA0">
        <w:t xml:space="preserve"> </w:t>
      </w:r>
      <w:r>
        <w:t>services and advertising the same on persons who are not registered tax agents or BAS agents. Not only has he shut his eyes to the obvious over a lengthy period, but he has taken steps of an artificial kind designed to prolong his opportunities for commercial gain while contesting the legitimate and valid concerns of the Board. He has actively engaged in conduct which is diametrically opposed to the object of the TAS Act. In so doing, he has caused significant harm to ordinary members of the public who were entitled to assume when dealing with him that he had the necessary qualifications and competence to perform the tasks which he undertook to perform for them. In addition, he has shown no contrition for his conduct and has failed to cooperate with the Board. He does not accept that he has done the wrong thing.</w:t>
      </w:r>
      <w:r w:rsidR="00D42CA0">
        <w:t xml:space="preserve"> </w:t>
      </w:r>
      <w:r>
        <w:t>He shows no remorse or contrition. Rather, he has persisted, even to the end of the case, in his argument that his registration as a migration agent is sufficient for him to justify his providing tax agent services and BAS services.</w:t>
      </w:r>
    </w:p>
    <w:p w14:paraId="048F8C4C" w14:textId="77777777" w:rsidR="00586B62" w:rsidRDefault="00586B62" w:rsidP="00D42CA0">
      <w:pPr>
        <w:pStyle w:val="Quote1"/>
        <w:ind w:left="1440" w:hanging="703"/>
      </w:pPr>
      <w:r>
        <w:t xml:space="preserve">[81] </w:t>
      </w:r>
      <w:r w:rsidR="00CA69C6">
        <w:tab/>
      </w:r>
      <w:r>
        <w:t xml:space="preserve">This case requires a strong response from the Court both in order to specifically deter </w:t>
      </w:r>
      <w:r w:rsidR="00375502">
        <w:t>Mr </w:t>
      </w:r>
      <w:proofErr w:type="spellStart"/>
      <w:r>
        <w:t>Kolya</w:t>
      </w:r>
      <w:proofErr w:type="spellEnd"/>
      <w:r>
        <w:t xml:space="preserve"> and also to make clear to others who may be minded to replicate his conduct that they should think very carefully before doing so because the penalties which will be imposed if caught will be significant.</w:t>
      </w:r>
    </w:p>
    <w:p w14:paraId="1205E8AC" w14:textId="77777777" w:rsidR="00586B62" w:rsidRDefault="00B92EE5" w:rsidP="00AD6D3C">
      <w:pPr>
        <w:pStyle w:val="ParaNumbering"/>
      </w:pPr>
      <w:r>
        <w:t>The applicant submits that m</w:t>
      </w:r>
      <w:r w:rsidR="00586B62">
        <w:t xml:space="preserve">any features of this summary are also apparent in this case against </w:t>
      </w:r>
      <w:r w:rsidR="00375502">
        <w:t>Mr </w:t>
      </w:r>
      <w:r w:rsidR="00492A5A">
        <w:t xml:space="preserve">Hacker and his companies, and the </w:t>
      </w:r>
      <w:r w:rsidR="00586B62">
        <w:t xml:space="preserve">same </w:t>
      </w:r>
      <w:r w:rsidR="005F1FBB">
        <w:t>“</w:t>
      </w:r>
      <w:r w:rsidR="00586B62">
        <w:t>strong response</w:t>
      </w:r>
      <w:r w:rsidR="005F1FBB">
        <w:t>”</w:t>
      </w:r>
      <w:r w:rsidR="00586B62">
        <w:t xml:space="preserve"> from the Court is appropriate here.</w:t>
      </w:r>
      <w:bookmarkEnd w:id="31"/>
      <w:r w:rsidR="00586B62">
        <w:t xml:space="preserve"> </w:t>
      </w:r>
      <w:bookmarkEnd w:id="27"/>
    </w:p>
    <w:p w14:paraId="07BBD6A5" w14:textId="77777777" w:rsidR="00492A5A" w:rsidRDefault="00492A5A" w:rsidP="00AD6D3C">
      <w:pPr>
        <w:pStyle w:val="ParaNumbering"/>
      </w:pPr>
      <w:r>
        <w:t xml:space="preserve">I have described the factual distinctions between </w:t>
      </w:r>
      <w:proofErr w:type="spellStart"/>
      <w:r w:rsidRPr="00492A5A">
        <w:rPr>
          <w:i/>
        </w:rPr>
        <w:t>Kolya</w:t>
      </w:r>
      <w:proofErr w:type="spellEnd"/>
      <w:r>
        <w:t xml:space="preserve"> and the present case. I do not accept that </w:t>
      </w:r>
      <w:proofErr w:type="spellStart"/>
      <w:r w:rsidRPr="00492A5A">
        <w:rPr>
          <w:i/>
        </w:rPr>
        <w:t>Kolya</w:t>
      </w:r>
      <w:proofErr w:type="spellEnd"/>
      <w:r>
        <w:t xml:space="preserve"> provides a useful comparator. </w:t>
      </w:r>
    </w:p>
    <w:p w14:paraId="4C262858" w14:textId="77777777" w:rsidR="00017DD1" w:rsidRPr="00411997" w:rsidRDefault="00492A5A" w:rsidP="00411997">
      <w:pPr>
        <w:pStyle w:val="ParaNumbering"/>
        <w:rPr>
          <w:szCs w:val="24"/>
        </w:rPr>
      </w:pPr>
      <w:r>
        <w:t xml:space="preserve">The respondents submit that a more appropriate comparator is </w:t>
      </w:r>
      <w:r w:rsidR="00017DD1" w:rsidRPr="00017DD1">
        <w:rPr>
          <w:i/>
        </w:rPr>
        <w:t>Shanahan</w:t>
      </w:r>
      <w:r w:rsidR="00B757AF">
        <w:t>,</w:t>
      </w:r>
      <w:r w:rsidR="000F3E54">
        <w:rPr>
          <w:i/>
        </w:rPr>
        <w:t xml:space="preserve"> </w:t>
      </w:r>
      <w:r w:rsidR="006C11F7">
        <w:rPr>
          <w:sz w:val="12"/>
          <w:szCs w:val="12"/>
        </w:rPr>
        <w:t xml:space="preserve"> </w:t>
      </w:r>
      <w:r w:rsidR="00017DD1" w:rsidRPr="00017DD1">
        <w:t>a case which involved 47 c</w:t>
      </w:r>
      <w:r w:rsidR="003B740A">
        <w:t>ontraventions of s 50-5(1) and two</w:t>
      </w:r>
      <w:r w:rsidR="00017DD1" w:rsidRPr="00017DD1">
        <w:t xml:space="preserve"> contraventions of s 50-5(2). </w:t>
      </w:r>
      <w:r w:rsidR="00375502">
        <w:t>Mr </w:t>
      </w:r>
      <w:r w:rsidR="00017DD1" w:rsidRPr="00017DD1">
        <w:t xml:space="preserve">Shanahan had also misrepresented to his clients that he was a registered tax agent in breach of s 50-15. </w:t>
      </w:r>
      <w:r w:rsidR="00375502">
        <w:t>Mr </w:t>
      </w:r>
      <w:r w:rsidR="00017DD1" w:rsidRPr="00017DD1">
        <w:t xml:space="preserve">Shanahan admitted to each of these contraventions. The contraventions occurred over a period of </w:t>
      </w:r>
      <w:r w:rsidR="003B740A">
        <w:t>two</w:t>
      </w:r>
      <w:r w:rsidR="00017DD1" w:rsidRPr="00017DD1">
        <w:t xml:space="preserve"> years and </w:t>
      </w:r>
      <w:r w:rsidR="003B740A">
        <w:t>one</w:t>
      </w:r>
      <w:r w:rsidR="00017DD1" w:rsidRPr="00017DD1">
        <w:t xml:space="preserve"> month, and </w:t>
      </w:r>
      <w:r w:rsidR="00375502">
        <w:t>Mr </w:t>
      </w:r>
      <w:r w:rsidR="00017DD1" w:rsidRPr="00017DD1">
        <w:t xml:space="preserve">Shanahan earned at least $6,269 for 36 of the contraventions. </w:t>
      </w:r>
      <w:r w:rsidR="00D3536B">
        <w:t xml:space="preserve">A </w:t>
      </w:r>
      <w:r w:rsidR="00017DD1" w:rsidRPr="00017DD1">
        <w:t xml:space="preserve">total pecuniary penalty of $30,000 </w:t>
      </w:r>
      <w:r w:rsidR="000F3E54">
        <w:t xml:space="preserve">was imposed </w:t>
      </w:r>
      <w:r w:rsidR="00017DD1" w:rsidRPr="00017DD1">
        <w:t xml:space="preserve">for all of the contraventions, </w:t>
      </w:r>
      <w:r w:rsidR="000F3E54">
        <w:t xml:space="preserve">which </w:t>
      </w:r>
      <w:r w:rsidR="00017DD1" w:rsidRPr="00017DD1">
        <w:t xml:space="preserve">did not distinguish between the penalty applicable to the s 50-5(1) contraventions and </w:t>
      </w:r>
      <w:r w:rsidR="000F3E54">
        <w:t>the s </w:t>
      </w:r>
      <w:r w:rsidR="00017DD1" w:rsidRPr="00017DD1">
        <w:t>50-5(2) contraventions.</w:t>
      </w:r>
      <w:r w:rsidR="00D3536B">
        <w:t xml:space="preserve"> The penalty </w:t>
      </w:r>
      <w:r w:rsidR="00411997">
        <w:t>that wa</w:t>
      </w:r>
      <w:r w:rsidR="00D3536B">
        <w:t xml:space="preserve">s </w:t>
      </w:r>
      <w:r w:rsidR="00411997">
        <w:t xml:space="preserve">originally </w:t>
      </w:r>
      <w:r w:rsidR="00D3536B">
        <w:t xml:space="preserve">agreed </w:t>
      </w:r>
      <w:r w:rsidR="00411997">
        <w:t xml:space="preserve">by the parties </w:t>
      </w:r>
      <w:r w:rsidR="00D3536B">
        <w:t>was $45,000</w:t>
      </w:r>
      <w:r w:rsidR="00411997">
        <w:t>,</w:t>
      </w:r>
      <w:r w:rsidR="00D3536B">
        <w:t xml:space="preserve"> but Rares J was </w:t>
      </w:r>
      <w:r w:rsidR="00411997">
        <w:t xml:space="preserve">not satisfied that the contravener had the capacity to pay it and the parties </w:t>
      </w:r>
      <w:r w:rsidR="00D3536B">
        <w:t>ultimately agreed</w:t>
      </w:r>
      <w:r w:rsidR="00456C35">
        <w:t xml:space="preserve"> upon $30,000</w:t>
      </w:r>
      <w:r w:rsidR="00D3536B">
        <w:t>.</w:t>
      </w:r>
      <w:r w:rsidR="00E1781B">
        <w:t xml:space="preserve"> </w:t>
      </w:r>
      <w:r w:rsidR="00017DD1" w:rsidRPr="00017DD1">
        <w:t>The applicable penalty unit rate at the time was $110.</w:t>
      </w:r>
      <w:r w:rsidR="00D3536B" w:rsidRPr="00D3536B">
        <w:rPr>
          <w:sz w:val="12"/>
          <w:szCs w:val="12"/>
        </w:rPr>
        <w:t xml:space="preserve"> </w:t>
      </w:r>
      <w:r w:rsidR="000F3E54">
        <w:rPr>
          <w:sz w:val="12"/>
          <w:szCs w:val="12"/>
        </w:rPr>
        <w:t xml:space="preserve"> </w:t>
      </w:r>
      <w:r w:rsidR="00D3536B">
        <w:rPr>
          <w:szCs w:val="24"/>
        </w:rPr>
        <w:t>Justice Rares was</w:t>
      </w:r>
      <w:r w:rsidR="00D3536B" w:rsidRPr="00D3536B">
        <w:rPr>
          <w:szCs w:val="24"/>
        </w:rPr>
        <w:t xml:space="preserve"> satisfied that </w:t>
      </w:r>
      <w:r w:rsidR="00D3536B">
        <w:rPr>
          <w:szCs w:val="24"/>
        </w:rPr>
        <w:t>t</w:t>
      </w:r>
      <w:r w:rsidR="00D3536B" w:rsidRPr="00D3536B">
        <w:rPr>
          <w:szCs w:val="24"/>
        </w:rPr>
        <w:t>he</w:t>
      </w:r>
      <w:r w:rsidR="00D3536B">
        <w:rPr>
          <w:szCs w:val="24"/>
        </w:rPr>
        <w:t xml:space="preserve"> contravener fully appreciated</w:t>
      </w:r>
      <w:r w:rsidR="00D3536B" w:rsidRPr="00D3536B">
        <w:rPr>
          <w:szCs w:val="24"/>
        </w:rPr>
        <w:t xml:space="preserve"> his wrongdoing, its gra</w:t>
      </w:r>
      <w:r w:rsidR="00D3536B">
        <w:rPr>
          <w:szCs w:val="24"/>
        </w:rPr>
        <w:t>vity and its inappropriateness</w:t>
      </w:r>
      <w:r w:rsidR="000F3E54">
        <w:rPr>
          <w:szCs w:val="24"/>
        </w:rPr>
        <w:t>,</w:t>
      </w:r>
      <w:r w:rsidR="00D3536B">
        <w:rPr>
          <w:szCs w:val="24"/>
        </w:rPr>
        <w:t xml:space="preserve"> and was mindful that the contraventions</w:t>
      </w:r>
      <w:r w:rsidR="00D3536B" w:rsidRPr="00D3536B">
        <w:rPr>
          <w:szCs w:val="24"/>
        </w:rPr>
        <w:t xml:space="preserve"> occurred during a period of great personal stress in his life, where </w:t>
      </w:r>
      <w:r w:rsidR="000F3E54">
        <w:rPr>
          <w:szCs w:val="24"/>
        </w:rPr>
        <w:t xml:space="preserve">he </w:t>
      </w:r>
      <w:r w:rsidR="00D3536B" w:rsidRPr="00D3536B">
        <w:rPr>
          <w:szCs w:val="24"/>
        </w:rPr>
        <w:t xml:space="preserve">was not only supporting his own family, but two employees </w:t>
      </w:r>
      <w:r w:rsidR="00D3536B" w:rsidRPr="00D3536B">
        <w:rPr>
          <w:szCs w:val="24"/>
        </w:rPr>
        <w:lastRenderedPageBreak/>
        <w:t xml:space="preserve">who were working for him. </w:t>
      </w:r>
      <w:r w:rsidR="00411997">
        <w:rPr>
          <w:szCs w:val="24"/>
        </w:rPr>
        <w:t xml:space="preserve">His Honour found that </w:t>
      </w:r>
      <w:r w:rsidR="00411997">
        <w:t>the contravener had expressed genuine contrition and remorse, and was not likely to contravene again.</w:t>
      </w:r>
    </w:p>
    <w:p w14:paraId="6EE69ED8" w14:textId="77777777" w:rsidR="00411997" w:rsidRPr="00411997" w:rsidRDefault="00411997" w:rsidP="00411997">
      <w:pPr>
        <w:pStyle w:val="ParaNumbering"/>
        <w:rPr>
          <w:szCs w:val="24"/>
        </w:rPr>
      </w:pPr>
      <w:r>
        <w:t xml:space="preserve">I do not accept that </w:t>
      </w:r>
      <w:r w:rsidRPr="00E0750E">
        <w:rPr>
          <w:i/>
        </w:rPr>
        <w:t>Shanahan</w:t>
      </w:r>
      <w:r>
        <w:t xml:space="preserve"> provides an appropriate comparator. The circumstances in that case of the contravener</w:t>
      </w:r>
      <w:r w:rsidR="00A2650E">
        <w:t>’</w:t>
      </w:r>
      <w:r>
        <w:t>s admissions of the contraventions, his inability to pay a subst</w:t>
      </w:r>
      <w:r w:rsidR="00456C35">
        <w:t xml:space="preserve">antial penalty, his remorse, </w:t>
      </w:r>
      <w:r>
        <w:t>the absence of any pressing need for</w:t>
      </w:r>
      <w:r w:rsidR="00E1781B">
        <w:t xml:space="preserve"> </w:t>
      </w:r>
      <w:r>
        <w:t xml:space="preserve">specific deterrence </w:t>
      </w:r>
      <w:r w:rsidR="00E0750E">
        <w:t xml:space="preserve">in that case </w:t>
      </w:r>
      <w:r w:rsidR="00456C35">
        <w:t xml:space="preserve">and agreement as to the penalty </w:t>
      </w:r>
      <w:r>
        <w:t xml:space="preserve">are absent in this case. </w:t>
      </w:r>
      <w:r w:rsidR="0064144E">
        <w:t>It must also be noted that the penalty</w:t>
      </w:r>
      <w:r w:rsidR="00E0750E">
        <w:t xml:space="preserve"> of $30,000</w:t>
      </w:r>
      <w:r w:rsidR="0064144E">
        <w:t xml:space="preserve"> was imposed upon a</w:t>
      </w:r>
      <w:r w:rsidR="00E0750E">
        <w:t>n individual</w:t>
      </w:r>
      <w:r w:rsidR="0064144E">
        <w:t>, not a company.</w:t>
      </w:r>
    </w:p>
    <w:p w14:paraId="2068AD5F" w14:textId="77777777" w:rsidR="006E1FC2" w:rsidRDefault="000F3E54" w:rsidP="00852D2A">
      <w:pPr>
        <w:pStyle w:val="ParaNumbering"/>
      </w:pPr>
      <w:r>
        <w:t xml:space="preserve">A </w:t>
      </w:r>
      <w:r w:rsidR="003C5720">
        <w:t xml:space="preserve">fairly </w:t>
      </w:r>
      <w:r>
        <w:t xml:space="preserve">recent decision </w:t>
      </w:r>
      <w:r w:rsidR="00A62ED5">
        <w:t xml:space="preserve">considering the imposition of penalties </w:t>
      </w:r>
      <w:r>
        <w:t xml:space="preserve">on an individual and body corporate pursuant to </w:t>
      </w:r>
      <w:proofErr w:type="spellStart"/>
      <w:r>
        <w:t>ss</w:t>
      </w:r>
      <w:proofErr w:type="spellEnd"/>
      <w:r>
        <w:t xml:space="preserve"> 50–5(1) and 50–5(2) is </w:t>
      </w:r>
      <w:proofErr w:type="spellStart"/>
      <w:r w:rsidRPr="003C5720">
        <w:rPr>
          <w:i/>
        </w:rPr>
        <w:t>La</w:t>
      </w:r>
      <w:r w:rsidR="002C76F3" w:rsidRPr="003C5720">
        <w:rPr>
          <w:i/>
        </w:rPr>
        <w:t>mede</w:t>
      </w:r>
      <w:proofErr w:type="spellEnd"/>
      <w:r w:rsidR="002C76F3">
        <w:t xml:space="preserve">. </w:t>
      </w:r>
      <w:r w:rsidR="003C5720">
        <w:t xml:space="preserve">On </w:t>
      </w:r>
      <w:r w:rsidR="0064144E">
        <w:t xml:space="preserve">51 occasions over a period of three years either </w:t>
      </w:r>
      <w:proofErr w:type="spellStart"/>
      <w:r w:rsidR="0064144E">
        <w:t>Lamede</w:t>
      </w:r>
      <w:proofErr w:type="spellEnd"/>
      <w:r w:rsidR="0064144E">
        <w:t xml:space="preserve"> Group or Ms </w:t>
      </w:r>
      <w:proofErr w:type="spellStart"/>
      <w:r w:rsidR="0064144E">
        <w:t>Amede</w:t>
      </w:r>
      <w:proofErr w:type="spellEnd"/>
      <w:r w:rsidR="0064144E">
        <w:t xml:space="preserve"> provided unregistered</w:t>
      </w:r>
      <w:r w:rsidR="00E1781B">
        <w:t xml:space="preserve"> </w:t>
      </w:r>
      <w:r w:rsidR="0064144E">
        <w:t>tax agent services for a fee in</w:t>
      </w:r>
      <w:r w:rsidR="00E1781B">
        <w:t xml:space="preserve"> </w:t>
      </w:r>
      <w:r w:rsidR="0064144E">
        <w:t>contravention of s 50-5(1),</w:t>
      </w:r>
      <w:r w:rsidR="00E1781B">
        <w:t xml:space="preserve"> </w:t>
      </w:r>
      <w:r w:rsidR="0064144E">
        <w:t xml:space="preserve">and on five occasions </w:t>
      </w:r>
      <w:proofErr w:type="spellStart"/>
      <w:r w:rsidR="0064144E">
        <w:t>Lamede</w:t>
      </w:r>
      <w:proofErr w:type="spellEnd"/>
      <w:r w:rsidR="0064144E">
        <w:t xml:space="preserve"> Group advertised the availability of tax agent services in contravention of </w:t>
      </w:r>
      <w:r w:rsidR="002C76F3">
        <w:t>s 50–10(1)</w:t>
      </w:r>
      <w:r w:rsidR="0064144E">
        <w:t xml:space="preserve">. </w:t>
      </w:r>
      <w:r w:rsidR="00E360A8">
        <w:t>The</w:t>
      </w:r>
      <w:r w:rsidR="006E1FC2">
        <w:t xml:space="preserve"> contraventions were admitted.</w:t>
      </w:r>
      <w:r w:rsidR="00E1781B">
        <w:t xml:space="preserve"> </w:t>
      </w:r>
      <w:r w:rsidR="00180A3B">
        <w:t>The ap</w:t>
      </w:r>
      <w:r w:rsidR="00E0750E">
        <w:t>plicant conceded</w:t>
      </w:r>
      <w:r w:rsidR="00180A3B">
        <w:t xml:space="preserve"> that </w:t>
      </w:r>
      <w:r w:rsidR="006E1FC2">
        <w:t xml:space="preserve">most of </w:t>
      </w:r>
      <w:r w:rsidR="00E0750E">
        <w:t xml:space="preserve">the </w:t>
      </w:r>
      <w:r w:rsidR="00180A3B">
        <w:t xml:space="preserve">contraventions arose in a single course </w:t>
      </w:r>
      <w:r w:rsidR="00E0750E">
        <w:t>o</w:t>
      </w:r>
      <w:r w:rsidR="00180A3B">
        <w:t>f conduct, and</w:t>
      </w:r>
      <w:r w:rsidR="00E0750E">
        <w:t>, as I read the case,</w:t>
      </w:r>
      <w:r w:rsidR="00180A3B">
        <w:t xml:space="preserve"> </w:t>
      </w:r>
      <w:proofErr w:type="spellStart"/>
      <w:r w:rsidR="00180A3B">
        <w:t>Dowsett</w:t>
      </w:r>
      <w:proofErr w:type="spellEnd"/>
      <w:r w:rsidR="00180A3B">
        <w:t xml:space="preserve"> J </w:t>
      </w:r>
      <w:r w:rsidR="00E0750E">
        <w:t>accepted that propos</w:t>
      </w:r>
      <w:r w:rsidR="006E1FC2">
        <w:t>ition</w:t>
      </w:r>
      <w:r w:rsidR="00E0750E">
        <w:t>.</w:t>
      </w:r>
      <w:r w:rsidR="00456C35">
        <w:t xml:space="preserve"> His Honour considered </w:t>
      </w:r>
      <w:r w:rsidR="00284879">
        <w:t xml:space="preserve">it </w:t>
      </w:r>
      <w:r w:rsidR="002C76F3">
        <w:t xml:space="preserve">was </w:t>
      </w:r>
      <w:r w:rsidR="006E1FC2">
        <w:t>most unlikely that the respondents would engage in any business</w:t>
      </w:r>
      <w:r w:rsidR="00456C35">
        <w:t xml:space="preserve"> in the future</w:t>
      </w:r>
      <w:r w:rsidR="006E1FC2">
        <w:t xml:space="preserve"> </w:t>
      </w:r>
      <w:r w:rsidR="00284879">
        <w:t xml:space="preserve">or that they </w:t>
      </w:r>
      <w:r w:rsidR="00456C35">
        <w:t>would</w:t>
      </w:r>
      <w:r w:rsidR="006E1FC2">
        <w:t xml:space="preserve"> engage in any fu</w:t>
      </w:r>
      <w:r w:rsidR="00456C35">
        <w:t>ture contravention</w:t>
      </w:r>
      <w:r w:rsidR="006E1FC2">
        <w:t>.</w:t>
      </w:r>
      <w:r w:rsidR="00284879">
        <w:t xml:space="preserve"> </w:t>
      </w:r>
      <w:r w:rsidR="0090705F">
        <w:t>The</w:t>
      </w:r>
      <w:r w:rsidR="00284879">
        <w:t xml:space="preserve"> amounts received for the transactions varied between $100 and $200. The applicable penalty unit rate varied between $110 and $170 during the period when the contraventions occurred.</w:t>
      </w:r>
      <w:r w:rsidR="0090705F">
        <w:t xml:space="preserve"> His Honour considered each of the offences to be at the lower end of any scale of seriousness, but that it was a circumstance of aggravation that the conduct extended over a period of two years.</w:t>
      </w:r>
      <w:r w:rsidR="0071102E">
        <w:t xml:space="preserve"> </w:t>
      </w:r>
      <w:r w:rsidR="00375502">
        <w:t>M</w:t>
      </w:r>
      <w:r w:rsidR="004A6D87">
        <w:t>s</w:t>
      </w:r>
      <w:r w:rsidR="00375502">
        <w:t> </w:t>
      </w:r>
      <w:proofErr w:type="spellStart"/>
      <w:r w:rsidR="00886E17">
        <w:t>Amede</w:t>
      </w:r>
      <w:proofErr w:type="spellEnd"/>
      <w:r w:rsidR="00886E17">
        <w:t xml:space="preserve"> </w:t>
      </w:r>
      <w:r w:rsidR="0090705F">
        <w:t>had a limited capacity to pay a fine, although his Honour did not</w:t>
      </w:r>
      <w:r w:rsidR="00886E17">
        <w:t>,</w:t>
      </w:r>
      <w:r w:rsidR="0090705F">
        <w:t xml:space="preserve"> </w:t>
      </w:r>
      <w:r w:rsidR="005F1FBB">
        <w:t>“</w:t>
      </w:r>
      <w:r w:rsidR="0090705F">
        <w:t>fully accept the proposition that an offender</w:t>
      </w:r>
      <w:r w:rsidR="00A2650E">
        <w:t>’</w:t>
      </w:r>
      <w:r w:rsidR="0090705F">
        <w:t>s capacity to pay any pecuniary penalty is of less importance than the need for a pecuniary penalty of appropriate deterrent value</w:t>
      </w:r>
      <w:r w:rsidR="005F1FBB">
        <w:t>”</w:t>
      </w:r>
      <w:r w:rsidR="0090705F">
        <w:t>. Hi</w:t>
      </w:r>
      <w:r w:rsidR="005D6440">
        <w:t>s Honour assessed penalties totalling</w:t>
      </w:r>
      <w:r w:rsidR="0090705F">
        <w:t xml:space="preserve"> </w:t>
      </w:r>
      <w:r w:rsidR="0090705F" w:rsidRPr="003C5720">
        <w:rPr>
          <w:bCs/>
        </w:rPr>
        <w:t xml:space="preserve">$77,500 against the company (including $6,000 for the advertising contraventions) and $4,000 against Ms </w:t>
      </w:r>
      <w:proofErr w:type="spellStart"/>
      <w:r w:rsidR="0090705F" w:rsidRPr="003C5720">
        <w:rPr>
          <w:bCs/>
        </w:rPr>
        <w:t>Amede</w:t>
      </w:r>
      <w:proofErr w:type="spellEnd"/>
      <w:r w:rsidR="0090705F" w:rsidRPr="003C5720">
        <w:rPr>
          <w:bCs/>
        </w:rPr>
        <w:t>.</w:t>
      </w:r>
    </w:p>
    <w:p w14:paraId="6ACFD460" w14:textId="77777777" w:rsidR="006E1FC2" w:rsidRDefault="005D6440" w:rsidP="0064144E">
      <w:pPr>
        <w:pStyle w:val="ParaNumbering"/>
      </w:pPr>
      <w:r>
        <w:t>There are obvious difference</w:t>
      </w:r>
      <w:r w:rsidR="004A6D87">
        <w:t>s</w:t>
      </w:r>
      <w:r>
        <w:t xml:space="preserve"> between </w:t>
      </w:r>
      <w:proofErr w:type="spellStart"/>
      <w:r>
        <w:rPr>
          <w:i/>
        </w:rPr>
        <w:t>Lamede</w:t>
      </w:r>
      <w:proofErr w:type="spellEnd"/>
      <w:r>
        <w:rPr>
          <w:i/>
        </w:rPr>
        <w:t xml:space="preserve"> </w:t>
      </w:r>
      <w:r>
        <w:t>and the present case.</w:t>
      </w:r>
      <w:r w:rsidR="0071102E">
        <w:t xml:space="preserve"> </w:t>
      </w:r>
      <w:proofErr w:type="spellStart"/>
      <w:r w:rsidRPr="005D6440">
        <w:rPr>
          <w:i/>
        </w:rPr>
        <w:t>Lamede</w:t>
      </w:r>
      <w:proofErr w:type="spellEnd"/>
      <w:r>
        <w:t xml:space="preserve"> </w:t>
      </w:r>
      <w:r w:rsidR="00886E17">
        <w:t xml:space="preserve">does not </w:t>
      </w:r>
      <w:r>
        <w:t xml:space="preserve">provide a </w:t>
      </w:r>
      <w:r w:rsidR="00456C35">
        <w:t>particularly useful</w:t>
      </w:r>
      <w:r w:rsidR="00886E17">
        <w:t xml:space="preserve"> </w:t>
      </w:r>
      <w:r>
        <w:t>point of comparison.</w:t>
      </w:r>
    </w:p>
    <w:p w14:paraId="42134FED" w14:textId="77777777" w:rsidR="005D6440" w:rsidRPr="0056424D" w:rsidRDefault="00B8559E" w:rsidP="00886E17">
      <w:pPr>
        <w:pStyle w:val="Heading3"/>
      </w:pPr>
      <w:r w:rsidRPr="0056424D">
        <w:t>Assessment</w:t>
      </w:r>
      <w:r w:rsidR="005D6440" w:rsidRPr="0056424D">
        <w:t xml:space="preserve"> of penalties</w:t>
      </w:r>
    </w:p>
    <w:p w14:paraId="79EE040C" w14:textId="77777777" w:rsidR="005D6440" w:rsidRDefault="005D6440" w:rsidP="005D6440">
      <w:pPr>
        <w:pStyle w:val="ParaNumbering"/>
      </w:pPr>
      <w:r>
        <w:t xml:space="preserve">The maximum penalty for one contravention </w:t>
      </w:r>
      <w:r w:rsidR="00886E17">
        <w:t xml:space="preserve">of s 50–5(1) and (2) of the TAS Act </w:t>
      </w:r>
      <w:r>
        <w:t>was $45,000 for an individual and $225,000 for a company prior to 1 July 2017</w:t>
      </w:r>
      <w:r w:rsidR="00670FFB">
        <w:t>,</w:t>
      </w:r>
      <w:r>
        <w:t xml:space="preserve"> and $52,500 for an individual and $262,500 </w:t>
      </w:r>
      <w:r w:rsidR="004A6D87">
        <w:t xml:space="preserve">for a company </w:t>
      </w:r>
      <w:r>
        <w:t>after that date.</w:t>
      </w:r>
    </w:p>
    <w:p w14:paraId="3B1E2F1B" w14:textId="77777777" w:rsidR="005D6440" w:rsidRDefault="005D6440" w:rsidP="0064144E">
      <w:pPr>
        <w:pStyle w:val="ParaNumbering"/>
      </w:pPr>
      <w:r>
        <w:lastRenderedPageBreak/>
        <w:t xml:space="preserve">OSGS engaged in five contraventions of s 50-5(1) of the TAS Act and </w:t>
      </w:r>
      <w:r w:rsidR="00375502">
        <w:t>Mr </w:t>
      </w:r>
      <w:r>
        <w:t xml:space="preserve">Hacker engaged in corresponding contraventions. </w:t>
      </w:r>
      <w:proofErr w:type="spellStart"/>
      <w:r>
        <w:t>Naleview</w:t>
      </w:r>
      <w:proofErr w:type="spellEnd"/>
      <w:r>
        <w:t xml:space="preserve"> engaged in 37 contraventions and </w:t>
      </w:r>
      <w:r w:rsidR="00375502">
        <w:t>Mr </w:t>
      </w:r>
      <w:r>
        <w:t>Hacker engaged in corresponding contraventions</w:t>
      </w:r>
      <w:r w:rsidR="00B8559E">
        <w:t>.</w:t>
      </w:r>
      <w:r w:rsidR="0071102E">
        <w:t xml:space="preserve"> </w:t>
      </w:r>
      <w:r w:rsidR="00375502">
        <w:t>Mr </w:t>
      </w:r>
      <w:r w:rsidR="00456C35">
        <w:t>Hacker also engaged in three</w:t>
      </w:r>
      <w:r w:rsidR="00886E17">
        <w:t xml:space="preserve"> contraventions of s 50–5(2) by providing </w:t>
      </w:r>
      <w:r w:rsidR="004A6D87">
        <w:t xml:space="preserve">unregistered </w:t>
      </w:r>
      <w:r w:rsidR="00886E17">
        <w:t>BAS services.</w:t>
      </w:r>
    </w:p>
    <w:p w14:paraId="1001E445" w14:textId="77777777" w:rsidR="002575B9" w:rsidRDefault="002575B9" w:rsidP="0064144E">
      <w:pPr>
        <w:pStyle w:val="ParaNumbering"/>
      </w:pPr>
      <w:r>
        <w:t>OSGS</w:t>
      </w:r>
      <w:r w:rsidR="00A2650E">
        <w:t>’</w:t>
      </w:r>
      <w:r w:rsidR="0050276A">
        <w:t>s</w:t>
      </w:r>
      <w:r>
        <w:t xml:space="preserve"> contraventions</w:t>
      </w:r>
      <w:r w:rsidR="00C86C37">
        <w:t xml:space="preserve"> </w:t>
      </w:r>
      <w:r>
        <w:t xml:space="preserve">each </w:t>
      </w:r>
      <w:r w:rsidR="00C86C37">
        <w:t xml:space="preserve">occurred </w:t>
      </w:r>
      <w:r>
        <w:t xml:space="preserve">after 1 July 2017. </w:t>
      </w:r>
      <w:r w:rsidR="004A6D87">
        <w:t xml:space="preserve">Nine </w:t>
      </w:r>
      <w:r w:rsidR="00C86C37">
        <w:t xml:space="preserve">of </w:t>
      </w:r>
      <w:proofErr w:type="spellStart"/>
      <w:r w:rsidR="00C86C37">
        <w:t>Naleview</w:t>
      </w:r>
      <w:r w:rsidR="00A2650E">
        <w:t>’</w:t>
      </w:r>
      <w:r w:rsidR="00C86C37">
        <w:t>s</w:t>
      </w:r>
      <w:proofErr w:type="spellEnd"/>
      <w:r w:rsidR="00C86C37">
        <w:t xml:space="preserve"> contraventions occurred before 1 July 2017, and the remainder occurred after that date.</w:t>
      </w:r>
    </w:p>
    <w:p w14:paraId="339EED27" w14:textId="77777777" w:rsidR="00D10AB6" w:rsidRDefault="00886E17" w:rsidP="00C86C37">
      <w:pPr>
        <w:pStyle w:val="ParaNumbering"/>
      </w:pPr>
      <w:r>
        <w:t>OSGS is liable to a maximum of five penalties of $262,500.</w:t>
      </w:r>
      <w:r w:rsidR="00456C35">
        <w:t xml:space="preserve"> </w:t>
      </w:r>
      <w:r w:rsidR="00B8559E">
        <w:t xml:space="preserve">I have found that the two contraventions </w:t>
      </w:r>
      <w:r w:rsidR="00D10AB6">
        <w:t xml:space="preserve">by </w:t>
      </w:r>
      <w:proofErr w:type="spellStart"/>
      <w:r w:rsidR="00D10AB6">
        <w:t>Naleview</w:t>
      </w:r>
      <w:proofErr w:type="spellEnd"/>
      <w:r w:rsidR="00D10AB6">
        <w:t xml:space="preserve"> and Mr Hacker </w:t>
      </w:r>
      <w:r w:rsidR="00B8559E">
        <w:t xml:space="preserve">in respect of </w:t>
      </w:r>
      <w:r w:rsidR="00375502">
        <w:t>Mr </w:t>
      </w:r>
      <w:proofErr w:type="spellStart"/>
      <w:r w:rsidR="00B8559E">
        <w:t>Giri</w:t>
      </w:r>
      <w:proofErr w:type="spellEnd"/>
      <w:r w:rsidR="00B8559E">
        <w:t xml:space="preserve"> should be regarded as arising from a single course of conduct.</w:t>
      </w:r>
      <w:r w:rsidR="00E1781B">
        <w:t xml:space="preserve"> </w:t>
      </w:r>
      <w:r w:rsidR="00B8559E">
        <w:t xml:space="preserve">I consider that a single penalty is adequate for </w:t>
      </w:r>
      <w:r w:rsidR="00D10AB6">
        <w:t xml:space="preserve">that </w:t>
      </w:r>
      <w:r w:rsidR="00B8559E">
        <w:t xml:space="preserve">course of conduct. Therefore, </w:t>
      </w:r>
      <w:proofErr w:type="spellStart"/>
      <w:r w:rsidR="00B8559E">
        <w:t>Naleview</w:t>
      </w:r>
      <w:proofErr w:type="spellEnd"/>
      <w:r w:rsidR="00C86C37">
        <w:t xml:space="preserve"> is liable to a maximum of </w:t>
      </w:r>
      <w:r w:rsidR="00D10AB6">
        <w:t xml:space="preserve">36 penalties, consisting of </w:t>
      </w:r>
      <w:r w:rsidR="004A6D87">
        <w:t xml:space="preserve">nine </w:t>
      </w:r>
      <w:r w:rsidR="00B8559E">
        <w:t>penalties</w:t>
      </w:r>
      <w:r w:rsidR="00C86C37">
        <w:t xml:space="preserve"> of $225,000 and 2</w:t>
      </w:r>
      <w:r w:rsidR="004A6D87">
        <w:t>7</w:t>
      </w:r>
      <w:r w:rsidR="00C86C37">
        <w:t xml:space="preserve"> penalties of $262,500. </w:t>
      </w:r>
    </w:p>
    <w:p w14:paraId="72FCD2F2" w14:textId="77777777" w:rsidR="00B8559E" w:rsidRDefault="00D10AB6" w:rsidP="00C86C37">
      <w:pPr>
        <w:pStyle w:val="ParaNumbering"/>
      </w:pPr>
      <w:r>
        <w:t xml:space="preserve">I have found that the three contraventions by Mr Hacker by the provision of BAS services to Mr </w:t>
      </w:r>
      <w:proofErr w:type="spellStart"/>
      <w:r>
        <w:t>Comacho</w:t>
      </w:r>
      <w:proofErr w:type="spellEnd"/>
      <w:r>
        <w:t xml:space="preserve"> arose in the same course of conduct. </w:t>
      </w:r>
      <w:r w:rsidR="00375502">
        <w:t>Mr </w:t>
      </w:r>
      <w:r w:rsidR="00B8559E">
        <w:t>Hacke</w:t>
      </w:r>
      <w:r w:rsidR="00C86C37">
        <w:t xml:space="preserve">r is liable to a maximum of </w:t>
      </w:r>
      <w:r>
        <w:t xml:space="preserve">42 penalties, consisting of </w:t>
      </w:r>
      <w:r w:rsidR="00BE148A">
        <w:t>nine penalties of $45,000 and 32</w:t>
      </w:r>
      <w:r w:rsidR="00C86C37">
        <w:t xml:space="preserve"> penalties of </w:t>
      </w:r>
      <w:r w:rsidR="00490492">
        <w:t>$</w:t>
      </w:r>
      <w:r w:rsidR="00C86C37">
        <w:t>52,500</w:t>
      </w:r>
      <w:r w:rsidR="00490492">
        <w:t xml:space="preserve"> in respect of providing unregistered tax agent services</w:t>
      </w:r>
      <w:r w:rsidR="00F633EC">
        <w:t>,</w:t>
      </w:r>
      <w:r w:rsidR="00490492">
        <w:t xml:space="preserve"> and one penalt</w:t>
      </w:r>
      <w:r w:rsidR="00886E17">
        <w:t>y</w:t>
      </w:r>
      <w:r w:rsidR="00490492">
        <w:t xml:space="preserve"> of $52,</w:t>
      </w:r>
      <w:r w:rsidR="00BE148A">
        <w:t>5</w:t>
      </w:r>
      <w:r w:rsidR="00490492">
        <w:t>00 for prov</w:t>
      </w:r>
      <w:r w:rsidR="00A7237A">
        <w:t>iding unregistered BAS services</w:t>
      </w:r>
      <w:r w:rsidR="00C86C37">
        <w:t>.</w:t>
      </w:r>
    </w:p>
    <w:p w14:paraId="68358FB0" w14:textId="77777777" w:rsidR="00910E78" w:rsidRDefault="00C86C37" w:rsidP="00B8559E">
      <w:pPr>
        <w:pStyle w:val="ParaNumbering"/>
      </w:pPr>
      <w:r>
        <w:t>T</w:t>
      </w:r>
      <w:r w:rsidR="00B8559E">
        <w:t xml:space="preserve">he </w:t>
      </w:r>
      <w:r>
        <w:t>contraventions were</w:t>
      </w:r>
      <w:r w:rsidR="00B8559E">
        <w:t xml:space="preserve"> deliberate and motivated by profit. I regard the</w:t>
      </w:r>
      <w:r>
        <w:t>m</w:t>
      </w:r>
      <w:r w:rsidR="00B8559E">
        <w:t xml:space="preserve"> as serious. </w:t>
      </w:r>
      <w:r w:rsidR="00910E78">
        <w:t>I take into account the degree of cooperation with the regulator.</w:t>
      </w:r>
    </w:p>
    <w:p w14:paraId="69D643DA" w14:textId="77777777" w:rsidR="00B8559E" w:rsidRDefault="00490492" w:rsidP="00B8559E">
      <w:pPr>
        <w:pStyle w:val="ParaNumbering"/>
      </w:pPr>
      <w:r>
        <w:t xml:space="preserve">Apart from the lower maximum penalty before 1 July 2017, </w:t>
      </w:r>
      <w:r w:rsidR="00B8559E">
        <w:t xml:space="preserve">I do not consider that there is any </w:t>
      </w:r>
      <w:r>
        <w:t>sufficient</w:t>
      </w:r>
      <w:r w:rsidR="00B8559E">
        <w:t xml:space="preserve"> basis for distinguishing the contraventions from each other</w:t>
      </w:r>
      <w:r>
        <w:t xml:space="preserve"> in terms of </w:t>
      </w:r>
      <w:r w:rsidR="00B8559E">
        <w:t>penalty.</w:t>
      </w:r>
    </w:p>
    <w:p w14:paraId="5BF5F822" w14:textId="77777777" w:rsidR="00FC4EB3" w:rsidRDefault="00FC4EB3" w:rsidP="00B8559E">
      <w:pPr>
        <w:pStyle w:val="ParaNumbering"/>
      </w:pPr>
      <w:r>
        <w:t xml:space="preserve">There is little evidence about the capacity of the respondents to pay penalties, except that </w:t>
      </w:r>
      <w:r w:rsidR="00375502">
        <w:t>Mr </w:t>
      </w:r>
      <w:r>
        <w:t xml:space="preserve">Hacker told Dr </w:t>
      </w:r>
      <w:proofErr w:type="spellStart"/>
      <w:r>
        <w:t>Yel</w:t>
      </w:r>
      <w:r w:rsidR="00E360A8">
        <w:t>l</w:t>
      </w:r>
      <w:r>
        <w:t>and</w:t>
      </w:r>
      <w:proofErr w:type="spellEnd"/>
      <w:r>
        <w:t xml:space="preserve"> that he estimated that he has assets of $1-2 million. The respondents have not suggested that they lack capacity to pay penalties. </w:t>
      </w:r>
    </w:p>
    <w:p w14:paraId="063D0673" w14:textId="77777777" w:rsidR="00490492" w:rsidRDefault="00FC4EB3" w:rsidP="00C51C0D">
      <w:pPr>
        <w:pStyle w:val="ParaNumbering"/>
      </w:pPr>
      <w:r>
        <w:t>I consider that a penalty for each contr</w:t>
      </w:r>
      <w:r w:rsidR="00670FFB">
        <w:t xml:space="preserve">avention should be assessed at around </w:t>
      </w:r>
      <w:r w:rsidR="0067503D">
        <w:t>10</w:t>
      </w:r>
      <w:r>
        <w:t xml:space="preserve">% of the maximum. </w:t>
      </w:r>
      <w:r w:rsidR="00490492">
        <w:t>This provides a penalt</w:t>
      </w:r>
      <w:r w:rsidR="0067503D">
        <w:t>y of $22,500</w:t>
      </w:r>
      <w:r w:rsidR="00490492">
        <w:t xml:space="preserve"> before 1 July 2017 and $</w:t>
      </w:r>
      <w:r w:rsidR="0067503D">
        <w:t>26,250</w:t>
      </w:r>
      <w:r w:rsidR="00490492">
        <w:t xml:space="preserve"> </w:t>
      </w:r>
      <w:r w:rsidR="00A7237A">
        <w:t xml:space="preserve">after that date </w:t>
      </w:r>
      <w:r w:rsidR="00490492">
        <w:t>for each</w:t>
      </w:r>
      <w:r w:rsidR="00A7237A">
        <w:t xml:space="preserve"> provision of unregistered</w:t>
      </w:r>
      <w:r w:rsidR="00490492">
        <w:t xml:space="preserve"> tax agent services</w:t>
      </w:r>
      <w:r w:rsidR="00A7237A">
        <w:t xml:space="preserve"> by the corporate respondents. It </w:t>
      </w:r>
      <w:r w:rsidR="0034224B">
        <w:t xml:space="preserve">also </w:t>
      </w:r>
      <w:r w:rsidR="00A7237A">
        <w:t>provides a penalty of $</w:t>
      </w:r>
      <w:r w:rsidR="0067503D">
        <w:t>4,500</w:t>
      </w:r>
      <w:r w:rsidR="00A7237A">
        <w:t xml:space="preserve"> before 1 July 2017 and $</w:t>
      </w:r>
      <w:r w:rsidR="0067503D">
        <w:t>5,250</w:t>
      </w:r>
      <w:r w:rsidR="00A7237A">
        <w:t xml:space="preserve"> after that</w:t>
      </w:r>
      <w:r w:rsidR="00C51C0D">
        <w:t xml:space="preserve"> date for </w:t>
      </w:r>
      <w:r w:rsidR="0034224B">
        <w:t xml:space="preserve">each provision of unregistered tax agent services and BAS services by </w:t>
      </w:r>
      <w:r w:rsidR="00375502">
        <w:t>Mr </w:t>
      </w:r>
      <w:r w:rsidR="00C51C0D">
        <w:t xml:space="preserve">Hacker. </w:t>
      </w:r>
      <w:r w:rsidR="00A7237A">
        <w:t xml:space="preserve">As the fees for each income tax return generally ranged between $110 and $132, the penalties assessed are adequate </w:t>
      </w:r>
      <w:r w:rsidR="00C51C0D">
        <w:t xml:space="preserve">and sufficient </w:t>
      </w:r>
      <w:r w:rsidR="00A7237A">
        <w:t>to make it clear that providing tax agent services for fee or reward when unregistered will not pay.</w:t>
      </w:r>
    </w:p>
    <w:p w14:paraId="6E2D11F0" w14:textId="77777777" w:rsidR="00FC4EB3" w:rsidRDefault="00FC4EB3" w:rsidP="000D1E18">
      <w:pPr>
        <w:pStyle w:val="ParaNumbering"/>
      </w:pPr>
      <w:r>
        <w:lastRenderedPageBreak/>
        <w:t xml:space="preserve">I have discussed the need to avoid double punishment given that </w:t>
      </w:r>
      <w:r w:rsidR="00375502">
        <w:t>Mr </w:t>
      </w:r>
      <w:r>
        <w:t>Hacker</w:t>
      </w:r>
      <w:r w:rsidR="00A2650E">
        <w:t>’</w:t>
      </w:r>
      <w:r>
        <w:t>s conduct on each occasion resulted in a contravention by both h</w:t>
      </w:r>
      <w:r w:rsidR="00286CF2">
        <w:t>imself</w:t>
      </w:r>
      <w:r>
        <w:t xml:space="preserve"> and either OSGS or </w:t>
      </w:r>
      <w:proofErr w:type="spellStart"/>
      <w:r>
        <w:t>Naleview</w:t>
      </w:r>
      <w:proofErr w:type="spellEnd"/>
      <w:r>
        <w:t xml:space="preserve"> and</w:t>
      </w:r>
      <w:r w:rsidR="00910E78">
        <w:t xml:space="preserve"> that</w:t>
      </w:r>
      <w:r>
        <w:t xml:space="preserve"> </w:t>
      </w:r>
      <w:r w:rsidR="00375502">
        <w:t>Mr </w:t>
      </w:r>
      <w:r>
        <w:t xml:space="preserve">Hacker will ultimately </w:t>
      </w:r>
      <w:r w:rsidR="00910E78">
        <w:t xml:space="preserve">be </w:t>
      </w:r>
      <w:r>
        <w:t xml:space="preserve">affected </w:t>
      </w:r>
      <w:r w:rsidR="00910E78">
        <w:t xml:space="preserve">personally </w:t>
      </w:r>
      <w:r>
        <w:t>by penalties against the companies.</w:t>
      </w:r>
      <w:r w:rsidR="000D1E18">
        <w:t xml:space="preserve"> I consider that double punishment can be best avoided by reducing the penalties for the corporate respondents and </w:t>
      </w:r>
      <w:r w:rsidR="00375502">
        <w:t>Mr </w:t>
      </w:r>
      <w:r w:rsidR="000D1E18">
        <w:t xml:space="preserve">Hacker to half of those that would otherwise have been imposed. This has the effect of distributing the penalties between </w:t>
      </w:r>
      <w:r w:rsidR="00375502">
        <w:t>Mr </w:t>
      </w:r>
      <w:r w:rsidR="000D1E18">
        <w:t>Hacker and the corporate respondents, but taking into account that the maximum penalty for a corporation is higher than for an individual.</w:t>
      </w:r>
    </w:p>
    <w:p w14:paraId="52160BD0" w14:textId="77777777" w:rsidR="000D1E18" w:rsidRDefault="000D1E18" w:rsidP="000D1E18">
      <w:pPr>
        <w:pStyle w:val="ParaNumbering"/>
      </w:pPr>
      <w:r>
        <w:t xml:space="preserve">On this basis, I will assess five penalties of </w:t>
      </w:r>
      <w:r w:rsidR="00C51C0D">
        <w:t>$</w:t>
      </w:r>
      <w:r w:rsidR="00111E2C">
        <w:t>13,125</w:t>
      </w:r>
      <w:r w:rsidR="00C51C0D">
        <w:t xml:space="preserve"> upon OSGS, a total of $</w:t>
      </w:r>
      <w:r w:rsidR="00111E2C">
        <w:t>65,625</w:t>
      </w:r>
      <w:r>
        <w:t xml:space="preserve">. I </w:t>
      </w:r>
      <w:r w:rsidR="00286CF2">
        <w:t xml:space="preserve">will </w:t>
      </w:r>
      <w:r>
        <w:t xml:space="preserve">assess </w:t>
      </w:r>
      <w:r w:rsidR="00286CF2">
        <w:t xml:space="preserve">nine </w:t>
      </w:r>
      <w:r w:rsidR="00C51C0D">
        <w:t>penalties of $</w:t>
      </w:r>
      <w:r w:rsidR="00111E2C">
        <w:t>11,250</w:t>
      </w:r>
      <w:r w:rsidR="00C51C0D">
        <w:t xml:space="preserve"> and 2</w:t>
      </w:r>
      <w:r w:rsidR="00286CF2">
        <w:t>7</w:t>
      </w:r>
      <w:r w:rsidR="00C51C0D">
        <w:t xml:space="preserve"> </w:t>
      </w:r>
      <w:r>
        <w:t xml:space="preserve">penalties of </w:t>
      </w:r>
      <w:r w:rsidR="00C51C0D">
        <w:t>$</w:t>
      </w:r>
      <w:r w:rsidR="00111E2C">
        <w:t>13,125</w:t>
      </w:r>
      <w:r w:rsidR="00C51C0D">
        <w:t xml:space="preserve"> </w:t>
      </w:r>
      <w:r w:rsidR="00286CF2">
        <w:t xml:space="preserve">upon </w:t>
      </w:r>
      <w:proofErr w:type="spellStart"/>
      <w:r>
        <w:t>Na</w:t>
      </w:r>
      <w:r w:rsidR="00C51C0D">
        <w:t>leview</w:t>
      </w:r>
      <w:proofErr w:type="spellEnd"/>
      <w:r w:rsidR="00C51C0D">
        <w:t>, a total of $</w:t>
      </w:r>
      <w:r w:rsidR="00111E2C">
        <w:t>455,625</w:t>
      </w:r>
      <w:r w:rsidR="00C51C0D">
        <w:t>.</w:t>
      </w:r>
      <w:r w:rsidR="006C11F7">
        <w:t xml:space="preserve"> </w:t>
      </w:r>
      <w:r w:rsidR="00C51C0D">
        <w:t xml:space="preserve">I </w:t>
      </w:r>
      <w:r w:rsidR="00286CF2">
        <w:t xml:space="preserve">will </w:t>
      </w:r>
      <w:r w:rsidR="00C51C0D">
        <w:t xml:space="preserve">assess </w:t>
      </w:r>
      <w:r w:rsidR="00286CF2">
        <w:t xml:space="preserve">nine </w:t>
      </w:r>
      <w:r w:rsidR="00C51C0D">
        <w:t>penalties of $</w:t>
      </w:r>
      <w:r w:rsidR="00111E2C">
        <w:t>2,250</w:t>
      </w:r>
      <w:r w:rsidR="00C51C0D">
        <w:t xml:space="preserve"> and </w:t>
      </w:r>
      <w:r w:rsidR="0034224B">
        <w:t>33</w:t>
      </w:r>
      <w:r>
        <w:t xml:space="preserve"> penalties of </w:t>
      </w:r>
      <w:r w:rsidR="00286CF2">
        <w:t>$</w:t>
      </w:r>
      <w:r w:rsidR="00111E2C">
        <w:t>2,625</w:t>
      </w:r>
      <w:r w:rsidR="00286CF2">
        <w:t xml:space="preserve"> upon </w:t>
      </w:r>
      <w:r w:rsidR="00375502">
        <w:t>Mr </w:t>
      </w:r>
      <w:r>
        <w:t>Hacker, a total of</w:t>
      </w:r>
      <w:r w:rsidR="00111E2C">
        <w:t xml:space="preserve"> $106,875</w:t>
      </w:r>
      <w:r w:rsidR="00670FFB">
        <w:t>.</w:t>
      </w:r>
    </w:p>
    <w:p w14:paraId="32D00C7F" w14:textId="77777777" w:rsidR="00670FFB" w:rsidRDefault="00670FFB" w:rsidP="00292FC6">
      <w:pPr>
        <w:pStyle w:val="ParaNumbering"/>
      </w:pPr>
      <w:r>
        <w:t xml:space="preserve">It is necessary to consider the totality of the penalties assessed. </w:t>
      </w:r>
      <w:r w:rsidR="00C51C0D">
        <w:t>In my opinion, t</w:t>
      </w:r>
      <w:r>
        <w:t xml:space="preserve">hat exercise </w:t>
      </w:r>
      <w:r w:rsidR="003323A2">
        <w:t xml:space="preserve">does not </w:t>
      </w:r>
      <w:r>
        <w:t xml:space="preserve">reveal the total penalties to be excessive. </w:t>
      </w:r>
    </w:p>
    <w:p w14:paraId="727C271F" w14:textId="77777777" w:rsidR="0097398B" w:rsidRDefault="0097398B" w:rsidP="0030493F">
      <w:pPr>
        <w:pStyle w:val="Heading2"/>
        <w:keepLines/>
      </w:pPr>
      <w:r w:rsidRPr="0097398B">
        <w:t xml:space="preserve">Contraventions of </w:t>
      </w:r>
      <w:r>
        <w:t>s </w:t>
      </w:r>
      <w:r w:rsidRPr="0097398B">
        <w:t>50–</w:t>
      </w:r>
      <w:r>
        <w:t>5</w:t>
      </w:r>
      <w:r w:rsidR="00E70FB8">
        <w:t xml:space="preserve"> of the TAS Act – D</w:t>
      </w:r>
      <w:r w:rsidRPr="0097398B">
        <w:t>eclarations</w:t>
      </w:r>
      <w:r w:rsidR="00E70FB8">
        <w:t xml:space="preserve"> and injunctive relief</w:t>
      </w:r>
    </w:p>
    <w:p w14:paraId="1FF5B8F0" w14:textId="77777777" w:rsidR="0097398B" w:rsidRDefault="0097398B" w:rsidP="0097398B">
      <w:pPr>
        <w:pStyle w:val="ParaNumbering"/>
      </w:pPr>
      <w:r>
        <w:t>The applicant seeks declaratory and permanent injunctive relief against the respondents.</w:t>
      </w:r>
    </w:p>
    <w:p w14:paraId="30C49F96" w14:textId="77777777" w:rsidR="0097398B" w:rsidRDefault="00BA2328" w:rsidP="0097398B">
      <w:pPr>
        <w:pStyle w:val="ParaNumbering"/>
      </w:pPr>
      <w:r>
        <w:t>The respondents d</w:t>
      </w:r>
      <w:r w:rsidR="0097398B">
        <w:t xml:space="preserve">o not oppose the granting of declaratory relief, but submit </w:t>
      </w:r>
      <w:r w:rsidR="00E70FB8">
        <w:t xml:space="preserve">the declarations should reflect the fact </w:t>
      </w:r>
      <w:r w:rsidR="0097398B">
        <w:t xml:space="preserve">that </w:t>
      </w:r>
      <w:r w:rsidR="00E70FB8">
        <w:t xml:space="preserve">a number of the </w:t>
      </w:r>
      <w:r w:rsidR="0097398B">
        <w:t xml:space="preserve">contraventions of </w:t>
      </w:r>
      <w:r>
        <w:t>O</w:t>
      </w:r>
      <w:r w:rsidR="0097398B">
        <w:t xml:space="preserve">SGS and </w:t>
      </w:r>
      <w:proofErr w:type="spellStart"/>
      <w:r>
        <w:t>Naleview</w:t>
      </w:r>
      <w:proofErr w:type="spellEnd"/>
      <w:r w:rsidR="00E70FB8">
        <w:t xml:space="preserve"> were established on the basis of their admissions. </w:t>
      </w:r>
    </w:p>
    <w:p w14:paraId="022B1384" w14:textId="77777777" w:rsidR="0097398B" w:rsidRDefault="0097398B" w:rsidP="003A5082">
      <w:pPr>
        <w:pStyle w:val="ParaNumbering"/>
      </w:pPr>
      <w:r>
        <w:t xml:space="preserve">In </w:t>
      </w:r>
      <w:r w:rsidR="00BA2328" w:rsidRPr="00BA2328">
        <w:rPr>
          <w:i/>
        </w:rPr>
        <w:t xml:space="preserve">Rural Press </w:t>
      </w:r>
      <w:r w:rsidR="00BA2328">
        <w:rPr>
          <w:i/>
        </w:rPr>
        <w:t xml:space="preserve">Ltd v </w:t>
      </w:r>
      <w:r w:rsidR="00BA2328" w:rsidRPr="00BA2328">
        <w:rPr>
          <w:i/>
        </w:rPr>
        <w:t xml:space="preserve">Australian Competition and Consumer Commission </w:t>
      </w:r>
      <w:r w:rsidR="00BA2328">
        <w:t>(</w:t>
      </w:r>
      <w:r>
        <w:t>2003</w:t>
      </w:r>
      <w:r w:rsidR="00BA2328">
        <w:t>)</w:t>
      </w:r>
      <w:r>
        <w:t xml:space="preserve"> 216 CLR 53, the plurality held at </w:t>
      </w:r>
      <w:r w:rsidR="00BA2328">
        <w:t>[</w:t>
      </w:r>
      <w:r>
        <w:t>89</w:t>
      </w:r>
      <w:r w:rsidR="00BA2328">
        <w:t>]</w:t>
      </w:r>
      <w:r>
        <w:t xml:space="preserve"> that declarations should indicate the gist of the findings made concerning the contravening conduct.</w:t>
      </w:r>
      <w:r w:rsidR="0071102E">
        <w:t xml:space="preserve"> </w:t>
      </w:r>
      <w:r w:rsidR="00456C35">
        <w:t>T</w:t>
      </w:r>
      <w:r w:rsidR="00E70FB8">
        <w:t xml:space="preserve">he </w:t>
      </w:r>
      <w:r w:rsidR="00E734AB">
        <w:t xml:space="preserve">respondents’ </w:t>
      </w:r>
      <w:r w:rsidR="00E70FB8">
        <w:t>submission that the declarations should also reflect the evidentiary basis upon which the findings were made</w:t>
      </w:r>
      <w:r w:rsidR="00456C35">
        <w:t xml:space="preserve"> is not supported by authority</w:t>
      </w:r>
      <w:r w:rsidR="00E70FB8">
        <w:t xml:space="preserve">. </w:t>
      </w:r>
      <w:r w:rsidR="00456C35">
        <w:t>I reject that submission.</w:t>
      </w:r>
    </w:p>
    <w:p w14:paraId="49985025" w14:textId="77777777" w:rsidR="0097398B" w:rsidRDefault="0097398B" w:rsidP="0097398B">
      <w:pPr>
        <w:pStyle w:val="ParaNumbering"/>
      </w:pPr>
      <w:r>
        <w:t>The respondents do</w:t>
      </w:r>
      <w:r w:rsidR="00E70FB8">
        <w:t xml:space="preserve"> not oppose a grant of</w:t>
      </w:r>
      <w:r>
        <w:t xml:space="preserve"> permanent injunctive relief.</w:t>
      </w:r>
      <w:r w:rsidR="0071102E">
        <w:t xml:space="preserve"> </w:t>
      </w:r>
      <w:r w:rsidR="00456C35">
        <w:t>I accept that such relief is appropriate.</w:t>
      </w:r>
    </w:p>
    <w:p w14:paraId="73478730" w14:textId="77777777" w:rsidR="0097398B" w:rsidRDefault="0097398B" w:rsidP="0097398B">
      <w:pPr>
        <w:pStyle w:val="ParaNumbering"/>
      </w:pPr>
      <w:r>
        <w:t>I will make declaratory and injunctive orders substantially in the form contended for by the applicant.</w:t>
      </w:r>
    </w:p>
    <w:p w14:paraId="1A1A34ED" w14:textId="77777777" w:rsidR="0097398B" w:rsidRDefault="00E70FB8" w:rsidP="00D64B3D">
      <w:pPr>
        <w:pStyle w:val="Heading2"/>
      </w:pPr>
      <w:proofErr w:type="spellStart"/>
      <w:r>
        <w:lastRenderedPageBreak/>
        <w:t>C</w:t>
      </w:r>
      <w:r w:rsidR="0097398B">
        <w:t>ontempt</w:t>
      </w:r>
      <w:r>
        <w:t>s</w:t>
      </w:r>
      <w:proofErr w:type="spellEnd"/>
      <w:r>
        <w:t xml:space="preserve"> of C</w:t>
      </w:r>
      <w:r w:rsidR="0097398B">
        <w:t>ourt</w:t>
      </w:r>
      <w:r>
        <w:t xml:space="preserve"> - Penalties</w:t>
      </w:r>
    </w:p>
    <w:p w14:paraId="7A6D1E91" w14:textId="77777777" w:rsidR="0097398B" w:rsidRDefault="0097398B" w:rsidP="00D64B3D">
      <w:pPr>
        <w:pStyle w:val="Heading3"/>
      </w:pPr>
      <w:r>
        <w:t>T</w:t>
      </w:r>
      <w:r w:rsidR="00D64B3D">
        <w:t>he</w:t>
      </w:r>
      <w:r w:rsidR="00781138">
        <w:t xml:space="preserve"> allegations and</w:t>
      </w:r>
      <w:r>
        <w:t xml:space="preserve"> findings of contempt</w:t>
      </w:r>
    </w:p>
    <w:p w14:paraId="473AA2E7" w14:textId="77777777" w:rsidR="00E70FB8" w:rsidRDefault="0097398B" w:rsidP="0097398B">
      <w:pPr>
        <w:pStyle w:val="ParaNumbering"/>
      </w:pPr>
      <w:r>
        <w:t xml:space="preserve">On 12 </w:t>
      </w:r>
      <w:r w:rsidR="00391071">
        <w:t xml:space="preserve">February </w:t>
      </w:r>
      <w:r>
        <w:t xml:space="preserve">2019, the applicant </w:t>
      </w:r>
      <w:r w:rsidR="00E70FB8">
        <w:t>filed an Originating Application commencing</w:t>
      </w:r>
      <w:r>
        <w:t xml:space="preserve"> the </w:t>
      </w:r>
      <w:r w:rsidR="00E70FB8">
        <w:t xml:space="preserve">principal </w:t>
      </w:r>
      <w:r>
        <w:t>pro</w:t>
      </w:r>
      <w:r w:rsidR="00391071">
        <w:t>ceedings against the respondent</w:t>
      </w:r>
      <w:r>
        <w:t xml:space="preserve">s </w:t>
      </w:r>
      <w:r w:rsidR="00E70FB8">
        <w:t xml:space="preserve">for contraventions of </w:t>
      </w:r>
      <w:r w:rsidR="00391071">
        <w:t>s </w:t>
      </w:r>
      <w:r>
        <w:t>50–</w:t>
      </w:r>
      <w:r w:rsidR="00391071">
        <w:t>5</w:t>
      </w:r>
      <w:r>
        <w:t xml:space="preserve"> of the TAS </w:t>
      </w:r>
      <w:r w:rsidR="00391071">
        <w:t>Act</w:t>
      </w:r>
      <w:r w:rsidR="005154EB">
        <w:t xml:space="preserve"> (</w:t>
      </w:r>
      <w:r w:rsidR="005154EB" w:rsidRPr="005154EB">
        <w:rPr>
          <w:b/>
        </w:rPr>
        <w:t>the Contravention Proceedings</w:t>
      </w:r>
      <w:r w:rsidR="005154EB">
        <w:t>)</w:t>
      </w:r>
      <w:r>
        <w:t>.</w:t>
      </w:r>
      <w:r w:rsidR="0071102E">
        <w:t xml:space="preserve"> </w:t>
      </w:r>
      <w:r w:rsidR="00E70FB8">
        <w:t xml:space="preserve">The Originating Application </w:t>
      </w:r>
      <w:r w:rsidR="007E3088">
        <w:t>also sought interlocutory injunctions restraining the respondents from providing tax agent services or BAS services for fee or reward.</w:t>
      </w:r>
    </w:p>
    <w:p w14:paraId="2F884612" w14:textId="77777777" w:rsidR="0097398B" w:rsidRDefault="0097398B" w:rsidP="0097398B">
      <w:pPr>
        <w:pStyle w:val="ParaNumbering"/>
      </w:pPr>
      <w:r>
        <w:t xml:space="preserve">On 1 March 2019, </w:t>
      </w:r>
      <w:r w:rsidR="0001420A">
        <w:t xml:space="preserve">I dismissed </w:t>
      </w:r>
      <w:r w:rsidR="007E3088">
        <w:t xml:space="preserve">the application for interlocutory injunctions upon the </w:t>
      </w:r>
      <w:r w:rsidR="00FC25D0">
        <w:t xml:space="preserve">giving of </w:t>
      </w:r>
      <w:r>
        <w:t>t</w:t>
      </w:r>
      <w:r w:rsidR="007E3088">
        <w:t>he following undertaking</w:t>
      </w:r>
      <w:r w:rsidR="00FC25D0">
        <w:t xml:space="preserve"> by the respondents</w:t>
      </w:r>
      <w:r>
        <w:t>:</w:t>
      </w:r>
    </w:p>
    <w:p w14:paraId="19F4E553" w14:textId="77777777" w:rsidR="00421FBA" w:rsidRDefault="00421FBA" w:rsidP="00421FBA">
      <w:pPr>
        <w:pStyle w:val="Quote1"/>
      </w:pPr>
      <w:r>
        <w:t xml:space="preserve">On a without admissions basis, until further order of the court or final disposition of this proceeding, </w:t>
      </w:r>
      <w:r w:rsidR="007E3088">
        <w:rPr>
          <w:u w:val="single"/>
        </w:rPr>
        <w:t>each respondent</w:t>
      </w:r>
      <w:r w:rsidR="007E3088">
        <w:t xml:space="preserve"> </w:t>
      </w:r>
      <w:r w:rsidRPr="007E3088">
        <w:t>(and in the case of the first respondent, either personally or on behalf of another entity)</w:t>
      </w:r>
      <w:r w:rsidRPr="00421FBA">
        <w:rPr>
          <w:u w:val="single"/>
        </w:rPr>
        <w:t xml:space="preserve"> will not provide tax agent services within the meaning of s 90–5 of the </w:t>
      </w:r>
      <w:r w:rsidRPr="00421FBA">
        <w:rPr>
          <w:i/>
          <w:u w:val="single"/>
        </w:rPr>
        <w:t>Tax Agent Services Act 2009</w:t>
      </w:r>
      <w:r w:rsidRPr="00421FBA">
        <w:rPr>
          <w:u w:val="single"/>
        </w:rPr>
        <w:t xml:space="preserve"> (</w:t>
      </w:r>
      <w:proofErr w:type="spellStart"/>
      <w:r w:rsidRPr="00421FBA">
        <w:rPr>
          <w:u w:val="single"/>
        </w:rPr>
        <w:t>Cth</w:t>
      </w:r>
      <w:proofErr w:type="spellEnd"/>
      <w:r w:rsidRPr="00421FBA">
        <w:rPr>
          <w:u w:val="single"/>
        </w:rPr>
        <w:t xml:space="preserve">) or BAS services within the meaning of s 90–10 of the </w:t>
      </w:r>
      <w:r w:rsidRPr="00421FBA">
        <w:rPr>
          <w:i/>
          <w:u w:val="single"/>
        </w:rPr>
        <w:t>Tax Agent Services Act 2009</w:t>
      </w:r>
      <w:r w:rsidRPr="00421FBA">
        <w:rPr>
          <w:u w:val="single"/>
        </w:rPr>
        <w:t xml:space="preserve"> (</w:t>
      </w:r>
      <w:proofErr w:type="spellStart"/>
      <w:r w:rsidRPr="00421FBA">
        <w:rPr>
          <w:u w:val="single"/>
        </w:rPr>
        <w:t>Cth</w:t>
      </w:r>
      <w:proofErr w:type="spellEnd"/>
      <w:r w:rsidRPr="00421FBA">
        <w:rPr>
          <w:u w:val="single"/>
        </w:rPr>
        <w:t>) for fee or reward to any person or entity</w:t>
      </w:r>
      <w:r>
        <w:t xml:space="preserve"> with the exception of those entities in respect of which the first respondent holds an officer position (being either director, company secretary and/or public officer), and, for the avoidance of any doubt, the undertaking does not prohibit the first respondent from receiving a fee or reward in respect of his officer role for those entities.</w:t>
      </w:r>
    </w:p>
    <w:p w14:paraId="630E7140" w14:textId="77777777" w:rsidR="0097398B" w:rsidRDefault="00421FBA" w:rsidP="00421FBA">
      <w:pPr>
        <w:pStyle w:val="Quote1"/>
      </w:pPr>
      <w:r>
        <w:t>(Emphasis added.)</w:t>
      </w:r>
    </w:p>
    <w:p w14:paraId="3C1B84C2" w14:textId="77777777" w:rsidR="0097398B" w:rsidRDefault="00FC25D0" w:rsidP="00FC25D0">
      <w:pPr>
        <w:pStyle w:val="ParaNumbering"/>
      </w:pPr>
      <w:r w:rsidRPr="00FC25D0">
        <w:t xml:space="preserve">On 17 June 2019, the applicant filed an interlocutory application and Statement of Charge (as was required under </w:t>
      </w:r>
      <w:proofErr w:type="spellStart"/>
      <w:r w:rsidRPr="00FC25D0">
        <w:t>rr</w:t>
      </w:r>
      <w:proofErr w:type="spellEnd"/>
      <w:r w:rsidRPr="00FC25D0">
        <w:t xml:space="preserve"> 42.11(1) and 42.12(a) of the </w:t>
      </w:r>
      <w:r w:rsidRPr="00FC25D0">
        <w:rPr>
          <w:i/>
        </w:rPr>
        <w:t>Federal Court Rules 2011</w:t>
      </w:r>
      <w:r w:rsidRPr="00FC25D0">
        <w:t xml:space="preserve"> (</w:t>
      </w:r>
      <w:proofErr w:type="spellStart"/>
      <w:r w:rsidRPr="00FC25D0">
        <w:t>Cth</w:t>
      </w:r>
      <w:proofErr w:type="spellEnd"/>
      <w:r w:rsidRPr="00FC25D0">
        <w:t>)) alleging that Mr Hacker and OSGS had breached their undertaking</w:t>
      </w:r>
      <w:r>
        <w:t>,</w:t>
      </w:r>
      <w:r w:rsidRPr="00FC25D0">
        <w:t xml:space="preserve"> and seeking the imposition of penalties upon </w:t>
      </w:r>
      <w:r w:rsidR="00266836">
        <w:t xml:space="preserve">them </w:t>
      </w:r>
      <w:r w:rsidRPr="00FC25D0">
        <w:t xml:space="preserve">for contempt of court. An </w:t>
      </w:r>
      <w:r w:rsidR="00266836" w:rsidRPr="00FC25D0">
        <w:t xml:space="preserve">Amended </w:t>
      </w:r>
      <w:r w:rsidRPr="00FC25D0">
        <w:t xml:space="preserve">Statement of Charge </w:t>
      </w:r>
      <w:r w:rsidR="00266836">
        <w:t xml:space="preserve">filed on 27 September 2019 </w:t>
      </w:r>
      <w:r w:rsidRPr="00FC25D0">
        <w:t xml:space="preserve">alleged that Mr Hacker </w:t>
      </w:r>
      <w:r w:rsidR="005154EB">
        <w:t>and OSGS</w:t>
      </w:r>
      <w:r w:rsidRPr="00FC25D0">
        <w:t xml:space="preserve"> committed </w:t>
      </w:r>
      <w:proofErr w:type="spellStart"/>
      <w:r w:rsidRPr="00FC25D0">
        <w:t>contempts</w:t>
      </w:r>
      <w:proofErr w:type="spellEnd"/>
      <w:r w:rsidRPr="00FC25D0">
        <w:t xml:space="preserve"> of court on </w:t>
      </w:r>
      <w:r>
        <w:t xml:space="preserve">three </w:t>
      </w:r>
      <w:r w:rsidRPr="00FC25D0">
        <w:t xml:space="preserve">occasions by </w:t>
      </w:r>
      <w:r>
        <w:t xml:space="preserve">breaching the undertaking </w:t>
      </w:r>
      <w:r w:rsidR="00266836">
        <w:t xml:space="preserve">of 1 March 2019 </w:t>
      </w:r>
      <w:r w:rsidRPr="00FC25D0">
        <w:t>as follows:</w:t>
      </w:r>
    </w:p>
    <w:p w14:paraId="06C0DE85" w14:textId="77777777" w:rsidR="00364826" w:rsidRDefault="00066240" w:rsidP="00742B78">
      <w:pPr>
        <w:pStyle w:val="ListNo1"/>
        <w:numPr>
          <w:ilvl w:val="0"/>
          <w:numId w:val="0"/>
        </w:numPr>
        <w:ind w:left="720" w:hanging="720"/>
      </w:pPr>
      <w:r>
        <w:t>(a)</w:t>
      </w:r>
      <w:r w:rsidR="00DF2432">
        <w:tab/>
      </w:r>
      <w:r w:rsidR="00364826">
        <w:t xml:space="preserve">on 6 March 2019, </w:t>
      </w:r>
      <w:r w:rsidR="00F7417B">
        <w:t xml:space="preserve">preparing </w:t>
      </w:r>
      <w:r w:rsidR="00364826">
        <w:t>a 2018 Income Tax Return (</w:t>
      </w:r>
      <w:r w:rsidR="00364826" w:rsidRPr="00364826">
        <w:rPr>
          <w:b/>
        </w:rPr>
        <w:t>ITR</w:t>
      </w:r>
      <w:r w:rsidR="003B740A">
        <w:t xml:space="preserve">) for </w:t>
      </w:r>
      <w:proofErr w:type="spellStart"/>
      <w:r w:rsidR="003B740A">
        <w:t>Palwinder</w:t>
      </w:r>
      <w:proofErr w:type="spellEnd"/>
      <w:r w:rsidR="003B740A">
        <w:t xml:space="preserve"> Lore for $132;</w:t>
      </w:r>
    </w:p>
    <w:p w14:paraId="30255834" w14:textId="77777777" w:rsidR="00364826" w:rsidRDefault="00364826" w:rsidP="00742B78">
      <w:pPr>
        <w:pStyle w:val="ListNo1"/>
        <w:numPr>
          <w:ilvl w:val="0"/>
          <w:numId w:val="0"/>
        </w:numPr>
        <w:ind w:left="720" w:hanging="720"/>
      </w:pPr>
      <w:r>
        <w:t>(b)</w:t>
      </w:r>
      <w:r w:rsidR="00DF2432">
        <w:tab/>
      </w:r>
      <w:r>
        <w:t xml:space="preserve">on </w:t>
      </w:r>
      <w:r w:rsidR="00266836">
        <w:t>13</w:t>
      </w:r>
      <w:r>
        <w:t xml:space="preserve"> March 2019, </w:t>
      </w:r>
      <w:r w:rsidR="00F7417B">
        <w:t xml:space="preserve">preparing </w:t>
      </w:r>
      <w:r>
        <w:t xml:space="preserve">a 2018 </w:t>
      </w:r>
      <w:r w:rsidR="005154EB">
        <w:t xml:space="preserve">ITR </w:t>
      </w:r>
      <w:r>
        <w:t>for Jeremy Park for $132;</w:t>
      </w:r>
    </w:p>
    <w:p w14:paraId="23B58C19" w14:textId="77777777" w:rsidR="00364826" w:rsidRDefault="00364826" w:rsidP="00742B78">
      <w:pPr>
        <w:pStyle w:val="ListNo1"/>
        <w:numPr>
          <w:ilvl w:val="0"/>
          <w:numId w:val="0"/>
        </w:numPr>
        <w:ind w:left="720" w:hanging="720"/>
      </w:pPr>
      <w:r>
        <w:t>(c)</w:t>
      </w:r>
      <w:r w:rsidR="00DF2432">
        <w:tab/>
      </w:r>
      <w:r>
        <w:t xml:space="preserve">on </w:t>
      </w:r>
      <w:r w:rsidR="00266836">
        <w:t>18</w:t>
      </w:r>
      <w:r>
        <w:t xml:space="preserve"> March 2019, </w:t>
      </w:r>
      <w:r w:rsidR="00F7417B">
        <w:t xml:space="preserve">preparing </w:t>
      </w:r>
      <w:r>
        <w:t xml:space="preserve">a 2018 </w:t>
      </w:r>
      <w:r w:rsidR="005154EB">
        <w:t xml:space="preserve">ITR </w:t>
      </w:r>
      <w:r>
        <w:t xml:space="preserve">for Mohammed </w:t>
      </w:r>
      <w:proofErr w:type="spellStart"/>
      <w:r>
        <w:t>Rizwan</w:t>
      </w:r>
      <w:proofErr w:type="spellEnd"/>
      <w:r>
        <w:t xml:space="preserve"> Shaikh for $132.</w:t>
      </w:r>
    </w:p>
    <w:p w14:paraId="06CC6052" w14:textId="77777777" w:rsidR="0097398B" w:rsidRDefault="00D1221C" w:rsidP="00F7417B">
      <w:pPr>
        <w:pStyle w:val="ParaNumbering"/>
      </w:pPr>
      <w:r>
        <w:t xml:space="preserve">Each breach was alleged to be a separate contempt.  </w:t>
      </w:r>
      <w:r w:rsidR="0001420A">
        <w:t>The application was accompanied by affidavits of the taxpayers involved in the transactions. On</w:t>
      </w:r>
      <w:r w:rsidR="00552FD1">
        <w:t xml:space="preserve"> 1 July 2019</w:t>
      </w:r>
      <w:r w:rsidR="0001420A">
        <w:t xml:space="preserve">, </w:t>
      </w:r>
      <w:r w:rsidR="00E87DAF">
        <w:t>O</w:t>
      </w:r>
      <w:r w:rsidR="0097398B">
        <w:t xml:space="preserve">SGS admitted the allegations, but they were denied by </w:t>
      </w:r>
      <w:r w:rsidR="00375502">
        <w:t>Mr </w:t>
      </w:r>
      <w:r w:rsidR="00421FBA">
        <w:t>Hacker</w:t>
      </w:r>
      <w:r w:rsidR="0097398B">
        <w:t>.</w:t>
      </w:r>
      <w:r w:rsidR="0071102E">
        <w:t xml:space="preserve"> </w:t>
      </w:r>
      <w:r w:rsidR="0097398B">
        <w:t xml:space="preserve">In </w:t>
      </w:r>
      <w:r w:rsidR="00E87DAF" w:rsidRPr="00F7417B">
        <w:rPr>
          <w:i/>
        </w:rPr>
        <w:t>Tax Practitioners Board v Hacker (No 2)</w:t>
      </w:r>
      <w:r w:rsidR="0097398B">
        <w:t xml:space="preserve">, I found the allegations </w:t>
      </w:r>
      <w:r w:rsidR="0046543D">
        <w:t xml:space="preserve">of </w:t>
      </w:r>
      <w:r w:rsidR="0001420A">
        <w:t>contempt to be proven</w:t>
      </w:r>
      <w:r w:rsidR="0097398B">
        <w:t xml:space="preserve"> against both </w:t>
      </w:r>
      <w:r w:rsidR="00375502">
        <w:t>Mr </w:t>
      </w:r>
      <w:r w:rsidR="00421FBA">
        <w:t>Hacker</w:t>
      </w:r>
      <w:r w:rsidR="0097398B">
        <w:t xml:space="preserve"> and </w:t>
      </w:r>
      <w:r w:rsidR="00421FBA">
        <w:t>OSGS</w:t>
      </w:r>
      <w:r w:rsidR="00F7417B">
        <w:t xml:space="preserve"> (</w:t>
      </w:r>
      <w:r w:rsidR="00F7417B" w:rsidRPr="00F7417B">
        <w:rPr>
          <w:b/>
        </w:rPr>
        <w:t xml:space="preserve">the First </w:t>
      </w:r>
      <w:proofErr w:type="spellStart"/>
      <w:r w:rsidR="00F7417B" w:rsidRPr="00F7417B">
        <w:rPr>
          <w:b/>
        </w:rPr>
        <w:t>Contempts</w:t>
      </w:r>
      <w:proofErr w:type="spellEnd"/>
      <w:r w:rsidR="00F7417B">
        <w:t>)</w:t>
      </w:r>
      <w:r w:rsidR="0097398B">
        <w:t>.</w:t>
      </w:r>
    </w:p>
    <w:p w14:paraId="6997D6F8" w14:textId="77777777" w:rsidR="0097398B" w:rsidRDefault="0046543D" w:rsidP="0097398B">
      <w:pPr>
        <w:pStyle w:val="ParaNumbering"/>
      </w:pPr>
      <w:r>
        <w:lastRenderedPageBreak/>
        <w:t xml:space="preserve">By a </w:t>
      </w:r>
      <w:r w:rsidR="0097398B">
        <w:t xml:space="preserve">further interlocutory application </w:t>
      </w:r>
      <w:r>
        <w:t xml:space="preserve">and </w:t>
      </w:r>
      <w:r w:rsidR="0001420A">
        <w:t>Statement of C</w:t>
      </w:r>
      <w:r w:rsidR="0097398B">
        <w:t>harge</w:t>
      </w:r>
      <w:r>
        <w:t xml:space="preserve"> filed on </w:t>
      </w:r>
      <w:r w:rsidR="005E3230">
        <w:t xml:space="preserve">13 </w:t>
      </w:r>
      <w:r w:rsidR="0097398B">
        <w:t xml:space="preserve">November 2019, the applicant alleged that </w:t>
      </w:r>
      <w:r w:rsidR="00375502">
        <w:t>Mr </w:t>
      </w:r>
      <w:r w:rsidR="00421FBA">
        <w:t>Hacker</w:t>
      </w:r>
      <w:r w:rsidR="0097398B">
        <w:t xml:space="preserve"> and </w:t>
      </w:r>
      <w:r w:rsidR="00421FBA">
        <w:t>OSGS</w:t>
      </w:r>
      <w:r w:rsidR="0097398B">
        <w:t xml:space="preserve"> </w:t>
      </w:r>
      <w:r w:rsidR="00115377">
        <w:t xml:space="preserve">committed </w:t>
      </w:r>
      <w:proofErr w:type="spellStart"/>
      <w:r w:rsidR="0097398B">
        <w:t>contempt</w:t>
      </w:r>
      <w:r w:rsidR="00115377">
        <w:t>s</w:t>
      </w:r>
      <w:proofErr w:type="spellEnd"/>
      <w:r w:rsidR="0097398B">
        <w:t xml:space="preserve"> of court </w:t>
      </w:r>
      <w:r w:rsidR="00801B43">
        <w:t xml:space="preserve">on five occasions </w:t>
      </w:r>
      <w:r w:rsidR="0097398B">
        <w:t xml:space="preserve">by </w:t>
      </w:r>
      <w:r>
        <w:t xml:space="preserve">breaching the undertaking </w:t>
      </w:r>
      <w:r w:rsidR="00A146AF">
        <w:t>o</w:t>
      </w:r>
      <w:r w:rsidR="00115377">
        <w:t xml:space="preserve">f 1 March 2019 </w:t>
      </w:r>
      <w:r w:rsidR="0037702E">
        <w:t>as follows</w:t>
      </w:r>
      <w:r w:rsidR="0097398B">
        <w:t>:</w:t>
      </w:r>
    </w:p>
    <w:p w14:paraId="011ED63E" w14:textId="77777777" w:rsidR="0046543D" w:rsidRDefault="0046543D" w:rsidP="00742B78">
      <w:pPr>
        <w:pStyle w:val="ListNo1"/>
        <w:numPr>
          <w:ilvl w:val="0"/>
          <w:numId w:val="0"/>
        </w:numPr>
        <w:ind w:left="720" w:hanging="720"/>
      </w:pPr>
      <w:r>
        <w:t>(a)</w:t>
      </w:r>
      <w:r>
        <w:tab/>
      </w:r>
      <w:r w:rsidR="0097398B">
        <w:t xml:space="preserve">on 6 September 2019, </w:t>
      </w:r>
      <w:r w:rsidR="00F7417B">
        <w:t xml:space="preserve">preparing </w:t>
      </w:r>
      <w:r>
        <w:t>a 20</w:t>
      </w:r>
      <w:r w:rsidR="0097398B">
        <w:t xml:space="preserve">19 </w:t>
      </w:r>
      <w:r w:rsidR="00364826">
        <w:t xml:space="preserve">ITR </w:t>
      </w:r>
      <w:r w:rsidR="0037702E">
        <w:t>for</w:t>
      </w:r>
      <w:r w:rsidR="0097398B">
        <w:t xml:space="preserve"> </w:t>
      </w:r>
      <w:proofErr w:type="spellStart"/>
      <w:r>
        <w:t>Hyuna</w:t>
      </w:r>
      <w:proofErr w:type="spellEnd"/>
      <w:r>
        <w:t xml:space="preserve"> Kim</w:t>
      </w:r>
      <w:r w:rsidR="0097398B">
        <w:t xml:space="preserve"> for $132; </w:t>
      </w:r>
    </w:p>
    <w:p w14:paraId="170DBC74" w14:textId="77777777" w:rsidR="0046543D" w:rsidRDefault="0046543D" w:rsidP="00742B78">
      <w:pPr>
        <w:pStyle w:val="ListNo1"/>
        <w:numPr>
          <w:ilvl w:val="0"/>
          <w:numId w:val="0"/>
        </w:numPr>
        <w:ind w:left="720" w:hanging="720"/>
      </w:pPr>
      <w:r>
        <w:t>(b)</w:t>
      </w:r>
      <w:r>
        <w:tab/>
      </w:r>
      <w:r w:rsidR="0097398B">
        <w:t>on 20 Sept</w:t>
      </w:r>
      <w:r w:rsidR="00F7417B">
        <w:t xml:space="preserve">ember 2019, preparing a </w:t>
      </w:r>
      <w:r w:rsidR="0097398B">
        <w:t xml:space="preserve">2019 ITR for Rosemary </w:t>
      </w:r>
      <w:proofErr w:type="spellStart"/>
      <w:r>
        <w:t>Am</w:t>
      </w:r>
      <w:r w:rsidR="0097398B">
        <w:t>al</w:t>
      </w:r>
      <w:r>
        <w:t>i</w:t>
      </w:r>
      <w:proofErr w:type="spellEnd"/>
      <w:r w:rsidR="0097398B">
        <w:t xml:space="preserve"> </w:t>
      </w:r>
      <w:proofErr w:type="spellStart"/>
      <w:r>
        <w:t>Delwala</w:t>
      </w:r>
      <w:proofErr w:type="spellEnd"/>
      <w:r>
        <w:t xml:space="preserve"> </w:t>
      </w:r>
      <w:r w:rsidR="0097398B">
        <w:t xml:space="preserve">for $132; </w:t>
      </w:r>
    </w:p>
    <w:p w14:paraId="05035CE7" w14:textId="77777777" w:rsidR="0046543D" w:rsidRDefault="0046543D" w:rsidP="00742B78">
      <w:pPr>
        <w:pStyle w:val="ListNo1"/>
        <w:numPr>
          <w:ilvl w:val="0"/>
          <w:numId w:val="0"/>
        </w:numPr>
        <w:ind w:left="720" w:hanging="720"/>
      </w:pPr>
      <w:r>
        <w:t>(c)</w:t>
      </w:r>
      <w:r>
        <w:tab/>
        <w:t xml:space="preserve">on </w:t>
      </w:r>
      <w:r w:rsidR="0097398B">
        <w:t xml:space="preserve">24 September 2019, </w:t>
      </w:r>
      <w:r w:rsidR="00F7417B">
        <w:t>preparing</w:t>
      </w:r>
      <w:r w:rsidR="0097398B">
        <w:t xml:space="preserve"> 2017</w:t>
      </w:r>
      <w:r>
        <w:t>,</w:t>
      </w:r>
      <w:r w:rsidR="0097398B">
        <w:t xml:space="preserve"> 2018 and 2019 </w:t>
      </w:r>
      <w:r w:rsidR="00F7417B">
        <w:t>ITRs for John Melvin</w:t>
      </w:r>
      <w:r w:rsidR="0097398B">
        <w:t xml:space="preserve"> </w:t>
      </w:r>
      <w:proofErr w:type="spellStart"/>
      <w:r w:rsidR="00115377">
        <w:t>C</w:t>
      </w:r>
      <w:r>
        <w:t>laveria</w:t>
      </w:r>
      <w:proofErr w:type="spellEnd"/>
      <w:r>
        <w:t xml:space="preserve"> </w:t>
      </w:r>
      <w:r w:rsidR="0097398B">
        <w:t xml:space="preserve">for $396; </w:t>
      </w:r>
    </w:p>
    <w:p w14:paraId="6D0FAFB8" w14:textId="77777777" w:rsidR="00B21495" w:rsidRDefault="0046543D" w:rsidP="00742B78">
      <w:pPr>
        <w:pStyle w:val="ListNo1"/>
        <w:numPr>
          <w:ilvl w:val="0"/>
          <w:numId w:val="0"/>
        </w:numPr>
        <w:ind w:left="720" w:hanging="720"/>
      </w:pPr>
      <w:r>
        <w:t>(d)</w:t>
      </w:r>
      <w:r>
        <w:tab/>
        <w:t xml:space="preserve">on </w:t>
      </w:r>
      <w:r w:rsidR="0097398B">
        <w:t>24 September 2019,</w:t>
      </w:r>
      <w:r w:rsidR="00F7417B" w:rsidRPr="00F7417B">
        <w:t xml:space="preserve"> </w:t>
      </w:r>
      <w:r w:rsidR="00F7417B">
        <w:t>preparing</w:t>
      </w:r>
      <w:r w:rsidR="0097398B">
        <w:t xml:space="preserve"> </w:t>
      </w:r>
      <w:r>
        <w:t xml:space="preserve">a 2019 </w:t>
      </w:r>
      <w:r w:rsidR="0097398B">
        <w:t xml:space="preserve">ITR for </w:t>
      </w:r>
      <w:proofErr w:type="spellStart"/>
      <w:r>
        <w:t>Thi</w:t>
      </w:r>
      <w:proofErr w:type="spellEnd"/>
      <w:r>
        <w:t xml:space="preserve"> </w:t>
      </w:r>
      <w:r w:rsidR="0097398B">
        <w:t>Cam</w:t>
      </w:r>
      <w:r>
        <w:t xml:space="preserve"> </w:t>
      </w:r>
      <w:proofErr w:type="spellStart"/>
      <w:r>
        <w:t>Giang</w:t>
      </w:r>
      <w:proofErr w:type="spellEnd"/>
      <w:r>
        <w:t xml:space="preserve"> Pham </w:t>
      </w:r>
      <w:r w:rsidR="0097398B">
        <w:t xml:space="preserve">for $132; </w:t>
      </w:r>
    </w:p>
    <w:p w14:paraId="0DD504F8" w14:textId="77777777" w:rsidR="0097398B" w:rsidRDefault="00B21495" w:rsidP="00742B78">
      <w:pPr>
        <w:pStyle w:val="ListNo1"/>
        <w:numPr>
          <w:ilvl w:val="0"/>
          <w:numId w:val="0"/>
        </w:numPr>
        <w:ind w:left="720" w:hanging="720"/>
      </w:pPr>
      <w:r>
        <w:t>(e)</w:t>
      </w:r>
      <w:r>
        <w:tab/>
        <w:t xml:space="preserve">on </w:t>
      </w:r>
      <w:r w:rsidR="0097398B">
        <w:t xml:space="preserve">25 September 2019, </w:t>
      </w:r>
      <w:r w:rsidR="00F7417B">
        <w:t xml:space="preserve">preparing </w:t>
      </w:r>
      <w:r w:rsidR="0097398B">
        <w:t xml:space="preserve">a 2019 ITR for </w:t>
      </w:r>
      <w:r>
        <w:t xml:space="preserve">Tri </w:t>
      </w:r>
      <w:proofErr w:type="spellStart"/>
      <w:r>
        <w:t>Huu</w:t>
      </w:r>
      <w:proofErr w:type="spellEnd"/>
      <w:r>
        <w:t xml:space="preserve"> Le </w:t>
      </w:r>
      <w:r w:rsidR="0097398B">
        <w:t>for $180.</w:t>
      </w:r>
    </w:p>
    <w:p w14:paraId="402C552B" w14:textId="77777777" w:rsidR="0001420A" w:rsidRDefault="0037702E" w:rsidP="0030493F">
      <w:pPr>
        <w:pStyle w:val="ParaNumbering"/>
        <w:keepNext/>
        <w:keepLines/>
      </w:pPr>
      <w:r>
        <w:t xml:space="preserve">Each breach was alleged to be a separate contempt.  </w:t>
      </w:r>
      <w:r w:rsidR="0001420A">
        <w:t>The application was accompanied by affidavits of the taxpayers involved. On</w:t>
      </w:r>
      <w:r w:rsidR="00552FD1">
        <w:t xml:space="preserve"> 10 February 2020</w:t>
      </w:r>
      <w:r w:rsidR="0001420A">
        <w:t xml:space="preserve">, </w:t>
      </w:r>
      <w:r w:rsidR="00375502">
        <w:t>Mr </w:t>
      </w:r>
      <w:r w:rsidR="00421FBA">
        <w:t>Hacker</w:t>
      </w:r>
      <w:r w:rsidR="0097398B">
        <w:t xml:space="preserve"> and </w:t>
      </w:r>
      <w:r w:rsidR="00421FBA">
        <w:t>OSGS</w:t>
      </w:r>
      <w:r w:rsidR="0097398B">
        <w:t xml:space="preserve"> admitted the </w:t>
      </w:r>
      <w:proofErr w:type="spellStart"/>
      <w:r w:rsidR="0097398B">
        <w:t>contempt</w:t>
      </w:r>
      <w:r w:rsidR="00F7417B">
        <w:t>s</w:t>
      </w:r>
      <w:proofErr w:type="spellEnd"/>
      <w:r w:rsidR="0097398B">
        <w:t>.</w:t>
      </w:r>
      <w:r w:rsidR="0001420A">
        <w:t xml:space="preserve"> I formally made findings in </w:t>
      </w:r>
      <w:r w:rsidR="0001420A" w:rsidRPr="00E87DAF">
        <w:rPr>
          <w:i/>
        </w:rPr>
        <w:t xml:space="preserve">Tax Practitioners Board </w:t>
      </w:r>
      <w:r w:rsidR="0001420A">
        <w:rPr>
          <w:i/>
        </w:rPr>
        <w:t xml:space="preserve">v </w:t>
      </w:r>
      <w:r w:rsidR="0001420A" w:rsidRPr="00E87DAF">
        <w:rPr>
          <w:i/>
        </w:rPr>
        <w:t xml:space="preserve">Hacker </w:t>
      </w:r>
      <w:r w:rsidR="0001420A">
        <w:rPr>
          <w:i/>
        </w:rPr>
        <w:t xml:space="preserve">(No </w:t>
      </w:r>
      <w:r w:rsidR="0001420A" w:rsidRPr="00E87DAF">
        <w:rPr>
          <w:i/>
        </w:rPr>
        <w:t>2)</w:t>
      </w:r>
      <w:r w:rsidR="0001420A">
        <w:t xml:space="preserve">, that the </w:t>
      </w:r>
      <w:proofErr w:type="spellStart"/>
      <w:r w:rsidR="0001420A">
        <w:t>contempts</w:t>
      </w:r>
      <w:proofErr w:type="spellEnd"/>
      <w:r w:rsidR="0001420A">
        <w:t xml:space="preserve"> were proven against </w:t>
      </w:r>
      <w:r w:rsidR="00375502">
        <w:t>Mr </w:t>
      </w:r>
      <w:r w:rsidR="0001420A">
        <w:t>Hacker and OSGS</w:t>
      </w:r>
      <w:r w:rsidR="00781138">
        <w:t xml:space="preserve"> </w:t>
      </w:r>
      <w:r w:rsidR="00F7417B">
        <w:t>(</w:t>
      </w:r>
      <w:r w:rsidR="00F7417B">
        <w:rPr>
          <w:b/>
        </w:rPr>
        <w:t xml:space="preserve">the Second </w:t>
      </w:r>
      <w:proofErr w:type="spellStart"/>
      <w:r w:rsidR="00F7417B" w:rsidRPr="00F7417B">
        <w:rPr>
          <w:b/>
        </w:rPr>
        <w:t>Contempts</w:t>
      </w:r>
      <w:proofErr w:type="spellEnd"/>
      <w:r w:rsidR="00F7417B">
        <w:t>).</w:t>
      </w:r>
    </w:p>
    <w:p w14:paraId="7FCC1980" w14:textId="77777777" w:rsidR="00636255" w:rsidRDefault="008E6922" w:rsidP="008E6922">
      <w:pPr>
        <w:pStyle w:val="ParaNumbering"/>
      </w:pPr>
      <w:r w:rsidRPr="008E6922">
        <w:t xml:space="preserve">On 26 November 2019, upon the provision of an irrevocable authority by the respondents, I adjourned the hearing of the principal proceedings and </w:t>
      </w:r>
      <w:r w:rsidR="005926CD">
        <w:t xml:space="preserve">the </w:t>
      </w:r>
      <w:r w:rsidRPr="008E6922">
        <w:t xml:space="preserve">applicant’s interlocutory application in respect of the First and Second </w:t>
      </w:r>
      <w:proofErr w:type="spellStart"/>
      <w:r w:rsidRPr="008E6922">
        <w:t>Contempts</w:t>
      </w:r>
      <w:proofErr w:type="spellEnd"/>
      <w:r w:rsidRPr="008E6922">
        <w:t xml:space="preserve">. </w:t>
      </w:r>
      <w:r w:rsidR="005926CD">
        <w:t xml:space="preserve">Mr Hacker, on behalf of himself and in his capacity as director of OSGS and </w:t>
      </w:r>
      <w:proofErr w:type="spellStart"/>
      <w:r w:rsidR="005926CD">
        <w:t>Naleview</w:t>
      </w:r>
      <w:proofErr w:type="spellEnd"/>
      <w:r w:rsidR="005926CD">
        <w:t>, provided an irrevocable authority to authori</w:t>
      </w:r>
      <w:r w:rsidR="00D86875">
        <w:t>s</w:t>
      </w:r>
      <w:r w:rsidR="005926CD">
        <w:t>e and direct his solicitors to hold $15,000 and transfer all or part of that sum to the Court or the applicant in accordance with any order or direction in these proceedings.</w:t>
      </w:r>
      <w:r w:rsidR="003A5082">
        <w:t xml:space="preserve">  The authority was intended to provide a security against further contraventions of the undertaking.</w:t>
      </w:r>
    </w:p>
    <w:p w14:paraId="53FB3D42" w14:textId="77777777" w:rsidR="0097398B" w:rsidRDefault="0001420A" w:rsidP="00F7417B">
      <w:pPr>
        <w:pStyle w:val="ParaNumbering"/>
      </w:pPr>
      <w:r>
        <w:t>On 13 February 2020, I reserved</w:t>
      </w:r>
      <w:r w:rsidR="0097398B">
        <w:t xml:space="preserve"> judgment in respect of the allegations </w:t>
      </w:r>
      <w:r w:rsidR="00C203EB">
        <w:t>of</w:t>
      </w:r>
      <w:r w:rsidR="0097398B">
        <w:t xml:space="preserve"> contravention of </w:t>
      </w:r>
      <w:r w:rsidR="00227F56">
        <w:t>s </w:t>
      </w:r>
      <w:r w:rsidR="0097398B">
        <w:t>50–</w:t>
      </w:r>
      <w:r w:rsidR="00227F56">
        <w:t>5</w:t>
      </w:r>
      <w:r w:rsidR="0097398B">
        <w:t xml:space="preserve"> </w:t>
      </w:r>
      <w:r w:rsidR="00B352BD">
        <w:t xml:space="preserve">of </w:t>
      </w:r>
      <w:r w:rsidR="0097398B">
        <w:t xml:space="preserve">the TAS </w:t>
      </w:r>
      <w:r w:rsidR="00227F56">
        <w:t xml:space="preserve">Act </w:t>
      </w:r>
      <w:r w:rsidR="0097398B">
        <w:t>and the</w:t>
      </w:r>
      <w:r w:rsidR="008E6922">
        <w:t xml:space="preserve"> First and Second </w:t>
      </w:r>
      <w:proofErr w:type="spellStart"/>
      <w:r w:rsidR="008E6922">
        <w:t>Contempts</w:t>
      </w:r>
      <w:proofErr w:type="spellEnd"/>
      <w:r w:rsidR="0097398B">
        <w:t>.</w:t>
      </w:r>
      <w:r w:rsidR="00F7417B">
        <w:t xml:space="preserve"> </w:t>
      </w:r>
      <w:r w:rsidR="0097398B">
        <w:t xml:space="preserve">After </w:t>
      </w:r>
      <w:r w:rsidR="00F2630F">
        <w:t xml:space="preserve">I </w:t>
      </w:r>
      <w:r w:rsidR="00F7417B">
        <w:t xml:space="preserve">had </w:t>
      </w:r>
      <w:r w:rsidR="0097398B">
        <w:t>reserve</w:t>
      </w:r>
      <w:r w:rsidR="00F2630F">
        <w:t>d</w:t>
      </w:r>
      <w:r w:rsidR="0097398B">
        <w:t xml:space="preserve"> judgment, three further proceedings for contempt</w:t>
      </w:r>
      <w:r w:rsidR="00F2630F">
        <w:t xml:space="preserve"> were brought</w:t>
      </w:r>
      <w:r w:rsidR="0097398B">
        <w:t>.</w:t>
      </w:r>
    </w:p>
    <w:p w14:paraId="6869ED42" w14:textId="77777777" w:rsidR="0097398B" w:rsidRDefault="00F7417B" w:rsidP="0097398B">
      <w:pPr>
        <w:pStyle w:val="ParaNumbering"/>
      </w:pPr>
      <w:r>
        <w:t>On 23</w:t>
      </w:r>
      <w:r w:rsidR="00F2630F">
        <w:t xml:space="preserve"> </w:t>
      </w:r>
      <w:r w:rsidR="0097398B">
        <w:t xml:space="preserve">March 2020, the applicant filed </w:t>
      </w:r>
      <w:r w:rsidR="00F2630F">
        <w:t xml:space="preserve">an </w:t>
      </w:r>
      <w:r>
        <w:t>interlocutory application and Statement of C</w:t>
      </w:r>
      <w:r w:rsidR="0097398B">
        <w:t xml:space="preserve">harge alleging that </w:t>
      </w:r>
      <w:r w:rsidR="00375502">
        <w:t>Mr </w:t>
      </w:r>
      <w:r w:rsidR="00421FBA">
        <w:t>Hacker</w:t>
      </w:r>
      <w:r w:rsidR="0097398B">
        <w:t xml:space="preserve"> and </w:t>
      </w:r>
      <w:r w:rsidR="00421FBA">
        <w:t>OSGS</w:t>
      </w:r>
      <w:r w:rsidR="0097398B">
        <w:t xml:space="preserve"> </w:t>
      </w:r>
      <w:r>
        <w:t>committed</w:t>
      </w:r>
      <w:r w:rsidR="00F2630F">
        <w:t xml:space="preserve"> </w:t>
      </w:r>
      <w:proofErr w:type="spellStart"/>
      <w:r w:rsidR="0097398B">
        <w:t>contempt</w:t>
      </w:r>
      <w:r w:rsidR="007C2B2D">
        <w:t>s</w:t>
      </w:r>
      <w:proofErr w:type="spellEnd"/>
      <w:r w:rsidR="0097398B">
        <w:t xml:space="preserve"> of court </w:t>
      </w:r>
      <w:r w:rsidR="00801B43">
        <w:t xml:space="preserve">on eight occasions </w:t>
      </w:r>
      <w:r w:rsidR="0097398B">
        <w:t xml:space="preserve">by breaching the undertaking </w:t>
      </w:r>
      <w:r w:rsidR="00FF5D90">
        <w:t xml:space="preserve">of 1 March 2019 </w:t>
      </w:r>
      <w:r w:rsidR="0097398B">
        <w:t>as follows:</w:t>
      </w:r>
    </w:p>
    <w:p w14:paraId="42BFE67A" w14:textId="77777777" w:rsidR="00F2630F" w:rsidRDefault="00F2630F" w:rsidP="00742B78">
      <w:pPr>
        <w:pStyle w:val="ListNo1"/>
        <w:numPr>
          <w:ilvl w:val="0"/>
          <w:numId w:val="0"/>
        </w:numPr>
        <w:ind w:left="720" w:hanging="720"/>
      </w:pPr>
      <w:r>
        <w:t>(a)</w:t>
      </w:r>
      <w:r>
        <w:tab/>
      </w:r>
      <w:r w:rsidR="00F7417B">
        <w:t>on</w:t>
      </w:r>
      <w:r w:rsidR="00552FD1">
        <w:t xml:space="preserve"> 3 September 2019</w:t>
      </w:r>
      <w:r w:rsidR="00F7417B">
        <w:t xml:space="preserve">, </w:t>
      </w:r>
      <w:r>
        <w:t xml:space="preserve">preparing </w:t>
      </w:r>
      <w:r w:rsidR="00FF5D90">
        <w:t>a 2019</w:t>
      </w:r>
      <w:r w:rsidR="0097398B">
        <w:t xml:space="preserve"> ITR for </w:t>
      </w:r>
      <w:r>
        <w:t xml:space="preserve">Braulio </w:t>
      </w:r>
      <w:proofErr w:type="spellStart"/>
      <w:r>
        <w:t>Omanbac</w:t>
      </w:r>
      <w:proofErr w:type="spellEnd"/>
      <w:r>
        <w:t xml:space="preserve"> </w:t>
      </w:r>
      <w:proofErr w:type="spellStart"/>
      <w:r>
        <w:t>Bahan</w:t>
      </w:r>
      <w:proofErr w:type="spellEnd"/>
      <w:r w:rsidR="00F7417B">
        <w:t xml:space="preserve"> for $</w:t>
      </w:r>
      <w:r w:rsidR="00552FD1">
        <w:t>352</w:t>
      </w:r>
      <w:r w:rsidR="0097398B">
        <w:t xml:space="preserve">; </w:t>
      </w:r>
    </w:p>
    <w:p w14:paraId="56F9A691" w14:textId="77777777" w:rsidR="00F2630F" w:rsidRDefault="00F2630F" w:rsidP="00742B78">
      <w:pPr>
        <w:pStyle w:val="ListNo1"/>
        <w:numPr>
          <w:ilvl w:val="0"/>
          <w:numId w:val="0"/>
        </w:numPr>
        <w:ind w:left="720" w:hanging="720"/>
      </w:pPr>
      <w:r>
        <w:t>(b)</w:t>
      </w:r>
      <w:r>
        <w:tab/>
      </w:r>
      <w:r w:rsidR="00552FD1">
        <w:t xml:space="preserve">on 3 September 2019, preparing </w:t>
      </w:r>
      <w:r w:rsidR="00FF5D90">
        <w:t>a 2019</w:t>
      </w:r>
      <w:r w:rsidR="00552FD1">
        <w:t xml:space="preserve"> ITR for Carol </w:t>
      </w:r>
      <w:proofErr w:type="spellStart"/>
      <w:r w:rsidR="00552FD1">
        <w:t>Bahan</w:t>
      </w:r>
      <w:proofErr w:type="spellEnd"/>
      <w:r w:rsidR="00552FD1">
        <w:t xml:space="preserve"> for $352;</w:t>
      </w:r>
    </w:p>
    <w:p w14:paraId="4277F71F" w14:textId="77777777" w:rsidR="0097398B" w:rsidRDefault="00F2630F" w:rsidP="00742B78">
      <w:pPr>
        <w:pStyle w:val="ListNo1"/>
        <w:numPr>
          <w:ilvl w:val="0"/>
          <w:numId w:val="0"/>
        </w:numPr>
        <w:ind w:left="720" w:hanging="720"/>
      </w:pPr>
      <w:r>
        <w:t>(c)</w:t>
      </w:r>
      <w:r>
        <w:tab/>
      </w:r>
      <w:r w:rsidR="00552FD1">
        <w:t xml:space="preserve">on 27 September 2019, preparing </w:t>
      </w:r>
      <w:r w:rsidR="00FF5D90">
        <w:t>a 2019</w:t>
      </w:r>
      <w:r w:rsidR="00552FD1">
        <w:t xml:space="preserve"> ITR for Darrien Murphy for $132;</w:t>
      </w:r>
    </w:p>
    <w:p w14:paraId="0F503010" w14:textId="77777777" w:rsidR="0097398B" w:rsidRDefault="00F2630F" w:rsidP="00742B78">
      <w:pPr>
        <w:pStyle w:val="ListNo1"/>
        <w:numPr>
          <w:ilvl w:val="0"/>
          <w:numId w:val="0"/>
        </w:numPr>
        <w:ind w:left="720" w:hanging="720"/>
      </w:pPr>
      <w:r>
        <w:t>(d)</w:t>
      </w:r>
      <w:r>
        <w:tab/>
      </w:r>
      <w:r w:rsidR="00552FD1">
        <w:t>on 29 November 2019</w:t>
      </w:r>
      <w:r w:rsidR="00552FD1" w:rsidRPr="00DF2432">
        <w:t xml:space="preserve">, </w:t>
      </w:r>
      <w:r w:rsidR="00552FD1">
        <w:t xml:space="preserve">preparing </w:t>
      </w:r>
      <w:r w:rsidR="00FF5D90">
        <w:t>a 2019</w:t>
      </w:r>
      <w:r w:rsidR="00552FD1">
        <w:t xml:space="preserve"> ITR for Sarah </w:t>
      </w:r>
      <w:proofErr w:type="spellStart"/>
      <w:r w:rsidR="00552FD1">
        <w:t>Debesay</w:t>
      </w:r>
      <w:proofErr w:type="spellEnd"/>
      <w:r w:rsidR="00552FD1">
        <w:t xml:space="preserve"> </w:t>
      </w:r>
      <w:proofErr w:type="spellStart"/>
      <w:r w:rsidR="00552FD1">
        <w:t>Tagg</w:t>
      </w:r>
      <w:proofErr w:type="spellEnd"/>
      <w:r w:rsidR="00552FD1">
        <w:t xml:space="preserve"> for $132;</w:t>
      </w:r>
    </w:p>
    <w:p w14:paraId="12509A73" w14:textId="77777777" w:rsidR="00F41138" w:rsidRDefault="00F41138" w:rsidP="00742B78">
      <w:pPr>
        <w:pStyle w:val="ListNo1"/>
        <w:numPr>
          <w:ilvl w:val="0"/>
          <w:numId w:val="0"/>
        </w:numPr>
        <w:ind w:left="720" w:hanging="720"/>
      </w:pPr>
      <w:r>
        <w:lastRenderedPageBreak/>
        <w:t>(e)</w:t>
      </w:r>
      <w:r>
        <w:tab/>
      </w:r>
      <w:r w:rsidR="00552FD1">
        <w:t xml:space="preserve">on </w:t>
      </w:r>
      <w:r w:rsidR="00BF313E">
        <w:t>2 December 2019</w:t>
      </w:r>
      <w:r w:rsidR="00552FD1" w:rsidRPr="00DF2432">
        <w:t>,</w:t>
      </w:r>
      <w:r w:rsidR="00552FD1">
        <w:t xml:space="preserve"> preparing </w:t>
      </w:r>
      <w:r w:rsidR="00FF5D90">
        <w:t>a 2019</w:t>
      </w:r>
      <w:r w:rsidR="00552FD1">
        <w:t xml:space="preserve"> ITR for Jared Michael </w:t>
      </w:r>
      <w:proofErr w:type="spellStart"/>
      <w:r w:rsidR="00552FD1">
        <w:t>Tagg</w:t>
      </w:r>
      <w:proofErr w:type="spellEnd"/>
      <w:r w:rsidR="00552FD1">
        <w:t xml:space="preserve"> for $</w:t>
      </w:r>
      <w:r w:rsidR="00BF313E">
        <w:t>132</w:t>
      </w:r>
      <w:r w:rsidR="00552FD1">
        <w:t>;</w:t>
      </w:r>
    </w:p>
    <w:p w14:paraId="3941EFF1" w14:textId="77777777" w:rsidR="00F41138" w:rsidRDefault="00F41138" w:rsidP="00742B78">
      <w:pPr>
        <w:pStyle w:val="ListNo1"/>
        <w:numPr>
          <w:ilvl w:val="0"/>
          <w:numId w:val="0"/>
        </w:numPr>
        <w:ind w:left="720" w:hanging="720"/>
      </w:pPr>
      <w:r>
        <w:t>(f)</w:t>
      </w:r>
      <w:r>
        <w:tab/>
      </w:r>
      <w:r w:rsidR="00552FD1">
        <w:t xml:space="preserve">on </w:t>
      </w:r>
      <w:r w:rsidR="00BF313E" w:rsidRPr="00BF313E">
        <w:t>6 January 2020</w:t>
      </w:r>
      <w:r w:rsidR="00552FD1">
        <w:t xml:space="preserve">, preparing </w:t>
      </w:r>
      <w:r w:rsidR="00FF5D90">
        <w:t>a 2019</w:t>
      </w:r>
      <w:r w:rsidR="00552FD1">
        <w:t xml:space="preserve"> ITR for Emily Louise Martin for $</w:t>
      </w:r>
      <w:r w:rsidR="00BF313E">
        <w:t>132</w:t>
      </w:r>
      <w:r w:rsidR="00552FD1">
        <w:t>;</w:t>
      </w:r>
      <w:r>
        <w:t xml:space="preserve"> </w:t>
      </w:r>
    </w:p>
    <w:p w14:paraId="319EB2F0" w14:textId="77777777" w:rsidR="00552FD1" w:rsidRDefault="00F41138" w:rsidP="00742B78">
      <w:pPr>
        <w:pStyle w:val="ListNo1"/>
        <w:numPr>
          <w:ilvl w:val="0"/>
          <w:numId w:val="0"/>
        </w:numPr>
        <w:ind w:left="720" w:hanging="720"/>
        <w:rPr>
          <w:u w:val="single"/>
        </w:rPr>
      </w:pPr>
      <w:r>
        <w:t>(g)</w:t>
      </w:r>
      <w:r>
        <w:tab/>
      </w:r>
      <w:r w:rsidR="00552FD1">
        <w:t>on</w:t>
      </w:r>
      <w:r w:rsidR="00BF313E">
        <w:t xml:space="preserve"> 26 February 2020</w:t>
      </w:r>
      <w:r w:rsidR="00552FD1">
        <w:t xml:space="preserve">, preparing </w:t>
      </w:r>
      <w:r w:rsidR="00FF5D90">
        <w:t>a 2019 ITR</w:t>
      </w:r>
      <w:r w:rsidR="001E68AA">
        <w:t xml:space="preserve"> </w:t>
      </w:r>
      <w:r w:rsidR="00552FD1">
        <w:t xml:space="preserve">for </w:t>
      </w:r>
      <w:proofErr w:type="spellStart"/>
      <w:r w:rsidR="00552FD1">
        <w:t>Dawni</w:t>
      </w:r>
      <w:proofErr w:type="spellEnd"/>
      <w:r w:rsidR="00552FD1">
        <w:t xml:space="preserve"> Jose for $</w:t>
      </w:r>
      <w:r w:rsidR="00BF313E">
        <w:t>132</w:t>
      </w:r>
      <w:r w:rsidR="00552FD1">
        <w:t>;</w:t>
      </w:r>
    </w:p>
    <w:p w14:paraId="3043787B" w14:textId="77777777" w:rsidR="0097398B" w:rsidRDefault="00552FD1" w:rsidP="00742B78">
      <w:pPr>
        <w:pStyle w:val="ListNo1"/>
        <w:numPr>
          <w:ilvl w:val="0"/>
          <w:numId w:val="0"/>
        </w:numPr>
        <w:ind w:left="720" w:hanging="720"/>
      </w:pPr>
      <w:r w:rsidRPr="00552FD1">
        <w:t>(h)</w:t>
      </w:r>
      <w:r>
        <w:tab/>
        <w:t>on</w:t>
      </w:r>
      <w:r w:rsidR="00BF313E">
        <w:t xml:space="preserve"> 26 February 2020</w:t>
      </w:r>
      <w:r>
        <w:t xml:space="preserve">, preparing </w:t>
      </w:r>
      <w:r w:rsidR="00FF5D90">
        <w:t>a 2019</w:t>
      </w:r>
      <w:r>
        <w:t xml:space="preserve"> ITR for </w:t>
      </w:r>
      <w:proofErr w:type="spellStart"/>
      <w:r>
        <w:t>Nisha</w:t>
      </w:r>
      <w:proofErr w:type="spellEnd"/>
      <w:r>
        <w:t xml:space="preserve"> George for $</w:t>
      </w:r>
      <w:r w:rsidR="00BF313E">
        <w:t>132</w:t>
      </w:r>
      <w:r w:rsidR="0097398B">
        <w:t>.</w:t>
      </w:r>
    </w:p>
    <w:p w14:paraId="2771D19D" w14:textId="77777777" w:rsidR="00F7417B" w:rsidRDefault="00161593" w:rsidP="0097398B">
      <w:pPr>
        <w:pStyle w:val="ParaNumbering"/>
      </w:pPr>
      <w:r>
        <w:t xml:space="preserve">Each breach was alleged to be a separate contempt.  </w:t>
      </w:r>
      <w:r w:rsidR="00F7417B">
        <w:t xml:space="preserve">The application was accompanied by affidavits of the taxpayers involved. On 6 April 2020, </w:t>
      </w:r>
      <w:r w:rsidR="00375502">
        <w:t>Mr </w:t>
      </w:r>
      <w:r w:rsidR="00F7417B">
        <w:t xml:space="preserve">Hacker and OSGS admitted the </w:t>
      </w:r>
      <w:proofErr w:type="spellStart"/>
      <w:r w:rsidR="00F7417B">
        <w:t>contempts</w:t>
      </w:r>
      <w:proofErr w:type="spellEnd"/>
      <w:r w:rsidR="00781138">
        <w:t xml:space="preserve">. I find those </w:t>
      </w:r>
      <w:proofErr w:type="spellStart"/>
      <w:r w:rsidR="00781138">
        <w:t>contempts</w:t>
      </w:r>
      <w:proofErr w:type="spellEnd"/>
      <w:r w:rsidR="00781138">
        <w:t xml:space="preserve"> to have been proven </w:t>
      </w:r>
      <w:r w:rsidR="005A568F">
        <w:t>(</w:t>
      </w:r>
      <w:r w:rsidR="005A568F">
        <w:rPr>
          <w:b/>
        </w:rPr>
        <w:t>the Third</w:t>
      </w:r>
      <w:r w:rsidR="005A568F" w:rsidRPr="00F7417B">
        <w:rPr>
          <w:b/>
        </w:rPr>
        <w:t xml:space="preserve"> </w:t>
      </w:r>
      <w:proofErr w:type="spellStart"/>
      <w:r w:rsidR="005A568F" w:rsidRPr="00F7417B">
        <w:rPr>
          <w:b/>
        </w:rPr>
        <w:t>Contempts</w:t>
      </w:r>
      <w:proofErr w:type="spellEnd"/>
      <w:r w:rsidR="005A568F">
        <w:t>).</w:t>
      </w:r>
    </w:p>
    <w:p w14:paraId="54834016" w14:textId="77777777" w:rsidR="0097398B" w:rsidRDefault="0097398B" w:rsidP="0097398B">
      <w:pPr>
        <w:pStyle w:val="ParaNumbering"/>
      </w:pPr>
      <w:r>
        <w:t xml:space="preserve">On </w:t>
      </w:r>
      <w:r w:rsidR="00BF313E">
        <w:t>30 June</w:t>
      </w:r>
      <w:r>
        <w:t xml:space="preserve"> 2020, the applicant filed </w:t>
      </w:r>
      <w:r w:rsidR="00F41138">
        <w:t xml:space="preserve">a </w:t>
      </w:r>
      <w:r>
        <w:t>further</w:t>
      </w:r>
      <w:r w:rsidR="00F7417B">
        <w:t xml:space="preserve"> interlocutory application and Statement of C</w:t>
      </w:r>
      <w:r>
        <w:t xml:space="preserve">harge alleging that </w:t>
      </w:r>
      <w:r w:rsidR="00375502">
        <w:t>Mr </w:t>
      </w:r>
      <w:r w:rsidR="00421FBA">
        <w:t>Hacker</w:t>
      </w:r>
      <w:r>
        <w:t xml:space="preserve"> </w:t>
      </w:r>
      <w:r w:rsidR="00F41138">
        <w:t>and O</w:t>
      </w:r>
      <w:r w:rsidR="00801B43">
        <w:t xml:space="preserve">SGS </w:t>
      </w:r>
      <w:r w:rsidR="00FF5D90">
        <w:t xml:space="preserve">committed </w:t>
      </w:r>
      <w:proofErr w:type="spellStart"/>
      <w:r w:rsidR="00801B43">
        <w:t>contempt</w:t>
      </w:r>
      <w:r w:rsidR="00FF5D90">
        <w:t>s</w:t>
      </w:r>
      <w:proofErr w:type="spellEnd"/>
      <w:r w:rsidR="00FF5D90">
        <w:t xml:space="preserve"> of court</w:t>
      </w:r>
      <w:r w:rsidR="00801B43">
        <w:t xml:space="preserve"> on three occasions by breaching</w:t>
      </w:r>
      <w:r>
        <w:t xml:space="preserve"> the undertaking</w:t>
      </w:r>
      <w:r w:rsidR="00801B43">
        <w:t xml:space="preserve"> </w:t>
      </w:r>
      <w:r w:rsidR="00FF5D90">
        <w:t xml:space="preserve">of 1 March 2019 </w:t>
      </w:r>
      <w:r w:rsidR="00801B43">
        <w:t>as follows</w:t>
      </w:r>
      <w:r>
        <w:t>:</w:t>
      </w:r>
    </w:p>
    <w:p w14:paraId="4A3E73D8" w14:textId="77777777" w:rsidR="000830DD" w:rsidRDefault="000830DD" w:rsidP="00742B78">
      <w:pPr>
        <w:pStyle w:val="ListNo1"/>
        <w:numPr>
          <w:ilvl w:val="0"/>
          <w:numId w:val="0"/>
        </w:numPr>
        <w:ind w:left="720" w:hanging="720"/>
      </w:pPr>
      <w:r>
        <w:t>(a)</w:t>
      </w:r>
      <w:r>
        <w:tab/>
      </w:r>
      <w:r w:rsidR="00F7417B">
        <w:t>on</w:t>
      </w:r>
      <w:r w:rsidR="00BF313E">
        <w:t xml:space="preserve"> 8 April 2020</w:t>
      </w:r>
      <w:r w:rsidR="00F7417B">
        <w:t>, preparing</w:t>
      </w:r>
      <w:r w:rsidR="0071102E">
        <w:t xml:space="preserve"> </w:t>
      </w:r>
      <w:r w:rsidR="00FF5D90">
        <w:t>a 2019</w:t>
      </w:r>
      <w:r w:rsidR="0097398B">
        <w:t xml:space="preserve"> ITR for Rose </w:t>
      </w:r>
      <w:proofErr w:type="spellStart"/>
      <w:r>
        <w:t>Jaguru</w:t>
      </w:r>
      <w:proofErr w:type="spellEnd"/>
      <w:r w:rsidR="00F7417B">
        <w:t xml:space="preserve"> for </w:t>
      </w:r>
      <w:r w:rsidR="00C862CB">
        <w:t>$</w:t>
      </w:r>
      <w:r w:rsidR="00BF313E">
        <w:t>132</w:t>
      </w:r>
      <w:r w:rsidR="0097398B">
        <w:t xml:space="preserve">; </w:t>
      </w:r>
    </w:p>
    <w:p w14:paraId="58EEF5DE" w14:textId="77777777" w:rsidR="0097398B" w:rsidRDefault="000830DD" w:rsidP="00742B78">
      <w:pPr>
        <w:pStyle w:val="ListNo1"/>
        <w:numPr>
          <w:ilvl w:val="0"/>
          <w:numId w:val="0"/>
        </w:numPr>
        <w:ind w:left="720" w:hanging="720"/>
      </w:pPr>
      <w:r>
        <w:t>(b)</w:t>
      </w:r>
      <w:r>
        <w:tab/>
      </w:r>
      <w:r w:rsidR="00C862CB">
        <w:t>on</w:t>
      </w:r>
      <w:r w:rsidR="00BF313E">
        <w:t xml:space="preserve"> 17 April 2020</w:t>
      </w:r>
      <w:r w:rsidR="00F7417B">
        <w:t xml:space="preserve">, </w:t>
      </w:r>
      <w:r w:rsidR="0097398B">
        <w:t>prepar</w:t>
      </w:r>
      <w:r w:rsidR="00BF313E">
        <w:t>ing</w:t>
      </w:r>
      <w:r w:rsidR="0097398B">
        <w:t xml:space="preserve"> </w:t>
      </w:r>
      <w:r w:rsidR="00FF5D90">
        <w:t>a 2019</w:t>
      </w:r>
      <w:r w:rsidR="0097398B">
        <w:t xml:space="preserve"> ITR for </w:t>
      </w:r>
      <w:proofErr w:type="spellStart"/>
      <w:r>
        <w:t>Lissy</w:t>
      </w:r>
      <w:proofErr w:type="spellEnd"/>
      <w:r>
        <w:t xml:space="preserve"> </w:t>
      </w:r>
      <w:proofErr w:type="spellStart"/>
      <w:r>
        <w:t>Palliyan</w:t>
      </w:r>
      <w:proofErr w:type="spellEnd"/>
      <w:r>
        <w:t xml:space="preserve"> </w:t>
      </w:r>
      <w:r w:rsidR="0097398B">
        <w:t>Anthony</w:t>
      </w:r>
      <w:r w:rsidR="00C862CB">
        <w:t xml:space="preserve"> for $</w:t>
      </w:r>
      <w:r w:rsidR="00BF313E">
        <w:t>130</w:t>
      </w:r>
      <w:r w:rsidR="0097398B">
        <w:t>;</w:t>
      </w:r>
    </w:p>
    <w:p w14:paraId="625B1BAA" w14:textId="77777777" w:rsidR="0097398B" w:rsidRDefault="000830DD" w:rsidP="00742B78">
      <w:pPr>
        <w:pStyle w:val="ListNo1"/>
        <w:numPr>
          <w:ilvl w:val="0"/>
          <w:numId w:val="0"/>
        </w:numPr>
        <w:ind w:left="720" w:hanging="720"/>
      </w:pPr>
      <w:r>
        <w:t>(c)</w:t>
      </w:r>
      <w:r>
        <w:tab/>
      </w:r>
      <w:r w:rsidR="00F7417B">
        <w:t>on</w:t>
      </w:r>
      <w:r w:rsidR="00BF313E">
        <w:t xml:space="preserve"> 22 April 2020</w:t>
      </w:r>
      <w:r w:rsidR="00F7417B">
        <w:t xml:space="preserve">, </w:t>
      </w:r>
      <w:r w:rsidR="0097398B">
        <w:t>prepar</w:t>
      </w:r>
      <w:r w:rsidR="00BF313E">
        <w:t>ing</w:t>
      </w:r>
      <w:r w:rsidR="0097398B">
        <w:t xml:space="preserve"> </w:t>
      </w:r>
      <w:r w:rsidR="00446317">
        <w:t>a 2019</w:t>
      </w:r>
      <w:r w:rsidR="0097398B">
        <w:t xml:space="preserve"> </w:t>
      </w:r>
      <w:r>
        <w:t xml:space="preserve">ITR </w:t>
      </w:r>
      <w:r w:rsidR="0097398B">
        <w:t xml:space="preserve">for </w:t>
      </w:r>
      <w:proofErr w:type="spellStart"/>
      <w:r>
        <w:t>Ramandeep</w:t>
      </w:r>
      <w:proofErr w:type="spellEnd"/>
      <w:r>
        <w:t xml:space="preserve"> Singh </w:t>
      </w:r>
      <w:proofErr w:type="spellStart"/>
      <w:r>
        <w:t>Deol</w:t>
      </w:r>
      <w:proofErr w:type="spellEnd"/>
      <w:r w:rsidR="00C862CB">
        <w:t xml:space="preserve"> for $</w:t>
      </w:r>
      <w:r w:rsidR="00BF313E">
        <w:t>132</w:t>
      </w:r>
      <w:r w:rsidR="0097398B">
        <w:t>.</w:t>
      </w:r>
    </w:p>
    <w:p w14:paraId="5C4136AD" w14:textId="77777777" w:rsidR="00801B43" w:rsidRDefault="00161593" w:rsidP="00F7417B">
      <w:pPr>
        <w:pStyle w:val="ParaNumbering"/>
      </w:pPr>
      <w:r>
        <w:t xml:space="preserve">Each breach was alleged to be a separate contempt.  </w:t>
      </w:r>
      <w:r w:rsidR="00F7417B">
        <w:t>The application was accompanied by affidavits of</w:t>
      </w:r>
      <w:r w:rsidR="005A568F">
        <w:t xml:space="preserve"> the taxpayers involved. On 10 July 2020</w:t>
      </w:r>
      <w:r w:rsidR="00F7417B">
        <w:t xml:space="preserve">, </w:t>
      </w:r>
      <w:r w:rsidR="00375502">
        <w:t>Mr </w:t>
      </w:r>
      <w:r w:rsidR="00F7417B">
        <w:t xml:space="preserve">Hacker and OSGS admitted the </w:t>
      </w:r>
      <w:proofErr w:type="spellStart"/>
      <w:r w:rsidR="00F7417B">
        <w:t>contempts</w:t>
      </w:r>
      <w:proofErr w:type="spellEnd"/>
      <w:r w:rsidR="00781138">
        <w:t xml:space="preserve">. I find those </w:t>
      </w:r>
      <w:proofErr w:type="spellStart"/>
      <w:r w:rsidR="00781138">
        <w:t>contempts</w:t>
      </w:r>
      <w:proofErr w:type="spellEnd"/>
      <w:r w:rsidR="00781138">
        <w:t xml:space="preserve"> to have been proven </w:t>
      </w:r>
      <w:r w:rsidR="005A568F">
        <w:t>(</w:t>
      </w:r>
      <w:r w:rsidR="005A568F">
        <w:rPr>
          <w:b/>
        </w:rPr>
        <w:t>the Fourth</w:t>
      </w:r>
      <w:r w:rsidR="005A568F" w:rsidRPr="00F7417B">
        <w:rPr>
          <w:b/>
        </w:rPr>
        <w:t xml:space="preserve"> </w:t>
      </w:r>
      <w:proofErr w:type="spellStart"/>
      <w:r w:rsidR="005A568F" w:rsidRPr="00F7417B">
        <w:rPr>
          <w:b/>
        </w:rPr>
        <w:t>Contempts</w:t>
      </w:r>
      <w:proofErr w:type="spellEnd"/>
      <w:r w:rsidR="005A568F">
        <w:t xml:space="preserve">). </w:t>
      </w:r>
    </w:p>
    <w:p w14:paraId="4CDB7698" w14:textId="77777777" w:rsidR="00F7417B" w:rsidRDefault="005A568F" w:rsidP="002B1940">
      <w:pPr>
        <w:pStyle w:val="ParaNumbering"/>
        <w:keepNext/>
        <w:keepLines/>
      </w:pPr>
      <w:r>
        <w:t>On</w:t>
      </w:r>
      <w:r w:rsidR="00801B43">
        <w:t xml:space="preserve"> 10 July 2020</w:t>
      </w:r>
      <w:r>
        <w:t xml:space="preserve">, I </w:t>
      </w:r>
      <w:r w:rsidR="00801B43">
        <w:t xml:space="preserve">also </w:t>
      </w:r>
      <w:r>
        <w:t>ordered, by consent, that:</w:t>
      </w:r>
    </w:p>
    <w:p w14:paraId="1A6186B4" w14:textId="77777777" w:rsidR="008B4892" w:rsidRDefault="008B4892" w:rsidP="002B1940">
      <w:pPr>
        <w:pStyle w:val="Quote1"/>
        <w:keepNext/>
        <w:keepLines/>
      </w:pPr>
      <w:r>
        <w:t>Within 3 business days of the date of this order, and subject to the applicant providing the notices to the first respondent within 2 business days of the date of the order, the first respondent publishes or causes to be published notices in the form and terms of Annexure A to this order, by ensuring that:</w:t>
      </w:r>
    </w:p>
    <w:p w14:paraId="2A7966EE" w14:textId="77777777" w:rsidR="008B4892" w:rsidRDefault="008B4892" w:rsidP="008B4892">
      <w:pPr>
        <w:pStyle w:val="Quote1"/>
        <w:ind w:left="1440" w:hanging="703"/>
      </w:pPr>
      <w:r>
        <w:t>(a)</w:t>
      </w:r>
      <w:r>
        <w:tab/>
        <w:t>a notice in A2 size is affixed in a prominent place to the front door of the office at Suite 6, Level 17, 141 Queen Street, Brisbane QLD 4000; and</w:t>
      </w:r>
    </w:p>
    <w:p w14:paraId="0E6E9381" w14:textId="77777777" w:rsidR="005A568F" w:rsidRDefault="008B4892" w:rsidP="008B4892">
      <w:pPr>
        <w:pStyle w:val="Quote1"/>
        <w:ind w:left="1440" w:hanging="703"/>
      </w:pPr>
      <w:r>
        <w:t>(b)</w:t>
      </w:r>
      <w:r>
        <w:tab/>
        <w:t>a notice in A2 size is affixed in a prominent place to, or otherwise displayed in a prominent place on, the reception counter at the office at Suite 6, Level 17, 141 Queen Street, Brisbane.</w:t>
      </w:r>
    </w:p>
    <w:p w14:paraId="431D6393" w14:textId="77777777" w:rsidR="0097398B" w:rsidRDefault="0097398B" w:rsidP="00435D96">
      <w:pPr>
        <w:pStyle w:val="ParaNumbering"/>
      </w:pPr>
      <w:r>
        <w:t xml:space="preserve">On 19 August 2020, the applicant filed </w:t>
      </w:r>
      <w:r w:rsidR="003C4BCF">
        <w:t xml:space="preserve">yet </w:t>
      </w:r>
      <w:r>
        <w:t>another</w:t>
      </w:r>
      <w:r w:rsidR="00F7417B">
        <w:t xml:space="preserve"> interlocutory application and Statement of C</w:t>
      </w:r>
      <w:r>
        <w:t>harge</w:t>
      </w:r>
      <w:r w:rsidR="00781138">
        <w:t xml:space="preserve">. It was alleged that </w:t>
      </w:r>
      <w:r w:rsidR="00375502">
        <w:t>Mr </w:t>
      </w:r>
      <w:r w:rsidR="00781138">
        <w:t>Hacker failed to comply with the order made on 10 July 2020. It was also alleged</w:t>
      </w:r>
      <w:r>
        <w:t xml:space="preserve"> that</w:t>
      </w:r>
      <w:r w:rsidR="00781138" w:rsidRPr="00781138">
        <w:t xml:space="preserve"> </w:t>
      </w:r>
      <w:r w:rsidR="00375502">
        <w:t>Mr </w:t>
      </w:r>
      <w:r w:rsidR="00781138">
        <w:t>Hacker</w:t>
      </w:r>
      <w:r>
        <w:t xml:space="preserve"> </w:t>
      </w:r>
      <w:r w:rsidR="00781138">
        <w:t xml:space="preserve">and </w:t>
      </w:r>
      <w:r w:rsidR="00ED2146">
        <w:t>O</w:t>
      </w:r>
      <w:r>
        <w:t xml:space="preserve">SGS </w:t>
      </w:r>
      <w:r w:rsidR="003C4BCF">
        <w:t xml:space="preserve">committed </w:t>
      </w:r>
      <w:proofErr w:type="spellStart"/>
      <w:r w:rsidR="003C4BCF">
        <w:t>contempts</w:t>
      </w:r>
      <w:proofErr w:type="spellEnd"/>
      <w:r w:rsidR="003C4BCF">
        <w:t xml:space="preserve"> </w:t>
      </w:r>
      <w:r w:rsidR="00E71F20">
        <w:t xml:space="preserve">of court </w:t>
      </w:r>
      <w:r w:rsidR="003C4BCF">
        <w:t xml:space="preserve">on nine occasions </w:t>
      </w:r>
      <w:r>
        <w:t xml:space="preserve">by </w:t>
      </w:r>
      <w:r w:rsidR="003C4BCF">
        <w:t xml:space="preserve">breaching the undertaking </w:t>
      </w:r>
      <w:r w:rsidR="00E71F20">
        <w:t xml:space="preserve">of 1 March 2019 </w:t>
      </w:r>
      <w:r>
        <w:t>as follows:</w:t>
      </w:r>
    </w:p>
    <w:p w14:paraId="5981E295" w14:textId="77777777" w:rsidR="00ED2146" w:rsidRDefault="00ED2146" w:rsidP="00742B78">
      <w:pPr>
        <w:pStyle w:val="ListNo1"/>
        <w:numPr>
          <w:ilvl w:val="0"/>
          <w:numId w:val="0"/>
        </w:numPr>
        <w:ind w:left="720" w:hanging="720"/>
      </w:pPr>
      <w:r>
        <w:t>(</w:t>
      </w:r>
      <w:r w:rsidR="00435D96">
        <w:t>a</w:t>
      </w:r>
      <w:r>
        <w:t>)</w:t>
      </w:r>
      <w:r>
        <w:tab/>
      </w:r>
      <w:r w:rsidR="008B4892">
        <w:t xml:space="preserve">on 20 May 2019, </w:t>
      </w:r>
      <w:r w:rsidR="0097398B">
        <w:t xml:space="preserve">preparing </w:t>
      </w:r>
      <w:r w:rsidR="00E71F20">
        <w:t>a 2018</w:t>
      </w:r>
      <w:r>
        <w:t xml:space="preserve"> ITR for Mohamma</w:t>
      </w:r>
      <w:r w:rsidR="0097398B">
        <w:t>d</w:t>
      </w:r>
      <w:r>
        <w:t xml:space="preserve"> </w:t>
      </w:r>
      <w:proofErr w:type="spellStart"/>
      <w:r w:rsidR="0097398B">
        <w:t>Rahim</w:t>
      </w:r>
      <w:r>
        <w:t>i</w:t>
      </w:r>
      <w:proofErr w:type="spellEnd"/>
      <w:r w:rsidR="008B4892">
        <w:t xml:space="preserve"> for $132</w:t>
      </w:r>
      <w:r w:rsidR="0097398B">
        <w:t xml:space="preserve">; </w:t>
      </w:r>
    </w:p>
    <w:p w14:paraId="66DE4259" w14:textId="77777777" w:rsidR="00ED2146" w:rsidRDefault="00435D96" w:rsidP="00742B78">
      <w:pPr>
        <w:pStyle w:val="ListNo1"/>
        <w:numPr>
          <w:ilvl w:val="0"/>
          <w:numId w:val="0"/>
        </w:numPr>
        <w:ind w:left="720" w:hanging="720"/>
      </w:pPr>
      <w:r>
        <w:t>(b</w:t>
      </w:r>
      <w:r w:rsidR="00ED2146">
        <w:t>)</w:t>
      </w:r>
      <w:r w:rsidR="00ED2146">
        <w:tab/>
      </w:r>
      <w:r w:rsidR="008B4892">
        <w:t xml:space="preserve">on 8 August 2019, </w:t>
      </w:r>
      <w:r w:rsidR="0097398B">
        <w:t xml:space="preserve">preparing </w:t>
      </w:r>
      <w:r w:rsidR="00E71F20">
        <w:t>a 2019</w:t>
      </w:r>
      <w:r w:rsidR="00ED2146">
        <w:t xml:space="preserve"> </w:t>
      </w:r>
      <w:r w:rsidR="0097398B">
        <w:t>ITR for Irish</w:t>
      </w:r>
      <w:r w:rsidR="00ED2146">
        <w:t xml:space="preserve"> </w:t>
      </w:r>
      <w:proofErr w:type="spellStart"/>
      <w:r w:rsidR="00E71F20">
        <w:t>Dela</w:t>
      </w:r>
      <w:proofErr w:type="spellEnd"/>
      <w:r w:rsidR="00E71F20">
        <w:t xml:space="preserve"> </w:t>
      </w:r>
      <w:r w:rsidR="00ED2146">
        <w:t>Pena</w:t>
      </w:r>
      <w:r w:rsidR="008B4892">
        <w:t xml:space="preserve"> for $132</w:t>
      </w:r>
      <w:r w:rsidR="0097398B">
        <w:t>;</w:t>
      </w:r>
      <w:r w:rsidR="00ED2146">
        <w:t xml:space="preserve"> </w:t>
      </w:r>
    </w:p>
    <w:p w14:paraId="77A43076" w14:textId="77777777" w:rsidR="00435D96" w:rsidRDefault="00435D96" w:rsidP="00742B78">
      <w:pPr>
        <w:pStyle w:val="ListNo1"/>
        <w:numPr>
          <w:ilvl w:val="0"/>
          <w:numId w:val="0"/>
        </w:numPr>
        <w:ind w:left="720" w:hanging="720"/>
      </w:pPr>
      <w:r>
        <w:lastRenderedPageBreak/>
        <w:t>(c)</w:t>
      </w:r>
      <w:r>
        <w:tab/>
        <w:t xml:space="preserve">on 13 July 2020, preparing </w:t>
      </w:r>
      <w:r w:rsidR="007C3A21">
        <w:t xml:space="preserve">a 2020 </w:t>
      </w:r>
      <w:r>
        <w:t xml:space="preserve">ITR for </w:t>
      </w:r>
      <w:proofErr w:type="spellStart"/>
      <w:r>
        <w:t>Bahaa</w:t>
      </w:r>
      <w:proofErr w:type="spellEnd"/>
      <w:r>
        <w:t xml:space="preserve"> </w:t>
      </w:r>
      <w:proofErr w:type="spellStart"/>
      <w:r>
        <w:t>Okbi</w:t>
      </w:r>
      <w:proofErr w:type="spellEnd"/>
      <w:r>
        <w:t xml:space="preserve"> for $187; </w:t>
      </w:r>
    </w:p>
    <w:p w14:paraId="70E420CA" w14:textId="77777777" w:rsidR="00ED2146" w:rsidRDefault="00ED2146" w:rsidP="00742B78">
      <w:pPr>
        <w:pStyle w:val="ListNo1"/>
        <w:numPr>
          <w:ilvl w:val="0"/>
          <w:numId w:val="0"/>
        </w:numPr>
        <w:ind w:left="720" w:hanging="720"/>
      </w:pPr>
      <w:r>
        <w:t>(d)</w:t>
      </w:r>
      <w:r>
        <w:tab/>
      </w:r>
      <w:r w:rsidR="008B4892">
        <w:t xml:space="preserve">on 13 July 2020, </w:t>
      </w:r>
      <w:r w:rsidR="0097398B">
        <w:t xml:space="preserve">preparing </w:t>
      </w:r>
      <w:r w:rsidR="00E71F20">
        <w:t>a 2020</w:t>
      </w:r>
      <w:r w:rsidR="0097398B">
        <w:t xml:space="preserve"> ITR for </w:t>
      </w:r>
      <w:proofErr w:type="spellStart"/>
      <w:r>
        <w:t>Hamideh</w:t>
      </w:r>
      <w:proofErr w:type="spellEnd"/>
      <w:r>
        <w:t xml:space="preserve"> </w:t>
      </w:r>
      <w:proofErr w:type="spellStart"/>
      <w:r>
        <w:t>Gharekhanian</w:t>
      </w:r>
      <w:proofErr w:type="spellEnd"/>
      <w:r w:rsidR="008B4892">
        <w:t xml:space="preserve"> for $132</w:t>
      </w:r>
      <w:r w:rsidR="0097398B">
        <w:t>;</w:t>
      </w:r>
      <w:r>
        <w:t xml:space="preserve"> </w:t>
      </w:r>
    </w:p>
    <w:p w14:paraId="7ACAE462" w14:textId="77777777" w:rsidR="00435D96" w:rsidRDefault="00435D96" w:rsidP="00742B78">
      <w:pPr>
        <w:pStyle w:val="ListNo1"/>
        <w:numPr>
          <w:ilvl w:val="0"/>
          <w:numId w:val="0"/>
        </w:numPr>
        <w:ind w:left="720" w:hanging="720"/>
      </w:pPr>
      <w:r>
        <w:t>(e)</w:t>
      </w:r>
      <w:r>
        <w:tab/>
        <w:t xml:space="preserve">on 14 July 2020, preparing a 2019 ITR for Mohammad </w:t>
      </w:r>
      <w:proofErr w:type="spellStart"/>
      <w:r>
        <w:t>Rahimi</w:t>
      </w:r>
      <w:proofErr w:type="spellEnd"/>
      <w:r>
        <w:t xml:space="preserve"> for $220;</w:t>
      </w:r>
    </w:p>
    <w:p w14:paraId="54A87F4F" w14:textId="77777777" w:rsidR="00435D96" w:rsidRDefault="00435D96" w:rsidP="00742B78">
      <w:pPr>
        <w:pStyle w:val="ListNo1"/>
        <w:numPr>
          <w:ilvl w:val="0"/>
          <w:numId w:val="0"/>
        </w:numPr>
        <w:ind w:left="720" w:hanging="720"/>
      </w:pPr>
      <w:r>
        <w:t>(f)</w:t>
      </w:r>
      <w:r>
        <w:tab/>
        <w:t xml:space="preserve">on 15 July 2020, preparing a 2019 ITR for Irish </w:t>
      </w:r>
      <w:proofErr w:type="spellStart"/>
      <w:r>
        <w:t>Dela</w:t>
      </w:r>
      <w:proofErr w:type="spellEnd"/>
      <w:r>
        <w:t xml:space="preserve"> Pena for $132</w:t>
      </w:r>
      <w:r w:rsidR="00D10D34">
        <w:t>;</w:t>
      </w:r>
      <w:r>
        <w:t xml:space="preserve"> </w:t>
      </w:r>
    </w:p>
    <w:p w14:paraId="5F28CF57" w14:textId="77777777" w:rsidR="00ED2146" w:rsidRDefault="00435D96" w:rsidP="00742B78">
      <w:pPr>
        <w:pStyle w:val="ListNo1"/>
        <w:numPr>
          <w:ilvl w:val="0"/>
          <w:numId w:val="0"/>
        </w:numPr>
        <w:ind w:left="720" w:hanging="720"/>
      </w:pPr>
      <w:r>
        <w:t>(g</w:t>
      </w:r>
      <w:r w:rsidR="00ED2146">
        <w:t>)</w:t>
      </w:r>
      <w:r w:rsidR="00ED2146">
        <w:tab/>
      </w:r>
      <w:r w:rsidR="008B4892">
        <w:t xml:space="preserve">on 17 July 2020, </w:t>
      </w:r>
      <w:r w:rsidR="0097398B">
        <w:t xml:space="preserve">preparing </w:t>
      </w:r>
      <w:r w:rsidR="00E71F20">
        <w:t>a 2020</w:t>
      </w:r>
      <w:r w:rsidR="0097398B">
        <w:t xml:space="preserve"> ITR for Catherine James</w:t>
      </w:r>
      <w:r w:rsidR="008B4892">
        <w:t xml:space="preserve"> for $132</w:t>
      </w:r>
      <w:r w:rsidR="0097398B">
        <w:t>;</w:t>
      </w:r>
      <w:r w:rsidR="00ED2146">
        <w:t xml:space="preserve"> </w:t>
      </w:r>
    </w:p>
    <w:p w14:paraId="3BA72E0C" w14:textId="77777777" w:rsidR="00ED2146" w:rsidRDefault="00435D96" w:rsidP="00742B78">
      <w:pPr>
        <w:pStyle w:val="ListNo1"/>
        <w:numPr>
          <w:ilvl w:val="0"/>
          <w:numId w:val="0"/>
        </w:numPr>
        <w:ind w:left="720" w:hanging="720"/>
      </w:pPr>
      <w:r>
        <w:t>(h</w:t>
      </w:r>
      <w:r w:rsidR="00ED2146">
        <w:t>)</w:t>
      </w:r>
      <w:r w:rsidR="00ED2146">
        <w:tab/>
      </w:r>
      <w:r w:rsidR="008B4892">
        <w:t xml:space="preserve">on 17 July 2020, </w:t>
      </w:r>
      <w:r w:rsidR="0097398B">
        <w:t xml:space="preserve">preparing </w:t>
      </w:r>
      <w:r w:rsidR="00E71F20">
        <w:t>a 2020</w:t>
      </w:r>
      <w:r w:rsidR="00ED2146">
        <w:t xml:space="preserve"> </w:t>
      </w:r>
      <w:r w:rsidR="0097398B">
        <w:t xml:space="preserve">ITR for </w:t>
      </w:r>
      <w:r w:rsidR="00FC4963">
        <w:t xml:space="preserve">Jeffrey </w:t>
      </w:r>
      <w:r w:rsidR="0097398B">
        <w:t>Rice</w:t>
      </w:r>
      <w:r w:rsidR="00FC4963">
        <w:t xml:space="preserve"> for 132</w:t>
      </w:r>
      <w:r w:rsidR="0097398B">
        <w:t>;</w:t>
      </w:r>
      <w:r w:rsidR="00ED2146">
        <w:t xml:space="preserve"> </w:t>
      </w:r>
    </w:p>
    <w:p w14:paraId="179E5C5A" w14:textId="77777777" w:rsidR="00FC4963" w:rsidRDefault="00435D96" w:rsidP="00742B78">
      <w:pPr>
        <w:pStyle w:val="ListNo1"/>
        <w:numPr>
          <w:ilvl w:val="0"/>
          <w:numId w:val="0"/>
        </w:numPr>
        <w:ind w:left="720" w:hanging="720"/>
      </w:pPr>
      <w:r>
        <w:t>(</w:t>
      </w:r>
      <w:proofErr w:type="spellStart"/>
      <w:r>
        <w:t>i</w:t>
      </w:r>
      <w:proofErr w:type="spellEnd"/>
      <w:r w:rsidR="00ED2146">
        <w:t>)</w:t>
      </w:r>
      <w:r w:rsidR="00ED2146">
        <w:tab/>
      </w:r>
      <w:r w:rsidR="00FC4963">
        <w:t xml:space="preserve">on 20 July 2020 </w:t>
      </w:r>
      <w:r w:rsidR="0097398B">
        <w:t xml:space="preserve">preparing </w:t>
      </w:r>
      <w:r w:rsidR="00E71F20">
        <w:t>a 2020</w:t>
      </w:r>
      <w:r w:rsidR="00ED2146">
        <w:t xml:space="preserve"> </w:t>
      </w:r>
      <w:r w:rsidR="0097398B">
        <w:t xml:space="preserve">ITR for Stephen </w:t>
      </w:r>
      <w:proofErr w:type="spellStart"/>
      <w:r w:rsidR="00ED2146">
        <w:t>Magot</w:t>
      </w:r>
      <w:proofErr w:type="spellEnd"/>
      <w:r>
        <w:t xml:space="preserve"> for $132.</w:t>
      </w:r>
    </w:p>
    <w:p w14:paraId="3149A1F1" w14:textId="77777777" w:rsidR="00636255" w:rsidRDefault="00161593" w:rsidP="00636255">
      <w:pPr>
        <w:pStyle w:val="ParaNumbering"/>
      </w:pPr>
      <w:r>
        <w:t xml:space="preserve">Each breach was alleged to be a separate contempt.  </w:t>
      </w:r>
      <w:r w:rsidR="00F7417B">
        <w:t>The application was accompanied by affidavits of th</w:t>
      </w:r>
      <w:r w:rsidR="005A568F">
        <w:t xml:space="preserve">e taxpayers involved. On </w:t>
      </w:r>
      <w:r w:rsidR="00781138" w:rsidRPr="00781138">
        <w:t xml:space="preserve">1 </w:t>
      </w:r>
      <w:r w:rsidR="00781138">
        <w:t>September 2020</w:t>
      </w:r>
      <w:r w:rsidR="00F7417B">
        <w:t xml:space="preserve">, </w:t>
      </w:r>
      <w:r w:rsidR="00375502">
        <w:t>Mr </w:t>
      </w:r>
      <w:r w:rsidR="00F7417B">
        <w:t xml:space="preserve">Hacker and OSGS admitted the </w:t>
      </w:r>
      <w:proofErr w:type="spellStart"/>
      <w:r w:rsidR="00F7417B">
        <w:t>contempts</w:t>
      </w:r>
      <w:proofErr w:type="spellEnd"/>
      <w:r w:rsidR="00781138">
        <w:t xml:space="preserve">. I find those </w:t>
      </w:r>
      <w:proofErr w:type="spellStart"/>
      <w:r w:rsidR="00781138">
        <w:t>contempts</w:t>
      </w:r>
      <w:proofErr w:type="spellEnd"/>
      <w:r w:rsidR="00781138">
        <w:t xml:space="preserve"> to have been proven </w:t>
      </w:r>
      <w:r w:rsidR="005A568F">
        <w:t>(</w:t>
      </w:r>
      <w:r w:rsidR="005A568F" w:rsidRPr="003C4BCF">
        <w:rPr>
          <w:b/>
        </w:rPr>
        <w:t xml:space="preserve">the Fifth </w:t>
      </w:r>
      <w:proofErr w:type="spellStart"/>
      <w:r w:rsidR="005A568F" w:rsidRPr="003C4BCF">
        <w:rPr>
          <w:b/>
        </w:rPr>
        <w:t>Contempts</w:t>
      </w:r>
      <w:proofErr w:type="spellEnd"/>
      <w:r w:rsidR="005A568F">
        <w:t>).</w:t>
      </w:r>
    </w:p>
    <w:p w14:paraId="70D66BB2" w14:textId="77777777" w:rsidR="00306FFF" w:rsidRPr="003C4BCF" w:rsidRDefault="00161593" w:rsidP="002B1940">
      <w:pPr>
        <w:pStyle w:val="Heading3"/>
      </w:pPr>
      <w:r w:rsidRPr="00161593">
        <w:t>The legislation and principles applicable to penalties for contempt</w:t>
      </w:r>
    </w:p>
    <w:p w14:paraId="6CEE8100" w14:textId="77777777" w:rsidR="003C4BCF" w:rsidRPr="003C4BCF" w:rsidRDefault="00306FFF" w:rsidP="003C4BCF">
      <w:pPr>
        <w:pStyle w:val="ParaNumbering"/>
      </w:pPr>
      <w:r w:rsidRPr="003C4BCF">
        <w:t>Section</w:t>
      </w:r>
      <w:r w:rsidR="00781138" w:rsidRPr="003C4BCF">
        <w:t xml:space="preserve"> 31 of the </w:t>
      </w:r>
      <w:r w:rsidR="00781138" w:rsidRPr="003C4BCF">
        <w:rPr>
          <w:i/>
          <w:iCs/>
        </w:rPr>
        <w:t xml:space="preserve">Federal Court of Australia Act </w:t>
      </w:r>
      <w:r w:rsidR="00781138" w:rsidRPr="00D10D34">
        <w:rPr>
          <w:i/>
        </w:rPr>
        <w:t>1976</w:t>
      </w:r>
      <w:r w:rsidR="00781138" w:rsidRPr="003C4BCF">
        <w:t xml:space="preserve"> (</w:t>
      </w:r>
      <w:proofErr w:type="spellStart"/>
      <w:r w:rsidR="00781138" w:rsidRPr="003C4BCF">
        <w:t>Cth</w:t>
      </w:r>
      <w:proofErr w:type="spellEnd"/>
      <w:r w:rsidR="00781138" w:rsidRPr="003C4BCF">
        <w:t>)</w:t>
      </w:r>
      <w:r w:rsidRPr="003C4BCF">
        <w:t xml:space="preserve"> confers upon the Federal Court of Australia</w:t>
      </w:r>
      <w:r w:rsidR="003C4BCF" w:rsidRPr="003C4BCF">
        <w:t xml:space="preserve"> </w:t>
      </w:r>
      <w:r w:rsidR="00B35F7C">
        <w:t>the same power</w:t>
      </w:r>
      <w:r w:rsidR="003C4BCF" w:rsidRPr="00306FFF">
        <w:t xml:space="preserve"> </w:t>
      </w:r>
      <w:r w:rsidR="003C4BCF">
        <w:t xml:space="preserve">to punish for contempt </w:t>
      </w:r>
      <w:r w:rsidR="003C4BCF" w:rsidRPr="00306FFF">
        <w:t xml:space="preserve">as </w:t>
      </w:r>
      <w:r w:rsidR="00B35F7C">
        <w:t xml:space="preserve">is possessed by </w:t>
      </w:r>
      <w:r w:rsidR="003C4BCF" w:rsidRPr="00306FFF">
        <w:t>the High Court</w:t>
      </w:r>
      <w:r w:rsidR="003C4BCF">
        <w:t xml:space="preserve"> of Australia</w:t>
      </w:r>
      <w:r w:rsidRPr="003C4BCF">
        <w:rPr>
          <w:szCs w:val="24"/>
        </w:rPr>
        <w:t xml:space="preserve"> to punish for </w:t>
      </w:r>
      <w:proofErr w:type="spellStart"/>
      <w:r w:rsidRPr="003C4BCF">
        <w:rPr>
          <w:szCs w:val="24"/>
        </w:rPr>
        <w:t>contempt</w:t>
      </w:r>
      <w:r w:rsidR="00B35F7C">
        <w:rPr>
          <w:szCs w:val="24"/>
        </w:rPr>
        <w:t>s</w:t>
      </w:r>
      <w:proofErr w:type="spellEnd"/>
      <w:r w:rsidR="00B35F7C">
        <w:rPr>
          <w:szCs w:val="24"/>
        </w:rPr>
        <w:t xml:space="preserve"> of the High Court</w:t>
      </w:r>
      <w:r w:rsidRPr="003C4BCF">
        <w:rPr>
          <w:szCs w:val="24"/>
        </w:rPr>
        <w:t xml:space="preserve">. </w:t>
      </w:r>
    </w:p>
    <w:p w14:paraId="14D7C83A" w14:textId="77777777" w:rsidR="00B35F7C" w:rsidRPr="00B35F7C" w:rsidRDefault="007A17D9" w:rsidP="002B1940">
      <w:pPr>
        <w:pStyle w:val="ParaNumbering"/>
        <w:keepNext/>
        <w:keepLines/>
      </w:pPr>
      <w:r>
        <w:t xml:space="preserve">A sentence for contempt is punitive, to vindicate the authority of the court: see </w:t>
      </w:r>
      <w:r w:rsidRPr="00C3731C">
        <w:rPr>
          <w:i/>
        </w:rPr>
        <w:t>Australian Competition and Consumer Commission v INFO4PC.com Pty Ltd</w:t>
      </w:r>
      <w:r>
        <w:t xml:space="preserve"> (2002) 121 FCR 24</w:t>
      </w:r>
      <w:r w:rsidR="00561D77">
        <w:t xml:space="preserve"> at [141]</w:t>
      </w:r>
      <w:r>
        <w:t>.</w:t>
      </w:r>
      <w:r w:rsidR="00B35F7C" w:rsidRPr="00B35F7C">
        <w:rPr>
          <w:rFonts w:eastAsia="Times New Roman"/>
          <w:i/>
          <w:iCs/>
          <w:szCs w:val="24"/>
          <w:lang w:eastAsia="en-AU"/>
        </w:rPr>
        <w:t xml:space="preserve"> </w:t>
      </w:r>
      <w:r w:rsidR="00B35F7C">
        <w:rPr>
          <w:rFonts w:eastAsia="Times New Roman"/>
          <w:iCs/>
          <w:szCs w:val="24"/>
          <w:lang w:eastAsia="en-AU"/>
        </w:rPr>
        <w:t xml:space="preserve">In </w:t>
      </w:r>
      <w:proofErr w:type="spellStart"/>
      <w:r w:rsidR="00B35F7C" w:rsidRPr="00B35F7C">
        <w:rPr>
          <w:i/>
          <w:iCs/>
        </w:rPr>
        <w:t>Pelechowski</w:t>
      </w:r>
      <w:proofErr w:type="spellEnd"/>
      <w:r w:rsidR="00B35F7C" w:rsidRPr="00B35F7C">
        <w:rPr>
          <w:i/>
          <w:iCs/>
        </w:rPr>
        <w:t xml:space="preserve"> v Registrar, Court of Appeal (NSW) </w:t>
      </w:r>
      <w:r w:rsidR="00B35F7C" w:rsidRPr="00B35F7C">
        <w:t>(1999) 198 CLR 435</w:t>
      </w:r>
      <w:r w:rsidR="00561D77">
        <w:t>,</w:t>
      </w:r>
      <w:r w:rsidR="00B35F7C" w:rsidRPr="00B35F7C">
        <w:t xml:space="preserve"> McHugh J observed</w:t>
      </w:r>
      <w:r w:rsidR="00161593">
        <w:t xml:space="preserve"> at [88]</w:t>
      </w:r>
      <w:r w:rsidR="00B35F7C" w:rsidRPr="00B35F7C">
        <w:t xml:space="preserve">: </w:t>
      </w:r>
    </w:p>
    <w:p w14:paraId="352909DA" w14:textId="77777777" w:rsidR="007A17D9" w:rsidRPr="0004068E" w:rsidRDefault="00161593" w:rsidP="00161593">
      <w:pPr>
        <w:pStyle w:val="Quote1"/>
        <w:rPr>
          <w:highlight w:val="yellow"/>
        </w:rPr>
      </w:pPr>
      <w:r w:rsidRPr="00161593">
        <w:t>…In considering the appropriateness or otherwise of a sentence imposed for a contempt of court, it must always be borne in mind that the jurisdiction to commit for contempt exists so that the authority of the courts of law can be maintained. If breaches of the orders of the courts were regarded as of little moment, respect for and observance of the law would inevitably deteriorate and, ultimately, pose a threat to social order.</w:t>
      </w:r>
    </w:p>
    <w:p w14:paraId="026BAD31" w14:textId="77777777" w:rsidR="007A17D9" w:rsidRPr="007A17D9" w:rsidRDefault="007A17D9" w:rsidP="007A17D9">
      <w:pPr>
        <w:pStyle w:val="ParaNumbering"/>
      </w:pPr>
      <w:r>
        <w:t>The Court ha</w:t>
      </w:r>
      <w:r w:rsidR="007E7124">
        <w:t>s a wide range of penalties available</w:t>
      </w:r>
      <w:r>
        <w:t xml:space="preserve"> to it: </w:t>
      </w:r>
      <w:r w:rsidRPr="00C3731C">
        <w:rPr>
          <w:i/>
        </w:rPr>
        <w:t>Sydney Medical Service Co-operative L</w:t>
      </w:r>
      <w:r w:rsidR="00561D77">
        <w:rPr>
          <w:i/>
        </w:rPr>
        <w:t>imi</w:t>
      </w:r>
      <w:r w:rsidRPr="00C3731C">
        <w:rPr>
          <w:i/>
        </w:rPr>
        <w:t>t</w:t>
      </w:r>
      <w:r w:rsidR="00561D77">
        <w:rPr>
          <w:i/>
        </w:rPr>
        <w:t>e</w:t>
      </w:r>
      <w:r w:rsidRPr="00C3731C">
        <w:rPr>
          <w:i/>
        </w:rPr>
        <w:t>d v Lakemba Medical Services Pty Ltd (No 2)</w:t>
      </w:r>
      <w:r>
        <w:t xml:space="preserve"> [2016] FCA 1188</w:t>
      </w:r>
      <w:r w:rsidR="00561D77">
        <w:t xml:space="preserve"> at [14]</w:t>
      </w:r>
      <w:r>
        <w:t xml:space="preserve">. The </w:t>
      </w:r>
      <w:r w:rsidR="00561D77">
        <w:t xml:space="preserve">Court </w:t>
      </w:r>
      <w:r>
        <w:t xml:space="preserve">has a discretion to impose a prison sentence, to fine, to make costs orders or to punish by any combination of such alternatives: </w:t>
      </w:r>
      <w:r w:rsidRPr="00C3731C">
        <w:rPr>
          <w:i/>
        </w:rPr>
        <w:t>Deputy Commissioner of Taxation v Hickey</w:t>
      </w:r>
      <w:r w:rsidR="00507645">
        <w:t xml:space="preserve"> [1999] FCA 259 at [34]</w:t>
      </w:r>
      <w:r>
        <w:t>.</w:t>
      </w:r>
    </w:p>
    <w:p w14:paraId="77DFDEBB" w14:textId="77777777" w:rsidR="00306FFF" w:rsidRPr="007A17D9" w:rsidRDefault="00781138" w:rsidP="00781138">
      <w:pPr>
        <w:pStyle w:val="ParaNumbering"/>
      </w:pPr>
      <w:r w:rsidRPr="00306FFF">
        <w:rPr>
          <w:szCs w:val="24"/>
        </w:rPr>
        <w:t xml:space="preserve">The Court also has the power to suspend on condition any sentence of imprisonment it might impose in respect of a contempt: </w:t>
      </w:r>
      <w:r w:rsidRPr="00306FFF">
        <w:rPr>
          <w:i/>
          <w:iCs/>
          <w:szCs w:val="24"/>
        </w:rPr>
        <w:t xml:space="preserve">Australian Competition and Consumer Commission v </w:t>
      </w:r>
      <w:r w:rsidR="00507645" w:rsidRPr="00306FFF">
        <w:rPr>
          <w:i/>
          <w:iCs/>
          <w:szCs w:val="24"/>
        </w:rPr>
        <w:t>INFO4PC</w:t>
      </w:r>
      <w:r w:rsidRPr="00306FFF">
        <w:rPr>
          <w:i/>
          <w:iCs/>
          <w:szCs w:val="24"/>
        </w:rPr>
        <w:t>.com Pty Ltd</w:t>
      </w:r>
      <w:r w:rsidR="00306FFF">
        <w:rPr>
          <w:szCs w:val="24"/>
        </w:rPr>
        <w:t xml:space="preserve"> at </w:t>
      </w:r>
      <w:r w:rsidR="00507645">
        <w:rPr>
          <w:szCs w:val="24"/>
        </w:rPr>
        <w:t>[138]</w:t>
      </w:r>
      <w:r w:rsidR="00306FFF">
        <w:rPr>
          <w:szCs w:val="24"/>
        </w:rPr>
        <w:t>.</w:t>
      </w:r>
      <w:r w:rsidR="00161593">
        <w:rPr>
          <w:szCs w:val="24"/>
        </w:rPr>
        <w:t xml:space="preserve">  A sentence of imprisonment may be partially suspended upon </w:t>
      </w:r>
      <w:r w:rsidR="00161593">
        <w:rPr>
          <w:szCs w:val="24"/>
        </w:rPr>
        <w:lastRenderedPageBreak/>
        <w:t xml:space="preserve">conditions:  see </w:t>
      </w:r>
      <w:r w:rsidR="00161593">
        <w:rPr>
          <w:i/>
          <w:szCs w:val="24"/>
        </w:rPr>
        <w:t xml:space="preserve">Australian Competition and Consumer Commission v </w:t>
      </w:r>
      <w:proofErr w:type="spellStart"/>
      <w:r w:rsidR="00161593">
        <w:rPr>
          <w:i/>
          <w:szCs w:val="24"/>
        </w:rPr>
        <w:t>Halkalia</w:t>
      </w:r>
      <w:proofErr w:type="spellEnd"/>
      <w:r w:rsidR="00161593">
        <w:rPr>
          <w:i/>
          <w:szCs w:val="24"/>
        </w:rPr>
        <w:t xml:space="preserve"> Pty Ltd (No 3) </w:t>
      </w:r>
      <w:r w:rsidR="00161593" w:rsidRPr="00161593">
        <w:rPr>
          <w:szCs w:val="24"/>
        </w:rPr>
        <w:t>[2017] FCA 522 at [174]</w:t>
      </w:r>
      <w:r w:rsidR="00161593">
        <w:rPr>
          <w:szCs w:val="24"/>
        </w:rPr>
        <w:t>.</w:t>
      </w:r>
      <w:r w:rsidR="00161593">
        <w:rPr>
          <w:i/>
          <w:szCs w:val="24"/>
        </w:rPr>
        <w:t xml:space="preserve"> </w:t>
      </w:r>
    </w:p>
    <w:p w14:paraId="62709309" w14:textId="77777777" w:rsidR="007A17D9" w:rsidRDefault="007A17D9" w:rsidP="007A17D9">
      <w:pPr>
        <w:pStyle w:val="ParaNumbering"/>
      </w:pPr>
      <w:r>
        <w:rPr>
          <w:szCs w:val="24"/>
        </w:rPr>
        <w:t>In</w:t>
      </w:r>
      <w:r>
        <w:t xml:space="preserve"> </w:t>
      </w:r>
      <w:r w:rsidRPr="00C3731C">
        <w:rPr>
          <w:i/>
        </w:rPr>
        <w:t xml:space="preserve">Director of Fair Work Building Industry Inspectorate v </w:t>
      </w:r>
      <w:proofErr w:type="spellStart"/>
      <w:r w:rsidRPr="00C3731C">
        <w:rPr>
          <w:i/>
        </w:rPr>
        <w:t>Cartledge</w:t>
      </w:r>
      <w:proofErr w:type="spellEnd"/>
      <w:r>
        <w:t xml:space="preserve"> (No 2) [2015] FCA 851 Mansfield J at [6] summarised </w:t>
      </w:r>
      <w:r w:rsidR="00507645">
        <w:t xml:space="preserve">a </w:t>
      </w:r>
      <w:r>
        <w:t xml:space="preserve">number of considerations </w:t>
      </w:r>
      <w:r w:rsidR="00234563">
        <w:t xml:space="preserve">relevant </w:t>
      </w:r>
      <w:r>
        <w:t>to the determination of an appropriate penalty for contempt of court:</w:t>
      </w:r>
    </w:p>
    <w:p w14:paraId="13C5AECB" w14:textId="77777777" w:rsidR="007A17D9" w:rsidRDefault="007A17D9" w:rsidP="007A17D9">
      <w:pPr>
        <w:pStyle w:val="FCBullets"/>
      </w:pPr>
      <w:r>
        <w:t>the contemnor</w:t>
      </w:r>
      <w:r w:rsidR="00A2650E">
        <w:t>’</w:t>
      </w:r>
      <w:r>
        <w:t>s personal circumstances;</w:t>
      </w:r>
    </w:p>
    <w:p w14:paraId="21CF5227" w14:textId="77777777" w:rsidR="007A17D9" w:rsidRDefault="007A17D9" w:rsidP="007A17D9">
      <w:pPr>
        <w:pStyle w:val="FCBullets"/>
      </w:pPr>
      <w:r>
        <w:t>the nature and circumstances of the contempt;</w:t>
      </w:r>
    </w:p>
    <w:p w14:paraId="298F62AF" w14:textId="77777777" w:rsidR="007A17D9" w:rsidRDefault="007A17D9" w:rsidP="007A17D9">
      <w:pPr>
        <w:pStyle w:val="FCBullets"/>
      </w:pPr>
      <w:r>
        <w:t>the effect of the contempt on the administration of justice;</w:t>
      </w:r>
    </w:p>
    <w:p w14:paraId="7CC9961B" w14:textId="77777777" w:rsidR="007A17D9" w:rsidRDefault="007A17D9" w:rsidP="007A17D9">
      <w:pPr>
        <w:pStyle w:val="FCBullets"/>
      </w:pPr>
      <w:r>
        <w:t>the contemnor</w:t>
      </w:r>
      <w:r w:rsidR="00A2650E">
        <w:t>’</w:t>
      </w:r>
      <w:r>
        <w:t>s culpability;</w:t>
      </w:r>
    </w:p>
    <w:p w14:paraId="5C909566" w14:textId="77777777" w:rsidR="007A17D9" w:rsidRDefault="007A17D9" w:rsidP="007A17D9">
      <w:pPr>
        <w:pStyle w:val="FCBullets"/>
      </w:pPr>
      <w:r>
        <w:t>the need to deter the contemnor and others from repeating contempt;</w:t>
      </w:r>
    </w:p>
    <w:p w14:paraId="31C0532E" w14:textId="77777777" w:rsidR="007A17D9" w:rsidRDefault="007A17D9" w:rsidP="007A17D9">
      <w:pPr>
        <w:pStyle w:val="FCBullets"/>
      </w:pPr>
      <w:r>
        <w:t>the absence or presence of a prior conviction for contempt;</w:t>
      </w:r>
    </w:p>
    <w:p w14:paraId="3A43DF7B" w14:textId="77777777" w:rsidR="007A17D9" w:rsidRDefault="007A17D9" w:rsidP="007A17D9">
      <w:pPr>
        <w:pStyle w:val="FCBullets"/>
      </w:pPr>
      <w:r>
        <w:t>the contemnor</w:t>
      </w:r>
      <w:r w:rsidR="00A2650E">
        <w:t>’</w:t>
      </w:r>
      <w:r>
        <w:t>s financial means; and</w:t>
      </w:r>
    </w:p>
    <w:p w14:paraId="58E14E5E" w14:textId="77777777" w:rsidR="007A17D9" w:rsidRDefault="007A17D9" w:rsidP="00954644">
      <w:pPr>
        <w:pStyle w:val="FCBullets"/>
        <w:keepNext/>
        <w:keepLines/>
      </w:pPr>
      <w:r>
        <w:t>whether the contemnor has exhibited general contrition and made a full and ample apology.</w:t>
      </w:r>
    </w:p>
    <w:p w14:paraId="56886070" w14:textId="77777777" w:rsidR="007A17D9" w:rsidRPr="0004068E" w:rsidRDefault="0004068E" w:rsidP="00954644">
      <w:pPr>
        <w:pStyle w:val="NoNum"/>
        <w:keepNext/>
        <w:keepLines/>
        <w:rPr>
          <w:highlight w:val="yellow"/>
        </w:rPr>
      </w:pPr>
      <w:r w:rsidRPr="0004068E">
        <w:t xml:space="preserve">(See </w:t>
      </w:r>
      <w:r w:rsidR="00234563">
        <w:t xml:space="preserve">also </w:t>
      </w:r>
      <w:proofErr w:type="spellStart"/>
      <w:r w:rsidRPr="0004068E">
        <w:rPr>
          <w:i/>
        </w:rPr>
        <w:t>Bovis</w:t>
      </w:r>
      <w:proofErr w:type="spellEnd"/>
      <w:r w:rsidRPr="0004068E">
        <w:rPr>
          <w:i/>
        </w:rPr>
        <w:t xml:space="preserve"> Lend Lease Pty Ltd v Construction Forestry Mining and Energy Union (No 2)</w:t>
      </w:r>
      <w:r w:rsidRPr="0004068E">
        <w:t xml:space="preserve"> [2009] FCA 650</w:t>
      </w:r>
      <w:r w:rsidR="00507645">
        <w:t xml:space="preserve"> at [6]</w:t>
      </w:r>
      <w:r w:rsidR="00234563">
        <w:t>;</w:t>
      </w:r>
      <w:r w:rsidRPr="0004068E">
        <w:t xml:space="preserve"> </w:t>
      </w:r>
      <w:r w:rsidRPr="0004068E">
        <w:rPr>
          <w:i/>
        </w:rPr>
        <w:t>Australasian Meat Industry Employees</w:t>
      </w:r>
      <w:r w:rsidR="00A2650E">
        <w:rPr>
          <w:i/>
        </w:rPr>
        <w:t>’</w:t>
      </w:r>
      <w:r w:rsidRPr="0004068E">
        <w:rPr>
          <w:i/>
        </w:rPr>
        <w:t xml:space="preserve"> Union v </w:t>
      </w:r>
      <w:proofErr w:type="spellStart"/>
      <w:r w:rsidRPr="0004068E">
        <w:rPr>
          <w:i/>
        </w:rPr>
        <w:t>Mudginberri</w:t>
      </w:r>
      <w:proofErr w:type="spellEnd"/>
      <w:r w:rsidRPr="0004068E">
        <w:rPr>
          <w:i/>
        </w:rPr>
        <w:t xml:space="preserve"> Station Pty Ltd</w:t>
      </w:r>
      <w:r w:rsidRPr="0004068E">
        <w:t xml:space="preserve"> (1986) 161 CLR 98</w:t>
      </w:r>
      <w:r w:rsidR="00234563">
        <w:t>;</w:t>
      </w:r>
      <w:r w:rsidRPr="0004068E">
        <w:t xml:space="preserve"> </w:t>
      </w:r>
      <w:r w:rsidRPr="0004068E">
        <w:rPr>
          <w:i/>
        </w:rPr>
        <w:t>Construction, Forestry, Mining and Energy Union v BHP Steel (AIS) Pty Ltd</w:t>
      </w:r>
      <w:r w:rsidRPr="0004068E">
        <w:t xml:space="preserve"> (2003) 196 ALR 350</w:t>
      </w:r>
      <w:r w:rsidR="00C2044B">
        <w:t xml:space="preserve"> (</w:t>
      </w:r>
      <w:r w:rsidR="00C2044B" w:rsidRPr="004A6578">
        <w:rPr>
          <w:b/>
          <w:i/>
        </w:rPr>
        <w:t>CFMEU</w:t>
      </w:r>
      <w:r w:rsidR="004A6578" w:rsidRPr="004A6578">
        <w:rPr>
          <w:b/>
          <w:i/>
        </w:rPr>
        <w:t xml:space="preserve"> v BHP</w:t>
      </w:r>
      <w:r w:rsidR="00C2044B">
        <w:t>)</w:t>
      </w:r>
      <w:r w:rsidR="00234563">
        <w:t>;</w:t>
      </w:r>
      <w:r w:rsidRPr="0004068E">
        <w:t xml:space="preserve"> </w:t>
      </w:r>
      <w:r w:rsidRPr="0004068E">
        <w:rPr>
          <w:i/>
        </w:rPr>
        <w:t>Louis Vuitton Malletier SA v Design Elegance Pty Ltd</w:t>
      </w:r>
      <w:r w:rsidR="00234563">
        <w:t xml:space="preserve"> (2006) 149 FCR 494 at 501–</w:t>
      </w:r>
      <w:r w:rsidRPr="0004068E">
        <w:t>502.)</w:t>
      </w:r>
    </w:p>
    <w:p w14:paraId="48E87EEE" w14:textId="77777777" w:rsidR="00306FFF" w:rsidRPr="00306FFF" w:rsidRDefault="00FC4963" w:rsidP="00EA0388">
      <w:pPr>
        <w:pStyle w:val="ParaNumbering"/>
      </w:pPr>
      <w:r w:rsidRPr="00FC4963">
        <w:t xml:space="preserve">Imprisonment for contempt is a penalty of last resort. As expressed by </w:t>
      </w:r>
      <w:proofErr w:type="spellStart"/>
      <w:r w:rsidRPr="00FC4963">
        <w:t>Gray</w:t>
      </w:r>
      <w:proofErr w:type="spellEnd"/>
      <w:r w:rsidRPr="00FC4963">
        <w:t xml:space="preserve"> J in </w:t>
      </w:r>
      <w:proofErr w:type="spellStart"/>
      <w:r w:rsidRPr="00FC4963">
        <w:rPr>
          <w:i/>
        </w:rPr>
        <w:t>Vaysman</w:t>
      </w:r>
      <w:proofErr w:type="spellEnd"/>
      <w:r w:rsidRPr="00FC4963">
        <w:rPr>
          <w:i/>
        </w:rPr>
        <w:t xml:space="preserve"> v Deckers Outdoor Corporation </w:t>
      </w:r>
      <w:proofErr w:type="spellStart"/>
      <w:r w:rsidRPr="00FC4963">
        <w:rPr>
          <w:i/>
        </w:rPr>
        <w:t>Inc</w:t>
      </w:r>
      <w:proofErr w:type="spellEnd"/>
      <w:r w:rsidRPr="00FC4963">
        <w:t xml:space="preserve"> (2011) 276 ALR 596; [2011] FCAFC 17 at [54]:</w:t>
      </w:r>
    </w:p>
    <w:p w14:paraId="1A5A4CED" w14:textId="77777777" w:rsidR="00306FFF" w:rsidRPr="00306FFF" w:rsidRDefault="00FC4963" w:rsidP="00EA0388">
      <w:pPr>
        <w:pStyle w:val="Quote1"/>
      </w:pPr>
      <w:r w:rsidRPr="00FC4963">
        <w:t>In any sentencing process, imprisonment is to be regarded as the penalty of last resort. Any period of deprivation of liberty is a drastic imposition on anyone. The value the law places on liberty is very high. It is incumbent on a sentencing judge to determine first whether any alternative to imprisonment would be appropriate.</w:t>
      </w:r>
    </w:p>
    <w:p w14:paraId="1545D91F" w14:textId="77777777" w:rsidR="009F2FE7" w:rsidRDefault="00781138" w:rsidP="009F2FE7">
      <w:pPr>
        <w:pStyle w:val="ParaNumbering"/>
      </w:pPr>
      <w:proofErr w:type="spellStart"/>
      <w:r w:rsidRPr="00306FFF">
        <w:rPr>
          <w:i/>
          <w:iCs/>
          <w:szCs w:val="24"/>
        </w:rPr>
        <w:t>Vaysman</w:t>
      </w:r>
      <w:proofErr w:type="spellEnd"/>
      <w:r w:rsidRPr="00306FFF">
        <w:rPr>
          <w:i/>
          <w:iCs/>
          <w:szCs w:val="24"/>
        </w:rPr>
        <w:t xml:space="preserve"> </w:t>
      </w:r>
      <w:r w:rsidRPr="00306FFF">
        <w:rPr>
          <w:szCs w:val="24"/>
        </w:rPr>
        <w:t>involved an appeal against the severity of the cu</w:t>
      </w:r>
      <w:r w:rsidR="009F2FE7">
        <w:rPr>
          <w:szCs w:val="24"/>
        </w:rPr>
        <w:t>stodial sentences imposed on a contemnor.</w:t>
      </w:r>
      <w:r w:rsidRPr="00306FFF">
        <w:rPr>
          <w:szCs w:val="24"/>
        </w:rPr>
        <w:t xml:space="preserve"> </w:t>
      </w:r>
      <w:r w:rsidR="00375502">
        <w:rPr>
          <w:szCs w:val="24"/>
        </w:rPr>
        <w:t>Mr </w:t>
      </w:r>
      <w:proofErr w:type="spellStart"/>
      <w:r w:rsidR="009F2FE7">
        <w:rPr>
          <w:szCs w:val="24"/>
        </w:rPr>
        <w:t>Vaysman</w:t>
      </w:r>
      <w:proofErr w:type="spellEnd"/>
      <w:r w:rsidR="009F2FE7">
        <w:rPr>
          <w:szCs w:val="24"/>
        </w:rPr>
        <w:t xml:space="preserve"> had been</w:t>
      </w:r>
      <w:r w:rsidRPr="00306FFF">
        <w:rPr>
          <w:szCs w:val="24"/>
        </w:rPr>
        <w:t xml:space="preserve"> found guilty of</w:t>
      </w:r>
      <w:r w:rsidR="009F2FE7">
        <w:rPr>
          <w:szCs w:val="24"/>
        </w:rPr>
        <w:t xml:space="preserve"> </w:t>
      </w:r>
      <w:r w:rsidR="006F57D9">
        <w:rPr>
          <w:szCs w:val="24"/>
        </w:rPr>
        <w:t>ten</w:t>
      </w:r>
      <w:r w:rsidR="009F2FE7">
        <w:rPr>
          <w:szCs w:val="24"/>
        </w:rPr>
        <w:t xml:space="preserve"> charges of contempt </w:t>
      </w:r>
      <w:r w:rsidR="00EA0388">
        <w:rPr>
          <w:szCs w:val="24"/>
        </w:rPr>
        <w:t xml:space="preserve">of court </w:t>
      </w:r>
      <w:r w:rsidR="009F2FE7">
        <w:rPr>
          <w:szCs w:val="24"/>
        </w:rPr>
        <w:t>and</w:t>
      </w:r>
      <w:r w:rsidRPr="00306FFF">
        <w:rPr>
          <w:szCs w:val="24"/>
        </w:rPr>
        <w:t xml:space="preserve"> </w:t>
      </w:r>
      <w:r w:rsidR="00EA0388">
        <w:rPr>
          <w:szCs w:val="24"/>
        </w:rPr>
        <w:t xml:space="preserve">was </w:t>
      </w:r>
      <w:r w:rsidRPr="00306FFF">
        <w:rPr>
          <w:szCs w:val="24"/>
        </w:rPr>
        <w:t xml:space="preserve">sentenced concurrently to a maximum term of 18 months imprisonment, </w:t>
      </w:r>
      <w:r w:rsidR="009F2FE7">
        <w:rPr>
          <w:szCs w:val="24"/>
        </w:rPr>
        <w:t>to be suspended after six</w:t>
      </w:r>
      <w:r w:rsidRPr="00306FFF">
        <w:rPr>
          <w:szCs w:val="24"/>
        </w:rPr>
        <w:t xml:space="preserve"> months. On appeal</w:t>
      </w:r>
      <w:r w:rsidR="009F2FE7">
        <w:rPr>
          <w:szCs w:val="24"/>
        </w:rPr>
        <w:t>,</w:t>
      </w:r>
      <w:r w:rsidRPr="00306FFF">
        <w:rPr>
          <w:szCs w:val="24"/>
        </w:rPr>
        <w:t xml:space="preserve"> that sentence was </w:t>
      </w:r>
      <w:r w:rsidR="009F2FE7" w:rsidRPr="00306FFF">
        <w:rPr>
          <w:szCs w:val="24"/>
        </w:rPr>
        <w:t>unanimously</w:t>
      </w:r>
      <w:r w:rsidRPr="00306FFF">
        <w:rPr>
          <w:szCs w:val="24"/>
        </w:rPr>
        <w:t xml:space="preserve"> held to be manifestly excessive. </w:t>
      </w:r>
    </w:p>
    <w:p w14:paraId="33A73681" w14:textId="77777777" w:rsidR="009F2FE7" w:rsidRDefault="009F2FE7" w:rsidP="00C2044B">
      <w:pPr>
        <w:pStyle w:val="ParaNumbering"/>
      </w:pPr>
      <w:r>
        <w:lastRenderedPageBreak/>
        <w:t xml:space="preserve">Justices </w:t>
      </w:r>
      <w:proofErr w:type="spellStart"/>
      <w:r w:rsidR="00586270">
        <w:t>Gray</w:t>
      </w:r>
      <w:proofErr w:type="spellEnd"/>
      <w:r w:rsidR="00586270">
        <w:t>, Besanko and Bromberg</w:t>
      </w:r>
      <w:r w:rsidR="00781138" w:rsidRPr="009F2FE7">
        <w:t xml:space="preserve"> delivered separ</w:t>
      </w:r>
      <w:r>
        <w:t>ate judgments. However, their Honours</w:t>
      </w:r>
      <w:r w:rsidR="00781138" w:rsidRPr="009F2FE7">
        <w:t xml:space="preserve"> </w:t>
      </w:r>
      <w:r>
        <w:t xml:space="preserve">agreed </w:t>
      </w:r>
      <w:r w:rsidR="00781138" w:rsidRPr="009F2FE7">
        <w:t xml:space="preserve">that the age and state of health of </w:t>
      </w:r>
      <w:r w:rsidR="00375502">
        <w:t>Mr </w:t>
      </w:r>
      <w:proofErr w:type="spellStart"/>
      <w:r w:rsidR="00781138" w:rsidRPr="009F2FE7">
        <w:t>Vaysman</w:t>
      </w:r>
      <w:proofErr w:type="spellEnd"/>
      <w:r w:rsidR="00781138" w:rsidRPr="009F2FE7">
        <w:t xml:space="preserve"> wer</w:t>
      </w:r>
      <w:r w:rsidRPr="009F2FE7">
        <w:t xml:space="preserve">e relevant mitigating factors. </w:t>
      </w:r>
      <w:r w:rsidR="007A17D9">
        <w:t xml:space="preserve">Justice </w:t>
      </w:r>
      <w:proofErr w:type="spellStart"/>
      <w:r w:rsidR="007A17D9">
        <w:t>Gray</w:t>
      </w:r>
      <w:proofErr w:type="spellEnd"/>
      <w:r>
        <w:t xml:space="preserve"> observed</w:t>
      </w:r>
      <w:r w:rsidR="00EA0388">
        <w:t xml:space="preserve"> at [55]</w:t>
      </w:r>
      <w:r>
        <w:t>:</w:t>
      </w:r>
    </w:p>
    <w:p w14:paraId="30E2CE34" w14:textId="77777777" w:rsidR="009F2FE7" w:rsidRPr="009F2FE7" w:rsidRDefault="006D7B10" w:rsidP="00C2044B">
      <w:pPr>
        <w:pStyle w:val="Quote1"/>
      </w:pPr>
      <w:r w:rsidRPr="006D7B10">
        <w:t>A sentence of imprisonment for a 74 year old man with a previously unblemished record would be a rare thing. A sentence of 18 months</w:t>
      </w:r>
      <w:r w:rsidR="00A2650E">
        <w:t>’</w:t>
      </w:r>
      <w:r w:rsidRPr="006D7B10">
        <w:t xml:space="preserve"> imprisonment imposed on such a person, coupled with an order requiring him actually </w:t>
      </w:r>
      <w:r w:rsidR="00EA0388">
        <w:t xml:space="preserve">to </w:t>
      </w:r>
      <w:r w:rsidRPr="006D7B10">
        <w:t xml:space="preserve">serve </w:t>
      </w:r>
      <w:r w:rsidR="00EA0388">
        <w:t>6</w:t>
      </w:r>
      <w:r w:rsidRPr="006D7B10">
        <w:t xml:space="preserve"> months of that term, could only be the result of contempt of court of an extremely serious kind, having regard to the person</w:t>
      </w:r>
      <w:r w:rsidR="00A2650E">
        <w:t>’</w:t>
      </w:r>
      <w:r w:rsidRPr="006D7B10">
        <w:t>s conduct and to its impact on the public. The appellant</w:t>
      </w:r>
      <w:r w:rsidR="00A2650E">
        <w:t>’</w:t>
      </w:r>
      <w:r w:rsidRPr="006D7B10">
        <w:t>s conduct that led to the findings that he was guilty of contempt on the 10 charges fell far short of such a degree of seriousness. Although characterised as deliberate, the conduct itself was not of sufficient gravity to justify such a sentence.</w:t>
      </w:r>
    </w:p>
    <w:p w14:paraId="080D647B" w14:textId="77777777" w:rsidR="009F2FE7" w:rsidRDefault="006D7B10" w:rsidP="006D7B10">
      <w:pPr>
        <w:pStyle w:val="ParaNumbering"/>
      </w:pPr>
      <w:r w:rsidRPr="006D7B10">
        <w:t xml:space="preserve">Justice Besanko (with whom Bromberg J agreed on this issue) also considered </w:t>
      </w:r>
      <w:r w:rsidR="00375502">
        <w:t>Mr </w:t>
      </w:r>
      <w:proofErr w:type="spellStart"/>
      <w:r w:rsidRPr="006D7B10">
        <w:t>Vaysman</w:t>
      </w:r>
      <w:r w:rsidR="00A2650E">
        <w:t>’</w:t>
      </w:r>
      <w:r w:rsidRPr="006D7B10">
        <w:t>s</w:t>
      </w:r>
      <w:proofErr w:type="spellEnd"/>
      <w:r w:rsidRPr="006D7B10">
        <w:t xml:space="preserve"> age and health to be significant factors. His Honour referred to the following extract from </w:t>
      </w:r>
      <w:r w:rsidRPr="006D7B10">
        <w:rPr>
          <w:i/>
        </w:rPr>
        <w:t>R v Smith</w:t>
      </w:r>
      <w:r w:rsidRPr="006D7B10">
        <w:t xml:space="preserve"> (1987) </w:t>
      </w:r>
      <w:r w:rsidR="00586270">
        <w:t xml:space="preserve">44 SASR 587 </w:t>
      </w:r>
      <w:r w:rsidRPr="006D7B10">
        <w:t>at 5</w:t>
      </w:r>
      <w:r w:rsidR="00EA0388">
        <w:t>8</w:t>
      </w:r>
      <w:r w:rsidRPr="006D7B10">
        <w:t>9:</w:t>
      </w:r>
    </w:p>
    <w:p w14:paraId="04D47005" w14:textId="77777777" w:rsidR="009F2FE7" w:rsidRPr="009F2FE7" w:rsidRDefault="006D7B10" w:rsidP="006D7B10">
      <w:pPr>
        <w:pStyle w:val="Quote1"/>
      </w:pPr>
      <w:r w:rsidRPr="006D7B10">
        <w:t>The state of health of an offender is always relevant to the consideration of the appropriate sentence for the offender. The Courts, however, must be cautious as to the influence which they allow this factor to have upon the sentencing process. Ill health cannot be allowed to become a licence to commit a crime, nor can offenders generally expect to escape punishment because of the condition of their health. It is the responsibility of the Correctional Services authorities to provide appropriate care and treatment for sick prisoners. Generally speaking ill health will be a factor tending to mitigate punishment only when it appears that imprisonment will be a greater burden on the offender by reason of his state of health or when there is a serious risk of imprisonment having a gravely adverse effect on the offender</w:t>
      </w:r>
      <w:r w:rsidR="00A2650E">
        <w:t>’</w:t>
      </w:r>
      <w:r w:rsidRPr="006D7B10">
        <w:t>s health.</w:t>
      </w:r>
    </w:p>
    <w:p w14:paraId="64DA1F2B" w14:textId="77777777" w:rsidR="0031556A" w:rsidRPr="009F2FE7" w:rsidRDefault="0031556A" w:rsidP="0031556A">
      <w:pPr>
        <w:pStyle w:val="ParaNumbering"/>
      </w:pPr>
      <w:r>
        <w:t xml:space="preserve">On </w:t>
      </w:r>
      <w:r w:rsidRPr="009F2FE7">
        <w:t>the question of whether imprisonment will be a greater burden on the offender by reason of his age and state of health, Besanko J obser</w:t>
      </w:r>
      <w:r>
        <w:t>ved at [126</w:t>
      </w:r>
      <w:r w:rsidR="00556F18">
        <w:t>]–[</w:t>
      </w:r>
      <w:r>
        <w:t>127]:</w:t>
      </w:r>
    </w:p>
    <w:p w14:paraId="1EEAAD08" w14:textId="77777777" w:rsidR="006D7B10" w:rsidRDefault="00D35225" w:rsidP="00D35225">
      <w:pPr>
        <w:pStyle w:val="Quote1"/>
        <w:ind w:left="1440" w:hanging="703"/>
      </w:pPr>
      <w:r>
        <w:t>126</w:t>
      </w:r>
      <w:r>
        <w:tab/>
      </w:r>
      <w:r w:rsidR="006D7B10">
        <w:t xml:space="preserve">First, I do not think that the burden must be </w:t>
      </w:r>
      <w:r w:rsidR="005F1FBB">
        <w:t>“</w:t>
      </w:r>
      <w:r w:rsidR="006D7B10">
        <w:t>particularly onerous</w:t>
      </w:r>
      <w:r w:rsidR="005F1FBB">
        <w:t>”</w:t>
      </w:r>
      <w:r w:rsidR="006D7B10">
        <w:t xml:space="preserve"> … before ill health becomes relevant. It may be of less significance if it is not particularly onerous, but it is still relevant if it would impose a greater burden on the appellant. </w:t>
      </w:r>
    </w:p>
    <w:p w14:paraId="2BFCE1C7" w14:textId="77777777" w:rsidR="0031556A" w:rsidRPr="00B8458A" w:rsidRDefault="00D35225" w:rsidP="00D35225">
      <w:pPr>
        <w:pStyle w:val="Quote1"/>
        <w:ind w:left="1440" w:hanging="703"/>
      </w:pPr>
      <w:r>
        <w:t>127</w:t>
      </w:r>
      <w:r>
        <w:tab/>
      </w:r>
      <w:r w:rsidR="006D7B10">
        <w:t>Secondly, the appellant</w:t>
      </w:r>
      <w:r w:rsidR="00A2650E">
        <w:t>’</w:t>
      </w:r>
      <w:r w:rsidR="006D7B10">
        <w:t>s age and state of health were relevant to the sentence of imprisonment and not just the determination of the period he should spend in prison. That may not be so in some cases but it seems to me that this is a case where it was relevant to both issues.</w:t>
      </w:r>
      <w:r w:rsidR="0071102E">
        <w:t xml:space="preserve"> </w:t>
      </w:r>
    </w:p>
    <w:p w14:paraId="1F6E48EA" w14:textId="77777777" w:rsidR="0031556A" w:rsidRPr="0031556A" w:rsidRDefault="005C0076" w:rsidP="005C0076">
      <w:pPr>
        <w:pStyle w:val="ParaNumbering"/>
        <w:rPr>
          <w:szCs w:val="24"/>
        </w:rPr>
      </w:pPr>
      <w:r w:rsidRPr="005C0076">
        <w:rPr>
          <w:szCs w:val="24"/>
        </w:rPr>
        <w:t xml:space="preserve">In </w:t>
      </w:r>
      <w:r w:rsidRPr="005C0076">
        <w:rPr>
          <w:i/>
          <w:szCs w:val="24"/>
        </w:rPr>
        <w:t xml:space="preserve">Australian Competition and Consumer Commission v </w:t>
      </w:r>
      <w:proofErr w:type="spellStart"/>
      <w:r w:rsidRPr="005C0076">
        <w:rPr>
          <w:i/>
          <w:szCs w:val="24"/>
        </w:rPr>
        <w:t>Halkalia</w:t>
      </w:r>
      <w:proofErr w:type="spellEnd"/>
      <w:r w:rsidRPr="005C0076">
        <w:rPr>
          <w:i/>
          <w:szCs w:val="24"/>
        </w:rPr>
        <w:t xml:space="preserve"> Pty Ltd (No 3)</w:t>
      </w:r>
      <w:r w:rsidRPr="005C0076">
        <w:rPr>
          <w:szCs w:val="24"/>
        </w:rPr>
        <w:t>, when sent</w:t>
      </w:r>
      <w:r>
        <w:rPr>
          <w:szCs w:val="24"/>
        </w:rPr>
        <w:t xml:space="preserve">encing the contemnor for </w:t>
      </w:r>
      <w:r w:rsidR="005F1FBB">
        <w:rPr>
          <w:szCs w:val="24"/>
        </w:rPr>
        <w:t>“</w:t>
      </w:r>
      <w:proofErr w:type="spellStart"/>
      <w:r w:rsidRPr="005C0076">
        <w:rPr>
          <w:szCs w:val="24"/>
        </w:rPr>
        <w:t>willful</w:t>
      </w:r>
      <w:proofErr w:type="spellEnd"/>
      <w:r w:rsidRPr="005C0076">
        <w:rPr>
          <w:szCs w:val="24"/>
        </w:rPr>
        <w:t xml:space="preserve"> and contumacious</w:t>
      </w:r>
      <w:r w:rsidR="005F1FBB">
        <w:rPr>
          <w:szCs w:val="24"/>
        </w:rPr>
        <w:t>”</w:t>
      </w:r>
      <w:r w:rsidRPr="005C0076">
        <w:rPr>
          <w:szCs w:val="24"/>
        </w:rPr>
        <w:t xml:space="preserve"> contempt, Tracey J at [160]</w:t>
      </w:r>
      <w:r>
        <w:rPr>
          <w:szCs w:val="24"/>
        </w:rPr>
        <w:t>–</w:t>
      </w:r>
      <w:r w:rsidRPr="005C0076">
        <w:rPr>
          <w:szCs w:val="24"/>
        </w:rPr>
        <w:t>[162] took into account the contemnor</w:t>
      </w:r>
      <w:r w:rsidR="00A2650E">
        <w:rPr>
          <w:szCs w:val="24"/>
        </w:rPr>
        <w:t>’</w:t>
      </w:r>
      <w:r w:rsidRPr="005C0076">
        <w:rPr>
          <w:szCs w:val="24"/>
        </w:rPr>
        <w:t>s age and state of health, as well as the possible exacerbating effect of his concerns for his wife</w:t>
      </w:r>
      <w:r w:rsidR="00A2650E">
        <w:rPr>
          <w:szCs w:val="24"/>
        </w:rPr>
        <w:t>’</w:t>
      </w:r>
      <w:r w:rsidRPr="005C0076">
        <w:rPr>
          <w:szCs w:val="24"/>
        </w:rPr>
        <w:t>s health in his absence.</w:t>
      </w:r>
    </w:p>
    <w:p w14:paraId="64F006A2" w14:textId="77777777" w:rsidR="0031556A" w:rsidRPr="0031556A" w:rsidRDefault="0031556A" w:rsidP="00D35225">
      <w:pPr>
        <w:pStyle w:val="ParaNumbering"/>
        <w:keepNext/>
        <w:keepLines/>
        <w:rPr>
          <w:sz w:val="22"/>
          <w:szCs w:val="22"/>
        </w:rPr>
      </w:pPr>
      <w:r>
        <w:lastRenderedPageBreak/>
        <w:t>The C</w:t>
      </w:r>
      <w:r w:rsidR="00781138" w:rsidRPr="0031556A">
        <w:t>ourt has a wide discretion in determining the length and conditions of an</w:t>
      </w:r>
      <w:r>
        <w:t>y term of imprisonment imposed. However, it was</w:t>
      </w:r>
      <w:r w:rsidR="00781138" w:rsidRPr="0031556A">
        <w:t xml:space="preserve"> </w:t>
      </w:r>
      <w:r w:rsidR="004B08B4">
        <w:t xml:space="preserve">emphasised </w:t>
      </w:r>
      <w:r>
        <w:t xml:space="preserve">by </w:t>
      </w:r>
      <w:proofErr w:type="spellStart"/>
      <w:r>
        <w:t>Gray</w:t>
      </w:r>
      <w:proofErr w:type="spellEnd"/>
      <w:r>
        <w:t xml:space="preserve"> J</w:t>
      </w:r>
      <w:r w:rsidR="00781138" w:rsidRPr="0031556A">
        <w:t xml:space="preserve"> </w:t>
      </w:r>
      <w:r>
        <w:t xml:space="preserve">in </w:t>
      </w:r>
      <w:proofErr w:type="spellStart"/>
      <w:r w:rsidRPr="0031556A">
        <w:rPr>
          <w:i/>
        </w:rPr>
        <w:t>Vaysman</w:t>
      </w:r>
      <w:proofErr w:type="spellEnd"/>
      <w:r>
        <w:t xml:space="preserve"> at</w:t>
      </w:r>
      <w:r w:rsidR="0071102E">
        <w:t xml:space="preserve"> </w:t>
      </w:r>
      <w:r w:rsidR="00D35225">
        <w:t>[49</w:t>
      </w:r>
      <w:r>
        <w:t>] that:</w:t>
      </w:r>
    </w:p>
    <w:p w14:paraId="673B5595" w14:textId="77777777" w:rsidR="0031556A" w:rsidRPr="0031556A" w:rsidRDefault="0086415D" w:rsidP="00D35225">
      <w:pPr>
        <w:pStyle w:val="Quote1"/>
        <w:keepNext/>
        <w:keepLines/>
      </w:pPr>
      <w:r w:rsidRPr="0086415D">
        <w:t>…restraint is appropriate in imposing sentences of imprisonment for contempt of court involving contravention of, or failure to comply with, orders of the Court. The authority of a court can be brought into disrepute, rather than enhanced, by too great a tendency to punish severely in cases that do not warrant severity.</w:t>
      </w:r>
    </w:p>
    <w:p w14:paraId="6A4F2213" w14:textId="77777777" w:rsidR="007A17D9" w:rsidRPr="007A17D9" w:rsidRDefault="007A17D9" w:rsidP="007A17D9">
      <w:pPr>
        <w:pStyle w:val="ParaNumbering"/>
      </w:pPr>
      <w:r>
        <w:t xml:space="preserve">In deciding the appropriate amount of any fine, the </w:t>
      </w:r>
      <w:r w:rsidR="00586270">
        <w:t xml:space="preserve">Court </w:t>
      </w:r>
      <w:r>
        <w:t>will ordinarily take into account the contemnor</w:t>
      </w:r>
      <w:r w:rsidR="00A2650E">
        <w:t>’</w:t>
      </w:r>
      <w:r>
        <w:t xml:space="preserve">s financial means: </w:t>
      </w:r>
      <w:r w:rsidRPr="00C3731C">
        <w:rPr>
          <w:i/>
        </w:rPr>
        <w:t xml:space="preserve">Australian Competition and Consumer Commission v </w:t>
      </w:r>
      <w:proofErr w:type="spellStart"/>
      <w:r w:rsidRPr="00C3731C">
        <w:rPr>
          <w:i/>
        </w:rPr>
        <w:t>Dynacast</w:t>
      </w:r>
      <w:proofErr w:type="spellEnd"/>
      <w:r w:rsidRPr="00C3731C">
        <w:rPr>
          <w:i/>
        </w:rPr>
        <w:t xml:space="preserve"> (</w:t>
      </w:r>
      <w:proofErr w:type="spellStart"/>
      <w:r w:rsidRPr="00C3731C">
        <w:rPr>
          <w:i/>
        </w:rPr>
        <w:t>Int</w:t>
      </w:r>
      <w:proofErr w:type="spellEnd"/>
      <w:r w:rsidRPr="00C3731C">
        <w:rPr>
          <w:i/>
        </w:rPr>
        <w:t>) Pty Ltd</w:t>
      </w:r>
      <w:r w:rsidR="00D35225" w:rsidRPr="00D35225">
        <w:rPr>
          <w:i/>
        </w:rPr>
        <w:t xml:space="preserve"> (formerly Phoneflasher.com Pty Ltd) ACN 001 234 642</w:t>
      </w:r>
      <w:r w:rsidR="00D91F86">
        <w:t xml:space="preserve"> [2007] FCA 429 </w:t>
      </w:r>
      <w:r>
        <w:t>at [84].</w:t>
      </w:r>
    </w:p>
    <w:p w14:paraId="78DB10C9" w14:textId="77777777" w:rsidR="00284F8F" w:rsidRPr="004C64AF" w:rsidRDefault="00284F8F" w:rsidP="003D3E2C">
      <w:pPr>
        <w:pStyle w:val="Heading3"/>
      </w:pPr>
      <w:r w:rsidRPr="004C64AF">
        <w:t>Consideration of appropriate penalties</w:t>
      </w:r>
    </w:p>
    <w:p w14:paraId="071FDFB7" w14:textId="77777777" w:rsidR="00C1764B" w:rsidRDefault="00C1764B" w:rsidP="00C1764B">
      <w:pPr>
        <w:pStyle w:val="ParaNumbering"/>
      </w:pPr>
      <w:r>
        <w:t xml:space="preserve">The applicant accepts that there should be no punishment of Mr Hacker and OSGS in respect of the First </w:t>
      </w:r>
      <w:proofErr w:type="spellStart"/>
      <w:r>
        <w:t>Contempts</w:t>
      </w:r>
      <w:proofErr w:type="spellEnd"/>
      <w:r>
        <w:t xml:space="preserve">, since pecuniary penalties will be imposed upon them in respect of the corresponding contraventions of s 50-5 of the TAS Act. However, the applicant submits that in respect of the remaining contraventions, a fine of $15,000 should be imposed on OSGS (which is the amount held in </w:t>
      </w:r>
      <w:r w:rsidR="00AA02F1">
        <w:t xml:space="preserve">Mr Hacker’s </w:t>
      </w:r>
      <w:r>
        <w:t>solicitor</w:t>
      </w:r>
      <w:r w:rsidR="00A2650E">
        <w:t>’</w:t>
      </w:r>
      <w:r>
        <w:t>s trust account as a “surety” pursuant to the irrevocable authority of 26 November 2019), and Mr Hacker should be sentenced to 9 months imprisonment.</w:t>
      </w:r>
    </w:p>
    <w:p w14:paraId="6CD62A26" w14:textId="77777777" w:rsidR="00C1764B" w:rsidRDefault="00C1764B" w:rsidP="00C1764B">
      <w:pPr>
        <w:pStyle w:val="ParaNumbering"/>
      </w:pPr>
      <w:r>
        <w:t xml:space="preserve">Mr Hacker and OSGS submit that they have not engaged in separate conduct and should not separately be penalised for the same conduct. They submit that a fine </w:t>
      </w:r>
      <w:r w:rsidR="00AA02F1">
        <w:t xml:space="preserve">imposed </w:t>
      </w:r>
      <w:r>
        <w:t>on OSGS alone will have an adverse effect upon Mr Hacker as a shareholder, and that is a sufficient penalty</w:t>
      </w:r>
      <w:r w:rsidR="004B08B4">
        <w:t xml:space="preserve"> for both</w:t>
      </w:r>
      <w:r>
        <w:t>. They submit</w:t>
      </w:r>
      <w:r w:rsidR="004B08B4">
        <w:t>, in the alternative,</w:t>
      </w:r>
      <w:r>
        <w:t xml:space="preserve"> that if a term of imprisonment is to be imposed upon Mr Hacker, it should be limited and wholly suspended.</w:t>
      </w:r>
    </w:p>
    <w:p w14:paraId="6F1BD642" w14:textId="77777777" w:rsidR="00284F8F" w:rsidRDefault="007E7124" w:rsidP="00C1764B">
      <w:pPr>
        <w:pStyle w:val="ParaNumbering"/>
      </w:pPr>
      <w:r>
        <w:t>In my opinion, t</w:t>
      </w:r>
      <w:r w:rsidR="00C1764B">
        <w:t>he conduct of Mr Hacker and OSGS demonstrates blatant indifference to the undertaking</w:t>
      </w:r>
      <w:r w:rsidR="00586270">
        <w:t>s</w:t>
      </w:r>
      <w:r w:rsidR="00C1764B">
        <w:t xml:space="preserve"> they offered </w:t>
      </w:r>
      <w:r w:rsidR="00636255">
        <w:t xml:space="preserve">to, and </w:t>
      </w:r>
      <w:r w:rsidR="00A90FEC">
        <w:t xml:space="preserve">which were </w:t>
      </w:r>
      <w:r w:rsidR="00C1764B">
        <w:t>accepted by</w:t>
      </w:r>
      <w:r w:rsidR="00636255">
        <w:t>,</w:t>
      </w:r>
      <w:r w:rsidR="00C1764B">
        <w:t xml:space="preserve"> the Court. </w:t>
      </w:r>
      <w:r w:rsidR="00284F8F">
        <w:t xml:space="preserve">Each </w:t>
      </w:r>
      <w:r w:rsidR="00C1764B">
        <w:t>contempt</w:t>
      </w:r>
      <w:r w:rsidR="00284F8F">
        <w:t xml:space="preserve"> </w:t>
      </w:r>
      <w:r w:rsidR="000331A3">
        <w:t xml:space="preserve">was committed in </w:t>
      </w:r>
      <w:r w:rsidR="00284F8F">
        <w:t xml:space="preserve">wilful </w:t>
      </w:r>
      <w:r w:rsidR="000331A3">
        <w:t xml:space="preserve">and flagrant </w:t>
      </w:r>
      <w:r w:rsidR="00284F8F">
        <w:t>disregard of the</w:t>
      </w:r>
      <w:r w:rsidR="00C1764B">
        <w:t>ir</w:t>
      </w:r>
      <w:r w:rsidR="00284F8F">
        <w:t xml:space="preserve"> undertaking.</w:t>
      </w:r>
      <w:r w:rsidR="0071102E">
        <w:t xml:space="preserve"> </w:t>
      </w:r>
      <w:r w:rsidR="00586270">
        <w:t>The breac</w:t>
      </w:r>
      <w:r w:rsidR="00373DF3">
        <w:t xml:space="preserve">hes were contumacious, and are </w:t>
      </w:r>
      <w:r w:rsidR="00586270">
        <w:t xml:space="preserve">criminal </w:t>
      </w:r>
      <w:proofErr w:type="spellStart"/>
      <w:r w:rsidR="00586270">
        <w:t>contempts</w:t>
      </w:r>
      <w:proofErr w:type="spellEnd"/>
      <w:r w:rsidR="00586270">
        <w:t xml:space="preserve">: </w:t>
      </w:r>
      <w:proofErr w:type="spellStart"/>
      <w:r w:rsidR="00586270">
        <w:t>cf</w:t>
      </w:r>
      <w:proofErr w:type="spellEnd"/>
      <w:r w:rsidR="00586270">
        <w:t xml:space="preserve"> </w:t>
      </w:r>
      <w:r w:rsidR="00586270">
        <w:rPr>
          <w:i/>
        </w:rPr>
        <w:t>Wi</w:t>
      </w:r>
      <w:r w:rsidR="005A395F">
        <w:rPr>
          <w:i/>
        </w:rPr>
        <w:t>th</w:t>
      </w:r>
      <w:r w:rsidR="00586270">
        <w:rPr>
          <w:i/>
        </w:rPr>
        <w:t xml:space="preserve">am v Holloway </w:t>
      </w:r>
      <w:r w:rsidR="00586270">
        <w:t xml:space="preserve">(1995) 183 CLR 525 at 538–539.  </w:t>
      </w:r>
      <w:r w:rsidR="005F0F68">
        <w:t xml:space="preserve">Apart </w:t>
      </w:r>
      <w:r w:rsidR="00284F8F">
        <w:t xml:space="preserve">from the </w:t>
      </w:r>
      <w:r w:rsidR="005F0F68">
        <w:t xml:space="preserve">assertion </w:t>
      </w:r>
      <w:r w:rsidR="00284F8F">
        <w:t>of frontotemporal lobe damage which I have rejected, no explanation or excuse has been offered.</w:t>
      </w:r>
      <w:r w:rsidR="0071102E">
        <w:t xml:space="preserve"> </w:t>
      </w:r>
      <w:r w:rsidR="007A17D9">
        <w:t>Each contempt</w:t>
      </w:r>
      <w:r w:rsidR="00284F8F">
        <w:t xml:space="preserve"> can only be described as </w:t>
      </w:r>
      <w:r w:rsidR="005F0F68">
        <w:t xml:space="preserve">very serious. </w:t>
      </w:r>
    </w:p>
    <w:p w14:paraId="19F795E5" w14:textId="77777777" w:rsidR="00284F8F" w:rsidRDefault="00284F8F" w:rsidP="00284F8F">
      <w:pPr>
        <w:pStyle w:val="ParaNumbering"/>
      </w:pPr>
      <w:r>
        <w:t xml:space="preserve">The </w:t>
      </w:r>
      <w:proofErr w:type="spellStart"/>
      <w:r>
        <w:t>contempts</w:t>
      </w:r>
      <w:proofErr w:type="spellEnd"/>
      <w:r>
        <w:t xml:space="preserve"> </w:t>
      </w:r>
      <w:r w:rsidR="00C1764B">
        <w:t xml:space="preserve">generally </w:t>
      </w:r>
      <w:r>
        <w:t>followed a pattern.</w:t>
      </w:r>
      <w:r w:rsidR="0071102E">
        <w:t xml:space="preserve"> </w:t>
      </w:r>
      <w:r>
        <w:t xml:space="preserve">Mr Hacker and OSGS would be caught out </w:t>
      </w:r>
      <w:r w:rsidR="00C1764B">
        <w:t xml:space="preserve">by the applicant </w:t>
      </w:r>
      <w:r>
        <w:t>providing unregistered tax</w:t>
      </w:r>
      <w:r w:rsidR="005F0F68">
        <w:t xml:space="preserve"> agent </w:t>
      </w:r>
      <w:r>
        <w:t>services for fee or reward in c</w:t>
      </w:r>
      <w:r w:rsidR="00C1764B">
        <w:t>ontravention of the undertaking;</w:t>
      </w:r>
      <w:r>
        <w:t xml:space="preserve"> the applicant would co</w:t>
      </w:r>
      <w:r w:rsidR="00C1764B">
        <w:t>mmence proceedings for contempt;</w:t>
      </w:r>
      <w:r>
        <w:t xml:space="preserve"> Mr Hacker and</w:t>
      </w:r>
      <w:r w:rsidR="007E7124">
        <w:t>/or</w:t>
      </w:r>
      <w:r>
        <w:t xml:space="preserve"> OSGS would admit th</w:t>
      </w:r>
      <w:r w:rsidR="00C1764B">
        <w:t xml:space="preserve">e </w:t>
      </w:r>
      <w:proofErr w:type="spellStart"/>
      <w:r w:rsidR="00C1764B">
        <w:t>contempts</w:t>
      </w:r>
      <w:proofErr w:type="spellEnd"/>
      <w:r w:rsidR="00C1764B">
        <w:t>;</w:t>
      </w:r>
      <w:r>
        <w:t xml:space="preserve"> then they would </w:t>
      </w:r>
      <w:r w:rsidR="00C005C0">
        <w:t xml:space="preserve">promptly </w:t>
      </w:r>
      <w:r>
        <w:t xml:space="preserve">commit further breaches of the </w:t>
      </w:r>
      <w:r>
        <w:lastRenderedPageBreak/>
        <w:t>undertaking.</w:t>
      </w:r>
      <w:r w:rsidR="007E7124">
        <w:t xml:space="preserve"> The admissions acknowledged the </w:t>
      </w:r>
      <w:proofErr w:type="spellStart"/>
      <w:r w:rsidR="007E7124">
        <w:t>contempts</w:t>
      </w:r>
      <w:proofErr w:type="spellEnd"/>
      <w:r w:rsidR="007E7124">
        <w:t xml:space="preserve">, but </w:t>
      </w:r>
      <w:r w:rsidR="00DA2721">
        <w:t xml:space="preserve">the </w:t>
      </w:r>
      <w:proofErr w:type="spellStart"/>
      <w:r w:rsidR="00DA2721">
        <w:t>contempts</w:t>
      </w:r>
      <w:proofErr w:type="spellEnd"/>
      <w:r w:rsidR="00DA2721">
        <w:t xml:space="preserve"> </w:t>
      </w:r>
      <w:r w:rsidR="007E7124">
        <w:t xml:space="preserve">continued. </w:t>
      </w:r>
      <w:r w:rsidR="0071102E">
        <w:t xml:space="preserve"> </w:t>
      </w:r>
      <w:r>
        <w:t>In view of this pattern</w:t>
      </w:r>
      <w:r w:rsidR="00373DF3">
        <w:t xml:space="preserve"> of conduct</w:t>
      </w:r>
      <w:r>
        <w:t xml:space="preserve">, I regard each contempt </w:t>
      </w:r>
      <w:r w:rsidR="005F0F68">
        <w:t>a</w:t>
      </w:r>
      <w:r w:rsidR="00C1764B">
        <w:t>s</w:t>
      </w:r>
      <w:r>
        <w:t xml:space="preserve"> progressively more serious.</w:t>
      </w:r>
    </w:p>
    <w:p w14:paraId="4A3E25AB" w14:textId="77777777" w:rsidR="00284F8F" w:rsidRDefault="00020521" w:rsidP="00284F8F">
      <w:pPr>
        <w:pStyle w:val="ParaNumbering"/>
      </w:pPr>
      <w:r>
        <w:t xml:space="preserve">Substantial </w:t>
      </w:r>
      <w:r w:rsidR="00284F8F">
        <w:t>weight must be given to the objects of general and specific deterrence.</w:t>
      </w:r>
      <w:r w:rsidR="0071102E">
        <w:t xml:space="preserve"> </w:t>
      </w:r>
      <w:r w:rsidR="00284F8F">
        <w:t xml:space="preserve">Those who provide undertakings to the </w:t>
      </w:r>
      <w:r>
        <w:t xml:space="preserve">Court </w:t>
      </w:r>
      <w:r w:rsidR="00284F8F">
        <w:t>should be left in no doubt that non-compliance will have appropriate consequences.</w:t>
      </w:r>
      <w:r w:rsidR="0071102E">
        <w:t xml:space="preserve"> </w:t>
      </w:r>
      <w:r w:rsidR="00284F8F">
        <w:t xml:space="preserve">In this case, specific deterrence is particularly important given the number and pattern of </w:t>
      </w:r>
      <w:proofErr w:type="spellStart"/>
      <w:r w:rsidR="00284F8F">
        <w:t>contempts</w:t>
      </w:r>
      <w:proofErr w:type="spellEnd"/>
      <w:r w:rsidR="00C1764B">
        <w:t xml:space="preserve"> committed by Mr Hacker and OSGS</w:t>
      </w:r>
      <w:r w:rsidR="00284F8F">
        <w:t>.</w:t>
      </w:r>
    </w:p>
    <w:p w14:paraId="4D37E2CB" w14:textId="77777777" w:rsidR="00284F8F" w:rsidRDefault="00284F8F" w:rsidP="00284F8F">
      <w:pPr>
        <w:pStyle w:val="ParaNumbering"/>
      </w:pPr>
      <w:r>
        <w:t xml:space="preserve">Mr Hacker </w:t>
      </w:r>
      <w:r w:rsidR="006579E0">
        <w:t>doe</w:t>
      </w:r>
      <w:r w:rsidR="007E7124">
        <w:t xml:space="preserve">s not have </w:t>
      </w:r>
      <w:r w:rsidR="00A24ECF">
        <w:t xml:space="preserve">specific </w:t>
      </w:r>
      <w:r>
        <w:t>health problems that would make a sentence of imprisonment particularly onerous.</w:t>
      </w:r>
      <w:r w:rsidR="0071102E">
        <w:t xml:space="preserve"> </w:t>
      </w:r>
      <w:r>
        <w:t xml:space="preserve">However, </w:t>
      </w:r>
      <w:r w:rsidR="006579E0">
        <w:t xml:space="preserve">I </w:t>
      </w:r>
      <w:r>
        <w:t>accept</w:t>
      </w:r>
      <w:r w:rsidR="006579E0">
        <w:t xml:space="preserve"> that </w:t>
      </w:r>
      <w:r>
        <w:t>any man of his age is likely to be in a deteriorating physical condition</w:t>
      </w:r>
      <w:r w:rsidR="00C1764B">
        <w:t>,</w:t>
      </w:r>
      <w:r>
        <w:t xml:space="preserve"> and that imprisonment will be more </w:t>
      </w:r>
      <w:r w:rsidR="006579E0">
        <w:t xml:space="preserve">onerous </w:t>
      </w:r>
      <w:r>
        <w:t>for him than it would for a younger man.</w:t>
      </w:r>
    </w:p>
    <w:p w14:paraId="74045F22" w14:textId="77777777" w:rsidR="00284F8F" w:rsidRDefault="00284F8F" w:rsidP="00284F8F">
      <w:pPr>
        <w:pStyle w:val="ParaNumbering"/>
      </w:pPr>
      <w:r>
        <w:t>Mr Hacker is the sole provider for his household.</w:t>
      </w:r>
      <w:r w:rsidR="0071102E">
        <w:t xml:space="preserve"> </w:t>
      </w:r>
      <w:r>
        <w:t>His wife of 38 years suffers from arthritis and does not work.</w:t>
      </w:r>
      <w:r w:rsidR="0071102E">
        <w:t xml:space="preserve"> </w:t>
      </w:r>
      <w:r w:rsidR="005A395F">
        <w:t xml:space="preserve">Any </w:t>
      </w:r>
      <w:r>
        <w:t>custodial sentence will impact, not only upon Mr Hacker</w:t>
      </w:r>
      <w:r w:rsidR="00A2650E">
        <w:t>’</w:t>
      </w:r>
      <w:r>
        <w:t>s own welfare, but that of his wife.</w:t>
      </w:r>
    </w:p>
    <w:p w14:paraId="66C28FF0" w14:textId="77777777" w:rsidR="00284F8F" w:rsidRDefault="00284F8F" w:rsidP="00284F8F">
      <w:pPr>
        <w:pStyle w:val="ParaNumbering"/>
      </w:pPr>
      <w:r>
        <w:t xml:space="preserve">Mr Hacker and OSGS have no </w:t>
      </w:r>
      <w:r w:rsidR="006579E0">
        <w:t xml:space="preserve">previous </w:t>
      </w:r>
      <w:r>
        <w:t xml:space="preserve">history of </w:t>
      </w:r>
      <w:proofErr w:type="spellStart"/>
      <w:r>
        <w:t>contempts</w:t>
      </w:r>
      <w:proofErr w:type="spellEnd"/>
      <w:r>
        <w:t xml:space="preserve"> of court.</w:t>
      </w:r>
    </w:p>
    <w:p w14:paraId="5118DC4D" w14:textId="77777777" w:rsidR="00781138" w:rsidRDefault="00284F8F" w:rsidP="00284F8F">
      <w:pPr>
        <w:pStyle w:val="ParaNumbering"/>
      </w:pPr>
      <w:r>
        <w:t>In respect</w:t>
      </w:r>
      <w:r w:rsidR="00C1764B">
        <w:t xml:space="preserve"> of the aspect of the Fifth </w:t>
      </w:r>
      <w:proofErr w:type="spellStart"/>
      <w:r w:rsidR="00C1764B">
        <w:t>C</w:t>
      </w:r>
      <w:r>
        <w:t>ontempts</w:t>
      </w:r>
      <w:proofErr w:type="spellEnd"/>
      <w:r>
        <w:t xml:space="preserve"> that </w:t>
      </w:r>
      <w:r w:rsidR="006579E0">
        <w:t xml:space="preserve">Mr Hacker and </w:t>
      </w:r>
      <w:r>
        <w:t xml:space="preserve">OSGS failed to fix a notice in a prominent place to the front door </w:t>
      </w:r>
      <w:r w:rsidR="00A27D02">
        <w:t xml:space="preserve">at </w:t>
      </w:r>
      <w:r>
        <w:t>OSGS</w:t>
      </w:r>
      <w:r w:rsidR="00A2650E">
        <w:t>’</w:t>
      </w:r>
      <w:r w:rsidR="00A27D02">
        <w:t>s</w:t>
      </w:r>
      <w:r>
        <w:t xml:space="preserve"> office, </w:t>
      </w:r>
      <w:r w:rsidR="00A27D02">
        <w:t xml:space="preserve">I </w:t>
      </w:r>
      <w:r>
        <w:t>ta</w:t>
      </w:r>
      <w:r w:rsidR="00477A2F">
        <w:t xml:space="preserve">ke into account that some effort </w:t>
      </w:r>
      <w:r>
        <w:t xml:space="preserve">was made to fix a sign displaying the requisite notice to the front door, although the sign was A4 size and not </w:t>
      </w:r>
      <w:r w:rsidR="00A27D02">
        <w:t>A2</w:t>
      </w:r>
      <w:r>
        <w:t xml:space="preserve"> size as required.</w:t>
      </w:r>
      <w:r w:rsidR="0071102E">
        <w:t xml:space="preserve"> </w:t>
      </w:r>
      <w:r>
        <w:t xml:space="preserve">The </w:t>
      </w:r>
      <w:r w:rsidR="00A27D02">
        <w:t xml:space="preserve">contempt </w:t>
      </w:r>
      <w:r>
        <w:t>would have been even more serious if no sign at all had been affixed.</w:t>
      </w:r>
    </w:p>
    <w:p w14:paraId="41C86850" w14:textId="77777777" w:rsidR="00A27D02" w:rsidRDefault="00373DF3" w:rsidP="00A27D02">
      <w:pPr>
        <w:pStyle w:val="ParaNumbering"/>
      </w:pPr>
      <w:r>
        <w:t xml:space="preserve">I take into account that </w:t>
      </w:r>
      <w:r w:rsidR="007E7124">
        <w:t>O</w:t>
      </w:r>
      <w:r w:rsidR="00A27D02">
        <w:t xml:space="preserve">SGS </w:t>
      </w:r>
      <w:r w:rsidR="00195B54">
        <w:t xml:space="preserve">made </w:t>
      </w:r>
      <w:r w:rsidR="00A27D02">
        <w:t xml:space="preserve">early admissions of </w:t>
      </w:r>
      <w:r w:rsidR="007E7124">
        <w:t xml:space="preserve">all of </w:t>
      </w:r>
      <w:r w:rsidR="00A27D02">
        <w:t xml:space="preserve">its </w:t>
      </w:r>
      <w:proofErr w:type="spellStart"/>
      <w:r w:rsidR="00A27D02">
        <w:t>contempts</w:t>
      </w:r>
      <w:proofErr w:type="spellEnd"/>
      <w:r w:rsidR="00D749C6">
        <w:t>,</w:t>
      </w:r>
      <w:r w:rsidR="00A27D02">
        <w:t xml:space="preserve"> and </w:t>
      </w:r>
      <w:r w:rsidR="00D749C6">
        <w:t xml:space="preserve">that </w:t>
      </w:r>
      <w:r w:rsidR="00A27D02">
        <w:t xml:space="preserve">Mr </w:t>
      </w:r>
      <w:r w:rsidR="00195B54">
        <w:t>Hacker</w:t>
      </w:r>
      <w:r w:rsidR="00A27D02">
        <w:t xml:space="preserve"> did so </w:t>
      </w:r>
      <w:r w:rsidR="00195B54">
        <w:t xml:space="preserve">in </w:t>
      </w:r>
      <w:r w:rsidR="00A27D02">
        <w:t>respect</w:t>
      </w:r>
      <w:r w:rsidR="00195B54">
        <w:t xml:space="preserve"> of all </w:t>
      </w:r>
      <w:r w:rsidR="00477A2F">
        <w:t xml:space="preserve">but the First </w:t>
      </w:r>
      <w:proofErr w:type="spellStart"/>
      <w:r w:rsidR="00477A2F">
        <w:t>C</w:t>
      </w:r>
      <w:r w:rsidR="00A27D02">
        <w:t>ontempts</w:t>
      </w:r>
      <w:proofErr w:type="spellEnd"/>
      <w:r w:rsidR="00A27D02">
        <w:t>.</w:t>
      </w:r>
      <w:r w:rsidR="00477A2F">
        <w:t xml:space="preserve"> The early admissions do not demonstrate remorse since Mr Hacker and OS</w:t>
      </w:r>
      <w:r w:rsidR="005A395F">
        <w:t>G</w:t>
      </w:r>
      <w:r w:rsidR="00477A2F">
        <w:t xml:space="preserve">S would promptly breach the undertaking again </w:t>
      </w:r>
      <w:r w:rsidR="00A24ECF">
        <w:t xml:space="preserve">(except after the Fifth </w:t>
      </w:r>
      <w:proofErr w:type="spellStart"/>
      <w:r w:rsidR="00A24ECF">
        <w:t>Contempts</w:t>
      </w:r>
      <w:proofErr w:type="spellEnd"/>
      <w:r w:rsidR="00A24ECF">
        <w:t>)</w:t>
      </w:r>
      <w:r w:rsidR="00477A2F">
        <w:t>. However, the admissions do have a utilitarian value which must be recognised.</w:t>
      </w:r>
    </w:p>
    <w:p w14:paraId="4056A5F2" w14:textId="77777777" w:rsidR="00A27D02" w:rsidRDefault="00A27D02" w:rsidP="00A27D02">
      <w:pPr>
        <w:pStyle w:val="ParaNumbering"/>
      </w:pPr>
      <w:r>
        <w:t xml:space="preserve">I accept that no punishment should be imposed upon Mr </w:t>
      </w:r>
      <w:r w:rsidR="00195B54">
        <w:t>Hacker</w:t>
      </w:r>
      <w:r>
        <w:t xml:space="preserve"> or </w:t>
      </w:r>
      <w:r w:rsidR="00A24ECF">
        <w:t xml:space="preserve">OSGS for </w:t>
      </w:r>
      <w:r w:rsidR="00477A2F">
        <w:t xml:space="preserve">the First </w:t>
      </w:r>
      <w:proofErr w:type="spellStart"/>
      <w:r w:rsidR="00477A2F">
        <w:t>C</w:t>
      </w:r>
      <w:r>
        <w:t>ontempts</w:t>
      </w:r>
      <w:proofErr w:type="spellEnd"/>
      <w:r>
        <w:t>, since</w:t>
      </w:r>
      <w:r w:rsidR="00A24ECF" w:rsidRPr="00A24ECF">
        <w:t xml:space="preserve"> </w:t>
      </w:r>
      <w:r w:rsidR="00A24ECF">
        <w:t xml:space="preserve">the provisions of unregistered tax agent services which constitute the breaches of the undertaking have also been pursued </w:t>
      </w:r>
      <w:r w:rsidR="007E7124">
        <w:t>as contraventions of s 50-5</w:t>
      </w:r>
      <w:r w:rsidR="00A24ECF">
        <w:t xml:space="preserve"> of the TAS Act and</w:t>
      </w:r>
      <w:r>
        <w:t xml:space="preserve"> pecuniary penalties will be imposed in respect of</w:t>
      </w:r>
      <w:r w:rsidR="00A24ECF">
        <w:t xml:space="preserve"> those contraventions</w:t>
      </w:r>
      <w:r>
        <w:t>.</w:t>
      </w:r>
    </w:p>
    <w:p w14:paraId="5729096F" w14:textId="77777777" w:rsidR="00D749C6" w:rsidRDefault="00D749C6" w:rsidP="00D749C6">
      <w:pPr>
        <w:pStyle w:val="ParaNumbering"/>
      </w:pPr>
      <w:r>
        <w:t xml:space="preserve">It is </w:t>
      </w:r>
      <w:r w:rsidR="00373DF3">
        <w:t xml:space="preserve">also </w:t>
      </w:r>
      <w:r>
        <w:t xml:space="preserve">necessary to be careful not to impose double punishment upon Mr Hacker in circumstances where both OSGS and Mr Hacker breached the undertaking through the same </w:t>
      </w:r>
      <w:r>
        <w:lastRenderedPageBreak/>
        <w:t xml:space="preserve">acts, and where a fine imposed upon OSGS will impact upon Mr Hacker. Taking that matter into account, I will impose a single fine of $15,000 upon OSGS in respect of all of its </w:t>
      </w:r>
      <w:proofErr w:type="spellStart"/>
      <w:r>
        <w:t>contempts</w:t>
      </w:r>
      <w:proofErr w:type="spellEnd"/>
      <w:r>
        <w:t xml:space="preserve">, other than the First </w:t>
      </w:r>
      <w:proofErr w:type="spellStart"/>
      <w:r>
        <w:t>Contempts</w:t>
      </w:r>
      <w:proofErr w:type="spellEnd"/>
      <w:r>
        <w:t>.</w:t>
      </w:r>
    </w:p>
    <w:p w14:paraId="5C5BBCF7" w14:textId="77777777" w:rsidR="00A27D02" w:rsidRDefault="00A27D02" w:rsidP="00A27D02">
      <w:pPr>
        <w:pStyle w:val="ParaNumbering"/>
      </w:pPr>
      <w:r>
        <w:t>In respect</w:t>
      </w:r>
      <w:r w:rsidR="00477A2F">
        <w:t xml:space="preserve"> of the Second to F</w:t>
      </w:r>
      <w:r w:rsidR="00195B54">
        <w:t xml:space="preserve">ifth </w:t>
      </w:r>
      <w:proofErr w:type="spellStart"/>
      <w:r w:rsidR="00477A2F">
        <w:t>C</w:t>
      </w:r>
      <w:r>
        <w:t>ontempts</w:t>
      </w:r>
      <w:proofErr w:type="spellEnd"/>
      <w:r w:rsidR="00D749C6">
        <w:t xml:space="preserve"> committed by Mr Hacker</w:t>
      </w:r>
      <w:r>
        <w:t xml:space="preserve">, </w:t>
      </w:r>
      <w:r w:rsidR="00195B54">
        <w:t xml:space="preserve">I </w:t>
      </w:r>
      <w:r>
        <w:t>consider that the only appropriate penalties are terms of imprisonment.</w:t>
      </w:r>
      <w:r w:rsidR="003B6181">
        <w:t xml:space="preserve"> </w:t>
      </w:r>
      <w:r>
        <w:t xml:space="preserve">I will, however, impose lesser terms </w:t>
      </w:r>
      <w:r w:rsidR="00477A2F">
        <w:t>of imprisonment tha</w:t>
      </w:r>
      <w:r w:rsidR="00ED0B4C">
        <w:t>n</w:t>
      </w:r>
      <w:r w:rsidR="00477A2F">
        <w:t xml:space="preserve"> would otherwise have been imposed </w:t>
      </w:r>
      <w:r>
        <w:t xml:space="preserve">to take into account the fine of $15,000 imposed </w:t>
      </w:r>
      <w:r w:rsidR="00195B54">
        <w:t>on O</w:t>
      </w:r>
      <w:r>
        <w:t>SGS.</w:t>
      </w:r>
    </w:p>
    <w:p w14:paraId="466D412C" w14:textId="77777777" w:rsidR="00A27D02" w:rsidRDefault="00477A2F" w:rsidP="00A27D02">
      <w:pPr>
        <w:pStyle w:val="ParaNumbering"/>
      </w:pPr>
      <w:r>
        <w:t>In respect of the S</w:t>
      </w:r>
      <w:r w:rsidR="00A27D02">
        <w:t xml:space="preserve">econd </w:t>
      </w:r>
      <w:proofErr w:type="spellStart"/>
      <w:r>
        <w:t>C</w:t>
      </w:r>
      <w:r w:rsidR="00A27D02">
        <w:t>ontempts</w:t>
      </w:r>
      <w:proofErr w:type="spellEnd"/>
      <w:r w:rsidR="00A27D02">
        <w:t>,</w:t>
      </w:r>
      <w:r>
        <w:t xml:space="preserve"> I will impose a sentence of</w:t>
      </w:r>
      <w:r w:rsidR="00A27D02">
        <w:t xml:space="preserve"> </w:t>
      </w:r>
      <w:r w:rsidR="0074371A">
        <w:t xml:space="preserve">14 days’ </w:t>
      </w:r>
      <w:r w:rsidR="00A27D02">
        <w:t>imprisonment upon Mr Hacker for each contempt.</w:t>
      </w:r>
      <w:r w:rsidR="003B6181">
        <w:t xml:space="preserve"> </w:t>
      </w:r>
      <w:r w:rsidR="00A27D02">
        <w:t>Those sentences will be served concurrently.</w:t>
      </w:r>
    </w:p>
    <w:p w14:paraId="686A0EF9" w14:textId="77777777" w:rsidR="00A27D02" w:rsidRDefault="00477A2F" w:rsidP="00A27D02">
      <w:pPr>
        <w:pStyle w:val="ParaNumbering"/>
      </w:pPr>
      <w:r>
        <w:t>In respect of the T</w:t>
      </w:r>
      <w:r w:rsidR="00A27D02">
        <w:t>hird</w:t>
      </w:r>
      <w:r>
        <w:t xml:space="preserve"> </w:t>
      </w:r>
      <w:proofErr w:type="spellStart"/>
      <w:r>
        <w:t>Contempts</w:t>
      </w:r>
      <w:proofErr w:type="spellEnd"/>
      <w:r w:rsidR="00A27D02">
        <w:t xml:space="preserve">, I </w:t>
      </w:r>
      <w:r w:rsidR="00801B43">
        <w:t>will impose a sentence of one months</w:t>
      </w:r>
      <w:r w:rsidR="00A2650E">
        <w:t>’</w:t>
      </w:r>
      <w:r w:rsidR="00A27D02">
        <w:t xml:space="preserve"> imprisonment for each contempt.</w:t>
      </w:r>
      <w:r w:rsidR="003B6181">
        <w:t xml:space="preserve"> </w:t>
      </w:r>
      <w:r w:rsidR="00A27D02">
        <w:t xml:space="preserve">Those sentences will be served concurrently with each other, but cumulatively upon the </w:t>
      </w:r>
      <w:r w:rsidR="008F3DFA">
        <w:t xml:space="preserve">sentences </w:t>
      </w:r>
      <w:r>
        <w:t xml:space="preserve">for the Second </w:t>
      </w:r>
      <w:proofErr w:type="spellStart"/>
      <w:r>
        <w:t>C</w:t>
      </w:r>
      <w:r w:rsidR="00A27D02">
        <w:t>ontempts</w:t>
      </w:r>
      <w:proofErr w:type="spellEnd"/>
      <w:r w:rsidR="00A27D02">
        <w:t>.</w:t>
      </w:r>
    </w:p>
    <w:p w14:paraId="47CD4611" w14:textId="77777777" w:rsidR="00A27D02" w:rsidRDefault="00477A2F" w:rsidP="00A27D02">
      <w:pPr>
        <w:pStyle w:val="ParaNumbering"/>
      </w:pPr>
      <w:r>
        <w:t xml:space="preserve">In respect of the Fourth </w:t>
      </w:r>
      <w:proofErr w:type="spellStart"/>
      <w:r>
        <w:t>C</w:t>
      </w:r>
      <w:r w:rsidR="00A27D02">
        <w:t>ontempts</w:t>
      </w:r>
      <w:proofErr w:type="spellEnd"/>
      <w:r w:rsidR="00A27D02">
        <w:t xml:space="preserve">, I </w:t>
      </w:r>
      <w:r w:rsidR="00801B43">
        <w:t xml:space="preserve">will impose a sentence of two </w:t>
      </w:r>
      <w:r w:rsidR="00A27D02">
        <w:t>months</w:t>
      </w:r>
      <w:r w:rsidR="00A2650E">
        <w:t>’</w:t>
      </w:r>
      <w:r>
        <w:t xml:space="preserve"> imprisonment for </w:t>
      </w:r>
      <w:r w:rsidR="00A27D02">
        <w:t>each contempt.</w:t>
      </w:r>
      <w:r w:rsidR="003B6181">
        <w:t xml:space="preserve"> </w:t>
      </w:r>
      <w:r w:rsidR="00A27D02">
        <w:t>Those sentences will be served concurrently with each other, but cumulativ</w:t>
      </w:r>
      <w:r w:rsidR="00A24ECF">
        <w:t xml:space="preserve">ely upon the sentences for the Third </w:t>
      </w:r>
      <w:proofErr w:type="spellStart"/>
      <w:r w:rsidR="00A24ECF">
        <w:t>C</w:t>
      </w:r>
      <w:r w:rsidR="00A27D02">
        <w:t>ontempts</w:t>
      </w:r>
      <w:proofErr w:type="spellEnd"/>
      <w:r w:rsidR="00A27D02">
        <w:t>.</w:t>
      </w:r>
    </w:p>
    <w:p w14:paraId="2905CB53" w14:textId="77777777" w:rsidR="00240D95" w:rsidRDefault="00477A2F" w:rsidP="00A27D02">
      <w:pPr>
        <w:pStyle w:val="ParaNumbering"/>
      </w:pPr>
      <w:r>
        <w:t xml:space="preserve">In respect of the Fifth </w:t>
      </w:r>
      <w:proofErr w:type="spellStart"/>
      <w:r>
        <w:t>C</w:t>
      </w:r>
      <w:r w:rsidR="00A27D02">
        <w:t>ontempts</w:t>
      </w:r>
      <w:proofErr w:type="spellEnd"/>
      <w:r w:rsidR="00A27D02">
        <w:t>,</w:t>
      </w:r>
      <w:r>
        <w:t xml:space="preserve"> I will impose a sentence of four</w:t>
      </w:r>
      <w:r w:rsidR="00A27D02">
        <w:t xml:space="preserve"> months</w:t>
      </w:r>
      <w:r w:rsidR="00A2650E">
        <w:t>’</w:t>
      </w:r>
      <w:r w:rsidR="00A27D02">
        <w:t xml:space="preserve"> imprisonment</w:t>
      </w:r>
      <w:r>
        <w:t xml:space="preserve"> for</w:t>
      </w:r>
      <w:r w:rsidR="00A27D02">
        <w:t xml:space="preserve"> each contempt.</w:t>
      </w:r>
      <w:r w:rsidR="003B6181">
        <w:t xml:space="preserve"> </w:t>
      </w:r>
      <w:r w:rsidR="00A27D02">
        <w:t>Those sentences will be served concurrently with each other, but cumulatively u</w:t>
      </w:r>
      <w:r>
        <w:t xml:space="preserve">pon the sentences for the Fourth </w:t>
      </w:r>
      <w:proofErr w:type="spellStart"/>
      <w:r>
        <w:t>C</w:t>
      </w:r>
      <w:r w:rsidR="00A27D02">
        <w:t>ontempts</w:t>
      </w:r>
      <w:proofErr w:type="spellEnd"/>
      <w:r w:rsidR="00A27D02">
        <w:t>.</w:t>
      </w:r>
      <w:r w:rsidR="003B6181">
        <w:t xml:space="preserve"> </w:t>
      </w:r>
      <w:r w:rsidR="00A27D02">
        <w:t xml:space="preserve">The sentences for the </w:t>
      </w:r>
      <w:r>
        <w:t xml:space="preserve">Fifth </w:t>
      </w:r>
      <w:proofErr w:type="spellStart"/>
      <w:r>
        <w:t>C</w:t>
      </w:r>
      <w:r w:rsidR="00A27D02">
        <w:t>ontempts</w:t>
      </w:r>
      <w:proofErr w:type="spellEnd"/>
      <w:r w:rsidR="00A27D02">
        <w:t xml:space="preserve"> will be suspended after Mr </w:t>
      </w:r>
      <w:r w:rsidR="00195B54">
        <w:t>Hacker</w:t>
      </w:r>
      <w:r>
        <w:t xml:space="preserve"> has served</w:t>
      </w:r>
      <w:r w:rsidR="004448AF">
        <w:t xml:space="preserve"> one month of the four months’ imprisonment</w:t>
      </w:r>
      <w:r w:rsidR="0074371A">
        <w:t>,</w:t>
      </w:r>
      <w:r w:rsidR="004448AF">
        <w:t xml:space="preserve"> </w:t>
      </w:r>
      <w:r w:rsidR="0074371A">
        <w:t xml:space="preserve">but the remainder of the sentence will be served in the event that he breaches </w:t>
      </w:r>
      <w:r w:rsidR="00A27D02">
        <w:t>the injunction which I have indicated I will grant</w:t>
      </w:r>
      <w:r w:rsidR="004448AF">
        <w:t xml:space="preserve"> </w:t>
      </w:r>
      <w:r w:rsidR="00066240">
        <w:t xml:space="preserve">within </w:t>
      </w:r>
      <w:r w:rsidR="0074371A">
        <w:t xml:space="preserve">a period of </w:t>
      </w:r>
      <w:r w:rsidR="00D029CF">
        <w:t xml:space="preserve">three </w:t>
      </w:r>
      <w:r w:rsidR="004448AF">
        <w:t>years from his release from prison</w:t>
      </w:r>
      <w:r w:rsidR="00A27D02">
        <w:t>.</w:t>
      </w:r>
      <w:r w:rsidR="003B6181">
        <w:t xml:space="preserve"> </w:t>
      </w:r>
    </w:p>
    <w:p w14:paraId="5E55FE20" w14:textId="77777777" w:rsidR="00A2650E" w:rsidRDefault="00A2650E" w:rsidP="00A2650E">
      <w:pPr>
        <w:pStyle w:val="Heading2"/>
      </w:pPr>
      <w:r>
        <w:t xml:space="preserve">Costs </w:t>
      </w:r>
    </w:p>
    <w:p w14:paraId="2402FCB3" w14:textId="77777777" w:rsidR="0004068E" w:rsidRDefault="00A2650E" w:rsidP="0004068E">
      <w:pPr>
        <w:pStyle w:val="ParaNumbering"/>
      </w:pPr>
      <w:r>
        <w:t xml:space="preserve">The </w:t>
      </w:r>
      <w:r w:rsidR="0004068E">
        <w:t xml:space="preserve">applicant seeks an order that the respondents pay its costs of the </w:t>
      </w:r>
      <w:r w:rsidR="00861C57">
        <w:t xml:space="preserve">Contravention Proceedings </w:t>
      </w:r>
      <w:r w:rsidR="0004068E">
        <w:t xml:space="preserve">and the </w:t>
      </w:r>
      <w:r w:rsidR="00861C57">
        <w:t xml:space="preserve">five </w:t>
      </w:r>
      <w:r w:rsidR="0004068E">
        <w:t>proceedings for contempt of court</w:t>
      </w:r>
      <w:r w:rsidR="00861C57">
        <w:t xml:space="preserve"> (</w:t>
      </w:r>
      <w:r w:rsidR="00861C57" w:rsidRPr="00861C57">
        <w:rPr>
          <w:b/>
        </w:rPr>
        <w:t>the Contempt Proceedings</w:t>
      </w:r>
      <w:r w:rsidR="00861C57">
        <w:t>)</w:t>
      </w:r>
      <w:r w:rsidR="0004068E">
        <w:t>.</w:t>
      </w:r>
      <w:r w:rsidR="003B6181">
        <w:t xml:space="preserve"> </w:t>
      </w:r>
      <w:r w:rsidR="0004068E">
        <w:t xml:space="preserve">The applicant submits that the costs of </w:t>
      </w:r>
      <w:r>
        <w:t xml:space="preserve">the </w:t>
      </w:r>
      <w:r w:rsidR="00861C57">
        <w:t>Contempt P</w:t>
      </w:r>
      <w:r w:rsidR="0004068E">
        <w:t>roceedings s</w:t>
      </w:r>
      <w:r>
        <w:t xml:space="preserve">hould be </w:t>
      </w:r>
      <w:r w:rsidR="00E72F9A">
        <w:t xml:space="preserve">ordered </w:t>
      </w:r>
      <w:r>
        <w:t>on an indemnity basis.</w:t>
      </w:r>
    </w:p>
    <w:p w14:paraId="21A52829" w14:textId="77777777" w:rsidR="0004068E" w:rsidRDefault="0004068E" w:rsidP="0004068E">
      <w:pPr>
        <w:pStyle w:val="ParaNumbering"/>
      </w:pPr>
      <w:r>
        <w:t>The respondents o</w:t>
      </w:r>
      <w:r w:rsidR="00A2650E">
        <w:t>p</w:t>
      </w:r>
      <w:r>
        <w:t xml:space="preserve">pose </w:t>
      </w:r>
      <w:r w:rsidR="00A2650E">
        <w:t>a</w:t>
      </w:r>
      <w:r>
        <w:t>n</w:t>
      </w:r>
      <w:r w:rsidR="00A2650E">
        <w:t>y</w:t>
      </w:r>
      <w:r>
        <w:t xml:space="preserve"> ord</w:t>
      </w:r>
      <w:r w:rsidR="00861C57">
        <w:t>er for costs in respect of the Contravention P</w:t>
      </w:r>
      <w:r>
        <w:t>roceedings on the basis that the applicant failed in respect of almost 3</w:t>
      </w:r>
      <w:r w:rsidR="00A2650E">
        <w:t>,</w:t>
      </w:r>
      <w:r>
        <w:t>000 contravention</w:t>
      </w:r>
      <w:r w:rsidR="00A2650E">
        <w:t>s</w:t>
      </w:r>
      <w:r>
        <w:t xml:space="preserve"> alleged against the respondents, and ultimately succeeded only in respect of </w:t>
      </w:r>
      <w:r w:rsidR="00066240">
        <w:t>45</w:t>
      </w:r>
      <w:r>
        <w:t xml:space="preserve"> contraventions.</w:t>
      </w:r>
      <w:r w:rsidR="003B6181">
        <w:t xml:space="preserve"> </w:t>
      </w:r>
      <w:r w:rsidR="00A2650E">
        <w:t>The r</w:t>
      </w:r>
      <w:r>
        <w:t xml:space="preserve">espondents also submit that there is no general principle that costs are awarded on an indemnity basis for </w:t>
      </w:r>
      <w:r>
        <w:lastRenderedPageBreak/>
        <w:t>contempt an</w:t>
      </w:r>
      <w:r w:rsidR="00861C57">
        <w:t xml:space="preserve">d, further, in respect of the </w:t>
      </w:r>
      <w:r w:rsidR="00170A42">
        <w:t xml:space="preserve">Second </w:t>
      </w:r>
      <w:r w:rsidR="00861C57">
        <w:t xml:space="preserve">to </w:t>
      </w:r>
      <w:r w:rsidR="00170A42">
        <w:t xml:space="preserve">Fifth </w:t>
      </w:r>
      <w:proofErr w:type="spellStart"/>
      <w:r w:rsidR="00170A42">
        <w:t>Contempts</w:t>
      </w:r>
      <w:proofErr w:type="spellEnd"/>
      <w:r>
        <w:t>, liability was admitted at an early stage.</w:t>
      </w:r>
    </w:p>
    <w:p w14:paraId="58026B29" w14:textId="77777777" w:rsidR="0004068E" w:rsidRDefault="0004068E" w:rsidP="0004068E">
      <w:pPr>
        <w:pStyle w:val="ParaNumbering"/>
      </w:pPr>
      <w:r>
        <w:t xml:space="preserve">In reply, the applicant submits that this is not an instance of an applicant conducting </w:t>
      </w:r>
      <w:r w:rsidR="00A2650E">
        <w:t xml:space="preserve">a </w:t>
      </w:r>
      <w:r>
        <w:t xml:space="preserve">case inappropriately so as to </w:t>
      </w:r>
      <w:r w:rsidR="00A2650E">
        <w:t>dis</w:t>
      </w:r>
      <w:r>
        <w:t>entitle</w:t>
      </w:r>
      <w:r w:rsidR="00A2650E">
        <w:t xml:space="preserve"> it</w:t>
      </w:r>
      <w:r>
        <w:t xml:space="preserve"> from being compensated for its costs.</w:t>
      </w:r>
      <w:r w:rsidR="003B6181">
        <w:t xml:space="preserve"> </w:t>
      </w:r>
      <w:r w:rsidR="00A2650E">
        <w:t>It s</w:t>
      </w:r>
      <w:r>
        <w:t xml:space="preserve">ubmits that in respect of the </w:t>
      </w:r>
      <w:r w:rsidR="00B04A58">
        <w:t>Contempt Proceedings</w:t>
      </w:r>
      <w:r>
        <w:t xml:space="preserve">, the applicant is entitled to be reimbursed for its costs on an indemnity basis because </w:t>
      </w:r>
      <w:r w:rsidR="00A2650E">
        <w:t xml:space="preserve">it </w:t>
      </w:r>
      <w:r>
        <w:t>should never have had to bring contempt charges at all.</w:t>
      </w:r>
      <w:r w:rsidR="003B6181">
        <w:t xml:space="preserve"> </w:t>
      </w:r>
      <w:r w:rsidR="00A2650E">
        <w:t>It s</w:t>
      </w:r>
      <w:r>
        <w:t xml:space="preserve">ubmits that the early admissions of guilt limited </w:t>
      </w:r>
      <w:r w:rsidR="00E72F9A">
        <w:t xml:space="preserve">the </w:t>
      </w:r>
      <w:r>
        <w:t>legal costs, but that does not mean that the</w:t>
      </w:r>
      <w:r w:rsidR="00861C57">
        <w:t xml:space="preserve"> applicant should</w:t>
      </w:r>
      <w:r w:rsidR="00A2650E">
        <w:t xml:space="preserve"> </w:t>
      </w:r>
      <w:r>
        <w:t xml:space="preserve">not have </w:t>
      </w:r>
      <w:r w:rsidR="00A2650E">
        <w:t xml:space="preserve">the </w:t>
      </w:r>
      <w:r>
        <w:t>legal costs which it has incurred on an indemnity basis.</w:t>
      </w:r>
    </w:p>
    <w:p w14:paraId="6FD5DB8F" w14:textId="77777777" w:rsidR="0004068E" w:rsidRDefault="0004068E" w:rsidP="0004068E">
      <w:pPr>
        <w:pStyle w:val="ParaNumbering"/>
      </w:pPr>
      <w:r>
        <w:t xml:space="preserve">In </w:t>
      </w:r>
      <w:r w:rsidR="005B1C47" w:rsidRPr="005B1C47">
        <w:rPr>
          <w:i/>
        </w:rPr>
        <w:t xml:space="preserve">Tax Practitioners Board </w:t>
      </w:r>
      <w:r w:rsidR="005B1C47">
        <w:rPr>
          <w:i/>
        </w:rPr>
        <w:t>v</w:t>
      </w:r>
      <w:r w:rsidR="005B1C47" w:rsidRPr="005B1C47">
        <w:rPr>
          <w:i/>
        </w:rPr>
        <w:t xml:space="preserve"> Hacker</w:t>
      </w:r>
      <w:r>
        <w:t xml:space="preserve">, I noted that </w:t>
      </w:r>
      <w:r w:rsidR="005B1C47">
        <w:t xml:space="preserve">there were two </w:t>
      </w:r>
      <w:r w:rsidR="00B2427F">
        <w:t xml:space="preserve">categories </w:t>
      </w:r>
      <w:r>
        <w:t>of contraventions alleged by the applicant.</w:t>
      </w:r>
      <w:r w:rsidR="003B6181">
        <w:t xml:space="preserve"> </w:t>
      </w:r>
      <w:r>
        <w:t>The first consist</w:t>
      </w:r>
      <w:r w:rsidR="005B1C47">
        <w:t>ed</w:t>
      </w:r>
      <w:r>
        <w:t xml:space="preserve"> of allegations w</w:t>
      </w:r>
      <w:r w:rsidR="005B1C47">
        <w:t>h</w:t>
      </w:r>
      <w:r>
        <w:t xml:space="preserve">ere clients </w:t>
      </w:r>
      <w:r w:rsidR="005B1C47">
        <w:t xml:space="preserve">had </w:t>
      </w:r>
      <w:r>
        <w:t>provide</w:t>
      </w:r>
      <w:r w:rsidR="005B1C47">
        <w:t>d</w:t>
      </w:r>
      <w:r>
        <w:t xml:space="preserve"> affidavit</w:t>
      </w:r>
      <w:r w:rsidR="005B1C47">
        <w:t>s</w:t>
      </w:r>
      <w:r>
        <w:t xml:space="preserve"> deposing as to provision of tax</w:t>
      </w:r>
      <w:r w:rsidR="00050A66">
        <w:t xml:space="preserve"> agent</w:t>
      </w:r>
      <w:r>
        <w:t xml:space="preserve"> services by Mr </w:t>
      </w:r>
      <w:r w:rsidR="005B1C47">
        <w:t xml:space="preserve">Hacker </w:t>
      </w:r>
      <w:r>
        <w:t>and payment for th</w:t>
      </w:r>
      <w:r w:rsidR="00050A66">
        <w:t>ose</w:t>
      </w:r>
      <w:r>
        <w:t xml:space="preserve"> services to either </w:t>
      </w:r>
      <w:proofErr w:type="spellStart"/>
      <w:r w:rsidR="005B1C47">
        <w:t>Nale</w:t>
      </w:r>
      <w:r>
        <w:t>view</w:t>
      </w:r>
      <w:proofErr w:type="spellEnd"/>
      <w:r>
        <w:t xml:space="preserve"> o</w:t>
      </w:r>
      <w:r w:rsidR="00050A66">
        <w:t>r</w:t>
      </w:r>
      <w:r>
        <w:t xml:space="preserve"> </w:t>
      </w:r>
      <w:r w:rsidR="005B1C47">
        <w:t>O</w:t>
      </w:r>
      <w:r>
        <w:t>SGS</w:t>
      </w:r>
      <w:r w:rsidR="00861C57">
        <w:t xml:space="preserve"> (</w:t>
      </w:r>
      <w:r w:rsidR="00861C57" w:rsidRPr="00861C57">
        <w:rPr>
          <w:b/>
        </w:rPr>
        <w:t>the Affidavit Allegations</w:t>
      </w:r>
      <w:r w:rsidR="00861C57">
        <w:t>)</w:t>
      </w:r>
      <w:r>
        <w:t>.</w:t>
      </w:r>
      <w:r w:rsidR="003B6181">
        <w:t xml:space="preserve"> </w:t>
      </w:r>
      <w:r w:rsidR="005B1C47">
        <w:t>The s</w:t>
      </w:r>
      <w:r>
        <w:t>econd consist</w:t>
      </w:r>
      <w:r w:rsidR="005B1C47">
        <w:t>ed</w:t>
      </w:r>
      <w:r>
        <w:t xml:space="preserve"> of allegations that </w:t>
      </w:r>
      <w:r w:rsidR="005B1C47">
        <w:t>Mr Hacker</w:t>
      </w:r>
      <w:r>
        <w:t xml:space="preserve"> </w:t>
      </w:r>
      <w:r w:rsidR="00DB7133">
        <w:t xml:space="preserve">and </w:t>
      </w:r>
      <w:r w:rsidR="005B1C47">
        <w:t>OSGS</w:t>
      </w:r>
      <w:r>
        <w:t xml:space="preserve"> provide</w:t>
      </w:r>
      <w:r w:rsidR="00DB7133">
        <w:t>d</w:t>
      </w:r>
      <w:r>
        <w:t xml:space="preserve"> approximately 3</w:t>
      </w:r>
      <w:r w:rsidR="00DB7133">
        <w:t>,</w:t>
      </w:r>
      <w:r>
        <w:t>000 ta</w:t>
      </w:r>
      <w:r w:rsidR="00861C57">
        <w:t>x</w:t>
      </w:r>
      <w:r w:rsidR="00050A66">
        <w:t xml:space="preserve"> agent</w:t>
      </w:r>
      <w:r w:rsidR="00861C57">
        <w:t xml:space="preserve"> services described in a S</w:t>
      </w:r>
      <w:r>
        <w:t>chedule</w:t>
      </w:r>
      <w:r w:rsidR="00861C57">
        <w:t xml:space="preserve"> A to the Further Amended Statement of Claim (</w:t>
      </w:r>
      <w:r w:rsidR="00861C57" w:rsidRPr="00861C57">
        <w:rPr>
          <w:b/>
        </w:rPr>
        <w:t xml:space="preserve">the Schedule </w:t>
      </w:r>
      <w:r w:rsidR="00861C57">
        <w:rPr>
          <w:b/>
        </w:rPr>
        <w:t xml:space="preserve">A </w:t>
      </w:r>
      <w:r w:rsidR="00861C57" w:rsidRPr="00861C57">
        <w:rPr>
          <w:b/>
        </w:rPr>
        <w:t>Allegations</w:t>
      </w:r>
      <w:r w:rsidR="00861C57">
        <w:t>)</w:t>
      </w:r>
      <w:r>
        <w:t>.</w:t>
      </w:r>
      <w:r w:rsidR="003B6181">
        <w:t xml:space="preserve"> </w:t>
      </w:r>
      <w:r>
        <w:t>In respect of the latter</w:t>
      </w:r>
      <w:r w:rsidR="00B2427F">
        <w:t xml:space="preserve"> category</w:t>
      </w:r>
      <w:r>
        <w:t xml:space="preserve">, the applicant sought to have the </w:t>
      </w:r>
      <w:r w:rsidR="00DB7133">
        <w:t xml:space="preserve">Court </w:t>
      </w:r>
      <w:r>
        <w:t xml:space="preserve">draw an inference that those services </w:t>
      </w:r>
      <w:r w:rsidR="00B2427F">
        <w:t xml:space="preserve">were provided in contravention of </w:t>
      </w:r>
      <w:r w:rsidR="00DB7133">
        <w:t>s </w:t>
      </w:r>
      <w:r>
        <w:t>50–</w:t>
      </w:r>
      <w:r w:rsidR="00DB7133">
        <w:t>5</w:t>
      </w:r>
      <w:r w:rsidR="00713093">
        <w:t>, rather than being proved by</w:t>
      </w:r>
      <w:r w:rsidR="00861C57">
        <w:t xml:space="preserve"> direct evidence</w:t>
      </w:r>
      <w:r>
        <w:t>.</w:t>
      </w:r>
    </w:p>
    <w:p w14:paraId="7A54EAB7" w14:textId="77777777" w:rsidR="0004068E" w:rsidRDefault="005B1C47" w:rsidP="0004068E">
      <w:pPr>
        <w:pStyle w:val="ParaNumbering"/>
      </w:pPr>
      <w:r w:rsidRPr="00D60CF5">
        <w:t>OSGS</w:t>
      </w:r>
      <w:r w:rsidR="00861C57">
        <w:t xml:space="preserve"> admitted five of the A</w:t>
      </w:r>
      <w:r w:rsidR="0004068E" w:rsidRPr="00D60CF5">
        <w:t>ffidavit</w:t>
      </w:r>
      <w:r w:rsidR="00861C57">
        <w:t xml:space="preserve"> A</w:t>
      </w:r>
      <w:r w:rsidR="0004068E">
        <w:t xml:space="preserve">llegations, but </w:t>
      </w:r>
      <w:r w:rsidR="00D60CF5">
        <w:t xml:space="preserve">contested </w:t>
      </w:r>
      <w:r w:rsidR="0004068E">
        <w:t>the remaining one.</w:t>
      </w:r>
      <w:r w:rsidR="003B6181">
        <w:t xml:space="preserve"> </w:t>
      </w:r>
      <w:proofErr w:type="spellStart"/>
      <w:r w:rsidR="00D60CF5">
        <w:t>Nale</w:t>
      </w:r>
      <w:r w:rsidR="00861C57">
        <w:t>view</w:t>
      </w:r>
      <w:proofErr w:type="spellEnd"/>
      <w:r w:rsidR="00861C57">
        <w:t xml:space="preserve"> admitted 33 of the Affidavit A</w:t>
      </w:r>
      <w:r w:rsidR="0004068E">
        <w:t xml:space="preserve">llegations, </w:t>
      </w:r>
      <w:r w:rsidR="00050A66">
        <w:t>but</w:t>
      </w:r>
      <w:r w:rsidR="0004068E">
        <w:t xml:space="preserve"> disputed four.</w:t>
      </w:r>
      <w:r w:rsidR="003B6181">
        <w:t xml:space="preserve"> </w:t>
      </w:r>
      <w:r w:rsidR="00D60CF5">
        <w:t xml:space="preserve">Mr Hacker </w:t>
      </w:r>
      <w:r w:rsidR="00861C57">
        <w:t>denied all of the A</w:t>
      </w:r>
      <w:r w:rsidR="0004068E">
        <w:t>ffidavi</w:t>
      </w:r>
      <w:r w:rsidR="00861C57">
        <w:t>t A</w:t>
      </w:r>
      <w:r w:rsidR="0004068E">
        <w:t>llegations.</w:t>
      </w:r>
      <w:r w:rsidR="00861C57" w:rsidRPr="00861C57">
        <w:t xml:space="preserve"> </w:t>
      </w:r>
      <w:r w:rsidR="00861C57">
        <w:t>The respondents</w:t>
      </w:r>
      <w:r w:rsidR="00861C57" w:rsidRPr="00D60CF5">
        <w:t xml:space="preserve"> denied all of the Sch</w:t>
      </w:r>
      <w:r w:rsidR="00713093">
        <w:t>edule</w:t>
      </w:r>
      <w:r w:rsidR="00861C57">
        <w:t> </w:t>
      </w:r>
      <w:r w:rsidR="00861C57" w:rsidRPr="00D60CF5">
        <w:t xml:space="preserve">A </w:t>
      </w:r>
      <w:r w:rsidR="00050A66">
        <w:t>Allegations</w:t>
      </w:r>
      <w:r w:rsidR="00861C57" w:rsidRPr="00D60CF5">
        <w:t>.</w:t>
      </w:r>
    </w:p>
    <w:p w14:paraId="26BD72BB" w14:textId="77777777" w:rsidR="00713093" w:rsidRDefault="0004068E" w:rsidP="00713093">
      <w:pPr>
        <w:pStyle w:val="ParaNumbering"/>
      </w:pPr>
      <w:r>
        <w:t>At the commencement of the second day of the trial, the applicant</w:t>
      </w:r>
      <w:r w:rsidR="00A2650E">
        <w:t>’</w:t>
      </w:r>
      <w:r w:rsidR="00861C57">
        <w:t xml:space="preserve">s lawyers discovered that </w:t>
      </w:r>
      <w:r w:rsidR="00EE1099">
        <w:t xml:space="preserve">the wrong transactions </w:t>
      </w:r>
      <w:r w:rsidR="00321BD1">
        <w:t xml:space="preserve">had been </w:t>
      </w:r>
      <w:r>
        <w:t xml:space="preserve">included in </w:t>
      </w:r>
      <w:r w:rsidR="00481CBB">
        <w:t>Sch</w:t>
      </w:r>
      <w:r w:rsidR="00713093">
        <w:t>edule</w:t>
      </w:r>
      <w:r w:rsidR="00481CBB">
        <w:t> A</w:t>
      </w:r>
      <w:r>
        <w:t>.</w:t>
      </w:r>
      <w:r w:rsidR="003B6181">
        <w:t xml:space="preserve"> </w:t>
      </w:r>
      <w:r w:rsidR="00713093">
        <w:t xml:space="preserve">The applicant accepted that it could not succeed on the basis of the Schedule A </w:t>
      </w:r>
      <w:r w:rsidR="00050A66">
        <w:t xml:space="preserve">Allegations </w:t>
      </w:r>
      <w:r w:rsidR="00713093">
        <w:t xml:space="preserve">and withdrew reliance upon them. </w:t>
      </w:r>
      <w:r>
        <w:t>The ap</w:t>
      </w:r>
      <w:r w:rsidR="00861C57">
        <w:t>plicant sought leave to file a Second Further Amended Statement of Claim</w:t>
      </w:r>
      <w:r>
        <w:t xml:space="preserve"> containing the correct transactions.</w:t>
      </w:r>
      <w:r w:rsidR="003B6181">
        <w:t xml:space="preserve"> </w:t>
      </w:r>
      <w:r>
        <w:t>However, I refused the application for lea</w:t>
      </w:r>
      <w:r w:rsidR="00481CBB">
        <w:t>ve to amend.</w:t>
      </w:r>
      <w:r w:rsidR="003B6181">
        <w:t xml:space="preserve"> </w:t>
      </w:r>
    </w:p>
    <w:p w14:paraId="4CE73A56" w14:textId="77777777" w:rsidR="0004068E" w:rsidRDefault="008E4A2E" w:rsidP="00713093">
      <w:pPr>
        <w:pStyle w:val="ParaNumbering"/>
      </w:pPr>
      <w:r>
        <w:t>The a</w:t>
      </w:r>
      <w:r w:rsidR="0004068E">
        <w:t xml:space="preserve">pplicant ultimately succeeded against </w:t>
      </w:r>
      <w:r w:rsidR="005B1C47">
        <w:t>OSGS</w:t>
      </w:r>
      <w:r w:rsidR="0004068E">
        <w:t xml:space="preserve"> in respect of </w:t>
      </w:r>
      <w:r w:rsidR="00BD381A">
        <w:t xml:space="preserve">all </w:t>
      </w:r>
      <w:r w:rsidR="0004068E">
        <w:t xml:space="preserve">five </w:t>
      </w:r>
      <w:r w:rsidR="00BD381A">
        <w:t xml:space="preserve">of the </w:t>
      </w:r>
      <w:r w:rsidR="00713093">
        <w:t>Affidavit Allegations</w:t>
      </w:r>
      <w:r w:rsidR="0004068E">
        <w:t>.</w:t>
      </w:r>
      <w:r w:rsidR="003B6181">
        <w:t xml:space="preserve"> </w:t>
      </w:r>
      <w:r w:rsidR="0004068E">
        <w:t xml:space="preserve">The </w:t>
      </w:r>
      <w:r>
        <w:t xml:space="preserve">applicant </w:t>
      </w:r>
      <w:r w:rsidR="0004068E">
        <w:t xml:space="preserve">succeeded against </w:t>
      </w:r>
      <w:proofErr w:type="spellStart"/>
      <w:r>
        <w:t>Naleview</w:t>
      </w:r>
      <w:proofErr w:type="spellEnd"/>
      <w:r w:rsidR="00713093">
        <w:t xml:space="preserve"> in respect of 37 of the Affidavit Allegations</w:t>
      </w:r>
      <w:r w:rsidR="00BD381A">
        <w:t xml:space="preserve">. </w:t>
      </w:r>
      <w:r w:rsidR="0004068E">
        <w:t xml:space="preserve">The applicant succeeded in proving 45 </w:t>
      </w:r>
      <w:r w:rsidR="00713093">
        <w:t>Affidavit Allegations against</w:t>
      </w:r>
      <w:r w:rsidR="0004068E">
        <w:t xml:space="preserve"> </w:t>
      </w:r>
      <w:r w:rsidR="005B1C47">
        <w:t>Mr Hacker</w:t>
      </w:r>
      <w:r w:rsidR="0004068E">
        <w:t>, all of which had been denied.</w:t>
      </w:r>
      <w:r w:rsidR="003B6181">
        <w:t xml:space="preserve"> </w:t>
      </w:r>
    </w:p>
    <w:p w14:paraId="5DB5DD3E" w14:textId="77777777" w:rsidR="0004068E" w:rsidRDefault="00BD381A" w:rsidP="0004068E">
      <w:pPr>
        <w:pStyle w:val="ParaNumbering"/>
      </w:pPr>
      <w:r>
        <w:t xml:space="preserve">Costs ordinarily </w:t>
      </w:r>
      <w:r w:rsidR="0004068E">
        <w:t xml:space="preserve">follow the event: </w:t>
      </w:r>
      <w:proofErr w:type="spellStart"/>
      <w:r w:rsidR="008E4A2E">
        <w:rPr>
          <w:i/>
        </w:rPr>
        <w:t>Oshlack</w:t>
      </w:r>
      <w:proofErr w:type="spellEnd"/>
      <w:r w:rsidR="008E4A2E">
        <w:rPr>
          <w:i/>
        </w:rPr>
        <w:t xml:space="preserve"> v </w:t>
      </w:r>
      <w:r w:rsidR="0004068E" w:rsidRPr="008E4A2E">
        <w:rPr>
          <w:i/>
        </w:rPr>
        <w:t>Richmond River Council</w:t>
      </w:r>
      <w:r w:rsidR="0004068E">
        <w:t xml:space="preserve"> </w:t>
      </w:r>
      <w:r w:rsidR="008E4A2E">
        <w:t>(</w:t>
      </w:r>
      <w:r w:rsidR="0004068E">
        <w:t>1998</w:t>
      </w:r>
      <w:r w:rsidR="008E4A2E">
        <w:t xml:space="preserve">) </w:t>
      </w:r>
      <w:r w:rsidR="0004068E">
        <w:t xml:space="preserve">193 CLR 72 at </w:t>
      </w:r>
      <w:r w:rsidR="004E1A70">
        <w:t>[</w:t>
      </w:r>
      <w:r w:rsidR="008E4A2E">
        <w:t>67</w:t>
      </w:r>
      <w:r w:rsidR="004E1A70">
        <w:t>]</w:t>
      </w:r>
      <w:r w:rsidR="008E4A2E">
        <w:t xml:space="preserve"> and </w:t>
      </w:r>
      <w:r w:rsidR="004E1A70">
        <w:t>[</w:t>
      </w:r>
      <w:r w:rsidR="008E4A2E">
        <w:t>120</w:t>
      </w:r>
      <w:r w:rsidR="004E1A70">
        <w:t>]</w:t>
      </w:r>
      <w:r w:rsidR="0004068E">
        <w:t>–</w:t>
      </w:r>
      <w:r w:rsidR="004E1A70">
        <w:t>[</w:t>
      </w:r>
      <w:r w:rsidR="0004068E">
        <w:t>122</w:t>
      </w:r>
      <w:r w:rsidR="004E1A70">
        <w:t>]</w:t>
      </w:r>
      <w:r w:rsidR="0004068E">
        <w:t>.</w:t>
      </w:r>
      <w:r w:rsidR="003B6181">
        <w:t xml:space="preserve"> </w:t>
      </w:r>
      <w:r w:rsidR="0004068E">
        <w:t xml:space="preserve">However, success or failure on separate issues may lead the </w:t>
      </w:r>
      <w:r w:rsidR="008E4A2E">
        <w:t xml:space="preserve">Court </w:t>
      </w:r>
      <w:r w:rsidR="0004068E">
        <w:t>to apportion costs:</w:t>
      </w:r>
      <w:r w:rsidR="00713093">
        <w:t xml:space="preserve"> see</w:t>
      </w:r>
      <w:r w:rsidR="0004068E">
        <w:t xml:space="preserve"> </w:t>
      </w:r>
      <w:r w:rsidR="0004068E" w:rsidRPr="008E4A2E">
        <w:rPr>
          <w:i/>
        </w:rPr>
        <w:t xml:space="preserve">Cadbury </w:t>
      </w:r>
      <w:r w:rsidR="008E4A2E" w:rsidRPr="008E4A2E">
        <w:rPr>
          <w:i/>
        </w:rPr>
        <w:t xml:space="preserve">Schweppes </w:t>
      </w:r>
      <w:r w:rsidR="008E4A2E">
        <w:rPr>
          <w:i/>
        </w:rPr>
        <w:t xml:space="preserve">Pty Ltd </w:t>
      </w:r>
      <w:r w:rsidR="008E4A2E" w:rsidRPr="008E4A2E">
        <w:rPr>
          <w:i/>
        </w:rPr>
        <w:t xml:space="preserve">v </w:t>
      </w:r>
      <w:r w:rsidR="0004068E" w:rsidRPr="008E4A2E">
        <w:rPr>
          <w:i/>
        </w:rPr>
        <w:t>Darr</w:t>
      </w:r>
      <w:r w:rsidR="008E4A2E">
        <w:rPr>
          <w:i/>
        </w:rPr>
        <w:t>el</w:t>
      </w:r>
      <w:r w:rsidR="0004068E" w:rsidRPr="008E4A2E">
        <w:rPr>
          <w:i/>
        </w:rPr>
        <w:t xml:space="preserve">l </w:t>
      </w:r>
      <w:r w:rsidR="008E4A2E">
        <w:rPr>
          <w:i/>
        </w:rPr>
        <w:t xml:space="preserve">Lea </w:t>
      </w:r>
      <w:r w:rsidR="008E4A2E" w:rsidRPr="008E4A2E">
        <w:rPr>
          <w:i/>
        </w:rPr>
        <w:t xml:space="preserve">Chocolate Shops </w:t>
      </w:r>
      <w:r w:rsidR="0004068E" w:rsidRPr="008E4A2E">
        <w:rPr>
          <w:i/>
        </w:rPr>
        <w:t>Pty L</w:t>
      </w:r>
      <w:r w:rsidR="004E1A70">
        <w:rPr>
          <w:i/>
        </w:rPr>
        <w:t>td (No </w:t>
      </w:r>
      <w:r w:rsidR="008E4A2E" w:rsidRPr="008E4A2E">
        <w:rPr>
          <w:i/>
        </w:rPr>
        <w:t>3)</w:t>
      </w:r>
      <w:r w:rsidR="0004068E">
        <w:t xml:space="preserve"> </w:t>
      </w:r>
      <w:r w:rsidR="008E4A2E">
        <w:lastRenderedPageBreak/>
        <w:t>[</w:t>
      </w:r>
      <w:r w:rsidR="0004068E">
        <w:t>2007</w:t>
      </w:r>
      <w:r w:rsidR="008E4A2E">
        <w:t>]</w:t>
      </w:r>
      <w:r w:rsidR="0004068E">
        <w:t xml:space="preserve"> FCA</w:t>
      </w:r>
      <w:r w:rsidR="008E4A2E">
        <w:t>F</w:t>
      </w:r>
      <w:r w:rsidR="0004068E">
        <w:t>C</w:t>
      </w:r>
      <w:r w:rsidR="008E4A2E">
        <w:t xml:space="preserve"> 1</w:t>
      </w:r>
      <w:r w:rsidR="0004068E">
        <w:t xml:space="preserve">19 at </w:t>
      </w:r>
      <w:r w:rsidR="008E4A2E">
        <w:t>[</w:t>
      </w:r>
      <w:r w:rsidR="0004068E">
        <w:t>11</w:t>
      </w:r>
      <w:r w:rsidR="008E4A2E">
        <w:t>]</w:t>
      </w:r>
      <w:r w:rsidR="008A6948">
        <w:t>;</w:t>
      </w:r>
      <w:r w:rsidR="0004068E">
        <w:t xml:space="preserve"> </w:t>
      </w:r>
      <w:r w:rsidR="0004068E" w:rsidRPr="008E4A2E">
        <w:rPr>
          <w:i/>
        </w:rPr>
        <w:t>Hughes</w:t>
      </w:r>
      <w:r w:rsidR="008E4A2E" w:rsidRPr="008E4A2E">
        <w:rPr>
          <w:i/>
        </w:rPr>
        <w:t xml:space="preserve"> </w:t>
      </w:r>
      <w:r w:rsidR="008E4A2E">
        <w:rPr>
          <w:i/>
        </w:rPr>
        <w:t xml:space="preserve">v </w:t>
      </w:r>
      <w:r w:rsidR="0004068E" w:rsidRPr="008E4A2E">
        <w:rPr>
          <w:i/>
        </w:rPr>
        <w:t xml:space="preserve">Western Australian Cricket Association </w:t>
      </w:r>
      <w:proofErr w:type="spellStart"/>
      <w:r w:rsidR="0004068E" w:rsidRPr="008E4A2E">
        <w:rPr>
          <w:i/>
        </w:rPr>
        <w:t>Inc</w:t>
      </w:r>
      <w:proofErr w:type="spellEnd"/>
      <w:r w:rsidR="0004068E">
        <w:t xml:space="preserve"> </w:t>
      </w:r>
      <w:r w:rsidR="008E4A2E">
        <w:t>(</w:t>
      </w:r>
      <w:r w:rsidR="0004068E">
        <w:t>1986</w:t>
      </w:r>
      <w:r w:rsidR="008E4A2E">
        <w:t>)</w:t>
      </w:r>
      <w:r w:rsidR="0004068E">
        <w:t xml:space="preserve"> ATP</w:t>
      </w:r>
      <w:r w:rsidR="008E4A2E">
        <w:t>R</w:t>
      </w:r>
      <w:r w:rsidR="0004068E">
        <w:t xml:space="preserve"> 40–748 at 48,136</w:t>
      </w:r>
      <w:r w:rsidR="008A6948">
        <w:t>;</w:t>
      </w:r>
      <w:r w:rsidR="0004068E">
        <w:t xml:space="preserve"> </w:t>
      </w:r>
      <w:proofErr w:type="spellStart"/>
      <w:r>
        <w:rPr>
          <w:i/>
        </w:rPr>
        <w:t>Dodd</w:t>
      </w:r>
      <w:r w:rsidR="0004068E" w:rsidRPr="008A6948">
        <w:rPr>
          <w:i/>
        </w:rPr>
        <w:t>s</w:t>
      </w:r>
      <w:proofErr w:type="spellEnd"/>
      <w:r w:rsidR="008A6948" w:rsidRPr="008A6948">
        <w:rPr>
          <w:i/>
        </w:rPr>
        <w:t xml:space="preserve"> Family Investments Pty Lt</w:t>
      </w:r>
      <w:r w:rsidR="0074472C">
        <w:rPr>
          <w:i/>
        </w:rPr>
        <w:t>d</w:t>
      </w:r>
      <w:r w:rsidR="004E1A70">
        <w:rPr>
          <w:i/>
        </w:rPr>
        <w:t xml:space="preserve"> (formerly Solar Tint Pty Ltd)</w:t>
      </w:r>
      <w:r w:rsidR="008A6948" w:rsidRPr="008A6948">
        <w:rPr>
          <w:i/>
        </w:rPr>
        <w:t xml:space="preserve"> </w:t>
      </w:r>
      <w:r w:rsidR="0074472C">
        <w:rPr>
          <w:i/>
        </w:rPr>
        <w:t xml:space="preserve">v </w:t>
      </w:r>
      <w:r w:rsidR="0004068E" w:rsidRPr="008A6948">
        <w:rPr>
          <w:i/>
        </w:rPr>
        <w:t xml:space="preserve">Lane </w:t>
      </w:r>
      <w:r w:rsidR="0074472C" w:rsidRPr="008A6948">
        <w:rPr>
          <w:i/>
        </w:rPr>
        <w:t xml:space="preserve">Industries </w:t>
      </w:r>
      <w:r w:rsidR="0004068E" w:rsidRPr="008A6948">
        <w:rPr>
          <w:i/>
        </w:rPr>
        <w:t>Pty L</w:t>
      </w:r>
      <w:r w:rsidR="0074472C">
        <w:rPr>
          <w:i/>
        </w:rPr>
        <w:t>td</w:t>
      </w:r>
      <w:r w:rsidR="0004068E">
        <w:t xml:space="preserve"> </w:t>
      </w:r>
      <w:r w:rsidR="0074472C">
        <w:t>(</w:t>
      </w:r>
      <w:r w:rsidR="0004068E">
        <w:t>1993</w:t>
      </w:r>
      <w:r w:rsidR="0074472C">
        <w:t>) 26 IPR</w:t>
      </w:r>
      <w:r w:rsidR="0004068E">
        <w:t xml:space="preserve"> 261</w:t>
      </w:r>
      <w:r w:rsidR="004E1A70">
        <w:t xml:space="preserve"> at 271–272</w:t>
      </w:r>
      <w:r w:rsidR="0074472C">
        <w:t>;</w:t>
      </w:r>
      <w:r w:rsidR="0004068E">
        <w:t xml:space="preserve"> </w:t>
      </w:r>
      <w:r w:rsidR="004E1A70">
        <w:rPr>
          <w:i/>
        </w:rPr>
        <w:t xml:space="preserve">The State of </w:t>
      </w:r>
      <w:r w:rsidR="0004068E" w:rsidRPr="0074472C">
        <w:rPr>
          <w:i/>
        </w:rPr>
        <w:t xml:space="preserve">Victoria </w:t>
      </w:r>
      <w:r w:rsidR="0074472C">
        <w:rPr>
          <w:i/>
        </w:rPr>
        <w:t xml:space="preserve">v </w:t>
      </w:r>
      <w:proofErr w:type="spellStart"/>
      <w:r w:rsidR="0004068E" w:rsidRPr="0074472C">
        <w:rPr>
          <w:i/>
        </w:rPr>
        <w:t>Sportsbet</w:t>
      </w:r>
      <w:proofErr w:type="spellEnd"/>
      <w:r w:rsidR="0004068E" w:rsidRPr="0074472C">
        <w:rPr>
          <w:i/>
        </w:rPr>
        <w:t xml:space="preserve"> Pty L</w:t>
      </w:r>
      <w:r w:rsidR="0074472C">
        <w:rPr>
          <w:i/>
        </w:rPr>
        <w:t>td</w:t>
      </w:r>
      <w:r w:rsidR="0004068E" w:rsidRPr="0074472C">
        <w:rPr>
          <w:i/>
        </w:rPr>
        <w:t xml:space="preserve"> </w:t>
      </w:r>
      <w:r w:rsidR="0074472C">
        <w:rPr>
          <w:i/>
        </w:rPr>
        <w:t>(No 2)</w:t>
      </w:r>
      <w:r w:rsidR="0004068E">
        <w:t xml:space="preserve"> </w:t>
      </w:r>
      <w:r w:rsidR="0074472C">
        <w:t>[</w:t>
      </w:r>
      <w:r w:rsidR="0004068E">
        <w:t>2012</w:t>
      </w:r>
      <w:r w:rsidR="0074472C">
        <w:t>]</w:t>
      </w:r>
      <w:r w:rsidR="0004068E">
        <w:t xml:space="preserve"> FCA</w:t>
      </w:r>
      <w:r w:rsidR="0074472C">
        <w:t>F</w:t>
      </w:r>
      <w:r w:rsidR="0004068E">
        <w:t>C</w:t>
      </w:r>
      <w:r w:rsidR="0074472C">
        <w:t xml:space="preserve"> </w:t>
      </w:r>
      <w:r w:rsidR="0004068E">
        <w:t>1</w:t>
      </w:r>
      <w:r w:rsidR="0074472C">
        <w:t>74 at [6]</w:t>
      </w:r>
      <w:r w:rsidR="0004068E">
        <w:t>–[8</w:t>
      </w:r>
      <w:r w:rsidR="0074472C">
        <w:t>]</w:t>
      </w:r>
      <w:r w:rsidR="0004068E">
        <w:t>.</w:t>
      </w:r>
      <w:r w:rsidR="004A5906">
        <w:t xml:space="preserve">  Ultimately, the Court is required to determine the appropriate order in the interests of justice:  </w:t>
      </w:r>
      <w:r w:rsidR="004A5906" w:rsidRPr="0043061E">
        <w:rPr>
          <w:i/>
        </w:rPr>
        <w:t>Kosciuszko</w:t>
      </w:r>
      <w:r w:rsidR="004A5906">
        <w:t xml:space="preserve"> </w:t>
      </w:r>
      <w:r w:rsidR="0043061E">
        <w:rPr>
          <w:i/>
        </w:rPr>
        <w:t xml:space="preserve">Thredbo Pty Limited v </w:t>
      </w:r>
      <w:proofErr w:type="spellStart"/>
      <w:r w:rsidR="0043061E">
        <w:rPr>
          <w:i/>
        </w:rPr>
        <w:t>Thre</w:t>
      </w:r>
      <w:r w:rsidR="00DE09BE">
        <w:rPr>
          <w:i/>
        </w:rPr>
        <w:t>dboNet</w:t>
      </w:r>
      <w:proofErr w:type="spellEnd"/>
      <w:r w:rsidR="00DE09BE">
        <w:rPr>
          <w:i/>
        </w:rPr>
        <w:t xml:space="preserve"> Marketing Pty Limited (No 2)</w:t>
      </w:r>
      <w:r w:rsidR="00DE09BE">
        <w:t xml:space="preserve"> [2013] FCA 609 at [11]. </w:t>
      </w:r>
    </w:p>
    <w:p w14:paraId="24F571DC" w14:textId="77777777" w:rsidR="0004068E" w:rsidRDefault="0004068E" w:rsidP="0004068E">
      <w:pPr>
        <w:pStyle w:val="ParaNumbering"/>
      </w:pPr>
      <w:r>
        <w:t>In the</w:t>
      </w:r>
      <w:r w:rsidR="00CE4CF3">
        <w:t xml:space="preserve"> Contravention Proceedings</w:t>
      </w:r>
      <w:r>
        <w:t>, the applicant has had only partial success.</w:t>
      </w:r>
      <w:r w:rsidR="003B6181">
        <w:t xml:space="preserve"> </w:t>
      </w:r>
      <w:r>
        <w:t>It failed in respect of a very substantial part of its case concerning the</w:t>
      </w:r>
      <w:r w:rsidR="002F0AC2">
        <w:t xml:space="preserve"> </w:t>
      </w:r>
      <w:r w:rsidR="00BD381A">
        <w:t>nearly 3</w:t>
      </w:r>
      <w:r w:rsidR="00B04A58">
        <w:t>,</w:t>
      </w:r>
      <w:r w:rsidR="00BD381A">
        <w:t xml:space="preserve">000 </w:t>
      </w:r>
      <w:r w:rsidR="002F0AC2">
        <w:t>Sch</w:t>
      </w:r>
      <w:r w:rsidR="00084EFE">
        <w:t>edule</w:t>
      </w:r>
      <w:r w:rsidR="002F0AC2">
        <w:t> A</w:t>
      </w:r>
      <w:r w:rsidR="00084EFE">
        <w:t xml:space="preserve"> A</w:t>
      </w:r>
      <w:r w:rsidR="00BD381A">
        <w:t>llegations</w:t>
      </w:r>
      <w:r>
        <w:t>.</w:t>
      </w:r>
      <w:r w:rsidR="003B6181">
        <w:t xml:space="preserve"> </w:t>
      </w:r>
      <w:r>
        <w:t xml:space="preserve">In my opinion, the </w:t>
      </w:r>
      <w:r w:rsidR="00BD381A">
        <w:t>clear delineation between</w:t>
      </w:r>
      <w:r>
        <w:t xml:space="preserve"> the two </w:t>
      </w:r>
      <w:r w:rsidR="00DE09BE">
        <w:t xml:space="preserve">categories </w:t>
      </w:r>
      <w:r>
        <w:t>of allegations</w:t>
      </w:r>
      <w:r w:rsidR="00713093">
        <w:t xml:space="preserve">, </w:t>
      </w:r>
      <w:r>
        <w:t xml:space="preserve">the failure of the applicant in respect of one of those </w:t>
      </w:r>
      <w:r w:rsidR="00DE09BE">
        <w:t xml:space="preserve">categories </w:t>
      </w:r>
      <w:r w:rsidR="00713093">
        <w:t>and the significance of the failure</w:t>
      </w:r>
      <w:r>
        <w:t xml:space="preserve"> makes it appr</w:t>
      </w:r>
      <w:r w:rsidR="00BD381A">
        <w:t>opriate to depart from the ordinary</w:t>
      </w:r>
      <w:r>
        <w:t xml:space="preserve"> </w:t>
      </w:r>
      <w:r w:rsidR="00CE4CF3">
        <w:t xml:space="preserve">position </w:t>
      </w:r>
      <w:r>
        <w:t>as to costs.</w:t>
      </w:r>
      <w:r w:rsidR="003B6181">
        <w:t xml:space="preserve"> </w:t>
      </w:r>
      <w:r w:rsidR="00713093">
        <w:t xml:space="preserve">I am inclined to </w:t>
      </w:r>
      <w:r w:rsidR="00084EFE">
        <w:t>order that there be no order as to the costs of the Contravention Proceedings.</w:t>
      </w:r>
    </w:p>
    <w:p w14:paraId="771DD2B2" w14:textId="77777777" w:rsidR="0004068E" w:rsidRDefault="00713093" w:rsidP="0004068E">
      <w:pPr>
        <w:pStyle w:val="ParaNumbering"/>
      </w:pPr>
      <w:r>
        <w:t>However, t</w:t>
      </w:r>
      <w:r w:rsidR="0004068E">
        <w:t>he position is comp</w:t>
      </w:r>
      <w:r w:rsidR="00BD381A">
        <w:t>licated by the Contempt P</w:t>
      </w:r>
      <w:r w:rsidR="0004068E">
        <w:t>roceedings.</w:t>
      </w:r>
      <w:r w:rsidR="003B6181">
        <w:t xml:space="preserve"> </w:t>
      </w:r>
      <w:r w:rsidR="0004068E">
        <w:t xml:space="preserve">There were five separate interlocutory applications alleging </w:t>
      </w:r>
      <w:proofErr w:type="spellStart"/>
      <w:r w:rsidR="0004068E">
        <w:t>contempt</w:t>
      </w:r>
      <w:r w:rsidR="00E828B4">
        <w:t>s</w:t>
      </w:r>
      <w:proofErr w:type="spellEnd"/>
      <w:r w:rsidR="0004068E">
        <w:t xml:space="preserve"> of court against </w:t>
      </w:r>
      <w:r w:rsidR="005B1C47">
        <w:t>Mr Hacker</w:t>
      </w:r>
      <w:r w:rsidR="0004068E">
        <w:t xml:space="preserve"> and </w:t>
      </w:r>
      <w:r w:rsidR="005B1C47">
        <w:t>OSGS</w:t>
      </w:r>
      <w:r w:rsidR="0004068E">
        <w:t>.</w:t>
      </w:r>
      <w:r w:rsidR="003B6181">
        <w:t xml:space="preserve"> </w:t>
      </w:r>
      <w:r w:rsidR="0004068E">
        <w:t xml:space="preserve">The first two applications were dealt with at the </w:t>
      </w:r>
      <w:r w:rsidR="00BD381A">
        <w:t>end of the trial of the Contravention P</w:t>
      </w:r>
      <w:r w:rsidR="0004068E">
        <w:t>roceedings.</w:t>
      </w:r>
      <w:r w:rsidR="003B6181">
        <w:t xml:space="preserve"> </w:t>
      </w:r>
      <w:r w:rsidR="00BD381A">
        <w:t>Subsequently, t</w:t>
      </w:r>
      <w:r w:rsidR="0004068E">
        <w:t>he issues of relief in res</w:t>
      </w:r>
      <w:r w:rsidR="00BD381A">
        <w:t>pect of the proven contraventions of s 50-5 of the TAS Act</w:t>
      </w:r>
      <w:r w:rsidR="0004068E">
        <w:t xml:space="preserve"> and all the </w:t>
      </w:r>
      <w:r w:rsidR="00B04A58">
        <w:t>Contempt Proceedings</w:t>
      </w:r>
      <w:r w:rsidR="0004068E">
        <w:t xml:space="preserve"> were dealt with at the same hearing.</w:t>
      </w:r>
      <w:r w:rsidR="003B6181">
        <w:t xml:space="preserve"> </w:t>
      </w:r>
      <w:r w:rsidR="0004068E">
        <w:t xml:space="preserve">There is, therefore, a substantial overlap between costs incurred by the applicant in respect of the </w:t>
      </w:r>
      <w:r w:rsidR="00DE09BE">
        <w:t xml:space="preserve">Contravention Proceedings </w:t>
      </w:r>
      <w:r w:rsidR="0004068E">
        <w:t xml:space="preserve">and the </w:t>
      </w:r>
      <w:r w:rsidR="00B04A58">
        <w:t>Contempt Proceedings</w:t>
      </w:r>
      <w:r w:rsidR="0004068E">
        <w:t>.</w:t>
      </w:r>
    </w:p>
    <w:p w14:paraId="4E28E555" w14:textId="77777777" w:rsidR="0004068E" w:rsidRDefault="0004068E" w:rsidP="0004068E">
      <w:pPr>
        <w:pStyle w:val="ParaNumbering"/>
      </w:pPr>
      <w:r>
        <w:t>I consider</w:t>
      </w:r>
      <w:r w:rsidR="00BD381A">
        <w:t xml:space="preserve"> that the costs of the Contravention P</w:t>
      </w:r>
      <w:r>
        <w:t xml:space="preserve">roceedings </w:t>
      </w:r>
      <w:r w:rsidR="00E828B4">
        <w:t>a</w:t>
      </w:r>
      <w:r>
        <w:t>n</w:t>
      </w:r>
      <w:r w:rsidR="00E828B4">
        <w:t>d</w:t>
      </w:r>
      <w:r w:rsidR="00BD381A">
        <w:t xml:space="preserve"> the Contempt P</w:t>
      </w:r>
      <w:r>
        <w:t>roceedings are be</w:t>
      </w:r>
      <w:r w:rsidR="00E828B4">
        <w:t xml:space="preserve">st dealt with by taking a broad brush </w:t>
      </w:r>
      <w:r w:rsidR="00DE09BE">
        <w:t xml:space="preserve">approach </w:t>
      </w:r>
      <w:r>
        <w:t xml:space="preserve">as to the respective contributions they </w:t>
      </w:r>
      <w:r w:rsidR="00713093">
        <w:t xml:space="preserve">must have </w:t>
      </w:r>
      <w:r>
        <w:t xml:space="preserve">made to the </w:t>
      </w:r>
      <w:r w:rsidR="00713093">
        <w:t xml:space="preserve">overall </w:t>
      </w:r>
      <w:r>
        <w:t>costs incurred by the applicant.</w:t>
      </w:r>
      <w:r w:rsidR="00DE09BE">
        <w:t xml:space="preserve">  </w:t>
      </w:r>
      <w:r w:rsidR="00BD381A">
        <w:t xml:space="preserve">Taking into account the relative success and failure of the applicant in the Contravention Proceedings and the </w:t>
      </w:r>
      <w:r w:rsidR="002C0209">
        <w:t xml:space="preserve">extent of the </w:t>
      </w:r>
      <w:r w:rsidR="00BD381A">
        <w:t>overlap</w:t>
      </w:r>
      <w:r w:rsidR="002C0209">
        <w:t xml:space="preserve"> with the</w:t>
      </w:r>
      <w:r w:rsidR="00BD381A">
        <w:t xml:space="preserve"> Contempt Proceedings, </w:t>
      </w:r>
      <w:r>
        <w:t xml:space="preserve">I propose to order that </w:t>
      </w:r>
      <w:r w:rsidR="00084EFE">
        <w:t xml:space="preserve">Mr Hacker and OSGS </w:t>
      </w:r>
      <w:r>
        <w:t xml:space="preserve">pay </w:t>
      </w:r>
      <w:r w:rsidR="00DE09BE">
        <w:t>35</w:t>
      </w:r>
      <w:r>
        <w:t>% of the applicant</w:t>
      </w:r>
      <w:r w:rsidR="00A2650E">
        <w:t>’</w:t>
      </w:r>
      <w:r>
        <w:t xml:space="preserve">s costs of </w:t>
      </w:r>
      <w:r w:rsidR="00BD381A">
        <w:t>the</w:t>
      </w:r>
      <w:r w:rsidR="002C0209">
        <w:t xml:space="preserve"> Contravention Proceedings and the Contempt Proceedings</w:t>
      </w:r>
      <w:r>
        <w:t>.</w:t>
      </w:r>
      <w:r w:rsidR="00084EFE">
        <w:t xml:space="preserve"> The position is different with </w:t>
      </w:r>
      <w:proofErr w:type="spellStart"/>
      <w:r w:rsidR="00084EFE">
        <w:t>Naleview</w:t>
      </w:r>
      <w:proofErr w:type="spellEnd"/>
      <w:r w:rsidR="00084EFE">
        <w:t xml:space="preserve">, as there were no allegations of contempt against </w:t>
      </w:r>
      <w:proofErr w:type="spellStart"/>
      <w:r w:rsidR="00084EFE">
        <w:t>Naleview</w:t>
      </w:r>
      <w:proofErr w:type="spellEnd"/>
      <w:r w:rsidR="00084EFE">
        <w:t xml:space="preserve">. </w:t>
      </w:r>
      <w:r w:rsidR="002C0209">
        <w:t xml:space="preserve">There should be no order for costs between the applicant and </w:t>
      </w:r>
      <w:proofErr w:type="spellStart"/>
      <w:r w:rsidR="002C0209">
        <w:t>Naleview</w:t>
      </w:r>
      <w:proofErr w:type="spellEnd"/>
      <w:r w:rsidR="002C0209">
        <w:t>.</w:t>
      </w:r>
    </w:p>
    <w:p w14:paraId="11F2D2A9" w14:textId="77777777" w:rsidR="0004068E" w:rsidRDefault="00BD381A" w:rsidP="0004068E">
      <w:pPr>
        <w:pStyle w:val="ParaNumbering"/>
      </w:pPr>
      <w:r>
        <w:t xml:space="preserve">I do not accept the applicant’s contention that </w:t>
      </w:r>
      <w:r w:rsidR="005A58BE">
        <w:t xml:space="preserve">the respondents </w:t>
      </w:r>
      <w:r>
        <w:t xml:space="preserve">should </w:t>
      </w:r>
      <w:r w:rsidR="005A58BE">
        <w:t xml:space="preserve">pay the applicant’s </w:t>
      </w:r>
      <w:r>
        <w:t>costs of the Contempt P</w:t>
      </w:r>
      <w:r w:rsidR="0004068E">
        <w:t>roceedings on an indemnity basis.</w:t>
      </w:r>
    </w:p>
    <w:p w14:paraId="2B885CA3" w14:textId="77777777" w:rsidR="0004068E" w:rsidRDefault="0004068E" w:rsidP="0004068E">
      <w:pPr>
        <w:pStyle w:val="ParaNumbering"/>
      </w:pPr>
      <w:r>
        <w:t>Indemnity costs may be awarded where there is some special or unusual feature in the case justifying a departure fr</w:t>
      </w:r>
      <w:r w:rsidR="00C25F7E">
        <w:t>om the ordinary rule that party-</w:t>
      </w:r>
      <w:r>
        <w:t>and</w:t>
      </w:r>
      <w:r w:rsidR="00C25F7E">
        <w:t>-</w:t>
      </w:r>
      <w:r>
        <w:t xml:space="preserve">party costs be paid: see, for </w:t>
      </w:r>
      <w:r>
        <w:lastRenderedPageBreak/>
        <w:t xml:space="preserve">example, </w:t>
      </w:r>
      <w:r w:rsidR="00617613" w:rsidRPr="00617613">
        <w:rPr>
          <w:i/>
        </w:rPr>
        <w:t>Anchorage Capital Partners Pty Lt</w:t>
      </w:r>
      <w:r w:rsidR="00617613">
        <w:rPr>
          <w:i/>
        </w:rPr>
        <w:t>d</w:t>
      </w:r>
      <w:r w:rsidR="00617613" w:rsidRPr="00617613">
        <w:rPr>
          <w:i/>
        </w:rPr>
        <w:t xml:space="preserve"> </w:t>
      </w:r>
      <w:r w:rsidR="00617613">
        <w:rPr>
          <w:i/>
        </w:rPr>
        <w:t xml:space="preserve">v </w:t>
      </w:r>
      <w:r w:rsidR="00617613" w:rsidRPr="00617613">
        <w:rPr>
          <w:i/>
        </w:rPr>
        <w:t>AC</w:t>
      </w:r>
      <w:r w:rsidR="00617613">
        <w:rPr>
          <w:i/>
        </w:rPr>
        <w:t>PA</w:t>
      </w:r>
      <w:r w:rsidR="00617613" w:rsidRPr="00617613">
        <w:rPr>
          <w:i/>
        </w:rPr>
        <w:t xml:space="preserve"> </w:t>
      </w:r>
      <w:r w:rsidR="00617613">
        <w:rPr>
          <w:i/>
        </w:rPr>
        <w:t xml:space="preserve">Pty Ltd (No 2) </w:t>
      </w:r>
      <w:r w:rsidR="00457C18">
        <w:t>[</w:t>
      </w:r>
      <w:r>
        <w:t>2018</w:t>
      </w:r>
      <w:r w:rsidR="00457C18">
        <w:t>]</w:t>
      </w:r>
      <w:r>
        <w:t xml:space="preserve"> </w:t>
      </w:r>
      <w:r w:rsidR="00457C18">
        <w:t>F</w:t>
      </w:r>
      <w:r>
        <w:t>CAFC</w:t>
      </w:r>
      <w:r w:rsidR="00457C18">
        <w:t xml:space="preserve"> </w:t>
      </w:r>
      <w:r>
        <w:t xml:space="preserve">112 at </w:t>
      </w:r>
      <w:r w:rsidR="00457C18">
        <w:t>[5];</w:t>
      </w:r>
      <w:r>
        <w:t xml:space="preserve"> </w:t>
      </w:r>
      <w:r w:rsidR="00AE34AA">
        <w:rPr>
          <w:i/>
        </w:rPr>
        <w:t>Re</w:t>
      </w:r>
      <w:r w:rsidR="00AE34AA">
        <w:t> </w:t>
      </w:r>
      <w:r w:rsidRPr="00457C18">
        <w:rPr>
          <w:i/>
        </w:rPr>
        <w:t xml:space="preserve">Wilcox; </w:t>
      </w:r>
      <w:r w:rsidR="00457C18" w:rsidRPr="00457C18">
        <w:rPr>
          <w:i/>
        </w:rPr>
        <w:t xml:space="preserve">Ex Parte Venture Industries </w:t>
      </w:r>
      <w:r w:rsidR="00457C18">
        <w:rPr>
          <w:i/>
        </w:rPr>
        <w:t>Pty Ltd</w:t>
      </w:r>
      <w:r w:rsidRPr="00457C18">
        <w:rPr>
          <w:i/>
        </w:rPr>
        <w:t xml:space="preserve"> </w:t>
      </w:r>
      <w:r w:rsidR="00457C18">
        <w:rPr>
          <w:i/>
        </w:rPr>
        <w:t xml:space="preserve">(No 2) </w:t>
      </w:r>
      <w:r w:rsidR="00457C18">
        <w:t>(</w:t>
      </w:r>
      <w:r>
        <w:t>1996</w:t>
      </w:r>
      <w:r w:rsidR="00457C18">
        <w:t xml:space="preserve">) </w:t>
      </w:r>
      <w:r>
        <w:t xml:space="preserve">72 </w:t>
      </w:r>
      <w:r w:rsidR="00457C18">
        <w:t>F</w:t>
      </w:r>
      <w:r>
        <w:t>CR 151</w:t>
      </w:r>
      <w:r w:rsidR="00457C18">
        <w:t xml:space="preserve"> at </w:t>
      </w:r>
      <w:r>
        <w:t xml:space="preserve">152; </w:t>
      </w:r>
      <w:r w:rsidR="00457C18">
        <w:rPr>
          <w:i/>
        </w:rPr>
        <w:t xml:space="preserve">Pinnacle Runway Pty Ltd v </w:t>
      </w:r>
      <w:proofErr w:type="spellStart"/>
      <w:r w:rsidR="00457C18">
        <w:rPr>
          <w:i/>
        </w:rPr>
        <w:t>Triangl</w:t>
      </w:r>
      <w:proofErr w:type="spellEnd"/>
      <w:r w:rsidR="00457C18">
        <w:t xml:space="preserve"> </w:t>
      </w:r>
      <w:r w:rsidR="00457C18">
        <w:rPr>
          <w:i/>
        </w:rPr>
        <w:t>Ltd (No 3)</w:t>
      </w:r>
      <w:r>
        <w:t xml:space="preserve"> </w:t>
      </w:r>
      <w:r w:rsidR="00457C18">
        <w:t>[</w:t>
      </w:r>
      <w:r>
        <w:t>2020</w:t>
      </w:r>
      <w:r w:rsidR="00457C18">
        <w:t>]</w:t>
      </w:r>
      <w:r>
        <w:t xml:space="preserve"> FCA 1379 at </w:t>
      </w:r>
      <w:r w:rsidR="00457C18">
        <w:t>[39].</w:t>
      </w:r>
    </w:p>
    <w:p w14:paraId="29569862" w14:textId="77777777" w:rsidR="0004068E" w:rsidRDefault="0004068E" w:rsidP="004A6578">
      <w:pPr>
        <w:pStyle w:val="ParaNumbering"/>
      </w:pPr>
      <w:r>
        <w:t xml:space="preserve">In </w:t>
      </w:r>
      <w:r w:rsidR="00AE34AA">
        <w:rPr>
          <w:i/>
        </w:rPr>
        <w:t>Re </w:t>
      </w:r>
      <w:r w:rsidRPr="00BD2806">
        <w:rPr>
          <w:i/>
        </w:rPr>
        <w:t>Wilcox</w:t>
      </w:r>
      <w:r w:rsidR="00BD2806">
        <w:t>,</w:t>
      </w:r>
      <w:r>
        <w:t xml:space="preserve"> </w:t>
      </w:r>
      <w:r w:rsidR="00BD2806">
        <w:t xml:space="preserve">Black CJ </w:t>
      </w:r>
      <w:r>
        <w:t>stated at 152:</w:t>
      </w:r>
    </w:p>
    <w:p w14:paraId="7A209FCB" w14:textId="77777777" w:rsidR="00A82732" w:rsidRDefault="00A82732" w:rsidP="004A6578">
      <w:pPr>
        <w:pStyle w:val="Quote1"/>
      </w:pPr>
      <w:r>
        <w:t>…it is well established that the starting point for any consideration of an application for indemnity costs is that in the ordinary case costs will follow the event and the Court will order the unsuccessful party to pay the costs of the successful party, on a party and party basis, a basis which will fall short of complete indemnity. Nevertheless the court has an absolute and unfettered jurisdiction in awarding costs, although that discretion must be exercised judicially. So, indemnity costs may properly be awarded where there is some special or unusual feature in the case justifying the Court exercising its discretion in that way…</w:t>
      </w:r>
    </w:p>
    <w:p w14:paraId="509F37CA" w14:textId="77777777" w:rsidR="0004068E" w:rsidRDefault="0004068E" w:rsidP="004A6578">
      <w:pPr>
        <w:pStyle w:val="ParaNumbering"/>
        <w:keepNext/>
        <w:keepLines/>
      </w:pPr>
      <w:r>
        <w:t xml:space="preserve">In </w:t>
      </w:r>
      <w:proofErr w:type="spellStart"/>
      <w:r w:rsidR="007F0729">
        <w:rPr>
          <w:i/>
        </w:rPr>
        <w:t>Kazal</w:t>
      </w:r>
      <w:proofErr w:type="spellEnd"/>
      <w:r w:rsidR="007F0729">
        <w:rPr>
          <w:i/>
        </w:rPr>
        <w:t xml:space="preserve"> v Thunder </w:t>
      </w:r>
      <w:r w:rsidRPr="007F0729">
        <w:rPr>
          <w:i/>
        </w:rPr>
        <w:t xml:space="preserve">Studios </w:t>
      </w:r>
      <w:proofErr w:type="spellStart"/>
      <w:r w:rsidRPr="007F0729">
        <w:rPr>
          <w:i/>
        </w:rPr>
        <w:t>Inc</w:t>
      </w:r>
      <w:proofErr w:type="spellEnd"/>
      <w:r>
        <w:t xml:space="preserve"> </w:t>
      </w:r>
      <w:r w:rsidRPr="007F0729">
        <w:rPr>
          <w:i/>
        </w:rPr>
        <w:t>(California)</w:t>
      </w:r>
      <w:r>
        <w:t xml:space="preserve"> </w:t>
      </w:r>
      <w:r w:rsidR="007F0729">
        <w:t>(</w:t>
      </w:r>
      <w:r>
        <w:t>2</w:t>
      </w:r>
      <w:r w:rsidR="007F0729">
        <w:t>017)</w:t>
      </w:r>
      <w:r>
        <w:t xml:space="preserve"> 256 </w:t>
      </w:r>
      <w:r w:rsidR="007F0729">
        <w:t>F</w:t>
      </w:r>
      <w:r>
        <w:t xml:space="preserve">CR 90, the </w:t>
      </w:r>
      <w:r w:rsidR="009D22D6">
        <w:t xml:space="preserve">Full Court </w:t>
      </w:r>
      <w:r>
        <w:t xml:space="preserve">observed at </w:t>
      </w:r>
      <w:r w:rsidR="009D22D6">
        <w:t>[</w:t>
      </w:r>
      <w:r>
        <w:t>192</w:t>
      </w:r>
      <w:r w:rsidR="009D22D6">
        <w:t>]–[</w:t>
      </w:r>
      <w:r>
        <w:t>195</w:t>
      </w:r>
      <w:r w:rsidR="009D22D6">
        <w:t>]</w:t>
      </w:r>
      <w:r w:rsidR="004A6578">
        <w:t>:</w:t>
      </w:r>
    </w:p>
    <w:p w14:paraId="072C22C4" w14:textId="77777777" w:rsidR="00052122" w:rsidRDefault="009D22D6" w:rsidP="004A6578">
      <w:pPr>
        <w:pStyle w:val="Quote1"/>
        <w:keepNext/>
        <w:keepLines/>
        <w:ind w:left="1440" w:hanging="703"/>
      </w:pPr>
      <w:bookmarkStart w:id="32" w:name="PastedTemp28"/>
      <w:r>
        <w:t>192</w:t>
      </w:r>
      <w:r>
        <w:tab/>
      </w:r>
      <w:r w:rsidRPr="009D22D6">
        <w:t>A common consequence of success by a person bringing contempt</w:t>
      </w:r>
      <w:r>
        <w:t xml:space="preserve"> proceedings is an indemnity costs order. Katzmann J in </w:t>
      </w:r>
      <w:proofErr w:type="spellStart"/>
      <w:r w:rsidRPr="009D22D6">
        <w:rPr>
          <w:i/>
        </w:rPr>
        <w:t>Kazal</w:t>
      </w:r>
      <w:proofErr w:type="spellEnd"/>
      <w:r w:rsidRPr="009D22D6">
        <w:rPr>
          <w:i/>
        </w:rPr>
        <w:t xml:space="preserve"> v Thunder Studios </w:t>
      </w:r>
      <w:proofErr w:type="spellStart"/>
      <w:r w:rsidRPr="009D22D6">
        <w:rPr>
          <w:i/>
        </w:rPr>
        <w:t>Inc</w:t>
      </w:r>
      <w:proofErr w:type="spellEnd"/>
      <w:r w:rsidRPr="009D22D6">
        <w:rPr>
          <w:i/>
        </w:rPr>
        <w:t xml:space="preserve"> (California)</w:t>
      </w:r>
      <w:r>
        <w:t xml:space="preserve"> [2017] FCA 238 at [90] helpfully referred to </w:t>
      </w:r>
      <w:r w:rsidRPr="009D22D6">
        <w:rPr>
          <w:i/>
        </w:rPr>
        <w:t>Connect TV Pty Ltd v All Rounder Investments Pty Ltd (No 4)</w:t>
      </w:r>
      <w:r>
        <w:t xml:space="preserve"> [2013] FCA 393 at [43] per Tracey J, and </w:t>
      </w:r>
      <w:proofErr w:type="spellStart"/>
      <w:r w:rsidRPr="009D22D6">
        <w:rPr>
          <w:i/>
        </w:rPr>
        <w:t>Infa</w:t>
      </w:r>
      <w:proofErr w:type="spellEnd"/>
      <w:r w:rsidRPr="009D22D6">
        <w:rPr>
          <w:i/>
        </w:rPr>
        <w:t>-Secure Pty Ltd v Crocker (No 2)</w:t>
      </w:r>
      <w:r>
        <w:t xml:space="preserve"> (2016) 338 ALR 586 (</w:t>
      </w:r>
      <w:proofErr w:type="spellStart"/>
      <w:r w:rsidRPr="009D22D6">
        <w:rPr>
          <w:i/>
        </w:rPr>
        <w:t>Infa</w:t>
      </w:r>
      <w:proofErr w:type="spellEnd"/>
      <w:r w:rsidRPr="009D22D6">
        <w:rPr>
          <w:i/>
        </w:rPr>
        <w:t>-Secure</w:t>
      </w:r>
      <w:r>
        <w:t xml:space="preserve">) at [44] per Reeves J. Her Honour observed that in Victoria and in Queensland it seems to be the “common or usual practice” to award indemnity costs in contempt cases, referring to </w:t>
      </w:r>
      <w:r w:rsidRPr="009D22D6">
        <w:rPr>
          <w:i/>
        </w:rPr>
        <w:t xml:space="preserve">Deputy Commissioner of Taxation v </w:t>
      </w:r>
      <w:proofErr w:type="spellStart"/>
      <w:r w:rsidRPr="009D22D6">
        <w:rPr>
          <w:i/>
        </w:rPr>
        <w:t>Gashi</w:t>
      </w:r>
      <w:proofErr w:type="spellEnd"/>
      <w:r>
        <w:t xml:space="preserve"> (2011) 85 ATR 262 at [20] per Dixon J and the abovementioned case of </w:t>
      </w:r>
      <w:proofErr w:type="spellStart"/>
      <w:r w:rsidRPr="00052122">
        <w:rPr>
          <w:i/>
        </w:rPr>
        <w:t>Infa</w:t>
      </w:r>
      <w:proofErr w:type="spellEnd"/>
      <w:r w:rsidRPr="00052122">
        <w:rPr>
          <w:i/>
        </w:rPr>
        <w:t>-Secure</w:t>
      </w:r>
      <w:r>
        <w:t xml:space="preserve">. </w:t>
      </w:r>
    </w:p>
    <w:p w14:paraId="433E7FA3" w14:textId="77777777" w:rsidR="009D22D6" w:rsidRDefault="00052122" w:rsidP="009D22D6">
      <w:pPr>
        <w:pStyle w:val="Quote1"/>
        <w:ind w:left="1440" w:hanging="703"/>
      </w:pPr>
      <w:r>
        <w:t>193</w:t>
      </w:r>
      <w:r>
        <w:tab/>
      </w:r>
      <w:r w:rsidR="009D22D6">
        <w:t xml:space="preserve">Katzmann J also pointed out that in </w:t>
      </w:r>
      <w:r w:rsidR="009D22D6" w:rsidRPr="00052122">
        <w:rPr>
          <w:i/>
        </w:rPr>
        <w:t xml:space="preserve">National Australia Bank Ltd v </w:t>
      </w:r>
      <w:proofErr w:type="spellStart"/>
      <w:r w:rsidR="009D22D6" w:rsidRPr="00052122">
        <w:rPr>
          <w:i/>
        </w:rPr>
        <w:t>Juric</w:t>
      </w:r>
      <w:proofErr w:type="spellEnd"/>
      <w:r w:rsidR="009D22D6" w:rsidRPr="00052122">
        <w:rPr>
          <w:i/>
        </w:rPr>
        <w:t xml:space="preserve"> (No 2)</w:t>
      </w:r>
      <w:r w:rsidR="009D22D6">
        <w:t xml:space="preserve"> [2001] VSC 398 at [70] Gillard J explained:</w:t>
      </w:r>
    </w:p>
    <w:p w14:paraId="4FB3602A" w14:textId="77777777" w:rsidR="009D22D6" w:rsidRDefault="009D22D6" w:rsidP="00052122">
      <w:pPr>
        <w:pStyle w:val="Quote3"/>
      </w:pPr>
      <w:r>
        <w:t>[I]t has been recognised for many, many years in contempt cases, that a litigant who must come to court in order to enforce an order which has been breached by contempt, or to have a person dealt with [for] contempt, should not be out of pocket.</w:t>
      </w:r>
    </w:p>
    <w:p w14:paraId="2F7CFDD5" w14:textId="77777777" w:rsidR="009D22D6" w:rsidRDefault="00052122" w:rsidP="00EE4B29">
      <w:pPr>
        <w:pStyle w:val="Quote1"/>
        <w:ind w:left="1440" w:hanging="703"/>
      </w:pPr>
      <w:r>
        <w:t>194</w:t>
      </w:r>
      <w:r>
        <w:tab/>
      </w:r>
      <w:r w:rsidR="009D22D6">
        <w:t xml:space="preserve">Katzmann J pointed out that Moore J took a different view in </w:t>
      </w:r>
      <w:r w:rsidR="009D22D6" w:rsidRPr="00DA3923">
        <w:rPr>
          <w:i/>
        </w:rPr>
        <w:t>Construction,</w:t>
      </w:r>
      <w:r w:rsidR="00DA3923" w:rsidRPr="00DA3923">
        <w:rPr>
          <w:i/>
        </w:rPr>
        <w:t xml:space="preserve"> </w:t>
      </w:r>
      <w:r w:rsidR="009D22D6" w:rsidRPr="00DA3923">
        <w:rPr>
          <w:i/>
        </w:rPr>
        <w:t>Forestry, Mining and Energy Union v BHP Steel (AIS) Pty Ltd</w:t>
      </w:r>
      <w:r w:rsidR="009D22D6">
        <w:t xml:space="preserve"> (2003) 196 ALR</w:t>
      </w:r>
      <w:r w:rsidR="00DA3923">
        <w:t xml:space="preserve"> </w:t>
      </w:r>
      <w:r w:rsidR="009D22D6">
        <w:t>350 at [6], based on a number of cases in this Court. Moore J observed (emphasis added by Katzmann J):</w:t>
      </w:r>
    </w:p>
    <w:p w14:paraId="69228E4C" w14:textId="77777777" w:rsidR="009D22D6" w:rsidRDefault="009D22D6" w:rsidP="00EE4B29">
      <w:pPr>
        <w:pStyle w:val="Quote3"/>
      </w:pPr>
      <w:r>
        <w:t xml:space="preserve">There has been limited judicial consideration of what principles (if any) govern the ordering of indemnity costs in contempt cases. It is at least clear, following </w:t>
      </w:r>
      <w:r w:rsidRPr="00DA3923">
        <w:rPr>
          <w:i/>
        </w:rPr>
        <w:t xml:space="preserve">McIntyre v </w:t>
      </w:r>
      <w:proofErr w:type="spellStart"/>
      <w:r w:rsidRPr="00DA3923">
        <w:rPr>
          <w:i/>
        </w:rPr>
        <w:t>Perkes</w:t>
      </w:r>
      <w:proofErr w:type="spellEnd"/>
      <w:r>
        <w:t xml:space="preserve"> (1988) 15 NSWLR 417 (see Samuels JA at 424-8 and Rodgers AJA at 434-6) (which involved a comprehensive review of the authorities including some suggesting the existence of a rule), that </w:t>
      </w:r>
      <w:r w:rsidRPr="00DA3923">
        <w:rPr>
          <w:b/>
        </w:rPr>
        <w:t>there is no general principle or rule of law in contempt cases that a successful applicant or successful prosecutor is routinely awarded costs on an indemnity basis</w:t>
      </w:r>
      <w:r>
        <w:t xml:space="preserve">: see also to the same effect in this court, </w:t>
      </w:r>
      <w:proofErr w:type="spellStart"/>
      <w:r w:rsidRPr="00DA3923">
        <w:rPr>
          <w:i/>
        </w:rPr>
        <w:t>Adlam</w:t>
      </w:r>
      <w:proofErr w:type="spellEnd"/>
      <w:r w:rsidRPr="00DA3923">
        <w:rPr>
          <w:i/>
        </w:rPr>
        <w:t xml:space="preserve"> v </w:t>
      </w:r>
      <w:proofErr w:type="spellStart"/>
      <w:r w:rsidRPr="00DA3923">
        <w:rPr>
          <w:i/>
        </w:rPr>
        <w:t>Noack</w:t>
      </w:r>
      <w:proofErr w:type="spellEnd"/>
      <w:r>
        <w:t xml:space="preserve"> [1999] FCA 1606;</w:t>
      </w:r>
      <w:r w:rsidR="00DA3923">
        <w:t xml:space="preserve"> </w:t>
      </w:r>
      <w:r>
        <w:t xml:space="preserve">BC9907694 per Mansfield J at [29], </w:t>
      </w:r>
      <w:r w:rsidRPr="00DA3923">
        <w:rPr>
          <w:i/>
        </w:rPr>
        <w:t>LED Builders Pty Ltd v Eagle Homes Pty Ltd</w:t>
      </w:r>
      <w:r>
        <w:t xml:space="preserve"> [1999] FCA 1213; BC9905513 per Lindgren J at [64]-[65]. Indeed as is the conventional practice in most cases, costs are </w:t>
      </w:r>
      <w:r>
        <w:lastRenderedPageBreak/>
        <w:t xml:space="preserve">routinely awarded in contempt cases on a party and party basis. In </w:t>
      </w:r>
      <w:r w:rsidRPr="00DA3923">
        <w:rPr>
          <w:i/>
        </w:rPr>
        <w:t xml:space="preserve">McIntyre v </w:t>
      </w:r>
      <w:proofErr w:type="spellStart"/>
      <w:r w:rsidRPr="00DA3923">
        <w:rPr>
          <w:i/>
        </w:rPr>
        <w:t>Perkes</w:t>
      </w:r>
      <w:proofErr w:type="spellEnd"/>
      <w:r>
        <w:t xml:space="preserve"> (1988) 15 NSWLR 417</w:t>
      </w:r>
      <w:r w:rsidR="00DA3923">
        <w:t xml:space="preserve"> </w:t>
      </w:r>
      <w:r>
        <w:t>Samuels JA (at 424 and 428) relevantly said:</w:t>
      </w:r>
    </w:p>
    <w:p w14:paraId="6DB9E31B" w14:textId="77777777" w:rsidR="009D22D6" w:rsidRDefault="009D22D6" w:rsidP="00DA3923">
      <w:pPr>
        <w:pStyle w:val="Quote3"/>
        <w:ind w:left="2880"/>
      </w:pPr>
      <w:r>
        <w:t>The respondent, however, submitted that the judge had erred in failing to apply “the normal rule which in cases where an intentional contempt of Court is proved on an application by a private prosecutor is for costs to be ordered on a basis calculated substantially to indemnify the prosecutor”. …</w:t>
      </w:r>
    </w:p>
    <w:p w14:paraId="0F4A796C" w14:textId="77777777" w:rsidR="009D22D6" w:rsidRDefault="009D22D6" w:rsidP="00DA3923">
      <w:pPr>
        <w:pStyle w:val="Quote3"/>
      </w:pPr>
      <w:r>
        <w:t>In my opinion this survey, no doubt not exhaustive but reasonably extensive, of the textbooks and cases does not reveal any rule of law or any established practice binding upon the judge in this case and requiring him to make one of the orders for which the respondent contended.</w:t>
      </w:r>
    </w:p>
    <w:p w14:paraId="3720EC64" w14:textId="77777777" w:rsidR="0004068E" w:rsidRDefault="00DA3923" w:rsidP="004A6578">
      <w:pPr>
        <w:pStyle w:val="Quote1"/>
        <w:keepNext/>
        <w:keepLines/>
        <w:ind w:left="1440" w:hanging="703"/>
      </w:pPr>
      <w:r>
        <w:t>195</w:t>
      </w:r>
      <w:r>
        <w:tab/>
      </w:r>
      <w:r w:rsidR="009D22D6">
        <w:t>There is no doubt that this Court has a discretion to award indemnity costs to a party bringing contempt proceedings. In many contempt cases there will be powerful discretionary considerations favouring the award of indemnity costs. If there is a variable practice in that regard, this is a case falling within the category for which an indemnity costs order would be entirely appropriate. No express reason was advanced in this case for departing from the at least common approach of awarding costs on an indemnity basis</w:t>
      </w:r>
      <w:bookmarkEnd w:id="32"/>
      <w:r w:rsidR="00237AFE">
        <w:t>…</w:t>
      </w:r>
    </w:p>
    <w:p w14:paraId="05198F19" w14:textId="77777777" w:rsidR="00084EFE" w:rsidRDefault="00237AFE" w:rsidP="00084EFE">
      <w:pPr>
        <w:pStyle w:val="ParaNumbering"/>
      </w:pPr>
      <w:r>
        <w:t xml:space="preserve">In </w:t>
      </w:r>
      <w:r w:rsidRPr="004A6578">
        <w:rPr>
          <w:i/>
        </w:rPr>
        <w:t>CFMEU</w:t>
      </w:r>
      <w:r w:rsidR="004A6578">
        <w:rPr>
          <w:i/>
        </w:rPr>
        <w:t xml:space="preserve"> v BHP</w:t>
      </w:r>
      <w:r>
        <w:t>, Moore J</w:t>
      </w:r>
      <w:r w:rsidR="00084EFE">
        <w:t xml:space="preserve"> also</w:t>
      </w:r>
      <w:r>
        <w:t xml:space="preserve"> held</w:t>
      </w:r>
      <w:r w:rsidR="00084EFE">
        <w:t>:</w:t>
      </w:r>
    </w:p>
    <w:p w14:paraId="40937298" w14:textId="77777777" w:rsidR="00237AFE" w:rsidRPr="00084EFE" w:rsidRDefault="00DE09BE" w:rsidP="00DE09BE">
      <w:pPr>
        <w:pStyle w:val="Quote1"/>
        <w:ind w:left="1440" w:hanging="703"/>
      </w:pPr>
      <w:r>
        <w:t>[13]</w:t>
      </w:r>
      <w:r>
        <w:tab/>
      </w:r>
      <w:r w:rsidR="003C7C31" w:rsidRPr="003C7C31">
        <w:t>In the present matter I consider that it is appropriate to take into account when determining the penalty, the significant burden likely to have been imposed by the indemnity costs order of the primary judge, which has not been varied as a result of this appeal.</w:t>
      </w:r>
    </w:p>
    <w:p w14:paraId="73A01A1E" w14:textId="77777777" w:rsidR="0004068E" w:rsidRDefault="0004068E" w:rsidP="002825E3">
      <w:pPr>
        <w:pStyle w:val="ParaNumbering"/>
      </w:pPr>
      <w:r>
        <w:t xml:space="preserve">In </w:t>
      </w:r>
      <w:r w:rsidR="00276923" w:rsidRPr="00276923">
        <w:rPr>
          <w:i/>
        </w:rPr>
        <w:t>CFMEU</w:t>
      </w:r>
      <w:r w:rsidR="004A6578">
        <w:rPr>
          <w:i/>
        </w:rPr>
        <w:t xml:space="preserve"> v BHP</w:t>
      </w:r>
      <w:r w:rsidR="00276923">
        <w:t xml:space="preserve">, </w:t>
      </w:r>
      <w:proofErr w:type="spellStart"/>
      <w:r w:rsidR="00276923">
        <w:t>Tamb</w:t>
      </w:r>
      <w:r w:rsidR="00A4476E">
        <w:t>er</w:t>
      </w:r>
      <w:r w:rsidR="00276923">
        <w:t>li</w:t>
      </w:r>
      <w:r>
        <w:t>n</w:t>
      </w:r>
      <w:proofErr w:type="spellEnd"/>
      <w:r>
        <w:t xml:space="preserve"> </w:t>
      </w:r>
      <w:r w:rsidR="00276923">
        <w:t xml:space="preserve">and </w:t>
      </w:r>
      <w:r>
        <w:t>Goldberg JJ stated:</w:t>
      </w:r>
    </w:p>
    <w:p w14:paraId="6016D620" w14:textId="77777777" w:rsidR="0004068E" w:rsidRDefault="00276923" w:rsidP="002825E3">
      <w:pPr>
        <w:pStyle w:val="Quote1"/>
        <w:ind w:left="1440" w:hanging="703"/>
      </w:pPr>
      <w:bookmarkStart w:id="33" w:name="PastedTemp30"/>
      <w:r>
        <w:t xml:space="preserve">[53] </w:t>
      </w:r>
      <w:r>
        <w:tab/>
        <w:t xml:space="preserve">We have read the observations of Moore J concerning the appropriateness of taking the costs order into account when fixing a penalty. In the light of the authorities referred to by his Honour, we accept that in exercising the wide discretion given as to the amount of any penalty, the consideration that indemnity costs have been awarded is a relevant matter to take into account. Nevertheless, given the underlying principle that disobedience to court orders must be discouraged, in a case such as the present, simply to impose a minimal penalty on the basis that indemnity costs have been ordered, may be perceived to downplay the significance of the contempt. </w:t>
      </w:r>
      <w:bookmarkEnd w:id="33"/>
    </w:p>
    <w:p w14:paraId="672172BF" w14:textId="77777777" w:rsidR="0004068E" w:rsidRDefault="0004068E" w:rsidP="005236FD">
      <w:pPr>
        <w:pStyle w:val="ParaNumbering"/>
      </w:pPr>
      <w:r>
        <w:t xml:space="preserve">In </w:t>
      </w:r>
      <w:r w:rsidR="004B0371">
        <w:rPr>
          <w:i/>
        </w:rPr>
        <w:t xml:space="preserve">Metcash </w:t>
      </w:r>
      <w:r w:rsidR="004B0371" w:rsidRPr="004B0371">
        <w:rPr>
          <w:i/>
        </w:rPr>
        <w:t xml:space="preserve">Trading </w:t>
      </w:r>
      <w:r w:rsidRPr="004B0371">
        <w:rPr>
          <w:i/>
        </w:rPr>
        <w:t>L</w:t>
      </w:r>
      <w:r w:rsidR="00224600">
        <w:rPr>
          <w:i/>
        </w:rPr>
        <w:t>imited</w:t>
      </w:r>
      <w:r w:rsidRPr="004B0371">
        <w:rPr>
          <w:i/>
        </w:rPr>
        <w:t xml:space="preserve"> </w:t>
      </w:r>
      <w:r w:rsidR="004B0371">
        <w:rPr>
          <w:i/>
        </w:rPr>
        <w:t>v</w:t>
      </w:r>
      <w:r w:rsidRPr="004B0371">
        <w:rPr>
          <w:i/>
        </w:rPr>
        <w:t xml:space="preserve"> Bun</w:t>
      </w:r>
      <w:r w:rsidR="004B0371">
        <w:rPr>
          <w:i/>
        </w:rPr>
        <w:t>n</w:t>
      </w:r>
      <w:r w:rsidRPr="004B0371">
        <w:rPr>
          <w:i/>
        </w:rPr>
        <w:t xml:space="preserve"> </w:t>
      </w:r>
      <w:r w:rsidR="004B0371">
        <w:rPr>
          <w:i/>
        </w:rPr>
        <w:t>(No 6)</w:t>
      </w:r>
      <w:r>
        <w:t xml:space="preserve"> </w:t>
      </w:r>
      <w:r w:rsidR="004B0371">
        <w:t>[</w:t>
      </w:r>
      <w:r>
        <w:t>2009</w:t>
      </w:r>
      <w:r w:rsidR="004B0371">
        <w:t>]</w:t>
      </w:r>
      <w:r w:rsidR="00237AFE">
        <w:t xml:space="preserve"> FCA 266, Finn J held</w:t>
      </w:r>
      <w:r>
        <w:t xml:space="preserve"> at </w:t>
      </w:r>
      <w:r w:rsidR="004B0371">
        <w:t>[</w:t>
      </w:r>
      <w:r>
        <w:t>16</w:t>
      </w:r>
      <w:r w:rsidR="004B0371">
        <w:t>]</w:t>
      </w:r>
      <w:r>
        <w:t>:</w:t>
      </w:r>
    </w:p>
    <w:p w14:paraId="093C0386" w14:textId="77777777" w:rsidR="0004068E" w:rsidRDefault="00224600" w:rsidP="005236FD">
      <w:pPr>
        <w:pStyle w:val="Quote1"/>
        <w:ind w:left="1440" w:hanging="703"/>
      </w:pPr>
      <w:r w:rsidRPr="00224600">
        <w:t>16</w:t>
      </w:r>
      <w:r>
        <w:tab/>
      </w:r>
      <w:r w:rsidRPr="00224600">
        <w:t xml:space="preserve">As is well accepted, the power to award costs in all proceedings is discretionary.  Nonetheless, as is occasionally observed, it is “common or usual practice” to order that the contemnor pay costs on an indemnity basis:  see </w:t>
      </w:r>
      <w:proofErr w:type="spellStart"/>
      <w:r w:rsidRPr="00224600">
        <w:t>eg</w:t>
      </w:r>
      <w:proofErr w:type="spellEnd"/>
      <w:r w:rsidRPr="00224600">
        <w:t xml:space="preserve"> </w:t>
      </w:r>
      <w:r w:rsidRPr="00224600">
        <w:rPr>
          <w:i/>
        </w:rPr>
        <w:t>Concrete Constructions Pty Ltd v Plumbers and Gasfitters Employees’ Union (No 2)</w:t>
      </w:r>
      <w:r w:rsidRPr="00224600">
        <w:t xml:space="preserve"> (1987) 15 FCR 64 at 86-87.  However, there is no general principle or rule of law in contempt cases to this effect:  see </w:t>
      </w:r>
      <w:r w:rsidRPr="00224600">
        <w:rPr>
          <w:i/>
        </w:rPr>
        <w:t>Construction, Forestry, Mining and Energy Union v BHP Steel (AIS) Pty Ltd</w:t>
      </w:r>
      <w:r>
        <w:t xml:space="preserve"> (2003) 196 ALR 350 at [6]; </w:t>
      </w:r>
      <w:r w:rsidRPr="00224600">
        <w:t xml:space="preserve">and see generally Dal Pont, </w:t>
      </w:r>
      <w:r w:rsidRPr="00224600">
        <w:rPr>
          <w:i/>
        </w:rPr>
        <w:t>Law of Costs</w:t>
      </w:r>
      <w:r w:rsidRPr="00224600">
        <w:t xml:space="preserve"> (2</w:t>
      </w:r>
      <w:r w:rsidRPr="00224600">
        <w:rPr>
          <w:vertAlign w:val="superscript"/>
        </w:rPr>
        <w:t>nd</w:t>
      </w:r>
      <w:r>
        <w:t xml:space="preserve"> </w:t>
      </w:r>
      <w:proofErr w:type="spellStart"/>
      <w:r w:rsidRPr="00224600">
        <w:t>ed</w:t>
      </w:r>
      <w:proofErr w:type="spellEnd"/>
      <w:r w:rsidRPr="00224600">
        <w:t xml:space="preserve">, 2009) at [16.65].  As was observed by Moore J in the </w:t>
      </w:r>
      <w:r w:rsidRPr="00224600">
        <w:rPr>
          <w:i/>
        </w:rPr>
        <w:t>BHP Steel</w:t>
      </w:r>
      <w:r w:rsidRPr="00224600">
        <w:t xml:space="preserve"> case at [8] “in a significant number of cases where indemnity costs have been awarded in </w:t>
      </w:r>
      <w:r w:rsidRPr="00224600">
        <w:lastRenderedPageBreak/>
        <w:t>contempt proceedings, there is a link between the award of indemnity costs and the penalty for contempt.  Costs can be explicitly awarded in substitution for or in lieu of a monetary or other penalty”.  In the present matter as I have indicated I intend to impose what I regard as being a reasonable and adequate pecuniary penalty.  I take that matter into account in my consideration of an appropriate costs order.</w:t>
      </w:r>
    </w:p>
    <w:p w14:paraId="5E5FE200" w14:textId="77777777" w:rsidR="00084EFE" w:rsidRDefault="00CE58CF" w:rsidP="00CE58CF">
      <w:pPr>
        <w:pStyle w:val="ParaNumbering"/>
      </w:pPr>
      <w:r>
        <w:t>T</w:t>
      </w:r>
      <w:r w:rsidR="00084EFE">
        <w:t>hese authorities</w:t>
      </w:r>
      <w:r w:rsidR="0004068E">
        <w:t xml:space="preserve"> </w:t>
      </w:r>
      <w:r w:rsidR="00084EFE">
        <w:t>demonstrate that:</w:t>
      </w:r>
    </w:p>
    <w:p w14:paraId="1F6E0E4B" w14:textId="77777777" w:rsidR="003C7C31" w:rsidRDefault="003C7C31" w:rsidP="00742B78">
      <w:pPr>
        <w:pStyle w:val="ListNo1"/>
        <w:numPr>
          <w:ilvl w:val="0"/>
          <w:numId w:val="0"/>
        </w:numPr>
        <w:ind w:left="720" w:hanging="720"/>
      </w:pPr>
      <w:r>
        <w:t>(1)</w:t>
      </w:r>
      <w:r>
        <w:tab/>
        <w:t>While it is common for an order to be made that the contemnor pay costs on an indemnity basis, there is no general principle or rule of law in contempt cases to that effect.</w:t>
      </w:r>
    </w:p>
    <w:p w14:paraId="5C270320" w14:textId="77777777" w:rsidR="003C7C31" w:rsidRDefault="003C7C31" w:rsidP="00742B78">
      <w:pPr>
        <w:pStyle w:val="ListNo1"/>
        <w:numPr>
          <w:ilvl w:val="0"/>
          <w:numId w:val="0"/>
        </w:numPr>
        <w:ind w:left="720" w:hanging="720"/>
      </w:pPr>
      <w:r>
        <w:t>(2)</w:t>
      </w:r>
      <w:r>
        <w:tab/>
        <w:t>It is relevant to take into account the burden of indemnity costs when considering the appropriate punishment for contempt.</w:t>
      </w:r>
    </w:p>
    <w:p w14:paraId="5FAFBF16" w14:textId="77777777" w:rsidR="0004068E" w:rsidRDefault="003C7C31" w:rsidP="00742B78">
      <w:pPr>
        <w:pStyle w:val="ListNo1"/>
        <w:numPr>
          <w:ilvl w:val="0"/>
          <w:numId w:val="0"/>
        </w:numPr>
        <w:ind w:left="720" w:hanging="720"/>
      </w:pPr>
      <w:r>
        <w:t>(3)</w:t>
      </w:r>
      <w:r>
        <w:tab/>
        <w:t>It is relevant to take into account the penalty imposed for contempt in determining the appropriate costs order.</w:t>
      </w:r>
    </w:p>
    <w:p w14:paraId="74428E5F" w14:textId="77777777" w:rsidR="0004068E" w:rsidRDefault="00713093" w:rsidP="0004068E">
      <w:pPr>
        <w:pStyle w:val="ParaNumbering"/>
      </w:pPr>
      <w:r>
        <w:t>S</w:t>
      </w:r>
      <w:r w:rsidR="00CE58CF">
        <w:t xml:space="preserve">ubstantial </w:t>
      </w:r>
      <w:r w:rsidR="0004068E">
        <w:t xml:space="preserve">sentences of imprisonment </w:t>
      </w:r>
      <w:r w:rsidR="00084EFE">
        <w:t xml:space="preserve">will be imposed </w:t>
      </w:r>
      <w:r w:rsidR="0004068E">
        <w:t xml:space="preserve">upon </w:t>
      </w:r>
      <w:r w:rsidR="005B1C47">
        <w:t>Mr Hacker</w:t>
      </w:r>
      <w:r w:rsidR="00CE58CF">
        <w:t xml:space="preserve"> </w:t>
      </w:r>
      <w:r w:rsidR="00084EFE">
        <w:t>and a fine of $15,000 imposed on OSGS</w:t>
      </w:r>
      <w:r w:rsidR="0004068E">
        <w:t>.</w:t>
      </w:r>
      <w:r w:rsidR="00CE58CF">
        <w:t xml:space="preserve"> </w:t>
      </w:r>
      <w:r>
        <w:t xml:space="preserve">That is relevant to the determination of the appropriate costs order. </w:t>
      </w:r>
      <w:r w:rsidR="00CE58CF">
        <w:t xml:space="preserve">I </w:t>
      </w:r>
      <w:r w:rsidR="00EA1CCF">
        <w:t xml:space="preserve">consider that </w:t>
      </w:r>
      <w:r w:rsidR="00CE58CF">
        <w:t xml:space="preserve">the </w:t>
      </w:r>
      <w:r w:rsidR="004A6578">
        <w:t xml:space="preserve">applicant’s </w:t>
      </w:r>
      <w:r w:rsidR="00CE58CF">
        <w:t xml:space="preserve">costs </w:t>
      </w:r>
      <w:r w:rsidR="00EA1CCF">
        <w:t xml:space="preserve">should </w:t>
      </w:r>
      <w:r w:rsidR="00CE58CF">
        <w:t>be paid on a party-and</w:t>
      </w:r>
      <w:r w:rsidR="00FD6C9F">
        <w:t>-</w:t>
      </w:r>
      <w:r w:rsidR="00CE58CF">
        <w:t>party basis.</w:t>
      </w:r>
    </w:p>
    <w:p w14:paraId="385CDB7B" w14:textId="77777777" w:rsidR="002A5C78" w:rsidRDefault="0004068E" w:rsidP="005236FD">
      <w:pPr>
        <w:pStyle w:val="ParaNumbering"/>
        <w:keepNext/>
        <w:keepLines/>
      </w:pPr>
      <w:r>
        <w:t>The costs order</w:t>
      </w:r>
      <w:r w:rsidR="00084EFE">
        <w:t>s</w:t>
      </w:r>
      <w:r>
        <w:t xml:space="preserve"> will be that </w:t>
      </w:r>
      <w:r w:rsidR="00084EFE">
        <w:t xml:space="preserve">Mr Hacker and OSGS </w:t>
      </w:r>
      <w:r w:rsidR="00925A54">
        <w:t>p</w:t>
      </w:r>
      <w:r>
        <w:t xml:space="preserve">ay </w:t>
      </w:r>
      <w:r w:rsidR="00EA1CCF">
        <w:t>35</w:t>
      </w:r>
      <w:r>
        <w:t>% of the applicant</w:t>
      </w:r>
      <w:r w:rsidR="00A2650E">
        <w:t>’</w:t>
      </w:r>
      <w:r w:rsidR="00713093">
        <w:t>s costs of the Contravention Proceedings and the Contempt P</w:t>
      </w:r>
      <w:r>
        <w:t>roceed</w:t>
      </w:r>
      <w:r w:rsidR="00084EFE">
        <w:t xml:space="preserve">ings on a party-and-party basis, and that there be no orders as to costs as between the applicant and </w:t>
      </w:r>
      <w:proofErr w:type="spellStart"/>
      <w:r w:rsidR="00084EFE">
        <w:t>Naleview</w:t>
      </w:r>
      <w:proofErr w:type="spellEnd"/>
      <w:r w:rsidR="00084EFE">
        <w:t>.</w:t>
      </w:r>
    </w:p>
    <w:p w14:paraId="5D5CD905" w14:textId="77777777" w:rsidR="0050238B" w:rsidRDefault="0050238B" w:rsidP="005236FD">
      <w:pPr>
        <w:pStyle w:val="BodyText"/>
        <w:keepNext/>
        <w:keepLines/>
      </w:pPr>
    </w:p>
    <w:tbl>
      <w:tblPr>
        <w:tblW w:w="0" w:type="auto"/>
        <w:tblLook w:val="04A0" w:firstRow="1" w:lastRow="0" w:firstColumn="1" w:lastColumn="0" w:noHBand="0" w:noVBand="1"/>
      </w:tblPr>
      <w:tblGrid>
        <w:gridCol w:w="3794"/>
      </w:tblGrid>
      <w:tr w:rsidR="002C5BA3" w:rsidRPr="002C5BA3" w14:paraId="3751F8E6" w14:textId="77777777">
        <w:tc>
          <w:tcPr>
            <w:tcW w:w="3794" w:type="dxa"/>
            <w:shd w:val="clear" w:color="auto" w:fill="auto"/>
          </w:tcPr>
          <w:p w14:paraId="4DFE7EC4" w14:textId="77777777" w:rsidR="002C5BA3" w:rsidRPr="002C5BA3" w:rsidRDefault="002C5BA3" w:rsidP="005236FD">
            <w:pPr>
              <w:pStyle w:val="Normal1linespace"/>
              <w:keepNext/>
              <w:keepLines/>
            </w:pPr>
            <w:bookmarkStart w:id="34" w:name="Certification"/>
            <w:r w:rsidRPr="002C5BA3">
              <w:t xml:space="preserve">I certify that the preceding </w:t>
            </w:r>
            <w:bookmarkStart w:id="35" w:name="NumberWord"/>
            <w:r w:rsidR="00436EB5">
              <w:t>one hundred and seventy-four</w:t>
            </w:r>
            <w:bookmarkEnd w:id="35"/>
            <w:r w:rsidRPr="002C5BA3">
              <w:t xml:space="preserve"> (</w:t>
            </w:r>
            <w:bookmarkStart w:id="36" w:name="NumberNumeral"/>
            <w:r w:rsidR="00436EB5">
              <w:t>174</w:t>
            </w:r>
            <w:bookmarkEnd w:id="36"/>
            <w:r w:rsidRPr="002C5BA3">
              <w:t xml:space="preserve">) numbered </w:t>
            </w:r>
            <w:bookmarkStart w:id="37" w:name="CertPara"/>
            <w:r w:rsidR="00436EB5">
              <w:t>paragraphs are</w:t>
            </w:r>
            <w:bookmarkEnd w:id="37"/>
            <w:r w:rsidRPr="002C5BA3">
              <w:t xml:space="preserve"> a true copy of the Reasons for Judgment herein of the Honourable </w:t>
            </w:r>
            <w:bookmarkStart w:id="38" w:name="Justice"/>
            <w:r>
              <w:t xml:space="preserve">Justice </w:t>
            </w:r>
            <w:proofErr w:type="spellStart"/>
            <w:r>
              <w:t>Rangiah</w:t>
            </w:r>
            <w:bookmarkEnd w:id="38"/>
            <w:proofErr w:type="spellEnd"/>
            <w:r w:rsidRPr="002C5BA3">
              <w:t>.</w:t>
            </w:r>
          </w:p>
        </w:tc>
      </w:tr>
    </w:tbl>
    <w:p w14:paraId="5EC66545" w14:textId="77777777" w:rsidR="002C5BA3" w:rsidRDefault="002C5BA3" w:rsidP="00C263EC">
      <w:pPr>
        <w:pStyle w:val="BodyText"/>
      </w:pPr>
    </w:p>
    <w:p w14:paraId="7C280079" w14:textId="41694864" w:rsidR="002C5BA3" w:rsidRDefault="002C5BA3" w:rsidP="00C263EC">
      <w:pPr>
        <w:pStyle w:val="BodyText"/>
      </w:pPr>
      <w:r>
        <w:t>Associate:</w:t>
      </w:r>
      <w:r>
        <w:tab/>
      </w:r>
      <w:bookmarkStart w:id="39" w:name="_GoBack"/>
      <w:bookmarkEnd w:id="39"/>
    </w:p>
    <w:p w14:paraId="25A71E31" w14:textId="77777777" w:rsidR="00506312" w:rsidRDefault="00506312" w:rsidP="00C263EC">
      <w:pPr>
        <w:pStyle w:val="BodyText"/>
      </w:pPr>
    </w:p>
    <w:p w14:paraId="173DF793" w14:textId="77777777" w:rsidR="002C5BA3" w:rsidRDefault="002C5BA3" w:rsidP="00F56698">
      <w:pPr>
        <w:pStyle w:val="BodyText"/>
        <w:tabs>
          <w:tab w:val="left" w:pos="1134"/>
        </w:tabs>
      </w:pPr>
      <w:r>
        <w:t>Dated:</w:t>
      </w:r>
      <w:r>
        <w:tab/>
      </w:r>
      <w:bookmarkStart w:id="40" w:name="CertifyDated"/>
      <w:r w:rsidR="00407103">
        <w:t>18</w:t>
      </w:r>
      <w:r w:rsidR="005114A6">
        <w:t xml:space="preserve"> December </w:t>
      </w:r>
      <w:r>
        <w:t>2020</w:t>
      </w:r>
      <w:bookmarkEnd w:id="34"/>
      <w:bookmarkEnd w:id="40"/>
    </w:p>
    <w:sectPr w:rsidR="002C5BA3">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5EB84" w14:textId="77777777" w:rsidR="00075094" w:rsidRDefault="00075094">
      <w:pPr>
        <w:spacing w:line="20" w:lineRule="exact"/>
      </w:pPr>
    </w:p>
    <w:p w14:paraId="45D8EE6F" w14:textId="77777777" w:rsidR="00075094" w:rsidRDefault="00075094"/>
    <w:p w14:paraId="2E3FFD1B" w14:textId="77777777" w:rsidR="00075094" w:rsidRDefault="00075094"/>
  </w:endnote>
  <w:endnote w:type="continuationSeparator" w:id="0">
    <w:p w14:paraId="67DDB40C" w14:textId="77777777" w:rsidR="00075094" w:rsidRDefault="00075094">
      <w:r>
        <w:t xml:space="preserve"> </w:t>
      </w:r>
    </w:p>
    <w:p w14:paraId="3F5115E3" w14:textId="77777777" w:rsidR="00075094" w:rsidRDefault="00075094"/>
    <w:p w14:paraId="24C18407" w14:textId="77777777" w:rsidR="00075094" w:rsidRDefault="00075094"/>
  </w:endnote>
  <w:endnote w:type="continuationNotice" w:id="1">
    <w:p w14:paraId="1E7B64E6" w14:textId="77777777" w:rsidR="00075094" w:rsidRDefault="00075094">
      <w:r>
        <w:t xml:space="preserve"> </w:t>
      </w:r>
    </w:p>
    <w:p w14:paraId="7EDA9F9F" w14:textId="77777777" w:rsidR="00075094" w:rsidRDefault="00075094"/>
    <w:p w14:paraId="242A8F53" w14:textId="77777777" w:rsidR="00075094" w:rsidRDefault="00075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7F584" w14:textId="2BDD9B17" w:rsidR="00075094" w:rsidRDefault="00075094" w:rsidP="00B173B7">
    <w:pPr>
      <w:pStyle w:val="Footer"/>
      <w:tabs>
        <w:tab w:val="clear" w:pos="4320"/>
        <w:tab w:val="clear" w:pos="8640"/>
        <w:tab w:val="right" w:pos="8931"/>
      </w:tabs>
      <w:spacing w:before="180" w:line="240" w:lineRule="auto"/>
      <w:jc w:val="left"/>
    </w:pPr>
    <w:r w:rsidRPr="00F76A9B">
      <w:rPr>
        <w:bCs/>
        <w:noProof/>
        <w:sz w:val="18"/>
        <w:szCs w:val="18"/>
        <w:lang w:eastAsia="en-AU"/>
      </w:rPr>
      <mc:AlternateContent>
        <mc:Choice Requires="wps">
          <w:drawing>
            <wp:anchor distT="0" distB="0" distL="114300" distR="114300" simplePos="0" relativeHeight="251669504" behindDoc="0" locked="0" layoutInCell="1" allowOverlap="1" wp14:anchorId="1BED6DD3" wp14:editId="7E9AED5F">
              <wp:simplePos x="0" y="0"/>
              <wp:positionH relativeFrom="column">
                <wp:posOffset>-28575</wp:posOffset>
              </wp:positionH>
              <wp:positionV relativeFrom="paragraph">
                <wp:posOffset>21590</wp:posOffset>
              </wp:positionV>
              <wp:extent cx="29432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4FBB9"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U/zwEAAAU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7p7tacOWHpju4T&#10;Cn0YEtt558hBj4wOyakxxJYAO7fHcxTDHrPsSaHNXxLEpuLuaXEXpsQkbTaf3r1tmvecyctZdQUG&#10;jOkzeMvyT8eNdlm4aMXxS0xUjFIvKXnbuLxGb3R/p40pQR4Z2BlkR0GXnabSMuGeZFGUkVUWMrde&#10;/tLJwMz6HRSZQc2uS/UyhldOISW4dOE1jrIzTFEHC7D+N/Ccn6FQRvR/wAuiVPYuLWCrnce/Vb9a&#10;oeb8iwOz7mzBo+9P5VKLNTRrxfHzu8jD/DQu8Ovr3f4C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vYYVP88BAAAF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157924364"/>
        <w:placeholder>
          <w:docPart w:val="D0510A30B1EF44F8AB0156FF1AFB89C7"/>
        </w:placeholder>
        <w:dataBinding w:prefixMappings="xmlns:ns0='http://schemas.globalmacros.com/FCA'" w:xpath="/ns0:root[1]/ns0:Name[1]" w:storeItemID="{687E7CCB-4AA5-44E7-B148-17BA2B6F57C0}"/>
        <w:text w:multiLine="1"/>
      </w:sdtPr>
      <w:sdtEndPr/>
      <w:sdtContent>
        <w:r>
          <w:rPr>
            <w:bCs/>
            <w:sz w:val="18"/>
            <w:szCs w:val="18"/>
          </w:rPr>
          <w:t xml:space="preserve">Tax Practitioners Board v Hacker (No 3) [2020] FCA 1814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82B02">
      <w:rPr>
        <w:bCs/>
        <w:noProof/>
        <w:sz w:val="20"/>
      </w:rPr>
      <w:t>v</w:t>
    </w:r>
    <w:r w:rsidRPr="00EA7F6D">
      <w:rPr>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EFC3" w14:textId="32A48190" w:rsidR="00075094" w:rsidRDefault="00075094" w:rsidP="00DB13FE">
    <w:pPr>
      <w:pStyle w:val="Footer"/>
      <w:tabs>
        <w:tab w:val="clear" w:pos="4320"/>
        <w:tab w:val="clear" w:pos="8640"/>
        <w:tab w:val="right" w:pos="8931"/>
      </w:tabs>
      <w:spacing w:before="180" w:line="240" w:lineRule="auto"/>
      <w:jc w:val="left"/>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4AB8D4BC" wp14:editId="2FC6074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6C4C8D"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894856479"/>
        <w:placeholder>
          <w:docPart w:val="91928B8A7A80471BB31C4E221DB4AE67"/>
        </w:placeholder>
        <w:dataBinding w:prefixMappings="xmlns:ns0='http://schemas.globalmacros.com/FCA'" w:xpath="/ns0:root[1]/ns0:Name[1]" w:storeItemID="{687E7CCB-4AA5-44E7-B148-17BA2B6F57C0}"/>
        <w:text w:multiLine="1"/>
      </w:sdtPr>
      <w:sdtEndPr/>
      <w:sdtContent>
        <w:r>
          <w:rPr>
            <w:bCs/>
            <w:sz w:val="18"/>
            <w:szCs w:val="18"/>
          </w:rPr>
          <w:t xml:space="preserve">Tax Practitioners Board v Hacker (No 3) [2020] FCA 1814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35604">
      <w:rPr>
        <w:bCs/>
        <w:noProof/>
        <w:sz w:val="20"/>
      </w:rPr>
      <w:t>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E3507" w14:textId="35A59DBE" w:rsidR="00075094" w:rsidRPr="00C47B9D" w:rsidRDefault="00075094" w:rsidP="00C24763">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21A9963E" wp14:editId="01F581FF">
              <wp:simplePos x="0" y="0"/>
              <wp:positionH relativeFrom="column">
                <wp:posOffset>-28575</wp:posOffset>
              </wp:positionH>
              <wp:positionV relativeFrom="paragraph">
                <wp:posOffset>21590</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FBAA4"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BHpa/l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434213007"/>
        <w:placeholder>
          <w:docPart w:val="40556FA4C6A346F890A7A8B71CE13D51"/>
        </w:placeholder>
        <w:dataBinding w:prefixMappings="xmlns:ns0='http://schemas.globalmacros.com/FCA'" w:xpath="/ns0:root[1]/ns0:Name[1]" w:storeItemID="{687E7CCB-4AA5-44E7-B148-17BA2B6F57C0}"/>
        <w:text w:multiLine="1"/>
      </w:sdtPr>
      <w:sdtEndPr/>
      <w:sdtContent>
        <w:r>
          <w:rPr>
            <w:bCs/>
            <w:sz w:val="18"/>
            <w:szCs w:val="18"/>
          </w:rPr>
          <w:t xml:space="preserve">Tax Practitioners Board v Hacker (No 3) [2020] FCA 1814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82B02">
      <w:rPr>
        <w:bCs/>
        <w:noProof/>
        <w:sz w:val="20"/>
      </w:rPr>
      <w:t>35</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1D61" w14:textId="31583F72" w:rsidR="00075094" w:rsidRPr="00C47B9D" w:rsidRDefault="00075094" w:rsidP="00C24763">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1A9963E" wp14:editId="01F581FF">
              <wp:simplePos x="0" y="0"/>
              <wp:positionH relativeFrom="column">
                <wp:posOffset>-28575</wp:posOffset>
              </wp:positionH>
              <wp:positionV relativeFrom="paragraph">
                <wp:posOffset>21590</wp:posOffset>
              </wp:positionV>
              <wp:extent cx="29432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F75539"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JAzgEAAAMEAAAOAAAAZHJzL2Uyb0RvYy54bWysU8GO0zAQvSPxD5bvNGko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37zu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gjuJA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029760999"/>
        <w:placeholder>
          <w:docPart w:val="C14A594143D446F597ABEEE4B2BBCC1F"/>
        </w:placeholder>
        <w:dataBinding w:prefixMappings="xmlns:ns0='http://schemas.globalmacros.com/FCA'" w:xpath="/ns0:root[1]/ns0:Name[1]" w:storeItemID="{687E7CCB-4AA5-44E7-B148-17BA2B6F57C0}"/>
        <w:text w:multiLine="1"/>
      </w:sdtPr>
      <w:sdtEndPr/>
      <w:sdtContent>
        <w:r>
          <w:rPr>
            <w:bCs/>
            <w:sz w:val="18"/>
            <w:szCs w:val="18"/>
          </w:rPr>
          <w:t xml:space="preserve">Tax Practitioners Board v Hacker (No 3) [2020] FCA 1814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35604">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8F66C" w14:textId="77777777" w:rsidR="00075094" w:rsidRDefault="00075094"/>
    <w:p w14:paraId="53C23B17" w14:textId="77777777" w:rsidR="00075094" w:rsidRDefault="00075094"/>
    <w:p w14:paraId="5D61C17D" w14:textId="77777777" w:rsidR="00075094" w:rsidRDefault="00075094"/>
  </w:footnote>
  <w:footnote w:type="continuationSeparator" w:id="0">
    <w:p w14:paraId="0A48B3FA" w14:textId="77777777" w:rsidR="00075094" w:rsidRDefault="00075094">
      <w:r>
        <w:continuationSeparator/>
      </w:r>
    </w:p>
    <w:p w14:paraId="222D2FF3" w14:textId="77777777" w:rsidR="00075094" w:rsidRDefault="00075094"/>
    <w:p w14:paraId="3A95449C" w14:textId="77777777" w:rsidR="00075094" w:rsidRDefault="000750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52C8D" w14:textId="06065692" w:rsidR="00075094" w:rsidRDefault="00075094" w:rsidP="008B712F">
    <w:pPr>
      <w:tabs>
        <w:tab w:val="center" w:pos="4512"/>
      </w:tabs>
      <w:suppressAutoHyphens/>
      <w:jc w:val="center"/>
    </w:pPr>
    <w:r>
      <w:t xml:space="preserve">- </w:t>
    </w:r>
    <w:r>
      <w:fldChar w:fldCharType="begin"/>
    </w:r>
    <w:r>
      <w:instrText xml:space="preserve"> PAGE   \* MERGEFORMAT </w:instrText>
    </w:r>
    <w:r>
      <w:fldChar w:fldCharType="separate"/>
    </w:r>
    <w:r w:rsidR="00B82B02">
      <w:rPr>
        <w:noProof/>
      </w:rPr>
      <w:t>v</w:t>
    </w:r>
    <w:r>
      <w:rPr>
        <w:noProof/>
      </w:rPr>
      <w:fldChar w:fldCharType="end"/>
    </w:r>
    <w:r>
      <w:t xml:space="preserve"> -</w:t>
    </w:r>
  </w:p>
  <w:p w14:paraId="129AFA70" w14:textId="77777777" w:rsidR="00075094" w:rsidRDefault="0007509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4E5E" w14:textId="77777777" w:rsidR="00075094" w:rsidRDefault="00075094" w:rsidP="00852D2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C276F" w14:textId="77777777" w:rsidR="00075094" w:rsidRDefault="0007509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085A9" w14:textId="40231C8F" w:rsidR="00075094" w:rsidRDefault="00075094">
    <w:pPr>
      <w:tabs>
        <w:tab w:val="center" w:pos="4512"/>
      </w:tabs>
      <w:suppressAutoHyphens/>
    </w:pPr>
    <w:r>
      <w:tab/>
      <w:t xml:space="preserve">- </w:t>
    </w:r>
    <w:r>
      <w:fldChar w:fldCharType="begin"/>
    </w:r>
    <w:r>
      <w:instrText>page \* arabic</w:instrText>
    </w:r>
    <w:r>
      <w:fldChar w:fldCharType="separate"/>
    </w:r>
    <w:r w:rsidR="00B82B02">
      <w:rPr>
        <w:noProof/>
      </w:rPr>
      <w:t>35</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A214C" w14:textId="77777777" w:rsidR="00075094" w:rsidRDefault="0007509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70945"/>
    <w:multiLevelType w:val="hybridMultilevel"/>
    <w:tmpl w:val="041C15B6"/>
    <w:lvl w:ilvl="0" w:tplc="E6F280C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348061B2"/>
    <w:multiLevelType w:val="multilevel"/>
    <w:tmpl w:val="15C806DA"/>
    <w:numStyleLink w:val="FCOrders"/>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A0A1889"/>
    <w:multiLevelType w:val="hybridMultilevel"/>
    <w:tmpl w:val="FF563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4"/>
  </w:num>
  <w:num w:numId="17">
    <w:abstractNumId w:val="13"/>
  </w:num>
  <w:num w:numId="18">
    <w:abstractNumId w:val="22"/>
  </w:num>
  <w:num w:numId="19">
    <w:abstractNumId w:val="11"/>
  </w:num>
  <w:num w:numId="20">
    <w:abstractNumId w:val="16"/>
  </w:num>
  <w:num w:numId="21">
    <w:abstractNumId w:val="18"/>
  </w:num>
  <w:num w:numId="22">
    <w:abstractNumId w:val="15"/>
  </w:num>
  <w:num w:numId="23">
    <w:abstractNumId w:val="17"/>
  </w:num>
  <w:num w:numId="24">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40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Tax Practitioners Board"/>
    <w:docVar w:name="CounselParties" w:val="Responde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QUD 106 of 2019"/>
    <w:docVar w:name="HearingDate" w:val="10-13 February 2020"/>
    <w:docVar w:name="Initiators" w:val="(and another named in the Schedule)"/>
    <w:docVar w:name="Judgdate" w:val="18 December 2020"/>
    <w:docVar w:name="Judge" w:val="Rangiah"/>
    <w:docVar w:name="Justices" w:val="Justice"/>
    <w:docVar w:name="lstEntryList" w:val="-1"/>
    <w:docVar w:name="myEntryList" w:val="Counsel for the Applicant=Mr S Couper QC with Mr D Chesterman|Solicitor for the Applicant=Australian Government Solicitor|Counsel for the Respondents=Mr J Marr|Solicitor for the Respondents=Fisher Dore"/>
    <w:docVar w:name="NSD" w:val="NSD "/>
    <w:docVar w:name="NumApps" w:val="1"/>
    <w:docVar w:name="NumApps_" w:val="3"/>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ESAndAnother" w:val="True"/>
    <w:docVar w:name="RESAndOthers" w:val="False"/>
    <w:docVar w:name="Respondent" w:val="Kent Scott Hacker|One Stop Global Staffing Pty Ltd ACN 097 166 204|Naleview Pty Limited ACN 051 420 010"/>
    <w:docVar w:name="ResState" w:val="Queensland"/>
    <w:docVar w:name="SubArea" w:val="Regulator and Consumer Protection (C &amp; C)"/>
  </w:docVars>
  <w:rsids>
    <w:rsidRoot w:val="007739C2"/>
    <w:rsid w:val="00003430"/>
    <w:rsid w:val="00003778"/>
    <w:rsid w:val="0000436C"/>
    <w:rsid w:val="00005DED"/>
    <w:rsid w:val="00007536"/>
    <w:rsid w:val="00007630"/>
    <w:rsid w:val="0001174B"/>
    <w:rsid w:val="000126AF"/>
    <w:rsid w:val="00012A08"/>
    <w:rsid w:val="000137AA"/>
    <w:rsid w:val="0001420A"/>
    <w:rsid w:val="0001469E"/>
    <w:rsid w:val="00015993"/>
    <w:rsid w:val="00017DD1"/>
    <w:rsid w:val="000200DB"/>
    <w:rsid w:val="00020521"/>
    <w:rsid w:val="0002079F"/>
    <w:rsid w:val="00021B68"/>
    <w:rsid w:val="00022289"/>
    <w:rsid w:val="00024503"/>
    <w:rsid w:val="000276B9"/>
    <w:rsid w:val="0003029C"/>
    <w:rsid w:val="00030BF9"/>
    <w:rsid w:val="00032F9F"/>
    <w:rsid w:val="000331A3"/>
    <w:rsid w:val="0004068E"/>
    <w:rsid w:val="00041C07"/>
    <w:rsid w:val="00041E86"/>
    <w:rsid w:val="00042800"/>
    <w:rsid w:val="00044218"/>
    <w:rsid w:val="0004588F"/>
    <w:rsid w:val="00045BB7"/>
    <w:rsid w:val="00050A66"/>
    <w:rsid w:val="000515FE"/>
    <w:rsid w:val="00052122"/>
    <w:rsid w:val="00055719"/>
    <w:rsid w:val="000561C8"/>
    <w:rsid w:val="0005641B"/>
    <w:rsid w:val="0005686F"/>
    <w:rsid w:val="00056B67"/>
    <w:rsid w:val="00060284"/>
    <w:rsid w:val="00061C92"/>
    <w:rsid w:val="000656BE"/>
    <w:rsid w:val="00066240"/>
    <w:rsid w:val="0007095D"/>
    <w:rsid w:val="00073212"/>
    <w:rsid w:val="000746CE"/>
    <w:rsid w:val="00075094"/>
    <w:rsid w:val="00081497"/>
    <w:rsid w:val="000830DD"/>
    <w:rsid w:val="00084EFE"/>
    <w:rsid w:val="000860D9"/>
    <w:rsid w:val="00093C62"/>
    <w:rsid w:val="00096AF7"/>
    <w:rsid w:val="000A2232"/>
    <w:rsid w:val="000A2E76"/>
    <w:rsid w:val="000A4807"/>
    <w:rsid w:val="000A4BE4"/>
    <w:rsid w:val="000A6DD3"/>
    <w:rsid w:val="000A7436"/>
    <w:rsid w:val="000B47A6"/>
    <w:rsid w:val="000B4A35"/>
    <w:rsid w:val="000B502C"/>
    <w:rsid w:val="000B6253"/>
    <w:rsid w:val="000C023E"/>
    <w:rsid w:val="000C0988"/>
    <w:rsid w:val="000C15A1"/>
    <w:rsid w:val="000C230D"/>
    <w:rsid w:val="000C5195"/>
    <w:rsid w:val="000C5246"/>
    <w:rsid w:val="000C62EF"/>
    <w:rsid w:val="000D0D74"/>
    <w:rsid w:val="000D0F57"/>
    <w:rsid w:val="000D12AF"/>
    <w:rsid w:val="000D1A40"/>
    <w:rsid w:val="000D1E18"/>
    <w:rsid w:val="000D2137"/>
    <w:rsid w:val="000D2F93"/>
    <w:rsid w:val="000D3FD2"/>
    <w:rsid w:val="000D421C"/>
    <w:rsid w:val="000E05A5"/>
    <w:rsid w:val="000E0A7E"/>
    <w:rsid w:val="000E0D23"/>
    <w:rsid w:val="000E1DFD"/>
    <w:rsid w:val="000E219E"/>
    <w:rsid w:val="000E25A8"/>
    <w:rsid w:val="000E3FC8"/>
    <w:rsid w:val="000E4D53"/>
    <w:rsid w:val="000E6B70"/>
    <w:rsid w:val="000E7BAE"/>
    <w:rsid w:val="000F133D"/>
    <w:rsid w:val="000F3E54"/>
    <w:rsid w:val="000F5312"/>
    <w:rsid w:val="000F5E5D"/>
    <w:rsid w:val="0010164E"/>
    <w:rsid w:val="00102F37"/>
    <w:rsid w:val="0010536B"/>
    <w:rsid w:val="0011145C"/>
    <w:rsid w:val="001114E3"/>
    <w:rsid w:val="00111E2C"/>
    <w:rsid w:val="001128BD"/>
    <w:rsid w:val="00112C26"/>
    <w:rsid w:val="0011417E"/>
    <w:rsid w:val="0011419D"/>
    <w:rsid w:val="00115377"/>
    <w:rsid w:val="001161AA"/>
    <w:rsid w:val="001166AC"/>
    <w:rsid w:val="00116DE6"/>
    <w:rsid w:val="00116FD5"/>
    <w:rsid w:val="00121DCD"/>
    <w:rsid w:val="00122E30"/>
    <w:rsid w:val="00132054"/>
    <w:rsid w:val="001345ED"/>
    <w:rsid w:val="0013547F"/>
    <w:rsid w:val="0013766F"/>
    <w:rsid w:val="00137A5A"/>
    <w:rsid w:val="00155B03"/>
    <w:rsid w:val="00156A3C"/>
    <w:rsid w:val="00161593"/>
    <w:rsid w:val="00161598"/>
    <w:rsid w:val="00161913"/>
    <w:rsid w:val="0016414E"/>
    <w:rsid w:val="00165D97"/>
    <w:rsid w:val="001668F4"/>
    <w:rsid w:val="00170A42"/>
    <w:rsid w:val="00170B4B"/>
    <w:rsid w:val="001727A4"/>
    <w:rsid w:val="0017376C"/>
    <w:rsid w:val="00173812"/>
    <w:rsid w:val="001738AB"/>
    <w:rsid w:val="00173E53"/>
    <w:rsid w:val="001765E0"/>
    <w:rsid w:val="0017685A"/>
    <w:rsid w:val="00177759"/>
    <w:rsid w:val="00180A3B"/>
    <w:rsid w:val="00180D9F"/>
    <w:rsid w:val="001818F8"/>
    <w:rsid w:val="00181A15"/>
    <w:rsid w:val="001841AB"/>
    <w:rsid w:val="00184B48"/>
    <w:rsid w:val="00185E6B"/>
    <w:rsid w:val="0018640F"/>
    <w:rsid w:val="00187BBC"/>
    <w:rsid w:val="001909CF"/>
    <w:rsid w:val="00192C52"/>
    <w:rsid w:val="001932F3"/>
    <w:rsid w:val="00195B54"/>
    <w:rsid w:val="00197CCB"/>
    <w:rsid w:val="001A0138"/>
    <w:rsid w:val="001A427E"/>
    <w:rsid w:val="001A4309"/>
    <w:rsid w:val="001B0FCA"/>
    <w:rsid w:val="001B1053"/>
    <w:rsid w:val="001B14AC"/>
    <w:rsid w:val="001B22CF"/>
    <w:rsid w:val="001B6415"/>
    <w:rsid w:val="001B7940"/>
    <w:rsid w:val="001C179B"/>
    <w:rsid w:val="001C37CA"/>
    <w:rsid w:val="001C3EAE"/>
    <w:rsid w:val="001D142B"/>
    <w:rsid w:val="001D4303"/>
    <w:rsid w:val="001D6746"/>
    <w:rsid w:val="001D7515"/>
    <w:rsid w:val="001E1166"/>
    <w:rsid w:val="001E3B49"/>
    <w:rsid w:val="001E5974"/>
    <w:rsid w:val="001E5E1E"/>
    <w:rsid w:val="001E68AA"/>
    <w:rsid w:val="001E7388"/>
    <w:rsid w:val="001F13DD"/>
    <w:rsid w:val="001F15AA"/>
    <w:rsid w:val="001F2DBC"/>
    <w:rsid w:val="001F376A"/>
    <w:rsid w:val="001F6FF5"/>
    <w:rsid w:val="001F73E8"/>
    <w:rsid w:val="00201678"/>
    <w:rsid w:val="0020262C"/>
    <w:rsid w:val="00204415"/>
    <w:rsid w:val="00204B4F"/>
    <w:rsid w:val="00204D24"/>
    <w:rsid w:val="00206E8E"/>
    <w:rsid w:val="00212204"/>
    <w:rsid w:val="00220675"/>
    <w:rsid w:val="00220E31"/>
    <w:rsid w:val="0022418A"/>
    <w:rsid w:val="00224537"/>
    <w:rsid w:val="00224600"/>
    <w:rsid w:val="002259DC"/>
    <w:rsid w:val="0022768F"/>
    <w:rsid w:val="00227F56"/>
    <w:rsid w:val="0023335B"/>
    <w:rsid w:val="00234563"/>
    <w:rsid w:val="002349B4"/>
    <w:rsid w:val="00234A43"/>
    <w:rsid w:val="00235956"/>
    <w:rsid w:val="00236F7C"/>
    <w:rsid w:val="00237AFE"/>
    <w:rsid w:val="00237DB2"/>
    <w:rsid w:val="00240D95"/>
    <w:rsid w:val="002414D2"/>
    <w:rsid w:val="00247214"/>
    <w:rsid w:val="00247C9A"/>
    <w:rsid w:val="0025160C"/>
    <w:rsid w:val="002535D0"/>
    <w:rsid w:val="002539B3"/>
    <w:rsid w:val="00254B2C"/>
    <w:rsid w:val="002575B9"/>
    <w:rsid w:val="00257C3E"/>
    <w:rsid w:val="002602C2"/>
    <w:rsid w:val="00260B60"/>
    <w:rsid w:val="00260D68"/>
    <w:rsid w:val="0026315E"/>
    <w:rsid w:val="002645EF"/>
    <w:rsid w:val="00265E15"/>
    <w:rsid w:val="00266533"/>
    <w:rsid w:val="002666C9"/>
    <w:rsid w:val="00266836"/>
    <w:rsid w:val="0026754D"/>
    <w:rsid w:val="00270136"/>
    <w:rsid w:val="002716E3"/>
    <w:rsid w:val="00271E0D"/>
    <w:rsid w:val="002733E6"/>
    <w:rsid w:val="00274248"/>
    <w:rsid w:val="00274E21"/>
    <w:rsid w:val="00274F5B"/>
    <w:rsid w:val="002750EC"/>
    <w:rsid w:val="0027663D"/>
    <w:rsid w:val="00276923"/>
    <w:rsid w:val="00280836"/>
    <w:rsid w:val="00281833"/>
    <w:rsid w:val="00281DBC"/>
    <w:rsid w:val="002825E3"/>
    <w:rsid w:val="00282E1A"/>
    <w:rsid w:val="002837BA"/>
    <w:rsid w:val="00283F11"/>
    <w:rsid w:val="00284879"/>
    <w:rsid w:val="00284F8F"/>
    <w:rsid w:val="00286620"/>
    <w:rsid w:val="00286CF2"/>
    <w:rsid w:val="00287C21"/>
    <w:rsid w:val="0029113B"/>
    <w:rsid w:val="00292FC6"/>
    <w:rsid w:val="002934C0"/>
    <w:rsid w:val="002A1B50"/>
    <w:rsid w:val="002A2A53"/>
    <w:rsid w:val="002A5574"/>
    <w:rsid w:val="002A5C78"/>
    <w:rsid w:val="002B021E"/>
    <w:rsid w:val="002B0CB7"/>
    <w:rsid w:val="002B0E91"/>
    <w:rsid w:val="002B1307"/>
    <w:rsid w:val="002B1940"/>
    <w:rsid w:val="002B206E"/>
    <w:rsid w:val="002B5175"/>
    <w:rsid w:val="002B66B9"/>
    <w:rsid w:val="002B6779"/>
    <w:rsid w:val="002B6F09"/>
    <w:rsid w:val="002B71C0"/>
    <w:rsid w:val="002B7A34"/>
    <w:rsid w:val="002C0209"/>
    <w:rsid w:val="002C285F"/>
    <w:rsid w:val="002C31AD"/>
    <w:rsid w:val="002C48BD"/>
    <w:rsid w:val="002C541C"/>
    <w:rsid w:val="002C5BA3"/>
    <w:rsid w:val="002C7385"/>
    <w:rsid w:val="002C76F3"/>
    <w:rsid w:val="002D1AAD"/>
    <w:rsid w:val="002D2DBB"/>
    <w:rsid w:val="002D54A6"/>
    <w:rsid w:val="002D720F"/>
    <w:rsid w:val="002E4C59"/>
    <w:rsid w:val="002E6A7A"/>
    <w:rsid w:val="002F0AC2"/>
    <w:rsid w:val="002F1E49"/>
    <w:rsid w:val="002F2A0F"/>
    <w:rsid w:val="002F39EF"/>
    <w:rsid w:val="002F4E9C"/>
    <w:rsid w:val="00300BD4"/>
    <w:rsid w:val="00302ECE"/>
    <w:rsid w:val="00303159"/>
    <w:rsid w:val="0030493F"/>
    <w:rsid w:val="00306FFF"/>
    <w:rsid w:val="0031256C"/>
    <w:rsid w:val="00314D6C"/>
    <w:rsid w:val="0031556A"/>
    <w:rsid w:val="00316D2A"/>
    <w:rsid w:val="00320386"/>
    <w:rsid w:val="00321BD1"/>
    <w:rsid w:val="00322A7C"/>
    <w:rsid w:val="003300DA"/>
    <w:rsid w:val="00330ABC"/>
    <w:rsid w:val="003323A2"/>
    <w:rsid w:val="003336C3"/>
    <w:rsid w:val="003402D3"/>
    <w:rsid w:val="003416C4"/>
    <w:rsid w:val="0034224B"/>
    <w:rsid w:val="003432E4"/>
    <w:rsid w:val="00343ABC"/>
    <w:rsid w:val="003463FE"/>
    <w:rsid w:val="00347796"/>
    <w:rsid w:val="00350851"/>
    <w:rsid w:val="00353936"/>
    <w:rsid w:val="00353CF3"/>
    <w:rsid w:val="003551CE"/>
    <w:rsid w:val="003554B3"/>
    <w:rsid w:val="00356632"/>
    <w:rsid w:val="003566C8"/>
    <w:rsid w:val="00357568"/>
    <w:rsid w:val="00361B47"/>
    <w:rsid w:val="00364826"/>
    <w:rsid w:val="00366163"/>
    <w:rsid w:val="003676FD"/>
    <w:rsid w:val="00367F2E"/>
    <w:rsid w:val="00370111"/>
    <w:rsid w:val="00373DF3"/>
    <w:rsid w:val="00375502"/>
    <w:rsid w:val="0037702E"/>
    <w:rsid w:val="0037705A"/>
    <w:rsid w:val="003820CB"/>
    <w:rsid w:val="003845A9"/>
    <w:rsid w:val="00384DCB"/>
    <w:rsid w:val="003902C3"/>
    <w:rsid w:val="00390883"/>
    <w:rsid w:val="00391071"/>
    <w:rsid w:val="003922F8"/>
    <w:rsid w:val="00395B24"/>
    <w:rsid w:val="00397217"/>
    <w:rsid w:val="003A07BF"/>
    <w:rsid w:val="003A2D38"/>
    <w:rsid w:val="003A3136"/>
    <w:rsid w:val="003A3EB4"/>
    <w:rsid w:val="003A5082"/>
    <w:rsid w:val="003A620C"/>
    <w:rsid w:val="003A6ED7"/>
    <w:rsid w:val="003A75D9"/>
    <w:rsid w:val="003A787E"/>
    <w:rsid w:val="003A78CD"/>
    <w:rsid w:val="003A7ECC"/>
    <w:rsid w:val="003B1E13"/>
    <w:rsid w:val="003B2161"/>
    <w:rsid w:val="003B2C72"/>
    <w:rsid w:val="003B348F"/>
    <w:rsid w:val="003B6181"/>
    <w:rsid w:val="003B740A"/>
    <w:rsid w:val="003C1333"/>
    <w:rsid w:val="003C20FF"/>
    <w:rsid w:val="003C33A6"/>
    <w:rsid w:val="003C4BCF"/>
    <w:rsid w:val="003C5720"/>
    <w:rsid w:val="003C6596"/>
    <w:rsid w:val="003C7C31"/>
    <w:rsid w:val="003D1467"/>
    <w:rsid w:val="003D1ECC"/>
    <w:rsid w:val="003D2650"/>
    <w:rsid w:val="003D33E8"/>
    <w:rsid w:val="003D3E2C"/>
    <w:rsid w:val="003D560C"/>
    <w:rsid w:val="003D6889"/>
    <w:rsid w:val="003D6BEA"/>
    <w:rsid w:val="003E3D45"/>
    <w:rsid w:val="003E428D"/>
    <w:rsid w:val="003E48DF"/>
    <w:rsid w:val="003E5874"/>
    <w:rsid w:val="003E6496"/>
    <w:rsid w:val="003F193E"/>
    <w:rsid w:val="003F24EA"/>
    <w:rsid w:val="003F2D77"/>
    <w:rsid w:val="003F34F1"/>
    <w:rsid w:val="003F7514"/>
    <w:rsid w:val="0040143D"/>
    <w:rsid w:val="00403668"/>
    <w:rsid w:val="0040407F"/>
    <w:rsid w:val="00404546"/>
    <w:rsid w:val="00407103"/>
    <w:rsid w:val="00411832"/>
    <w:rsid w:val="00411997"/>
    <w:rsid w:val="00411AE8"/>
    <w:rsid w:val="004130D5"/>
    <w:rsid w:val="00413B74"/>
    <w:rsid w:val="00414993"/>
    <w:rsid w:val="00420475"/>
    <w:rsid w:val="00421FBA"/>
    <w:rsid w:val="0042480B"/>
    <w:rsid w:val="00426CFF"/>
    <w:rsid w:val="0043061E"/>
    <w:rsid w:val="0043119A"/>
    <w:rsid w:val="004334B6"/>
    <w:rsid w:val="0043572B"/>
    <w:rsid w:val="00435C5F"/>
    <w:rsid w:val="00435D96"/>
    <w:rsid w:val="004361AF"/>
    <w:rsid w:val="004366BD"/>
    <w:rsid w:val="00436EB5"/>
    <w:rsid w:val="00441E98"/>
    <w:rsid w:val="00442A01"/>
    <w:rsid w:val="004448AF"/>
    <w:rsid w:val="00446317"/>
    <w:rsid w:val="00446E3B"/>
    <w:rsid w:val="004532F7"/>
    <w:rsid w:val="00456C35"/>
    <w:rsid w:val="00457C18"/>
    <w:rsid w:val="00460D95"/>
    <w:rsid w:val="00464CA4"/>
    <w:rsid w:val="0046543D"/>
    <w:rsid w:val="00472027"/>
    <w:rsid w:val="00477889"/>
    <w:rsid w:val="00477A2F"/>
    <w:rsid w:val="00477D07"/>
    <w:rsid w:val="00480219"/>
    <w:rsid w:val="004804CF"/>
    <w:rsid w:val="00481C41"/>
    <w:rsid w:val="00481CBB"/>
    <w:rsid w:val="004830F7"/>
    <w:rsid w:val="00484962"/>
    <w:rsid w:val="00484F6D"/>
    <w:rsid w:val="004859AD"/>
    <w:rsid w:val="00490492"/>
    <w:rsid w:val="00492A5A"/>
    <w:rsid w:val="0049338A"/>
    <w:rsid w:val="0049389A"/>
    <w:rsid w:val="0049417F"/>
    <w:rsid w:val="00497F20"/>
    <w:rsid w:val="004A5906"/>
    <w:rsid w:val="004A59C0"/>
    <w:rsid w:val="004A6578"/>
    <w:rsid w:val="004A6D87"/>
    <w:rsid w:val="004B0371"/>
    <w:rsid w:val="004B08B4"/>
    <w:rsid w:val="004B09DF"/>
    <w:rsid w:val="004B1C34"/>
    <w:rsid w:val="004B1FF8"/>
    <w:rsid w:val="004B21B8"/>
    <w:rsid w:val="004B3EFA"/>
    <w:rsid w:val="004C18F5"/>
    <w:rsid w:val="004C2A87"/>
    <w:rsid w:val="004C3645"/>
    <w:rsid w:val="004C4D7B"/>
    <w:rsid w:val="004C4ED3"/>
    <w:rsid w:val="004C535E"/>
    <w:rsid w:val="004C64AF"/>
    <w:rsid w:val="004C6E33"/>
    <w:rsid w:val="004D0024"/>
    <w:rsid w:val="004D0E0E"/>
    <w:rsid w:val="004D2EA5"/>
    <w:rsid w:val="004D32A6"/>
    <w:rsid w:val="004D53E5"/>
    <w:rsid w:val="004E15F2"/>
    <w:rsid w:val="004E1A70"/>
    <w:rsid w:val="004E40E9"/>
    <w:rsid w:val="004F2C7C"/>
    <w:rsid w:val="004F38A4"/>
    <w:rsid w:val="004F3DB0"/>
    <w:rsid w:val="00501A12"/>
    <w:rsid w:val="0050238B"/>
    <w:rsid w:val="0050276A"/>
    <w:rsid w:val="005031F2"/>
    <w:rsid w:val="005050DB"/>
    <w:rsid w:val="00506312"/>
    <w:rsid w:val="00507645"/>
    <w:rsid w:val="00507C55"/>
    <w:rsid w:val="005114A6"/>
    <w:rsid w:val="0051346D"/>
    <w:rsid w:val="00513EAE"/>
    <w:rsid w:val="005154EB"/>
    <w:rsid w:val="0051614E"/>
    <w:rsid w:val="00516628"/>
    <w:rsid w:val="00516806"/>
    <w:rsid w:val="0052026F"/>
    <w:rsid w:val="005207E1"/>
    <w:rsid w:val="005236FD"/>
    <w:rsid w:val="005253DE"/>
    <w:rsid w:val="00525A49"/>
    <w:rsid w:val="00531719"/>
    <w:rsid w:val="00535613"/>
    <w:rsid w:val="005359EB"/>
    <w:rsid w:val="00537A94"/>
    <w:rsid w:val="00541294"/>
    <w:rsid w:val="0054182E"/>
    <w:rsid w:val="00542042"/>
    <w:rsid w:val="0054254A"/>
    <w:rsid w:val="00542677"/>
    <w:rsid w:val="00543FBF"/>
    <w:rsid w:val="00545A2F"/>
    <w:rsid w:val="005466B5"/>
    <w:rsid w:val="00551083"/>
    <w:rsid w:val="00552FD1"/>
    <w:rsid w:val="00554314"/>
    <w:rsid w:val="00556ED1"/>
    <w:rsid w:val="00556F18"/>
    <w:rsid w:val="0055709B"/>
    <w:rsid w:val="00557FE4"/>
    <w:rsid w:val="00561D77"/>
    <w:rsid w:val="005629B3"/>
    <w:rsid w:val="0056364D"/>
    <w:rsid w:val="0056424D"/>
    <w:rsid w:val="005642B8"/>
    <w:rsid w:val="005725A5"/>
    <w:rsid w:val="00573AC4"/>
    <w:rsid w:val="0057682F"/>
    <w:rsid w:val="0058003D"/>
    <w:rsid w:val="005801FC"/>
    <w:rsid w:val="00583586"/>
    <w:rsid w:val="00584D52"/>
    <w:rsid w:val="00586270"/>
    <w:rsid w:val="00586B62"/>
    <w:rsid w:val="005926CD"/>
    <w:rsid w:val="005936DB"/>
    <w:rsid w:val="00593A0F"/>
    <w:rsid w:val="00593D0C"/>
    <w:rsid w:val="00595016"/>
    <w:rsid w:val="0059529C"/>
    <w:rsid w:val="005953EB"/>
    <w:rsid w:val="00595975"/>
    <w:rsid w:val="0059766B"/>
    <w:rsid w:val="00597AAE"/>
    <w:rsid w:val="005A1F99"/>
    <w:rsid w:val="005A222C"/>
    <w:rsid w:val="005A23FD"/>
    <w:rsid w:val="005A27AA"/>
    <w:rsid w:val="005A3537"/>
    <w:rsid w:val="005A395F"/>
    <w:rsid w:val="005A4DF8"/>
    <w:rsid w:val="005A568F"/>
    <w:rsid w:val="005A58BE"/>
    <w:rsid w:val="005A61F6"/>
    <w:rsid w:val="005B11D1"/>
    <w:rsid w:val="005B1221"/>
    <w:rsid w:val="005B12E0"/>
    <w:rsid w:val="005B1426"/>
    <w:rsid w:val="005B1C47"/>
    <w:rsid w:val="005B2679"/>
    <w:rsid w:val="005B3E6E"/>
    <w:rsid w:val="005C0076"/>
    <w:rsid w:val="005C09F5"/>
    <w:rsid w:val="005C0A8E"/>
    <w:rsid w:val="005C1767"/>
    <w:rsid w:val="005C42EF"/>
    <w:rsid w:val="005D0C2D"/>
    <w:rsid w:val="005D2775"/>
    <w:rsid w:val="005D6440"/>
    <w:rsid w:val="005D655A"/>
    <w:rsid w:val="005D6DCD"/>
    <w:rsid w:val="005D7CC7"/>
    <w:rsid w:val="005E02F5"/>
    <w:rsid w:val="005E0510"/>
    <w:rsid w:val="005E176E"/>
    <w:rsid w:val="005E1842"/>
    <w:rsid w:val="005E218E"/>
    <w:rsid w:val="005E26EB"/>
    <w:rsid w:val="005E3230"/>
    <w:rsid w:val="005E3373"/>
    <w:rsid w:val="005E35A0"/>
    <w:rsid w:val="005E4890"/>
    <w:rsid w:val="005E5549"/>
    <w:rsid w:val="005E75AE"/>
    <w:rsid w:val="005E7D90"/>
    <w:rsid w:val="005F0323"/>
    <w:rsid w:val="005F0A57"/>
    <w:rsid w:val="005F0D1B"/>
    <w:rsid w:val="005F0F68"/>
    <w:rsid w:val="005F14FC"/>
    <w:rsid w:val="005F1865"/>
    <w:rsid w:val="005F1FBB"/>
    <w:rsid w:val="005F424D"/>
    <w:rsid w:val="005F43C8"/>
    <w:rsid w:val="005F44DB"/>
    <w:rsid w:val="005F4556"/>
    <w:rsid w:val="005F5F7D"/>
    <w:rsid w:val="006004AB"/>
    <w:rsid w:val="006007BD"/>
    <w:rsid w:val="00600BAE"/>
    <w:rsid w:val="006013C8"/>
    <w:rsid w:val="0060163D"/>
    <w:rsid w:val="0060270D"/>
    <w:rsid w:val="00604611"/>
    <w:rsid w:val="00604688"/>
    <w:rsid w:val="00611586"/>
    <w:rsid w:val="00617613"/>
    <w:rsid w:val="00621887"/>
    <w:rsid w:val="00624520"/>
    <w:rsid w:val="00630C02"/>
    <w:rsid w:val="00631050"/>
    <w:rsid w:val="00632300"/>
    <w:rsid w:val="00632637"/>
    <w:rsid w:val="00632BB7"/>
    <w:rsid w:val="006333BB"/>
    <w:rsid w:val="0063444A"/>
    <w:rsid w:val="00635B36"/>
    <w:rsid w:val="00636255"/>
    <w:rsid w:val="00636871"/>
    <w:rsid w:val="00636A34"/>
    <w:rsid w:val="00636CA7"/>
    <w:rsid w:val="00637703"/>
    <w:rsid w:val="00637B39"/>
    <w:rsid w:val="00640F4E"/>
    <w:rsid w:val="006413FB"/>
    <w:rsid w:val="0064144E"/>
    <w:rsid w:val="00643DE0"/>
    <w:rsid w:val="00644021"/>
    <w:rsid w:val="00644E85"/>
    <w:rsid w:val="00646107"/>
    <w:rsid w:val="00654608"/>
    <w:rsid w:val="0065484B"/>
    <w:rsid w:val="00654C69"/>
    <w:rsid w:val="0065684F"/>
    <w:rsid w:val="006579E0"/>
    <w:rsid w:val="00660439"/>
    <w:rsid w:val="0066063F"/>
    <w:rsid w:val="00662BB0"/>
    <w:rsid w:val="00663452"/>
    <w:rsid w:val="00663878"/>
    <w:rsid w:val="006661EF"/>
    <w:rsid w:val="00666258"/>
    <w:rsid w:val="00666780"/>
    <w:rsid w:val="00667109"/>
    <w:rsid w:val="00667773"/>
    <w:rsid w:val="00667D28"/>
    <w:rsid w:val="00670743"/>
    <w:rsid w:val="00670FFB"/>
    <w:rsid w:val="00671FAC"/>
    <w:rsid w:val="00674917"/>
    <w:rsid w:val="0067503D"/>
    <w:rsid w:val="00686112"/>
    <w:rsid w:val="006861F7"/>
    <w:rsid w:val="00687AEF"/>
    <w:rsid w:val="00690EE2"/>
    <w:rsid w:val="0069131D"/>
    <w:rsid w:val="00693E84"/>
    <w:rsid w:val="006A0C94"/>
    <w:rsid w:val="006A0E20"/>
    <w:rsid w:val="006A1827"/>
    <w:rsid w:val="006A31B2"/>
    <w:rsid w:val="006A3352"/>
    <w:rsid w:val="006A5695"/>
    <w:rsid w:val="006A757E"/>
    <w:rsid w:val="006B13E6"/>
    <w:rsid w:val="006B3904"/>
    <w:rsid w:val="006B5B7D"/>
    <w:rsid w:val="006B5EC7"/>
    <w:rsid w:val="006C11F7"/>
    <w:rsid w:val="006C2B79"/>
    <w:rsid w:val="006C5E85"/>
    <w:rsid w:val="006C7E40"/>
    <w:rsid w:val="006D0ECF"/>
    <w:rsid w:val="006D1418"/>
    <w:rsid w:val="006D23D4"/>
    <w:rsid w:val="006D39E8"/>
    <w:rsid w:val="006D4C92"/>
    <w:rsid w:val="006D4EB6"/>
    <w:rsid w:val="006D4F94"/>
    <w:rsid w:val="006D70ED"/>
    <w:rsid w:val="006D733F"/>
    <w:rsid w:val="006D7B10"/>
    <w:rsid w:val="006D7BDA"/>
    <w:rsid w:val="006E1C83"/>
    <w:rsid w:val="006E1FC2"/>
    <w:rsid w:val="006E33F7"/>
    <w:rsid w:val="006E35BF"/>
    <w:rsid w:val="006E5F2C"/>
    <w:rsid w:val="006E7850"/>
    <w:rsid w:val="006E797E"/>
    <w:rsid w:val="006E7FED"/>
    <w:rsid w:val="006F57D9"/>
    <w:rsid w:val="006F67FD"/>
    <w:rsid w:val="0070002F"/>
    <w:rsid w:val="00700C89"/>
    <w:rsid w:val="007012E5"/>
    <w:rsid w:val="007028D9"/>
    <w:rsid w:val="00703588"/>
    <w:rsid w:val="00703A58"/>
    <w:rsid w:val="00706389"/>
    <w:rsid w:val="007063C6"/>
    <w:rsid w:val="00707218"/>
    <w:rsid w:val="00707387"/>
    <w:rsid w:val="00710566"/>
    <w:rsid w:val="00710DD6"/>
    <w:rsid w:val="00710E9D"/>
    <w:rsid w:val="0071102E"/>
    <w:rsid w:val="007115C2"/>
    <w:rsid w:val="00712B1D"/>
    <w:rsid w:val="00713093"/>
    <w:rsid w:val="0071556E"/>
    <w:rsid w:val="0071621B"/>
    <w:rsid w:val="00717FA0"/>
    <w:rsid w:val="00720DBD"/>
    <w:rsid w:val="00723D8A"/>
    <w:rsid w:val="00726909"/>
    <w:rsid w:val="00726ED8"/>
    <w:rsid w:val="007273A4"/>
    <w:rsid w:val="007275A8"/>
    <w:rsid w:val="007325D9"/>
    <w:rsid w:val="00733013"/>
    <w:rsid w:val="007360CA"/>
    <w:rsid w:val="007372DE"/>
    <w:rsid w:val="00740861"/>
    <w:rsid w:val="00740B64"/>
    <w:rsid w:val="00742B78"/>
    <w:rsid w:val="00742CB4"/>
    <w:rsid w:val="0074371A"/>
    <w:rsid w:val="0074472C"/>
    <w:rsid w:val="00744B77"/>
    <w:rsid w:val="00744C3C"/>
    <w:rsid w:val="007452A8"/>
    <w:rsid w:val="00754C6A"/>
    <w:rsid w:val="00756C0F"/>
    <w:rsid w:val="007573DB"/>
    <w:rsid w:val="00757869"/>
    <w:rsid w:val="00760EC0"/>
    <w:rsid w:val="00765EF8"/>
    <w:rsid w:val="00770E27"/>
    <w:rsid w:val="0077164B"/>
    <w:rsid w:val="007739C2"/>
    <w:rsid w:val="00773E4C"/>
    <w:rsid w:val="007777F9"/>
    <w:rsid w:val="0078003A"/>
    <w:rsid w:val="007804EB"/>
    <w:rsid w:val="00780771"/>
    <w:rsid w:val="00781138"/>
    <w:rsid w:val="00786A59"/>
    <w:rsid w:val="00787674"/>
    <w:rsid w:val="007919D2"/>
    <w:rsid w:val="007929CF"/>
    <w:rsid w:val="007931C2"/>
    <w:rsid w:val="007937A9"/>
    <w:rsid w:val="007939E9"/>
    <w:rsid w:val="007943C4"/>
    <w:rsid w:val="007945B8"/>
    <w:rsid w:val="00797238"/>
    <w:rsid w:val="007A0959"/>
    <w:rsid w:val="007A17D9"/>
    <w:rsid w:val="007A5A25"/>
    <w:rsid w:val="007A6F28"/>
    <w:rsid w:val="007B03C6"/>
    <w:rsid w:val="007B08A2"/>
    <w:rsid w:val="007B0DB1"/>
    <w:rsid w:val="007B256F"/>
    <w:rsid w:val="007B575A"/>
    <w:rsid w:val="007B6D62"/>
    <w:rsid w:val="007C0749"/>
    <w:rsid w:val="007C2B2D"/>
    <w:rsid w:val="007C3A21"/>
    <w:rsid w:val="007C3BF6"/>
    <w:rsid w:val="007C3FCC"/>
    <w:rsid w:val="007C52A1"/>
    <w:rsid w:val="007C5F14"/>
    <w:rsid w:val="007D0FD2"/>
    <w:rsid w:val="007D2EF8"/>
    <w:rsid w:val="007D561F"/>
    <w:rsid w:val="007D6C15"/>
    <w:rsid w:val="007D7AE1"/>
    <w:rsid w:val="007D7FD2"/>
    <w:rsid w:val="007E13D9"/>
    <w:rsid w:val="007E1479"/>
    <w:rsid w:val="007E1D26"/>
    <w:rsid w:val="007E2C8A"/>
    <w:rsid w:val="007E3088"/>
    <w:rsid w:val="007E41BE"/>
    <w:rsid w:val="007E4DB6"/>
    <w:rsid w:val="007E65C6"/>
    <w:rsid w:val="007E7124"/>
    <w:rsid w:val="007E7CD4"/>
    <w:rsid w:val="007F0729"/>
    <w:rsid w:val="007F12AC"/>
    <w:rsid w:val="007F18E7"/>
    <w:rsid w:val="007F1AE4"/>
    <w:rsid w:val="00800FE9"/>
    <w:rsid w:val="00801800"/>
    <w:rsid w:val="00801B43"/>
    <w:rsid w:val="00801B5B"/>
    <w:rsid w:val="00804CE2"/>
    <w:rsid w:val="0080648E"/>
    <w:rsid w:val="0081091D"/>
    <w:rsid w:val="0081112F"/>
    <w:rsid w:val="00814061"/>
    <w:rsid w:val="008147CD"/>
    <w:rsid w:val="008170DE"/>
    <w:rsid w:val="00821592"/>
    <w:rsid w:val="00821C72"/>
    <w:rsid w:val="00823352"/>
    <w:rsid w:val="00824CBD"/>
    <w:rsid w:val="0082648E"/>
    <w:rsid w:val="008276B4"/>
    <w:rsid w:val="00831927"/>
    <w:rsid w:val="00833BE8"/>
    <w:rsid w:val="00835604"/>
    <w:rsid w:val="00836C37"/>
    <w:rsid w:val="008401A7"/>
    <w:rsid w:val="00841BD3"/>
    <w:rsid w:val="0084273D"/>
    <w:rsid w:val="00843643"/>
    <w:rsid w:val="00844E3F"/>
    <w:rsid w:val="008454B8"/>
    <w:rsid w:val="00845A83"/>
    <w:rsid w:val="00846CE9"/>
    <w:rsid w:val="00852D2A"/>
    <w:rsid w:val="00853C05"/>
    <w:rsid w:val="00853FA6"/>
    <w:rsid w:val="00854690"/>
    <w:rsid w:val="00855509"/>
    <w:rsid w:val="008563BE"/>
    <w:rsid w:val="00856954"/>
    <w:rsid w:val="00856BC6"/>
    <w:rsid w:val="00857085"/>
    <w:rsid w:val="008575B9"/>
    <w:rsid w:val="0086056F"/>
    <w:rsid w:val="00861C57"/>
    <w:rsid w:val="0086415D"/>
    <w:rsid w:val="008712BB"/>
    <w:rsid w:val="008715E0"/>
    <w:rsid w:val="008717B8"/>
    <w:rsid w:val="0087512E"/>
    <w:rsid w:val="00882747"/>
    <w:rsid w:val="00882BD8"/>
    <w:rsid w:val="00884D3B"/>
    <w:rsid w:val="00886E17"/>
    <w:rsid w:val="0089160D"/>
    <w:rsid w:val="008929A9"/>
    <w:rsid w:val="0089356C"/>
    <w:rsid w:val="008A0CE8"/>
    <w:rsid w:val="008A2484"/>
    <w:rsid w:val="008A5920"/>
    <w:rsid w:val="008A6948"/>
    <w:rsid w:val="008B03AF"/>
    <w:rsid w:val="008B2CA6"/>
    <w:rsid w:val="008B4892"/>
    <w:rsid w:val="008B712F"/>
    <w:rsid w:val="008B7837"/>
    <w:rsid w:val="008C1360"/>
    <w:rsid w:val="008C26D9"/>
    <w:rsid w:val="008C345F"/>
    <w:rsid w:val="008C46CC"/>
    <w:rsid w:val="008C6D50"/>
    <w:rsid w:val="008C7167"/>
    <w:rsid w:val="008C7503"/>
    <w:rsid w:val="008D1617"/>
    <w:rsid w:val="008D5E34"/>
    <w:rsid w:val="008D650F"/>
    <w:rsid w:val="008E187E"/>
    <w:rsid w:val="008E215D"/>
    <w:rsid w:val="008E4A2E"/>
    <w:rsid w:val="008E5DE7"/>
    <w:rsid w:val="008E6315"/>
    <w:rsid w:val="008E6922"/>
    <w:rsid w:val="008E6C5B"/>
    <w:rsid w:val="008F11E0"/>
    <w:rsid w:val="008F3DFA"/>
    <w:rsid w:val="008F78BC"/>
    <w:rsid w:val="008F7B63"/>
    <w:rsid w:val="008F7D6A"/>
    <w:rsid w:val="0090192D"/>
    <w:rsid w:val="00901C93"/>
    <w:rsid w:val="00901D1A"/>
    <w:rsid w:val="00902426"/>
    <w:rsid w:val="009054CB"/>
    <w:rsid w:val="0090705F"/>
    <w:rsid w:val="00910E78"/>
    <w:rsid w:val="00912F94"/>
    <w:rsid w:val="00915DDF"/>
    <w:rsid w:val="009227D3"/>
    <w:rsid w:val="0092419F"/>
    <w:rsid w:val="0092506E"/>
    <w:rsid w:val="0092590B"/>
    <w:rsid w:val="00925A54"/>
    <w:rsid w:val="00925E60"/>
    <w:rsid w:val="009264B3"/>
    <w:rsid w:val="00926EDF"/>
    <w:rsid w:val="00932A1B"/>
    <w:rsid w:val="009365E0"/>
    <w:rsid w:val="00937F1B"/>
    <w:rsid w:val="00942BA2"/>
    <w:rsid w:val="00944917"/>
    <w:rsid w:val="00944C86"/>
    <w:rsid w:val="00946947"/>
    <w:rsid w:val="00951548"/>
    <w:rsid w:val="009525DD"/>
    <w:rsid w:val="009542CF"/>
    <w:rsid w:val="00954644"/>
    <w:rsid w:val="00957DE8"/>
    <w:rsid w:val="00960ECB"/>
    <w:rsid w:val="009615D6"/>
    <w:rsid w:val="00967855"/>
    <w:rsid w:val="00970760"/>
    <w:rsid w:val="0097398B"/>
    <w:rsid w:val="00974B02"/>
    <w:rsid w:val="00976A85"/>
    <w:rsid w:val="009773BD"/>
    <w:rsid w:val="00980736"/>
    <w:rsid w:val="00981A39"/>
    <w:rsid w:val="00981FCE"/>
    <w:rsid w:val="00983F14"/>
    <w:rsid w:val="00987097"/>
    <w:rsid w:val="00987DD2"/>
    <w:rsid w:val="009900EE"/>
    <w:rsid w:val="00991B33"/>
    <w:rsid w:val="0099289D"/>
    <w:rsid w:val="00992BF9"/>
    <w:rsid w:val="009A01EB"/>
    <w:rsid w:val="009A0973"/>
    <w:rsid w:val="009A26C2"/>
    <w:rsid w:val="009A3A9C"/>
    <w:rsid w:val="009A5269"/>
    <w:rsid w:val="009A5489"/>
    <w:rsid w:val="009A5DAD"/>
    <w:rsid w:val="009B046C"/>
    <w:rsid w:val="009B13FA"/>
    <w:rsid w:val="009B1E2D"/>
    <w:rsid w:val="009B7704"/>
    <w:rsid w:val="009B79AB"/>
    <w:rsid w:val="009C135B"/>
    <w:rsid w:val="009C59FB"/>
    <w:rsid w:val="009C5E32"/>
    <w:rsid w:val="009C6F3B"/>
    <w:rsid w:val="009D1467"/>
    <w:rsid w:val="009D22D6"/>
    <w:rsid w:val="009D24DE"/>
    <w:rsid w:val="009D3B98"/>
    <w:rsid w:val="009D4A44"/>
    <w:rsid w:val="009E1DEA"/>
    <w:rsid w:val="009E1F29"/>
    <w:rsid w:val="009E3806"/>
    <w:rsid w:val="009E4D5C"/>
    <w:rsid w:val="009E4FA6"/>
    <w:rsid w:val="009E712E"/>
    <w:rsid w:val="009E7D93"/>
    <w:rsid w:val="009F2FE7"/>
    <w:rsid w:val="009F363A"/>
    <w:rsid w:val="009F5C33"/>
    <w:rsid w:val="00A0203E"/>
    <w:rsid w:val="00A03EAC"/>
    <w:rsid w:val="00A04758"/>
    <w:rsid w:val="00A05658"/>
    <w:rsid w:val="00A06A4F"/>
    <w:rsid w:val="00A10024"/>
    <w:rsid w:val="00A11CA6"/>
    <w:rsid w:val="00A146AF"/>
    <w:rsid w:val="00A17707"/>
    <w:rsid w:val="00A207F5"/>
    <w:rsid w:val="00A20C49"/>
    <w:rsid w:val="00A20F25"/>
    <w:rsid w:val="00A218E7"/>
    <w:rsid w:val="00A22897"/>
    <w:rsid w:val="00A24ECF"/>
    <w:rsid w:val="00A2618C"/>
    <w:rsid w:val="00A2650E"/>
    <w:rsid w:val="00A269CA"/>
    <w:rsid w:val="00A27D02"/>
    <w:rsid w:val="00A31FD7"/>
    <w:rsid w:val="00A336EE"/>
    <w:rsid w:val="00A359AC"/>
    <w:rsid w:val="00A37C04"/>
    <w:rsid w:val="00A40999"/>
    <w:rsid w:val="00A41413"/>
    <w:rsid w:val="00A431AF"/>
    <w:rsid w:val="00A4476E"/>
    <w:rsid w:val="00A45FB1"/>
    <w:rsid w:val="00A46CCC"/>
    <w:rsid w:val="00A50F5F"/>
    <w:rsid w:val="00A51908"/>
    <w:rsid w:val="00A51CFE"/>
    <w:rsid w:val="00A52921"/>
    <w:rsid w:val="00A56C45"/>
    <w:rsid w:val="00A60519"/>
    <w:rsid w:val="00A62284"/>
    <w:rsid w:val="00A62ED5"/>
    <w:rsid w:val="00A71F4E"/>
    <w:rsid w:val="00A7237A"/>
    <w:rsid w:val="00A7435B"/>
    <w:rsid w:val="00A748C0"/>
    <w:rsid w:val="00A75B2A"/>
    <w:rsid w:val="00A76C13"/>
    <w:rsid w:val="00A77C63"/>
    <w:rsid w:val="00A818B0"/>
    <w:rsid w:val="00A82732"/>
    <w:rsid w:val="00A90BD1"/>
    <w:rsid w:val="00A90FEC"/>
    <w:rsid w:val="00A9211F"/>
    <w:rsid w:val="00A92E79"/>
    <w:rsid w:val="00A94577"/>
    <w:rsid w:val="00A950B6"/>
    <w:rsid w:val="00AA02F1"/>
    <w:rsid w:val="00AA145D"/>
    <w:rsid w:val="00AA182B"/>
    <w:rsid w:val="00AA5399"/>
    <w:rsid w:val="00AA6CCA"/>
    <w:rsid w:val="00AB0322"/>
    <w:rsid w:val="00AB41C1"/>
    <w:rsid w:val="00AB57A0"/>
    <w:rsid w:val="00AB6C9D"/>
    <w:rsid w:val="00AC6FBF"/>
    <w:rsid w:val="00AD0AC3"/>
    <w:rsid w:val="00AD0BF9"/>
    <w:rsid w:val="00AD12A8"/>
    <w:rsid w:val="00AD1EDD"/>
    <w:rsid w:val="00AD401C"/>
    <w:rsid w:val="00AD6D3C"/>
    <w:rsid w:val="00AE023F"/>
    <w:rsid w:val="00AE0F66"/>
    <w:rsid w:val="00AE34AA"/>
    <w:rsid w:val="00AE3996"/>
    <w:rsid w:val="00AF3577"/>
    <w:rsid w:val="00AF35F9"/>
    <w:rsid w:val="00AF3ACD"/>
    <w:rsid w:val="00AF3F2E"/>
    <w:rsid w:val="00AF40EC"/>
    <w:rsid w:val="00AF6504"/>
    <w:rsid w:val="00AF7A63"/>
    <w:rsid w:val="00B03DC1"/>
    <w:rsid w:val="00B04A58"/>
    <w:rsid w:val="00B05659"/>
    <w:rsid w:val="00B05C7D"/>
    <w:rsid w:val="00B0708D"/>
    <w:rsid w:val="00B14438"/>
    <w:rsid w:val="00B15C85"/>
    <w:rsid w:val="00B173B7"/>
    <w:rsid w:val="00B21495"/>
    <w:rsid w:val="00B2427F"/>
    <w:rsid w:val="00B24D6F"/>
    <w:rsid w:val="00B2549A"/>
    <w:rsid w:val="00B27F33"/>
    <w:rsid w:val="00B31397"/>
    <w:rsid w:val="00B32537"/>
    <w:rsid w:val="00B34555"/>
    <w:rsid w:val="00B346C3"/>
    <w:rsid w:val="00B352BD"/>
    <w:rsid w:val="00B35F7C"/>
    <w:rsid w:val="00B41B1A"/>
    <w:rsid w:val="00B42E57"/>
    <w:rsid w:val="00B4471C"/>
    <w:rsid w:val="00B451A6"/>
    <w:rsid w:val="00B47F98"/>
    <w:rsid w:val="00B52098"/>
    <w:rsid w:val="00B54970"/>
    <w:rsid w:val="00B55AD4"/>
    <w:rsid w:val="00B62E07"/>
    <w:rsid w:val="00B6334A"/>
    <w:rsid w:val="00B675F4"/>
    <w:rsid w:val="00B722DE"/>
    <w:rsid w:val="00B73A35"/>
    <w:rsid w:val="00B757AF"/>
    <w:rsid w:val="00B76C44"/>
    <w:rsid w:val="00B80BE0"/>
    <w:rsid w:val="00B82B02"/>
    <w:rsid w:val="00B83F87"/>
    <w:rsid w:val="00B8458A"/>
    <w:rsid w:val="00B8478E"/>
    <w:rsid w:val="00B8511C"/>
    <w:rsid w:val="00B8559E"/>
    <w:rsid w:val="00B878B7"/>
    <w:rsid w:val="00B9093D"/>
    <w:rsid w:val="00B90F77"/>
    <w:rsid w:val="00B92D73"/>
    <w:rsid w:val="00B92EE5"/>
    <w:rsid w:val="00B9340F"/>
    <w:rsid w:val="00B95655"/>
    <w:rsid w:val="00B97D67"/>
    <w:rsid w:val="00BA2328"/>
    <w:rsid w:val="00BA2711"/>
    <w:rsid w:val="00BA2EFA"/>
    <w:rsid w:val="00BA3DBC"/>
    <w:rsid w:val="00BB2DA2"/>
    <w:rsid w:val="00BB5006"/>
    <w:rsid w:val="00BB56DC"/>
    <w:rsid w:val="00BC0981"/>
    <w:rsid w:val="00BC163D"/>
    <w:rsid w:val="00BC45E5"/>
    <w:rsid w:val="00BC5C4A"/>
    <w:rsid w:val="00BD0A48"/>
    <w:rsid w:val="00BD2806"/>
    <w:rsid w:val="00BD381A"/>
    <w:rsid w:val="00BD55C4"/>
    <w:rsid w:val="00BD6E88"/>
    <w:rsid w:val="00BD7057"/>
    <w:rsid w:val="00BE0EA1"/>
    <w:rsid w:val="00BE0FBF"/>
    <w:rsid w:val="00BE148A"/>
    <w:rsid w:val="00BE183D"/>
    <w:rsid w:val="00BE2F6C"/>
    <w:rsid w:val="00BE3BB3"/>
    <w:rsid w:val="00BF313E"/>
    <w:rsid w:val="00BF5D7A"/>
    <w:rsid w:val="00BF71F7"/>
    <w:rsid w:val="00C005C0"/>
    <w:rsid w:val="00C02D33"/>
    <w:rsid w:val="00C03340"/>
    <w:rsid w:val="00C04402"/>
    <w:rsid w:val="00C07C9C"/>
    <w:rsid w:val="00C07FC8"/>
    <w:rsid w:val="00C10F0D"/>
    <w:rsid w:val="00C1232C"/>
    <w:rsid w:val="00C15DC3"/>
    <w:rsid w:val="00C1764B"/>
    <w:rsid w:val="00C203EB"/>
    <w:rsid w:val="00C2044B"/>
    <w:rsid w:val="00C22A78"/>
    <w:rsid w:val="00C22D95"/>
    <w:rsid w:val="00C24763"/>
    <w:rsid w:val="00C25F7E"/>
    <w:rsid w:val="00C263EC"/>
    <w:rsid w:val="00C31EC6"/>
    <w:rsid w:val="00C337A5"/>
    <w:rsid w:val="00C33A26"/>
    <w:rsid w:val="00C36442"/>
    <w:rsid w:val="00C36EDE"/>
    <w:rsid w:val="00C3731C"/>
    <w:rsid w:val="00C37AEC"/>
    <w:rsid w:val="00C400CE"/>
    <w:rsid w:val="00C410FD"/>
    <w:rsid w:val="00C42FE3"/>
    <w:rsid w:val="00C453AE"/>
    <w:rsid w:val="00C45474"/>
    <w:rsid w:val="00C46E7B"/>
    <w:rsid w:val="00C50BBC"/>
    <w:rsid w:val="00C51C0D"/>
    <w:rsid w:val="00C539FB"/>
    <w:rsid w:val="00C54BD1"/>
    <w:rsid w:val="00C56BF8"/>
    <w:rsid w:val="00C57940"/>
    <w:rsid w:val="00C602AF"/>
    <w:rsid w:val="00C6514C"/>
    <w:rsid w:val="00C653DC"/>
    <w:rsid w:val="00C66566"/>
    <w:rsid w:val="00C70A84"/>
    <w:rsid w:val="00C71CB3"/>
    <w:rsid w:val="00C73209"/>
    <w:rsid w:val="00C73FCC"/>
    <w:rsid w:val="00C74F07"/>
    <w:rsid w:val="00C764C5"/>
    <w:rsid w:val="00C77BA7"/>
    <w:rsid w:val="00C829F6"/>
    <w:rsid w:val="00C8363A"/>
    <w:rsid w:val="00C84094"/>
    <w:rsid w:val="00C862CB"/>
    <w:rsid w:val="00C86C37"/>
    <w:rsid w:val="00C921A7"/>
    <w:rsid w:val="00C9762D"/>
    <w:rsid w:val="00CA246D"/>
    <w:rsid w:val="00CA2B14"/>
    <w:rsid w:val="00CA50D9"/>
    <w:rsid w:val="00CA69C6"/>
    <w:rsid w:val="00CB1BFC"/>
    <w:rsid w:val="00CB275A"/>
    <w:rsid w:val="00CB42B9"/>
    <w:rsid w:val="00CB4E38"/>
    <w:rsid w:val="00CB5636"/>
    <w:rsid w:val="00CB5F3A"/>
    <w:rsid w:val="00CC4675"/>
    <w:rsid w:val="00CC601A"/>
    <w:rsid w:val="00CC6BE7"/>
    <w:rsid w:val="00CD36EB"/>
    <w:rsid w:val="00CD4648"/>
    <w:rsid w:val="00CD5374"/>
    <w:rsid w:val="00CD57DF"/>
    <w:rsid w:val="00CE2F62"/>
    <w:rsid w:val="00CE4CF3"/>
    <w:rsid w:val="00CE58CF"/>
    <w:rsid w:val="00CE7510"/>
    <w:rsid w:val="00CF0853"/>
    <w:rsid w:val="00CF14F3"/>
    <w:rsid w:val="00CF7967"/>
    <w:rsid w:val="00D01805"/>
    <w:rsid w:val="00D01889"/>
    <w:rsid w:val="00D029CF"/>
    <w:rsid w:val="00D10AB6"/>
    <w:rsid w:val="00D10D34"/>
    <w:rsid w:val="00D10F21"/>
    <w:rsid w:val="00D1221C"/>
    <w:rsid w:val="00D1297B"/>
    <w:rsid w:val="00D20F0E"/>
    <w:rsid w:val="00D22016"/>
    <w:rsid w:val="00D24806"/>
    <w:rsid w:val="00D25118"/>
    <w:rsid w:val="00D26941"/>
    <w:rsid w:val="00D2747C"/>
    <w:rsid w:val="00D326F6"/>
    <w:rsid w:val="00D33850"/>
    <w:rsid w:val="00D34040"/>
    <w:rsid w:val="00D34E69"/>
    <w:rsid w:val="00D35225"/>
    <w:rsid w:val="00D3536B"/>
    <w:rsid w:val="00D35C6E"/>
    <w:rsid w:val="00D375EE"/>
    <w:rsid w:val="00D41437"/>
    <w:rsid w:val="00D41441"/>
    <w:rsid w:val="00D42CA0"/>
    <w:rsid w:val="00D43B54"/>
    <w:rsid w:val="00D54A4B"/>
    <w:rsid w:val="00D55DBD"/>
    <w:rsid w:val="00D56B95"/>
    <w:rsid w:val="00D60119"/>
    <w:rsid w:val="00D6034C"/>
    <w:rsid w:val="00D60CF5"/>
    <w:rsid w:val="00D62699"/>
    <w:rsid w:val="00D642C3"/>
    <w:rsid w:val="00D64B3D"/>
    <w:rsid w:val="00D678BE"/>
    <w:rsid w:val="00D678DC"/>
    <w:rsid w:val="00D7051E"/>
    <w:rsid w:val="00D726F9"/>
    <w:rsid w:val="00D748C6"/>
    <w:rsid w:val="00D749C6"/>
    <w:rsid w:val="00D74DE4"/>
    <w:rsid w:val="00D81E16"/>
    <w:rsid w:val="00D82620"/>
    <w:rsid w:val="00D827ED"/>
    <w:rsid w:val="00D86875"/>
    <w:rsid w:val="00D86B60"/>
    <w:rsid w:val="00D901B1"/>
    <w:rsid w:val="00D91009"/>
    <w:rsid w:val="00D91299"/>
    <w:rsid w:val="00D91F86"/>
    <w:rsid w:val="00D93731"/>
    <w:rsid w:val="00D951F3"/>
    <w:rsid w:val="00D9725F"/>
    <w:rsid w:val="00DA01B1"/>
    <w:rsid w:val="00DA11A2"/>
    <w:rsid w:val="00DA14ED"/>
    <w:rsid w:val="00DA2721"/>
    <w:rsid w:val="00DA2B89"/>
    <w:rsid w:val="00DA3923"/>
    <w:rsid w:val="00DA4061"/>
    <w:rsid w:val="00DA5E2A"/>
    <w:rsid w:val="00DA6ACF"/>
    <w:rsid w:val="00DB08AA"/>
    <w:rsid w:val="00DB13FE"/>
    <w:rsid w:val="00DB2EF1"/>
    <w:rsid w:val="00DB3DE1"/>
    <w:rsid w:val="00DB5DA0"/>
    <w:rsid w:val="00DB7133"/>
    <w:rsid w:val="00DB716C"/>
    <w:rsid w:val="00DC2735"/>
    <w:rsid w:val="00DC3B16"/>
    <w:rsid w:val="00DC3B6C"/>
    <w:rsid w:val="00DC4755"/>
    <w:rsid w:val="00DC513F"/>
    <w:rsid w:val="00DC5C85"/>
    <w:rsid w:val="00DC767E"/>
    <w:rsid w:val="00DD1D29"/>
    <w:rsid w:val="00DD41B2"/>
    <w:rsid w:val="00DD4236"/>
    <w:rsid w:val="00DD44F1"/>
    <w:rsid w:val="00DD58C1"/>
    <w:rsid w:val="00DD6925"/>
    <w:rsid w:val="00DD78F1"/>
    <w:rsid w:val="00DE09BE"/>
    <w:rsid w:val="00DE1001"/>
    <w:rsid w:val="00DE1833"/>
    <w:rsid w:val="00DE3067"/>
    <w:rsid w:val="00DE6803"/>
    <w:rsid w:val="00DF0C70"/>
    <w:rsid w:val="00DF10E1"/>
    <w:rsid w:val="00DF2432"/>
    <w:rsid w:val="00DF4D47"/>
    <w:rsid w:val="00E027BC"/>
    <w:rsid w:val="00E0545B"/>
    <w:rsid w:val="00E0694A"/>
    <w:rsid w:val="00E0750E"/>
    <w:rsid w:val="00E07C86"/>
    <w:rsid w:val="00E12AA0"/>
    <w:rsid w:val="00E14321"/>
    <w:rsid w:val="00E14EA5"/>
    <w:rsid w:val="00E1781B"/>
    <w:rsid w:val="00E17931"/>
    <w:rsid w:val="00E20073"/>
    <w:rsid w:val="00E21133"/>
    <w:rsid w:val="00E22500"/>
    <w:rsid w:val="00E2327E"/>
    <w:rsid w:val="00E24F6B"/>
    <w:rsid w:val="00E25D32"/>
    <w:rsid w:val="00E266EF"/>
    <w:rsid w:val="00E30AC2"/>
    <w:rsid w:val="00E30DEC"/>
    <w:rsid w:val="00E31BF1"/>
    <w:rsid w:val="00E348BC"/>
    <w:rsid w:val="00E360A8"/>
    <w:rsid w:val="00E404C7"/>
    <w:rsid w:val="00E4050F"/>
    <w:rsid w:val="00E469B7"/>
    <w:rsid w:val="00E47428"/>
    <w:rsid w:val="00E5159E"/>
    <w:rsid w:val="00E51B09"/>
    <w:rsid w:val="00E52B11"/>
    <w:rsid w:val="00E52F75"/>
    <w:rsid w:val="00E57857"/>
    <w:rsid w:val="00E619F1"/>
    <w:rsid w:val="00E6518A"/>
    <w:rsid w:val="00E661DC"/>
    <w:rsid w:val="00E66B36"/>
    <w:rsid w:val="00E66B9F"/>
    <w:rsid w:val="00E70CD9"/>
    <w:rsid w:val="00E70FB8"/>
    <w:rsid w:val="00E710D6"/>
    <w:rsid w:val="00E71F20"/>
    <w:rsid w:val="00E72F9A"/>
    <w:rsid w:val="00E734AB"/>
    <w:rsid w:val="00E74C62"/>
    <w:rsid w:val="00E760BB"/>
    <w:rsid w:val="00E76E45"/>
    <w:rsid w:val="00E777C9"/>
    <w:rsid w:val="00E77C2D"/>
    <w:rsid w:val="00E81DA6"/>
    <w:rsid w:val="00E828B4"/>
    <w:rsid w:val="00E84212"/>
    <w:rsid w:val="00E87DAF"/>
    <w:rsid w:val="00E9086C"/>
    <w:rsid w:val="00E91A0F"/>
    <w:rsid w:val="00E93F52"/>
    <w:rsid w:val="00E94241"/>
    <w:rsid w:val="00E94A71"/>
    <w:rsid w:val="00E9589E"/>
    <w:rsid w:val="00E95BEA"/>
    <w:rsid w:val="00EA0388"/>
    <w:rsid w:val="00EA03CE"/>
    <w:rsid w:val="00EA0E92"/>
    <w:rsid w:val="00EA18F0"/>
    <w:rsid w:val="00EA1A9C"/>
    <w:rsid w:val="00EA1CCF"/>
    <w:rsid w:val="00EA23E5"/>
    <w:rsid w:val="00EA35B3"/>
    <w:rsid w:val="00EA3D22"/>
    <w:rsid w:val="00EA471C"/>
    <w:rsid w:val="00EA4E2E"/>
    <w:rsid w:val="00EA5B12"/>
    <w:rsid w:val="00EB19F7"/>
    <w:rsid w:val="00EB2CCB"/>
    <w:rsid w:val="00EB65F7"/>
    <w:rsid w:val="00EB75AB"/>
    <w:rsid w:val="00EC5294"/>
    <w:rsid w:val="00EC57A7"/>
    <w:rsid w:val="00EC70B3"/>
    <w:rsid w:val="00ED0817"/>
    <w:rsid w:val="00ED091D"/>
    <w:rsid w:val="00ED0B4C"/>
    <w:rsid w:val="00ED2146"/>
    <w:rsid w:val="00ED2C5C"/>
    <w:rsid w:val="00ED3F41"/>
    <w:rsid w:val="00ED44F6"/>
    <w:rsid w:val="00ED4F9C"/>
    <w:rsid w:val="00ED7DD9"/>
    <w:rsid w:val="00EE1099"/>
    <w:rsid w:val="00EE1121"/>
    <w:rsid w:val="00EE218B"/>
    <w:rsid w:val="00EE4B29"/>
    <w:rsid w:val="00EE5C6A"/>
    <w:rsid w:val="00EF149B"/>
    <w:rsid w:val="00EF3113"/>
    <w:rsid w:val="00EF3BAA"/>
    <w:rsid w:val="00EF3F84"/>
    <w:rsid w:val="00EF4D77"/>
    <w:rsid w:val="00EF7F90"/>
    <w:rsid w:val="00F00FB9"/>
    <w:rsid w:val="00F01091"/>
    <w:rsid w:val="00F0157E"/>
    <w:rsid w:val="00F01A04"/>
    <w:rsid w:val="00F03624"/>
    <w:rsid w:val="00F07227"/>
    <w:rsid w:val="00F1154D"/>
    <w:rsid w:val="00F13346"/>
    <w:rsid w:val="00F15EA7"/>
    <w:rsid w:val="00F16A28"/>
    <w:rsid w:val="00F176AC"/>
    <w:rsid w:val="00F20C72"/>
    <w:rsid w:val="00F233E3"/>
    <w:rsid w:val="00F253D9"/>
    <w:rsid w:val="00F25937"/>
    <w:rsid w:val="00F25A6F"/>
    <w:rsid w:val="00F2630F"/>
    <w:rsid w:val="00F26AD8"/>
    <w:rsid w:val="00F27714"/>
    <w:rsid w:val="00F3276E"/>
    <w:rsid w:val="00F32BF4"/>
    <w:rsid w:val="00F33D3C"/>
    <w:rsid w:val="00F37A91"/>
    <w:rsid w:val="00F41138"/>
    <w:rsid w:val="00F4189C"/>
    <w:rsid w:val="00F44B87"/>
    <w:rsid w:val="00F45716"/>
    <w:rsid w:val="00F45CF5"/>
    <w:rsid w:val="00F46098"/>
    <w:rsid w:val="00F46C19"/>
    <w:rsid w:val="00F47BD1"/>
    <w:rsid w:val="00F47DB0"/>
    <w:rsid w:val="00F50E34"/>
    <w:rsid w:val="00F5179E"/>
    <w:rsid w:val="00F53EF7"/>
    <w:rsid w:val="00F5473C"/>
    <w:rsid w:val="00F54BF2"/>
    <w:rsid w:val="00F55609"/>
    <w:rsid w:val="00F56698"/>
    <w:rsid w:val="00F577A6"/>
    <w:rsid w:val="00F60500"/>
    <w:rsid w:val="00F61BA4"/>
    <w:rsid w:val="00F62E70"/>
    <w:rsid w:val="00F633EC"/>
    <w:rsid w:val="00F63559"/>
    <w:rsid w:val="00F64A61"/>
    <w:rsid w:val="00F66327"/>
    <w:rsid w:val="00F66887"/>
    <w:rsid w:val="00F67065"/>
    <w:rsid w:val="00F67975"/>
    <w:rsid w:val="00F73827"/>
    <w:rsid w:val="00F7417B"/>
    <w:rsid w:val="00F81D69"/>
    <w:rsid w:val="00F832E3"/>
    <w:rsid w:val="00F84D97"/>
    <w:rsid w:val="00F85313"/>
    <w:rsid w:val="00F92355"/>
    <w:rsid w:val="00F93918"/>
    <w:rsid w:val="00F93963"/>
    <w:rsid w:val="00F94291"/>
    <w:rsid w:val="00F963D1"/>
    <w:rsid w:val="00FA2296"/>
    <w:rsid w:val="00FA2C68"/>
    <w:rsid w:val="00FA4E9C"/>
    <w:rsid w:val="00FA73D1"/>
    <w:rsid w:val="00FB2390"/>
    <w:rsid w:val="00FB4471"/>
    <w:rsid w:val="00FB7982"/>
    <w:rsid w:val="00FB7BAB"/>
    <w:rsid w:val="00FC0734"/>
    <w:rsid w:val="00FC0EFE"/>
    <w:rsid w:val="00FC0FC5"/>
    <w:rsid w:val="00FC25D0"/>
    <w:rsid w:val="00FC4963"/>
    <w:rsid w:val="00FC4EB3"/>
    <w:rsid w:val="00FC588F"/>
    <w:rsid w:val="00FC70A7"/>
    <w:rsid w:val="00FD1B27"/>
    <w:rsid w:val="00FD39F5"/>
    <w:rsid w:val="00FD3CC7"/>
    <w:rsid w:val="00FD6C9F"/>
    <w:rsid w:val="00FE1B30"/>
    <w:rsid w:val="00FE4715"/>
    <w:rsid w:val="00FE7B44"/>
    <w:rsid w:val="00FF283F"/>
    <w:rsid w:val="00FF5474"/>
    <w:rsid w:val="00FF5D90"/>
    <w:rsid w:val="00FF6E50"/>
    <w:rsid w:val="00FF7A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1B1F2C0"/>
  <w15:docId w15:val="{ABAB7077-BCA9-41D2-9E4F-9EFB096C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001641cf">
    <w:name w:val="001641cf"/>
    <w:basedOn w:val="Normal"/>
    <w:rsid w:val="00411832"/>
    <w:pPr>
      <w:spacing w:before="100" w:beforeAutospacing="1" w:after="100" w:afterAutospacing="1" w:line="240" w:lineRule="auto"/>
      <w:jc w:val="left"/>
    </w:pPr>
    <w:rPr>
      <w:rFonts w:eastAsia="Times New Roman"/>
      <w:szCs w:val="24"/>
      <w:lang w:eastAsia="en-AU"/>
    </w:rPr>
  </w:style>
  <w:style w:type="paragraph" w:customStyle="1" w:styleId="00fb7e28">
    <w:name w:val="00fb7e28"/>
    <w:basedOn w:val="Normal"/>
    <w:rsid w:val="00F01091"/>
    <w:pPr>
      <w:spacing w:before="100" w:beforeAutospacing="1" w:after="100" w:afterAutospacing="1" w:line="240" w:lineRule="auto"/>
      <w:jc w:val="left"/>
    </w:pPr>
    <w:rPr>
      <w:rFonts w:eastAsia="Times New Roman"/>
      <w:szCs w:val="24"/>
      <w:lang w:eastAsia="en-AU"/>
    </w:rPr>
  </w:style>
  <w:style w:type="paragraph" w:customStyle="1" w:styleId="Default">
    <w:name w:val="Default"/>
    <w:rsid w:val="00096AF7"/>
    <w:pPr>
      <w:autoSpaceDE w:val="0"/>
      <w:autoSpaceDN w:val="0"/>
      <w:adjustRightInd w:val="0"/>
    </w:pPr>
    <w:rPr>
      <w:rFonts w:ascii="Arial" w:hAnsi="Arial" w:cs="Arial"/>
      <w:color w:val="000000"/>
      <w:sz w:val="24"/>
      <w:szCs w:val="24"/>
    </w:rPr>
  </w:style>
  <w:style w:type="paragraph" w:customStyle="1" w:styleId="00a46cd8">
    <w:name w:val="00a46cd8"/>
    <w:basedOn w:val="Normal"/>
    <w:rsid w:val="007A17D9"/>
    <w:pPr>
      <w:spacing w:before="100" w:beforeAutospacing="1" w:after="100" w:afterAutospacing="1" w:line="240" w:lineRule="auto"/>
      <w:jc w:val="left"/>
    </w:pPr>
    <w:rPr>
      <w:rFonts w:eastAsia="Times New Roman"/>
      <w:szCs w:val="24"/>
      <w:lang w:eastAsia="en-AU"/>
    </w:rPr>
  </w:style>
  <w:style w:type="paragraph" w:customStyle="1" w:styleId="00364b65">
    <w:name w:val="00364b65"/>
    <w:basedOn w:val="Normal"/>
    <w:rsid w:val="007A17D9"/>
    <w:pPr>
      <w:spacing w:before="100" w:beforeAutospacing="1" w:after="100" w:afterAutospacing="1" w:line="240" w:lineRule="auto"/>
      <w:jc w:val="left"/>
    </w:pPr>
    <w:rPr>
      <w:rFonts w:eastAsia="Times New Roman"/>
      <w:szCs w:val="24"/>
      <w:lang w:eastAsia="en-AU"/>
    </w:rPr>
  </w:style>
  <w:style w:type="character" w:customStyle="1" w:styleId="HeaderChar">
    <w:name w:val="Header Char"/>
    <w:basedOn w:val="DefaultParagraphFont"/>
    <w:link w:val="Header"/>
    <w:semiHidden/>
    <w:rsid w:val="00823352"/>
    <w:rPr>
      <w:sz w:val="24"/>
      <w:lang w:eastAsia="en-US"/>
    </w:rPr>
  </w:style>
  <w:style w:type="paragraph" w:customStyle="1" w:styleId="Order4">
    <w:name w:val="Order 4"/>
    <w:basedOn w:val="Order3"/>
    <w:rsid w:val="00823352"/>
    <w:pPr>
      <w:numPr>
        <w:ilvl w:val="0"/>
        <w:numId w:val="0"/>
      </w:numPr>
      <w:tabs>
        <w:tab w:val="num" w:pos="2160"/>
      </w:tabs>
      <w:ind w:left="2880" w:hanging="720"/>
    </w:pPr>
  </w:style>
  <w:style w:type="character" w:styleId="PlaceholderText">
    <w:name w:val="Placeholder Text"/>
    <w:basedOn w:val="DefaultParagraphFont"/>
    <w:uiPriority w:val="99"/>
    <w:semiHidden/>
    <w:rsid w:val="004D0024"/>
    <w:rPr>
      <w:color w:val="808080"/>
    </w:rPr>
  </w:style>
  <w:style w:type="character" w:customStyle="1" w:styleId="FooterChar">
    <w:name w:val="Footer Char"/>
    <w:basedOn w:val="DefaultParagraphFont"/>
    <w:link w:val="Footer"/>
    <w:uiPriority w:val="99"/>
    <w:rsid w:val="006E7FE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0027">
      <w:bodyDiv w:val="1"/>
      <w:marLeft w:val="0"/>
      <w:marRight w:val="0"/>
      <w:marTop w:val="0"/>
      <w:marBottom w:val="0"/>
      <w:divBdr>
        <w:top w:val="none" w:sz="0" w:space="0" w:color="auto"/>
        <w:left w:val="none" w:sz="0" w:space="0" w:color="auto"/>
        <w:bottom w:val="none" w:sz="0" w:space="0" w:color="auto"/>
        <w:right w:val="none" w:sz="0" w:space="0" w:color="auto"/>
      </w:divBdr>
      <w:divsChild>
        <w:div w:id="1253513762">
          <w:marLeft w:val="0"/>
          <w:marRight w:val="0"/>
          <w:marTop w:val="0"/>
          <w:marBottom w:val="0"/>
          <w:divBdr>
            <w:top w:val="none" w:sz="0" w:space="0" w:color="auto"/>
            <w:left w:val="none" w:sz="0" w:space="0" w:color="auto"/>
            <w:bottom w:val="none" w:sz="0" w:space="0" w:color="auto"/>
            <w:right w:val="none" w:sz="0" w:space="0" w:color="auto"/>
          </w:divBdr>
          <w:divsChild>
            <w:div w:id="1461612871">
              <w:marLeft w:val="0"/>
              <w:marRight w:val="0"/>
              <w:marTop w:val="0"/>
              <w:marBottom w:val="0"/>
              <w:divBdr>
                <w:top w:val="none" w:sz="0" w:space="0" w:color="auto"/>
                <w:left w:val="none" w:sz="0" w:space="0" w:color="auto"/>
                <w:bottom w:val="none" w:sz="0" w:space="0" w:color="auto"/>
                <w:right w:val="none" w:sz="0" w:space="0" w:color="auto"/>
              </w:divBdr>
              <w:divsChild>
                <w:div w:id="2094350716">
                  <w:marLeft w:val="0"/>
                  <w:marRight w:val="0"/>
                  <w:marTop w:val="0"/>
                  <w:marBottom w:val="0"/>
                  <w:divBdr>
                    <w:top w:val="none" w:sz="0" w:space="0" w:color="auto"/>
                    <w:left w:val="none" w:sz="0" w:space="0" w:color="auto"/>
                    <w:bottom w:val="none" w:sz="0" w:space="0" w:color="auto"/>
                    <w:right w:val="none" w:sz="0" w:space="0" w:color="auto"/>
                  </w:divBdr>
                  <w:divsChild>
                    <w:div w:id="1758089728">
                      <w:marLeft w:val="0"/>
                      <w:marRight w:val="0"/>
                      <w:marTop w:val="0"/>
                      <w:marBottom w:val="0"/>
                      <w:divBdr>
                        <w:top w:val="none" w:sz="0" w:space="0" w:color="auto"/>
                        <w:left w:val="none" w:sz="0" w:space="0" w:color="auto"/>
                        <w:bottom w:val="none" w:sz="0" w:space="0" w:color="auto"/>
                        <w:right w:val="none" w:sz="0" w:space="0" w:color="auto"/>
                      </w:divBdr>
                      <w:divsChild>
                        <w:div w:id="1197616577">
                          <w:marLeft w:val="0"/>
                          <w:marRight w:val="0"/>
                          <w:marTop w:val="0"/>
                          <w:marBottom w:val="0"/>
                          <w:divBdr>
                            <w:top w:val="none" w:sz="0" w:space="0" w:color="auto"/>
                            <w:left w:val="none" w:sz="0" w:space="0" w:color="auto"/>
                            <w:bottom w:val="none" w:sz="0" w:space="0" w:color="auto"/>
                            <w:right w:val="none" w:sz="0" w:space="0" w:color="auto"/>
                          </w:divBdr>
                          <w:divsChild>
                            <w:div w:id="714431860">
                              <w:marLeft w:val="0"/>
                              <w:marRight w:val="0"/>
                              <w:marTop w:val="0"/>
                              <w:marBottom w:val="0"/>
                              <w:divBdr>
                                <w:top w:val="none" w:sz="0" w:space="0" w:color="auto"/>
                                <w:left w:val="none" w:sz="0" w:space="0" w:color="auto"/>
                                <w:bottom w:val="none" w:sz="0" w:space="0" w:color="auto"/>
                                <w:right w:val="none" w:sz="0" w:space="0" w:color="auto"/>
                              </w:divBdr>
                              <w:divsChild>
                                <w:div w:id="1077367171">
                                  <w:marLeft w:val="0"/>
                                  <w:marRight w:val="0"/>
                                  <w:marTop w:val="0"/>
                                  <w:marBottom w:val="0"/>
                                  <w:divBdr>
                                    <w:top w:val="none" w:sz="0" w:space="0" w:color="auto"/>
                                    <w:left w:val="none" w:sz="0" w:space="0" w:color="auto"/>
                                    <w:bottom w:val="none" w:sz="0" w:space="0" w:color="auto"/>
                                    <w:right w:val="none" w:sz="0" w:space="0" w:color="auto"/>
                                  </w:divBdr>
                                  <w:divsChild>
                                    <w:div w:id="332227159">
                                      <w:marLeft w:val="0"/>
                                      <w:marRight w:val="0"/>
                                      <w:marTop w:val="0"/>
                                      <w:marBottom w:val="0"/>
                                      <w:divBdr>
                                        <w:top w:val="none" w:sz="0" w:space="0" w:color="auto"/>
                                        <w:left w:val="none" w:sz="0" w:space="0" w:color="auto"/>
                                        <w:bottom w:val="none" w:sz="0" w:space="0" w:color="auto"/>
                                        <w:right w:val="none" w:sz="0" w:space="0" w:color="auto"/>
                                      </w:divBdr>
                                      <w:divsChild>
                                        <w:div w:id="1333296084">
                                          <w:marLeft w:val="0"/>
                                          <w:marRight w:val="0"/>
                                          <w:marTop w:val="0"/>
                                          <w:marBottom w:val="0"/>
                                          <w:divBdr>
                                            <w:top w:val="none" w:sz="0" w:space="0" w:color="auto"/>
                                            <w:left w:val="none" w:sz="0" w:space="0" w:color="auto"/>
                                            <w:bottom w:val="none" w:sz="0" w:space="0" w:color="auto"/>
                                            <w:right w:val="none" w:sz="0" w:space="0" w:color="auto"/>
                                          </w:divBdr>
                                          <w:divsChild>
                                            <w:div w:id="1677271047">
                                              <w:marLeft w:val="0"/>
                                              <w:marRight w:val="0"/>
                                              <w:marTop w:val="0"/>
                                              <w:marBottom w:val="0"/>
                                              <w:divBdr>
                                                <w:top w:val="none" w:sz="0" w:space="0" w:color="auto"/>
                                                <w:left w:val="none" w:sz="0" w:space="0" w:color="auto"/>
                                                <w:bottom w:val="none" w:sz="0" w:space="0" w:color="auto"/>
                                                <w:right w:val="none" w:sz="0" w:space="0" w:color="auto"/>
                                              </w:divBdr>
                                              <w:divsChild>
                                                <w:div w:id="15102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464942">
      <w:bodyDiv w:val="1"/>
      <w:marLeft w:val="0"/>
      <w:marRight w:val="0"/>
      <w:marTop w:val="0"/>
      <w:marBottom w:val="0"/>
      <w:divBdr>
        <w:top w:val="none" w:sz="0" w:space="0" w:color="auto"/>
        <w:left w:val="none" w:sz="0" w:space="0" w:color="auto"/>
        <w:bottom w:val="none" w:sz="0" w:space="0" w:color="auto"/>
        <w:right w:val="none" w:sz="0" w:space="0" w:color="auto"/>
      </w:divBdr>
      <w:divsChild>
        <w:div w:id="1214737056">
          <w:marLeft w:val="0"/>
          <w:marRight w:val="0"/>
          <w:marTop w:val="0"/>
          <w:marBottom w:val="0"/>
          <w:divBdr>
            <w:top w:val="none" w:sz="0" w:space="0" w:color="auto"/>
            <w:left w:val="none" w:sz="0" w:space="0" w:color="auto"/>
            <w:bottom w:val="none" w:sz="0" w:space="0" w:color="auto"/>
            <w:right w:val="none" w:sz="0" w:space="0" w:color="auto"/>
          </w:divBdr>
          <w:divsChild>
            <w:div w:id="956371487">
              <w:marLeft w:val="0"/>
              <w:marRight w:val="0"/>
              <w:marTop w:val="0"/>
              <w:marBottom w:val="0"/>
              <w:divBdr>
                <w:top w:val="none" w:sz="0" w:space="0" w:color="auto"/>
                <w:left w:val="none" w:sz="0" w:space="0" w:color="auto"/>
                <w:bottom w:val="none" w:sz="0" w:space="0" w:color="auto"/>
                <w:right w:val="none" w:sz="0" w:space="0" w:color="auto"/>
              </w:divBdr>
              <w:divsChild>
                <w:div w:id="588006826">
                  <w:marLeft w:val="0"/>
                  <w:marRight w:val="0"/>
                  <w:marTop w:val="0"/>
                  <w:marBottom w:val="0"/>
                  <w:divBdr>
                    <w:top w:val="none" w:sz="0" w:space="0" w:color="auto"/>
                    <w:left w:val="none" w:sz="0" w:space="0" w:color="auto"/>
                    <w:bottom w:val="none" w:sz="0" w:space="0" w:color="auto"/>
                    <w:right w:val="none" w:sz="0" w:space="0" w:color="auto"/>
                  </w:divBdr>
                  <w:divsChild>
                    <w:div w:id="1057783638">
                      <w:marLeft w:val="0"/>
                      <w:marRight w:val="0"/>
                      <w:marTop w:val="0"/>
                      <w:marBottom w:val="0"/>
                      <w:divBdr>
                        <w:top w:val="none" w:sz="0" w:space="0" w:color="auto"/>
                        <w:left w:val="none" w:sz="0" w:space="0" w:color="auto"/>
                        <w:bottom w:val="none" w:sz="0" w:space="0" w:color="auto"/>
                        <w:right w:val="none" w:sz="0" w:space="0" w:color="auto"/>
                      </w:divBdr>
                      <w:divsChild>
                        <w:div w:id="700790286">
                          <w:marLeft w:val="0"/>
                          <w:marRight w:val="0"/>
                          <w:marTop w:val="0"/>
                          <w:marBottom w:val="0"/>
                          <w:divBdr>
                            <w:top w:val="none" w:sz="0" w:space="0" w:color="auto"/>
                            <w:left w:val="none" w:sz="0" w:space="0" w:color="auto"/>
                            <w:bottom w:val="none" w:sz="0" w:space="0" w:color="auto"/>
                            <w:right w:val="none" w:sz="0" w:space="0" w:color="auto"/>
                          </w:divBdr>
                          <w:divsChild>
                            <w:div w:id="402722468">
                              <w:marLeft w:val="0"/>
                              <w:marRight w:val="0"/>
                              <w:marTop w:val="0"/>
                              <w:marBottom w:val="0"/>
                              <w:divBdr>
                                <w:top w:val="none" w:sz="0" w:space="0" w:color="auto"/>
                                <w:left w:val="none" w:sz="0" w:space="0" w:color="auto"/>
                                <w:bottom w:val="none" w:sz="0" w:space="0" w:color="auto"/>
                                <w:right w:val="none" w:sz="0" w:space="0" w:color="auto"/>
                              </w:divBdr>
                              <w:divsChild>
                                <w:div w:id="118424703">
                                  <w:marLeft w:val="0"/>
                                  <w:marRight w:val="0"/>
                                  <w:marTop w:val="0"/>
                                  <w:marBottom w:val="0"/>
                                  <w:divBdr>
                                    <w:top w:val="none" w:sz="0" w:space="0" w:color="auto"/>
                                    <w:left w:val="none" w:sz="0" w:space="0" w:color="auto"/>
                                    <w:bottom w:val="none" w:sz="0" w:space="0" w:color="auto"/>
                                    <w:right w:val="none" w:sz="0" w:space="0" w:color="auto"/>
                                  </w:divBdr>
                                  <w:divsChild>
                                    <w:div w:id="1734695102">
                                      <w:marLeft w:val="0"/>
                                      <w:marRight w:val="0"/>
                                      <w:marTop w:val="0"/>
                                      <w:marBottom w:val="0"/>
                                      <w:divBdr>
                                        <w:top w:val="none" w:sz="0" w:space="0" w:color="auto"/>
                                        <w:left w:val="none" w:sz="0" w:space="0" w:color="auto"/>
                                        <w:bottom w:val="none" w:sz="0" w:space="0" w:color="auto"/>
                                        <w:right w:val="none" w:sz="0" w:space="0" w:color="auto"/>
                                      </w:divBdr>
                                      <w:divsChild>
                                        <w:div w:id="142620678">
                                          <w:marLeft w:val="0"/>
                                          <w:marRight w:val="0"/>
                                          <w:marTop w:val="0"/>
                                          <w:marBottom w:val="0"/>
                                          <w:divBdr>
                                            <w:top w:val="none" w:sz="0" w:space="0" w:color="auto"/>
                                            <w:left w:val="none" w:sz="0" w:space="0" w:color="auto"/>
                                            <w:bottom w:val="none" w:sz="0" w:space="0" w:color="auto"/>
                                            <w:right w:val="none" w:sz="0" w:space="0" w:color="auto"/>
                                          </w:divBdr>
                                          <w:divsChild>
                                            <w:div w:id="1763187674">
                                              <w:marLeft w:val="0"/>
                                              <w:marRight w:val="0"/>
                                              <w:marTop w:val="0"/>
                                              <w:marBottom w:val="0"/>
                                              <w:divBdr>
                                                <w:top w:val="none" w:sz="0" w:space="0" w:color="auto"/>
                                                <w:left w:val="none" w:sz="0" w:space="0" w:color="auto"/>
                                                <w:bottom w:val="none" w:sz="0" w:space="0" w:color="auto"/>
                                                <w:right w:val="none" w:sz="0" w:space="0" w:color="auto"/>
                                              </w:divBdr>
                                              <w:divsChild>
                                                <w:div w:id="2054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3231597">
      <w:bodyDiv w:val="1"/>
      <w:marLeft w:val="0"/>
      <w:marRight w:val="0"/>
      <w:marTop w:val="0"/>
      <w:marBottom w:val="0"/>
      <w:divBdr>
        <w:top w:val="none" w:sz="0" w:space="0" w:color="auto"/>
        <w:left w:val="none" w:sz="0" w:space="0" w:color="auto"/>
        <w:bottom w:val="none" w:sz="0" w:space="0" w:color="auto"/>
        <w:right w:val="none" w:sz="0" w:space="0" w:color="auto"/>
      </w:divBdr>
      <w:divsChild>
        <w:div w:id="78911263">
          <w:marLeft w:val="0"/>
          <w:marRight w:val="0"/>
          <w:marTop w:val="0"/>
          <w:marBottom w:val="0"/>
          <w:divBdr>
            <w:top w:val="none" w:sz="0" w:space="0" w:color="auto"/>
            <w:left w:val="none" w:sz="0" w:space="0" w:color="auto"/>
            <w:bottom w:val="none" w:sz="0" w:space="0" w:color="auto"/>
            <w:right w:val="none" w:sz="0" w:space="0" w:color="auto"/>
          </w:divBdr>
          <w:divsChild>
            <w:div w:id="1487895184">
              <w:marLeft w:val="0"/>
              <w:marRight w:val="0"/>
              <w:marTop w:val="0"/>
              <w:marBottom w:val="0"/>
              <w:divBdr>
                <w:top w:val="none" w:sz="0" w:space="0" w:color="auto"/>
                <w:left w:val="none" w:sz="0" w:space="0" w:color="auto"/>
                <w:bottom w:val="none" w:sz="0" w:space="0" w:color="auto"/>
                <w:right w:val="none" w:sz="0" w:space="0" w:color="auto"/>
              </w:divBdr>
              <w:divsChild>
                <w:div w:id="617178228">
                  <w:marLeft w:val="0"/>
                  <w:marRight w:val="0"/>
                  <w:marTop w:val="0"/>
                  <w:marBottom w:val="0"/>
                  <w:divBdr>
                    <w:top w:val="none" w:sz="0" w:space="0" w:color="auto"/>
                    <w:left w:val="none" w:sz="0" w:space="0" w:color="auto"/>
                    <w:bottom w:val="none" w:sz="0" w:space="0" w:color="auto"/>
                    <w:right w:val="none" w:sz="0" w:space="0" w:color="auto"/>
                  </w:divBdr>
                  <w:divsChild>
                    <w:div w:id="1278566981">
                      <w:marLeft w:val="0"/>
                      <w:marRight w:val="0"/>
                      <w:marTop w:val="0"/>
                      <w:marBottom w:val="0"/>
                      <w:divBdr>
                        <w:top w:val="none" w:sz="0" w:space="0" w:color="auto"/>
                        <w:left w:val="none" w:sz="0" w:space="0" w:color="auto"/>
                        <w:bottom w:val="none" w:sz="0" w:space="0" w:color="auto"/>
                        <w:right w:val="none" w:sz="0" w:space="0" w:color="auto"/>
                      </w:divBdr>
                      <w:divsChild>
                        <w:div w:id="1191988425">
                          <w:marLeft w:val="0"/>
                          <w:marRight w:val="0"/>
                          <w:marTop w:val="0"/>
                          <w:marBottom w:val="0"/>
                          <w:divBdr>
                            <w:top w:val="none" w:sz="0" w:space="0" w:color="auto"/>
                            <w:left w:val="none" w:sz="0" w:space="0" w:color="auto"/>
                            <w:bottom w:val="none" w:sz="0" w:space="0" w:color="auto"/>
                            <w:right w:val="none" w:sz="0" w:space="0" w:color="auto"/>
                          </w:divBdr>
                          <w:divsChild>
                            <w:div w:id="891890489">
                              <w:marLeft w:val="0"/>
                              <w:marRight w:val="0"/>
                              <w:marTop w:val="0"/>
                              <w:marBottom w:val="0"/>
                              <w:divBdr>
                                <w:top w:val="none" w:sz="0" w:space="0" w:color="auto"/>
                                <w:left w:val="none" w:sz="0" w:space="0" w:color="auto"/>
                                <w:bottom w:val="none" w:sz="0" w:space="0" w:color="auto"/>
                                <w:right w:val="none" w:sz="0" w:space="0" w:color="auto"/>
                              </w:divBdr>
                              <w:divsChild>
                                <w:div w:id="1745447334">
                                  <w:marLeft w:val="0"/>
                                  <w:marRight w:val="0"/>
                                  <w:marTop w:val="0"/>
                                  <w:marBottom w:val="0"/>
                                  <w:divBdr>
                                    <w:top w:val="none" w:sz="0" w:space="0" w:color="auto"/>
                                    <w:left w:val="none" w:sz="0" w:space="0" w:color="auto"/>
                                    <w:bottom w:val="none" w:sz="0" w:space="0" w:color="auto"/>
                                    <w:right w:val="none" w:sz="0" w:space="0" w:color="auto"/>
                                  </w:divBdr>
                                  <w:divsChild>
                                    <w:div w:id="666251103">
                                      <w:marLeft w:val="0"/>
                                      <w:marRight w:val="0"/>
                                      <w:marTop w:val="0"/>
                                      <w:marBottom w:val="0"/>
                                      <w:divBdr>
                                        <w:top w:val="none" w:sz="0" w:space="0" w:color="auto"/>
                                        <w:left w:val="none" w:sz="0" w:space="0" w:color="auto"/>
                                        <w:bottom w:val="none" w:sz="0" w:space="0" w:color="auto"/>
                                        <w:right w:val="none" w:sz="0" w:space="0" w:color="auto"/>
                                      </w:divBdr>
                                      <w:divsChild>
                                        <w:div w:id="1845974306">
                                          <w:marLeft w:val="0"/>
                                          <w:marRight w:val="0"/>
                                          <w:marTop w:val="0"/>
                                          <w:marBottom w:val="0"/>
                                          <w:divBdr>
                                            <w:top w:val="none" w:sz="0" w:space="0" w:color="auto"/>
                                            <w:left w:val="none" w:sz="0" w:space="0" w:color="auto"/>
                                            <w:bottom w:val="none" w:sz="0" w:space="0" w:color="auto"/>
                                            <w:right w:val="none" w:sz="0" w:space="0" w:color="auto"/>
                                          </w:divBdr>
                                          <w:divsChild>
                                            <w:div w:id="895431553">
                                              <w:marLeft w:val="0"/>
                                              <w:marRight w:val="0"/>
                                              <w:marTop w:val="0"/>
                                              <w:marBottom w:val="0"/>
                                              <w:divBdr>
                                                <w:top w:val="none" w:sz="0" w:space="0" w:color="auto"/>
                                                <w:left w:val="none" w:sz="0" w:space="0" w:color="auto"/>
                                                <w:bottom w:val="none" w:sz="0" w:space="0" w:color="auto"/>
                                                <w:right w:val="none" w:sz="0" w:space="0" w:color="auto"/>
                                              </w:divBdr>
                                              <w:divsChild>
                                                <w:div w:id="20398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407109">
      <w:bodyDiv w:val="1"/>
      <w:marLeft w:val="0"/>
      <w:marRight w:val="0"/>
      <w:marTop w:val="0"/>
      <w:marBottom w:val="0"/>
      <w:divBdr>
        <w:top w:val="none" w:sz="0" w:space="0" w:color="auto"/>
        <w:left w:val="none" w:sz="0" w:space="0" w:color="auto"/>
        <w:bottom w:val="none" w:sz="0" w:space="0" w:color="auto"/>
        <w:right w:val="none" w:sz="0" w:space="0" w:color="auto"/>
      </w:divBdr>
      <w:divsChild>
        <w:div w:id="2108386543">
          <w:marLeft w:val="0"/>
          <w:marRight w:val="0"/>
          <w:marTop w:val="0"/>
          <w:marBottom w:val="0"/>
          <w:divBdr>
            <w:top w:val="none" w:sz="0" w:space="0" w:color="auto"/>
            <w:left w:val="none" w:sz="0" w:space="0" w:color="auto"/>
            <w:bottom w:val="none" w:sz="0" w:space="0" w:color="auto"/>
            <w:right w:val="none" w:sz="0" w:space="0" w:color="auto"/>
          </w:divBdr>
          <w:divsChild>
            <w:div w:id="617369722">
              <w:marLeft w:val="0"/>
              <w:marRight w:val="0"/>
              <w:marTop w:val="0"/>
              <w:marBottom w:val="0"/>
              <w:divBdr>
                <w:top w:val="none" w:sz="0" w:space="0" w:color="auto"/>
                <w:left w:val="none" w:sz="0" w:space="0" w:color="auto"/>
                <w:bottom w:val="none" w:sz="0" w:space="0" w:color="auto"/>
                <w:right w:val="none" w:sz="0" w:space="0" w:color="auto"/>
              </w:divBdr>
              <w:divsChild>
                <w:div w:id="2098095205">
                  <w:marLeft w:val="0"/>
                  <w:marRight w:val="0"/>
                  <w:marTop w:val="0"/>
                  <w:marBottom w:val="0"/>
                  <w:divBdr>
                    <w:top w:val="none" w:sz="0" w:space="0" w:color="auto"/>
                    <w:left w:val="none" w:sz="0" w:space="0" w:color="auto"/>
                    <w:bottom w:val="none" w:sz="0" w:space="0" w:color="auto"/>
                    <w:right w:val="none" w:sz="0" w:space="0" w:color="auto"/>
                  </w:divBdr>
                  <w:divsChild>
                    <w:div w:id="456727450">
                      <w:marLeft w:val="0"/>
                      <w:marRight w:val="0"/>
                      <w:marTop w:val="0"/>
                      <w:marBottom w:val="0"/>
                      <w:divBdr>
                        <w:top w:val="none" w:sz="0" w:space="0" w:color="auto"/>
                        <w:left w:val="none" w:sz="0" w:space="0" w:color="auto"/>
                        <w:bottom w:val="none" w:sz="0" w:space="0" w:color="auto"/>
                        <w:right w:val="none" w:sz="0" w:space="0" w:color="auto"/>
                      </w:divBdr>
                      <w:divsChild>
                        <w:div w:id="1289051693">
                          <w:marLeft w:val="0"/>
                          <w:marRight w:val="0"/>
                          <w:marTop w:val="0"/>
                          <w:marBottom w:val="0"/>
                          <w:divBdr>
                            <w:top w:val="none" w:sz="0" w:space="0" w:color="auto"/>
                            <w:left w:val="none" w:sz="0" w:space="0" w:color="auto"/>
                            <w:bottom w:val="none" w:sz="0" w:space="0" w:color="auto"/>
                            <w:right w:val="none" w:sz="0" w:space="0" w:color="auto"/>
                          </w:divBdr>
                          <w:divsChild>
                            <w:div w:id="723018554">
                              <w:marLeft w:val="0"/>
                              <w:marRight w:val="0"/>
                              <w:marTop w:val="0"/>
                              <w:marBottom w:val="0"/>
                              <w:divBdr>
                                <w:top w:val="none" w:sz="0" w:space="0" w:color="auto"/>
                                <w:left w:val="none" w:sz="0" w:space="0" w:color="auto"/>
                                <w:bottom w:val="none" w:sz="0" w:space="0" w:color="auto"/>
                                <w:right w:val="none" w:sz="0" w:space="0" w:color="auto"/>
                              </w:divBdr>
                              <w:divsChild>
                                <w:div w:id="405759671">
                                  <w:marLeft w:val="0"/>
                                  <w:marRight w:val="0"/>
                                  <w:marTop w:val="0"/>
                                  <w:marBottom w:val="0"/>
                                  <w:divBdr>
                                    <w:top w:val="none" w:sz="0" w:space="0" w:color="auto"/>
                                    <w:left w:val="none" w:sz="0" w:space="0" w:color="auto"/>
                                    <w:bottom w:val="none" w:sz="0" w:space="0" w:color="auto"/>
                                    <w:right w:val="none" w:sz="0" w:space="0" w:color="auto"/>
                                  </w:divBdr>
                                  <w:divsChild>
                                    <w:div w:id="1625304581">
                                      <w:marLeft w:val="0"/>
                                      <w:marRight w:val="0"/>
                                      <w:marTop w:val="0"/>
                                      <w:marBottom w:val="0"/>
                                      <w:divBdr>
                                        <w:top w:val="none" w:sz="0" w:space="0" w:color="auto"/>
                                        <w:left w:val="none" w:sz="0" w:space="0" w:color="auto"/>
                                        <w:bottom w:val="none" w:sz="0" w:space="0" w:color="auto"/>
                                        <w:right w:val="none" w:sz="0" w:space="0" w:color="auto"/>
                                      </w:divBdr>
                                      <w:divsChild>
                                        <w:div w:id="817111472">
                                          <w:marLeft w:val="0"/>
                                          <w:marRight w:val="0"/>
                                          <w:marTop w:val="0"/>
                                          <w:marBottom w:val="0"/>
                                          <w:divBdr>
                                            <w:top w:val="none" w:sz="0" w:space="0" w:color="auto"/>
                                            <w:left w:val="none" w:sz="0" w:space="0" w:color="auto"/>
                                            <w:bottom w:val="none" w:sz="0" w:space="0" w:color="auto"/>
                                            <w:right w:val="none" w:sz="0" w:space="0" w:color="auto"/>
                                          </w:divBdr>
                                          <w:divsChild>
                                            <w:div w:id="1471747912">
                                              <w:marLeft w:val="0"/>
                                              <w:marRight w:val="0"/>
                                              <w:marTop w:val="0"/>
                                              <w:marBottom w:val="0"/>
                                              <w:divBdr>
                                                <w:top w:val="none" w:sz="0" w:space="0" w:color="auto"/>
                                                <w:left w:val="none" w:sz="0" w:space="0" w:color="auto"/>
                                                <w:bottom w:val="none" w:sz="0" w:space="0" w:color="auto"/>
                                                <w:right w:val="none" w:sz="0" w:space="0" w:color="auto"/>
                                              </w:divBdr>
                                              <w:divsChild>
                                                <w:div w:id="7650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564307">
      <w:bodyDiv w:val="1"/>
      <w:marLeft w:val="0"/>
      <w:marRight w:val="0"/>
      <w:marTop w:val="0"/>
      <w:marBottom w:val="0"/>
      <w:divBdr>
        <w:top w:val="none" w:sz="0" w:space="0" w:color="auto"/>
        <w:left w:val="none" w:sz="0" w:space="0" w:color="auto"/>
        <w:bottom w:val="none" w:sz="0" w:space="0" w:color="auto"/>
        <w:right w:val="none" w:sz="0" w:space="0" w:color="auto"/>
      </w:divBdr>
      <w:divsChild>
        <w:div w:id="420298761">
          <w:marLeft w:val="0"/>
          <w:marRight w:val="0"/>
          <w:marTop w:val="0"/>
          <w:marBottom w:val="0"/>
          <w:divBdr>
            <w:top w:val="none" w:sz="0" w:space="0" w:color="auto"/>
            <w:left w:val="none" w:sz="0" w:space="0" w:color="auto"/>
            <w:bottom w:val="none" w:sz="0" w:space="0" w:color="auto"/>
            <w:right w:val="none" w:sz="0" w:space="0" w:color="auto"/>
          </w:divBdr>
          <w:divsChild>
            <w:div w:id="1014847521">
              <w:marLeft w:val="0"/>
              <w:marRight w:val="0"/>
              <w:marTop w:val="0"/>
              <w:marBottom w:val="0"/>
              <w:divBdr>
                <w:top w:val="none" w:sz="0" w:space="0" w:color="auto"/>
                <w:left w:val="none" w:sz="0" w:space="0" w:color="auto"/>
                <w:bottom w:val="none" w:sz="0" w:space="0" w:color="auto"/>
                <w:right w:val="none" w:sz="0" w:space="0" w:color="auto"/>
              </w:divBdr>
              <w:divsChild>
                <w:div w:id="1371414318">
                  <w:marLeft w:val="0"/>
                  <w:marRight w:val="0"/>
                  <w:marTop w:val="0"/>
                  <w:marBottom w:val="0"/>
                  <w:divBdr>
                    <w:top w:val="none" w:sz="0" w:space="0" w:color="auto"/>
                    <w:left w:val="none" w:sz="0" w:space="0" w:color="auto"/>
                    <w:bottom w:val="none" w:sz="0" w:space="0" w:color="auto"/>
                    <w:right w:val="none" w:sz="0" w:space="0" w:color="auto"/>
                  </w:divBdr>
                  <w:divsChild>
                    <w:div w:id="1093162676">
                      <w:marLeft w:val="0"/>
                      <w:marRight w:val="0"/>
                      <w:marTop w:val="0"/>
                      <w:marBottom w:val="0"/>
                      <w:divBdr>
                        <w:top w:val="none" w:sz="0" w:space="0" w:color="auto"/>
                        <w:left w:val="none" w:sz="0" w:space="0" w:color="auto"/>
                        <w:bottom w:val="none" w:sz="0" w:space="0" w:color="auto"/>
                        <w:right w:val="none" w:sz="0" w:space="0" w:color="auto"/>
                      </w:divBdr>
                      <w:divsChild>
                        <w:div w:id="488594360">
                          <w:marLeft w:val="0"/>
                          <w:marRight w:val="0"/>
                          <w:marTop w:val="0"/>
                          <w:marBottom w:val="0"/>
                          <w:divBdr>
                            <w:top w:val="none" w:sz="0" w:space="0" w:color="auto"/>
                            <w:left w:val="none" w:sz="0" w:space="0" w:color="auto"/>
                            <w:bottom w:val="none" w:sz="0" w:space="0" w:color="auto"/>
                            <w:right w:val="none" w:sz="0" w:space="0" w:color="auto"/>
                          </w:divBdr>
                          <w:divsChild>
                            <w:div w:id="1395196001">
                              <w:marLeft w:val="0"/>
                              <w:marRight w:val="0"/>
                              <w:marTop w:val="0"/>
                              <w:marBottom w:val="0"/>
                              <w:divBdr>
                                <w:top w:val="none" w:sz="0" w:space="0" w:color="auto"/>
                                <w:left w:val="none" w:sz="0" w:space="0" w:color="auto"/>
                                <w:bottom w:val="none" w:sz="0" w:space="0" w:color="auto"/>
                                <w:right w:val="none" w:sz="0" w:space="0" w:color="auto"/>
                              </w:divBdr>
                              <w:divsChild>
                                <w:div w:id="1715500126">
                                  <w:marLeft w:val="0"/>
                                  <w:marRight w:val="0"/>
                                  <w:marTop w:val="0"/>
                                  <w:marBottom w:val="0"/>
                                  <w:divBdr>
                                    <w:top w:val="none" w:sz="0" w:space="0" w:color="auto"/>
                                    <w:left w:val="none" w:sz="0" w:space="0" w:color="auto"/>
                                    <w:bottom w:val="none" w:sz="0" w:space="0" w:color="auto"/>
                                    <w:right w:val="none" w:sz="0" w:space="0" w:color="auto"/>
                                  </w:divBdr>
                                  <w:divsChild>
                                    <w:div w:id="1099250775">
                                      <w:marLeft w:val="0"/>
                                      <w:marRight w:val="0"/>
                                      <w:marTop w:val="0"/>
                                      <w:marBottom w:val="0"/>
                                      <w:divBdr>
                                        <w:top w:val="none" w:sz="0" w:space="0" w:color="auto"/>
                                        <w:left w:val="none" w:sz="0" w:space="0" w:color="auto"/>
                                        <w:bottom w:val="none" w:sz="0" w:space="0" w:color="auto"/>
                                        <w:right w:val="none" w:sz="0" w:space="0" w:color="auto"/>
                                      </w:divBdr>
                                      <w:divsChild>
                                        <w:div w:id="976371775">
                                          <w:marLeft w:val="0"/>
                                          <w:marRight w:val="0"/>
                                          <w:marTop w:val="0"/>
                                          <w:marBottom w:val="0"/>
                                          <w:divBdr>
                                            <w:top w:val="none" w:sz="0" w:space="0" w:color="auto"/>
                                            <w:left w:val="none" w:sz="0" w:space="0" w:color="auto"/>
                                            <w:bottom w:val="none" w:sz="0" w:space="0" w:color="auto"/>
                                            <w:right w:val="none" w:sz="0" w:space="0" w:color="auto"/>
                                          </w:divBdr>
                                          <w:divsChild>
                                            <w:div w:id="94446776">
                                              <w:marLeft w:val="0"/>
                                              <w:marRight w:val="0"/>
                                              <w:marTop w:val="0"/>
                                              <w:marBottom w:val="0"/>
                                              <w:divBdr>
                                                <w:top w:val="none" w:sz="0" w:space="0" w:color="auto"/>
                                                <w:left w:val="none" w:sz="0" w:space="0" w:color="auto"/>
                                                <w:bottom w:val="none" w:sz="0" w:space="0" w:color="auto"/>
                                                <w:right w:val="none" w:sz="0" w:space="0" w:color="auto"/>
                                              </w:divBdr>
                                              <w:divsChild>
                                                <w:div w:id="2968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5981085">
      <w:bodyDiv w:val="1"/>
      <w:marLeft w:val="0"/>
      <w:marRight w:val="0"/>
      <w:marTop w:val="0"/>
      <w:marBottom w:val="0"/>
      <w:divBdr>
        <w:top w:val="none" w:sz="0" w:space="0" w:color="auto"/>
        <w:left w:val="none" w:sz="0" w:space="0" w:color="auto"/>
        <w:bottom w:val="none" w:sz="0" w:space="0" w:color="auto"/>
        <w:right w:val="none" w:sz="0" w:space="0" w:color="auto"/>
      </w:divBdr>
      <w:divsChild>
        <w:div w:id="226260198">
          <w:marLeft w:val="0"/>
          <w:marRight w:val="0"/>
          <w:marTop w:val="0"/>
          <w:marBottom w:val="0"/>
          <w:divBdr>
            <w:top w:val="none" w:sz="0" w:space="0" w:color="auto"/>
            <w:left w:val="none" w:sz="0" w:space="0" w:color="auto"/>
            <w:bottom w:val="none" w:sz="0" w:space="0" w:color="auto"/>
            <w:right w:val="none" w:sz="0" w:space="0" w:color="auto"/>
          </w:divBdr>
          <w:divsChild>
            <w:div w:id="708917019">
              <w:marLeft w:val="0"/>
              <w:marRight w:val="0"/>
              <w:marTop w:val="0"/>
              <w:marBottom w:val="0"/>
              <w:divBdr>
                <w:top w:val="none" w:sz="0" w:space="0" w:color="auto"/>
                <w:left w:val="none" w:sz="0" w:space="0" w:color="auto"/>
                <w:bottom w:val="none" w:sz="0" w:space="0" w:color="auto"/>
                <w:right w:val="none" w:sz="0" w:space="0" w:color="auto"/>
              </w:divBdr>
              <w:divsChild>
                <w:div w:id="1118066568">
                  <w:marLeft w:val="0"/>
                  <w:marRight w:val="0"/>
                  <w:marTop w:val="0"/>
                  <w:marBottom w:val="0"/>
                  <w:divBdr>
                    <w:top w:val="none" w:sz="0" w:space="0" w:color="auto"/>
                    <w:left w:val="none" w:sz="0" w:space="0" w:color="auto"/>
                    <w:bottom w:val="none" w:sz="0" w:space="0" w:color="auto"/>
                    <w:right w:val="none" w:sz="0" w:space="0" w:color="auto"/>
                  </w:divBdr>
                  <w:divsChild>
                    <w:div w:id="1385986011">
                      <w:marLeft w:val="0"/>
                      <w:marRight w:val="0"/>
                      <w:marTop w:val="0"/>
                      <w:marBottom w:val="0"/>
                      <w:divBdr>
                        <w:top w:val="none" w:sz="0" w:space="0" w:color="auto"/>
                        <w:left w:val="none" w:sz="0" w:space="0" w:color="auto"/>
                        <w:bottom w:val="none" w:sz="0" w:space="0" w:color="auto"/>
                        <w:right w:val="none" w:sz="0" w:space="0" w:color="auto"/>
                      </w:divBdr>
                      <w:divsChild>
                        <w:div w:id="864710886">
                          <w:marLeft w:val="0"/>
                          <w:marRight w:val="0"/>
                          <w:marTop w:val="0"/>
                          <w:marBottom w:val="0"/>
                          <w:divBdr>
                            <w:top w:val="none" w:sz="0" w:space="0" w:color="auto"/>
                            <w:left w:val="none" w:sz="0" w:space="0" w:color="auto"/>
                            <w:bottom w:val="none" w:sz="0" w:space="0" w:color="auto"/>
                            <w:right w:val="none" w:sz="0" w:space="0" w:color="auto"/>
                          </w:divBdr>
                          <w:divsChild>
                            <w:div w:id="276257876">
                              <w:marLeft w:val="0"/>
                              <w:marRight w:val="0"/>
                              <w:marTop w:val="0"/>
                              <w:marBottom w:val="0"/>
                              <w:divBdr>
                                <w:top w:val="none" w:sz="0" w:space="0" w:color="auto"/>
                                <w:left w:val="none" w:sz="0" w:space="0" w:color="auto"/>
                                <w:bottom w:val="none" w:sz="0" w:space="0" w:color="auto"/>
                                <w:right w:val="none" w:sz="0" w:space="0" w:color="auto"/>
                              </w:divBdr>
                              <w:divsChild>
                                <w:div w:id="208080724">
                                  <w:marLeft w:val="0"/>
                                  <w:marRight w:val="0"/>
                                  <w:marTop w:val="0"/>
                                  <w:marBottom w:val="0"/>
                                  <w:divBdr>
                                    <w:top w:val="none" w:sz="0" w:space="0" w:color="auto"/>
                                    <w:left w:val="none" w:sz="0" w:space="0" w:color="auto"/>
                                    <w:bottom w:val="none" w:sz="0" w:space="0" w:color="auto"/>
                                    <w:right w:val="none" w:sz="0" w:space="0" w:color="auto"/>
                                  </w:divBdr>
                                  <w:divsChild>
                                    <w:div w:id="758328794">
                                      <w:marLeft w:val="0"/>
                                      <w:marRight w:val="0"/>
                                      <w:marTop w:val="0"/>
                                      <w:marBottom w:val="0"/>
                                      <w:divBdr>
                                        <w:top w:val="none" w:sz="0" w:space="0" w:color="auto"/>
                                        <w:left w:val="none" w:sz="0" w:space="0" w:color="auto"/>
                                        <w:bottom w:val="none" w:sz="0" w:space="0" w:color="auto"/>
                                        <w:right w:val="none" w:sz="0" w:space="0" w:color="auto"/>
                                      </w:divBdr>
                                      <w:divsChild>
                                        <w:div w:id="1975721036">
                                          <w:marLeft w:val="0"/>
                                          <w:marRight w:val="0"/>
                                          <w:marTop w:val="0"/>
                                          <w:marBottom w:val="0"/>
                                          <w:divBdr>
                                            <w:top w:val="none" w:sz="0" w:space="0" w:color="auto"/>
                                            <w:left w:val="none" w:sz="0" w:space="0" w:color="auto"/>
                                            <w:bottom w:val="none" w:sz="0" w:space="0" w:color="auto"/>
                                            <w:right w:val="none" w:sz="0" w:space="0" w:color="auto"/>
                                          </w:divBdr>
                                          <w:divsChild>
                                            <w:div w:id="28185621">
                                              <w:marLeft w:val="0"/>
                                              <w:marRight w:val="0"/>
                                              <w:marTop w:val="0"/>
                                              <w:marBottom w:val="0"/>
                                              <w:divBdr>
                                                <w:top w:val="none" w:sz="0" w:space="0" w:color="auto"/>
                                                <w:left w:val="none" w:sz="0" w:space="0" w:color="auto"/>
                                                <w:bottom w:val="none" w:sz="0" w:space="0" w:color="auto"/>
                                                <w:right w:val="none" w:sz="0" w:space="0" w:color="auto"/>
                                              </w:divBdr>
                                              <w:divsChild>
                                                <w:div w:id="20997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059601">
      <w:bodyDiv w:val="1"/>
      <w:marLeft w:val="0"/>
      <w:marRight w:val="0"/>
      <w:marTop w:val="0"/>
      <w:marBottom w:val="0"/>
      <w:divBdr>
        <w:top w:val="none" w:sz="0" w:space="0" w:color="auto"/>
        <w:left w:val="none" w:sz="0" w:space="0" w:color="auto"/>
        <w:bottom w:val="none" w:sz="0" w:space="0" w:color="auto"/>
        <w:right w:val="none" w:sz="0" w:space="0" w:color="auto"/>
      </w:divBdr>
      <w:divsChild>
        <w:div w:id="215361758">
          <w:marLeft w:val="0"/>
          <w:marRight w:val="0"/>
          <w:marTop w:val="0"/>
          <w:marBottom w:val="0"/>
          <w:divBdr>
            <w:top w:val="none" w:sz="0" w:space="0" w:color="auto"/>
            <w:left w:val="none" w:sz="0" w:space="0" w:color="auto"/>
            <w:bottom w:val="none" w:sz="0" w:space="0" w:color="auto"/>
            <w:right w:val="none" w:sz="0" w:space="0" w:color="auto"/>
          </w:divBdr>
          <w:divsChild>
            <w:div w:id="744229475">
              <w:marLeft w:val="0"/>
              <w:marRight w:val="0"/>
              <w:marTop w:val="0"/>
              <w:marBottom w:val="0"/>
              <w:divBdr>
                <w:top w:val="none" w:sz="0" w:space="0" w:color="auto"/>
                <w:left w:val="none" w:sz="0" w:space="0" w:color="auto"/>
                <w:bottom w:val="none" w:sz="0" w:space="0" w:color="auto"/>
                <w:right w:val="none" w:sz="0" w:space="0" w:color="auto"/>
              </w:divBdr>
              <w:divsChild>
                <w:div w:id="1115752987">
                  <w:marLeft w:val="0"/>
                  <w:marRight w:val="0"/>
                  <w:marTop w:val="0"/>
                  <w:marBottom w:val="0"/>
                  <w:divBdr>
                    <w:top w:val="none" w:sz="0" w:space="0" w:color="auto"/>
                    <w:left w:val="none" w:sz="0" w:space="0" w:color="auto"/>
                    <w:bottom w:val="none" w:sz="0" w:space="0" w:color="auto"/>
                    <w:right w:val="none" w:sz="0" w:space="0" w:color="auto"/>
                  </w:divBdr>
                  <w:divsChild>
                    <w:div w:id="1012420041">
                      <w:marLeft w:val="0"/>
                      <w:marRight w:val="0"/>
                      <w:marTop w:val="0"/>
                      <w:marBottom w:val="0"/>
                      <w:divBdr>
                        <w:top w:val="none" w:sz="0" w:space="0" w:color="auto"/>
                        <w:left w:val="none" w:sz="0" w:space="0" w:color="auto"/>
                        <w:bottom w:val="none" w:sz="0" w:space="0" w:color="auto"/>
                        <w:right w:val="none" w:sz="0" w:space="0" w:color="auto"/>
                      </w:divBdr>
                      <w:divsChild>
                        <w:div w:id="1091587296">
                          <w:marLeft w:val="0"/>
                          <w:marRight w:val="0"/>
                          <w:marTop w:val="0"/>
                          <w:marBottom w:val="0"/>
                          <w:divBdr>
                            <w:top w:val="none" w:sz="0" w:space="0" w:color="auto"/>
                            <w:left w:val="none" w:sz="0" w:space="0" w:color="auto"/>
                            <w:bottom w:val="none" w:sz="0" w:space="0" w:color="auto"/>
                            <w:right w:val="none" w:sz="0" w:space="0" w:color="auto"/>
                          </w:divBdr>
                          <w:divsChild>
                            <w:div w:id="271671481">
                              <w:marLeft w:val="0"/>
                              <w:marRight w:val="0"/>
                              <w:marTop w:val="0"/>
                              <w:marBottom w:val="0"/>
                              <w:divBdr>
                                <w:top w:val="none" w:sz="0" w:space="0" w:color="auto"/>
                                <w:left w:val="none" w:sz="0" w:space="0" w:color="auto"/>
                                <w:bottom w:val="none" w:sz="0" w:space="0" w:color="auto"/>
                                <w:right w:val="none" w:sz="0" w:space="0" w:color="auto"/>
                              </w:divBdr>
                              <w:divsChild>
                                <w:div w:id="740251051">
                                  <w:marLeft w:val="0"/>
                                  <w:marRight w:val="0"/>
                                  <w:marTop w:val="0"/>
                                  <w:marBottom w:val="0"/>
                                  <w:divBdr>
                                    <w:top w:val="none" w:sz="0" w:space="0" w:color="auto"/>
                                    <w:left w:val="none" w:sz="0" w:space="0" w:color="auto"/>
                                    <w:bottom w:val="none" w:sz="0" w:space="0" w:color="auto"/>
                                    <w:right w:val="none" w:sz="0" w:space="0" w:color="auto"/>
                                  </w:divBdr>
                                  <w:divsChild>
                                    <w:div w:id="265624342">
                                      <w:marLeft w:val="0"/>
                                      <w:marRight w:val="0"/>
                                      <w:marTop w:val="0"/>
                                      <w:marBottom w:val="0"/>
                                      <w:divBdr>
                                        <w:top w:val="none" w:sz="0" w:space="0" w:color="auto"/>
                                        <w:left w:val="none" w:sz="0" w:space="0" w:color="auto"/>
                                        <w:bottom w:val="none" w:sz="0" w:space="0" w:color="auto"/>
                                        <w:right w:val="none" w:sz="0" w:space="0" w:color="auto"/>
                                      </w:divBdr>
                                      <w:divsChild>
                                        <w:div w:id="801112875">
                                          <w:marLeft w:val="0"/>
                                          <w:marRight w:val="0"/>
                                          <w:marTop w:val="0"/>
                                          <w:marBottom w:val="0"/>
                                          <w:divBdr>
                                            <w:top w:val="none" w:sz="0" w:space="0" w:color="auto"/>
                                            <w:left w:val="none" w:sz="0" w:space="0" w:color="auto"/>
                                            <w:bottom w:val="none" w:sz="0" w:space="0" w:color="auto"/>
                                            <w:right w:val="none" w:sz="0" w:space="0" w:color="auto"/>
                                          </w:divBdr>
                                          <w:divsChild>
                                            <w:div w:id="542520165">
                                              <w:marLeft w:val="0"/>
                                              <w:marRight w:val="0"/>
                                              <w:marTop w:val="0"/>
                                              <w:marBottom w:val="0"/>
                                              <w:divBdr>
                                                <w:top w:val="none" w:sz="0" w:space="0" w:color="auto"/>
                                                <w:left w:val="none" w:sz="0" w:space="0" w:color="auto"/>
                                                <w:bottom w:val="none" w:sz="0" w:space="0" w:color="auto"/>
                                                <w:right w:val="none" w:sz="0" w:space="0" w:color="auto"/>
                                              </w:divBdr>
                                              <w:divsChild>
                                                <w:div w:id="8399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1517614">
      <w:bodyDiv w:val="1"/>
      <w:marLeft w:val="0"/>
      <w:marRight w:val="0"/>
      <w:marTop w:val="0"/>
      <w:marBottom w:val="0"/>
      <w:divBdr>
        <w:top w:val="none" w:sz="0" w:space="0" w:color="auto"/>
        <w:left w:val="none" w:sz="0" w:space="0" w:color="auto"/>
        <w:bottom w:val="none" w:sz="0" w:space="0" w:color="auto"/>
        <w:right w:val="none" w:sz="0" w:space="0" w:color="auto"/>
      </w:divBdr>
      <w:divsChild>
        <w:div w:id="1780641579">
          <w:marLeft w:val="0"/>
          <w:marRight w:val="0"/>
          <w:marTop w:val="0"/>
          <w:marBottom w:val="0"/>
          <w:divBdr>
            <w:top w:val="none" w:sz="0" w:space="0" w:color="auto"/>
            <w:left w:val="none" w:sz="0" w:space="0" w:color="auto"/>
            <w:bottom w:val="none" w:sz="0" w:space="0" w:color="auto"/>
            <w:right w:val="none" w:sz="0" w:space="0" w:color="auto"/>
          </w:divBdr>
          <w:divsChild>
            <w:div w:id="1648781095">
              <w:marLeft w:val="0"/>
              <w:marRight w:val="0"/>
              <w:marTop w:val="0"/>
              <w:marBottom w:val="0"/>
              <w:divBdr>
                <w:top w:val="none" w:sz="0" w:space="0" w:color="auto"/>
                <w:left w:val="none" w:sz="0" w:space="0" w:color="auto"/>
                <w:bottom w:val="none" w:sz="0" w:space="0" w:color="auto"/>
                <w:right w:val="none" w:sz="0" w:space="0" w:color="auto"/>
              </w:divBdr>
              <w:divsChild>
                <w:div w:id="1050956044">
                  <w:marLeft w:val="0"/>
                  <w:marRight w:val="0"/>
                  <w:marTop w:val="0"/>
                  <w:marBottom w:val="0"/>
                  <w:divBdr>
                    <w:top w:val="none" w:sz="0" w:space="0" w:color="auto"/>
                    <w:left w:val="none" w:sz="0" w:space="0" w:color="auto"/>
                    <w:bottom w:val="none" w:sz="0" w:space="0" w:color="auto"/>
                    <w:right w:val="none" w:sz="0" w:space="0" w:color="auto"/>
                  </w:divBdr>
                  <w:divsChild>
                    <w:div w:id="931620966">
                      <w:marLeft w:val="0"/>
                      <w:marRight w:val="0"/>
                      <w:marTop w:val="0"/>
                      <w:marBottom w:val="0"/>
                      <w:divBdr>
                        <w:top w:val="none" w:sz="0" w:space="0" w:color="auto"/>
                        <w:left w:val="none" w:sz="0" w:space="0" w:color="auto"/>
                        <w:bottom w:val="none" w:sz="0" w:space="0" w:color="auto"/>
                        <w:right w:val="none" w:sz="0" w:space="0" w:color="auto"/>
                      </w:divBdr>
                      <w:divsChild>
                        <w:div w:id="487206229">
                          <w:marLeft w:val="0"/>
                          <w:marRight w:val="0"/>
                          <w:marTop w:val="0"/>
                          <w:marBottom w:val="0"/>
                          <w:divBdr>
                            <w:top w:val="none" w:sz="0" w:space="0" w:color="auto"/>
                            <w:left w:val="none" w:sz="0" w:space="0" w:color="auto"/>
                            <w:bottom w:val="none" w:sz="0" w:space="0" w:color="auto"/>
                            <w:right w:val="none" w:sz="0" w:space="0" w:color="auto"/>
                          </w:divBdr>
                          <w:divsChild>
                            <w:div w:id="387651243">
                              <w:marLeft w:val="0"/>
                              <w:marRight w:val="0"/>
                              <w:marTop w:val="0"/>
                              <w:marBottom w:val="0"/>
                              <w:divBdr>
                                <w:top w:val="none" w:sz="0" w:space="0" w:color="auto"/>
                                <w:left w:val="none" w:sz="0" w:space="0" w:color="auto"/>
                                <w:bottom w:val="none" w:sz="0" w:space="0" w:color="auto"/>
                                <w:right w:val="none" w:sz="0" w:space="0" w:color="auto"/>
                              </w:divBdr>
                              <w:divsChild>
                                <w:div w:id="567305327">
                                  <w:marLeft w:val="0"/>
                                  <w:marRight w:val="0"/>
                                  <w:marTop w:val="0"/>
                                  <w:marBottom w:val="0"/>
                                  <w:divBdr>
                                    <w:top w:val="none" w:sz="0" w:space="0" w:color="auto"/>
                                    <w:left w:val="none" w:sz="0" w:space="0" w:color="auto"/>
                                    <w:bottom w:val="none" w:sz="0" w:space="0" w:color="auto"/>
                                    <w:right w:val="none" w:sz="0" w:space="0" w:color="auto"/>
                                  </w:divBdr>
                                  <w:divsChild>
                                    <w:div w:id="1008365393">
                                      <w:marLeft w:val="0"/>
                                      <w:marRight w:val="0"/>
                                      <w:marTop w:val="0"/>
                                      <w:marBottom w:val="0"/>
                                      <w:divBdr>
                                        <w:top w:val="none" w:sz="0" w:space="0" w:color="auto"/>
                                        <w:left w:val="none" w:sz="0" w:space="0" w:color="auto"/>
                                        <w:bottom w:val="none" w:sz="0" w:space="0" w:color="auto"/>
                                        <w:right w:val="none" w:sz="0" w:space="0" w:color="auto"/>
                                      </w:divBdr>
                                      <w:divsChild>
                                        <w:div w:id="670959488">
                                          <w:marLeft w:val="0"/>
                                          <w:marRight w:val="0"/>
                                          <w:marTop w:val="0"/>
                                          <w:marBottom w:val="0"/>
                                          <w:divBdr>
                                            <w:top w:val="none" w:sz="0" w:space="0" w:color="auto"/>
                                            <w:left w:val="none" w:sz="0" w:space="0" w:color="auto"/>
                                            <w:bottom w:val="none" w:sz="0" w:space="0" w:color="auto"/>
                                            <w:right w:val="none" w:sz="0" w:space="0" w:color="auto"/>
                                          </w:divBdr>
                                          <w:divsChild>
                                            <w:div w:id="468133585">
                                              <w:marLeft w:val="0"/>
                                              <w:marRight w:val="0"/>
                                              <w:marTop w:val="0"/>
                                              <w:marBottom w:val="0"/>
                                              <w:divBdr>
                                                <w:top w:val="none" w:sz="0" w:space="0" w:color="auto"/>
                                                <w:left w:val="none" w:sz="0" w:space="0" w:color="auto"/>
                                                <w:bottom w:val="none" w:sz="0" w:space="0" w:color="auto"/>
                                                <w:right w:val="none" w:sz="0" w:space="0" w:color="auto"/>
                                              </w:divBdr>
                                              <w:divsChild>
                                                <w:div w:id="1941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186515">
      <w:bodyDiv w:val="1"/>
      <w:marLeft w:val="0"/>
      <w:marRight w:val="0"/>
      <w:marTop w:val="0"/>
      <w:marBottom w:val="0"/>
      <w:divBdr>
        <w:top w:val="none" w:sz="0" w:space="0" w:color="auto"/>
        <w:left w:val="none" w:sz="0" w:space="0" w:color="auto"/>
        <w:bottom w:val="none" w:sz="0" w:space="0" w:color="auto"/>
        <w:right w:val="none" w:sz="0" w:space="0" w:color="auto"/>
      </w:divBdr>
      <w:divsChild>
        <w:div w:id="1734351370">
          <w:marLeft w:val="0"/>
          <w:marRight w:val="0"/>
          <w:marTop w:val="0"/>
          <w:marBottom w:val="0"/>
          <w:divBdr>
            <w:top w:val="none" w:sz="0" w:space="0" w:color="auto"/>
            <w:left w:val="none" w:sz="0" w:space="0" w:color="auto"/>
            <w:bottom w:val="none" w:sz="0" w:space="0" w:color="auto"/>
            <w:right w:val="none" w:sz="0" w:space="0" w:color="auto"/>
          </w:divBdr>
          <w:divsChild>
            <w:div w:id="1930843358">
              <w:marLeft w:val="0"/>
              <w:marRight w:val="0"/>
              <w:marTop w:val="0"/>
              <w:marBottom w:val="0"/>
              <w:divBdr>
                <w:top w:val="none" w:sz="0" w:space="0" w:color="auto"/>
                <w:left w:val="none" w:sz="0" w:space="0" w:color="auto"/>
                <w:bottom w:val="none" w:sz="0" w:space="0" w:color="auto"/>
                <w:right w:val="none" w:sz="0" w:space="0" w:color="auto"/>
              </w:divBdr>
              <w:divsChild>
                <w:div w:id="203910128">
                  <w:marLeft w:val="0"/>
                  <w:marRight w:val="0"/>
                  <w:marTop w:val="0"/>
                  <w:marBottom w:val="0"/>
                  <w:divBdr>
                    <w:top w:val="none" w:sz="0" w:space="0" w:color="auto"/>
                    <w:left w:val="none" w:sz="0" w:space="0" w:color="auto"/>
                    <w:bottom w:val="none" w:sz="0" w:space="0" w:color="auto"/>
                    <w:right w:val="none" w:sz="0" w:space="0" w:color="auto"/>
                  </w:divBdr>
                  <w:divsChild>
                    <w:div w:id="1600602937">
                      <w:marLeft w:val="0"/>
                      <w:marRight w:val="0"/>
                      <w:marTop w:val="0"/>
                      <w:marBottom w:val="0"/>
                      <w:divBdr>
                        <w:top w:val="none" w:sz="0" w:space="0" w:color="auto"/>
                        <w:left w:val="none" w:sz="0" w:space="0" w:color="auto"/>
                        <w:bottom w:val="none" w:sz="0" w:space="0" w:color="auto"/>
                        <w:right w:val="none" w:sz="0" w:space="0" w:color="auto"/>
                      </w:divBdr>
                      <w:divsChild>
                        <w:div w:id="1215965252">
                          <w:marLeft w:val="0"/>
                          <w:marRight w:val="0"/>
                          <w:marTop w:val="0"/>
                          <w:marBottom w:val="0"/>
                          <w:divBdr>
                            <w:top w:val="none" w:sz="0" w:space="0" w:color="auto"/>
                            <w:left w:val="none" w:sz="0" w:space="0" w:color="auto"/>
                            <w:bottom w:val="none" w:sz="0" w:space="0" w:color="auto"/>
                            <w:right w:val="none" w:sz="0" w:space="0" w:color="auto"/>
                          </w:divBdr>
                          <w:divsChild>
                            <w:div w:id="1725369717">
                              <w:marLeft w:val="0"/>
                              <w:marRight w:val="0"/>
                              <w:marTop w:val="0"/>
                              <w:marBottom w:val="0"/>
                              <w:divBdr>
                                <w:top w:val="none" w:sz="0" w:space="0" w:color="auto"/>
                                <w:left w:val="none" w:sz="0" w:space="0" w:color="auto"/>
                                <w:bottom w:val="none" w:sz="0" w:space="0" w:color="auto"/>
                                <w:right w:val="none" w:sz="0" w:space="0" w:color="auto"/>
                              </w:divBdr>
                              <w:divsChild>
                                <w:div w:id="390422681">
                                  <w:marLeft w:val="0"/>
                                  <w:marRight w:val="0"/>
                                  <w:marTop w:val="0"/>
                                  <w:marBottom w:val="0"/>
                                  <w:divBdr>
                                    <w:top w:val="none" w:sz="0" w:space="0" w:color="auto"/>
                                    <w:left w:val="none" w:sz="0" w:space="0" w:color="auto"/>
                                    <w:bottom w:val="none" w:sz="0" w:space="0" w:color="auto"/>
                                    <w:right w:val="none" w:sz="0" w:space="0" w:color="auto"/>
                                  </w:divBdr>
                                  <w:divsChild>
                                    <w:div w:id="889265618">
                                      <w:marLeft w:val="0"/>
                                      <w:marRight w:val="0"/>
                                      <w:marTop w:val="0"/>
                                      <w:marBottom w:val="0"/>
                                      <w:divBdr>
                                        <w:top w:val="none" w:sz="0" w:space="0" w:color="auto"/>
                                        <w:left w:val="none" w:sz="0" w:space="0" w:color="auto"/>
                                        <w:bottom w:val="none" w:sz="0" w:space="0" w:color="auto"/>
                                        <w:right w:val="none" w:sz="0" w:space="0" w:color="auto"/>
                                      </w:divBdr>
                                      <w:divsChild>
                                        <w:div w:id="810755766">
                                          <w:marLeft w:val="0"/>
                                          <w:marRight w:val="0"/>
                                          <w:marTop w:val="0"/>
                                          <w:marBottom w:val="0"/>
                                          <w:divBdr>
                                            <w:top w:val="none" w:sz="0" w:space="0" w:color="auto"/>
                                            <w:left w:val="none" w:sz="0" w:space="0" w:color="auto"/>
                                            <w:bottom w:val="none" w:sz="0" w:space="0" w:color="auto"/>
                                            <w:right w:val="none" w:sz="0" w:space="0" w:color="auto"/>
                                          </w:divBdr>
                                          <w:divsChild>
                                            <w:div w:id="1120494340">
                                              <w:marLeft w:val="0"/>
                                              <w:marRight w:val="0"/>
                                              <w:marTop w:val="0"/>
                                              <w:marBottom w:val="0"/>
                                              <w:divBdr>
                                                <w:top w:val="none" w:sz="0" w:space="0" w:color="auto"/>
                                                <w:left w:val="none" w:sz="0" w:space="0" w:color="auto"/>
                                                <w:bottom w:val="none" w:sz="0" w:space="0" w:color="auto"/>
                                                <w:right w:val="none" w:sz="0" w:space="0" w:color="auto"/>
                                              </w:divBdr>
                                              <w:divsChild>
                                                <w:div w:id="16630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4A594143D446F597ABEEE4B2BBCC1F"/>
        <w:category>
          <w:name w:val="General"/>
          <w:gallery w:val="placeholder"/>
        </w:category>
        <w:types>
          <w:type w:val="bbPlcHdr"/>
        </w:types>
        <w:behaviors>
          <w:behavior w:val="content"/>
        </w:behaviors>
        <w:guid w:val="{FF830BAA-3DCC-4464-AE69-1F653A498BEA}"/>
      </w:docPartPr>
      <w:docPartBody>
        <w:p w:rsidR="00810D58" w:rsidRDefault="00000F6C" w:rsidP="00000F6C">
          <w:pPr>
            <w:pStyle w:val="C14A594143D446F597ABEEE4B2BBCC1F"/>
          </w:pPr>
          <w:r w:rsidRPr="005C44BE">
            <w:rPr>
              <w:rStyle w:val="PlaceholderText"/>
            </w:rPr>
            <w:t>Click or tap here to enter text.</w:t>
          </w:r>
        </w:p>
      </w:docPartBody>
    </w:docPart>
    <w:docPart>
      <w:docPartPr>
        <w:name w:val="40556FA4C6A346F890A7A8B71CE13D51"/>
        <w:category>
          <w:name w:val="General"/>
          <w:gallery w:val="placeholder"/>
        </w:category>
        <w:types>
          <w:type w:val="bbPlcHdr"/>
        </w:types>
        <w:behaviors>
          <w:behavior w:val="content"/>
        </w:behaviors>
        <w:guid w:val="{E02A3586-DAF8-4D73-A77C-C5B2A320BBBD}"/>
      </w:docPartPr>
      <w:docPartBody>
        <w:p w:rsidR="00810D58" w:rsidRDefault="00000F6C" w:rsidP="00000F6C">
          <w:pPr>
            <w:pStyle w:val="40556FA4C6A346F890A7A8B71CE13D51"/>
          </w:pPr>
          <w:r w:rsidRPr="005C44BE">
            <w:rPr>
              <w:rStyle w:val="PlaceholderText"/>
            </w:rPr>
            <w:t>Click or tap here to enter text.</w:t>
          </w:r>
        </w:p>
      </w:docPartBody>
    </w:docPart>
    <w:docPart>
      <w:docPartPr>
        <w:name w:val="91928B8A7A80471BB31C4E221DB4AE67"/>
        <w:category>
          <w:name w:val="General"/>
          <w:gallery w:val="placeholder"/>
        </w:category>
        <w:types>
          <w:type w:val="bbPlcHdr"/>
        </w:types>
        <w:behaviors>
          <w:behavior w:val="content"/>
        </w:behaviors>
        <w:guid w:val="{6B2DDEB2-379A-4235-A308-B48224D6C9F1}"/>
      </w:docPartPr>
      <w:docPartBody>
        <w:p w:rsidR="00107DEF" w:rsidRDefault="00201591" w:rsidP="00201591">
          <w:pPr>
            <w:pStyle w:val="91928B8A7A80471BB31C4E221DB4AE67"/>
          </w:pPr>
          <w:r w:rsidRPr="005C44BE">
            <w:rPr>
              <w:rStyle w:val="PlaceholderText"/>
            </w:rPr>
            <w:t>Click or tap here to enter text.</w:t>
          </w:r>
        </w:p>
      </w:docPartBody>
    </w:docPart>
    <w:docPart>
      <w:docPartPr>
        <w:name w:val="D0510A30B1EF44F8AB0156FF1AFB89C7"/>
        <w:category>
          <w:name w:val="General"/>
          <w:gallery w:val="placeholder"/>
        </w:category>
        <w:types>
          <w:type w:val="bbPlcHdr"/>
        </w:types>
        <w:behaviors>
          <w:behavior w:val="content"/>
        </w:behaviors>
        <w:guid w:val="{936FD843-475E-4753-9278-2DB9CBA1D3E7}"/>
      </w:docPartPr>
      <w:docPartBody>
        <w:p w:rsidR="00107DEF" w:rsidRDefault="00201591" w:rsidP="00201591">
          <w:pPr>
            <w:pStyle w:val="D0510A30B1EF44F8AB0156FF1AFB89C7"/>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6C"/>
    <w:rsid w:val="00000F6C"/>
    <w:rsid w:val="00013EE3"/>
    <w:rsid w:val="00107DEF"/>
    <w:rsid w:val="00201591"/>
    <w:rsid w:val="00810D58"/>
    <w:rsid w:val="00FD0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591"/>
    <w:rPr>
      <w:color w:val="808080"/>
    </w:rPr>
  </w:style>
  <w:style w:type="paragraph" w:customStyle="1" w:styleId="022B01FC3388493EA7B3AD08A18F5FE5">
    <w:name w:val="022B01FC3388493EA7B3AD08A18F5FE5"/>
    <w:rsid w:val="00000F6C"/>
  </w:style>
  <w:style w:type="paragraph" w:customStyle="1" w:styleId="18E33334AA754CC1A06A7731128A63BB">
    <w:name w:val="18E33334AA754CC1A06A7731128A63BB"/>
    <w:rsid w:val="00000F6C"/>
  </w:style>
  <w:style w:type="paragraph" w:customStyle="1" w:styleId="6C1517C749D840C2A971984E9DF055C8">
    <w:name w:val="6C1517C749D840C2A971984E9DF055C8"/>
    <w:rsid w:val="00000F6C"/>
  </w:style>
  <w:style w:type="paragraph" w:customStyle="1" w:styleId="52CD7FA99534458996F9EE133A38C352">
    <w:name w:val="52CD7FA99534458996F9EE133A38C352"/>
    <w:rsid w:val="00000F6C"/>
  </w:style>
  <w:style w:type="paragraph" w:customStyle="1" w:styleId="C14A594143D446F597ABEEE4B2BBCC1F">
    <w:name w:val="C14A594143D446F597ABEEE4B2BBCC1F"/>
    <w:rsid w:val="00000F6C"/>
  </w:style>
  <w:style w:type="paragraph" w:customStyle="1" w:styleId="40556FA4C6A346F890A7A8B71CE13D51">
    <w:name w:val="40556FA4C6A346F890A7A8B71CE13D51"/>
    <w:rsid w:val="00000F6C"/>
  </w:style>
  <w:style w:type="paragraph" w:customStyle="1" w:styleId="8C57CF049BCB431F9F09534DBC8573E4">
    <w:name w:val="8C57CF049BCB431F9F09534DBC8573E4"/>
    <w:rsid w:val="00000F6C"/>
  </w:style>
  <w:style w:type="paragraph" w:customStyle="1" w:styleId="C05897BE0A1A4167891630DAE4989A1B">
    <w:name w:val="C05897BE0A1A4167891630DAE4989A1B"/>
    <w:rsid w:val="00000F6C"/>
  </w:style>
  <w:style w:type="paragraph" w:customStyle="1" w:styleId="0542671BFE1A4340ADFC9939914149FF">
    <w:name w:val="0542671BFE1A4340ADFC9939914149FF"/>
    <w:rsid w:val="00201591"/>
  </w:style>
  <w:style w:type="paragraph" w:customStyle="1" w:styleId="C92C8EFDE8D7452786874E7474994513">
    <w:name w:val="C92C8EFDE8D7452786874E7474994513"/>
    <w:rsid w:val="00201591"/>
  </w:style>
  <w:style w:type="paragraph" w:customStyle="1" w:styleId="CFA289860A9C4B678F00CC7D2628E64B">
    <w:name w:val="CFA289860A9C4B678F00CC7D2628E64B"/>
    <w:rsid w:val="00201591"/>
  </w:style>
  <w:style w:type="paragraph" w:customStyle="1" w:styleId="CC4715EC2E26438E9861D0D59EA1D472">
    <w:name w:val="CC4715EC2E26438E9861D0D59EA1D472"/>
    <w:rsid w:val="00201591"/>
  </w:style>
  <w:style w:type="paragraph" w:customStyle="1" w:styleId="C3206CC7041A44FB8494702BEFB992C3">
    <w:name w:val="C3206CC7041A44FB8494702BEFB992C3"/>
    <w:rsid w:val="00201591"/>
  </w:style>
  <w:style w:type="paragraph" w:customStyle="1" w:styleId="80A536E4247847A8ACDADC3ABB66BDFE">
    <w:name w:val="80A536E4247847A8ACDADC3ABB66BDFE"/>
    <w:rsid w:val="00201591"/>
  </w:style>
  <w:style w:type="paragraph" w:customStyle="1" w:styleId="5A69511EB3D1443085A108B49C4EEF74">
    <w:name w:val="5A69511EB3D1443085A108B49C4EEF74"/>
    <w:rsid w:val="00201591"/>
  </w:style>
  <w:style w:type="paragraph" w:customStyle="1" w:styleId="F5A76618EA6D4BF7937A16C788555E2B">
    <w:name w:val="F5A76618EA6D4BF7937A16C788555E2B"/>
    <w:rsid w:val="00201591"/>
  </w:style>
  <w:style w:type="paragraph" w:customStyle="1" w:styleId="37F6D081B41B43978F27D3B3ADDF8068">
    <w:name w:val="37F6D081B41B43978F27D3B3ADDF8068"/>
    <w:rsid w:val="00201591"/>
  </w:style>
  <w:style w:type="paragraph" w:customStyle="1" w:styleId="91928B8A7A80471BB31C4E221DB4AE67">
    <w:name w:val="91928B8A7A80471BB31C4E221DB4AE67"/>
    <w:rsid w:val="00201591"/>
  </w:style>
  <w:style w:type="paragraph" w:customStyle="1" w:styleId="A0D13ACF3EFA4A95B9EF315A40FBD912">
    <w:name w:val="A0D13ACF3EFA4A95B9EF315A40FBD912"/>
    <w:rsid w:val="00201591"/>
  </w:style>
  <w:style w:type="paragraph" w:customStyle="1" w:styleId="2FC0DDEB275F4F359FD7C4F8C74C0838">
    <w:name w:val="2FC0DDEB275F4F359FD7C4F8C74C0838"/>
    <w:rsid w:val="00201591"/>
  </w:style>
  <w:style w:type="paragraph" w:customStyle="1" w:styleId="D0510A30B1EF44F8AB0156FF1AFB89C7">
    <w:name w:val="D0510A30B1EF44F8AB0156FF1AFB89C7"/>
    <w:rsid w:val="00201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Restricted</Inspection_x0020_Code>
    <Judgment_x0020_Type xmlns="85512599-8531-48e1-9b90-9215d01f2c32">Final</Judgment_x0020_Type>
    <Document_x0020_Type xmlns="85512599-8531-48e1-9b90-9215d01f2c32">Judgment (No 3)</Document_x0020_Typ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721ABEE2A1A54383041649CF9E7EDC" ma:contentTypeVersion="" ma:contentTypeDescription="Create a new document." ma:contentTypeScope="" ma:versionID="01619074342860bf4a2008fe3eea8bca">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B28E5-AF58-47C5-93D4-77F33C9506D2}">
  <ds:schemaRefs>
    <ds:schemaRef ds:uri="85512599-8531-48e1-9b90-9215d01f2c32"/>
    <ds:schemaRef ds:uri="http://purl.org/dc/elements/1.1/"/>
    <ds:schemaRef ds:uri="http://schemas.microsoft.com/office/2006/metadata/properties"/>
    <ds:schemaRef ds:uri="http://purl.org/dc/term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0F4B753-2A17-4ECC-B8BB-13A8C887AF9E}">
  <ds:schemaRefs>
    <ds:schemaRef ds:uri="http://schemas.microsoft.com/sharepoint/v3/contenttype/forms"/>
  </ds:schemaRefs>
</ds:datastoreItem>
</file>

<file path=customXml/itemProps3.xml><?xml version="1.0" encoding="utf-8"?>
<ds:datastoreItem xmlns:ds="http://schemas.openxmlformats.org/officeDocument/2006/customXml" ds:itemID="{DDC1A87D-3EA5-4050-AC66-90E2EE6A2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F0BAF-73B5-423A-973B-7F6ACD3A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45</Pages>
  <Words>17531</Words>
  <Characters>87000</Characters>
  <Application>Microsoft Office Word</Application>
  <DocSecurity>0</DocSecurity>
  <Lines>1705</Lines>
  <Paragraphs>797</Paragraphs>
  <ScaleCrop>false</ScaleCrop>
  <HeadingPairs>
    <vt:vector size="2" baseType="variant">
      <vt:variant>
        <vt:lpstr>Title</vt:lpstr>
      </vt:variant>
      <vt:variant>
        <vt:i4>1</vt:i4>
      </vt:variant>
    </vt:vector>
  </HeadingPairs>
  <TitlesOfParts>
    <vt:vector size="1" baseType="lpstr">
      <vt:lpstr>Tax Practitioners Board v Hacker (No 3) [2020] FCA 1814 </vt:lpstr>
    </vt:vector>
  </TitlesOfParts>
  <Company>Federal Court of Australia</Company>
  <LinksUpToDate>false</LinksUpToDate>
  <CharactersWithSpaces>103734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Practitioners Board v Hacker (No 3) [2020] FCA 1814</dc:title>
  <dc:subject/>
  <dc:creator>Federal Court of Australia</dc:creator>
  <cp:keywords/>
  <dc:description/>
  <cp:lastModifiedBy>Federal Court of Australia</cp:lastModifiedBy>
  <cp:revision>4</cp:revision>
  <cp:lastPrinted>2020-12-18T02:43:00Z</cp:lastPrinted>
  <dcterms:created xsi:type="dcterms:W3CDTF">2020-12-18T04:41:00Z</dcterms:created>
  <dcterms:modified xsi:type="dcterms:W3CDTF">2020-12-18T04:43:00Z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RANGIAH J</vt:lpwstr>
  </property>
  <property fmtid="{D5CDD505-2E9C-101B-9397-08002B2CF9AE}" pid="4" name="Judgment_dated" linkTarget="Judgment_dated">
    <vt:lpwstr>18 DECEMBER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38</vt:lpwstr>
  </property>
  <property fmtid="{D5CDD505-2E9C-101B-9397-08002B2CF9AE}" pid="8" name="Parties">
    <vt:lpwstr> </vt:lpwstr>
  </property>
  <property fmtid="{D5CDD505-2E9C-101B-9397-08002B2CF9AE}" pid="9" name="Place">
    <vt:lpwstr>N/A FCA</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Regulator and Consumer Protection</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urt">
    <vt:lpwstr>Federal Court of Australia</vt:lpwstr>
  </property>
  <property fmtid="{D5CDD505-2E9C-101B-9397-08002B2CF9AE}" pid="26" name="ContentTypeId">
    <vt:lpwstr>0x0101005D721ABEE2A1A54383041649CF9E7EDC</vt:lpwstr>
  </property>
</Properties>
</file>