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257CB" w14:textId="77777777" w:rsidR="00395B24" w:rsidRDefault="002C7385">
      <w:pPr>
        <w:pStyle w:val="NormalHeadings"/>
        <w:jc w:val="center"/>
        <w:rPr>
          <w:sz w:val="32"/>
        </w:rPr>
      </w:pPr>
      <w:r>
        <w:rPr>
          <w:sz w:val="32"/>
        </w:rPr>
        <w:t>FEDERAL COURT OF AUSTRALIA</w:t>
      </w:r>
    </w:p>
    <w:p w14:paraId="5F4ED2A6" w14:textId="77777777" w:rsidR="00395B24" w:rsidRDefault="00395B24">
      <w:pPr>
        <w:pStyle w:val="NormalHeadings"/>
        <w:jc w:val="center"/>
        <w:rPr>
          <w:sz w:val="32"/>
        </w:rPr>
      </w:pPr>
    </w:p>
    <w:p w14:paraId="6DF40437" w14:textId="6E3C865F" w:rsidR="00395B24" w:rsidRDefault="001A2440">
      <w:pPr>
        <w:pStyle w:val="MediaNeutralStyle"/>
      </w:pPr>
      <w:bookmarkStart w:id="0" w:name="MNC"/>
      <w:r>
        <w:t>Hill v Zhang [2019] FCA</w:t>
      </w:r>
      <w:r w:rsidR="00657421">
        <w:t xml:space="preserve"> 1562</w:t>
      </w:r>
      <w:bookmarkEnd w:id="0"/>
    </w:p>
    <w:p w14:paraId="4552B0FC"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163DD52B" w14:textId="77777777" w:rsidTr="0048551B">
        <w:tc>
          <w:tcPr>
            <w:tcW w:w="3085" w:type="dxa"/>
            <w:shd w:val="clear" w:color="auto" w:fill="auto"/>
          </w:tcPr>
          <w:p w14:paraId="105C88E5" w14:textId="77777777" w:rsidR="00395B24" w:rsidRDefault="002C7385" w:rsidP="00657421">
            <w:pPr>
              <w:pStyle w:val="Normal1linespace"/>
              <w:widowControl w:val="0"/>
              <w:jc w:val="left"/>
            </w:pPr>
            <w:r>
              <w:t>File number:</w:t>
            </w:r>
          </w:p>
        </w:tc>
        <w:tc>
          <w:tcPr>
            <w:tcW w:w="5989" w:type="dxa"/>
            <w:shd w:val="clear" w:color="auto" w:fill="auto"/>
          </w:tcPr>
          <w:p w14:paraId="48FC6865" w14:textId="7ABF3474" w:rsidR="00395B24" w:rsidRPr="00142978" w:rsidRDefault="00C50084" w:rsidP="00142978">
            <w:pPr>
              <w:pStyle w:val="Normal1linespace"/>
              <w:jc w:val="left"/>
            </w:pPr>
            <w:r>
              <w:fldChar w:fldCharType="begin" w:fldLock="1"/>
            </w:r>
            <w:r>
              <w:instrText xml:space="preserve"> REF  FileNo  \* MERGEFORMAT </w:instrText>
            </w:r>
            <w:r>
              <w:fldChar w:fldCharType="separate"/>
            </w:r>
            <w:r w:rsidR="00142978" w:rsidRPr="00142978">
              <w:t>ACD 50 of 2019</w:t>
            </w:r>
            <w:r>
              <w:fldChar w:fldCharType="end"/>
            </w:r>
          </w:p>
        </w:tc>
      </w:tr>
      <w:tr w:rsidR="00395B24" w14:paraId="3F31DF45" w14:textId="77777777" w:rsidTr="0048551B">
        <w:tc>
          <w:tcPr>
            <w:tcW w:w="3085" w:type="dxa"/>
            <w:shd w:val="clear" w:color="auto" w:fill="auto"/>
          </w:tcPr>
          <w:p w14:paraId="5D278A5E" w14:textId="77777777" w:rsidR="00395B24" w:rsidRDefault="00395B24" w:rsidP="00663878">
            <w:pPr>
              <w:pStyle w:val="Normal1linespace"/>
              <w:widowControl w:val="0"/>
              <w:jc w:val="left"/>
            </w:pPr>
          </w:p>
        </w:tc>
        <w:tc>
          <w:tcPr>
            <w:tcW w:w="5989" w:type="dxa"/>
            <w:shd w:val="clear" w:color="auto" w:fill="auto"/>
          </w:tcPr>
          <w:p w14:paraId="50F41762" w14:textId="77777777" w:rsidR="00395B24" w:rsidRDefault="00395B24" w:rsidP="00663878">
            <w:pPr>
              <w:pStyle w:val="Normal1linespace"/>
              <w:widowControl w:val="0"/>
              <w:jc w:val="left"/>
            </w:pPr>
          </w:p>
        </w:tc>
      </w:tr>
      <w:tr w:rsidR="00395B24" w14:paraId="3E305BD1" w14:textId="77777777" w:rsidTr="0048551B">
        <w:tc>
          <w:tcPr>
            <w:tcW w:w="3085" w:type="dxa"/>
            <w:shd w:val="clear" w:color="auto" w:fill="auto"/>
          </w:tcPr>
          <w:p w14:paraId="774F3DA5" w14:textId="77777777" w:rsidR="00395B24" w:rsidRDefault="00657421" w:rsidP="00657421">
            <w:pPr>
              <w:pStyle w:val="Normal1linespace"/>
              <w:widowControl w:val="0"/>
              <w:jc w:val="left"/>
            </w:pPr>
            <w:r>
              <w:t>Judge</w:t>
            </w:r>
            <w:r w:rsidR="002C7385">
              <w:t>:</w:t>
            </w:r>
          </w:p>
        </w:tc>
        <w:tc>
          <w:tcPr>
            <w:tcW w:w="5989" w:type="dxa"/>
            <w:shd w:val="clear" w:color="auto" w:fill="auto"/>
          </w:tcPr>
          <w:p w14:paraId="35FCCC24" w14:textId="37C68AE3" w:rsidR="00395B24" w:rsidRDefault="002C7385" w:rsidP="00663878">
            <w:pPr>
              <w:pStyle w:val="Normal1linespace"/>
              <w:widowControl w:val="0"/>
              <w:jc w:val="left"/>
              <w:rPr>
                <w:b/>
              </w:rPr>
            </w:pPr>
            <w:r w:rsidRPr="00142978">
              <w:rPr>
                <w:b/>
              </w:rPr>
              <w:fldChar w:fldCharType="begin" w:fldLock="1"/>
            </w:r>
            <w:r w:rsidRPr="00142978">
              <w:rPr>
                <w:b/>
              </w:rPr>
              <w:instrText xml:space="preserve"> REF  Judge  \* MERGEFORMAT </w:instrText>
            </w:r>
            <w:r w:rsidRPr="00142978">
              <w:rPr>
                <w:b/>
              </w:rPr>
              <w:fldChar w:fldCharType="separate"/>
            </w:r>
            <w:r w:rsidR="00142978" w:rsidRPr="00142978">
              <w:rPr>
                <w:b/>
                <w:caps/>
                <w:szCs w:val="24"/>
              </w:rPr>
              <w:t>GRIFFITHS J</w:t>
            </w:r>
            <w:r w:rsidRPr="00142978">
              <w:rPr>
                <w:b/>
              </w:rPr>
              <w:fldChar w:fldCharType="end"/>
            </w:r>
          </w:p>
        </w:tc>
      </w:tr>
      <w:tr w:rsidR="00395B24" w14:paraId="6F6B5C9F" w14:textId="77777777" w:rsidTr="0048551B">
        <w:tc>
          <w:tcPr>
            <w:tcW w:w="3085" w:type="dxa"/>
            <w:shd w:val="clear" w:color="auto" w:fill="auto"/>
          </w:tcPr>
          <w:p w14:paraId="603F397D" w14:textId="77777777" w:rsidR="00395B24" w:rsidRDefault="00395B24" w:rsidP="00663878">
            <w:pPr>
              <w:pStyle w:val="Normal1linespace"/>
              <w:widowControl w:val="0"/>
              <w:jc w:val="left"/>
            </w:pPr>
          </w:p>
        </w:tc>
        <w:tc>
          <w:tcPr>
            <w:tcW w:w="5989" w:type="dxa"/>
            <w:shd w:val="clear" w:color="auto" w:fill="auto"/>
          </w:tcPr>
          <w:p w14:paraId="748D6512" w14:textId="77777777" w:rsidR="00395B24" w:rsidRDefault="00395B24" w:rsidP="00663878">
            <w:pPr>
              <w:pStyle w:val="Normal1linespace"/>
              <w:widowControl w:val="0"/>
              <w:jc w:val="left"/>
            </w:pPr>
          </w:p>
        </w:tc>
      </w:tr>
      <w:tr w:rsidR="00395B24" w14:paraId="4D7DBAEB" w14:textId="77777777" w:rsidTr="0048551B">
        <w:tc>
          <w:tcPr>
            <w:tcW w:w="3085" w:type="dxa"/>
            <w:shd w:val="clear" w:color="auto" w:fill="auto"/>
          </w:tcPr>
          <w:p w14:paraId="04CD2DFC" w14:textId="77777777" w:rsidR="00395B24" w:rsidRDefault="002C7385" w:rsidP="00663878">
            <w:pPr>
              <w:pStyle w:val="Normal1linespace"/>
              <w:widowControl w:val="0"/>
              <w:jc w:val="left"/>
            </w:pPr>
            <w:r>
              <w:t>Date of judgment:</w:t>
            </w:r>
          </w:p>
        </w:tc>
        <w:tc>
          <w:tcPr>
            <w:tcW w:w="5989" w:type="dxa"/>
            <w:shd w:val="clear" w:color="auto" w:fill="auto"/>
          </w:tcPr>
          <w:p w14:paraId="4E69D784" w14:textId="2D771BBD" w:rsidR="00395B24" w:rsidRDefault="00142978" w:rsidP="000777EA">
            <w:pPr>
              <w:pStyle w:val="Normal1linespace"/>
              <w:widowControl w:val="0"/>
              <w:jc w:val="left"/>
            </w:pPr>
            <w:bookmarkStart w:id="1" w:name="JudgmentDate"/>
            <w:r>
              <w:t>25 September 2019</w:t>
            </w:r>
            <w:bookmarkEnd w:id="1"/>
          </w:p>
        </w:tc>
      </w:tr>
      <w:tr w:rsidR="00395B24" w14:paraId="61FDAE7E" w14:textId="77777777" w:rsidTr="0048551B">
        <w:tc>
          <w:tcPr>
            <w:tcW w:w="3085" w:type="dxa"/>
            <w:shd w:val="clear" w:color="auto" w:fill="auto"/>
          </w:tcPr>
          <w:p w14:paraId="6B78ACA6" w14:textId="77777777" w:rsidR="00395B24" w:rsidRDefault="00395B24" w:rsidP="00663878">
            <w:pPr>
              <w:pStyle w:val="Normal1linespace"/>
              <w:widowControl w:val="0"/>
              <w:jc w:val="left"/>
            </w:pPr>
          </w:p>
        </w:tc>
        <w:tc>
          <w:tcPr>
            <w:tcW w:w="5989" w:type="dxa"/>
            <w:shd w:val="clear" w:color="auto" w:fill="auto"/>
          </w:tcPr>
          <w:p w14:paraId="0F844FFF" w14:textId="77777777" w:rsidR="00395B24" w:rsidRDefault="00395B24" w:rsidP="00663878">
            <w:pPr>
              <w:pStyle w:val="Normal1linespace"/>
              <w:widowControl w:val="0"/>
              <w:jc w:val="left"/>
            </w:pPr>
          </w:p>
        </w:tc>
      </w:tr>
      <w:tr w:rsidR="00395B24" w14:paraId="3AEFA436" w14:textId="77777777" w:rsidTr="0048551B">
        <w:tc>
          <w:tcPr>
            <w:tcW w:w="3085" w:type="dxa"/>
            <w:shd w:val="clear" w:color="auto" w:fill="auto"/>
          </w:tcPr>
          <w:p w14:paraId="5C1C1534" w14:textId="77777777" w:rsidR="00395B24" w:rsidRDefault="002C7385" w:rsidP="00663878">
            <w:pPr>
              <w:pStyle w:val="Normal1linespace"/>
              <w:widowControl w:val="0"/>
              <w:jc w:val="left"/>
            </w:pPr>
            <w:r>
              <w:t>Catchwords:</w:t>
            </w:r>
          </w:p>
        </w:tc>
        <w:tc>
          <w:tcPr>
            <w:tcW w:w="5989" w:type="dxa"/>
            <w:shd w:val="clear" w:color="auto" w:fill="auto"/>
          </w:tcPr>
          <w:p w14:paraId="2E34E9C3" w14:textId="1121FCB8" w:rsidR="00395B24" w:rsidRDefault="00657421" w:rsidP="004E0508">
            <w:pPr>
              <w:pStyle w:val="Normal1linespace"/>
              <w:widowControl w:val="0"/>
              <w:jc w:val="left"/>
            </w:pPr>
            <w:r>
              <w:rPr>
                <w:b/>
              </w:rPr>
              <w:t>PRACTICE AND PROC</w:t>
            </w:r>
            <w:r w:rsidR="004E0508">
              <w:rPr>
                <w:b/>
              </w:rPr>
              <w:t>ED</w:t>
            </w:r>
            <w:r>
              <w:rPr>
                <w:b/>
              </w:rPr>
              <w:t>URE</w:t>
            </w:r>
            <w:r>
              <w:t xml:space="preserve"> </w:t>
            </w:r>
            <w:r w:rsidR="00C50084">
              <w:t>-</w:t>
            </w:r>
            <w:r>
              <w:t xml:space="preserve"> application for security for costs </w:t>
            </w:r>
            <w:r w:rsidR="00C50084">
              <w:t>-</w:t>
            </w:r>
            <w:r>
              <w:t xml:space="preserve"> where proceedings involve a substantial degree of overlap between claims brought by both an individual and corporate applicant </w:t>
            </w:r>
            <w:r w:rsidR="00C50084">
              <w:t>-</w:t>
            </w:r>
            <w:r>
              <w:t xml:space="preserve"> assessment of the individual’s capacity to meet a potential costs order against the corporate applicant </w:t>
            </w:r>
            <w:r w:rsidR="00C50084">
              <w:t>-</w:t>
            </w:r>
            <w:r>
              <w:t xml:space="preserve"> security ordered</w:t>
            </w:r>
          </w:p>
          <w:p w14:paraId="0316BD7E" w14:textId="77777777" w:rsidR="00973C9E" w:rsidRDefault="00973C9E" w:rsidP="004E0508">
            <w:pPr>
              <w:pStyle w:val="Normal1linespace"/>
              <w:widowControl w:val="0"/>
              <w:jc w:val="left"/>
            </w:pPr>
          </w:p>
          <w:p w14:paraId="3C664847" w14:textId="02E56EDC" w:rsidR="00973C9E" w:rsidRPr="00973C9E" w:rsidRDefault="00973C9E" w:rsidP="00C50084">
            <w:pPr>
              <w:pStyle w:val="Normal1linespace"/>
              <w:widowControl w:val="0"/>
              <w:jc w:val="left"/>
            </w:pPr>
            <w:r w:rsidRPr="00973C9E">
              <w:rPr>
                <w:b/>
              </w:rPr>
              <w:t>PRACTICE AND PROCEDURE</w:t>
            </w:r>
            <w:r>
              <w:t xml:space="preserve"> </w:t>
            </w:r>
            <w:r w:rsidR="00C50084">
              <w:t>-</w:t>
            </w:r>
            <w:r>
              <w:t xml:space="preserve"> application for strike out of statement of claim under r 16.21</w:t>
            </w:r>
            <w:r w:rsidR="003C654B">
              <w:t>(1)</w:t>
            </w:r>
            <w:r>
              <w:t xml:space="preserve">(c) of the </w:t>
            </w:r>
            <w:r>
              <w:rPr>
                <w:i/>
              </w:rPr>
              <w:t xml:space="preserve">Federal Court Rules 2011 </w:t>
            </w:r>
            <w:r>
              <w:t>(</w:t>
            </w:r>
            <w:proofErr w:type="spellStart"/>
            <w:r>
              <w:t>Cth</w:t>
            </w:r>
            <w:proofErr w:type="spellEnd"/>
            <w:r>
              <w:t xml:space="preserve">) </w:t>
            </w:r>
            <w:r w:rsidR="00C50084">
              <w:t>-</w:t>
            </w:r>
            <w:r>
              <w:t xml:space="preserve"> </w:t>
            </w:r>
            <w:r w:rsidR="007B7D30">
              <w:t xml:space="preserve">where the pleading contains a number of ambiguities about material facts </w:t>
            </w:r>
            <w:r w:rsidR="00C50084">
              <w:t>-</w:t>
            </w:r>
            <w:bookmarkStart w:id="2" w:name="_GoBack"/>
            <w:bookmarkEnd w:id="2"/>
            <w:r w:rsidR="007B7D30">
              <w:t xml:space="preserve"> statement of claim struck out</w:t>
            </w:r>
          </w:p>
        </w:tc>
      </w:tr>
      <w:tr w:rsidR="00395B24" w14:paraId="141E13EA" w14:textId="77777777" w:rsidTr="0048551B">
        <w:tc>
          <w:tcPr>
            <w:tcW w:w="3085" w:type="dxa"/>
            <w:shd w:val="clear" w:color="auto" w:fill="auto"/>
          </w:tcPr>
          <w:p w14:paraId="167B6BFC" w14:textId="77777777" w:rsidR="00395B24" w:rsidRDefault="00395B24" w:rsidP="00663878">
            <w:pPr>
              <w:pStyle w:val="Normal1linespace"/>
              <w:widowControl w:val="0"/>
              <w:jc w:val="left"/>
            </w:pPr>
          </w:p>
        </w:tc>
        <w:tc>
          <w:tcPr>
            <w:tcW w:w="5989" w:type="dxa"/>
            <w:shd w:val="clear" w:color="auto" w:fill="auto"/>
          </w:tcPr>
          <w:p w14:paraId="17EA5726" w14:textId="77777777" w:rsidR="00395B24" w:rsidRDefault="00395B24" w:rsidP="00663878">
            <w:pPr>
              <w:pStyle w:val="Normal1linespace"/>
              <w:widowControl w:val="0"/>
              <w:jc w:val="left"/>
            </w:pPr>
          </w:p>
        </w:tc>
      </w:tr>
      <w:tr w:rsidR="00395B24" w14:paraId="45003C22" w14:textId="77777777" w:rsidTr="0048551B">
        <w:tc>
          <w:tcPr>
            <w:tcW w:w="3085" w:type="dxa"/>
            <w:shd w:val="clear" w:color="auto" w:fill="auto"/>
          </w:tcPr>
          <w:p w14:paraId="60EEB9F1" w14:textId="77777777" w:rsidR="00395B24" w:rsidRDefault="002C7385" w:rsidP="00663878">
            <w:pPr>
              <w:pStyle w:val="Normal1linespace"/>
              <w:widowControl w:val="0"/>
              <w:jc w:val="left"/>
            </w:pPr>
            <w:r>
              <w:t>Legislation:</w:t>
            </w:r>
          </w:p>
        </w:tc>
        <w:tc>
          <w:tcPr>
            <w:tcW w:w="5989" w:type="dxa"/>
            <w:shd w:val="clear" w:color="auto" w:fill="auto"/>
          </w:tcPr>
          <w:p w14:paraId="266D9222" w14:textId="77777777" w:rsidR="00657421" w:rsidRPr="00492D4B" w:rsidRDefault="00657421" w:rsidP="00657421">
            <w:pPr>
              <w:pStyle w:val="CasesLegislationAppealFrom"/>
              <w:spacing w:after="60"/>
            </w:pPr>
            <w:bookmarkStart w:id="3" w:name="Legislation"/>
            <w:r w:rsidRPr="00492D4B">
              <w:rPr>
                <w:i/>
              </w:rPr>
              <w:t xml:space="preserve">Corporations Act 2001 </w:t>
            </w:r>
            <w:r w:rsidRPr="00492D4B">
              <w:t>(</w:t>
            </w:r>
            <w:proofErr w:type="spellStart"/>
            <w:r w:rsidRPr="00492D4B">
              <w:t>Cth</w:t>
            </w:r>
            <w:proofErr w:type="spellEnd"/>
            <w:r w:rsidRPr="00492D4B">
              <w:t>)</w:t>
            </w:r>
            <w:r>
              <w:t xml:space="preserve"> s 1335</w:t>
            </w:r>
          </w:p>
          <w:p w14:paraId="548BEC28" w14:textId="77777777" w:rsidR="00657421" w:rsidRPr="00492D4B" w:rsidRDefault="00657421" w:rsidP="00657421">
            <w:pPr>
              <w:pStyle w:val="CasesLegislationAppealFrom"/>
              <w:spacing w:after="60"/>
            </w:pPr>
            <w:r w:rsidRPr="00492D4B">
              <w:rPr>
                <w:i/>
              </w:rPr>
              <w:t xml:space="preserve">Federal Court of Australia Act 1976 </w:t>
            </w:r>
            <w:r w:rsidRPr="00492D4B">
              <w:t>(</w:t>
            </w:r>
            <w:proofErr w:type="spellStart"/>
            <w:r w:rsidRPr="00492D4B">
              <w:t>Cth</w:t>
            </w:r>
            <w:proofErr w:type="spellEnd"/>
            <w:r w:rsidRPr="00492D4B">
              <w:t>)</w:t>
            </w:r>
            <w:r>
              <w:t xml:space="preserve"> s 56</w:t>
            </w:r>
          </w:p>
          <w:p w14:paraId="2540E0E3" w14:textId="39055C63" w:rsidR="00395B24" w:rsidRDefault="00657421" w:rsidP="00657421">
            <w:pPr>
              <w:pStyle w:val="CasesLegislationAppealFrom"/>
              <w:spacing w:after="60"/>
            </w:pPr>
            <w:r w:rsidRPr="00492D4B">
              <w:rPr>
                <w:i/>
              </w:rPr>
              <w:t xml:space="preserve">Federal Court Rules 2011 </w:t>
            </w:r>
            <w:r w:rsidRPr="00492D4B">
              <w:t>(</w:t>
            </w:r>
            <w:proofErr w:type="spellStart"/>
            <w:r w:rsidRPr="00492D4B">
              <w:t>Cth</w:t>
            </w:r>
            <w:proofErr w:type="spellEnd"/>
            <w:r w:rsidRPr="00492D4B">
              <w:t>)</w:t>
            </w:r>
            <w:r>
              <w:t xml:space="preserve"> </w:t>
            </w:r>
            <w:proofErr w:type="spellStart"/>
            <w:r w:rsidRPr="00492D4B">
              <w:t>r</w:t>
            </w:r>
            <w:r w:rsidR="002C2B1B">
              <w:t>r</w:t>
            </w:r>
            <w:proofErr w:type="spellEnd"/>
            <w:r w:rsidR="002C2B1B">
              <w:t xml:space="preserve"> 16.21,</w:t>
            </w:r>
            <w:r w:rsidRPr="00492D4B">
              <w:t> 19.01</w:t>
            </w:r>
            <w:r w:rsidR="002C7385">
              <w:t xml:space="preserve"> </w:t>
            </w:r>
            <w:bookmarkEnd w:id="3"/>
          </w:p>
        </w:tc>
      </w:tr>
      <w:tr w:rsidR="00395B24" w14:paraId="02804D3F" w14:textId="77777777" w:rsidTr="0048551B">
        <w:tc>
          <w:tcPr>
            <w:tcW w:w="3085" w:type="dxa"/>
            <w:shd w:val="clear" w:color="auto" w:fill="auto"/>
          </w:tcPr>
          <w:p w14:paraId="350FABC2" w14:textId="77777777" w:rsidR="00395B24" w:rsidRDefault="00395B24" w:rsidP="00663878">
            <w:pPr>
              <w:pStyle w:val="Normal1linespace"/>
              <w:widowControl w:val="0"/>
              <w:jc w:val="left"/>
            </w:pPr>
          </w:p>
        </w:tc>
        <w:tc>
          <w:tcPr>
            <w:tcW w:w="5989" w:type="dxa"/>
            <w:shd w:val="clear" w:color="auto" w:fill="auto"/>
          </w:tcPr>
          <w:p w14:paraId="353D0F4A" w14:textId="77777777" w:rsidR="00395B24" w:rsidRDefault="00395B24" w:rsidP="00663878">
            <w:pPr>
              <w:pStyle w:val="Normal1linespace"/>
              <w:widowControl w:val="0"/>
              <w:jc w:val="left"/>
            </w:pPr>
          </w:p>
        </w:tc>
      </w:tr>
      <w:tr w:rsidR="00395B24" w14:paraId="7A96BAA7" w14:textId="77777777" w:rsidTr="0048551B">
        <w:tc>
          <w:tcPr>
            <w:tcW w:w="3085" w:type="dxa"/>
            <w:shd w:val="clear" w:color="auto" w:fill="auto"/>
          </w:tcPr>
          <w:p w14:paraId="0F2028AE" w14:textId="77777777" w:rsidR="00395B24" w:rsidRDefault="002C7385" w:rsidP="00663878">
            <w:pPr>
              <w:pStyle w:val="Normal1linespace"/>
              <w:widowControl w:val="0"/>
              <w:jc w:val="left"/>
            </w:pPr>
            <w:r>
              <w:t>Cases cited:</w:t>
            </w:r>
          </w:p>
        </w:tc>
        <w:tc>
          <w:tcPr>
            <w:tcW w:w="5989" w:type="dxa"/>
            <w:shd w:val="clear" w:color="auto" w:fill="auto"/>
          </w:tcPr>
          <w:p w14:paraId="30A4D063" w14:textId="77777777" w:rsidR="00657421" w:rsidRPr="00492D4B" w:rsidRDefault="00657421" w:rsidP="00657421">
            <w:pPr>
              <w:pStyle w:val="CasesLegislationAppealFrom"/>
              <w:spacing w:after="60"/>
            </w:pPr>
            <w:bookmarkStart w:id="4" w:name="Cases_Cited"/>
            <w:r w:rsidRPr="00492D4B">
              <w:rPr>
                <w:i/>
              </w:rPr>
              <w:t xml:space="preserve">Australian Law Company Pty Ltd v Initiative Holdings Pty Ltd </w:t>
            </w:r>
            <w:r w:rsidRPr="00492D4B">
              <w:t>[2019] FCA 1561</w:t>
            </w:r>
          </w:p>
          <w:p w14:paraId="1ECCB7C7" w14:textId="1DDA2A3F" w:rsidR="00657421" w:rsidRPr="00492D4B" w:rsidRDefault="00657421" w:rsidP="00657421">
            <w:pPr>
              <w:pStyle w:val="CasesLegislationAppealFrom"/>
              <w:spacing w:after="60"/>
            </w:pPr>
            <w:proofErr w:type="spellStart"/>
            <w:r w:rsidRPr="00492D4B">
              <w:rPr>
                <w:i/>
              </w:rPr>
              <w:t>Brecher</w:t>
            </w:r>
            <w:proofErr w:type="spellEnd"/>
            <w:r w:rsidRPr="00492D4B">
              <w:rPr>
                <w:i/>
              </w:rPr>
              <w:t xml:space="preserve"> v Barrack Investments Pty Ltd </w:t>
            </w:r>
            <w:r w:rsidRPr="00492D4B">
              <w:t>[2018] FCA 472</w:t>
            </w:r>
          </w:p>
          <w:p w14:paraId="2EB3153A" w14:textId="77777777" w:rsidR="00657421" w:rsidRPr="00492D4B" w:rsidRDefault="00657421" w:rsidP="00657421">
            <w:pPr>
              <w:pStyle w:val="CasesLegislationAppealFrom"/>
              <w:spacing w:after="60"/>
            </w:pPr>
            <w:r w:rsidRPr="00492D4B">
              <w:rPr>
                <w:i/>
              </w:rPr>
              <w:t xml:space="preserve">Equity Access Ltd v Westpac Banking Corporation </w:t>
            </w:r>
            <w:r w:rsidRPr="00492D4B">
              <w:t>(1989) ATPR 40-972</w:t>
            </w:r>
          </w:p>
          <w:p w14:paraId="274213EF" w14:textId="77777777" w:rsidR="00657421" w:rsidRPr="00492D4B" w:rsidRDefault="00657421" w:rsidP="00657421">
            <w:pPr>
              <w:pStyle w:val="CasesLegislationAppealFrom"/>
              <w:spacing w:after="60"/>
            </w:pPr>
            <w:r w:rsidRPr="00492D4B">
              <w:rPr>
                <w:i/>
              </w:rPr>
              <w:t xml:space="preserve">Fiduciary Ltd v Morningstar Research </w:t>
            </w:r>
            <w:r w:rsidRPr="00492D4B">
              <w:t>[2004] NSWSC 664; 208 ALR 564</w:t>
            </w:r>
          </w:p>
          <w:p w14:paraId="2D0384B4" w14:textId="77777777" w:rsidR="00657421" w:rsidRPr="00492D4B" w:rsidRDefault="00657421" w:rsidP="00657421">
            <w:pPr>
              <w:pStyle w:val="CasesLegislationAppealFrom"/>
              <w:spacing w:after="60"/>
            </w:pPr>
            <w:proofErr w:type="spellStart"/>
            <w:r w:rsidRPr="00492D4B">
              <w:rPr>
                <w:i/>
              </w:rPr>
              <w:t>Harpur</w:t>
            </w:r>
            <w:proofErr w:type="spellEnd"/>
            <w:r w:rsidRPr="00492D4B">
              <w:rPr>
                <w:i/>
              </w:rPr>
              <w:t xml:space="preserve"> Pty Ltd v Ariadne Australia Ltd (No 2) </w:t>
            </w:r>
            <w:r w:rsidRPr="00492D4B">
              <w:t xml:space="preserve">[1984] 2 </w:t>
            </w:r>
            <w:proofErr w:type="spellStart"/>
            <w:r w:rsidRPr="00492D4B">
              <w:t>Qd</w:t>
            </w:r>
            <w:proofErr w:type="spellEnd"/>
            <w:r w:rsidRPr="00492D4B">
              <w:t xml:space="preserve"> R 523</w:t>
            </w:r>
          </w:p>
          <w:p w14:paraId="7B06AECD" w14:textId="77777777" w:rsidR="00657421" w:rsidRPr="00492D4B" w:rsidRDefault="00657421" w:rsidP="00657421">
            <w:pPr>
              <w:pStyle w:val="CasesLegislationAppealFrom"/>
              <w:spacing w:after="60"/>
            </w:pPr>
            <w:r w:rsidRPr="00492D4B">
              <w:rPr>
                <w:i/>
              </w:rPr>
              <w:t xml:space="preserve">Hill v The Council of the Law Society of the ACT </w:t>
            </w:r>
            <w:r w:rsidRPr="00492D4B">
              <w:t>[2019] ACTSC 79</w:t>
            </w:r>
          </w:p>
          <w:p w14:paraId="4A6CDE44" w14:textId="77777777" w:rsidR="00657421" w:rsidRPr="00492D4B" w:rsidRDefault="00657421" w:rsidP="00657421">
            <w:pPr>
              <w:pStyle w:val="CasesLegislationAppealFrom"/>
              <w:spacing w:after="60"/>
            </w:pPr>
            <w:proofErr w:type="spellStart"/>
            <w:r w:rsidRPr="00492D4B">
              <w:rPr>
                <w:i/>
              </w:rPr>
              <w:t>Interwest</w:t>
            </w:r>
            <w:proofErr w:type="spellEnd"/>
            <w:r w:rsidRPr="00492D4B">
              <w:rPr>
                <w:i/>
              </w:rPr>
              <w:t xml:space="preserve"> Ltd v </w:t>
            </w:r>
            <w:proofErr w:type="spellStart"/>
            <w:r w:rsidRPr="00492D4B">
              <w:rPr>
                <w:i/>
              </w:rPr>
              <w:t>Tricontinental</w:t>
            </w:r>
            <w:proofErr w:type="spellEnd"/>
            <w:r w:rsidRPr="00492D4B">
              <w:rPr>
                <w:i/>
              </w:rPr>
              <w:t xml:space="preserve"> Corporation Ltd </w:t>
            </w:r>
            <w:r w:rsidRPr="00492D4B">
              <w:t>(1991) 5 ACSR 621</w:t>
            </w:r>
          </w:p>
          <w:p w14:paraId="4D97B0D7" w14:textId="77777777" w:rsidR="00657421" w:rsidRPr="00492D4B" w:rsidRDefault="00657421" w:rsidP="00657421">
            <w:pPr>
              <w:pStyle w:val="CasesLegislationAppealFrom"/>
              <w:spacing w:after="60"/>
            </w:pPr>
            <w:proofErr w:type="spellStart"/>
            <w:r w:rsidRPr="00492D4B">
              <w:rPr>
                <w:i/>
              </w:rPr>
              <w:t>Jodast</w:t>
            </w:r>
            <w:proofErr w:type="spellEnd"/>
            <w:r w:rsidRPr="00492D4B">
              <w:rPr>
                <w:i/>
              </w:rPr>
              <w:t xml:space="preserve"> Pty Ltd v A &amp; J </w:t>
            </w:r>
            <w:proofErr w:type="spellStart"/>
            <w:r w:rsidRPr="00492D4B">
              <w:rPr>
                <w:i/>
              </w:rPr>
              <w:t>Blattner</w:t>
            </w:r>
            <w:proofErr w:type="spellEnd"/>
            <w:r w:rsidRPr="00492D4B">
              <w:rPr>
                <w:i/>
              </w:rPr>
              <w:t xml:space="preserve"> Pty Ltd </w:t>
            </w:r>
            <w:r w:rsidRPr="00492D4B">
              <w:t>(1991) 104 ALR 248</w:t>
            </w:r>
          </w:p>
          <w:p w14:paraId="67137092" w14:textId="0F319332" w:rsidR="00657421" w:rsidRPr="00492D4B" w:rsidRDefault="00657421" w:rsidP="00657421">
            <w:pPr>
              <w:pStyle w:val="CasesLegislationAppealFrom"/>
              <w:spacing w:after="60"/>
            </w:pPr>
            <w:r w:rsidRPr="00492D4B">
              <w:rPr>
                <w:i/>
              </w:rPr>
              <w:t xml:space="preserve">Lim v </w:t>
            </w:r>
            <w:proofErr w:type="spellStart"/>
            <w:r w:rsidRPr="00492D4B">
              <w:rPr>
                <w:i/>
              </w:rPr>
              <w:t>Comcare</w:t>
            </w:r>
            <w:proofErr w:type="spellEnd"/>
            <w:r w:rsidRPr="00492D4B">
              <w:rPr>
                <w:i/>
              </w:rPr>
              <w:t xml:space="preserve"> </w:t>
            </w:r>
            <w:r w:rsidRPr="00492D4B">
              <w:t>[2016] FCA 1346</w:t>
            </w:r>
          </w:p>
          <w:p w14:paraId="6FD28720" w14:textId="77777777" w:rsidR="00395B24" w:rsidRDefault="00657421" w:rsidP="00657421">
            <w:pPr>
              <w:pStyle w:val="CasesLegislationAppealFrom"/>
              <w:spacing w:after="60"/>
            </w:pPr>
            <w:r w:rsidRPr="00492D4B">
              <w:rPr>
                <w:i/>
              </w:rPr>
              <w:t xml:space="preserve">Street v Luna Park Sydney Pty Ltd </w:t>
            </w:r>
            <w:r w:rsidRPr="00492D4B">
              <w:t>[2006] NSWSC 1317</w:t>
            </w:r>
            <w:r w:rsidR="002C7385">
              <w:t xml:space="preserve"> </w:t>
            </w:r>
            <w:bookmarkEnd w:id="4"/>
          </w:p>
        </w:tc>
      </w:tr>
      <w:tr w:rsidR="00657421" w:rsidRPr="00657421" w14:paraId="29E48B43" w14:textId="77777777" w:rsidTr="0048551B">
        <w:tc>
          <w:tcPr>
            <w:tcW w:w="3085" w:type="dxa"/>
            <w:shd w:val="clear" w:color="auto" w:fill="auto"/>
          </w:tcPr>
          <w:p w14:paraId="03838565" w14:textId="77777777" w:rsidR="00657421" w:rsidRPr="00657421" w:rsidRDefault="00657421" w:rsidP="00657421">
            <w:pPr>
              <w:pStyle w:val="Normal1linespace"/>
              <w:jc w:val="left"/>
            </w:pPr>
          </w:p>
        </w:tc>
        <w:tc>
          <w:tcPr>
            <w:tcW w:w="5989" w:type="dxa"/>
            <w:shd w:val="clear" w:color="auto" w:fill="auto"/>
          </w:tcPr>
          <w:p w14:paraId="67A11662" w14:textId="77777777" w:rsidR="00657421" w:rsidRPr="00657421" w:rsidRDefault="00657421" w:rsidP="00657421">
            <w:pPr>
              <w:pStyle w:val="Normal1linespace"/>
              <w:jc w:val="left"/>
            </w:pPr>
          </w:p>
        </w:tc>
      </w:tr>
      <w:tr w:rsidR="00657421" w:rsidRPr="00657421" w14:paraId="47CB2326" w14:textId="77777777" w:rsidTr="0048551B">
        <w:tc>
          <w:tcPr>
            <w:tcW w:w="3085" w:type="dxa"/>
            <w:shd w:val="clear" w:color="auto" w:fill="auto"/>
          </w:tcPr>
          <w:p w14:paraId="3FBF6521" w14:textId="77777777" w:rsidR="00657421" w:rsidRPr="00657421" w:rsidRDefault="00657421" w:rsidP="00657421">
            <w:pPr>
              <w:pStyle w:val="Normal1linespace"/>
              <w:jc w:val="left"/>
            </w:pPr>
            <w:bookmarkStart w:id="5" w:name="CounselDate" w:colFirst="0" w:colLast="2"/>
            <w:r w:rsidRPr="00657421">
              <w:t>Date of hearing:</w:t>
            </w:r>
          </w:p>
        </w:tc>
        <w:tc>
          <w:tcPr>
            <w:tcW w:w="5989" w:type="dxa"/>
            <w:shd w:val="clear" w:color="auto" w:fill="auto"/>
          </w:tcPr>
          <w:p w14:paraId="2C976A06" w14:textId="3FE597B5" w:rsidR="00657421" w:rsidRPr="00657421" w:rsidRDefault="0048551B" w:rsidP="00657421">
            <w:pPr>
              <w:pStyle w:val="Normal1linespace"/>
              <w:jc w:val="left"/>
            </w:pPr>
            <w:bookmarkStart w:id="6" w:name="HearingDate"/>
            <w:r>
              <w:t>24 September 2019</w:t>
            </w:r>
            <w:bookmarkEnd w:id="6"/>
          </w:p>
        </w:tc>
      </w:tr>
      <w:bookmarkEnd w:id="5"/>
      <w:tr w:rsidR="00657421" w14:paraId="60075A28" w14:textId="77777777" w:rsidTr="0048551B">
        <w:tc>
          <w:tcPr>
            <w:tcW w:w="3085" w:type="dxa"/>
            <w:shd w:val="clear" w:color="auto" w:fill="auto"/>
          </w:tcPr>
          <w:p w14:paraId="571040C5" w14:textId="77777777" w:rsidR="00657421" w:rsidRDefault="00657421" w:rsidP="00657421">
            <w:pPr>
              <w:pStyle w:val="Normal1linespace"/>
              <w:widowControl w:val="0"/>
              <w:jc w:val="left"/>
            </w:pPr>
          </w:p>
        </w:tc>
        <w:tc>
          <w:tcPr>
            <w:tcW w:w="5989" w:type="dxa"/>
            <w:shd w:val="clear" w:color="auto" w:fill="auto"/>
          </w:tcPr>
          <w:p w14:paraId="2591A8D9" w14:textId="77777777" w:rsidR="00657421" w:rsidRDefault="00657421" w:rsidP="00657421">
            <w:pPr>
              <w:pStyle w:val="Normal1linespace"/>
              <w:widowControl w:val="0"/>
              <w:jc w:val="left"/>
            </w:pPr>
          </w:p>
        </w:tc>
      </w:tr>
      <w:tr w:rsidR="00657421" w14:paraId="07844B1A" w14:textId="77777777" w:rsidTr="0048551B">
        <w:tc>
          <w:tcPr>
            <w:tcW w:w="3085" w:type="dxa"/>
            <w:shd w:val="clear" w:color="auto" w:fill="auto"/>
          </w:tcPr>
          <w:p w14:paraId="151A9BC2" w14:textId="77777777" w:rsidR="00657421" w:rsidRDefault="00657421" w:rsidP="00657421">
            <w:pPr>
              <w:pStyle w:val="Normal1linespace"/>
              <w:widowControl w:val="0"/>
              <w:jc w:val="left"/>
            </w:pPr>
            <w:r>
              <w:t>Registry:</w:t>
            </w:r>
          </w:p>
        </w:tc>
        <w:tc>
          <w:tcPr>
            <w:tcW w:w="5989" w:type="dxa"/>
            <w:shd w:val="clear" w:color="auto" w:fill="auto"/>
          </w:tcPr>
          <w:p w14:paraId="38D6122E" w14:textId="4E1A3040" w:rsidR="00657421" w:rsidRPr="00F17599" w:rsidRDefault="0065614B" w:rsidP="00142978">
            <w:pPr>
              <w:pStyle w:val="Normal1linespace"/>
              <w:widowControl w:val="0"/>
              <w:jc w:val="left"/>
            </w:pPr>
            <w:fldSimple w:instr=" DOCPROPERTY  Registry " w:fldLock="1">
              <w:r w:rsidR="00142978">
                <w:t>Australian Capital Territory</w:t>
              </w:r>
            </w:fldSimple>
          </w:p>
        </w:tc>
      </w:tr>
      <w:tr w:rsidR="00657421" w14:paraId="2CCA7553" w14:textId="77777777" w:rsidTr="0048551B">
        <w:tc>
          <w:tcPr>
            <w:tcW w:w="3085" w:type="dxa"/>
            <w:shd w:val="clear" w:color="auto" w:fill="auto"/>
          </w:tcPr>
          <w:p w14:paraId="7941D67F" w14:textId="77777777" w:rsidR="00657421" w:rsidRDefault="00657421" w:rsidP="00657421">
            <w:pPr>
              <w:pStyle w:val="Normal1linespace"/>
              <w:widowControl w:val="0"/>
              <w:jc w:val="left"/>
            </w:pPr>
          </w:p>
        </w:tc>
        <w:tc>
          <w:tcPr>
            <w:tcW w:w="5989" w:type="dxa"/>
            <w:shd w:val="clear" w:color="auto" w:fill="auto"/>
          </w:tcPr>
          <w:p w14:paraId="6DCEACDC" w14:textId="77777777" w:rsidR="00657421" w:rsidRDefault="00657421" w:rsidP="00657421">
            <w:pPr>
              <w:pStyle w:val="Normal1linespace"/>
              <w:widowControl w:val="0"/>
              <w:jc w:val="left"/>
            </w:pPr>
          </w:p>
        </w:tc>
      </w:tr>
      <w:tr w:rsidR="00657421" w14:paraId="3A45ED83" w14:textId="77777777" w:rsidTr="0048551B">
        <w:tc>
          <w:tcPr>
            <w:tcW w:w="3085" w:type="dxa"/>
            <w:shd w:val="clear" w:color="auto" w:fill="auto"/>
          </w:tcPr>
          <w:p w14:paraId="6E03BF4D" w14:textId="77777777" w:rsidR="00657421" w:rsidRDefault="00657421" w:rsidP="00657421">
            <w:pPr>
              <w:pStyle w:val="Normal1linespace"/>
              <w:widowControl w:val="0"/>
              <w:jc w:val="left"/>
            </w:pPr>
            <w:r>
              <w:t>Division:</w:t>
            </w:r>
          </w:p>
        </w:tc>
        <w:tc>
          <w:tcPr>
            <w:tcW w:w="5989" w:type="dxa"/>
            <w:shd w:val="clear" w:color="auto" w:fill="auto"/>
          </w:tcPr>
          <w:p w14:paraId="20CED81F" w14:textId="02B2C4A1" w:rsidR="00657421" w:rsidRPr="00F17599" w:rsidRDefault="0065614B" w:rsidP="00657421">
            <w:pPr>
              <w:pStyle w:val="Normal1linespace"/>
              <w:widowControl w:val="0"/>
              <w:jc w:val="left"/>
            </w:pPr>
            <w:fldSimple w:instr=" DOCPROPERTY  Division " w:fldLock="1">
              <w:r w:rsidR="00142978">
                <w:t>General Division</w:t>
              </w:r>
            </w:fldSimple>
          </w:p>
        </w:tc>
      </w:tr>
      <w:tr w:rsidR="00657421" w14:paraId="5EDD4527" w14:textId="77777777" w:rsidTr="0048551B">
        <w:tc>
          <w:tcPr>
            <w:tcW w:w="3085" w:type="dxa"/>
            <w:shd w:val="clear" w:color="auto" w:fill="auto"/>
          </w:tcPr>
          <w:p w14:paraId="27B582AC" w14:textId="77777777" w:rsidR="00657421" w:rsidRDefault="00657421" w:rsidP="00657421">
            <w:pPr>
              <w:pStyle w:val="Normal1linespace"/>
              <w:widowControl w:val="0"/>
              <w:jc w:val="left"/>
            </w:pPr>
          </w:p>
        </w:tc>
        <w:tc>
          <w:tcPr>
            <w:tcW w:w="5989" w:type="dxa"/>
            <w:shd w:val="clear" w:color="auto" w:fill="auto"/>
          </w:tcPr>
          <w:p w14:paraId="7962D048" w14:textId="77777777" w:rsidR="00657421" w:rsidRPr="00F17599" w:rsidRDefault="00657421" w:rsidP="00657421">
            <w:pPr>
              <w:pStyle w:val="Normal1linespace"/>
              <w:widowControl w:val="0"/>
              <w:jc w:val="left"/>
              <w:rPr>
                <w:b/>
              </w:rPr>
            </w:pPr>
          </w:p>
        </w:tc>
      </w:tr>
      <w:tr w:rsidR="00657421" w14:paraId="438F3604" w14:textId="77777777" w:rsidTr="0048551B">
        <w:tc>
          <w:tcPr>
            <w:tcW w:w="3085" w:type="dxa"/>
            <w:shd w:val="clear" w:color="auto" w:fill="auto"/>
          </w:tcPr>
          <w:p w14:paraId="69B2D1B1" w14:textId="77777777" w:rsidR="00657421" w:rsidRDefault="00657421" w:rsidP="00657421">
            <w:pPr>
              <w:pStyle w:val="Normal1linespace"/>
              <w:widowControl w:val="0"/>
              <w:jc w:val="left"/>
            </w:pPr>
            <w:r>
              <w:t>National Practice Area:</w:t>
            </w:r>
          </w:p>
        </w:tc>
        <w:tc>
          <w:tcPr>
            <w:tcW w:w="5989" w:type="dxa"/>
            <w:shd w:val="clear" w:color="auto" w:fill="auto"/>
          </w:tcPr>
          <w:p w14:paraId="0C235C0E" w14:textId="455030C2" w:rsidR="00657421" w:rsidRPr="00F17599" w:rsidRDefault="00C50084" w:rsidP="00657421">
            <w:pPr>
              <w:pStyle w:val="Normal1linespace"/>
              <w:widowControl w:val="0"/>
              <w:jc w:val="left"/>
              <w:rPr>
                <w:b/>
              </w:rPr>
            </w:pPr>
            <w:r>
              <w:fldChar w:fldCharType="begin" w:fldLock="1"/>
            </w:r>
            <w:r>
              <w:instrText xml:space="preserve"> DOCPROPERTY  "Practice Area"  \* MERGEFORMAT </w:instrText>
            </w:r>
            <w:r>
              <w:fldChar w:fldCharType="separate"/>
            </w:r>
            <w:r w:rsidR="00142978">
              <w:t>Commercial and Corporations</w:t>
            </w:r>
            <w:r>
              <w:fldChar w:fldCharType="end"/>
            </w:r>
          </w:p>
        </w:tc>
      </w:tr>
      <w:tr w:rsidR="00657421" w14:paraId="7AB72F84" w14:textId="77777777" w:rsidTr="0048551B">
        <w:tc>
          <w:tcPr>
            <w:tcW w:w="3085" w:type="dxa"/>
            <w:shd w:val="clear" w:color="auto" w:fill="auto"/>
          </w:tcPr>
          <w:p w14:paraId="68180261" w14:textId="77777777" w:rsidR="00657421" w:rsidRDefault="00657421" w:rsidP="00657421">
            <w:pPr>
              <w:pStyle w:val="Normal1linespace"/>
              <w:widowControl w:val="0"/>
              <w:jc w:val="left"/>
            </w:pPr>
          </w:p>
        </w:tc>
        <w:tc>
          <w:tcPr>
            <w:tcW w:w="5989" w:type="dxa"/>
            <w:shd w:val="clear" w:color="auto" w:fill="auto"/>
          </w:tcPr>
          <w:p w14:paraId="7C2035A7" w14:textId="77777777" w:rsidR="00657421" w:rsidRDefault="00657421" w:rsidP="00657421">
            <w:pPr>
              <w:pStyle w:val="Normal1linespace"/>
              <w:widowControl w:val="0"/>
              <w:jc w:val="left"/>
            </w:pPr>
          </w:p>
        </w:tc>
      </w:tr>
      <w:tr w:rsidR="00657421" w14:paraId="4962BCB5" w14:textId="77777777" w:rsidTr="0048551B">
        <w:tc>
          <w:tcPr>
            <w:tcW w:w="3085" w:type="dxa"/>
            <w:shd w:val="clear" w:color="auto" w:fill="auto"/>
          </w:tcPr>
          <w:p w14:paraId="60A6D1DD" w14:textId="77777777" w:rsidR="00657421" w:rsidRDefault="00657421" w:rsidP="00657421">
            <w:pPr>
              <w:pStyle w:val="Normal1linespace"/>
              <w:widowControl w:val="0"/>
              <w:jc w:val="left"/>
            </w:pPr>
            <w:r>
              <w:t>Sub-area:</w:t>
            </w:r>
          </w:p>
        </w:tc>
        <w:tc>
          <w:tcPr>
            <w:tcW w:w="5989" w:type="dxa"/>
            <w:shd w:val="clear" w:color="auto" w:fill="auto"/>
          </w:tcPr>
          <w:p w14:paraId="7ACDEF50" w14:textId="1F65BC42" w:rsidR="00657421" w:rsidRPr="00435936" w:rsidRDefault="00C50084" w:rsidP="00657421">
            <w:pPr>
              <w:pStyle w:val="Normal1linespace"/>
              <w:widowControl w:val="0"/>
              <w:jc w:val="left"/>
            </w:pPr>
            <w:r>
              <w:fldChar w:fldCharType="begin" w:fldLock="1"/>
            </w:r>
            <w:r>
              <w:instrText xml:space="preserve"> DOCPROPERTY  "Sub Area"  \* MERGEFORMAT </w:instrText>
            </w:r>
            <w:r>
              <w:fldChar w:fldCharType="separate"/>
            </w:r>
            <w:r w:rsidR="00142978" w:rsidRPr="00142978">
              <w:rPr>
                <w:bCs/>
                <w:lang w:val="en-US"/>
              </w:rPr>
              <w:t xml:space="preserve">Commercial Contracts, </w:t>
            </w:r>
            <w:r w:rsidR="00142978">
              <w:t>Banking, Finance and Insurance</w:t>
            </w:r>
            <w:r>
              <w:fldChar w:fldCharType="end"/>
            </w:r>
          </w:p>
        </w:tc>
      </w:tr>
      <w:tr w:rsidR="00657421" w14:paraId="4F9B7BF0" w14:textId="77777777" w:rsidTr="0048551B">
        <w:tc>
          <w:tcPr>
            <w:tcW w:w="3085" w:type="dxa"/>
            <w:shd w:val="clear" w:color="auto" w:fill="auto"/>
          </w:tcPr>
          <w:p w14:paraId="6BEE5447" w14:textId="77777777" w:rsidR="00657421" w:rsidRDefault="00657421" w:rsidP="00657421">
            <w:pPr>
              <w:pStyle w:val="Normal1linespace"/>
              <w:widowControl w:val="0"/>
              <w:jc w:val="left"/>
            </w:pPr>
          </w:p>
        </w:tc>
        <w:tc>
          <w:tcPr>
            <w:tcW w:w="5989" w:type="dxa"/>
            <w:shd w:val="clear" w:color="auto" w:fill="auto"/>
          </w:tcPr>
          <w:p w14:paraId="3124108B" w14:textId="77777777" w:rsidR="00657421" w:rsidRDefault="00657421" w:rsidP="00657421">
            <w:pPr>
              <w:pStyle w:val="Normal1linespace"/>
              <w:widowControl w:val="0"/>
              <w:jc w:val="left"/>
              <w:rPr>
                <w:b/>
              </w:rPr>
            </w:pPr>
          </w:p>
        </w:tc>
      </w:tr>
      <w:tr w:rsidR="00657421" w14:paraId="1E41DCCB" w14:textId="77777777" w:rsidTr="0048551B">
        <w:tc>
          <w:tcPr>
            <w:tcW w:w="3085" w:type="dxa"/>
            <w:shd w:val="clear" w:color="auto" w:fill="auto"/>
          </w:tcPr>
          <w:p w14:paraId="1AEE7F0E" w14:textId="77777777" w:rsidR="00657421" w:rsidRDefault="00657421" w:rsidP="00657421">
            <w:pPr>
              <w:pStyle w:val="Normal1linespace"/>
              <w:widowControl w:val="0"/>
              <w:jc w:val="left"/>
            </w:pPr>
            <w:r>
              <w:t>Category:</w:t>
            </w:r>
          </w:p>
        </w:tc>
        <w:tc>
          <w:tcPr>
            <w:tcW w:w="5989" w:type="dxa"/>
            <w:shd w:val="clear" w:color="auto" w:fill="auto"/>
          </w:tcPr>
          <w:p w14:paraId="4A8CFFE5" w14:textId="77777777" w:rsidR="00657421" w:rsidRDefault="00657421" w:rsidP="00657421">
            <w:pPr>
              <w:pStyle w:val="Normal1linespace"/>
              <w:widowControl w:val="0"/>
              <w:jc w:val="left"/>
            </w:pPr>
            <w:r>
              <w:t>Catchwords</w:t>
            </w:r>
          </w:p>
        </w:tc>
      </w:tr>
      <w:tr w:rsidR="00657421" w14:paraId="10BE39B4" w14:textId="77777777" w:rsidTr="0048551B">
        <w:tc>
          <w:tcPr>
            <w:tcW w:w="3085" w:type="dxa"/>
            <w:shd w:val="clear" w:color="auto" w:fill="auto"/>
          </w:tcPr>
          <w:p w14:paraId="5FC02119" w14:textId="77777777" w:rsidR="00657421" w:rsidRDefault="00657421" w:rsidP="00657421">
            <w:pPr>
              <w:pStyle w:val="Normal1linespace"/>
              <w:widowControl w:val="0"/>
              <w:jc w:val="left"/>
            </w:pPr>
          </w:p>
        </w:tc>
        <w:tc>
          <w:tcPr>
            <w:tcW w:w="5989" w:type="dxa"/>
            <w:shd w:val="clear" w:color="auto" w:fill="auto"/>
          </w:tcPr>
          <w:p w14:paraId="68C2B59D" w14:textId="77777777" w:rsidR="00657421" w:rsidRDefault="00657421" w:rsidP="00657421">
            <w:pPr>
              <w:pStyle w:val="Normal1linespace"/>
              <w:widowControl w:val="0"/>
              <w:jc w:val="left"/>
            </w:pPr>
          </w:p>
        </w:tc>
      </w:tr>
      <w:tr w:rsidR="00657421" w14:paraId="38C68588" w14:textId="77777777" w:rsidTr="0048551B">
        <w:tc>
          <w:tcPr>
            <w:tcW w:w="3085" w:type="dxa"/>
            <w:shd w:val="clear" w:color="auto" w:fill="auto"/>
          </w:tcPr>
          <w:p w14:paraId="6CB876EB" w14:textId="77777777" w:rsidR="00657421" w:rsidRDefault="00657421" w:rsidP="00657421">
            <w:pPr>
              <w:pStyle w:val="Normal1linespace"/>
              <w:widowControl w:val="0"/>
              <w:jc w:val="left"/>
            </w:pPr>
            <w:r>
              <w:t>Number of paragraphs:</w:t>
            </w:r>
          </w:p>
        </w:tc>
        <w:tc>
          <w:tcPr>
            <w:tcW w:w="5989" w:type="dxa"/>
            <w:shd w:val="clear" w:color="auto" w:fill="auto"/>
          </w:tcPr>
          <w:p w14:paraId="7BB70EFA" w14:textId="68364472" w:rsidR="00657421" w:rsidRDefault="00E639CD" w:rsidP="00657421">
            <w:pPr>
              <w:pStyle w:val="Normal1linespace"/>
              <w:widowControl w:val="0"/>
              <w:jc w:val="left"/>
            </w:pPr>
            <w:bookmarkStart w:id="7" w:name="PlaceCategoryParagraphs"/>
            <w:r>
              <w:t>63</w:t>
            </w:r>
            <w:bookmarkEnd w:id="7"/>
          </w:p>
        </w:tc>
      </w:tr>
      <w:tr w:rsidR="0048551B" w14:paraId="6F0BA5E9" w14:textId="77777777" w:rsidTr="0048551B">
        <w:tc>
          <w:tcPr>
            <w:tcW w:w="3085" w:type="dxa"/>
            <w:shd w:val="clear" w:color="auto" w:fill="auto"/>
          </w:tcPr>
          <w:p w14:paraId="4B954F03" w14:textId="77777777" w:rsidR="0048551B" w:rsidRDefault="0048551B" w:rsidP="0048551B">
            <w:pPr>
              <w:pStyle w:val="Normal1linespace"/>
              <w:widowControl w:val="0"/>
              <w:jc w:val="left"/>
            </w:pPr>
          </w:p>
        </w:tc>
        <w:tc>
          <w:tcPr>
            <w:tcW w:w="5989" w:type="dxa"/>
            <w:shd w:val="clear" w:color="auto" w:fill="auto"/>
          </w:tcPr>
          <w:p w14:paraId="3A050E8A" w14:textId="77777777" w:rsidR="0048551B" w:rsidRDefault="0048551B" w:rsidP="0048551B">
            <w:pPr>
              <w:pStyle w:val="Normal1linespace"/>
              <w:widowControl w:val="0"/>
              <w:jc w:val="left"/>
            </w:pPr>
          </w:p>
        </w:tc>
      </w:tr>
      <w:tr w:rsidR="0048551B" w14:paraId="52A60EF5" w14:textId="77777777" w:rsidTr="0048551B">
        <w:tc>
          <w:tcPr>
            <w:tcW w:w="3085" w:type="dxa"/>
            <w:shd w:val="clear" w:color="auto" w:fill="auto"/>
          </w:tcPr>
          <w:p w14:paraId="2CE8DD6C" w14:textId="4798A33F" w:rsidR="0048551B" w:rsidRDefault="0048551B" w:rsidP="0048551B">
            <w:pPr>
              <w:pStyle w:val="Normal1linespace"/>
              <w:widowControl w:val="0"/>
              <w:jc w:val="left"/>
            </w:pPr>
            <w:bookmarkStart w:id="8" w:name="Counsel" w:colFirst="0" w:colLast="2"/>
            <w:r>
              <w:t>Counsel for the Applicants:</w:t>
            </w:r>
          </w:p>
        </w:tc>
        <w:tc>
          <w:tcPr>
            <w:tcW w:w="5989" w:type="dxa"/>
            <w:shd w:val="clear" w:color="auto" w:fill="auto"/>
          </w:tcPr>
          <w:p w14:paraId="7C8342C9" w14:textId="45BB8459" w:rsidR="0048551B" w:rsidRDefault="0048551B" w:rsidP="0048551B">
            <w:pPr>
              <w:pStyle w:val="Normal1linespace"/>
              <w:widowControl w:val="0"/>
              <w:jc w:val="left"/>
            </w:pPr>
            <w:bookmarkStart w:id="9" w:name="AppCounsel"/>
            <w:bookmarkEnd w:id="9"/>
            <w:r>
              <w:t>WDB Buckland</w:t>
            </w:r>
          </w:p>
        </w:tc>
      </w:tr>
      <w:bookmarkEnd w:id="8"/>
      <w:tr w:rsidR="00657421" w14:paraId="4A34E15E" w14:textId="77777777" w:rsidTr="0048551B">
        <w:tc>
          <w:tcPr>
            <w:tcW w:w="3085" w:type="dxa"/>
            <w:shd w:val="clear" w:color="auto" w:fill="auto"/>
          </w:tcPr>
          <w:p w14:paraId="7D6309E5" w14:textId="41393AE6" w:rsidR="00657421" w:rsidRDefault="00657421" w:rsidP="00657421">
            <w:pPr>
              <w:pStyle w:val="Normal1linespace"/>
              <w:widowControl w:val="0"/>
              <w:jc w:val="left"/>
            </w:pPr>
          </w:p>
        </w:tc>
        <w:tc>
          <w:tcPr>
            <w:tcW w:w="5989" w:type="dxa"/>
            <w:shd w:val="clear" w:color="auto" w:fill="auto"/>
          </w:tcPr>
          <w:p w14:paraId="5B7FA048" w14:textId="65F9C6CE" w:rsidR="00657421" w:rsidRDefault="00657421" w:rsidP="00657421">
            <w:pPr>
              <w:pStyle w:val="Normal1linespace"/>
              <w:widowControl w:val="0"/>
              <w:jc w:val="left"/>
            </w:pPr>
          </w:p>
        </w:tc>
      </w:tr>
      <w:tr w:rsidR="00657421" w14:paraId="0E5C1712" w14:textId="77777777" w:rsidTr="0048551B">
        <w:tc>
          <w:tcPr>
            <w:tcW w:w="3085" w:type="dxa"/>
            <w:shd w:val="clear" w:color="auto" w:fill="auto"/>
          </w:tcPr>
          <w:p w14:paraId="69B6AC9C" w14:textId="45D129B7" w:rsidR="00657421" w:rsidRDefault="0048551B" w:rsidP="00657421">
            <w:pPr>
              <w:pStyle w:val="Normal1linespace"/>
              <w:widowControl w:val="0"/>
              <w:jc w:val="left"/>
            </w:pPr>
            <w:r>
              <w:t>Solicitor for the Applicants:</w:t>
            </w:r>
          </w:p>
        </w:tc>
        <w:tc>
          <w:tcPr>
            <w:tcW w:w="5989" w:type="dxa"/>
            <w:shd w:val="clear" w:color="auto" w:fill="auto"/>
          </w:tcPr>
          <w:p w14:paraId="2008D83B" w14:textId="043A3417" w:rsidR="00657421" w:rsidRDefault="0048551B" w:rsidP="00657421">
            <w:pPr>
              <w:pStyle w:val="Normal1linespace"/>
              <w:widowControl w:val="0"/>
              <w:jc w:val="left"/>
            </w:pPr>
            <w:r>
              <w:t>Nelson &amp; Hill Lawyers</w:t>
            </w:r>
          </w:p>
        </w:tc>
      </w:tr>
      <w:tr w:rsidR="0048551B" w14:paraId="214E8265" w14:textId="77777777" w:rsidTr="0048551B">
        <w:tc>
          <w:tcPr>
            <w:tcW w:w="3085" w:type="dxa"/>
            <w:shd w:val="clear" w:color="auto" w:fill="auto"/>
          </w:tcPr>
          <w:p w14:paraId="409AEE8B" w14:textId="77777777" w:rsidR="0048551B" w:rsidRDefault="0048551B" w:rsidP="00657421">
            <w:pPr>
              <w:pStyle w:val="Normal1linespace"/>
              <w:widowControl w:val="0"/>
              <w:jc w:val="left"/>
            </w:pPr>
          </w:p>
        </w:tc>
        <w:tc>
          <w:tcPr>
            <w:tcW w:w="5989" w:type="dxa"/>
            <w:shd w:val="clear" w:color="auto" w:fill="auto"/>
          </w:tcPr>
          <w:p w14:paraId="12BE1594" w14:textId="77777777" w:rsidR="0048551B" w:rsidRDefault="0048551B" w:rsidP="00657421">
            <w:pPr>
              <w:pStyle w:val="Normal1linespace"/>
              <w:widowControl w:val="0"/>
              <w:jc w:val="left"/>
            </w:pPr>
          </w:p>
        </w:tc>
      </w:tr>
      <w:tr w:rsidR="00657421" w14:paraId="5FA02B07" w14:textId="77777777" w:rsidTr="0048551B">
        <w:tc>
          <w:tcPr>
            <w:tcW w:w="3085" w:type="dxa"/>
            <w:shd w:val="clear" w:color="auto" w:fill="auto"/>
          </w:tcPr>
          <w:p w14:paraId="7F467BEB" w14:textId="47ED0B54" w:rsidR="00657421" w:rsidRDefault="0048551B" w:rsidP="00657421">
            <w:pPr>
              <w:pStyle w:val="Normal1linespace"/>
              <w:widowControl w:val="0"/>
              <w:jc w:val="left"/>
            </w:pPr>
            <w:r>
              <w:t>Counsel for the Respondents:</w:t>
            </w:r>
          </w:p>
        </w:tc>
        <w:tc>
          <w:tcPr>
            <w:tcW w:w="5989" w:type="dxa"/>
            <w:shd w:val="clear" w:color="auto" w:fill="auto"/>
          </w:tcPr>
          <w:p w14:paraId="4E0CE453" w14:textId="6BD87F76" w:rsidR="00657421" w:rsidRDefault="0048551B" w:rsidP="00657421">
            <w:pPr>
              <w:pStyle w:val="Normal1linespace"/>
              <w:widowControl w:val="0"/>
              <w:jc w:val="left"/>
            </w:pPr>
            <w:r>
              <w:t xml:space="preserve">K </w:t>
            </w:r>
            <w:proofErr w:type="spellStart"/>
            <w:r>
              <w:t>Pattenden</w:t>
            </w:r>
            <w:proofErr w:type="spellEnd"/>
          </w:p>
        </w:tc>
      </w:tr>
      <w:tr w:rsidR="0048551B" w14:paraId="1CAD6C74" w14:textId="77777777" w:rsidTr="0048551B">
        <w:tc>
          <w:tcPr>
            <w:tcW w:w="3085" w:type="dxa"/>
            <w:shd w:val="clear" w:color="auto" w:fill="auto"/>
          </w:tcPr>
          <w:p w14:paraId="0B5FAD1D" w14:textId="77777777" w:rsidR="0048551B" w:rsidRDefault="0048551B" w:rsidP="00657421">
            <w:pPr>
              <w:pStyle w:val="Normal1linespace"/>
              <w:widowControl w:val="0"/>
              <w:jc w:val="left"/>
            </w:pPr>
          </w:p>
        </w:tc>
        <w:tc>
          <w:tcPr>
            <w:tcW w:w="5989" w:type="dxa"/>
            <w:shd w:val="clear" w:color="auto" w:fill="auto"/>
          </w:tcPr>
          <w:p w14:paraId="7080EA67" w14:textId="77777777" w:rsidR="0048551B" w:rsidRDefault="0048551B" w:rsidP="00657421">
            <w:pPr>
              <w:pStyle w:val="Normal1linespace"/>
              <w:widowControl w:val="0"/>
              <w:jc w:val="left"/>
            </w:pPr>
          </w:p>
        </w:tc>
      </w:tr>
      <w:tr w:rsidR="00657421" w14:paraId="1C71C4B6" w14:textId="77777777" w:rsidTr="0048551B">
        <w:tc>
          <w:tcPr>
            <w:tcW w:w="3085" w:type="dxa"/>
            <w:shd w:val="clear" w:color="auto" w:fill="auto"/>
          </w:tcPr>
          <w:p w14:paraId="2E305F6C" w14:textId="6B9ECBEC" w:rsidR="00657421" w:rsidRDefault="0048551B" w:rsidP="00657421">
            <w:pPr>
              <w:pStyle w:val="Normal1linespace"/>
              <w:widowControl w:val="0"/>
              <w:jc w:val="left"/>
            </w:pPr>
            <w:r>
              <w:t>Solicitor for the Respondents:</w:t>
            </w:r>
          </w:p>
        </w:tc>
        <w:tc>
          <w:tcPr>
            <w:tcW w:w="5989" w:type="dxa"/>
            <w:shd w:val="clear" w:color="auto" w:fill="auto"/>
          </w:tcPr>
          <w:p w14:paraId="10C97A9E" w14:textId="460218E4" w:rsidR="00657421" w:rsidRDefault="0048551B" w:rsidP="00657421">
            <w:pPr>
              <w:pStyle w:val="Normal1linespace"/>
              <w:widowControl w:val="0"/>
              <w:jc w:val="left"/>
            </w:pPr>
            <w:proofErr w:type="spellStart"/>
            <w:r>
              <w:t>Aulich</w:t>
            </w:r>
            <w:proofErr w:type="spellEnd"/>
            <w:r>
              <w:t xml:space="preserve"> Civil Law</w:t>
            </w:r>
          </w:p>
        </w:tc>
      </w:tr>
      <w:tr w:rsidR="00657421" w14:paraId="0C7AF8AB" w14:textId="77777777" w:rsidTr="0048551B">
        <w:tc>
          <w:tcPr>
            <w:tcW w:w="3085" w:type="dxa"/>
            <w:shd w:val="clear" w:color="auto" w:fill="auto"/>
          </w:tcPr>
          <w:p w14:paraId="0DA7B18C" w14:textId="77777777" w:rsidR="00657421" w:rsidRDefault="00657421" w:rsidP="00657421">
            <w:pPr>
              <w:pStyle w:val="Normal1linespace"/>
              <w:widowControl w:val="0"/>
              <w:jc w:val="left"/>
            </w:pPr>
          </w:p>
        </w:tc>
        <w:tc>
          <w:tcPr>
            <w:tcW w:w="5989" w:type="dxa"/>
            <w:shd w:val="clear" w:color="auto" w:fill="auto"/>
          </w:tcPr>
          <w:p w14:paraId="755301DA" w14:textId="77777777" w:rsidR="00657421" w:rsidRDefault="00657421" w:rsidP="00657421">
            <w:pPr>
              <w:pStyle w:val="Normal1linespace"/>
              <w:widowControl w:val="0"/>
              <w:jc w:val="left"/>
            </w:pPr>
          </w:p>
        </w:tc>
      </w:tr>
    </w:tbl>
    <w:p w14:paraId="64A25DF5" w14:textId="77777777" w:rsidR="00395B24" w:rsidRDefault="00395B24">
      <w:pPr>
        <w:pStyle w:val="Normal1linespace"/>
      </w:pPr>
    </w:p>
    <w:p w14:paraId="43FB75CB" w14:textId="77777777" w:rsidR="0092590B" w:rsidRDefault="0092590B">
      <w:pPr>
        <w:pStyle w:val="Normal1linespace"/>
      </w:pPr>
    </w:p>
    <w:p w14:paraId="20E2B4E7" w14:textId="77777777" w:rsidR="00395B24" w:rsidRDefault="00395B24">
      <w:pPr>
        <w:pStyle w:val="Normal1linespace"/>
        <w:sectPr w:rsidR="00395B24">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p w14:paraId="3442D8B0"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48D83E13" w14:textId="77777777" w:rsidTr="00E81DA6">
        <w:tc>
          <w:tcPr>
            <w:tcW w:w="6912" w:type="dxa"/>
            <w:gridSpan w:val="2"/>
          </w:tcPr>
          <w:p w14:paraId="037F9874" w14:textId="77777777" w:rsidR="00A46CCC" w:rsidRPr="001765E0" w:rsidRDefault="00A46CCC" w:rsidP="00525A49">
            <w:pPr>
              <w:pStyle w:val="NormalHeadings"/>
            </w:pPr>
          </w:p>
        </w:tc>
        <w:tc>
          <w:tcPr>
            <w:tcW w:w="2330" w:type="dxa"/>
          </w:tcPr>
          <w:p w14:paraId="51085CAD" w14:textId="7E532C98" w:rsidR="00A46CCC" w:rsidRDefault="00142978" w:rsidP="00F92355">
            <w:pPr>
              <w:pStyle w:val="NormalHeadings"/>
              <w:jc w:val="right"/>
            </w:pPr>
            <w:bookmarkStart w:id="10" w:name="FileNo"/>
            <w:r>
              <w:t>ACD 50 of 2019</w:t>
            </w:r>
            <w:bookmarkEnd w:id="10"/>
          </w:p>
        </w:tc>
      </w:tr>
      <w:tr w:rsidR="00A76C13" w14:paraId="601F2871" w14:textId="77777777" w:rsidTr="00F461A4">
        <w:tc>
          <w:tcPr>
            <w:tcW w:w="9242" w:type="dxa"/>
            <w:gridSpan w:val="3"/>
          </w:tcPr>
          <w:p w14:paraId="2AD247F4" w14:textId="01951C20" w:rsidR="00A76C13" w:rsidRPr="00A76C13" w:rsidRDefault="00142978" w:rsidP="00142978">
            <w:pPr>
              <w:pStyle w:val="NormalHeadings"/>
              <w:jc w:val="left"/>
            </w:pPr>
            <w:bookmarkStart w:id="11" w:name="InTheMatterOf"/>
            <w:r>
              <w:t xml:space="preserve"> </w:t>
            </w:r>
            <w:bookmarkEnd w:id="11"/>
          </w:p>
        </w:tc>
      </w:tr>
      <w:tr w:rsidR="00A46CCC" w14:paraId="2469FDF6" w14:textId="77777777" w:rsidTr="005041F0">
        <w:trPr>
          <w:trHeight w:val="386"/>
        </w:trPr>
        <w:tc>
          <w:tcPr>
            <w:tcW w:w="2376" w:type="dxa"/>
          </w:tcPr>
          <w:p w14:paraId="265F57DC" w14:textId="77777777" w:rsidR="00A46CCC" w:rsidRDefault="00A46CCC" w:rsidP="005041F0">
            <w:pPr>
              <w:pStyle w:val="NormalHeadings"/>
              <w:jc w:val="left"/>
              <w:rPr>
                <w:caps/>
                <w:szCs w:val="24"/>
              </w:rPr>
            </w:pPr>
            <w:bookmarkStart w:id="12" w:name="Parties"/>
            <w:r>
              <w:rPr>
                <w:caps/>
                <w:szCs w:val="24"/>
              </w:rPr>
              <w:t>BETWEEN:</w:t>
            </w:r>
          </w:p>
        </w:tc>
        <w:tc>
          <w:tcPr>
            <w:tcW w:w="6866" w:type="dxa"/>
            <w:gridSpan w:val="2"/>
          </w:tcPr>
          <w:p w14:paraId="437A59CC" w14:textId="77777777" w:rsidR="00142978" w:rsidRDefault="00142978" w:rsidP="00142978">
            <w:pPr>
              <w:pStyle w:val="NormalHeadings"/>
              <w:jc w:val="left"/>
            </w:pPr>
            <w:bookmarkStart w:id="13" w:name="Applicant"/>
            <w:r>
              <w:t>ALAN HILL</w:t>
            </w:r>
          </w:p>
          <w:p w14:paraId="203F4BBB" w14:textId="77777777" w:rsidR="00142978" w:rsidRDefault="00142978" w:rsidP="00142978">
            <w:pPr>
              <w:pStyle w:val="PartyType"/>
            </w:pPr>
            <w:r>
              <w:t>First Applicant</w:t>
            </w:r>
          </w:p>
          <w:p w14:paraId="05F89F9D" w14:textId="77777777" w:rsidR="00142978" w:rsidRDefault="00142978" w:rsidP="001A2440">
            <w:pPr>
              <w:pStyle w:val="NormalHeadings"/>
              <w:jc w:val="left"/>
            </w:pPr>
          </w:p>
          <w:p w14:paraId="35862762" w14:textId="77777777" w:rsidR="00142978" w:rsidRDefault="00142978" w:rsidP="00142978">
            <w:pPr>
              <w:pStyle w:val="NormalHeadings"/>
              <w:jc w:val="left"/>
            </w:pPr>
            <w:r>
              <w:t>INITIATIVE HOLDINGS PTY LTD</w:t>
            </w:r>
          </w:p>
          <w:p w14:paraId="35E195B9" w14:textId="77777777" w:rsidR="00142978" w:rsidRDefault="00142978" w:rsidP="00142978">
            <w:pPr>
              <w:pStyle w:val="PartyType"/>
            </w:pPr>
            <w:r>
              <w:t>Second Applicant</w:t>
            </w:r>
          </w:p>
          <w:bookmarkEnd w:id="13"/>
          <w:p w14:paraId="49D8FCE0" w14:textId="76A1BD21" w:rsidR="00A46CCC" w:rsidRPr="006555B4" w:rsidRDefault="00A46CCC" w:rsidP="001A2440">
            <w:pPr>
              <w:pStyle w:val="NormalHeadings"/>
              <w:jc w:val="left"/>
            </w:pPr>
          </w:p>
        </w:tc>
      </w:tr>
      <w:tr w:rsidR="00A46CCC" w14:paraId="52DBF256" w14:textId="77777777" w:rsidTr="005041F0">
        <w:trPr>
          <w:trHeight w:val="386"/>
        </w:trPr>
        <w:tc>
          <w:tcPr>
            <w:tcW w:w="2376" w:type="dxa"/>
          </w:tcPr>
          <w:p w14:paraId="11407F04" w14:textId="77777777" w:rsidR="00A46CCC" w:rsidRDefault="00A46CCC" w:rsidP="005041F0">
            <w:pPr>
              <w:pStyle w:val="NormalHeadings"/>
              <w:jc w:val="left"/>
              <w:rPr>
                <w:caps/>
                <w:szCs w:val="24"/>
              </w:rPr>
            </w:pPr>
            <w:r>
              <w:rPr>
                <w:caps/>
                <w:szCs w:val="24"/>
              </w:rPr>
              <w:t>AND:</w:t>
            </w:r>
          </w:p>
        </w:tc>
        <w:tc>
          <w:tcPr>
            <w:tcW w:w="6866" w:type="dxa"/>
            <w:gridSpan w:val="2"/>
          </w:tcPr>
          <w:p w14:paraId="000B2113" w14:textId="77777777" w:rsidR="00142978" w:rsidRDefault="00142978" w:rsidP="00142978">
            <w:pPr>
              <w:pStyle w:val="NormalHeadings"/>
              <w:jc w:val="left"/>
            </w:pPr>
            <w:bookmarkStart w:id="14" w:name="Respondent"/>
            <w:r>
              <w:t>KAI ZHANG</w:t>
            </w:r>
          </w:p>
          <w:p w14:paraId="1C4FEF2D" w14:textId="77777777" w:rsidR="00142978" w:rsidRDefault="00142978" w:rsidP="00142978">
            <w:pPr>
              <w:pStyle w:val="PartyType"/>
            </w:pPr>
            <w:r>
              <w:t>First Respondent</w:t>
            </w:r>
          </w:p>
          <w:p w14:paraId="6354E307" w14:textId="77777777" w:rsidR="00142978" w:rsidRDefault="00142978" w:rsidP="001A2440">
            <w:pPr>
              <w:pStyle w:val="NormalHeadings"/>
              <w:jc w:val="left"/>
            </w:pPr>
          </w:p>
          <w:p w14:paraId="0ACA8DC1" w14:textId="77777777" w:rsidR="00142978" w:rsidRDefault="00142978" w:rsidP="00142978">
            <w:pPr>
              <w:pStyle w:val="NormalHeadings"/>
              <w:jc w:val="left"/>
            </w:pPr>
            <w:r>
              <w:t>THE AUSTRALIAN LAW COMPANY</w:t>
            </w:r>
          </w:p>
          <w:p w14:paraId="5B5A3D68" w14:textId="77777777" w:rsidR="00142978" w:rsidRDefault="00142978" w:rsidP="00142978">
            <w:pPr>
              <w:pStyle w:val="PartyType"/>
            </w:pPr>
            <w:r>
              <w:t>Second Respondent</w:t>
            </w:r>
          </w:p>
          <w:bookmarkEnd w:id="14"/>
          <w:p w14:paraId="5E8C9924" w14:textId="17ACCDA7" w:rsidR="00A46CCC" w:rsidRPr="006555B4" w:rsidRDefault="00A46CCC" w:rsidP="001A2440">
            <w:pPr>
              <w:pStyle w:val="NormalHeadings"/>
              <w:jc w:val="left"/>
            </w:pPr>
          </w:p>
        </w:tc>
      </w:tr>
    </w:tbl>
    <w:p w14:paraId="5AECBB89" w14:textId="77777777"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14:paraId="36056E5E" w14:textId="77777777">
        <w:tc>
          <w:tcPr>
            <w:tcW w:w="2376" w:type="dxa"/>
          </w:tcPr>
          <w:p w14:paraId="46E35EFF" w14:textId="31251B58" w:rsidR="00395B24" w:rsidRDefault="00142978">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14:paraId="1BC02984" w14:textId="70D1B153" w:rsidR="00395B24" w:rsidRDefault="00142978">
            <w:pPr>
              <w:pStyle w:val="NormalHeadings"/>
              <w:jc w:val="left"/>
              <w:rPr>
                <w:caps/>
                <w:szCs w:val="24"/>
              </w:rPr>
            </w:pPr>
            <w:bookmarkStart w:id="17" w:name="Judge"/>
            <w:r>
              <w:rPr>
                <w:caps/>
                <w:szCs w:val="24"/>
              </w:rPr>
              <w:t>GRIFFITHS J</w:t>
            </w:r>
            <w:bookmarkEnd w:id="17"/>
          </w:p>
        </w:tc>
      </w:tr>
      <w:tr w:rsidR="00395B24" w14:paraId="1FBA5377" w14:textId="77777777">
        <w:tc>
          <w:tcPr>
            <w:tcW w:w="2376" w:type="dxa"/>
          </w:tcPr>
          <w:p w14:paraId="0967D595" w14:textId="77777777" w:rsidR="00395B24" w:rsidRDefault="002C7385">
            <w:pPr>
              <w:pStyle w:val="NormalHeadings"/>
              <w:spacing w:after="120"/>
              <w:jc w:val="left"/>
              <w:rPr>
                <w:caps/>
                <w:szCs w:val="24"/>
              </w:rPr>
            </w:pPr>
            <w:r>
              <w:rPr>
                <w:caps/>
                <w:szCs w:val="24"/>
              </w:rPr>
              <w:t>DATE OF ORDER:</w:t>
            </w:r>
          </w:p>
        </w:tc>
        <w:tc>
          <w:tcPr>
            <w:tcW w:w="6866" w:type="dxa"/>
          </w:tcPr>
          <w:p w14:paraId="6F7968E7" w14:textId="58E87383" w:rsidR="00395B24" w:rsidRDefault="00142978" w:rsidP="000777EA">
            <w:pPr>
              <w:pStyle w:val="NormalHeadings"/>
              <w:jc w:val="left"/>
              <w:rPr>
                <w:caps/>
                <w:szCs w:val="24"/>
              </w:rPr>
            </w:pPr>
            <w:bookmarkStart w:id="18" w:name="Judgment_Dated"/>
            <w:r>
              <w:rPr>
                <w:caps/>
                <w:szCs w:val="24"/>
              </w:rPr>
              <w:t>25 SEPTEMBER 2019</w:t>
            </w:r>
            <w:bookmarkEnd w:id="18"/>
          </w:p>
        </w:tc>
      </w:tr>
    </w:tbl>
    <w:p w14:paraId="4A20C549" w14:textId="77777777" w:rsidR="00395B24" w:rsidRDefault="00395B24">
      <w:pPr>
        <w:pStyle w:val="NormalHeadings"/>
        <w:rPr>
          <w:b w:val="0"/>
        </w:rPr>
      </w:pPr>
    </w:p>
    <w:p w14:paraId="663D5F2E" w14:textId="77777777" w:rsidR="008D1617" w:rsidRDefault="008D1617">
      <w:pPr>
        <w:pStyle w:val="NormalHeadings"/>
        <w:rPr>
          <w:b w:val="0"/>
        </w:rPr>
      </w:pPr>
    </w:p>
    <w:p w14:paraId="5B79437F" w14:textId="77777777" w:rsidR="00395B24" w:rsidRDefault="002C7385">
      <w:pPr>
        <w:pStyle w:val="NormalHeadings"/>
      </w:pPr>
      <w:r>
        <w:t>THE COURT ORDERS THAT:</w:t>
      </w:r>
    </w:p>
    <w:p w14:paraId="561F4C88" w14:textId="77777777" w:rsidR="00395B24" w:rsidRDefault="00395B24">
      <w:pPr>
        <w:pStyle w:val="NormalHeadings"/>
      </w:pPr>
    </w:p>
    <w:p w14:paraId="09C7DEBE" w14:textId="77777777" w:rsidR="00940EF9" w:rsidRDefault="003D44F3" w:rsidP="00274F5B">
      <w:pPr>
        <w:pStyle w:val="Order1"/>
      </w:pPr>
      <w:bookmarkStart w:id="19" w:name="Order_Start_Text"/>
      <w:bookmarkEnd w:id="19"/>
      <w:r>
        <w:t xml:space="preserve">The applicants </w:t>
      </w:r>
      <w:r w:rsidR="00940EF9">
        <w:t xml:space="preserve">are jointly and severally liable to give security for the respondents’ costs in the amount of $50,000 (exclusive of GST).  </w:t>
      </w:r>
    </w:p>
    <w:p w14:paraId="53B8D0A0" w14:textId="77777777" w:rsidR="00395B24" w:rsidRDefault="00940EF9" w:rsidP="00274F5B">
      <w:pPr>
        <w:pStyle w:val="Order1"/>
      </w:pPr>
      <w:r>
        <w:t xml:space="preserve">The security is to be given in the form of a bank guarantee (or in such other form as is acceptable to the Registrar) and is to be lodged with the Registrar and a copy of which is to be served </w:t>
      </w:r>
      <w:r w:rsidR="009E0A3E">
        <w:t xml:space="preserve">promptly </w:t>
      </w:r>
      <w:r>
        <w:t>on the solicitor for the respondents.</w:t>
      </w:r>
    </w:p>
    <w:p w14:paraId="74286D67" w14:textId="77777777" w:rsidR="00940EF9" w:rsidRDefault="00940EF9" w:rsidP="00274F5B">
      <w:pPr>
        <w:pStyle w:val="Order1"/>
      </w:pPr>
      <w:r>
        <w:t xml:space="preserve">The bank guarantee (or other </w:t>
      </w:r>
      <w:r w:rsidR="009E0A3E">
        <w:t xml:space="preserve">approved </w:t>
      </w:r>
      <w:r>
        <w:t xml:space="preserve">form) required by Orders 1 and 2 be lodged with the Registrar within 21 days hereof.  </w:t>
      </w:r>
    </w:p>
    <w:p w14:paraId="4DF9FC1B" w14:textId="6F395CC7" w:rsidR="00940EF9" w:rsidRDefault="003D44F3" w:rsidP="00274F5B">
      <w:pPr>
        <w:pStyle w:val="Order1"/>
      </w:pPr>
      <w:r>
        <w:t>The proceedings are stayed until</w:t>
      </w:r>
      <w:r w:rsidR="00940EF9">
        <w:t xml:space="preserve"> security for costs</w:t>
      </w:r>
      <w:r>
        <w:t xml:space="preserve"> </w:t>
      </w:r>
      <w:r w:rsidR="00940EF9">
        <w:t xml:space="preserve">has been provided as required by the above orders.  </w:t>
      </w:r>
    </w:p>
    <w:p w14:paraId="06A93236" w14:textId="35C6C975" w:rsidR="00B245CD" w:rsidRDefault="00B245CD" w:rsidP="00274F5B">
      <w:pPr>
        <w:pStyle w:val="Order1"/>
      </w:pPr>
      <w:r>
        <w:t xml:space="preserve">Pursuant to r 16.21(1) of the </w:t>
      </w:r>
      <w:r>
        <w:rPr>
          <w:i/>
        </w:rPr>
        <w:t xml:space="preserve">Federal Court Rules 2011 </w:t>
      </w:r>
      <w:r>
        <w:t>(</w:t>
      </w:r>
      <w:proofErr w:type="spellStart"/>
      <w:r>
        <w:t>Cth</w:t>
      </w:r>
      <w:proofErr w:type="spellEnd"/>
      <w:r>
        <w:t xml:space="preserve">), the originating application and statement of claim be struck out.  </w:t>
      </w:r>
    </w:p>
    <w:p w14:paraId="262B61CD" w14:textId="75E5E111" w:rsidR="00B245CD" w:rsidRDefault="00B245CD" w:rsidP="00274F5B">
      <w:pPr>
        <w:pStyle w:val="Order1"/>
      </w:pPr>
      <w:r>
        <w:t xml:space="preserve">The respondents have leave to file an amended originating application and amended statement of claim within 14 days </w:t>
      </w:r>
      <w:r w:rsidR="009F4AAB">
        <w:t>after compliance with Orders 1 to 3 above</w:t>
      </w:r>
      <w:r>
        <w:t xml:space="preserve">.  </w:t>
      </w:r>
    </w:p>
    <w:p w14:paraId="0A498309" w14:textId="0BABB8A5" w:rsidR="00940EF9" w:rsidRDefault="00940EF9" w:rsidP="00274F5B">
      <w:pPr>
        <w:pStyle w:val="Order1"/>
      </w:pPr>
      <w:r>
        <w:t>Liberty to apply on the giving of 48 hours’ notice.</w:t>
      </w:r>
    </w:p>
    <w:p w14:paraId="55D73EE6" w14:textId="7E9EC22B" w:rsidR="00B245CD" w:rsidRDefault="00B245CD" w:rsidP="00274F5B">
      <w:pPr>
        <w:pStyle w:val="Order1"/>
      </w:pPr>
      <w:r>
        <w:t xml:space="preserve">By 5:00 pm 2 October 2019, the parties are to seek to agree the terms of an order for costs in respect of the interlocutory application.  If they cannot agree, within that time, </w:t>
      </w:r>
      <w:r>
        <w:lastRenderedPageBreak/>
        <w:t xml:space="preserve">each is to file and serve an outline of submissions, not exceeding three pages in length, setting out the order they seek and supporting reasons.  The issue of costs will then be determined on the papers and without a further hearing.  </w:t>
      </w:r>
    </w:p>
    <w:p w14:paraId="1B104CD9" w14:textId="77777777" w:rsidR="00636871" w:rsidRDefault="00636871" w:rsidP="002B0E91">
      <w:pPr>
        <w:pStyle w:val="BodyText"/>
      </w:pPr>
    </w:p>
    <w:p w14:paraId="5B60D2E2" w14:textId="77777777" w:rsidR="00395B24" w:rsidRDefault="00395B24" w:rsidP="002B0E91">
      <w:pPr>
        <w:pStyle w:val="BodyText"/>
      </w:pPr>
    </w:p>
    <w:p w14:paraId="2C870ED4" w14:textId="77777777" w:rsidR="00395B24" w:rsidRDefault="002C7385" w:rsidP="004D53E5">
      <w:pPr>
        <w:pStyle w:val="SingleSpace"/>
      </w:pPr>
      <w:r>
        <w:t>Note:</w:t>
      </w:r>
      <w:r>
        <w:tab/>
        <w:t xml:space="preserve">Entry of orders is dealt with in Rule 39.32 of the </w:t>
      </w:r>
      <w:r>
        <w:rPr>
          <w:i/>
        </w:rPr>
        <w:t>Federal Court Rules 2011</w:t>
      </w:r>
      <w:r>
        <w:t>.</w:t>
      </w:r>
    </w:p>
    <w:p w14:paraId="5450B5FA" w14:textId="77777777" w:rsidR="00395B24" w:rsidRDefault="00395B24" w:rsidP="002B0E91">
      <w:pPr>
        <w:pStyle w:val="BodyText"/>
      </w:pPr>
    </w:p>
    <w:p w14:paraId="3762254B" w14:textId="77777777" w:rsidR="00395B24" w:rsidRDefault="00395B24" w:rsidP="001F2DBC">
      <w:pPr>
        <w:pStyle w:val="BodyText"/>
      </w:pPr>
    </w:p>
    <w:p w14:paraId="4B3D702F" w14:textId="77777777" w:rsidR="0092590B" w:rsidRDefault="0092590B" w:rsidP="002B0E91">
      <w:pPr>
        <w:pStyle w:val="BodyText"/>
      </w:pPr>
    </w:p>
    <w:p w14:paraId="0F058EEC" w14:textId="77777777"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14:paraId="6348B106" w14:textId="77777777"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14:paraId="76BC2358" w14:textId="77777777" w:rsidR="00395B24" w:rsidRPr="00EA03CE" w:rsidRDefault="001A2440" w:rsidP="005E0510">
      <w:pPr>
        <w:pStyle w:val="NormalHeadings"/>
        <w:spacing w:line="360" w:lineRule="auto"/>
        <w:jc w:val="left"/>
        <w:rPr>
          <w:sz w:val="26"/>
          <w:szCs w:val="26"/>
        </w:rPr>
      </w:pPr>
      <w:r>
        <w:rPr>
          <w:sz w:val="26"/>
          <w:szCs w:val="26"/>
        </w:rPr>
        <w:t>GRIFFITHS J</w:t>
      </w:r>
      <w:r w:rsidR="00484F6D" w:rsidRPr="00EA03CE">
        <w:rPr>
          <w:sz w:val="26"/>
          <w:szCs w:val="26"/>
        </w:rPr>
        <w:t>:</w:t>
      </w:r>
    </w:p>
    <w:p w14:paraId="12C9BA38" w14:textId="470CAE36" w:rsidR="00484F6D" w:rsidRDefault="00777EF4" w:rsidP="00142978">
      <w:pPr>
        <w:pStyle w:val="ParaNumbering"/>
      </w:pPr>
      <w:r>
        <w:t>By an interlocutory application filed on 13 August 2019, the respondents seek security for costs in the amount of $50,000</w:t>
      </w:r>
      <w:r w:rsidR="00B245CD">
        <w:t xml:space="preserve"> against the first and second applicants jointly and severally</w:t>
      </w:r>
      <w:r>
        <w:t xml:space="preserve">.  </w:t>
      </w:r>
      <w:r w:rsidR="00B245CD">
        <w:t xml:space="preserve">They also seek an order under r 16.21(1) of the </w:t>
      </w:r>
      <w:r w:rsidR="00B245CD">
        <w:rPr>
          <w:i/>
        </w:rPr>
        <w:t xml:space="preserve">Federal Court Rules 2011 </w:t>
      </w:r>
      <w:r w:rsidR="00B245CD">
        <w:t>(</w:t>
      </w:r>
      <w:proofErr w:type="spellStart"/>
      <w:r w:rsidR="00B245CD">
        <w:t>Cth</w:t>
      </w:r>
      <w:proofErr w:type="spellEnd"/>
      <w:r w:rsidR="00B245CD">
        <w:t>) (</w:t>
      </w:r>
      <w:r w:rsidR="00B245CD">
        <w:rPr>
          <w:b/>
          <w:i/>
        </w:rPr>
        <w:t xml:space="preserve">2011 </w:t>
      </w:r>
      <w:r w:rsidR="00B245CD" w:rsidRPr="00B245CD">
        <w:rPr>
          <w:b/>
          <w:i/>
        </w:rPr>
        <w:t>FCRs</w:t>
      </w:r>
      <w:r w:rsidR="00B245CD">
        <w:t xml:space="preserve">) that the originating application and statement of claim be struck out.  </w:t>
      </w:r>
      <w:r w:rsidRPr="00B245CD">
        <w:t>The</w:t>
      </w:r>
      <w:r>
        <w:t xml:space="preserve"> respondents do not press </w:t>
      </w:r>
      <w:r w:rsidR="00B245CD">
        <w:t xml:space="preserve">that part </w:t>
      </w:r>
      <w:r>
        <w:t>of their interlocutory application</w:t>
      </w:r>
      <w:r w:rsidR="00F11114">
        <w:t xml:space="preserve"> which sought the summary dismissal of the</w:t>
      </w:r>
      <w:r w:rsidR="00872127">
        <w:t xml:space="preserve"> proceeding by</w:t>
      </w:r>
      <w:r w:rsidR="00F11114">
        <w:t xml:space="preserve"> </w:t>
      </w:r>
      <w:r w:rsidR="00B245CD">
        <w:t>summary judgment</w:t>
      </w:r>
      <w:r>
        <w:t xml:space="preserve">.  </w:t>
      </w:r>
    </w:p>
    <w:p w14:paraId="5FF9C11F" w14:textId="77777777" w:rsidR="00777EF4" w:rsidRDefault="00777EF4" w:rsidP="00777EF4">
      <w:pPr>
        <w:pStyle w:val="Heading2"/>
      </w:pPr>
      <w:r>
        <w:t>Summary of background matters</w:t>
      </w:r>
    </w:p>
    <w:p w14:paraId="0B72A6BE" w14:textId="561A3DE4" w:rsidR="00FD4FDF" w:rsidRDefault="00777EF4" w:rsidP="00197E18">
      <w:pPr>
        <w:pStyle w:val="ParaNumbering"/>
      </w:pPr>
      <w:r>
        <w:t xml:space="preserve">The substantive proceedings were commenced </w:t>
      </w:r>
      <w:r w:rsidR="00FD4FDF">
        <w:t xml:space="preserve">by the first and second applicants </w:t>
      </w:r>
      <w:r>
        <w:t>on 1</w:t>
      </w:r>
      <w:r w:rsidR="00657421">
        <w:t>2</w:t>
      </w:r>
      <w:r>
        <w:t xml:space="preserve"> July 2019.  </w:t>
      </w:r>
      <w:r w:rsidR="00FD4FDF">
        <w:t xml:space="preserve">Mr Hill is the first applicant.  The second applicant is the trustee of a service trust called Trustee of the Hill &amp; </w:t>
      </w:r>
      <w:proofErr w:type="spellStart"/>
      <w:r w:rsidR="00FD4FDF">
        <w:t>Rummery</w:t>
      </w:r>
      <w:proofErr w:type="spellEnd"/>
      <w:r w:rsidR="00FD4FDF">
        <w:t xml:space="preserve"> Service Trust.  As trustee of the service trust, the second applicant owned the goods, chattels, plant and equipment used in a law practice known as Hill &amp; </w:t>
      </w:r>
      <w:proofErr w:type="spellStart"/>
      <w:r w:rsidR="00FD4FDF">
        <w:t>Rummery</w:t>
      </w:r>
      <w:proofErr w:type="spellEnd"/>
      <w:r w:rsidR="00FD4FDF">
        <w:t xml:space="preserve"> Barristers &amp; Solicitors and employed Mr Hill and other employees of the law practice.  The substantive proceeding </w:t>
      </w:r>
      <w:r w:rsidR="003A4A65">
        <w:t>concerns</w:t>
      </w:r>
      <w:r w:rsidR="00FD4FDF">
        <w:t xml:space="preserve"> disputes which have arisen between the parties concerning the purchase of that law practice.  Th</w:t>
      </w:r>
      <w:r w:rsidR="003A4A65">
        <w:t>e</w:t>
      </w:r>
      <w:r w:rsidR="00FD4FDF">
        <w:t xml:space="preserve"> purchase </w:t>
      </w:r>
      <w:r w:rsidR="008C1B36">
        <w:t xml:space="preserve">of the law practice by the second respondent </w:t>
      </w:r>
      <w:r w:rsidR="00FD4FDF">
        <w:t xml:space="preserve">is reflected in two separate agreements, known as the 2015 Agreement and the 2018 Agreement respectively.  </w:t>
      </w:r>
      <w:r w:rsidR="008C1B36">
        <w:t xml:space="preserve">The 2018 Agreement was made after it was discovered that there was a common mistake that Mr Hill and not the previous vendor owned and operated the law practice.  </w:t>
      </w:r>
    </w:p>
    <w:p w14:paraId="487390C1" w14:textId="374E393A" w:rsidR="00AE33DD" w:rsidRDefault="00777EF4" w:rsidP="00197E18">
      <w:pPr>
        <w:pStyle w:val="ParaNumbering"/>
      </w:pPr>
      <w:r>
        <w:t xml:space="preserve">The </w:t>
      </w:r>
      <w:r w:rsidR="00FD4FDF">
        <w:t xml:space="preserve">present </w:t>
      </w:r>
      <w:r>
        <w:t xml:space="preserve">proceeding </w:t>
      </w:r>
      <w:r w:rsidR="00FD4FDF">
        <w:t>is</w:t>
      </w:r>
      <w:r>
        <w:t xml:space="preserve"> related to </w:t>
      </w:r>
      <w:r w:rsidR="00FD4FDF">
        <w:t xml:space="preserve">an </w:t>
      </w:r>
      <w:r>
        <w:t xml:space="preserve">earlier </w:t>
      </w:r>
      <w:r w:rsidR="00AE33DD">
        <w:t xml:space="preserve">proceeding in </w:t>
      </w:r>
      <w:r w:rsidR="00AE33DD" w:rsidRPr="00AE33DD">
        <w:rPr>
          <w:i/>
        </w:rPr>
        <w:t xml:space="preserve">The Australian Law Company Pty Ltd v Initiative Holdings Pty Ltd </w:t>
      </w:r>
      <w:r w:rsidR="00AE33DD">
        <w:t xml:space="preserve">(ACD14/2019), which </w:t>
      </w:r>
      <w:r w:rsidR="00EF0E17">
        <w:t>involved</w:t>
      </w:r>
      <w:r w:rsidR="00AE33DD">
        <w:t xml:space="preserve"> the setting aside of a statutory demand.  The statutory demand was ultimately withdrawn.  Reasons for judgment in respect of the issue of costs </w:t>
      </w:r>
      <w:r w:rsidR="00FD4FDF">
        <w:t xml:space="preserve">in that proceeding </w:t>
      </w:r>
      <w:r w:rsidR="00AE33DD">
        <w:t xml:space="preserve">were published </w:t>
      </w:r>
      <w:r w:rsidR="00EF0E17">
        <w:t>in</w:t>
      </w:r>
      <w:r w:rsidR="00AE33DD">
        <w:t xml:space="preserve"> </w:t>
      </w:r>
      <w:r w:rsidR="00657421" w:rsidRPr="00492D4B">
        <w:rPr>
          <w:i/>
        </w:rPr>
        <w:t>Australian Law Company Pty Ltd v Initiative Holdings Pty Ltd</w:t>
      </w:r>
      <w:r w:rsidR="00AE33DD" w:rsidRPr="00AE33DD">
        <w:rPr>
          <w:i/>
        </w:rPr>
        <w:t xml:space="preserve"> </w:t>
      </w:r>
      <w:r w:rsidR="00AE33DD">
        <w:t xml:space="preserve">[2019] FCA </w:t>
      </w:r>
      <w:r w:rsidR="00657421">
        <w:t>1561</w:t>
      </w:r>
      <w:r w:rsidR="00AE33DD">
        <w:t>.  Some of the relevant background facts which are common to this proceeding are set out in [</w:t>
      </w:r>
      <w:r w:rsidR="00E25DE2">
        <w:t>3] to [</w:t>
      </w:r>
      <w:r w:rsidR="00FB08E1">
        <w:t>11</w:t>
      </w:r>
      <w:r w:rsidR="00AE33DD">
        <w:t>]</w:t>
      </w:r>
      <w:r w:rsidR="00E25DE2">
        <w:t xml:space="preserve"> of that judgment</w:t>
      </w:r>
      <w:r w:rsidR="00AE33DD">
        <w:t xml:space="preserve">.  </w:t>
      </w:r>
    </w:p>
    <w:p w14:paraId="14850BC4" w14:textId="424B6E79" w:rsidR="00FD4FDF" w:rsidRDefault="00AE33DD" w:rsidP="00197E18">
      <w:pPr>
        <w:pStyle w:val="ParaNumbering"/>
      </w:pPr>
      <w:r>
        <w:t xml:space="preserve">In the </w:t>
      </w:r>
      <w:r w:rsidR="00E25DE2">
        <w:t>present substantive</w:t>
      </w:r>
      <w:r>
        <w:t xml:space="preserve"> proceeding, the applicants seek </w:t>
      </w:r>
      <w:r w:rsidR="00FD4FDF">
        <w:t xml:space="preserve">a declaration that the respondents are jointly and severally liable to pay $120,000 to Mr Hill under the terms of the 2018 Agreement.  The applicants also seek </w:t>
      </w:r>
      <w:r>
        <w:t xml:space="preserve">orders </w:t>
      </w:r>
      <w:r w:rsidR="00FD4FDF">
        <w:t xml:space="preserve">requiring </w:t>
      </w:r>
      <w:r>
        <w:t xml:space="preserve">the respondents to return goods </w:t>
      </w:r>
      <w:r w:rsidR="00C84259">
        <w:t xml:space="preserve">in their possession </w:t>
      </w:r>
      <w:r>
        <w:t>which were not transferred pursuant to the 2015 or 2018 Agreement</w:t>
      </w:r>
      <w:r w:rsidR="003A4A65">
        <w:t>s</w:t>
      </w:r>
      <w:r w:rsidR="00FD4FDF">
        <w:t xml:space="preserve">.  They seek </w:t>
      </w:r>
      <w:r>
        <w:t xml:space="preserve">damages </w:t>
      </w:r>
      <w:r w:rsidR="00FD4FDF">
        <w:t xml:space="preserve">in favour of the service trust for breach of the 2018 Agreement, including damages </w:t>
      </w:r>
      <w:r>
        <w:t>for non-</w:t>
      </w:r>
      <w:r>
        <w:lastRenderedPageBreak/>
        <w:t xml:space="preserve">payment of rent and </w:t>
      </w:r>
      <w:r w:rsidR="00FD4FDF">
        <w:t xml:space="preserve">expenses of the law practice.  They seek </w:t>
      </w:r>
      <w:r w:rsidR="00C84259">
        <w:t>compensation for</w:t>
      </w:r>
      <w:r w:rsidR="00FD4FDF">
        <w:t xml:space="preserve"> Mr Hill for </w:t>
      </w:r>
      <w:r>
        <w:t xml:space="preserve">work </w:t>
      </w:r>
      <w:r w:rsidR="00FD4FDF">
        <w:t xml:space="preserve">allegedly </w:t>
      </w:r>
      <w:r>
        <w:t xml:space="preserve">done by </w:t>
      </w:r>
      <w:r w:rsidR="00FD4FDF">
        <w:t>him for the second respondent as an independent contractor.</w:t>
      </w:r>
      <w:r w:rsidR="008C1B36">
        <w:t xml:space="preserve">  Mr Zhang is the sole director of the second respondent.  Mr Zhang met Mr Hill in 2013 and they both worked as solicitors at Hill &amp; </w:t>
      </w:r>
      <w:proofErr w:type="spellStart"/>
      <w:r w:rsidR="008C1B36">
        <w:t>Rummery</w:t>
      </w:r>
      <w:proofErr w:type="spellEnd"/>
      <w:r w:rsidR="008C1B36">
        <w:t xml:space="preserve">.  </w:t>
      </w:r>
    </w:p>
    <w:p w14:paraId="4F2114E6" w14:textId="01A3CDE8" w:rsidR="00E25DE2" w:rsidRDefault="00FD4FDF" w:rsidP="00197E18">
      <w:pPr>
        <w:pStyle w:val="ParaNumbering"/>
      </w:pPr>
      <w:r>
        <w:t>I</w:t>
      </w:r>
      <w:r w:rsidR="00AE33DD">
        <w:t>n support of their application for security for costs</w:t>
      </w:r>
      <w:r>
        <w:t xml:space="preserve">, </w:t>
      </w:r>
      <w:r w:rsidR="00960DE1">
        <w:t>t</w:t>
      </w:r>
      <w:r>
        <w:t xml:space="preserve">he respondents rely upon </w:t>
      </w:r>
      <w:r w:rsidR="00960DE1">
        <w:t>two</w:t>
      </w:r>
      <w:r>
        <w:t xml:space="preserve"> affidavits</w:t>
      </w:r>
      <w:r w:rsidR="00960DE1">
        <w:t>, one</w:t>
      </w:r>
      <w:r w:rsidR="00FB08E1">
        <w:t xml:space="preserve"> </w:t>
      </w:r>
      <w:r w:rsidR="00AE33DD">
        <w:t>affirmed</w:t>
      </w:r>
      <w:r w:rsidR="00E25DE2">
        <w:t xml:space="preserve"> by their instructing solicitor</w:t>
      </w:r>
      <w:r w:rsidR="00AE33DD">
        <w:t xml:space="preserve"> (Ms Erin Taylor) on 13 August 2019 and </w:t>
      </w:r>
      <w:r w:rsidR="00960DE1">
        <w:t xml:space="preserve">the other </w:t>
      </w:r>
      <w:r w:rsidR="003A4A65">
        <w:t>affirmed</w:t>
      </w:r>
      <w:r w:rsidR="00AE33DD">
        <w:t xml:space="preserve"> by </w:t>
      </w:r>
      <w:r w:rsidR="00A85CF9">
        <w:t xml:space="preserve">Mr </w:t>
      </w:r>
      <w:r w:rsidR="00AE33DD">
        <w:t xml:space="preserve">Zhang on </w:t>
      </w:r>
      <w:r w:rsidR="00EF0E17">
        <w:t>the same day</w:t>
      </w:r>
      <w:r w:rsidR="00AE33DD">
        <w:t xml:space="preserve">.  </w:t>
      </w:r>
      <w:r w:rsidR="00B245CD">
        <w:t xml:space="preserve">The </w:t>
      </w:r>
      <w:r w:rsidR="00CF3AD2">
        <w:t xml:space="preserve">respondents </w:t>
      </w:r>
      <w:r w:rsidR="00B245CD">
        <w:t xml:space="preserve">also sought to rely upon an affidavit of Mr Ben </w:t>
      </w:r>
      <w:proofErr w:type="spellStart"/>
      <w:r w:rsidR="00B245CD">
        <w:t>Aulich</w:t>
      </w:r>
      <w:proofErr w:type="spellEnd"/>
      <w:r w:rsidR="00B245CD">
        <w:t xml:space="preserve"> affirmed on 23 September 2019.  The Court upheld the </w:t>
      </w:r>
      <w:r w:rsidR="00CF3AD2">
        <w:t xml:space="preserve">applicants’ </w:t>
      </w:r>
      <w:r w:rsidR="00B245CD">
        <w:t xml:space="preserve">objection </w:t>
      </w:r>
      <w:r w:rsidR="003C654B">
        <w:t xml:space="preserve">to </w:t>
      </w:r>
      <w:r w:rsidR="00CF3AD2">
        <w:t xml:space="preserve">this affidavit </w:t>
      </w:r>
      <w:r w:rsidR="003C654B">
        <w:t xml:space="preserve">being read </w:t>
      </w:r>
      <w:r w:rsidR="00B245CD">
        <w:t>and refused</w:t>
      </w:r>
      <w:r w:rsidR="00CF3AD2">
        <w:t xml:space="preserve"> the respondents</w:t>
      </w:r>
      <w:r w:rsidR="00B245CD">
        <w:t xml:space="preserve"> leave to rely upon </w:t>
      </w:r>
      <w:r w:rsidR="003C654B">
        <w:t>it</w:t>
      </w:r>
      <w:r w:rsidR="00B245CD">
        <w:t xml:space="preserve"> in circumstances where it was filed and served only the day before the hearing and the respondents did not have sufficient time to respond to it.  </w:t>
      </w:r>
    </w:p>
    <w:p w14:paraId="432BAC52" w14:textId="55B30FD1" w:rsidR="003A4A65" w:rsidRDefault="00AE33DD" w:rsidP="00197E18">
      <w:pPr>
        <w:pStyle w:val="ParaNumbering"/>
      </w:pPr>
      <w:r>
        <w:t>The applicants rely upon an affidavit affirmed on 27 August 2019 by their instructing solicitor, Mr James Colquhoun, who is also a director of Nelson &amp; Co Pty Limited, trading as Nelson &amp; Hill Lawyers</w:t>
      </w:r>
      <w:r w:rsidR="003A4A65">
        <w:t xml:space="preserve"> (</w:t>
      </w:r>
      <w:r>
        <w:t>who are the solicitors on the record for the applicants</w:t>
      </w:r>
      <w:r w:rsidR="003A4A65">
        <w:t>)</w:t>
      </w:r>
      <w:r>
        <w:t xml:space="preserve">.  </w:t>
      </w:r>
      <w:r w:rsidR="003A4A65">
        <w:t>Mr Colquhoun</w:t>
      </w:r>
      <w:r>
        <w:t xml:space="preserve"> states that Mr Hill is engaged as an independent contractor to that law firm under contractual terms which are commercial in confidence, however, </w:t>
      </w:r>
      <w:r w:rsidR="00E25DE2">
        <w:t>h</w:t>
      </w:r>
      <w:r w:rsidR="00FB08E1">
        <w:t>e</w:t>
      </w:r>
      <w:r w:rsidR="00E25DE2">
        <w:t xml:space="preserve"> states that</w:t>
      </w:r>
      <w:r>
        <w:t xml:space="preserve"> Mr Hill is paid on the basis of invoices for services rendered by him. </w:t>
      </w:r>
      <w:r w:rsidR="003A4A65">
        <w:t xml:space="preserve"> No information is provided as to the quantum of any </w:t>
      </w:r>
      <w:r w:rsidR="00952DB0">
        <w:t>income</w:t>
      </w:r>
      <w:r w:rsidR="003A4A65">
        <w:t xml:space="preserve"> received by Mr Hill under this arrangement. </w:t>
      </w:r>
      <w:r>
        <w:t xml:space="preserve"> Mr Colquhoun </w:t>
      </w:r>
      <w:r w:rsidR="003A4A65">
        <w:t>deposes</w:t>
      </w:r>
      <w:r>
        <w:t xml:space="preserve"> that he believes that Mr Hill holds an ACT Law Society Practising Certificate and does not suffer an impecuniosity.  The bases for </w:t>
      </w:r>
      <w:r w:rsidR="008C1B36">
        <w:t>these</w:t>
      </w:r>
      <w:r>
        <w:t xml:space="preserve"> belief</w:t>
      </w:r>
      <w:r w:rsidR="008C1B36">
        <w:t>s</w:t>
      </w:r>
      <w:r>
        <w:t xml:space="preserve"> are not stated.  </w:t>
      </w:r>
      <w:r w:rsidR="00B245CD">
        <w:t xml:space="preserve">Mr Hill did not give evidence in the proceedings.  </w:t>
      </w:r>
    </w:p>
    <w:p w14:paraId="7D7EADC9" w14:textId="77777777" w:rsidR="00AE33DD" w:rsidRDefault="00FD4FDF" w:rsidP="00197E18">
      <w:pPr>
        <w:pStyle w:val="ParaNumbering"/>
      </w:pPr>
      <w:r>
        <w:t xml:space="preserve">It might be noted that Mr Colquhoun’s affidavit is silent on the issue of the solvency of the second applicant.  </w:t>
      </w:r>
    </w:p>
    <w:p w14:paraId="7FADACAC" w14:textId="465CD27D" w:rsidR="003D6342" w:rsidRDefault="003D6342" w:rsidP="00AE33DD">
      <w:pPr>
        <w:pStyle w:val="ParaNumbering"/>
      </w:pPr>
      <w:r>
        <w:t xml:space="preserve">I will address the security for costs issue, before determining the adequacy of applicants’ pleadings.  </w:t>
      </w:r>
    </w:p>
    <w:p w14:paraId="7203EAEF" w14:textId="599E6DD4" w:rsidR="003D6342" w:rsidRDefault="003D6342" w:rsidP="00CF3AD2">
      <w:pPr>
        <w:pStyle w:val="Heading2"/>
      </w:pPr>
      <w:r>
        <w:t>(a) Security for costs</w:t>
      </w:r>
    </w:p>
    <w:p w14:paraId="2DE8329D" w14:textId="7FC67E8D" w:rsidR="0047752F" w:rsidRPr="0047752F" w:rsidRDefault="0047752F" w:rsidP="0047752F">
      <w:pPr>
        <w:pStyle w:val="Heading3"/>
      </w:pPr>
      <w:r w:rsidRPr="0047752F">
        <w:t>(</w:t>
      </w:r>
      <w:proofErr w:type="spellStart"/>
      <w:r w:rsidRPr="0047752F">
        <w:t>i</w:t>
      </w:r>
      <w:proofErr w:type="spellEnd"/>
      <w:r w:rsidRPr="0047752F">
        <w:t>) Respondents’ submissions summarised</w:t>
      </w:r>
    </w:p>
    <w:p w14:paraId="0234ECB3" w14:textId="56A128F9" w:rsidR="00E25DE2" w:rsidRDefault="004873AE" w:rsidP="00AE33DD">
      <w:pPr>
        <w:pStyle w:val="ParaNumbering"/>
      </w:pPr>
      <w:r>
        <w:t>The respondent</w:t>
      </w:r>
      <w:r w:rsidR="003A4A65">
        <w:t>s</w:t>
      </w:r>
      <w:r w:rsidR="00AE33DD">
        <w:t xml:space="preserve"> submitted that the </w:t>
      </w:r>
      <w:r w:rsidR="00657421">
        <w:t>purpose of an order for security for costs is to ensure a respondent who succeeds in defending proceedings is able to obtain its costs ordered by the Court</w:t>
      </w:r>
      <w:r w:rsidR="00AC5D87">
        <w:t xml:space="preserve">. They submit the </w:t>
      </w:r>
      <w:r w:rsidR="00AE33DD">
        <w:t xml:space="preserve">Court’s discretion </w:t>
      </w:r>
      <w:r w:rsidR="00AC5D87">
        <w:t xml:space="preserve">is unfettered but </w:t>
      </w:r>
      <w:r w:rsidR="00AE33DD">
        <w:t>ha</w:t>
      </w:r>
      <w:r w:rsidR="00AC5D87">
        <w:t>s</w:t>
      </w:r>
      <w:r w:rsidR="00AE33DD">
        <w:t xml:space="preserve"> to be exercised judicially and according to the </w:t>
      </w:r>
      <w:r w:rsidR="00B9043F">
        <w:t>circumstances</w:t>
      </w:r>
      <w:r w:rsidR="00AE33DD">
        <w:t xml:space="preserve"> of the particular case</w:t>
      </w:r>
      <w:r w:rsidR="00EF0E17">
        <w:t>.  The</w:t>
      </w:r>
      <w:r w:rsidR="00AE33DD">
        <w:t xml:space="preserve"> relevant considerations here </w:t>
      </w:r>
      <w:r w:rsidR="00AE33DD">
        <w:lastRenderedPageBreak/>
        <w:t xml:space="preserve">included the impecuniosity of the applicants, the strength and </w:t>
      </w:r>
      <w:r w:rsidR="00AE33DD">
        <w:rPr>
          <w:i/>
        </w:rPr>
        <w:t xml:space="preserve">bona fides </w:t>
      </w:r>
      <w:r w:rsidR="00AE33DD">
        <w:t xml:space="preserve">of their claims, their conduct and the level of risk </w:t>
      </w:r>
      <w:r w:rsidR="003A4A65">
        <w:t xml:space="preserve">that </w:t>
      </w:r>
      <w:r w:rsidR="00AE33DD">
        <w:t xml:space="preserve">the </w:t>
      </w:r>
      <w:r w:rsidR="00B9043F">
        <w:t>applicants</w:t>
      </w:r>
      <w:r w:rsidR="00AE33DD">
        <w:t xml:space="preserve"> could not satisfy a costs order, citing </w:t>
      </w:r>
      <w:proofErr w:type="spellStart"/>
      <w:r w:rsidR="00AE33DD" w:rsidRPr="00C84259">
        <w:rPr>
          <w:i/>
        </w:rPr>
        <w:t>Jodast</w:t>
      </w:r>
      <w:proofErr w:type="spellEnd"/>
      <w:r w:rsidR="00AE33DD">
        <w:rPr>
          <w:i/>
        </w:rPr>
        <w:t xml:space="preserve"> </w:t>
      </w:r>
      <w:r w:rsidR="00B9043F">
        <w:rPr>
          <w:i/>
        </w:rPr>
        <w:t xml:space="preserve">Pty Ltd v A &amp; J </w:t>
      </w:r>
      <w:proofErr w:type="spellStart"/>
      <w:r w:rsidR="00B9043F">
        <w:rPr>
          <w:i/>
        </w:rPr>
        <w:t>Blattner</w:t>
      </w:r>
      <w:proofErr w:type="spellEnd"/>
      <w:r w:rsidR="00B9043F">
        <w:rPr>
          <w:i/>
        </w:rPr>
        <w:t xml:space="preserve"> Pty Ltd </w:t>
      </w:r>
      <w:r w:rsidR="00B9043F">
        <w:t xml:space="preserve">(1991) 104 ALR 248 at 242.  </w:t>
      </w:r>
    </w:p>
    <w:p w14:paraId="43693803" w14:textId="77777777" w:rsidR="00F11114" w:rsidRDefault="00F11114" w:rsidP="00AE33DD">
      <w:pPr>
        <w:pStyle w:val="ParaNumbering"/>
      </w:pPr>
      <w:bookmarkStart w:id="21" w:name="_Ref20129505"/>
      <w:r>
        <w:t>The respondents claim that Mr Hill is impecunious because:</w:t>
      </w:r>
      <w:bookmarkEnd w:id="21"/>
    </w:p>
    <w:p w14:paraId="3696B2A5" w14:textId="77777777" w:rsidR="00F11114" w:rsidRDefault="00F11114" w:rsidP="004873AE">
      <w:pPr>
        <w:pStyle w:val="ListNo1"/>
        <w:numPr>
          <w:ilvl w:val="0"/>
          <w:numId w:val="27"/>
        </w:numPr>
      </w:pPr>
      <w:r>
        <w:t xml:space="preserve">Mr Hill is the sole director of the second applicant and will be personally liable for debts </w:t>
      </w:r>
      <w:r w:rsidR="00EF0E17">
        <w:t xml:space="preserve">which are allegedly </w:t>
      </w:r>
      <w:r>
        <w:t xml:space="preserve">owed by the second applicant to the Australia Taxation Office </w:t>
      </w:r>
      <w:r w:rsidR="00EF0E17">
        <w:t>(</w:t>
      </w:r>
      <w:r w:rsidR="00EF0E17" w:rsidRPr="00EF0E17">
        <w:rPr>
          <w:b/>
        </w:rPr>
        <w:t>ATO</w:t>
      </w:r>
      <w:r w:rsidR="00EF0E17">
        <w:t xml:space="preserve">) </w:t>
      </w:r>
      <w:r>
        <w:t>if they are not paid by the company;</w:t>
      </w:r>
    </w:p>
    <w:p w14:paraId="4E502F78" w14:textId="77777777" w:rsidR="00F11114" w:rsidRDefault="00F11114" w:rsidP="00743945">
      <w:pPr>
        <w:pStyle w:val="ListNo1"/>
        <w:numPr>
          <w:ilvl w:val="0"/>
          <w:numId w:val="27"/>
        </w:numPr>
      </w:pPr>
      <w:r>
        <w:t xml:space="preserve">Mr Hill is exposed to the risk of a personal costs order in </w:t>
      </w:r>
      <w:r w:rsidR="004873AE">
        <w:t xml:space="preserve">the </w:t>
      </w:r>
      <w:r>
        <w:t xml:space="preserve">related proceedings </w:t>
      </w:r>
      <w:r w:rsidR="004873AE">
        <w:t xml:space="preserve">in </w:t>
      </w:r>
      <w:r>
        <w:t>ACD14/2019;</w:t>
      </w:r>
    </w:p>
    <w:p w14:paraId="7539EC07" w14:textId="77777777" w:rsidR="00F11114" w:rsidRDefault="00EF0E17" w:rsidP="00743945">
      <w:pPr>
        <w:pStyle w:val="ListNo1"/>
        <w:numPr>
          <w:ilvl w:val="0"/>
          <w:numId w:val="27"/>
        </w:numPr>
      </w:pPr>
      <w:r>
        <w:t xml:space="preserve">it is alleged that </w:t>
      </w:r>
      <w:r w:rsidR="00F11114">
        <w:t>Mr Hill is no longer entitled to practice as a partner of any law firm because he lost his unrestricted practising certificate;</w:t>
      </w:r>
    </w:p>
    <w:p w14:paraId="4A20B5CA" w14:textId="43CA974E" w:rsidR="00F11114" w:rsidRDefault="00F11114" w:rsidP="00743945">
      <w:pPr>
        <w:pStyle w:val="ListNo1"/>
        <w:numPr>
          <w:ilvl w:val="0"/>
          <w:numId w:val="27"/>
        </w:numPr>
      </w:pPr>
      <w:r>
        <w:t xml:space="preserve">Mr Hill is currently the subject of an order of the Supreme Court of the Australian Capital Territory (which may be under appeal) to pay approximately $155,000 in costs paid by the ACT Law Society to a manager who was appointed to </w:t>
      </w:r>
      <w:r w:rsidR="004873AE">
        <w:t>Mr Hill’s</w:t>
      </w:r>
      <w:r>
        <w:t xml:space="preserve"> law practice, </w:t>
      </w:r>
      <w:r w:rsidR="00AC5D87">
        <w:t xml:space="preserve">as well as </w:t>
      </w:r>
      <w:r>
        <w:t xml:space="preserve">the Law Society’s costs of </w:t>
      </w:r>
      <w:r w:rsidR="003A4A65">
        <w:t>that</w:t>
      </w:r>
      <w:r>
        <w:t xml:space="preserve"> proceeding;</w:t>
      </w:r>
    </w:p>
    <w:p w14:paraId="63EAD9ED" w14:textId="77777777" w:rsidR="00F11114" w:rsidRDefault="00F11114" w:rsidP="00743945">
      <w:pPr>
        <w:pStyle w:val="ListNo1"/>
        <w:numPr>
          <w:ilvl w:val="0"/>
          <w:numId w:val="27"/>
        </w:numPr>
      </w:pPr>
      <w:r>
        <w:t xml:space="preserve">the respondents understand that Mr Hill is currently funding an appeal against the findings in </w:t>
      </w:r>
      <w:r>
        <w:rPr>
          <w:i/>
        </w:rPr>
        <w:t xml:space="preserve">Hill v The Council of the Law Society of the ACT </w:t>
      </w:r>
      <w:r>
        <w:t>[2019] ACTSC 79;</w:t>
      </w:r>
    </w:p>
    <w:p w14:paraId="43B7473E" w14:textId="77777777" w:rsidR="00F11114" w:rsidRDefault="00F11114" w:rsidP="00743945">
      <w:pPr>
        <w:pStyle w:val="ListNo1"/>
        <w:numPr>
          <w:ilvl w:val="0"/>
          <w:numId w:val="27"/>
        </w:numPr>
      </w:pPr>
      <w:r>
        <w:t>Mr Hill owns three properties which are the subject of caveats; and</w:t>
      </w:r>
    </w:p>
    <w:p w14:paraId="6934EFCF" w14:textId="77777777" w:rsidR="00F11114" w:rsidRDefault="00F11114" w:rsidP="00743945">
      <w:pPr>
        <w:pStyle w:val="ListNo1"/>
        <w:numPr>
          <w:ilvl w:val="0"/>
          <w:numId w:val="27"/>
        </w:numPr>
      </w:pPr>
      <w:r>
        <w:t xml:space="preserve">Mr Hill and the second applicant declined to provide an undertaking to hold $50,000 in trust pending the outcome of the proceedings.  </w:t>
      </w:r>
    </w:p>
    <w:p w14:paraId="2EE0D3AF" w14:textId="77777777" w:rsidR="00F11114" w:rsidRDefault="00F11114" w:rsidP="00AE33DD">
      <w:pPr>
        <w:pStyle w:val="ParaNumbering"/>
      </w:pPr>
      <w:r>
        <w:t>As to the second applicant, the respondents say that it is impecunious because:</w:t>
      </w:r>
    </w:p>
    <w:p w14:paraId="0225A13E" w14:textId="77777777" w:rsidR="00F11114" w:rsidRDefault="00F11114" w:rsidP="00545AC8">
      <w:pPr>
        <w:pStyle w:val="ListNo1"/>
        <w:numPr>
          <w:ilvl w:val="0"/>
          <w:numId w:val="24"/>
        </w:numPr>
      </w:pPr>
      <w:r>
        <w:t>it has only $2.00 of paid up share capital;</w:t>
      </w:r>
    </w:p>
    <w:p w14:paraId="78A771A1" w14:textId="77777777" w:rsidR="00F11114" w:rsidRDefault="00F11114" w:rsidP="00545AC8">
      <w:pPr>
        <w:pStyle w:val="ListNo1"/>
        <w:numPr>
          <w:ilvl w:val="0"/>
          <w:numId w:val="24"/>
        </w:numPr>
      </w:pPr>
      <w:r>
        <w:t>it is the service trust of a law practice which no longer operates;</w:t>
      </w:r>
    </w:p>
    <w:p w14:paraId="4ABF30D7" w14:textId="77777777" w:rsidR="00F11114" w:rsidRDefault="00F11114" w:rsidP="00545AC8">
      <w:pPr>
        <w:pStyle w:val="ListNo1"/>
        <w:numPr>
          <w:ilvl w:val="0"/>
          <w:numId w:val="24"/>
        </w:numPr>
      </w:pPr>
      <w:r>
        <w:t xml:space="preserve">it faces exposure to a costs order, including potentially an indemnity costs order, in the related proceedings </w:t>
      </w:r>
      <w:r w:rsidR="004873AE">
        <w:t xml:space="preserve">in </w:t>
      </w:r>
      <w:r>
        <w:t>ACD14/2019</w:t>
      </w:r>
      <w:r w:rsidR="00007953">
        <w:t>; and</w:t>
      </w:r>
    </w:p>
    <w:p w14:paraId="23C1828C" w14:textId="77777777" w:rsidR="00007953" w:rsidRDefault="008C1B36" w:rsidP="00545AC8">
      <w:pPr>
        <w:pStyle w:val="ListNo1"/>
        <w:numPr>
          <w:ilvl w:val="0"/>
          <w:numId w:val="24"/>
        </w:numPr>
      </w:pPr>
      <w:r>
        <w:t>Mr Zhang’s</w:t>
      </w:r>
      <w:r w:rsidR="00007953">
        <w:t xml:space="preserve"> understand</w:t>
      </w:r>
      <w:r>
        <w:t>ing, based on his time working at the law practice, is</w:t>
      </w:r>
      <w:r w:rsidR="00007953">
        <w:t xml:space="preserve"> that the second applicant owes debts </w:t>
      </w:r>
      <w:r>
        <w:t xml:space="preserve">in an unspecified amount </w:t>
      </w:r>
      <w:r w:rsidR="00007953">
        <w:t xml:space="preserve">to the ATO in respect of unpaid superannuation and PAYG instalments.  </w:t>
      </w:r>
    </w:p>
    <w:p w14:paraId="51B9F18D" w14:textId="77777777" w:rsidR="00AE33DD" w:rsidRDefault="00007953" w:rsidP="00AE33DD">
      <w:pPr>
        <w:pStyle w:val="ParaNumbering"/>
      </w:pPr>
      <w:r>
        <w:t>T</w:t>
      </w:r>
      <w:r w:rsidR="00B9043F">
        <w:t xml:space="preserve">he </w:t>
      </w:r>
      <w:r w:rsidR="004873AE">
        <w:t xml:space="preserve">respondents </w:t>
      </w:r>
      <w:r>
        <w:t xml:space="preserve">referred </w:t>
      </w:r>
      <w:r w:rsidR="00B9043F">
        <w:t xml:space="preserve">to Mr Zhang’s affidavit in support of their concerns regarding the applicants’ impecuniosity.  Noting that the second applicant is a trustee, the respondents </w:t>
      </w:r>
      <w:r w:rsidR="00B9043F">
        <w:lastRenderedPageBreak/>
        <w:t>submitted that the trustee would only be able to satisfy a costs order if it could have recourse to property or assets held by it on trust.  They submitted that the second applicant</w:t>
      </w:r>
      <w:r w:rsidR="003A4A65">
        <w:t xml:space="preserve"> had led no evidence</w:t>
      </w:r>
      <w:r w:rsidR="00B9043F">
        <w:t xml:space="preserve"> concerning its ability to satisfy a costs order, even though it had been requested to do so by the respondents.  </w:t>
      </w:r>
    </w:p>
    <w:p w14:paraId="65748D01" w14:textId="77777777" w:rsidR="00B9043F" w:rsidRDefault="00B9043F" w:rsidP="00AE33DD">
      <w:pPr>
        <w:pStyle w:val="ParaNumbering"/>
      </w:pPr>
      <w:r>
        <w:t>As t</w:t>
      </w:r>
      <w:r w:rsidR="00E25DE2">
        <w:t>o</w:t>
      </w:r>
      <w:r>
        <w:t xml:space="preserve"> the applicants’ conduct, the respondents </w:t>
      </w:r>
      <w:r w:rsidR="00007953">
        <w:t>claimed</w:t>
      </w:r>
      <w:r>
        <w:t xml:space="preserve"> that three separate proceedings had previously been commenced by the applicants in relation to the subject matter of the </w:t>
      </w:r>
      <w:r w:rsidR="00E25DE2">
        <w:t>present</w:t>
      </w:r>
      <w:r>
        <w:t xml:space="preserve"> proceeding</w:t>
      </w:r>
      <w:r w:rsidR="008C1B36">
        <w:t>s, including in the ACT Civil and Administrative Tribunal (</w:t>
      </w:r>
      <w:r w:rsidR="008C1B36">
        <w:rPr>
          <w:b/>
        </w:rPr>
        <w:t>ACAT)</w:t>
      </w:r>
      <w:r w:rsidR="00E25DE2">
        <w:t xml:space="preserve">.  </w:t>
      </w:r>
      <w:r w:rsidR="00007953">
        <w:t>The respondents</w:t>
      </w:r>
      <w:r w:rsidR="00E25DE2">
        <w:t xml:space="preserve"> say that the applicants also</w:t>
      </w:r>
      <w:r>
        <w:t xml:space="preserve"> caused </w:t>
      </w:r>
      <w:r w:rsidR="00007953">
        <w:t>them</w:t>
      </w:r>
      <w:r>
        <w:t xml:space="preserve"> to commence a separate proceeding in ACD14/2019 regarding the statutory demand.  The respondents submitted that it was relevant that they had already </w:t>
      </w:r>
      <w:r w:rsidR="00E25DE2">
        <w:t>incurred</w:t>
      </w:r>
      <w:r>
        <w:t xml:space="preserve"> significant costs in defending the other proceedings and the current proceedings are an attempt to </w:t>
      </w:r>
      <w:proofErr w:type="spellStart"/>
      <w:r>
        <w:t>relitigate</w:t>
      </w:r>
      <w:proofErr w:type="spellEnd"/>
      <w:r>
        <w:t xml:space="preserve"> many of the issues</w:t>
      </w:r>
      <w:r w:rsidR="003A4A65">
        <w:t xml:space="preserve"> in those proceedings</w:t>
      </w:r>
      <w:r>
        <w:t xml:space="preserve">.  </w:t>
      </w:r>
    </w:p>
    <w:p w14:paraId="435256F3" w14:textId="77777777" w:rsidR="00B9043F" w:rsidRDefault="00B9043F" w:rsidP="00AE33DD">
      <w:pPr>
        <w:pStyle w:val="ParaNumbering"/>
      </w:pPr>
      <w:r>
        <w:t xml:space="preserve">The respondents say that </w:t>
      </w:r>
      <w:r w:rsidR="003A4A65">
        <w:t xml:space="preserve">to date </w:t>
      </w:r>
      <w:r>
        <w:t xml:space="preserve">they have incurred approximately $130,000 in costs and disbursements in respect of the various disputes, including an amount of more than $20,000 in the current proceeding.  They rely on their solicitor’s estimate that an amount in the range of approximately $35,000 to $50,000 </w:t>
      </w:r>
      <w:r w:rsidR="00E25DE2">
        <w:t>is</w:t>
      </w:r>
      <w:r>
        <w:t xml:space="preserve"> likely to be incurred in defending the </w:t>
      </w:r>
      <w:r w:rsidR="003A4A65">
        <w:t>present</w:t>
      </w:r>
      <w:r>
        <w:t xml:space="preserve"> proceeding.  </w:t>
      </w:r>
    </w:p>
    <w:p w14:paraId="48DE7E38" w14:textId="77777777" w:rsidR="007C4D24" w:rsidRDefault="00B9043F" w:rsidP="00AE33DD">
      <w:pPr>
        <w:pStyle w:val="ParaNumbering"/>
      </w:pPr>
      <w:r>
        <w:t>As to the strength or weakness of the applicants’ claim</w:t>
      </w:r>
      <w:r w:rsidR="00E25DE2">
        <w:t xml:space="preserve">, </w:t>
      </w:r>
      <w:r w:rsidR="00007953">
        <w:t>the respondents</w:t>
      </w:r>
      <w:r w:rsidR="00E25DE2">
        <w:t xml:space="preserve"> claim</w:t>
      </w:r>
      <w:r>
        <w:t xml:space="preserve"> that similar issues have been raised by the applicants in pending proceedings in </w:t>
      </w:r>
      <w:r w:rsidR="008C1B36">
        <w:t>ACAT</w:t>
      </w:r>
      <w:r>
        <w:t xml:space="preserve">.  </w:t>
      </w:r>
    </w:p>
    <w:p w14:paraId="1A9D114C" w14:textId="77777777" w:rsidR="00B9043F" w:rsidRDefault="00B9043F" w:rsidP="00AE33DD">
      <w:pPr>
        <w:pStyle w:val="ParaNumbering"/>
      </w:pPr>
      <w:r>
        <w:t>They also say that the current pleading i</w:t>
      </w:r>
      <w:r w:rsidR="00007953">
        <w:t>s</w:t>
      </w:r>
      <w:r>
        <w:t xml:space="preserve"> incomprehensible or deficient, including</w:t>
      </w:r>
      <w:r w:rsidR="00007953">
        <w:t xml:space="preserve"> because</w:t>
      </w:r>
      <w:r>
        <w:t>:</w:t>
      </w:r>
    </w:p>
    <w:p w14:paraId="16AD5A1E" w14:textId="77777777" w:rsidR="00B9043F" w:rsidRDefault="00B9043F" w:rsidP="008979BC">
      <w:pPr>
        <w:pStyle w:val="ListNo1"/>
        <w:numPr>
          <w:ilvl w:val="0"/>
          <w:numId w:val="29"/>
        </w:numPr>
      </w:pPr>
      <w:r>
        <w:t>despite the claim regarding unpaid rent, there is no pleading which establishes how the second respondent has any liability to pay rent to the second applicant, in circumstances where the 2018 Agreement is between the first applicant and the second respondent;</w:t>
      </w:r>
    </w:p>
    <w:p w14:paraId="1366EBA5" w14:textId="77777777" w:rsidR="00B9043F" w:rsidRDefault="00B9043F" w:rsidP="00743945">
      <w:pPr>
        <w:pStyle w:val="ListNo1"/>
        <w:numPr>
          <w:ilvl w:val="0"/>
          <w:numId w:val="29"/>
        </w:numPr>
      </w:pPr>
      <w:r>
        <w:t>although the applicants seek declaratory relief that a debt of $120,000 is outstanding, they also contend that the contract under which it is outstanding has been repudiated;</w:t>
      </w:r>
    </w:p>
    <w:p w14:paraId="6E6ADC00" w14:textId="77777777" w:rsidR="00B9043F" w:rsidRDefault="00B9043F" w:rsidP="00743945">
      <w:pPr>
        <w:pStyle w:val="ListNo1"/>
        <w:numPr>
          <w:ilvl w:val="0"/>
          <w:numId w:val="29"/>
        </w:numPr>
      </w:pPr>
      <w:r>
        <w:t>there is no particularisation of the goods which have been said to have been transferred; and</w:t>
      </w:r>
    </w:p>
    <w:p w14:paraId="1486DBA5" w14:textId="77777777" w:rsidR="00B9043F" w:rsidRDefault="00B9043F" w:rsidP="00743945">
      <w:pPr>
        <w:pStyle w:val="ListNo1"/>
        <w:numPr>
          <w:ilvl w:val="0"/>
          <w:numId w:val="29"/>
        </w:numPr>
      </w:pPr>
      <w:proofErr w:type="gramStart"/>
      <w:r>
        <w:t>as</w:t>
      </w:r>
      <w:proofErr w:type="gramEnd"/>
      <w:r>
        <w:t xml:space="preserve"> to the claimed fees owing under an independent contract, the applicants have not pleaded any of the terms of that contract or outlined how the fees are claimed or calculated.  </w:t>
      </w:r>
    </w:p>
    <w:p w14:paraId="14A5154C" w14:textId="375BD710" w:rsidR="00B9043F" w:rsidRDefault="00B9043F" w:rsidP="00B9043F">
      <w:pPr>
        <w:pStyle w:val="ParaNumbering"/>
      </w:pPr>
      <w:r>
        <w:t>Finally, the respondents invite the Court to conclude that Mr Hill caused the statutory demand referred to above to be issue</w:t>
      </w:r>
      <w:r w:rsidR="00E25DE2">
        <w:t>d</w:t>
      </w:r>
      <w:r>
        <w:t xml:space="preserve"> for the </w:t>
      </w:r>
      <w:r w:rsidR="00EF0E17">
        <w:t>improper</w:t>
      </w:r>
      <w:r>
        <w:t xml:space="preserve"> purpose of attempting to secure a resolution of </w:t>
      </w:r>
      <w:r>
        <w:lastRenderedPageBreak/>
        <w:t>the dispute concerning the 2018 Agreement</w:t>
      </w:r>
      <w:r w:rsidR="00E25DE2">
        <w:t>, in circumstances where</w:t>
      </w:r>
      <w:r>
        <w:t xml:space="preserve"> he is the sole director, secretary and shareholder of the second applicant.  </w:t>
      </w:r>
    </w:p>
    <w:p w14:paraId="595644D9" w14:textId="0F7B8F14" w:rsidR="003D6342" w:rsidRDefault="003D6342" w:rsidP="00CF3AD2">
      <w:pPr>
        <w:pStyle w:val="Heading3"/>
      </w:pPr>
      <w:r>
        <w:t>(ii) The applicants’ response on security</w:t>
      </w:r>
    </w:p>
    <w:p w14:paraId="1C2EBB9C" w14:textId="2086759F" w:rsidR="00B9043F" w:rsidRDefault="004873AE" w:rsidP="00B9043F">
      <w:pPr>
        <w:pStyle w:val="ParaNumbering"/>
      </w:pPr>
      <w:r>
        <w:t xml:space="preserve">The applicants’ </w:t>
      </w:r>
      <w:r w:rsidR="003D6342">
        <w:t>submissions on security</w:t>
      </w:r>
      <w:r>
        <w:t xml:space="preserve"> may be summarised as follows.</w:t>
      </w:r>
      <w:r w:rsidR="00007953">
        <w:t xml:space="preserve">  </w:t>
      </w:r>
    </w:p>
    <w:p w14:paraId="47E00F96" w14:textId="52AF72E7" w:rsidR="00B9043F" w:rsidRDefault="00007953" w:rsidP="00B9043F">
      <w:pPr>
        <w:pStyle w:val="ParaNumbering"/>
      </w:pPr>
      <w:r>
        <w:t>First, noting that the second respondent accept</w:t>
      </w:r>
      <w:r w:rsidR="007C4D24">
        <w:t>ed</w:t>
      </w:r>
      <w:r>
        <w:t xml:space="preserve"> that the 2018 Agreement is valid and that $120,000 is payable under it, the applicants say that this supports their claim for relief in prayer A of the originating </w:t>
      </w:r>
      <w:r w:rsidR="004873AE">
        <w:t>application</w:t>
      </w:r>
      <w:r w:rsidR="007C4D24">
        <w:t>.  They contend</w:t>
      </w:r>
      <w:r>
        <w:t xml:space="preserve"> that their case is strong because</w:t>
      </w:r>
      <w:r w:rsidR="004873AE">
        <w:t xml:space="preserve"> they </w:t>
      </w:r>
      <w:r w:rsidR="007C4D24">
        <w:t>claim</w:t>
      </w:r>
      <w:r w:rsidR="004873AE">
        <w:t xml:space="preserve"> that </w:t>
      </w:r>
      <w:r>
        <w:t>the respondents apparently agree with its basic element</w:t>
      </w:r>
      <w:r w:rsidR="004873AE">
        <w:t>s</w:t>
      </w:r>
      <w:r>
        <w:t xml:space="preserve">.  The applicants also </w:t>
      </w:r>
      <w:r w:rsidR="007C4D24">
        <w:t>rely on</w:t>
      </w:r>
      <w:r>
        <w:t xml:space="preserve"> the respondents’ contractual obligation under the 201</w:t>
      </w:r>
      <w:r w:rsidR="004873AE">
        <w:t>8</w:t>
      </w:r>
      <w:r>
        <w:t xml:space="preserve"> Agreement to indemnify Mr Hill for legal costs arising in connection with that Agreement, including its enforcement.  </w:t>
      </w:r>
    </w:p>
    <w:p w14:paraId="79C2C501" w14:textId="77777777" w:rsidR="00007953" w:rsidRDefault="00007953" w:rsidP="00B9043F">
      <w:pPr>
        <w:pStyle w:val="ParaNumbering"/>
      </w:pPr>
      <w:r>
        <w:t xml:space="preserve">Secondly, as to the claims of impecuniosity, they </w:t>
      </w:r>
      <w:r w:rsidR="007C4D24">
        <w:t>submit</w:t>
      </w:r>
      <w:r>
        <w:t xml:space="preserve"> that the respondents have failed to discharge their </w:t>
      </w:r>
      <w:r w:rsidR="007C4D24">
        <w:t xml:space="preserve">evidentiary </w:t>
      </w:r>
      <w:r>
        <w:t xml:space="preserve">onus.  They say that Mr Hill is working as a solicitor pursuant to an independent contractor arrangement and is paid for that work.  They also claim that there is no evidence to support the “relatively modest quantum” estimated by the respondents.  </w:t>
      </w:r>
    </w:p>
    <w:p w14:paraId="400CBD8F" w14:textId="0E36B65E" w:rsidR="00007953" w:rsidRDefault="00007953" w:rsidP="00B9043F">
      <w:pPr>
        <w:pStyle w:val="ParaNumbering"/>
      </w:pPr>
      <w:r>
        <w:t xml:space="preserve">The respondents say that, where natural and corporate applicants have overlapping interests such that any adverse costs order would be made on a joint and several basis, courts have declined to order security for costs where the natural person is not impecunious, citing </w:t>
      </w:r>
      <w:proofErr w:type="spellStart"/>
      <w:r w:rsidRPr="00545AC8">
        <w:rPr>
          <w:b/>
          <w:i/>
        </w:rPr>
        <w:t>Harp</w:t>
      </w:r>
      <w:r w:rsidR="00AC5D87">
        <w:rPr>
          <w:b/>
          <w:i/>
        </w:rPr>
        <w:t>u</w:t>
      </w:r>
      <w:r w:rsidRPr="00545AC8">
        <w:rPr>
          <w:b/>
          <w:i/>
        </w:rPr>
        <w:t>r</w:t>
      </w:r>
      <w:proofErr w:type="spellEnd"/>
      <w:r>
        <w:rPr>
          <w:i/>
        </w:rPr>
        <w:t xml:space="preserve"> </w:t>
      </w:r>
      <w:r w:rsidR="00AC5D87">
        <w:rPr>
          <w:i/>
        </w:rPr>
        <w:t xml:space="preserve">Pty Ltd </w:t>
      </w:r>
      <w:r>
        <w:rPr>
          <w:i/>
        </w:rPr>
        <w:t xml:space="preserve">v Ariadne Australia </w:t>
      </w:r>
      <w:r w:rsidR="00AC5D87">
        <w:rPr>
          <w:i/>
        </w:rPr>
        <w:t xml:space="preserve">Ltd </w:t>
      </w:r>
      <w:r>
        <w:rPr>
          <w:i/>
        </w:rPr>
        <w:t xml:space="preserve">(No 2) </w:t>
      </w:r>
      <w:r>
        <w:t xml:space="preserve">[1984] 2 </w:t>
      </w:r>
      <w:proofErr w:type="spellStart"/>
      <w:r>
        <w:t>Qd</w:t>
      </w:r>
      <w:proofErr w:type="spellEnd"/>
      <w:r w:rsidR="00EF0E17">
        <w:t xml:space="preserve"> </w:t>
      </w:r>
      <w:r>
        <w:t xml:space="preserve">R 523 at 532 and </w:t>
      </w:r>
      <w:r w:rsidR="00545AC8" w:rsidRPr="00545AC8">
        <w:rPr>
          <w:b/>
          <w:i/>
        </w:rPr>
        <w:t>Fiduciary</w:t>
      </w:r>
      <w:r w:rsidR="00545AC8">
        <w:rPr>
          <w:i/>
        </w:rPr>
        <w:t xml:space="preserve"> v Morningstar Research </w:t>
      </w:r>
      <w:r w:rsidR="00545AC8">
        <w:t>[2004] NSWSC 664</w:t>
      </w:r>
      <w:r w:rsidR="00AC5D87">
        <w:t>; 208 ALR 564</w:t>
      </w:r>
      <w:r w:rsidR="00545AC8">
        <w:t xml:space="preserve"> at [55]-[63].  They say that the </w:t>
      </w:r>
      <w:r w:rsidR="007C4D24">
        <w:t>relief sought by</w:t>
      </w:r>
      <w:r w:rsidR="00545AC8">
        <w:t xml:space="preserve"> both Mr Hill and the second applicant are based upon</w:t>
      </w:r>
      <w:r w:rsidR="007C4D24">
        <w:t xml:space="preserve"> promises in the 2018 Agreement.  T</w:t>
      </w:r>
      <w:r w:rsidR="00545AC8">
        <w:t xml:space="preserve">hey </w:t>
      </w:r>
      <w:r w:rsidR="007C4D24">
        <w:t>say</w:t>
      </w:r>
      <w:r w:rsidR="00545AC8">
        <w:t xml:space="preserve"> that both </w:t>
      </w:r>
      <w:r w:rsidR="007C4D24">
        <w:t>their</w:t>
      </w:r>
      <w:r w:rsidR="00545AC8">
        <w:t xml:space="preserve"> claims will either succeed or fail together and that the Court should not order security for costs given that Mr Hill is not impecunious.  </w:t>
      </w:r>
    </w:p>
    <w:p w14:paraId="43D0FD14" w14:textId="77777777" w:rsidR="00545AC8" w:rsidRDefault="00545AC8" w:rsidP="00B9043F">
      <w:pPr>
        <w:pStyle w:val="ParaNumbering"/>
      </w:pPr>
      <w:r>
        <w:t>Thirdly, as to the parties’ conduct, the applicants claim that the present proceeding was commenced so as to consolidate the various disputes on foot</w:t>
      </w:r>
      <w:r w:rsidR="004873AE">
        <w:t>,</w:t>
      </w:r>
      <w:r>
        <w:t xml:space="preserve"> including those in ACAT, which is a no costs jurisdiction and where, therefore, costs could not have been recovered by the respondents.  </w:t>
      </w:r>
    </w:p>
    <w:p w14:paraId="4389B1D8" w14:textId="77777777" w:rsidR="00545AC8" w:rsidRDefault="00545AC8" w:rsidP="00B9043F">
      <w:pPr>
        <w:pStyle w:val="ParaNumbering"/>
      </w:pPr>
      <w:r>
        <w:t>As to the costs in ACD14/2019, the applicants contend that they are not relevant</w:t>
      </w:r>
      <w:r w:rsidR="004873AE">
        <w:t xml:space="preserve"> to the consideration and determination of the application for security for costs in the present proceeding</w:t>
      </w:r>
      <w:r>
        <w:t xml:space="preserve">.  </w:t>
      </w:r>
    </w:p>
    <w:p w14:paraId="1478938C" w14:textId="77777777" w:rsidR="00545AC8" w:rsidRDefault="00545AC8" w:rsidP="00B9043F">
      <w:pPr>
        <w:pStyle w:val="ParaNumbering"/>
      </w:pPr>
      <w:r>
        <w:t xml:space="preserve">The applicants asked to be heard on the issue of the costs of the interlocutory application.  </w:t>
      </w:r>
    </w:p>
    <w:p w14:paraId="70C120CC" w14:textId="518D21C6" w:rsidR="00B9043F" w:rsidRDefault="00B9043F" w:rsidP="00B9043F">
      <w:pPr>
        <w:pStyle w:val="Heading2"/>
      </w:pPr>
      <w:r>
        <w:lastRenderedPageBreak/>
        <w:t>Consideration and determination</w:t>
      </w:r>
      <w:r w:rsidR="003D6342">
        <w:t xml:space="preserve"> on security</w:t>
      </w:r>
    </w:p>
    <w:p w14:paraId="3C142221" w14:textId="77777777" w:rsidR="004873AE" w:rsidRDefault="004873AE" w:rsidP="004873AE">
      <w:pPr>
        <w:pStyle w:val="Heading3"/>
      </w:pPr>
      <w:r>
        <w:t>(a) Summary of legal principles</w:t>
      </w:r>
    </w:p>
    <w:p w14:paraId="6B6E14BE" w14:textId="618E4229" w:rsidR="004873AE" w:rsidRDefault="004873AE" w:rsidP="004873AE">
      <w:pPr>
        <w:pStyle w:val="ParaNumbering"/>
      </w:pPr>
      <w:r>
        <w:t xml:space="preserve">The application for security for costs is made pursuant to s 56 of the </w:t>
      </w:r>
      <w:r>
        <w:rPr>
          <w:i/>
        </w:rPr>
        <w:t xml:space="preserve">Federal Court of Australia Act 1976 </w:t>
      </w:r>
      <w:r>
        <w:t>(</w:t>
      </w:r>
      <w:proofErr w:type="spellStart"/>
      <w:r>
        <w:t>Cth</w:t>
      </w:r>
      <w:proofErr w:type="spellEnd"/>
      <w:r>
        <w:t>) (</w:t>
      </w:r>
      <w:r>
        <w:rPr>
          <w:b/>
          <w:i/>
        </w:rPr>
        <w:t>FCA Act</w:t>
      </w:r>
      <w:r>
        <w:t xml:space="preserve">), r 19.01 of the </w:t>
      </w:r>
      <w:r w:rsidRPr="008420E8">
        <w:rPr>
          <w:i/>
        </w:rPr>
        <w:t>2011 FCRs</w:t>
      </w:r>
      <w:r>
        <w:t xml:space="preserve"> and s 1335 of the </w:t>
      </w:r>
      <w:r>
        <w:rPr>
          <w:i/>
        </w:rPr>
        <w:t xml:space="preserve">Corporations Act 2001 </w:t>
      </w:r>
      <w:r>
        <w:t>(</w:t>
      </w:r>
      <w:proofErr w:type="spellStart"/>
      <w:r>
        <w:t>Cth</w:t>
      </w:r>
      <w:proofErr w:type="spellEnd"/>
      <w:r>
        <w:t xml:space="preserve">) (the </w:t>
      </w:r>
      <w:r>
        <w:rPr>
          <w:b/>
          <w:i/>
        </w:rPr>
        <w:t>Act</w:t>
      </w:r>
      <w:r>
        <w:t xml:space="preserve">).  </w:t>
      </w:r>
    </w:p>
    <w:p w14:paraId="791EA52C" w14:textId="77777777" w:rsidR="004873AE" w:rsidRDefault="004873AE" w:rsidP="004873AE">
      <w:pPr>
        <w:pStyle w:val="ParaNumbering"/>
      </w:pPr>
      <w:r>
        <w:t xml:space="preserve">The Court has a discretion under s 56 of the </w:t>
      </w:r>
      <w:r>
        <w:rPr>
          <w:i/>
        </w:rPr>
        <w:t xml:space="preserve">FCA Act </w:t>
      </w:r>
      <w:r>
        <w:t xml:space="preserve">and r 19.01 of the </w:t>
      </w:r>
      <w:r w:rsidRPr="00FD4FDF">
        <w:rPr>
          <w:i/>
        </w:rPr>
        <w:t>2011 FCRs</w:t>
      </w:r>
      <w:r>
        <w:t xml:space="preserve"> to order an applicant to give a security for the payment of costs that may be awarded against it.  Further, s 56(2) provides that the security shall be of such amount, and given at such time and in such manner and form, as the Court directs.  </w:t>
      </w:r>
    </w:p>
    <w:p w14:paraId="27B37568" w14:textId="77777777" w:rsidR="004873AE" w:rsidRDefault="004873AE" w:rsidP="004873AE">
      <w:pPr>
        <w:pStyle w:val="ParaNumbering"/>
      </w:pPr>
      <w:r>
        <w:t xml:space="preserve">It is well settled that the Court’s discretion under s 56 is broad and unfettered, </w:t>
      </w:r>
      <w:r w:rsidR="00EF0E17">
        <w:t xml:space="preserve">but </w:t>
      </w:r>
      <w:r>
        <w:t>it must be exercised judicially</w:t>
      </w:r>
      <w:r w:rsidR="00EF0E17">
        <w:t xml:space="preserve"> (</w:t>
      </w:r>
      <w:r>
        <w:t xml:space="preserve">and with close attention to the circumstances of the particular case (see </w:t>
      </w:r>
      <w:r w:rsidRPr="00777EF4">
        <w:rPr>
          <w:b/>
          <w:i/>
        </w:rPr>
        <w:t>Lim</w:t>
      </w:r>
      <w:r>
        <w:rPr>
          <w:i/>
        </w:rPr>
        <w:t xml:space="preserve"> v </w:t>
      </w:r>
      <w:proofErr w:type="spellStart"/>
      <w:r>
        <w:rPr>
          <w:i/>
        </w:rPr>
        <w:t>Comcare</w:t>
      </w:r>
      <w:proofErr w:type="spellEnd"/>
      <w:r>
        <w:rPr>
          <w:i/>
        </w:rPr>
        <w:t xml:space="preserve"> </w:t>
      </w:r>
      <w:r>
        <w:t xml:space="preserve">[2016] FCA 1346 at [18] per </w:t>
      </w:r>
      <w:proofErr w:type="spellStart"/>
      <w:r>
        <w:t>Wigney</w:t>
      </w:r>
      <w:proofErr w:type="spellEnd"/>
      <w:r>
        <w:t> J</w:t>
      </w:r>
      <w:r w:rsidR="00EF0E17">
        <w:t>)</w:t>
      </w:r>
      <w:r>
        <w:t>.</w:t>
      </w:r>
    </w:p>
    <w:p w14:paraId="2AABEA54" w14:textId="77777777" w:rsidR="004873AE" w:rsidRDefault="004873AE" w:rsidP="004873AE">
      <w:pPr>
        <w:pStyle w:val="ParaNumbering"/>
      </w:pPr>
      <w:r>
        <w:t xml:space="preserve">At [19] of </w:t>
      </w:r>
      <w:r>
        <w:rPr>
          <w:i/>
        </w:rPr>
        <w:t>Lim</w:t>
      </w:r>
      <w:r>
        <w:t xml:space="preserve">, </w:t>
      </w:r>
      <w:proofErr w:type="spellStart"/>
      <w:r>
        <w:t>Wigney</w:t>
      </w:r>
      <w:proofErr w:type="spellEnd"/>
      <w:r>
        <w:t> J said:</w:t>
      </w:r>
    </w:p>
    <w:p w14:paraId="2049604D" w14:textId="77777777" w:rsidR="004873AE" w:rsidRDefault="004873AE" w:rsidP="004873AE">
      <w:pPr>
        <w:pStyle w:val="Quote1"/>
      </w:pPr>
      <w:r w:rsidRPr="00777EF4">
        <w:t xml:space="preserve">The various considerations that may bear upon the making of an order have been considered in numerous authorities.  Those considerations include: the appellant’s prospects of success; the extent of the risk that a costs order against the appellant will not be met if the appeal is unsuccessful; whether the making of an order for security for costs would be oppressive, in that it would stifle a reasonably arguable claim; whether any impecuniosity of the appellant arises out of the conduct complained of; whether there are other aspects of the public interest that weigh in the balance against the making of an order for security; and whether there are any particular discretionary matters peculiar to the circumstances of the case: see generally </w:t>
      </w:r>
      <w:r w:rsidRPr="00777EF4">
        <w:rPr>
          <w:i/>
        </w:rPr>
        <w:t>Equity Access Ltd v Westpac Banking Corporation</w:t>
      </w:r>
      <w:r w:rsidRPr="00777EF4">
        <w:t xml:space="preserve"> [1989] FCA 520; (1989) ATPR 40-972 at 50,635 [24]; </w:t>
      </w:r>
      <w:r w:rsidRPr="00777EF4">
        <w:rPr>
          <w:i/>
        </w:rPr>
        <w:t>Soh v Commonwealth of Australia</w:t>
      </w:r>
      <w:r w:rsidRPr="00777EF4">
        <w:t xml:space="preserve"> [2008] FCA 1524 at [10]; </w:t>
      </w:r>
      <w:r w:rsidRPr="00777EF4">
        <w:rPr>
          <w:i/>
        </w:rPr>
        <w:t>Clack v Collins (No 1)</w:t>
      </w:r>
      <w:r w:rsidRPr="00777EF4">
        <w:t xml:space="preserve"> [2010] FCA 513 at [13].</w:t>
      </w:r>
      <w:r>
        <w:t xml:space="preserve"> </w:t>
      </w:r>
    </w:p>
    <w:p w14:paraId="3A001DE6" w14:textId="77777777" w:rsidR="004873AE" w:rsidRDefault="004873AE" w:rsidP="004873AE">
      <w:pPr>
        <w:pStyle w:val="ParaNumbering"/>
      </w:pPr>
      <w:r>
        <w:t xml:space="preserve">Under s 1335 of the </w:t>
      </w:r>
      <w:r>
        <w:rPr>
          <w:i/>
        </w:rPr>
        <w:t>Act</w:t>
      </w:r>
      <w:r>
        <w:t>, the Court has a discretion to order a corporation</w:t>
      </w:r>
      <w:r w:rsidR="007C4D24">
        <w:t>,</w:t>
      </w:r>
      <w:r>
        <w:t xml:space="preserve"> which is </w:t>
      </w:r>
      <w:r w:rsidR="007C4D24">
        <w:t xml:space="preserve">a </w:t>
      </w:r>
      <w:r>
        <w:t xml:space="preserve">plaintiff in any action or other legal proceeding in which the Court has jurisdiction, to order security for costs “if it appears by credible testimony that there is reason to believe that the corporation will be unable to pay the costs of the defendant” if the defendant succeeds.  </w:t>
      </w:r>
    </w:p>
    <w:p w14:paraId="3187D5AD" w14:textId="77777777" w:rsidR="004873AE" w:rsidRDefault="004873AE" w:rsidP="004873AE">
      <w:pPr>
        <w:pStyle w:val="ParaNumbering"/>
      </w:pPr>
      <w:r>
        <w:t xml:space="preserve">The purpose for making an order for security for costs is to protect the respondent against the possibility that the applicant, if unsuccessful, will be unable to meet an order for costs.  Where an application for security for costs is made in respect of a corporate applicant, the following three issues usually rise (see </w:t>
      </w:r>
      <w:r w:rsidRPr="00C84259">
        <w:rPr>
          <w:i/>
        </w:rPr>
        <w:t>Street</w:t>
      </w:r>
      <w:r>
        <w:rPr>
          <w:i/>
        </w:rPr>
        <w:t xml:space="preserve"> v Luna Park Sydney Pty Ltd </w:t>
      </w:r>
      <w:r>
        <w:t>[2006] NSWSC 1317 at [5] per Brereton J</w:t>
      </w:r>
      <w:r w:rsidR="00EF0E17">
        <w:t>)</w:t>
      </w:r>
      <w:r>
        <w:t>:</w:t>
      </w:r>
    </w:p>
    <w:p w14:paraId="431D0E83" w14:textId="77777777" w:rsidR="004873AE" w:rsidRDefault="004873AE" w:rsidP="008979BC">
      <w:pPr>
        <w:pStyle w:val="ListNo1"/>
        <w:numPr>
          <w:ilvl w:val="0"/>
          <w:numId w:val="30"/>
        </w:numPr>
      </w:pPr>
      <w:r>
        <w:lastRenderedPageBreak/>
        <w:t>whether the “jurisdictional issue” is established, namely that credible testimony demonstrates that the applicant corporation is unable to pay the respondent’s costs, in which event the Court’s discretion to order security for costs is enlivened;</w:t>
      </w:r>
    </w:p>
    <w:p w14:paraId="4CC28810" w14:textId="77777777" w:rsidR="004873AE" w:rsidRDefault="004873AE" w:rsidP="00743945">
      <w:pPr>
        <w:pStyle w:val="ListNo1"/>
        <w:numPr>
          <w:ilvl w:val="0"/>
          <w:numId w:val="30"/>
        </w:numPr>
      </w:pPr>
      <w:r>
        <w:t>where the jurisdictional issue is established, whether an order for security should be made as a matter of discretion; and</w:t>
      </w:r>
    </w:p>
    <w:p w14:paraId="5DEAAACC" w14:textId="77777777" w:rsidR="004873AE" w:rsidRDefault="004873AE" w:rsidP="00743945">
      <w:pPr>
        <w:pStyle w:val="ListNo1"/>
        <w:numPr>
          <w:ilvl w:val="0"/>
          <w:numId w:val="30"/>
        </w:numPr>
      </w:pPr>
      <w:proofErr w:type="gramStart"/>
      <w:r>
        <w:t>the</w:t>
      </w:r>
      <w:proofErr w:type="gramEnd"/>
      <w:r>
        <w:t xml:space="preserve"> quantum and terms of security to be given.  </w:t>
      </w:r>
    </w:p>
    <w:p w14:paraId="0EA73DE9" w14:textId="77777777" w:rsidR="004873AE" w:rsidRDefault="004873AE" w:rsidP="004873AE">
      <w:pPr>
        <w:pStyle w:val="ParaNumbering"/>
      </w:pPr>
      <w:r>
        <w:t xml:space="preserve">On the first of those matters, </w:t>
      </w:r>
      <w:proofErr w:type="spellStart"/>
      <w:r>
        <w:t>Thawley</w:t>
      </w:r>
      <w:proofErr w:type="spellEnd"/>
      <w:r>
        <w:t xml:space="preserve"> J recently observed in </w:t>
      </w:r>
      <w:proofErr w:type="spellStart"/>
      <w:r w:rsidRPr="00960DE1">
        <w:rPr>
          <w:b/>
          <w:i/>
        </w:rPr>
        <w:t>Brecher</w:t>
      </w:r>
      <w:proofErr w:type="spellEnd"/>
      <w:r>
        <w:rPr>
          <w:i/>
        </w:rPr>
        <w:t xml:space="preserve"> v Barrack Investments Pty Ltd </w:t>
      </w:r>
      <w:r>
        <w:t>[2018] FCA 472 at [18] that there are two features:</w:t>
      </w:r>
    </w:p>
    <w:p w14:paraId="40FED967" w14:textId="77777777" w:rsidR="004873AE" w:rsidRDefault="004873AE" w:rsidP="004873AE">
      <w:pPr>
        <w:pStyle w:val="ListNo1"/>
        <w:numPr>
          <w:ilvl w:val="0"/>
          <w:numId w:val="26"/>
        </w:numPr>
      </w:pPr>
      <w:r>
        <w:t>the likely quantum of costs of the re</w:t>
      </w:r>
      <w:r w:rsidR="007C4D24">
        <w:t>spondent</w:t>
      </w:r>
      <w:r>
        <w:t>; and</w:t>
      </w:r>
    </w:p>
    <w:p w14:paraId="0BE72262" w14:textId="77777777" w:rsidR="004873AE" w:rsidRDefault="004873AE" w:rsidP="004873AE">
      <w:pPr>
        <w:pStyle w:val="ListNo1"/>
        <w:numPr>
          <w:ilvl w:val="0"/>
          <w:numId w:val="26"/>
        </w:numPr>
      </w:pPr>
      <w:proofErr w:type="gramStart"/>
      <w:r>
        <w:t>the</w:t>
      </w:r>
      <w:proofErr w:type="gramEnd"/>
      <w:r>
        <w:t xml:space="preserve"> ability of the applicant corporation to pay costs in that amount.  </w:t>
      </w:r>
    </w:p>
    <w:p w14:paraId="3D1EB489" w14:textId="77777777" w:rsidR="004873AE" w:rsidRDefault="004873AE" w:rsidP="004873AE">
      <w:pPr>
        <w:pStyle w:val="ParaNumbering"/>
      </w:pPr>
      <w:r>
        <w:t xml:space="preserve">If the corporate applicant has no capacity to meet a costs order because, for example, it has no assets or other means of meeting any such order, the jurisdictional issue may be able to be determined without reference to the likely quantum of costs.  Where, however, the corporate applicant has some capacity to meet a costs order, the position is less straightforward (see </w:t>
      </w:r>
      <w:proofErr w:type="spellStart"/>
      <w:r w:rsidRPr="00960DE1">
        <w:rPr>
          <w:i/>
        </w:rPr>
        <w:t>Brecher</w:t>
      </w:r>
      <w:proofErr w:type="spellEnd"/>
      <w:r>
        <w:t xml:space="preserve"> at [18]</w:t>
      </w:r>
      <w:r w:rsidR="007C4D24">
        <w:t>)</w:t>
      </w:r>
      <w:r>
        <w:t xml:space="preserve">.  </w:t>
      </w:r>
    </w:p>
    <w:p w14:paraId="5E00C8AE" w14:textId="77777777" w:rsidR="004873AE" w:rsidRDefault="007C4D24" w:rsidP="004873AE">
      <w:pPr>
        <w:pStyle w:val="ParaNumbering"/>
      </w:pPr>
      <w:r>
        <w:t>A</w:t>
      </w:r>
      <w:r w:rsidR="004873AE">
        <w:t xml:space="preserve"> respondent </w:t>
      </w:r>
      <w:r>
        <w:t xml:space="preserve">who seeks security </w:t>
      </w:r>
      <w:r w:rsidR="004873AE">
        <w:t xml:space="preserve">has the evidentiary onus of satisfying the Court that a corporate applicant will be unable to meet the respondent’s reasonable costs if the respondent succeeds in its defence.  If that jurisdictional issue is satisfied, the evidentiary burden then shifts to the corporate applicant to satisfy the Court that, taking into account all relevant factors, the Court’s discretion should be exercised by refusing to order security or by ordering security of a lesser amount than that sought (see </w:t>
      </w:r>
      <w:r w:rsidR="004873AE" w:rsidRPr="00EF0E17">
        <w:rPr>
          <w:i/>
        </w:rPr>
        <w:t>Fiduciary</w:t>
      </w:r>
      <w:r w:rsidR="004873AE">
        <w:t xml:space="preserve"> at [36] per Austin J).  </w:t>
      </w:r>
    </w:p>
    <w:p w14:paraId="5F1F9E0A" w14:textId="77777777" w:rsidR="002B2E2D" w:rsidRDefault="002B2E2D" w:rsidP="002B2E2D">
      <w:pPr>
        <w:pStyle w:val="ParaNumbering"/>
      </w:pPr>
      <w:r>
        <w:t>The position is more complex where, in a case such as the present, there are overlapping claims as between individual and corporate applicants.  This is a matter which is emphasised by the applicants here</w:t>
      </w:r>
      <w:r w:rsidR="00181892">
        <w:t xml:space="preserve"> in opposing security</w:t>
      </w:r>
      <w:r>
        <w:t xml:space="preserve">.  </w:t>
      </w:r>
    </w:p>
    <w:p w14:paraId="5AFED5E0" w14:textId="2E284E14" w:rsidR="002B2E2D" w:rsidRDefault="002B2E2D" w:rsidP="002B2E2D">
      <w:pPr>
        <w:pStyle w:val="ParaNumbering"/>
      </w:pPr>
      <w:r>
        <w:rPr>
          <w:i/>
        </w:rPr>
        <w:t xml:space="preserve">Fiduciary </w:t>
      </w:r>
      <w:r w:rsidRPr="002B2E2D">
        <w:t>contains a helpful discussion of the principles and their application in</w:t>
      </w:r>
      <w:r>
        <w:t xml:space="preserve"> a case where securit</w:t>
      </w:r>
      <w:r w:rsidR="00AC5D87">
        <w:t>y is</w:t>
      </w:r>
      <w:r>
        <w:t xml:space="preserve"> sought against a corporate applicant where a person who controls the corporation is also an applicant, which is the case here.  The issue is whether the presence of an individual applicant prevents the Court from ordering the corporate applicant to provide security.  It was contended there that no such order should be made against corporate plaintiffs in circumstances where, in accordance with the general (but not absolute) rule that security would not be required from an individual </w:t>
      </w:r>
      <w:r w:rsidR="00EF0E17">
        <w:t>plaintiff</w:t>
      </w:r>
      <w:r>
        <w:t xml:space="preserve"> who is impecunious because poverty is no bar to a litigant.  After </w:t>
      </w:r>
      <w:r>
        <w:lastRenderedPageBreak/>
        <w:t xml:space="preserve">discussing some relevant cases, both local and foreign (including </w:t>
      </w:r>
      <w:proofErr w:type="spellStart"/>
      <w:r w:rsidRPr="00C84259">
        <w:rPr>
          <w:i/>
        </w:rPr>
        <w:t>Harpur</w:t>
      </w:r>
      <w:proofErr w:type="spellEnd"/>
      <w:r w:rsidR="00181892">
        <w:t xml:space="preserve"> and </w:t>
      </w:r>
      <w:proofErr w:type="spellStart"/>
      <w:r w:rsidR="00181892">
        <w:rPr>
          <w:i/>
        </w:rPr>
        <w:t>Interwest</w:t>
      </w:r>
      <w:proofErr w:type="spellEnd"/>
      <w:r w:rsidR="00181892">
        <w:rPr>
          <w:i/>
        </w:rPr>
        <w:t xml:space="preserve"> Ltd v </w:t>
      </w:r>
      <w:proofErr w:type="spellStart"/>
      <w:r w:rsidR="00181892">
        <w:rPr>
          <w:i/>
        </w:rPr>
        <w:t>Tricontinental</w:t>
      </w:r>
      <w:proofErr w:type="spellEnd"/>
      <w:r w:rsidR="00181892">
        <w:rPr>
          <w:i/>
        </w:rPr>
        <w:t xml:space="preserve"> Corporation Ltd </w:t>
      </w:r>
      <w:r w:rsidR="00181892">
        <w:t>(1991) 5 ACSR 621), Austin J described</w:t>
      </w:r>
      <w:r w:rsidR="00EF0E17">
        <w:t xml:space="preserve"> at [62] </w:t>
      </w:r>
      <w:r w:rsidR="00181892">
        <w:t xml:space="preserve"> the effect of those cases as being that:</w:t>
      </w:r>
    </w:p>
    <w:p w14:paraId="7D5FCFF5" w14:textId="77777777" w:rsidR="00181892" w:rsidRDefault="00181892" w:rsidP="00181892">
      <w:pPr>
        <w:pStyle w:val="Quote1"/>
      </w:pPr>
      <w:r>
        <w:t>… </w:t>
      </w:r>
      <w:proofErr w:type="gramStart"/>
      <w:r>
        <w:t>the</w:t>
      </w:r>
      <w:proofErr w:type="gramEnd"/>
      <w:r>
        <w:t xml:space="preserve"> presence of an individual plaintiff, alongside the corporate plaintiffs against whom security is sought, is to be taken into account in the weighing up of discretionary considerations, but it is not an absolute bar to the ordering of security…</w:t>
      </w:r>
    </w:p>
    <w:p w14:paraId="5FB9E52F" w14:textId="77777777" w:rsidR="00EF0E17" w:rsidRDefault="00181892" w:rsidP="00181892">
      <w:pPr>
        <w:pStyle w:val="ParaNumbering"/>
      </w:pPr>
      <w:r>
        <w:t xml:space="preserve">Justice Austin stated that it was relevant to consider whether the causes of action asserted by the various applicants are sufficiently distinct such that, if they are unsuccessful, the Court is unlikely to make the individual applicant responsible for failure of the claims made by the corporate applicants.  In that case, it is likely that the respondents, if successful against the corporate </w:t>
      </w:r>
      <w:r w:rsidR="00E9603B">
        <w:t>applicants</w:t>
      </w:r>
      <w:r>
        <w:t xml:space="preserve">, will be forced to look to the corporate alone for recovery of costs in </w:t>
      </w:r>
      <w:r w:rsidR="00E9603B">
        <w:t>respect</w:t>
      </w:r>
      <w:r>
        <w:t xml:space="preserve"> of that success, such that the normal rules for corporations to apply security should apply.  </w:t>
      </w:r>
    </w:p>
    <w:p w14:paraId="799A2D96" w14:textId="77777777" w:rsidR="00181892" w:rsidRDefault="00EF0E17" w:rsidP="00181892">
      <w:pPr>
        <w:pStyle w:val="ParaNumbering"/>
      </w:pPr>
      <w:r>
        <w:t>Justice Austin</w:t>
      </w:r>
      <w:r w:rsidR="00181892">
        <w:t xml:space="preserve"> found in </w:t>
      </w:r>
      <w:r>
        <w:rPr>
          <w:i/>
        </w:rPr>
        <w:t xml:space="preserve">Fiduciary </w:t>
      </w:r>
      <w:r>
        <w:t xml:space="preserve">that, in the particular circumstances, </w:t>
      </w:r>
      <w:r w:rsidR="00181892">
        <w:t xml:space="preserve">there was a substantial degree of overlap in both the causes of action and underlying factual grounds for the individual and corporate applicants.  His Honour stated at [68] that while it was strictly possible for the individual applicant there to succeed and for the corporate applicants to fail (and vice versa) “there is such a high degree of overlapping of the factual grounds of the claims that the probability, should the defendants be successful, of a separate order for costs against the corporate plaintiffs is very low”.  </w:t>
      </w:r>
      <w:r>
        <w:t>H</w:t>
      </w:r>
      <w:r w:rsidR="00181892">
        <w:t xml:space="preserve">is Honour concluded that there was “a high probability” that all the applicants would be made jointly and severally liable to pay the </w:t>
      </w:r>
      <w:r w:rsidR="00E9603B">
        <w:t>respondents</w:t>
      </w:r>
      <w:r w:rsidR="00181892">
        <w:t xml:space="preserve">’ costs, if the </w:t>
      </w:r>
      <w:r>
        <w:t>respondents</w:t>
      </w:r>
      <w:r w:rsidR="00181892">
        <w:t xml:space="preserve"> succeeded.  </w:t>
      </w:r>
    </w:p>
    <w:p w14:paraId="2AD3DAD0" w14:textId="77777777" w:rsidR="00181892" w:rsidRDefault="00181892" w:rsidP="00181892">
      <w:pPr>
        <w:pStyle w:val="ParaNumbering"/>
      </w:pPr>
      <w:r>
        <w:t xml:space="preserve">Justice Austin then stated at [69] that, once the likelihood of a joint and several costs orders is established, the financial capacity of the individual applicant to meet an adverse costs order which the corporate applicants could not pay had to be considered.  He added that, as was the case in </w:t>
      </w:r>
      <w:proofErr w:type="spellStart"/>
      <w:r>
        <w:rPr>
          <w:i/>
        </w:rPr>
        <w:t>Harpur</w:t>
      </w:r>
      <w:proofErr w:type="spellEnd"/>
      <w:r>
        <w:t xml:space="preserve">, if the individual applicant has adequate financial means, it is likely that an order for security will be denied.  </w:t>
      </w:r>
    </w:p>
    <w:p w14:paraId="1C7E3934" w14:textId="77777777" w:rsidR="007C4D24" w:rsidRDefault="007C4D24" w:rsidP="007C4D24">
      <w:pPr>
        <w:pStyle w:val="Heading3"/>
      </w:pPr>
      <w:r>
        <w:t>(b) Application of principles to the circumstances here</w:t>
      </w:r>
    </w:p>
    <w:p w14:paraId="316538FD" w14:textId="77777777" w:rsidR="004D7901" w:rsidRPr="007C4D24" w:rsidRDefault="00EF0E17" w:rsidP="007C4D24">
      <w:pPr>
        <w:pStyle w:val="Heading4"/>
      </w:pPr>
      <w:r>
        <w:t>(</w:t>
      </w:r>
      <w:proofErr w:type="spellStart"/>
      <w:r>
        <w:t>i</w:t>
      </w:r>
      <w:proofErr w:type="spellEnd"/>
      <w:r w:rsidR="004D7901" w:rsidRPr="007C4D24">
        <w:t>) Have the respondents satisfied the jurisdictional issue under s 1335 of the Act?</w:t>
      </w:r>
    </w:p>
    <w:p w14:paraId="13480520" w14:textId="77777777" w:rsidR="004D7901" w:rsidRPr="007C4D24" w:rsidRDefault="00EF0E17" w:rsidP="004D7901">
      <w:pPr>
        <w:pStyle w:val="ParaNumbering"/>
      </w:pPr>
      <w:r>
        <w:t>I am satisfied that the respondents have, by credible testimony</w:t>
      </w:r>
      <w:r w:rsidR="00F61B8E">
        <w:t>,</w:t>
      </w:r>
      <w:r>
        <w:t xml:space="preserve"> established that the second applicant corporation is unable to pay their costs if they succeed in their defence.  I accept their submission and supporting evidence to the effect that the second applicant only has $2.00 of </w:t>
      </w:r>
      <w:r>
        <w:lastRenderedPageBreak/>
        <w:t xml:space="preserve">paid up share capital; </w:t>
      </w:r>
      <w:r w:rsidR="00F61B8E">
        <w:t xml:space="preserve">it </w:t>
      </w:r>
      <w:r>
        <w:t>no long</w:t>
      </w:r>
      <w:r w:rsidR="008C1B36">
        <w:t>er</w:t>
      </w:r>
      <w:r>
        <w:t xml:space="preserve"> provides a service trust to the previous law practice which has ceased to operate</w:t>
      </w:r>
      <w:r w:rsidR="008C1B36">
        <w:t>,</w:t>
      </w:r>
      <w:r>
        <w:t xml:space="preserve"> and </w:t>
      </w:r>
      <w:r w:rsidR="00F61B8E">
        <w:t xml:space="preserve">it </w:t>
      </w:r>
      <w:r>
        <w:t>is exposed to a costs order in ACD14</w:t>
      </w:r>
      <w:r w:rsidR="008C1B36">
        <w:t>/</w:t>
      </w:r>
      <w:r>
        <w:t xml:space="preserve">2019.  These matters are sufficient </w:t>
      </w:r>
      <w:r w:rsidR="008C1B36">
        <w:t xml:space="preserve">to discharge </w:t>
      </w:r>
      <w:r>
        <w:t>the relevant evidentiary burden</w:t>
      </w:r>
      <w:r w:rsidR="008C1B36">
        <w:t xml:space="preserve"> carried by the respondents</w:t>
      </w:r>
      <w:r>
        <w:t xml:space="preserve">.  It is unnecessary to make a finding whether or not the second applicant owes debts to the ATO, as alleged by the respondents.  </w:t>
      </w:r>
    </w:p>
    <w:p w14:paraId="4CF94D7A" w14:textId="77777777" w:rsidR="004D7901" w:rsidRPr="007C4D24" w:rsidRDefault="004D7901" w:rsidP="007C4D24">
      <w:pPr>
        <w:pStyle w:val="Heading4"/>
      </w:pPr>
      <w:r w:rsidRPr="007C4D24">
        <w:t>(</w:t>
      </w:r>
      <w:r w:rsidR="00EF0E17">
        <w:t>ii</w:t>
      </w:r>
      <w:r w:rsidRPr="007C4D24">
        <w:t>) Assessment of the strength of the applicants</w:t>
      </w:r>
      <w:r w:rsidR="007C4D24" w:rsidRPr="007C4D24">
        <w:t>’</w:t>
      </w:r>
      <w:r w:rsidRPr="007C4D24">
        <w:t xml:space="preserve"> case.</w:t>
      </w:r>
    </w:p>
    <w:p w14:paraId="131E2BA6" w14:textId="77777777" w:rsidR="004D7901" w:rsidRDefault="00181892" w:rsidP="004D7901">
      <w:pPr>
        <w:pStyle w:val="ParaNumbering"/>
      </w:pPr>
      <w:r>
        <w:t xml:space="preserve">The general principle is that, in determining an application for security for costs, the Court should not embark upon a detailed consideration of the merits of the applicants’ case where it is evident that the applicants’ claims are </w:t>
      </w:r>
      <w:r>
        <w:rPr>
          <w:i/>
        </w:rPr>
        <w:t xml:space="preserve">bona fide </w:t>
      </w:r>
      <w:r>
        <w:t xml:space="preserve">and arguable (see, for example, </w:t>
      </w:r>
      <w:r>
        <w:rPr>
          <w:i/>
        </w:rPr>
        <w:t xml:space="preserve">Equity Access Ltd v Westpac Banking Corporation </w:t>
      </w:r>
      <w:r>
        <w:t xml:space="preserve">(1989) ATPR 40-972 at 50-636 per Hill J and </w:t>
      </w:r>
      <w:r>
        <w:rPr>
          <w:i/>
        </w:rPr>
        <w:t xml:space="preserve">Fiduciary </w:t>
      </w:r>
      <w:r w:rsidR="00E9603B">
        <w:t>at [37]</w:t>
      </w:r>
      <w:r>
        <w:t xml:space="preserve"> per Austin J).  </w:t>
      </w:r>
    </w:p>
    <w:p w14:paraId="077D291E" w14:textId="70BDD4E0" w:rsidR="00181892" w:rsidRPr="007C4D24" w:rsidRDefault="00181892" w:rsidP="004D7901">
      <w:pPr>
        <w:pStyle w:val="ParaNumbering"/>
      </w:pPr>
      <w:r>
        <w:t xml:space="preserve">It is to be noted that the respondents are yet to file a defence to the statement of claim.  Although they claim that the proceedings are an abuse, I am prepared to proceed at present on the basis that the </w:t>
      </w:r>
      <w:r w:rsidR="0047752F">
        <w:t>grav</w:t>
      </w:r>
      <w:r w:rsidR="00395597">
        <w:t>am</w:t>
      </w:r>
      <w:r w:rsidR="0047752F">
        <w:t xml:space="preserve">en of the </w:t>
      </w:r>
      <w:r>
        <w:t>applicants</w:t>
      </w:r>
      <w:r w:rsidR="00E9603B">
        <w:t>’</w:t>
      </w:r>
      <w:r>
        <w:t xml:space="preserve"> claims are </w:t>
      </w:r>
      <w:r>
        <w:rPr>
          <w:i/>
        </w:rPr>
        <w:t xml:space="preserve">bona fide </w:t>
      </w:r>
      <w:r w:rsidRPr="008C1B36">
        <w:t>and have a reasonable prospect of success</w:t>
      </w:r>
      <w:r w:rsidR="0047752F">
        <w:t xml:space="preserve"> even though they need to be </w:t>
      </w:r>
      <w:proofErr w:type="spellStart"/>
      <w:r w:rsidR="0047752F">
        <w:t>repleaded</w:t>
      </w:r>
      <w:proofErr w:type="spellEnd"/>
      <w:r w:rsidR="0047752F">
        <w:t xml:space="preserve"> (as will shortly emerge)</w:t>
      </w:r>
      <w:r>
        <w:rPr>
          <w:i/>
        </w:rPr>
        <w:t xml:space="preserve">.  </w:t>
      </w:r>
      <w:r w:rsidR="008C1B36">
        <w:t>It is unnecessary to go any further and conduct a detailed assessment o</w:t>
      </w:r>
      <w:r w:rsidR="00395597">
        <w:t>f the strength of the applicant</w:t>
      </w:r>
      <w:r w:rsidR="008C1B36">
        <w:t>s</w:t>
      </w:r>
      <w:r w:rsidR="00395597">
        <w:t>’</w:t>
      </w:r>
      <w:r w:rsidR="008C1B36">
        <w:t xml:space="preserve"> case.  </w:t>
      </w:r>
    </w:p>
    <w:p w14:paraId="679F2502" w14:textId="77777777" w:rsidR="004D7901" w:rsidRPr="007C4D24" w:rsidRDefault="004D7901" w:rsidP="007C4D24">
      <w:pPr>
        <w:pStyle w:val="Heading4"/>
      </w:pPr>
      <w:r w:rsidRPr="007C4D24">
        <w:t>(</w:t>
      </w:r>
      <w:r w:rsidR="00EF0E17">
        <w:t>iii</w:t>
      </w:r>
      <w:r w:rsidRPr="007C4D24">
        <w:t>) The applicants</w:t>
      </w:r>
      <w:r w:rsidR="007C4D24" w:rsidRPr="007C4D24">
        <w:t>’</w:t>
      </w:r>
      <w:r w:rsidRPr="007C4D24">
        <w:t xml:space="preserve"> arguments against an order for security</w:t>
      </w:r>
    </w:p>
    <w:p w14:paraId="5F5BB802" w14:textId="77777777" w:rsidR="004D7901" w:rsidRDefault="00EF0E17" w:rsidP="004873AE">
      <w:pPr>
        <w:pStyle w:val="ParaNumbering"/>
      </w:pPr>
      <w:r>
        <w:t xml:space="preserve">As noted, the primary arguments advanced by the applicants relate to </w:t>
      </w:r>
      <w:r w:rsidR="004E2D79">
        <w:t>the</w:t>
      </w:r>
      <w:r>
        <w:t xml:space="preserve"> following matters:</w:t>
      </w:r>
    </w:p>
    <w:p w14:paraId="5CAF0F59" w14:textId="77777777" w:rsidR="00EF0E17" w:rsidRDefault="00EF0E17" w:rsidP="00EF0E17">
      <w:pPr>
        <w:pStyle w:val="ListNo1"/>
        <w:numPr>
          <w:ilvl w:val="0"/>
          <w:numId w:val="28"/>
        </w:numPr>
      </w:pPr>
      <w:r>
        <w:t>Mr Hill’s status as an individual applicant alongside the second applicant (</w:t>
      </w:r>
      <w:r>
        <w:rPr>
          <w:b/>
        </w:rPr>
        <w:t>personal applicant argument</w:t>
      </w:r>
      <w:r>
        <w:t>);</w:t>
      </w:r>
    </w:p>
    <w:p w14:paraId="42ECB561" w14:textId="77777777" w:rsidR="004E2D79" w:rsidRDefault="00EF0E17" w:rsidP="00EF0E17">
      <w:pPr>
        <w:pStyle w:val="ListNo1"/>
        <w:numPr>
          <w:ilvl w:val="0"/>
          <w:numId w:val="28"/>
        </w:numPr>
      </w:pPr>
      <w:r>
        <w:t>they have a strong case;</w:t>
      </w:r>
    </w:p>
    <w:p w14:paraId="0DF7213C" w14:textId="77777777" w:rsidR="004E2D79" w:rsidRDefault="00EF0E17" w:rsidP="00EF0E17">
      <w:pPr>
        <w:pStyle w:val="ListNo1"/>
        <w:numPr>
          <w:ilvl w:val="0"/>
          <w:numId w:val="28"/>
        </w:numPr>
      </w:pPr>
      <w:r>
        <w:t xml:space="preserve">there is a contractual liability to indemnify Mr Hill for legal costs relating to the 2018 Agreement; </w:t>
      </w:r>
    </w:p>
    <w:p w14:paraId="5CC2A9DA" w14:textId="77777777" w:rsidR="004E2D79" w:rsidRDefault="00EF0E17" w:rsidP="00EF0E17">
      <w:pPr>
        <w:pStyle w:val="ListNo1"/>
        <w:numPr>
          <w:ilvl w:val="0"/>
          <w:numId w:val="28"/>
        </w:numPr>
      </w:pPr>
      <w:r>
        <w:t xml:space="preserve">Mr Hill is not impecunious; </w:t>
      </w:r>
    </w:p>
    <w:p w14:paraId="32FAECBC" w14:textId="77777777" w:rsidR="004E2D79" w:rsidRDefault="00EF0E17" w:rsidP="00EF0E17">
      <w:pPr>
        <w:pStyle w:val="ListNo1"/>
        <w:numPr>
          <w:ilvl w:val="0"/>
          <w:numId w:val="28"/>
        </w:numPr>
      </w:pPr>
      <w:r>
        <w:t xml:space="preserve">the respondents have failed to provide sufficient evidence to support the amount they claim as security; </w:t>
      </w:r>
      <w:r w:rsidR="004E2D79">
        <w:t xml:space="preserve">and </w:t>
      </w:r>
    </w:p>
    <w:p w14:paraId="5F58A849" w14:textId="77777777" w:rsidR="00EF0E17" w:rsidRDefault="00EF0E17" w:rsidP="00EF0E17">
      <w:pPr>
        <w:pStyle w:val="ListNo1"/>
        <w:numPr>
          <w:ilvl w:val="0"/>
          <w:numId w:val="28"/>
        </w:numPr>
      </w:pPr>
      <w:proofErr w:type="gramStart"/>
      <w:r>
        <w:t>they</w:t>
      </w:r>
      <w:proofErr w:type="gramEnd"/>
      <w:r>
        <w:t xml:space="preserve"> have acted responsibly in consolidating the various disputes in this proceeding and the award of costs against the</w:t>
      </w:r>
      <w:r w:rsidR="008C1B36">
        <w:t>m</w:t>
      </w:r>
      <w:r>
        <w:t xml:space="preserve"> in ACD14/2019 is irrelevant.  </w:t>
      </w:r>
    </w:p>
    <w:p w14:paraId="673CD701" w14:textId="77777777" w:rsidR="00EF0E17" w:rsidRPr="007C4D24" w:rsidRDefault="004E2D79" w:rsidP="004E2D79">
      <w:pPr>
        <w:pStyle w:val="ParaNumbering"/>
      </w:pPr>
      <w:r>
        <w:t xml:space="preserve">I will now address those matters.  </w:t>
      </w:r>
    </w:p>
    <w:p w14:paraId="24111D14" w14:textId="77777777" w:rsidR="004D7901" w:rsidRPr="007C4D24" w:rsidRDefault="00EF0E17" w:rsidP="007C4D24">
      <w:pPr>
        <w:pStyle w:val="Heading4"/>
      </w:pPr>
      <w:r>
        <w:lastRenderedPageBreak/>
        <w:t>A.</w:t>
      </w:r>
      <w:r w:rsidR="004D7901" w:rsidRPr="007C4D24">
        <w:t xml:space="preserve"> The personal applicant argument</w:t>
      </w:r>
    </w:p>
    <w:p w14:paraId="3F954854" w14:textId="52656570" w:rsidR="007C4D24" w:rsidRDefault="00B245CD" w:rsidP="007C4D24">
      <w:pPr>
        <w:pStyle w:val="ParaNumbering"/>
      </w:pPr>
      <w:r>
        <w:t>There</w:t>
      </w:r>
      <w:r w:rsidR="008C1B36">
        <w:t xml:space="preserve"> is a substantial overlap in the claims raised by both </w:t>
      </w:r>
      <w:r>
        <w:t>the first and second applicants</w:t>
      </w:r>
      <w:r w:rsidR="008C1B36">
        <w:t xml:space="preserve">, relating as they do to </w:t>
      </w:r>
      <w:r>
        <w:t xml:space="preserve">either or both </w:t>
      </w:r>
      <w:r w:rsidR="008C1B36">
        <w:t xml:space="preserve">the 2015 and 2018 Agreements.  </w:t>
      </w:r>
      <w:r>
        <w:t>It</w:t>
      </w:r>
      <w:r w:rsidR="008C1B36">
        <w:t xml:space="preserve"> is possible</w:t>
      </w:r>
      <w:r>
        <w:t>, however,</w:t>
      </w:r>
      <w:r w:rsidR="008C1B36">
        <w:t xml:space="preserve"> that Mr Hill might succeed while the second applicant could fail and </w:t>
      </w:r>
      <w:r w:rsidR="008C1B36">
        <w:rPr>
          <w:i/>
        </w:rPr>
        <w:t>vice versa</w:t>
      </w:r>
      <w:r w:rsidR="00F61B8E">
        <w:t xml:space="preserve">.  </w:t>
      </w:r>
      <w:r>
        <w:t xml:space="preserve">For example, Mr Hill has a personal claim seeking </w:t>
      </w:r>
      <w:r w:rsidR="00CF3AD2">
        <w:t xml:space="preserve">restitution or </w:t>
      </w:r>
      <w:r>
        <w:t>compensation for the work he allegedly did as an independent contractor</w:t>
      </w:r>
      <w:r w:rsidR="00CF3AD2">
        <w:t xml:space="preserve"> for the second respondent</w:t>
      </w:r>
      <w:r>
        <w:t xml:space="preserve">.  </w:t>
      </w:r>
      <w:r w:rsidR="00F61B8E">
        <w:t>B</w:t>
      </w:r>
      <w:r w:rsidR="008C1B36">
        <w:t xml:space="preserve">ut in view of the </w:t>
      </w:r>
      <w:r w:rsidR="003D6342">
        <w:t xml:space="preserve">substantial </w:t>
      </w:r>
      <w:r w:rsidR="008C1B36">
        <w:t xml:space="preserve">overlap in the applicants’ claims, there is only a low probability that a separate order for costs will be made against the second applicant in the event that the respondents were successful.  Rather, there is a high probability that both applicants will be made jointly and severally liable to pay the respondents’ costs if the respondents succeed.  </w:t>
      </w:r>
    </w:p>
    <w:p w14:paraId="5D04A3F8" w14:textId="77777777" w:rsidR="008C1B36" w:rsidRDefault="008C1B36" w:rsidP="007C4D24">
      <w:pPr>
        <w:pStyle w:val="ParaNumbering"/>
      </w:pPr>
      <w:r>
        <w:t>Given the likelihood of the making of a joint and several costs order</w:t>
      </w:r>
      <w:r w:rsidR="005260E9">
        <w:t>,</w:t>
      </w:r>
      <w:r>
        <w:t xml:space="preserve"> consideration needs to be given to the financial capacity of Mr Hill to meet an adverse costs order </w:t>
      </w:r>
      <w:r w:rsidR="005260E9">
        <w:t>in circumstances where</w:t>
      </w:r>
      <w:r>
        <w:t xml:space="preserve"> the second applicant is impecunious.  As </w:t>
      </w:r>
      <w:proofErr w:type="spellStart"/>
      <w:r>
        <w:rPr>
          <w:i/>
        </w:rPr>
        <w:t>Harpur</w:t>
      </w:r>
      <w:proofErr w:type="spellEnd"/>
      <w:r>
        <w:rPr>
          <w:i/>
        </w:rPr>
        <w:t xml:space="preserve"> </w:t>
      </w:r>
      <w:r>
        <w:t xml:space="preserve">illustrates, an order for security is unlikely to be made if the individual applicant has adequate financial means and stands behind the corporate </w:t>
      </w:r>
      <w:r w:rsidR="005260E9">
        <w:t>applicant</w:t>
      </w:r>
      <w:r>
        <w:t xml:space="preserve">. </w:t>
      </w:r>
    </w:p>
    <w:p w14:paraId="161338B0" w14:textId="568E869A" w:rsidR="008C1B36" w:rsidRPr="007C4D24" w:rsidRDefault="008C1B36" w:rsidP="007C4D24">
      <w:pPr>
        <w:pStyle w:val="ParaNumbering"/>
      </w:pPr>
      <w:r>
        <w:t>As noted above, the respondents claim that Mr Hill is impecunious for the reasons set out at [</w:t>
      </w:r>
      <w:r w:rsidR="00C84259">
        <w:fldChar w:fldCharType="begin" w:fldLock="1"/>
      </w:r>
      <w:r w:rsidR="00C84259">
        <w:instrText xml:space="preserve"> REF _Ref20129505 \w \h </w:instrText>
      </w:r>
      <w:r w:rsidR="00C84259">
        <w:fldChar w:fldCharType="separate"/>
      </w:r>
      <w:r w:rsidR="00142978">
        <w:t>9</w:t>
      </w:r>
      <w:r w:rsidR="00C84259">
        <w:fldChar w:fldCharType="end"/>
      </w:r>
      <w:r>
        <w:t>] above.  On the other hand, Mr Colquhoun has given hearsay evidence</w:t>
      </w:r>
      <w:r w:rsidR="00F61B8E">
        <w:t>, which is admissible in an interlocutory hearing such as this,</w:t>
      </w:r>
      <w:r>
        <w:t xml:space="preserve"> that he believes that Mr Colquhoun continues to hold a practicing certificate and does not suffer an impecuniosity.  At this stage of the proceeding, and based on the </w:t>
      </w:r>
      <w:r w:rsidR="00F61B8E">
        <w:t xml:space="preserve">somewhat limited </w:t>
      </w:r>
      <w:r>
        <w:t xml:space="preserve">evidence before the Court, I am prepared to find that Mr Hill is not impecunious.  He </w:t>
      </w:r>
      <w:r w:rsidR="005260E9">
        <w:t>has</w:t>
      </w:r>
      <w:r>
        <w:t xml:space="preserve"> elected, however, not to provide any detailed evidence by which an assessment could be made of the extent of his assets and income position.  Nor has Mr Hill provided an undertaking to submit to an order to pay any costs that the second applicant </w:t>
      </w:r>
      <w:r w:rsidR="00F61B8E">
        <w:t xml:space="preserve">might be </w:t>
      </w:r>
      <w:r>
        <w:t xml:space="preserve">ordered to pay to the </w:t>
      </w:r>
      <w:r w:rsidR="003D44F3">
        <w:t>respondents</w:t>
      </w:r>
      <w:r>
        <w:t xml:space="preserve"> (in contrast with the position in </w:t>
      </w:r>
      <w:proofErr w:type="spellStart"/>
      <w:r>
        <w:rPr>
          <w:i/>
        </w:rPr>
        <w:t>Brecher</w:t>
      </w:r>
      <w:proofErr w:type="spellEnd"/>
      <w:r>
        <w:t xml:space="preserve">).  I consider that this case is far removed from the circumstances in either </w:t>
      </w:r>
      <w:proofErr w:type="spellStart"/>
      <w:r>
        <w:rPr>
          <w:i/>
        </w:rPr>
        <w:t>Harpur</w:t>
      </w:r>
      <w:proofErr w:type="spellEnd"/>
      <w:r>
        <w:t xml:space="preserve"> </w:t>
      </w:r>
      <w:r w:rsidR="005260E9">
        <w:t>(</w:t>
      </w:r>
      <w:r>
        <w:t xml:space="preserve">where </w:t>
      </w:r>
      <w:r w:rsidR="005260E9">
        <w:t xml:space="preserve">there was evidence that </w:t>
      </w:r>
      <w:r>
        <w:t>the individual applicant had considerable means</w:t>
      </w:r>
      <w:r w:rsidR="005260E9">
        <w:t>)</w:t>
      </w:r>
      <w:r>
        <w:t xml:space="preserve"> </w:t>
      </w:r>
      <w:r w:rsidR="003D44F3">
        <w:t xml:space="preserve">or </w:t>
      </w:r>
      <w:proofErr w:type="spellStart"/>
      <w:r w:rsidR="003D44F3">
        <w:rPr>
          <w:i/>
        </w:rPr>
        <w:t>Brecher</w:t>
      </w:r>
      <w:proofErr w:type="spellEnd"/>
      <w:r w:rsidR="003D44F3">
        <w:t xml:space="preserve">.  I reject the personal applicant argument raised by the applicants.  </w:t>
      </w:r>
    </w:p>
    <w:p w14:paraId="7A72785F" w14:textId="77777777" w:rsidR="004D7901" w:rsidRPr="007C4D24" w:rsidRDefault="00EF0E17" w:rsidP="007C4D24">
      <w:pPr>
        <w:pStyle w:val="Heading4"/>
      </w:pPr>
      <w:r>
        <w:t>B.</w:t>
      </w:r>
      <w:r w:rsidR="007C4D24" w:rsidRPr="007C4D24">
        <w:t xml:space="preserve"> The </w:t>
      </w:r>
      <w:r>
        <w:t>a</w:t>
      </w:r>
      <w:r w:rsidR="004D7901" w:rsidRPr="007C4D24">
        <w:t xml:space="preserve">pplicants’ </w:t>
      </w:r>
      <w:r w:rsidR="003D44F3">
        <w:t>remaining</w:t>
      </w:r>
      <w:r w:rsidR="004D7901" w:rsidRPr="007C4D24">
        <w:t xml:space="preserve"> contentions</w:t>
      </w:r>
      <w:r w:rsidR="003D44F3">
        <w:t xml:space="preserve"> against security</w:t>
      </w:r>
    </w:p>
    <w:p w14:paraId="1480DCCF" w14:textId="459A91BF" w:rsidR="004D7901" w:rsidRDefault="00952DB0" w:rsidP="004873AE">
      <w:pPr>
        <w:pStyle w:val="ParaNumbering"/>
      </w:pPr>
      <w:r>
        <w:t>There i</w:t>
      </w:r>
      <w:r w:rsidR="003D6342">
        <w:t xml:space="preserve">s an unusual complication in this case.  It relates to the fact that, as will shortly emerge, the Court will order that the originating application and statement of claim be struck out and </w:t>
      </w:r>
      <w:proofErr w:type="spellStart"/>
      <w:r w:rsidR="003D6342">
        <w:t>repleaded</w:t>
      </w:r>
      <w:proofErr w:type="spellEnd"/>
      <w:r w:rsidR="003D6342">
        <w:t xml:space="preserve">.  For the purposes of consideration of the application for security, however, I am prepared to accept that the applicants’ fundamental claims are </w:t>
      </w:r>
      <w:r w:rsidR="003D6342">
        <w:rPr>
          <w:i/>
        </w:rPr>
        <w:t>bona fide</w:t>
      </w:r>
      <w:r w:rsidR="003D6342">
        <w:t xml:space="preserve">.  They need, however, </w:t>
      </w:r>
      <w:r w:rsidR="003D6342">
        <w:lastRenderedPageBreak/>
        <w:t xml:space="preserve">to be </w:t>
      </w:r>
      <w:proofErr w:type="spellStart"/>
      <w:r w:rsidR="003D6342">
        <w:t>repleaded</w:t>
      </w:r>
      <w:proofErr w:type="spellEnd"/>
      <w:r w:rsidR="003D6342">
        <w:t xml:space="preserve"> so that the applicants have a full and proper understanding of the case they have to meet.  </w:t>
      </w:r>
    </w:p>
    <w:p w14:paraId="2EA3B443" w14:textId="77777777" w:rsidR="003D44F3" w:rsidRDefault="003D44F3" w:rsidP="004873AE">
      <w:pPr>
        <w:pStyle w:val="ParaNumbering"/>
      </w:pPr>
      <w:r>
        <w:t xml:space="preserve">I have addressed </w:t>
      </w:r>
      <w:r w:rsidR="005260E9">
        <w:t>above the applicant</w:t>
      </w:r>
      <w:r>
        <w:t>s</w:t>
      </w:r>
      <w:r w:rsidR="005260E9">
        <w:t>’</w:t>
      </w:r>
      <w:r>
        <w:t xml:space="preserve"> submission that Mr Hill is not impecunious.  </w:t>
      </w:r>
    </w:p>
    <w:p w14:paraId="5947379E" w14:textId="17497CB4" w:rsidR="003D44F3" w:rsidRDefault="003D44F3" w:rsidP="004873AE">
      <w:pPr>
        <w:pStyle w:val="ParaNumbering"/>
      </w:pPr>
      <w:r w:rsidRPr="00C84259">
        <w:t>As to the liability under the 2018 Agreement to indemnify Mr Hill for legal costs relating to the enforcement of that Agreement</w:t>
      </w:r>
      <w:r w:rsidR="00A40183" w:rsidRPr="00C84259">
        <w:t xml:space="preserve">, </w:t>
      </w:r>
      <w:r w:rsidR="00F61B8E">
        <w:t xml:space="preserve">that is not a complete answer given that the applicants’ seek to enforce both the 2015 and 2018 Agreements.  </w:t>
      </w:r>
      <w:r w:rsidR="000B403A">
        <w:t xml:space="preserve">Furthermore, the relevant clause of the 2018 </w:t>
      </w:r>
      <w:r w:rsidR="00C84259">
        <w:t>A</w:t>
      </w:r>
      <w:r w:rsidR="000B403A">
        <w:t xml:space="preserve">greement states that the indemnity is to operate by reference to “any breach or non-performance of the Buyer </w:t>
      </w:r>
      <w:r w:rsidR="00C84259">
        <w:t>of (</w:t>
      </w:r>
      <w:r w:rsidR="000B403A">
        <w:t>1) the obligations of the Buyer, whether express or implied under this Agreement”. In the scenario where the applicants’ claims fail and they are exposed to a costs order,</w:t>
      </w:r>
      <w:r w:rsidR="007D3F1F">
        <w:t xml:space="preserve"> given the subject matter of the dispute</w:t>
      </w:r>
      <w:r w:rsidR="000B403A">
        <w:t xml:space="preserve"> it is </w:t>
      </w:r>
      <w:r w:rsidR="007D3F1F">
        <w:t>l</w:t>
      </w:r>
      <w:r w:rsidR="000B403A">
        <w:t>ikely that the Court would have found that the second respondent did not breach its obligations under the 2018 Agreement or</w:t>
      </w:r>
      <w:r w:rsidR="00C84259">
        <w:t>,</w:t>
      </w:r>
      <w:r w:rsidR="000B403A">
        <w:t xml:space="preserve"> at least</w:t>
      </w:r>
      <w:r w:rsidR="00C84259">
        <w:t>,</w:t>
      </w:r>
      <w:r w:rsidR="000B403A">
        <w:t xml:space="preserve"> did not breach them to the extent alleged by the applicants. In those circumstances, it is questionable whether the indemnity would </w:t>
      </w:r>
      <w:r w:rsidR="00C84259">
        <w:t>apply</w:t>
      </w:r>
      <w:r w:rsidR="007D3F1F">
        <w:t xml:space="preserve">. </w:t>
      </w:r>
    </w:p>
    <w:p w14:paraId="1C2D9AF7" w14:textId="77777777" w:rsidR="003D44F3" w:rsidRDefault="003D44F3" w:rsidP="004873AE">
      <w:pPr>
        <w:pStyle w:val="ParaNumbering"/>
      </w:pPr>
      <w:r>
        <w:t xml:space="preserve">As to the </w:t>
      </w:r>
      <w:r w:rsidR="00846A4C">
        <w:t>applicants’</w:t>
      </w:r>
      <w:r>
        <w:t xml:space="preserve"> claims regarding the consolidation of disputes in the present proceeding, even if the present proceeding be characterised in that way, the fact remains that the ot</w:t>
      </w:r>
      <w:r w:rsidR="00846A4C">
        <w:t>h</w:t>
      </w:r>
      <w:r>
        <w:t xml:space="preserve">er disputes referred to above have caused the respondents to incur substantial costs which are </w:t>
      </w:r>
      <w:r w:rsidR="00F61B8E">
        <w:t xml:space="preserve">unlikely </w:t>
      </w:r>
      <w:r>
        <w:t xml:space="preserve">to be recovered </w:t>
      </w:r>
      <w:r w:rsidR="00F61B8E">
        <w:t xml:space="preserve">in those other proceedings </w:t>
      </w:r>
      <w:r>
        <w:t xml:space="preserve">and </w:t>
      </w:r>
      <w:r w:rsidR="00F61B8E">
        <w:t xml:space="preserve">which </w:t>
      </w:r>
      <w:r>
        <w:t xml:space="preserve">will be increased if the respondents are unable to recover their costs from the </w:t>
      </w:r>
      <w:r w:rsidR="00846A4C">
        <w:t>applicants</w:t>
      </w:r>
      <w:r>
        <w:t xml:space="preserve"> in the event that they succeed in their defence.  </w:t>
      </w:r>
    </w:p>
    <w:p w14:paraId="1C9EC528" w14:textId="5210F17E" w:rsidR="003D44F3" w:rsidRDefault="003D44F3" w:rsidP="004873AE">
      <w:pPr>
        <w:pStyle w:val="ParaNumbering"/>
      </w:pPr>
      <w:r>
        <w:t>Finally, as to the adequacy of the respondent’s evidence in support of their claim for security in the amount of $50,000, there is some force in the applicants</w:t>
      </w:r>
      <w:r w:rsidR="00F61B8E">
        <w:t>’</w:t>
      </w:r>
      <w:r>
        <w:t xml:space="preserve"> contention that the respondents</w:t>
      </w:r>
      <w:r w:rsidR="005260E9">
        <w:t>’</w:t>
      </w:r>
      <w:r>
        <w:t xml:space="preserve"> evidence on quantum i</w:t>
      </w:r>
      <w:r w:rsidR="005260E9">
        <w:t>s</w:t>
      </w:r>
      <w:r>
        <w:t xml:space="preserve"> thin.  The evidence, such as it is, is to be found in Ms Taylor’s letter dated 25 July 2019, in which she estimated costs on a party-party basis </w:t>
      </w:r>
      <w:r w:rsidR="00A40183">
        <w:t>in the range of</w:t>
      </w:r>
      <w:r>
        <w:t xml:space="preserve"> approximately $35,000 plus GST to $50,000 plus GST.  She said that this estimate is based on previous </w:t>
      </w:r>
      <w:r w:rsidR="00A40183">
        <w:t>litigation</w:t>
      </w:r>
      <w:r>
        <w:t xml:space="preserve"> between the parties.  Normally, such evidence would be inadequate to demonstrate quantum.  In the </w:t>
      </w:r>
      <w:r w:rsidR="00A40183">
        <w:t>unusual</w:t>
      </w:r>
      <w:r>
        <w:t xml:space="preserve"> </w:t>
      </w:r>
      <w:r w:rsidR="00846A4C">
        <w:t>circumstances</w:t>
      </w:r>
      <w:r>
        <w:t xml:space="preserve"> here, however, where there have been several previous proceedings between various of the parties, including in ACAT, I accept that Ms Taylor </w:t>
      </w:r>
      <w:r w:rsidR="00A40183">
        <w:t>is</w:t>
      </w:r>
      <w:r>
        <w:t xml:space="preserve"> entitled to rely upon the history of those matters and the costs </w:t>
      </w:r>
      <w:r w:rsidR="00846A4C">
        <w:t>incurred</w:t>
      </w:r>
      <w:r>
        <w:t xml:space="preserve"> </w:t>
      </w:r>
      <w:r w:rsidR="00A40183">
        <w:t xml:space="preserve">there </w:t>
      </w:r>
      <w:r>
        <w:t xml:space="preserve">in estimating the likely costs here.  Her estimate produces a relatively modest </w:t>
      </w:r>
      <w:r w:rsidR="003D6342">
        <w:t xml:space="preserve">estimate </w:t>
      </w:r>
      <w:r>
        <w:t xml:space="preserve">of costs, as the applicants themselves acknowledged in their outline of written submissions.  </w:t>
      </w:r>
      <w:r w:rsidR="003D6342">
        <w:t xml:space="preserve">Finally, I also note that in his affidavit affirmed 13 August 2019, Mr Zhang deposed that Ms Taylor had sent him a costs agreement in the matter which estimated the fees to be in the vicinity of </w:t>
      </w:r>
      <w:r w:rsidR="003D6342">
        <w:lastRenderedPageBreak/>
        <w:t xml:space="preserve">approximately $35,000 to $50,000 plus GST, which provides further limited support for Ms Taylor’s estimate.  </w:t>
      </w:r>
    </w:p>
    <w:p w14:paraId="11FE57B1" w14:textId="4721AB70" w:rsidR="003D44F3" w:rsidRPr="00C84259" w:rsidRDefault="003D6342" w:rsidP="004873AE">
      <w:pPr>
        <w:pStyle w:val="ParaNumbering"/>
      </w:pPr>
      <w:r>
        <w:t xml:space="preserve">For completeness, it should also be noted that the respondents’ opposition to security did not raise any issue concerning incremental costs (see </w:t>
      </w:r>
      <w:proofErr w:type="spellStart"/>
      <w:r>
        <w:rPr>
          <w:i/>
        </w:rPr>
        <w:t>Brecher</w:t>
      </w:r>
      <w:proofErr w:type="spellEnd"/>
      <w:r>
        <w:rPr>
          <w:i/>
        </w:rPr>
        <w:t xml:space="preserve"> </w:t>
      </w:r>
      <w:r>
        <w:t>at [</w:t>
      </w:r>
      <w:r w:rsidR="00094FDB">
        <w:t>19</w:t>
      </w:r>
      <w:r>
        <w:t xml:space="preserve">]).  Accordingly, I have not addressed that issue.  </w:t>
      </w:r>
    </w:p>
    <w:p w14:paraId="6576D1B4" w14:textId="5F59FC7B" w:rsidR="00B9043F" w:rsidRDefault="00B9043F" w:rsidP="007C4D24">
      <w:pPr>
        <w:pStyle w:val="Heading2"/>
      </w:pPr>
      <w:r>
        <w:t>Conclusion</w:t>
      </w:r>
      <w:r w:rsidR="003D6342">
        <w:t xml:space="preserve"> on security</w:t>
      </w:r>
    </w:p>
    <w:p w14:paraId="1A57CD45" w14:textId="77777777" w:rsidR="00B9043F" w:rsidRDefault="00940EF9" w:rsidP="00B9043F">
      <w:pPr>
        <w:pStyle w:val="ParaNumbering"/>
      </w:pPr>
      <w:r>
        <w:t xml:space="preserve">For these reasons, the Court will order that the first and second applicants be jointly and severally liable to give security for the respondents’ costs in the amount of $50,000 (exclusive of GST).  That amount should be paid in the form of a bank guarantee (or in such other form as is acceptable to the Registrar) to be lodged with the Registrar and a copy of which is to be served on the solicitor for the respondents.  The bank guarantee (or other acceptable form of security) is to be lodged with the Registrar within 21 days hereof.  The proceedings </w:t>
      </w:r>
      <w:r w:rsidR="009E0A3E">
        <w:t xml:space="preserve">will </w:t>
      </w:r>
      <w:r>
        <w:t xml:space="preserve">be stayed until security for costs has been provided as required by the orders.  </w:t>
      </w:r>
    </w:p>
    <w:p w14:paraId="356A929B" w14:textId="3F5E01E9" w:rsidR="00940EF9" w:rsidRDefault="00940EF9" w:rsidP="00B9043F">
      <w:pPr>
        <w:pStyle w:val="ParaNumbering"/>
      </w:pPr>
      <w:r>
        <w:t xml:space="preserve">In the event that the applicants fail to comply with these orders, there will be liberty to apply on the giving of 48 hours’ notice.  </w:t>
      </w:r>
    </w:p>
    <w:p w14:paraId="147C2BC0" w14:textId="147DD9F9" w:rsidR="00097BED" w:rsidRDefault="00097BED" w:rsidP="00CF3AD2">
      <w:pPr>
        <w:pStyle w:val="Heading2"/>
      </w:pPr>
      <w:r>
        <w:t>(b) Adequacy of applicants’ pleading</w:t>
      </w:r>
    </w:p>
    <w:p w14:paraId="6D255DE0" w14:textId="253446ED" w:rsidR="008420E8" w:rsidRDefault="008420E8">
      <w:pPr>
        <w:pStyle w:val="ParaNumbering"/>
      </w:pPr>
      <w:r>
        <w:t xml:space="preserve">The respondents apply under r 16.21(1) of the </w:t>
      </w:r>
      <w:r w:rsidRPr="008420E8">
        <w:rPr>
          <w:i/>
        </w:rPr>
        <w:t>2011 FCRs</w:t>
      </w:r>
      <w:r>
        <w:t xml:space="preserve"> to strike out the applicants’ pleading:</w:t>
      </w:r>
    </w:p>
    <w:p w14:paraId="6191C9B0" w14:textId="0D4ADBE0" w:rsidR="008420E8" w:rsidRDefault="008420E8" w:rsidP="008420E8">
      <w:pPr>
        <w:pStyle w:val="Quote1"/>
        <w:rPr>
          <w:b/>
        </w:rPr>
      </w:pPr>
      <w:r>
        <w:rPr>
          <w:b/>
        </w:rPr>
        <w:t>16.21</w:t>
      </w:r>
      <w:r>
        <w:rPr>
          <w:b/>
        </w:rPr>
        <w:tab/>
        <w:t>Application to strike out pleadings</w:t>
      </w:r>
    </w:p>
    <w:p w14:paraId="24B68615" w14:textId="3D480DBC" w:rsidR="003161D2" w:rsidRDefault="003161D2" w:rsidP="003161D2">
      <w:pPr>
        <w:pStyle w:val="Quote1"/>
        <w:ind w:left="1440" w:hanging="703"/>
      </w:pPr>
      <w:r>
        <w:t xml:space="preserve"> (1)</w:t>
      </w:r>
      <w:r>
        <w:tab/>
        <w:t>A party may apply to the Court for an order that all or part of a pleading be struck out on the ground that the pleading:</w:t>
      </w:r>
    </w:p>
    <w:p w14:paraId="0942A17C" w14:textId="77777777" w:rsidR="003161D2" w:rsidRDefault="003161D2" w:rsidP="003161D2">
      <w:pPr>
        <w:pStyle w:val="Quote2"/>
      </w:pPr>
      <w:r>
        <w:t>(a)</w:t>
      </w:r>
      <w:r>
        <w:tab/>
      </w:r>
      <w:proofErr w:type="gramStart"/>
      <w:r>
        <w:t>contains</w:t>
      </w:r>
      <w:proofErr w:type="gramEnd"/>
      <w:r>
        <w:t xml:space="preserve"> scandalous material; or</w:t>
      </w:r>
    </w:p>
    <w:p w14:paraId="5C39BAF5" w14:textId="77777777" w:rsidR="003161D2" w:rsidRDefault="003161D2" w:rsidP="003161D2">
      <w:pPr>
        <w:pStyle w:val="Quote2"/>
      </w:pPr>
      <w:r>
        <w:t>(b)</w:t>
      </w:r>
      <w:r>
        <w:tab/>
      </w:r>
      <w:proofErr w:type="gramStart"/>
      <w:r>
        <w:t>contains</w:t>
      </w:r>
      <w:proofErr w:type="gramEnd"/>
      <w:r>
        <w:t xml:space="preserve"> frivolous or vexatious material; or</w:t>
      </w:r>
    </w:p>
    <w:p w14:paraId="2DC62997" w14:textId="77777777" w:rsidR="003161D2" w:rsidRDefault="003161D2" w:rsidP="003161D2">
      <w:pPr>
        <w:pStyle w:val="Quote2"/>
      </w:pPr>
      <w:r>
        <w:t>(</w:t>
      </w:r>
      <w:proofErr w:type="gramStart"/>
      <w:r>
        <w:t>c</w:t>
      </w:r>
      <w:proofErr w:type="gramEnd"/>
      <w:r>
        <w:t>)</w:t>
      </w:r>
      <w:r>
        <w:tab/>
        <w:t>is evasive or ambiguous; or</w:t>
      </w:r>
    </w:p>
    <w:p w14:paraId="26363E81" w14:textId="77777777" w:rsidR="003161D2" w:rsidRDefault="003161D2" w:rsidP="003161D2">
      <w:pPr>
        <w:pStyle w:val="Quote2"/>
        <w:ind w:left="2160" w:hanging="720"/>
      </w:pPr>
      <w:r>
        <w:t>(</w:t>
      </w:r>
      <w:proofErr w:type="gramStart"/>
      <w:r>
        <w:t>d</w:t>
      </w:r>
      <w:proofErr w:type="gramEnd"/>
      <w:r>
        <w:t>)</w:t>
      </w:r>
      <w:r>
        <w:tab/>
        <w:t>is likely to cause prejudice, embarrassment or delay in the proceeding; or</w:t>
      </w:r>
    </w:p>
    <w:p w14:paraId="46BE90B3" w14:textId="77777777" w:rsidR="003161D2" w:rsidRDefault="003161D2" w:rsidP="003161D2">
      <w:pPr>
        <w:pStyle w:val="Quote2"/>
        <w:ind w:left="2160" w:hanging="720"/>
      </w:pPr>
      <w:r>
        <w:t>(e)</w:t>
      </w:r>
      <w:r>
        <w:tab/>
      </w:r>
      <w:proofErr w:type="gramStart"/>
      <w:r>
        <w:t>fails</w:t>
      </w:r>
      <w:proofErr w:type="gramEnd"/>
      <w:r>
        <w:t xml:space="preserve"> to disclose a reasonable cause of action or defence or other case appropriate to the nature of the pleading; or</w:t>
      </w:r>
    </w:p>
    <w:p w14:paraId="1C1FD5AF" w14:textId="7F1E4586" w:rsidR="008420E8" w:rsidRPr="008420E8" w:rsidRDefault="003161D2" w:rsidP="003161D2">
      <w:pPr>
        <w:pStyle w:val="Quote2"/>
        <w:ind w:left="2160" w:hanging="720"/>
      </w:pPr>
      <w:r>
        <w:t>(f)</w:t>
      </w:r>
      <w:r>
        <w:tab/>
      </w:r>
      <w:proofErr w:type="gramStart"/>
      <w:r>
        <w:t>is</w:t>
      </w:r>
      <w:proofErr w:type="gramEnd"/>
      <w:r>
        <w:t xml:space="preserve"> otherwise an abuse of the process of the Court.</w:t>
      </w:r>
      <w:r w:rsidR="008420E8">
        <w:t xml:space="preserve"> </w:t>
      </w:r>
    </w:p>
    <w:p w14:paraId="3B1FD21D" w14:textId="5C705131" w:rsidR="00097BED" w:rsidRDefault="00097BED">
      <w:pPr>
        <w:pStyle w:val="ParaNumbering"/>
      </w:pPr>
      <w:r>
        <w:t>The Court was informed that there ha</w:t>
      </w:r>
      <w:r w:rsidR="00F12961">
        <w:t>s</w:t>
      </w:r>
      <w:r>
        <w:t xml:space="preserve"> been an exchange of correspondence between the parties on the issue of the adequacy of the applicants’ originating application and statement of claim.  The completing views are recorded in two letters by their respective solicitors, both letters being dated 11 September 2019 and which </w:t>
      </w:r>
      <w:r w:rsidR="00CF3AD2">
        <w:t xml:space="preserve">together </w:t>
      </w:r>
      <w:r>
        <w:t xml:space="preserve">became Exhibit A.  </w:t>
      </w:r>
    </w:p>
    <w:p w14:paraId="11BF6AD4" w14:textId="3CA87279" w:rsidR="00097BED" w:rsidRDefault="00097BED">
      <w:pPr>
        <w:pStyle w:val="ParaNumbering"/>
      </w:pPr>
      <w:r>
        <w:lastRenderedPageBreak/>
        <w:t xml:space="preserve">The respondents’ letter was written with an invitation for the applicants to amend their pleadings and, if they did so, costs thrown away would not be sought.  The applicants did not avail themselves of that offer.  Instead, they responded in a four page letter dated 11 September 2019 and invited the respondents to treat their response as </w:t>
      </w:r>
      <w:r w:rsidR="009F0ABE">
        <w:t>particulars</w:t>
      </w:r>
      <w:r>
        <w:t xml:space="preserve"> of the originating application and statement of claim.  </w:t>
      </w:r>
    </w:p>
    <w:p w14:paraId="5DBC91B1" w14:textId="7750BD15" w:rsidR="00097BED" w:rsidRDefault="00097BED">
      <w:pPr>
        <w:pStyle w:val="ParaNumbering"/>
      </w:pPr>
      <w:r>
        <w:t xml:space="preserve">Having heard argument, I am satisfied that the present originating application and statement of claim should be struck out and </w:t>
      </w:r>
      <w:proofErr w:type="spellStart"/>
      <w:r>
        <w:t>repleaded</w:t>
      </w:r>
      <w:proofErr w:type="spellEnd"/>
      <w:r>
        <w:t xml:space="preserve">.  As matters stand at present, there are too many uncertainties about the pleadings to enable the respondents to know the case which they have to meet.  The need for certainty is highlighted in this case having regard to its history and the altered position taken by one or other of the applicants on several key issues.  It is sufficient to refer to the differences between the contents of the affidavit sworn by Mr Hill in support of the statutory demand in the proceedings in ACD14/2019 </w:t>
      </w:r>
      <w:r w:rsidR="00CF3AD2">
        <w:t xml:space="preserve">(see </w:t>
      </w:r>
      <w:r w:rsidR="00CF3AD2">
        <w:rPr>
          <w:i/>
        </w:rPr>
        <w:t xml:space="preserve">Australian Law Company Ltd v Initiative Holdings Pty Ltd </w:t>
      </w:r>
      <w:r w:rsidR="00CF3AD2">
        <w:t xml:space="preserve">[2019] FCA 1561 at [11]) </w:t>
      </w:r>
      <w:r>
        <w:t>and the terms of the 2018 Agreement</w:t>
      </w:r>
      <w:r w:rsidR="00F12961">
        <w:t>, and to the need for the applicants to plead the status and relationship of the 2015 and 2018 Agreements.</w:t>
      </w:r>
      <w:r>
        <w:t xml:space="preserve">  </w:t>
      </w:r>
    </w:p>
    <w:p w14:paraId="11294760" w14:textId="5AFC2BBC" w:rsidR="00097BED" w:rsidRDefault="00097BED">
      <w:pPr>
        <w:pStyle w:val="ParaNumbering"/>
      </w:pPr>
      <w:r>
        <w:t xml:space="preserve">I accept the respondents’ submission that the originating application and statement of claim do not adequately distinguish between the first and second applicants.  There are numerous references to “the Applicants” without any clear distinction being drawn between them.  The distinction is not unimportant having regard to the different causes of action raised by both the first and second applicants, as well as the ambiguity in prayers B and C of the statement of claim.  </w:t>
      </w:r>
    </w:p>
    <w:p w14:paraId="1726B207" w14:textId="63A4CE42" w:rsidR="00097BED" w:rsidRDefault="00097BED">
      <w:pPr>
        <w:pStyle w:val="ParaNumbering"/>
      </w:pPr>
      <w:r>
        <w:t>I also accept the respondents’ submission that greater clarity is required in respect of [14] of the statement of claim</w:t>
      </w:r>
      <w:r w:rsidR="00F12961">
        <w:t xml:space="preserve">. This is a </w:t>
      </w:r>
      <w:r>
        <w:t xml:space="preserve">matter which </w:t>
      </w:r>
      <w:r w:rsidR="00F12961">
        <w:t>wa</w:t>
      </w:r>
      <w:r>
        <w:t xml:space="preserve">s appropriately raised in Ms Taylor’s letter dated 11 September 2019 and to which no sufficient response was given.  A further matter which highlights the need for </w:t>
      </w:r>
      <w:proofErr w:type="spellStart"/>
      <w:r>
        <w:t>repleading</w:t>
      </w:r>
      <w:proofErr w:type="spellEnd"/>
      <w:r>
        <w:t xml:space="preserve"> relates to paragraph 33 of the statement of claim.  Ms Taylor requested that material facts be pleaded in respect of the lease which is the subject of this paragraph.  The response she received on this request is inadequate</w:t>
      </w:r>
      <w:r w:rsidR="009F0ABE">
        <w:t>.</w:t>
      </w:r>
      <w:r>
        <w:t xml:space="preserve">  All material facts should be pleaded in support of paragraph 33.  </w:t>
      </w:r>
      <w:r w:rsidR="00F12961">
        <w:t>There is also need to plead with greater clarity the claims relating to “goods”</w:t>
      </w:r>
      <w:r w:rsidR="002B1BFA">
        <w:t xml:space="preserve"> and the claim for “[d]</w:t>
      </w:r>
      <w:proofErr w:type="spellStart"/>
      <w:r w:rsidR="002B1BFA">
        <w:t>amages</w:t>
      </w:r>
      <w:proofErr w:type="spellEnd"/>
      <w:r w:rsidR="002B1BFA">
        <w:t xml:space="preserve"> in the First Applicant’s favour … on a quantum </w:t>
      </w:r>
      <w:proofErr w:type="spellStart"/>
      <w:r w:rsidR="002B1BFA">
        <w:t>meruit</w:t>
      </w:r>
      <w:proofErr w:type="spellEnd"/>
      <w:r w:rsidR="002B1BFA">
        <w:t xml:space="preserve"> basis</w:t>
      </w:r>
      <w:r w:rsidR="001A13D6">
        <w:t xml:space="preserve"> for work done for the Second Respondent as an independent contractor”. </w:t>
      </w:r>
      <w:r w:rsidR="008669C0">
        <w:t>I</w:t>
      </w:r>
      <w:r w:rsidR="002B1BFA">
        <w:t xml:space="preserve">f the quantum </w:t>
      </w:r>
      <w:proofErr w:type="spellStart"/>
      <w:r w:rsidR="002B1BFA">
        <w:t>meruit</w:t>
      </w:r>
      <w:proofErr w:type="spellEnd"/>
      <w:r w:rsidR="002B1BFA">
        <w:t xml:space="preserve"> </w:t>
      </w:r>
      <w:r w:rsidR="00F34787">
        <w:t xml:space="preserve">claim is for a contract implied </w:t>
      </w:r>
      <w:r w:rsidR="001A13D6">
        <w:t xml:space="preserve">in fact </w:t>
      </w:r>
      <w:r w:rsidR="008669C0">
        <w:t xml:space="preserve">from the </w:t>
      </w:r>
      <w:r w:rsidR="001A13D6">
        <w:t xml:space="preserve">surrounding </w:t>
      </w:r>
      <w:r w:rsidR="008669C0">
        <w:t xml:space="preserve">circumstances, </w:t>
      </w:r>
      <w:r w:rsidR="001A13D6">
        <w:t xml:space="preserve">as Ms Taylor pointed out, neither </w:t>
      </w:r>
      <w:r w:rsidR="008669C0">
        <w:t xml:space="preserve">the relevant terms of the contract </w:t>
      </w:r>
      <w:r w:rsidR="001A13D6">
        <w:t xml:space="preserve">nor the basis </w:t>
      </w:r>
      <w:r w:rsidR="001A13D6">
        <w:lastRenderedPageBreak/>
        <w:t>for calculating damages is identified adequately. O</w:t>
      </w:r>
      <w:r w:rsidR="008669C0">
        <w:t xml:space="preserve">n the other hand, </w:t>
      </w:r>
      <w:r w:rsidR="001A13D6">
        <w:t>it may be that the first applicant intended to plead a</w:t>
      </w:r>
      <w:r w:rsidR="008669C0">
        <w:t xml:space="preserve"> claim </w:t>
      </w:r>
      <w:r w:rsidR="001A13D6">
        <w:t>f</w:t>
      </w:r>
      <w:r w:rsidR="008669C0">
        <w:t>or restitution for work performed at the second respondent’s request</w:t>
      </w:r>
      <w:r w:rsidR="001A13D6">
        <w:t>. In that case the description of the first applicant as an independent contract</w:t>
      </w:r>
      <w:r w:rsidR="003C654B">
        <w:t>or</w:t>
      </w:r>
      <w:r w:rsidR="001A13D6">
        <w:t xml:space="preserve"> creates further </w:t>
      </w:r>
      <w:r w:rsidR="00EF7F32">
        <w:t>confusion</w:t>
      </w:r>
      <w:r w:rsidR="001A13D6">
        <w:t xml:space="preserve">. On any view, </w:t>
      </w:r>
      <w:r w:rsidR="008669C0">
        <w:t xml:space="preserve">the present pleading </w:t>
      </w:r>
      <w:r w:rsidR="001A13D6">
        <w:t xml:space="preserve">is inadequate as </w:t>
      </w:r>
      <w:r w:rsidR="008669C0">
        <w:t>it</w:t>
      </w:r>
      <w:r w:rsidR="001A13D6">
        <w:t xml:space="preserve"> leaves </w:t>
      </w:r>
      <w:r w:rsidR="00EF7F32">
        <w:t xml:space="preserve">it </w:t>
      </w:r>
      <w:r w:rsidR="008669C0">
        <w:t>unclear on which basis the claim is put.</w:t>
      </w:r>
      <w:r w:rsidR="004F08A5">
        <w:t xml:space="preserve"> </w:t>
      </w:r>
    </w:p>
    <w:p w14:paraId="4DC4D7C5" w14:textId="562C03E1" w:rsidR="00097BED" w:rsidRDefault="00097BED">
      <w:pPr>
        <w:pStyle w:val="ParaNumbering"/>
      </w:pPr>
      <w:r>
        <w:t xml:space="preserve">The matters set out above are merely examples of </w:t>
      </w:r>
      <w:r w:rsidR="00F12961">
        <w:t>many</w:t>
      </w:r>
      <w:r>
        <w:t xml:space="preserve"> </w:t>
      </w:r>
      <w:r w:rsidR="009F0ABE">
        <w:t>deficiencies</w:t>
      </w:r>
      <w:r>
        <w:t xml:space="preserve"> in the origina</w:t>
      </w:r>
      <w:r w:rsidR="002B1BFA">
        <w:t>ting</w:t>
      </w:r>
      <w:r>
        <w:t xml:space="preserve"> application and statement of claim, as highlighted by Ms Taylor’s letter.  The originating application and statement of claim will be struck out</w:t>
      </w:r>
      <w:r w:rsidR="00F12961">
        <w:t>,</w:t>
      </w:r>
      <w:r>
        <w:t xml:space="preserve"> but I will grant leave to the applicants to </w:t>
      </w:r>
      <w:proofErr w:type="spellStart"/>
      <w:r>
        <w:t>replead</w:t>
      </w:r>
      <w:proofErr w:type="spellEnd"/>
      <w:r>
        <w:t xml:space="preserve"> their case.  In doing so, they should pay close attention to Ms Taylor’s letter dated 11 September 2019.  </w:t>
      </w:r>
    </w:p>
    <w:p w14:paraId="23D295D7" w14:textId="0BBC7446" w:rsidR="00097BED" w:rsidRDefault="00097BED" w:rsidP="002B1BFA">
      <w:pPr>
        <w:pStyle w:val="Heading2"/>
      </w:pPr>
      <w:r>
        <w:t>Conclusion on strike-out</w:t>
      </w:r>
    </w:p>
    <w:p w14:paraId="57C55F8B" w14:textId="3D885439" w:rsidR="00097BED" w:rsidRDefault="00097BED">
      <w:pPr>
        <w:pStyle w:val="ParaNumbering"/>
      </w:pPr>
      <w:r>
        <w:t xml:space="preserve">For these reasons, the originating application and statement of claim will be struck out.  The applicants have leave to </w:t>
      </w:r>
      <w:proofErr w:type="spellStart"/>
      <w:r>
        <w:t>replead</w:t>
      </w:r>
      <w:proofErr w:type="spellEnd"/>
      <w:r>
        <w:t xml:space="preserve"> within 14 days</w:t>
      </w:r>
      <w:r w:rsidR="009F4AAB">
        <w:t xml:space="preserve"> of compliance with the orders concerning security for costs</w:t>
      </w:r>
      <w:r>
        <w:t xml:space="preserve">.  </w:t>
      </w:r>
    </w:p>
    <w:p w14:paraId="744A3943" w14:textId="0DBCC72A" w:rsidR="00097BED" w:rsidRDefault="00097BED" w:rsidP="002B1BFA">
      <w:pPr>
        <w:pStyle w:val="Heading2"/>
      </w:pPr>
      <w:r>
        <w:t>Costs</w:t>
      </w:r>
    </w:p>
    <w:p w14:paraId="5487032C" w14:textId="2E0F919D" w:rsidR="003D44F3" w:rsidRPr="00C84259" w:rsidRDefault="003D44F3" w:rsidP="00B9043F">
      <w:pPr>
        <w:pStyle w:val="ParaNumbering"/>
      </w:pPr>
      <w:r w:rsidRPr="00C84259">
        <w:t xml:space="preserve">As requested, I will hear the </w:t>
      </w:r>
      <w:r w:rsidR="00846A4C" w:rsidRPr="00C84259">
        <w:t>applicants</w:t>
      </w:r>
      <w:r w:rsidRPr="00C84259">
        <w:t xml:space="preserve"> on the costs of this application.  </w:t>
      </w:r>
      <w:r w:rsidR="00097BED">
        <w:t xml:space="preserve">I will do so by providing them with an opportunity </w:t>
      </w:r>
      <w:r w:rsidR="00F12961">
        <w:t xml:space="preserve">over the next 7 days </w:t>
      </w:r>
      <w:r w:rsidR="00097BED">
        <w:t xml:space="preserve">to agree on costs and, if they are unable to do so, to provide brief submissions in support of their respective positions.  The matter of costs will then be determined on the papers and without a further oral hearing.  </w:t>
      </w:r>
    </w:p>
    <w:p w14:paraId="5CCA96FA" w14:textId="77777777" w:rsidR="00C84259" w:rsidRDefault="00C84259" w:rsidP="00815065">
      <w:pPr>
        <w:pStyle w:val="BodyText"/>
      </w:pPr>
      <w:bookmarkStart w:id="22" w:name="Certification"/>
    </w:p>
    <w:tbl>
      <w:tblPr>
        <w:tblW w:w="0" w:type="auto"/>
        <w:tblLook w:val="04A0" w:firstRow="1" w:lastRow="0" w:firstColumn="1" w:lastColumn="0" w:noHBand="0" w:noVBand="1"/>
      </w:tblPr>
      <w:tblGrid>
        <w:gridCol w:w="3794"/>
      </w:tblGrid>
      <w:tr w:rsidR="00C84259" w:rsidRPr="00C84259" w14:paraId="4C31A303" w14:textId="77777777">
        <w:tc>
          <w:tcPr>
            <w:tcW w:w="3794" w:type="dxa"/>
            <w:shd w:val="clear" w:color="auto" w:fill="auto"/>
          </w:tcPr>
          <w:p w14:paraId="630EDC98" w14:textId="43BA95E9" w:rsidR="00C84259" w:rsidRPr="00C84259" w:rsidRDefault="00C84259" w:rsidP="00C84259">
            <w:pPr>
              <w:pStyle w:val="Normal1linespace"/>
            </w:pPr>
            <w:r w:rsidRPr="00C84259">
              <w:t xml:space="preserve">I certify that the preceding </w:t>
            </w:r>
            <w:bookmarkStart w:id="23" w:name="NumberWord"/>
            <w:r w:rsidR="00E639CD">
              <w:t>sixty-three</w:t>
            </w:r>
            <w:bookmarkEnd w:id="23"/>
            <w:r w:rsidRPr="00C84259">
              <w:t xml:space="preserve"> (</w:t>
            </w:r>
            <w:bookmarkStart w:id="24" w:name="NumberNumeral"/>
            <w:r w:rsidR="00E639CD">
              <w:t>63</w:t>
            </w:r>
            <w:bookmarkEnd w:id="24"/>
            <w:r w:rsidRPr="00C84259">
              <w:t xml:space="preserve">) numbered </w:t>
            </w:r>
            <w:bookmarkStart w:id="25" w:name="CertPara"/>
            <w:r w:rsidR="00E639CD">
              <w:t>paragraphs are</w:t>
            </w:r>
            <w:bookmarkEnd w:id="25"/>
            <w:r w:rsidRPr="00C84259">
              <w:t xml:space="preserve"> a true copy of the Reasons for Judgment herein of the Honourable </w:t>
            </w:r>
            <w:bookmarkStart w:id="26" w:name="Justice"/>
            <w:r w:rsidR="00E639CD">
              <w:t>Justice Griffiths</w:t>
            </w:r>
            <w:bookmarkEnd w:id="26"/>
            <w:r w:rsidRPr="00C84259">
              <w:t>.</w:t>
            </w:r>
          </w:p>
        </w:tc>
      </w:tr>
    </w:tbl>
    <w:p w14:paraId="470D804E" w14:textId="77777777" w:rsidR="00C84259" w:rsidRDefault="00C84259" w:rsidP="00815065">
      <w:pPr>
        <w:pStyle w:val="BodyText"/>
      </w:pPr>
    </w:p>
    <w:p w14:paraId="6C000022" w14:textId="643CF980" w:rsidR="00C84259" w:rsidRDefault="00C84259" w:rsidP="00815065">
      <w:pPr>
        <w:pStyle w:val="BodyText"/>
      </w:pPr>
      <w:r>
        <w:t xml:space="preserve">Associate: </w:t>
      </w:r>
    </w:p>
    <w:p w14:paraId="57120359" w14:textId="77777777" w:rsidR="00C84259" w:rsidRDefault="00C84259" w:rsidP="00815065">
      <w:pPr>
        <w:pStyle w:val="BodyText"/>
      </w:pPr>
    </w:p>
    <w:p w14:paraId="691755DB" w14:textId="3D562774" w:rsidR="00C84259" w:rsidRDefault="00C84259" w:rsidP="00815065">
      <w:pPr>
        <w:pStyle w:val="BodyText"/>
        <w:tabs>
          <w:tab w:val="left" w:pos="1134"/>
        </w:tabs>
      </w:pPr>
      <w:r>
        <w:t>Dated:</w:t>
      </w:r>
      <w:r>
        <w:tab/>
      </w:r>
      <w:bookmarkStart w:id="27" w:name="CertifyDated"/>
      <w:r w:rsidR="00E639CD">
        <w:t>25 September 2019</w:t>
      </w:r>
      <w:bookmarkEnd w:id="27"/>
    </w:p>
    <w:p w14:paraId="3F459B4F" w14:textId="77777777" w:rsidR="00C84259" w:rsidRDefault="00C84259" w:rsidP="00815065">
      <w:pPr>
        <w:pStyle w:val="BodyText"/>
      </w:pPr>
    </w:p>
    <w:bookmarkEnd w:id="22"/>
    <w:p w14:paraId="59C48314" w14:textId="77777777" w:rsidR="00C84259" w:rsidRPr="00B9043F" w:rsidRDefault="00C84259" w:rsidP="00C84259">
      <w:pPr>
        <w:pStyle w:val="BodyText"/>
      </w:pPr>
    </w:p>
    <w:sectPr w:rsidR="00C84259" w:rsidRPr="00B9043F">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763E7" w14:textId="77777777" w:rsidR="001A2440" w:rsidRDefault="001A2440">
      <w:pPr>
        <w:spacing w:line="20" w:lineRule="exact"/>
      </w:pPr>
    </w:p>
    <w:p w14:paraId="450051C3" w14:textId="77777777" w:rsidR="001A2440" w:rsidRDefault="001A2440"/>
    <w:p w14:paraId="384D6C33" w14:textId="77777777" w:rsidR="001A2440" w:rsidRDefault="001A2440"/>
  </w:endnote>
  <w:endnote w:type="continuationSeparator" w:id="0">
    <w:p w14:paraId="6CF78321" w14:textId="77777777" w:rsidR="001A2440" w:rsidRDefault="001A2440">
      <w:r>
        <w:t xml:space="preserve"> </w:t>
      </w:r>
    </w:p>
    <w:p w14:paraId="6E6E7E8C" w14:textId="77777777" w:rsidR="001A2440" w:rsidRDefault="001A2440"/>
    <w:p w14:paraId="1FF9C0EA" w14:textId="77777777" w:rsidR="001A2440" w:rsidRDefault="001A2440"/>
  </w:endnote>
  <w:endnote w:type="continuationNotice" w:id="1">
    <w:p w14:paraId="52DBFE86" w14:textId="77777777" w:rsidR="001A2440" w:rsidRDefault="001A2440">
      <w:r>
        <w:t xml:space="preserve"> </w:t>
      </w:r>
    </w:p>
    <w:p w14:paraId="5CC04A65" w14:textId="77777777" w:rsidR="001A2440" w:rsidRDefault="001A2440"/>
    <w:p w14:paraId="57F2FE39" w14:textId="77777777" w:rsidR="001A2440" w:rsidRDefault="001A2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0A569" w14:textId="04C0A935" w:rsidR="00395B24" w:rsidRPr="001A2440" w:rsidRDefault="00395B24">
    <w:pPr>
      <w:pStyle w:val="Footer"/>
      <w:jc w:val="center"/>
      <w:rPr>
        <w:rFonts w:ascii="Times New Roman Bold" w:hAnsi="Times New Roman Bold" w:hint="eastAsia"/>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560A3" w14:textId="781B6E7C" w:rsidR="00395B24" w:rsidRPr="00E25DE2" w:rsidRDefault="00395B24" w:rsidP="00E25DE2">
    <w:pPr>
      <w:pStyle w:val="Footer"/>
      <w:jc w:val="center"/>
      <w:rPr>
        <w:rFonts w:ascii="Times New Roman Bold" w:hAnsi="Times New Roman Bold" w:hint="eastAsia"/>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B02F3" w14:textId="2D979F3B" w:rsidR="002F1E49" w:rsidRPr="001A2440" w:rsidRDefault="002F1E49" w:rsidP="001A2440">
    <w:pPr>
      <w:pStyle w:val="Footer"/>
      <w:jc w:val="center"/>
      <w:rPr>
        <w:rFonts w:ascii="Times New Roman Bold" w:hAnsi="Times New Roman Bold" w:hint="eastAsi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33A0C" w14:textId="77777777" w:rsidR="001A2440" w:rsidRDefault="001A2440"/>
    <w:p w14:paraId="76469222" w14:textId="77777777" w:rsidR="001A2440" w:rsidRDefault="001A2440"/>
    <w:p w14:paraId="0C610FE6" w14:textId="77777777" w:rsidR="001A2440" w:rsidRDefault="001A2440"/>
  </w:footnote>
  <w:footnote w:type="continuationSeparator" w:id="0">
    <w:p w14:paraId="10164556" w14:textId="77777777" w:rsidR="001A2440" w:rsidRDefault="001A2440">
      <w:r>
        <w:continuationSeparator/>
      </w:r>
    </w:p>
    <w:p w14:paraId="416EA9AB" w14:textId="77777777" w:rsidR="001A2440" w:rsidRDefault="001A2440"/>
    <w:p w14:paraId="4D6FE328" w14:textId="77777777" w:rsidR="001A2440" w:rsidRDefault="001A244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890D0" w14:textId="55A0590A"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C50084">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AC4EF" w14:textId="77777777"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99654" w14:textId="77777777"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49196" w14:textId="32BC2915" w:rsidR="00395B24" w:rsidRDefault="002C7385">
    <w:pPr>
      <w:tabs>
        <w:tab w:val="center" w:pos="4512"/>
      </w:tabs>
      <w:suppressAutoHyphens/>
    </w:pPr>
    <w:r>
      <w:tab/>
      <w:t xml:space="preserve">- </w:t>
    </w:r>
    <w:r>
      <w:fldChar w:fldCharType="begin"/>
    </w:r>
    <w:r>
      <w:instrText>page \* arabic</w:instrText>
    </w:r>
    <w:r>
      <w:fldChar w:fldCharType="separate"/>
    </w:r>
    <w:r w:rsidR="00C50084">
      <w:rPr>
        <w:noProof/>
      </w:rPr>
      <w:t>14</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99935" w14:textId="77777777"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494817A7"/>
    <w:multiLevelType w:val="multilevel"/>
    <w:tmpl w:val="0F0EC90E"/>
    <w:numStyleLink w:val="FCListNo"/>
  </w:abstractNum>
  <w:abstractNum w:abstractNumId="17"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Alan Hill|Initiative Holdings Pty Ltd"/>
    <w:docVar w:name="CounselParties" w:val="Applica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ACD 50 of 2019"/>
    <w:docVar w:name="HearingDate" w:val="24 September 2019"/>
    <w:docVar w:name="Initiators" w:val="(and another named in the Schedule)"/>
    <w:docVar w:name="Judgdate" w:val="25 September 2019"/>
    <w:docVar w:name="Judge" w:val="Griffiths"/>
    <w:docVar w:name="Justices" w:val="Justice"/>
    <w:docVar w:name="lstEntryList" w:val="-1"/>
    <w:docVar w:name="myEntryList" w:val="Counsel for the Applicants=WDB Buckland|Solicitor for the Applicants=Nelson &amp; Hill Lawyers|Counsel for the Respondents=K Pattenden|Solicitor for the Respondents=Aulich Civil Law"/>
    <w:docVar w:name="NSD" w:val="NSD "/>
    <w:docVar w:name="NumApps" w:val="2"/>
    <w:docVar w:name="NumApps_" w:val="2"/>
    <w:docVar w:name="NumCrossResps" w:val="0"/>
    <w:docVar w:name="NumDefs" w:val="2"/>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Commercial and Corporations"/>
    <w:docVar w:name="RESAndAnother" w:val="True"/>
    <w:docVar w:name="RESAndOthers" w:val="False"/>
    <w:docVar w:name="Respondent" w:val="Kai Zhang|The Australian Law Company"/>
    <w:docVar w:name="ResState" w:val="Australian Capital Territory"/>
    <w:docVar w:name="SubArea" w:val="Commercial Contracts, Banking, Finance and Insurance  (C &amp; C)"/>
  </w:docVars>
  <w:rsids>
    <w:rsidRoot w:val="001A2440"/>
    <w:rsid w:val="00007953"/>
    <w:rsid w:val="0001469E"/>
    <w:rsid w:val="00015993"/>
    <w:rsid w:val="00022289"/>
    <w:rsid w:val="00032F9F"/>
    <w:rsid w:val="00041C07"/>
    <w:rsid w:val="00045BB7"/>
    <w:rsid w:val="00055719"/>
    <w:rsid w:val="0005641B"/>
    <w:rsid w:val="0007124F"/>
    <w:rsid w:val="00076FD8"/>
    <w:rsid w:val="000777EA"/>
    <w:rsid w:val="00081497"/>
    <w:rsid w:val="00094FDB"/>
    <w:rsid w:val="00097BED"/>
    <w:rsid w:val="000A2E76"/>
    <w:rsid w:val="000A4807"/>
    <w:rsid w:val="000A4BE4"/>
    <w:rsid w:val="000B403A"/>
    <w:rsid w:val="000C023E"/>
    <w:rsid w:val="000C5195"/>
    <w:rsid w:val="000C62EF"/>
    <w:rsid w:val="000D2137"/>
    <w:rsid w:val="000D3FD2"/>
    <w:rsid w:val="000E3FC8"/>
    <w:rsid w:val="000E7BAE"/>
    <w:rsid w:val="000F133D"/>
    <w:rsid w:val="000F19D8"/>
    <w:rsid w:val="0010536B"/>
    <w:rsid w:val="0011145C"/>
    <w:rsid w:val="001128BD"/>
    <w:rsid w:val="0011419D"/>
    <w:rsid w:val="00132054"/>
    <w:rsid w:val="00142978"/>
    <w:rsid w:val="001727A4"/>
    <w:rsid w:val="0017376C"/>
    <w:rsid w:val="001738AB"/>
    <w:rsid w:val="001765E0"/>
    <w:rsid w:val="00177759"/>
    <w:rsid w:val="00181892"/>
    <w:rsid w:val="0018285D"/>
    <w:rsid w:val="00185E6B"/>
    <w:rsid w:val="00187BBC"/>
    <w:rsid w:val="001932F3"/>
    <w:rsid w:val="001A02FE"/>
    <w:rsid w:val="001A075F"/>
    <w:rsid w:val="001A13D6"/>
    <w:rsid w:val="001A2440"/>
    <w:rsid w:val="001A4309"/>
    <w:rsid w:val="001B1053"/>
    <w:rsid w:val="001B14AC"/>
    <w:rsid w:val="001B7940"/>
    <w:rsid w:val="001C37CA"/>
    <w:rsid w:val="001D4303"/>
    <w:rsid w:val="001D6746"/>
    <w:rsid w:val="001E3B49"/>
    <w:rsid w:val="001E7388"/>
    <w:rsid w:val="001F13DD"/>
    <w:rsid w:val="001F2DBC"/>
    <w:rsid w:val="001F73E8"/>
    <w:rsid w:val="0020262C"/>
    <w:rsid w:val="00224537"/>
    <w:rsid w:val="00235956"/>
    <w:rsid w:val="0024581A"/>
    <w:rsid w:val="00247C9A"/>
    <w:rsid w:val="0025160C"/>
    <w:rsid w:val="002535D0"/>
    <w:rsid w:val="002539B3"/>
    <w:rsid w:val="00257C3E"/>
    <w:rsid w:val="002602C2"/>
    <w:rsid w:val="002666C9"/>
    <w:rsid w:val="00270136"/>
    <w:rsid w:val="00274F5B"/>
    <w:rsid w:val="00280836"/>
    <w:rsid w:val="00282E1A"/>
    <w:rsid w:val="0029113B"/>
    <w:rsid w:val="002934C0"/>
    <w:rsid w:val="002A1B50"/>
    <w:rsid w:val="002B0E91"/>
    <w:rsid w:val="002B1BFA"/>
    <w:rsid w:val="002B2E2D"/>
    <w:rsid w:val="002B6779"/>
    <w:rsid w:val="002B71C0"/>
    <w:rsid w:val="002B7A34"/>
    <w:rsid w:val="002C2B1B"/>
    <w:rsid w:val="002C31AD"/>
    <w:rsid w:val="002C7385"/>
    <w:rsid w:val="002D2DBB"/>
    <w:rsid w:val="002D54A6"/>
    <w:rsid w:val="002E6A7A"/>
    <w:rsid w:val="002F1E49"/>
    <w:rsid w:val="002F4E9C"/>
    <w:rsid w:val="0031256C"/>
    <w:rsid w:val="00314D6C"/>
    <w:rsid w:val="003161D2"/>
    <w:rsid w:val="00316D2A"/>
    <w:rsid w:val="00322A7C"/>
    <w:rsid w:val="003250EC"/>
    <w:rsid w:val="003402D3"/>
    <w:rsid w:val="00343ABC"/>
    <w:rsid w:val="003463FE"/>
    <w:rsid w:val="003554B3"/>
    <w:rsid w:val="00356632"/>
    <w:rsid w:val="0037113F"/>
    <w:rsid w:val="00377A1E"/>
    <w:rsid w:val="003845A9"/>
    <w:rsid w:val="00390883"/>
    <w:rsid w:val="003922F8"/>
    <w:rsid w:val="00395597"/>
    <w:rsid w:val="00395B24"/>
    <w:rsid w:val="003A2D38"/>
    <w:rsid w:val="003A4A65"/>
    <w:rsid w:val="003A7ECC"/>
    <w:rsid w:val="003B2C72"/>
    <w:rsid w:val="003C1333"/>
    <w:rsid w:val="003C20FF"/>
    <w:rsid w:val="003C654B"/>
    <w:rsid w:val="003D2650"/>
    <w:rsid w:val="003D44F3"/>
    <w:rsid w:val="003D560C"/>
    <w:rsid w:val="003D6342"/>
    <w:rsid w:val="003E5874"/>
    <w:rsid w:val="003F193E"/>
    <w:rsid w:val="003F34F1"/>
    <w:rsid w:val="00411AE8"/>
    <w:rsid w:val="00413B74"/>
    <w:rsid w:val="00435C5F"/>
    <w:rsid w:val="00441E98"/>
    <w:rsid w:val="004449A4"/>
    <w:rsid w:val="004532F7"/>
    <w:rsid w:val="00472027"/>
    <w:rsid w:val="0047752F"/>
    <w:rsid w:val="004804CF"/>
    <w:rsid w:val="00484962"/>
    <w:rsid w:val="00484F6D"/>
    <w:rsid w:val="0048551B"/>
    <w:rsid w:val="004873AE"/>
    <w:rsid w:val="0049338A"/>
    <w:rsid w:val="0049417F"/>
    <w:rsid w:val="004A739F"/>
    <w:rsid w:val="004B3EFA"/>
    <w:rsid w:val="004C2A87"/>
    <w:rsid w:val="004C4D7B"/>
    <w:rsid w:val="004C4ED3"/>
    <w:rsid w:val="004D2EA5"/>
    <w:rsid w:val="004D32A6"/>
    <w:rsid w:val="004D53E5"/>
    <w:rsid w:val="004D7901"/>
    <w:rsid w:val="004E0508"/>
    <w:rsid w:val="004E2D79"/>
    <w:rsid w:val="004F08A5"/>
    <w:rsid w:val="00501A12"/>
    <w:rsid w:val="0051346D"/>
    <w:rsid w:val="00513EAE"/>
    <w:rsid w:val="00516806"/>
    <w:rsid w:val="00525A49"/>
    <w:rsid w:val="005260E9"/>
    <w:rsid w:val="00535613"/>
    <w:rsid w:val="005359EB"/>
    <w:rsid w:val="0054254A"/>
    <w:rsid w:val="00545AC8"/>
    <w:rsid w:val="005466B5"/>
    <w:rsid w:val="00554314"/>
    <w:rsid w:val="005629B3"/>
    <w:rsid w:val="00562AFE"/>
    <w:rsid w:val="00573AC4"/>
    <w:rsid w:val="005801FC"/>
    <w:rsid w:val="00595016"/>
    <w:rsid w:val="00597AAE"/>
    <w:rsid w:val="005A222C"/>
    <w:rsid w:val="005A4DF8"/>
    <w:rsid w:val="005B1426"/>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32300"/>
    <w:rsid w:val="00632BB7"/>
    <w:rsid w:val="00635B36"/>
    <w:rsid w:val="00636871"/>
    <w:rsid w:val="00640F4E"/>
    <w:rsid w:val="00643DE0"/>
    <w:rsid w:val="00644E85"/>
    <w:rsid w:val="0065614B"/>
    <w:rsid w:val="00657421"/>
    <w:rsid w:val="0066063F"/>
    <w:rsid w:val="00662BB0"/>
    <w:rsid w:val="00663878"/>
    <w:rsid w:val="00667773"/>
    <w:rsid w:val="00670743"/>
    <w:rsid w:val="00672CE0"/>
    <w:rsid w:val="00690EE2"/>
    <w:rsid w:val="006A0E20"/>
    <w:rsid w:val="006A5695"/>
    <w:rsid w:val="006B3904"/>
    <w:rsid w:val="006B5B7D"/>
    <w:rsid w:val="006D0ECF"/>
    <w:rsid w:val="006D4C92"/>
    <w:rsid w:val="006D4EB6"/>
    <w:rsid w:val="006E35BF"/>
    <w:rsid w:val="006E7850"/>
    <w:rsid w:val="007028D9"/>
    <w:rsid w:val="00707218"/>
    <w:rsid w:val="00712B1D"/>
    <w:rsid w:val="007325D9"/>
    <w:rsid w:val="007360CA"/>
    <w:rsid w:val="00743945"/>
    <w:rsid w:val="00757FF9"/>
    <w:rsid w:val="00760EC0"/>
    <w:rsid w:val="00777EF4"/>
    <w:rsid w:val="0078003A"/>
    <w:rsid w:val="00780771"/>
    <w:rsid w:val="007929CF"/>
    <w:rsid w:val="007A6F28"/>
    <w:rsid w:val="007B03C6"/>
    <w:rsid w:val="007B0DB1"/>
    <w:rsid w:val="007B7D30"/>
    <w:rsid w:val="007C3BF6"/>
    <w:rsid w:val="007C4D24"/>
    <w:rsid w:val="007D0FD2"/>
    <w:rsid w:val="007D2EF8"/>
    <w:rsid w:val="007D3F1F"/>
    <w:rsid w:val="007D561F"/>
    <w:rsid w:val="007D7FD2"/>
    <w:rsid w:val="007E13D9"/>
    <w:rsid w:val="007E41BE"/>
    <w:rsid w:val="007E4DB6"/>
    <w:rsid w:val="007E7CD4"/>
    <w:rsid w:val="007F12AC"/>
    <w:rsid w:val="00801800"/>
    <w:rsid w:val="00801B5B"/>
    <w:rsid w:val="008225B5"/>
    <w:rsid w:val="008276B4"/>
    <w:rsid w:val="00831927"/>
    <w:rsid w:val="00841BD3"/>
    <w:rsid w:val="008420E8"/>
    <w:rsid w:val="0084273D"/>
    <w:rsid w:val="00844E3F"/>
    <w:rsid w:val="00845A83"/>
    <w:rsid w:val="00846A4C"/>
    <w:rsid w:val="008669C0"/>
    <w:rsid w:val="008712BB"/>
    <w:rsid w:val="00872127"/>
    <w:rsid w:val="008979BC"/>
    <w:rsid w:val="008A2484"/>
    <w:rsid w:val="008A2AAA"/>
    <w:rsid w:val="008C1B36"/>
    <w:rsid w:val="008C26D9"/>
    <w:rsid w:val="008C6D50"/>
    <w:rsid w:val="008C7167"/>
    <w:rsid w:val="008C7503"/>
    <w:rsid w:val="008D1617"/>
    <w:rsid w:val="008E6315"/>
    <w:rsid w:val="008F11E0"/>
    <w:rsid w:val="008F78BC"/>
    <w:rsid w:val="008F7B63"/>
    <w:rsid w:val="008F7D6A"/>
    <w:rsid w:val="009054CB"/>
    <w:rsid w:val="00912F94"/>
    <w:rsid w:val="00923C1D"/>
    <w:rsid w:val="0092590B"/>
    <w:rsid w:val="00925E60"/>
    <w:rsid w:val="009264B3"/>
    <w:rsid w:val="009365E0"/>
    <w:rsid w:val="00940EF9"/>
    <w:rsid w:val="00942BA2"/>
    <w:rsid w:val="00944C86"/>
    <w:rsid w:val="00952DB0"/>
    <w:rsid w:val="00957DE8"/>
    <w:rsid w:val="00960DE1"/>
    <w:rsid w:val="00960ECB"/>
    <w:rsid w:val="009615D6"/>
    <w:rsid w:val="00967855"/>
    <w:rsid w:val="00973C9E"/>
    <w:rsid w:val="00980736"/>
    <w:rsid w:val="00981A39"/>
    <w:rsid w:val="00987097"/>
    <w:rsid w:val="00987236"/>
    <w:rsid w:val="009A3A9C"/>
    <w:rsid w:val="009B046C"/>
    <w:rsid w:val="009B13FA"/>
    <w:rsid w:val="009B1E2D"/>
    <w:rsid w:val="009B5893"/>
    <w:rsid w:val="009C59FB"/>
    <w:rsid w:val="009C6F3B"/>
    <w:rsid w:val="009D1467"/>
    <w:rsid w:val="009E0A3E"/>
    <w:rsid w:val="009E4FA6"/>
    <w:rsid w:val="009E7D93"/>
    <w:rsid w:val="009F0ABE"/>
    <w:rsid w:val="009F4AAB"/>
    <w:rsid w:val="009F5C33"/>
    <w:rsid w:val="00A03EAC"/>
    <w:rsid w:val="00A11CA6"/>
    <w:rsid w:val="00A20C49"/>
    <w:rsid w:val="00A269CA"/>
    <w:rsid w:val="00A336EE"/>
    <w:rsid w:val="00A359AC"/>
    <w:rsid w:val="00A40183"/>
    <w:rsid w:val="00A41413"/>
    <w:rsid w:val="00A45FB1"/>
    <w:rsid w:val="00A46CCC"/>
    <w:rsid w:val="00A51CFE"/>
    <w:rsid w:val="00A76C13"/>
    <w:rsid w:val="00A85CF9"/>
    <w:rsid w:val="00A92E79"/>
    <w:rsid w:val="00A950B6"/>
    <w:rsid w:val="00AB41C1"/>
    <w:rsid w:val="00AC5D87"/>
    <w:rsid w:val="00AD12A8"/>
    <w:rsid w:val="00AE023F"/>
    <w:rsid w:val="00AE33DD"/>
    <w:rsid w:val="00AF3577"/>
    <w:rsid w:val="00AF35F9"/>
    <w:rsid w:val="00B05C7D"/>
    <w:rsid w:val="00B245CD"/>
    <w:rsid w:val="00B346C3"/>
    <w:rsid w:val="00B4471C"/>
    <w:rsid w:val="00B451A6"/>
    <w:rsid w:val="00B722DE"/>
    <w:rsid w:val="00B76C44"/>
    <w:rsid w:val="00B83F87"/>
    <w:rsid w:val="00B9043F"/>
    <w:rsid w:val="00BA2EFA"/>
    <w:rsid w:val="00BA3DBC"/>
    <w:rsid w:val="00BB2DA2"/>
    <w:rsid w:val="00BB56DC"/>
    <w:rsid w:val="00BE183D"/>
    <w:rsid w:val="00BF1D7F"/>
    <w:rsid w:val="00BF5D7A"/>
    <w:rsid w:val="00C02D33"/>
    <w:rsid w:val="00C1232C"/>
    <w:rsid w:val="00C329F3"/>
    <w:rsid w:val="00C36442"/>
    <w:rsid w:val="00C400CE"/>
    <w:rsid w:val="00C410FD"/>
    <w:rsid w:val="00C50084"/>
    <w:rsid w:val="00C5179F"/>
    <w:rsid w:val="00C539FB"/>
    <w:rsid w:val="00C84259"/>
    <w:rsid w:val="00CA246D"/>
    <w:rsid w:val="00CA50D9"/>
    <w:rsid w:val="00CB5636"/>
    <w:rsid w:val="00CF3AD2"/>
    <w:rsid w:val="00D10F21"/>
    <w:rsid w:val="00D24806"/>
    <w:rsid w:val="00D34040"/>
    <w:rsid w:val="00D34E69"/>
    <w:rsid w:val="00D375EE"/>
    <w:rsid w:val="00D62699"/>
    <w:rsid w:val="00D82620"/>
    <w:rsid w:val="00D9725F"/>
    <w:rsid w:val="00DA01B1"/>
    <w:rsid w:val="00DA11A2"/>
    <w:rsid w:val="00DA14ED"/>
    <w:rsid w:val="00DB2EF1"/>
    <w:rsid w:val="00DB3DE1"/>
    <w:rsid w:val="00DB5DA0"/>
    <w:rsid w:val="00DB716C"/>
    <w:rsid w:val="00DC5C85"/>
    <w:rsid w:val="00DD4236"/>
    <w:rsid w:val="00DD44F1"/>
    <w:rsid w:val="00DE3067"/>
    <w:rsid w:val="00E027BC"/>
    <w:rsid w:val="00E0674E"/>
    <w:rsid w:val="00E14EA5"/>
    <w:rsid w:val="00E21133"/>
    <w:rsid w:val="00E2327E"/>
    <w:rsid w:val="00E25DE2"/>
    <w:rsid w:val="00E266EF"/>
    <w:rsid w:val="00E47428"/>
    <w:rsid w:val="00E639CD"/>
    <w:rsid w:val="00E66B9F"/>
    <w:rsid w:val="00E710D6"/>
    <w:rsid w:val="00E76E45"/>
    <w:rsid w:val="00E777C9"/>
    <w:rsid w:val="00E81DA6"/>
    <w:rsid w:val="00E84212"/>
    <w:rsid w:val="00E9086C"/>
    <w:rsid w:val="00E91A0F"/>
    <w:rsid w:val="00E94A71"/>
    <w:rsid w:val="00E9603B"/>
    <w:rsid w:val="00EA03CE"/>
    <w:rsid w:val="00EA23E5"/>
    <w:rsid w:val="00EA4E2E"/>
    <w:rsid w:val="00EB2CCB"/>
    <w:rsid w:val="00EC57A7"/>
    <w:rsid w:val="00ED0817"/>
    <w:rsid w:val="00ED7DD9"/>
    <w:rsid w:val="00EF0E17"/>
    <w:rsid w:val="00EF3113"/>
    <w:rsid w:val="00EF3F84"/>
    <w:rsid w:val="00EF7F32"/>
    <w:rsid w:val="00F11114"/>
    <w:rsid w:val="00F12961"/>
    <w:rsid w:val="00F176AC"/>
    <w:rsid w:val="00F27714"/>
    <w:rsid w:val="00F3276E"/>
    <w:rsid w:val="00F33D3C"/>
    <w:rsid w:val="00F34787"/>
    <w:rsid w:val="00F37A91"/>
    <w:rsid w:val="00F45CF5"/>
    <w:rsid w:val="00F47DB0"/>
    <w:rsid w:val="00F50E34"/>
    <w:rsid w:val="00F53EF7"/>
    <w:rsid w:val="00F54BF2"/>
    <w:rsid w:val="00F61B8E"/>
    <w:rsid w:val="00F92355"/>
    <w:rsid w:val="00F93963"/>
    <w:rsid w:val="00F94291"/>
    <w:rsid w:val="00FB08E1"/>
    <w:rsid w:val="00FB7982"/>
    <w:rsid w:val="00FC0734"/>
    <w:rsid w:val="00FC0FC5"/>
    <w:rsid w:val="00FC588F"/>
    <w:rsid w:val="00FD4FD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5383BDB"/>
  <w15:docId w15:val="{BE8F7BFA-03F2-458B-91D4-C31C43228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link w:val="Heading5Char"/>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5Char">
    <w:name w:val="Heading 5 Char"/>
    <w:basedOn w:val="DefaultParagraphFont"/>
    <w:link w:val="Heading5"/>
    <w:rsid w:val="003161D2"/>
    <w:rPr>
      <w:b/>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B85E7-CE36-4D7D-A932-434612013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18</Pages>
  <Words>6322</Words>
  <Characters>31636</Characters>
  <Application>Microsoft Office Word</Application>
  <DocSecurity>0</DocSecurity>
  <Lines>620</Lines>
  <Paragraphs>209</Paragraphs>
  <ScaleCrop>false</ScaleCrop>
  <HeadingPairs>
    <vt:vector size="2" baseType="variant">
      <vt:variant>
        <vt:lpstr>Title</vt:lpstr>
      </vt:variant>
      <vt:variant>
        <vt:i4>1</vt:i4>
      </vt:variant>
    </vt:vector>
  </HeadingPairs>
  <TitlesOfParts>
    <vt:vector size="1" baseType="lpstr">
      <vt:lpstr>Hill v Zhang [2019] FCA 1562</vt:lpstr>
    </vt:vector>
  </TitlesOfParts>
  <Company>Federal Court of Australia</Company>
  <LinksUpToDate>false</LinksUpToDate>
  <CharactersWithSpaces>37749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 v Zhang [2019] FCA 1562</dc:title>
  <dc:creator>Christina Costello</dc:creator>
  <cp:lastModifiedBy>Amy Chan</cp:lastModifiedBy>
  <cp:revision>5</cp:revision>
  <cp:lastPrinted>2019-09-24T22:13:00Z</cp:lastPrinted>
  <dcterms:created xsi:type="dcterms:W3CDTF">2019-09-25T01:15:00Z</dcterms:created>
  <dcterms:modified xsi:type="dcterms:W3CDTF">2019-09-25T05:11:00Z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GRIFFITHS J</vt:lpwstr>
  </property>
  <property fmtid="{D5CDD505-2E9C-101B-9397-08002B2CF9AE}" pid="4" name="Judgment_dated" linkTarget="Judgment_dated">
    <vt:lpwstr>25 SEPTEMBER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15</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Australian Capital Territory</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Commercial Contracts, Banking, Finance and Insurance</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