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B810" w14:textId="3AD4322F" w:rsidR="00395B24" w:rsidRPr="00942352" w:rsidRDefault="00155C95" w:rsidP="00A22932">
      <w:pPr>
        <w:pStyle w:val="CourtTitle"/>
      </w:pPr>
      <w:r>
        <w:rPr>
          <w:caps w:val="0"/>
        </w:rPr>
        <w:t>FEDERAL COURT OF AUSTRALIA</w:t>
      </w:r>
    </w:p>
    <w:p w14:paraId="12FEFF4E" w14:textId="77777777" w:rsidR="004D7950" w:rsidRPr="00942352" w:rsidRDefault="004D7950">
      <w:pPr>
        <w:pStyle w:val="NormalHeadings"/>
        <w:jc w:val="center"/>
        <w:rPr>
          <w:sz w:val="32"/>
        </w:rPr>
      </w:pPr>
    </w:p>
    <w:bookmarkStart w:id="0" w:name="MNC"/>
    <w:p w14:paraId="5B94FD5F" w14:textId="04D0485F" w:rsidR="00374CC4" w:rsidRPr="00942352" w:rsidRDefault="004A5066" w:rsidP="001A2B40">
      <w:pPr>
        <w:pStyle w:val="MNC"/>
      </w:pPr>
      <w:sdt>
        <w:sdtPr>
          <w:alias w:val="MNC"/>
          <w:tag w:val="MNC"/>
          <w:id w:val="343289786"/>
          <w:lock w:val="sdtLocked"/>
          <w:placeholder>
            <w:docPart w:val="F04B76C637704BA683B50E152F66716D"/>
          </w:placeholder>
          <w:dataBinding w:prefixMappings="xmlns:ns0='http://schemas.globalmacros.com/FCA'" w:xpath="/ns0:root[1]/ns0:Name[1]" w:storeItemID="{687E7CCB-4AA5-44E7-B148-17BA2B6F57C0}"/>
          <w:text w:multiLine="1"/>
        </w:sdtPr>
        <w:sdtContent>
          <w:r w:rsidR="00EE11AC">
            <w:t xml:space="preserve">Kite (Trustee), in the matter of Murray (a </w:t>
          </w:r>
          <w:r w:rsidR="008966C0">
            <w:t>Bankrupt) v Murray [2023] FCA 198</w:t>
          </w:r>
          <w:r w:rsidR="00EE11AC">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RPr="00942352" w14:paraId="4B496430" w14:textId="77777777" w:rsidTr="00B1405D">
        <w:tc>
          <w:tcPr>
            <w:tcW w:w="3084" w:type="dxa"/>
            <w:shd w:val="clear" w:color="auto" w:fill="auto"/>
          </w:tcPr>
          <w:p w14:paraId="7DC8FB87" w14:textId="0FB19991" w:rsidR="00395B24" w:rsidRPr="00942352" w:rsidRDefault="00DD3A72" w:rsidP="00663878">
            <w:pPr>
              <w:pStyle w:val="Normal1linespace"/>
              <w:widowControl w:val="0"/>
              <w:jc w:val="left"/>
            </w:pPr>
            <w:r w:rsidRPr="00942352">
              <w:t>File number</w:t>
            </w:r>
            <w:r w:rsidR="002C7385" w:rsidRPr="00942352">
              <w:t>:</w:t>
            </w:r>
          </w:p>
        </w:tc>
        <w:tc>
          <w:tcPr>
            <w:tcW w:w="5989" w:type="dxa"/>
            <w:shd w:val="clear" w:color="auto" w:fill="auto"/>
          </w:tcPr>
          <w:p w14:paraId="226657F7" w14:textId="77777777" w:rsidR="00395B24" w:rsidRPr="00942352" w:rsidRDefault="004A5066" w:rsidP="00367420">
            <w:pPr>
              <w:pStyle w:val="Normal1linespace"/>
              <w:jc w:val="left"/>
            </w:pPr>
            <w:fldSimple w:instr=" REF  FileNo  \* MERGEFORMAT " w:fldLock="1">
              <w:r w:rsidR="00367420" w:rsidRPr="00942352">
                <w:t>NSD 1330 of 2021</w:t>
              </w:r>
            </w:fldSimple>
          </w:p>
        </w:tc>
      </w:tr>
      <w:tr w:rsidR="00395B24" w:rsidRPr="00942352" w14:paraId="6C0F6F4C" w14:textId="77777777" w:rsidTr="00B1405D">
        <w:tc>
          <w:tcPr>
            <w:tcW w:w="3084" w:type="dxa"/>
            <w:shd w:val="clear" w:color="auto" w:fill="auto"/>
          </w:tcPr>
          <w:p w14:paraId="59956DE3" w14:textId="77777777" w:rsidR="00395B24" w:rsidRPr="00942352" w:rsidRDefault="00395B24" w:rsidP="00663878">
            <w:pPr>
              <w:pStyle w:val="Normal1linespace"/>
              <w:widowControl w:val="0"/>
              <w:jc w:val="left"/>
            </w:pPr>
          </w:p>
        </w:tc>
        <w:tc>
          <w:tcPr>
            <w:tcW w:w="5989" w:type="dxa"/>
            <w:shd w:val="clear" w:color="auto" w:fill="auto"/>
          </w:tcPr>
          <w:p w14:paraId="54A57F3F" w14:textId="77777777" w:rsidR="00395B24" w:rsidRPr="00942352" w:rsidRDefault="00395B24" w:rsidP="00663878">
            <w:pPr>
              <w:pStyle w:val="Normal1linespace"/>
              <w:widowControl w:val="0"/>
              <w:jc w:val="left"/>
            </w:pPr>
          </w:p>
        </w:tc>
      </w:tr>
      <w:tr w:rsidR="00395B24" w:rsidRPr="00942352" w14:paraId="6DC7245C" w14:textId="77777777" w:rsidTr="00B1405D">
        <w:tc>
          <w:tcPr>
            <w:tcW w:w="3084" w:type="dxa"/>
            <w:shd w:val="clear" w:color="auto" w:fill="auto"/>
          </w:tcPr>
          <w:p w14:paraId="272DA787" w14:textId="77777777" w:rsidR="00395B24" w:rsidRPr="00942352" w:rsidRDefault="002C7385" w:rsidP="00663878">
            <w:pPr>
              <w:pStyle w:val="Normal1linespace"/>
              <w:widowControl w:val="0"/>
              <w:jc w:val="left"/>
            </w:pPr>
            <w:r w:rsidRPr="00942352">
              <w:t>Judg</w:t>
            </w:r>
            <w:r w:rsidR="005724F6" w:rsidRPr="00942352">
              <w:t>ment of</w:t>
            </w:r>
            <w:r w:rsidRPr="00942352">
              <w:t>:</w:t>
            </w:r>
          </w:p>
        </w:tc>
        <w:tc>
          <w:tcPr>
            <w:tcW w:w="5989" w:type="dxa"/>
            <w:shd w:val="clear" w:color="auto" w:fill="auto"/>
          </w:tcPr>
          <w:p w14:paraId="1D80B5B2" w14:textId="77777777" w:rsidR="00395B24" w:rsidRPr="00942352" w:rsidRDefault="002C7385" w:rsidP="00663878">
            <w:pPr>
              <w:pStyle w:val="Normal1linespace"/>
              <w:widowControl w:val="0"/>
              <w:jc w:val="left"/>
              <w:rPr>
                <w:b/>
              </w:rPr>
            </w:pPr>
            <w:r w:rsidRPr="00942352">
              <w:rPr>
                <w:b/>
              </w:rPr>
              <w:fldChar w:fldCharType="begin" w:fldLock="1"/>
            </w:r>
            <w:r w:rsidRPr="00942352">
              <w:rPr>
                <w:b/>
              </w:rPr>
              <w:instrText xml:space="preserve"> REF  Judge  \* MERGEFORMAT </w:instrText>
            </w:r>
            <w:r w:rsidRPr="00942352">
              <w:rPr>
                <w:b/>
              </w:rPr>
              <w:fldChar w:fldCharType="separate"/>
            </w:r>
            <w:r w:rsidR="00367420" w:rsidRPr="00942352">
              <w:rPr>
                <w:b/>
                <w:caps/>
                <w:szCs w:val="24"/>
              </w:rPr>
              <w:t>RAPER J</w:t>
            </w:r>
            <w:r w:rsidRPr="00942352">
              <w:rPr>
                <w:b/>
              </w:rPr>
              <w:fldChar w:fldCharType="end"/>
            </w:r>
          </w:p>
        </w:tc>
      </w:tr>
      <w:tr w:rsidR="00395B24" w:rsidRPr="00942352" w14:paraId="1B7559E5" w14:textId="77777777" w:rsidTr="00B1405D">
        <w:tc>
          <w:tcPr>
            <w:tcW w:w="3084" w:type="dxa"/>
            <w:shd w:val="clear" w:color="auto" w:fill="auto"/>
          </w:tcPr>
          <w:p w14:paraId="0BCACE31" w14:textId="77777777" w:rsidR="00395B24" w:rsidRPr="00942352" w:rsidRDefault="00395B24" w:rsidP="00663878">
            <w:pPr>
              <w:pStyle w:val="Normal1linespace"/>
              <w:widowControl w:val="0"/>
              <w:jc w:val="left"/>
            </w:pPr>
          </w:p>
        </w:tc>
        <w:tc>
          <w:tcPr>
            <w:tcW w:w="5989" w:type="dxa"/>
            <w:shd w:val="clear" w:color="auto" w:fill="auto"/>
          </w:tcPr>
          <w:p w14:paraId="7E54EF82" w14:textId="213FB1FD" w:rsidR="00395B24" w:rsidRPr="00942352" w:rsidRDefault="00395B24" w:rsidP="00663878">
            <w:pPr>
              <w:pStyle w:val="Normal1linespace"/>
              <w:widowControl w:val="0"/>
              <w:jc w:val="left"/>
            </w:pPr>
          </w:p>
        </w:tc>
      </w:tr>
      <w:tr w:rsidR="00395B24" w:rsidRPr="00942352" w14:paraId="4A03A2C6" w14:textId="77777777" w:rsidTr="00B1405D">
        <w:tc>
          <w:tcPr>
            <w:tcW w:w="3084" w:type="dxa"/>
            <w:shd w:val="clear" w:color="auto" w:fill="auto"/>
          </w:tcPr>
          <w:p w14:paraId="00066FDA" w14:textId="77777777" w:rsidR="00395B24" w:rsidRPr="00942352" w:rsidRDefault="002C7385" w:rsidP="00663878">
            <w:pPr>
              <w:pStyle w:val="Normal1linespace"/>
              <w:widowControl w:val="0"/>
              <w:jc w:val="left"/>
            </w:pPr>
            <w:r w:rsidRPr="00942352">
              <w:t>Date of judgment:</w:t>
            </w:r>
          </w:p>
        </w:tc>
        <w:tc>
          <w:tcPr>
            <w:tcW w:w="5989" w:type="dxa"/>
            <w:shd w:val="clear" w:color="auto" w:fill="auto"/>
          </w:tcPr>
          <w:p w14:paraId="11FDA084" w14:textId="654EAAA8" w:rsidR="00395B24" w:rsidRPr="00942352" w:rsidRDefault="00BB04FF" w:rsidP="00663878">
            <w:pPr>
              <w:pStyle w:val="Normal1linespace"/>
              <w:widowControl w:val="0"/>
              <w:jc w:val="left"/>
            </w:pPr>
            <w:bookmarkStart w:id="1" w:name="JudgmentDate"/>
            <w:r w:rsidRPr="00942352">
              <w:t>10 March 2023</w:t>
            </w:r>
            <w:bookmarkEnd w:id="1"/>
          </w:p>
        </w:tc>
      </w:tr>
      <w:tr w:rsidR="00395B24" w:rsidRPr="00942352" w14:paraId="222E133A" w14:textId="77777777" w:rsidTr="00B1405D">
        <w:tc>
          <w:tcPr>
            <w:tcW w:w="3084" w:type="dxa"/>
            <w:shd w:val="clear" w:color="auto" w:fill="auto"/>
          </w:tcPr>
          <w:p w14:paraId="08885D9E" w14:textId="77777777" w:rsidR="00395B24" w:rsidRPr="00942352" w:rsidRDefault="00395B24" w:rsidP="00663878">
            <w:pPr>
              <w:pStyle w:val="Normal1linespace"/>
              <w:widowControl w:val="0"/>
              <w:jc w:val="left"/>
            </w:pPr>
          </w:p>
        </w:tc>
        <w:tc>
          <w:tcPr>
            <w:tcW w:w="5989" w:type="dxa"/>
            <w:shd w:val="clear" w:color="auto" w:fill="auto"/>
          </w:tcPr>
          <w:p w14:paraId="727C35EF" w14:textId="77777777" w:rsidR="00395B24" w:rsidRPr="00942352" w:rsidRDefault="00395B24" w:rsidP="00663878">
            <w:pPr>
              <w:pStyle w:val="Normal1linespace"/>
              <w:widowControl w:val="0"/>
              <w:jc w:val="left"/>
            </w:pPr>
          </w:p>
        </w:tc>
      </w:tr>
      <w:tr w:rsidR="00395B24" w:rsidRPr="00942352" w14:paraId="51F97ADF" w14:textId="77777777" w:rsidTr="00B1405D">
        <w:tc>
          <w:tcPr>
            <w:tcW w:w="3084" w:type="dxa"/>
            <w:shd w:val="clear" w:color="auto" w:fill="auto"/>
          </w:tcPr>
          <w:p w14:paraId="5CA46638" w14:textId="77777777" w:rsidR="00395B24" w:rsidRPr="00942352" w:rsidRDefault="002C7385" w:rsidP="00663878">
            <w:pPr>
              <w:pStyle w:val="Normal1linespace"/>
              <w:widowControl w:val="0"/>
              <w:jc w:val="left"/>
            </w:pPr>
            <w:r w:rsidRPr="00942352">
              <w:t>Catchwords:</w:t>
            </w:r>
          </w:p>
        </w:tc>
        <w:tc>
          <w:tcPr>
            <w:tcW w:w="5989" w:type="dxa"/>
            <w:shd w:val="clear" w:color="auto" w:fill="auto"/>
          </w:tcPr>
          <w:p w14:paraId="29F25D7E" w14:textId="7B4C2362" w:rsidR="00395B24" w:rsidRPr="00942352" w:rsidRDefault="001D7DA0" w:rsidP="003F3C36">
            <w:pPr>
              <w:pStyle w:val="Normal1linespace"/>
              <w:widowControl w:val="0"/>
              <w:jc w:val="left"/>
            </w:pPr>
            <w:bookmarkStart w:id="2" w:name="Catchwords"/>
            <w:r w:rsidRPr="00942352">
              <w:rPr>
                <w:b/>
              </w:rPr>
              <w:t>BANKRUPTCY</w:t>
            </w:r>
            <w:r w:rsidR="00715751" w:rsidRPr="00942352">
              <w:t xml:space="preserve"> </w:t>
            </w:r>
            <w:r w:rsidRPr="00942352">
              <w:t>–</w:t>
            </w:r>
            <w:r w:rsidR="000D6841" w:rsidRPr="00942352">
              <w:t xml:space="preserve"> application by the </w:t>
            </w:r>
            <w:r w:rsidR="00412B53" w:rsidRPr="00942352">
              <w:t>t</w:t>
            </w:r>
            <w:r w:rsidR="000D6841" w:rsidRPr="00942352">
              <w:t>rustee</w:t>
            </w:r>
            <w:r w:rsidR="00A014CB" w:rsidRPr="00942352">
              <w:t xml:space="preserve"> in bankruptcy (</w:t>
            </w:r>
            <w:r w:rsidR="00412B53" w:rsidRPr="00942352">
              <w:rPr>
                <w:b/>
              </w:rPr>
              <w:t>t</w:t>
            </w:r>
            <w:r w:rsidR="00A014CB" w:rsidRPr="00942352">
              <w:rPr>
                <w:b/>
              </w:rPr>
              <w:t>rustee</w:t>
            </w:r>
            <w:r w:rsidR="00A014CB" w:rsidRPr="00942352">
              <w:t xml:space="preserve">) to recover a property or an interest in a property – whether the property, or interest in that property, is held on trust for the bankrupt estate – </w:t>
            </w:r>
            <w:r w:rsidR="00921F06" w:rsidRPr="00942352">
              <w:t xml:space="preserve">whether the presumption of advancement applies to the matrimonial home – whether the presumption has been rebutted – where title is placed in the wife’s name only – whether the trustee is entitled to relief under s 139DA of the </w:t>
            </w:r>
            <w:r w:rsidR="00921F06" w:rsidRPr="00942352">
              <w:rPr>
                <w:i/>
              </w:rPr>
              <w:t xml:space="preserve">Bankruptcy Act 1966 </w:t>
            </w:r>
            <w:r w:rsidR="00921F06" w:rsidRPr="00942352">
              <w:t>(</w:t>
            </w:r>
            <w:proofErr w:type="spellStart"/>
            <w:r w:rsidR="00921F06" w:rsidRPr="00942352">
              <w:t>Cth</w:t>
            </w:r>
            <w:proofErr w:type="spellEnd"/>
            <w:r w:rsidR="00921F06" w:rsidRPr="00942352">
              <w:t xml:space="preserve">) </w:t>
            </w:r>
            <w:r w:rsidR="003B1EA7">
              <w:t xml:space="preserve">– </w:t>
            </w:r>
            <w:r w:rsidR="00921F06" w:rsidRPr="00942352">
              <w:t xml:space="preserve"> </w:t>
            </w:r>
            <w:r w:rsidR="00A014CB" w:rsidRPr="00942352">
              <w:t xml:space="preserve">whether the transfer of the property was an undervalued transaction or a transaction to defeat creditors and thus void against the </w:t>
            </w:r>
            <w:r w:rsidR="00412B53" w:rsidRPr="00942352">
              <w:t>t</w:t>
            </w:r>
            <w:r w:rsidR="00A014CB" w:rsidRPr="00942352">
              <w:t>rustee</w:t>
            </w:r>
            <w:r w:rsidR="003B1EA7">
              <w:t xml:space="preserve"> </w:t>
            </w:r>
            <w:r w:rsidR="000D6841" w:rsidRPr="00942352">
              <w:t>– application</w:t>
            </w:r>
            <w:r w:rsidR="003F3C36" w:rsidRPr="00942352">
              <w:t xml:space="preserve"> allowed in part</w:t>
            </w:r>
            <w:r w:rsidR="002C7385" w:rsidRPr="00942352">
              <w:t xml:space="preserve"> </w:t>
            </w:r>
            <w:bookmarkEnd w:id="2"/>
          </w:p>
        </w:tc>
      </w:tr>
      <w:tr w:rsidR="00395B24" w:rsidRPr="00942352" w14:paraId="5C4DC061" w14:textId="77777777" w:rsidTr="00B1405D">
        <w:tc>
          <w:tcPr>
            <w:tcW w:w="3084" w:type="dxa"/>
            <w:shd w:val="clear" w:color="auto" w:fill="auto"/>
          </w:tcPr>
          <w:p w14:paraId="6AEB9D84" w14:textId="77777777" w:rsidR="00395B24" w:rsidRPr="00942352" w:rsidRDefault="00395B24" w:rsidP="00663878">
            <w:pPr>
              <w:pStyle w:val="Normal1linespace"/>
              <w:widowControl w:val="0"/>
              <w:jc w:val="left"/>
            </w:pPr>
          </w:p>
        </w:tc>
        <w:tc>
          <w:tcPr>
            <w:tcW w:w="5989" w:type="dxa"/>
            <w:shd w:val="clear" w:color="auto" w:fill="auto"/>
          </w:tcPr>
          <w:p w14:paraId="6C06CF5B" w14:textId="77777777" w:rsidR="00395B24" w:rsidRPr="00942352" w:rsidRDefault="00395B24" w:rsidP="00663878">
            <w:pPr>
              <w:pStyle w:val="Normal1linespace"/>
              <w:widowControl w:val="0"/>
              <w:jc w:val="left"/>
            </w:pPr>
          </w:p>
        </w:tc>
      </w:tr>
      <w:tr w:rsidR="00395B24" w:rsidRPr="00942352" w14:paraId="5B8AB197" w14:textId="77777777" w:rsidTr="00B1405D">
        <w:tc>
          <w:tcPr>
            <w:tcW w:w="3084" w:type="dxa"/>
            <w:shd w:val="clear" w:color="auto" w:fill="auto"/>
          </w:tcPr>
          <w:p w14:paraId="2DDA3FDA" w14:textId="77777777" w:rsidR="00395B24" w:rsidRPr="00942352" w:rsidRDefault="002C7385" w:rsidP="00663878">
            <w:pPr>
              <w:pStyle w:val="Normal1linespace"/>
              <w:widowControl w:val="0"/>
              <w:jc w:val="left"/>
            </w:pPr>
            <w:r w:rsidRPr="00942352">
              <w:t>Legislation:</w:t>
            </w:r>
          </w:p>
        </w:tc>
        <w:tc>
          <w:tcPr>
            <w:tcW w:w="5989" w:type="dxa"/>
            <w:shd w:val="clear" w:color="auto" w:fill="auto"/>
          </w:tcPr>
          <w:p w14:paraId="78B377EF" w14:textId="77777777" w:rsidR="000B0BF0" w:rsidRPr="000B0BF0" w:rsidRDefault="000B0BF0" w:rsidP="000B0BF0">
            <w:pPr>
              <w:pStyle w:val="CasesLegislationAppealFrom"/>
              <w:spacing w:after="60"/>
              <w:rPr>
                <w:lang w:eastAsia="en-AU"/>
              </w:rPr>
            </w:pPr>
            <w:bookmarkStart w:id="3" w:name="Legislation"/>
            <w:r w:rsidRPr="000B0BF0">
              <w:rPr>
                <w:i/>
                <w:lang w:eastAsia="en-AU"/>
              </w:rPr>
              <w:t>Bankruptcy Act 1924</w:t>
            </w:r>
            <w:r w:rsidRPr="000B0BF0">
              <w:rPr>
                <w:lang w:eastAsia="en-AU"/>
              </w:rPr>
              <w:t xml:space="preserve"> (</w:t>
            </w:r>
            <w:proofErr w:type="spellStart"/>
            <w:r w:rsidRPr="000B0BF0">
              <w:rPr>
                <w:lang w:eastAsia="en-AU"/>
              </w:rPr>
              <w:t>Cth</w:t>
            </w:r>
            <w:proofErr w:type="spellEnd"/>
            <w:r w:rsidRPr="000B0BF0">
              <w:rPr>
                <w:lang w:eastAsia="en-AU"/>
              </w:rPr>
              <w:t>) s 95</w:t>
            </w:r>
          </w:p>
          <w:p w14:paraId="180D0CC7" w14:textId="2FA66A8B" w:rsidR="000B0BF0" w:rsidRPr="000B0BF0" w:rsidRDefault="000B0BF0" w:rsidP="000B0BF0">
            <w:pPr>
              <w:pStyle w:val="CasesLegislationAppealFrom"/>
              <w:spacing w:after="60"/>
            </w:pPr>
            <w:r w:rsidRPr="000B0BF0">
              <w:rPr>
                <w:i/>
              </w:rPr>
              <w:t>Bankruptcy Act 1966</w:t>
            </w:r>
            <w:r w:rsidRPr="000B0BF0">
              <w:t xml:space="preserve"> (</w:t>
            </w:r>
            <w:proofErr w:type="spellStart"/>
            <w:r w:rsidRPr="000B0BF0">
              <w:t>Cth</w:t>
            </w:r>
            <w:proofErr w:type="spellEnd"/>
            <w:r w:rsidRPr="000B0BF0">
              <w:t xml:space="preserve">) </w:t>
            </w:r>
            <w:proofErr w:type="spellStart"/>
            <w:r w:rsidRPr="000B0BF0">
              <w:t>ss</w:t>
            </w:r>
            <w:proofErr w:type="spellEnd"/>
            <w:r w:rsidRPr="000B0BF0">
              <w:t xml:space="preserve"> 55,</w:t>
            </w:r>
            <w:r w:rsidR="004A2D60">
              <w:t xml:space="preserve"> 77C, 120, 120(1), 120(7), 121,</w:t>
            </w:r>
            <w:r w:rsidRPr="000B0BF0">
              <w:t xml:space="preserve"> 121(1)(b), 121(2), 121(4), 121(9), 121(9)(a), 122, 139A, 139CA, 139D, 139D(2), 139D(3), 139DA, 139DA(a), 139EA, 139F,  267G, </w:t>
            </w:r>
            <w:proofErr w:type="spellStart"/>
            <w:r w:rsidRPr="000B0BF0">
              <w:t>Div</w:t>
            </w:r>
            <w:proofErr w:type="spellEnd"/>
            <w:r w:rsidRPr="000B0BF0">
              <w:t xml:space="preserve"> 4A</w:t>
            </w:r>
          </w:p>
          <w:p w14:paraId="47AFF8FF" w14:textId="77777777" w:rsidR="000B0BF0" w:rsidRPr="000B0BF0" w:rsidRDefault="000B0BF0" w:rsidP="000B0BF0">
            <w:pPr>
              <w:pStyle w:val="CasesLegislationAppealFrom"/>
              <w:spacing w:after="60"/>
              <w:rPr>
                <w:lang w:eastAsia="en-AU"/>
              </w:rPr>
            </w:pPr>
            <w:r w:rsidRPr="000B0BF0">
              <w:rPr>
                <w:i/>
                <w:lang w:eastAsia="en-AU"/>
              </w:rPr>
              <w:t xml:space="preserve">Bankruptcy Legislation Amendment (Anti-avoidance) Act 2006 </w:t>
            </w:r>
            <w:r w:rsidRPr="000B0BF0">
              <w:rPr>
                <w:lang w:eastAsia="en-AU"/>
              </w:rPr>
              <w:t>(</w:t>
            </w:r>
            <w:proofErr w:type="spellStart"/>
            <w:r w:rsidRPr="000B0BF0">
              <w:rPr>
                <w:lang w:eastAsia="en-AU"/>
              </w:rPr>
              <w:t>Cth</w:t>
            </w:r>
            <w:proofErr w:type="spellEnd"/>
            <w:r w:rsidRPr="000B0BF0">
              <w:rPr>
                <w:lang w:eastAsia="en-AU"/>
              </w:rPr>
              <w:t xml:space="preserve">) </w:t>
            </w:r>
            <w:proofErr w:type="spellStart"/>
            <w:r w:rsidRPr="000B0BF0">
              <w:rPr>
                <w:lang w:eastAsia="en-AU"/>
              </w:rPr>
              <w:t>Sch</w:t>
            </w:r>
            <w:proofErr w:type="spellEnd"/>
            <w:r w:rsidRPr="000B0BF0">
              <w:rPr>
                <w:lang w:eastAsia="en-AU"/>
              </w:rPr>
              <w:t xml:space="preserve"> 1 item 20</w:t>
            </w:r>
          </w:p>
          <w:p w14:paraId="44F02C26" w14:textId="7878AA50" w:rsidR="000B0BF0" w:rsidRPr="000B0BF0" w:rsidRDefault="000B0BF0" w:rsidP="000B0BF0">
            <w:pPr>
              <w:pStyle w:val="CasesLegislationAppealFrom"/>
              <w:spacing w:after="60"/>
              <w:rPr>
                <w:lang w:eastAsia="en-AU"/>
              </w:rPr>
            </w:pPr>
            <w:r w:rsidRPr="000B0BF0">
              <w:rPr>
                <w:i/>
                <w:lang w:eastAsia="en-AU"/>
              </w:rPr>
              <w:t>Corporations Act 2001</w:t>
            </w:r>
            <w:r w:rsidR="004A2D60">
              <w:rPr>
                <w:lang w:eastAsia="en-AU"/>
              </w:rPr>
              <w:t xml:space="preserve"> (</w:t>
            </w:r>
            <w:proofErr w:type="spellStart"/>
            <w:r w:rsidR="004A2D60">
              <w:rPr>
                <w:lang w:eastAsia="en-AU"/>
              </w:rPr>
              <w:t>Cth</w:t>
            </w:r>
            <w:proofErr w:type="spellEnd"/>
            <w:r w:rsidR="004A2D60">
              <w:rPr>
                <w:lang w:eastAsia="en-AU"/>
              </w:rPr>
              <w:t>) s 588FA(3), 588FF</w:t>
            </w:r>
          </w:p>
          <w:p w14:paraId="3ED9E225" w14:textId="77777777" w:rsidR="0027695E" w:rsidRPr="000B0BF0" w:rsidRDefault="0027695E" w:rsidP="0027695E">
            <w:pPr>
              <w:pStyle w:val="CasesLegislationAppealFrom"/>
              <w:spacing w:after="60"/>
              <w:rPr>
                <w:lang w:eastAsia="en-AU"/>
              </w:rPr>
            </w:pPr>
            <w:r w:rsidRPr="000B0BF0">
              <w:rPr>
                <w:lang w:eastAsia="en-AU"/>
              </w:rPr>
              <w:t>Explanatory Memorandum, Bankruptcy Amendment Bill 1987 (</w:t>
            </w:r>
            <w:proofErr w:type="spellStart"/>
            <w:r w:rsidRPr="000B0BF0">
              <w:rPr>
                <w:lang w:eastAsia="en-AU"/>
              </w:rPr>
              <w:t>Cth</w:t>
            </w:r>
            <w:proofErr w:type="spellEnd"/>
            <w:r w:rsidRPr="000B0BF0">
              <w:rPr>
                <w:lang w:eastAsia="en-AU"/>
              </w:rPr>
              <w:t>)</w:t>
            </w:r>
          </w:p>
          <w:p w14:paraId="0DB5E7B4" w14:textId="1A30FCED" w:rsidR="0027695E" w:rsidRPr="000B0BF0" w:rsidRDefault="0027695E" w:rsidP="000B0BF0">
            <w:pPr>
              <w:pStyle w:val="CasesLegislationAppealFrom"/>
              <w:spacing w:after="60"/>
              <w:rPr>
                <w:lang w:eastAsia="en-AU"/>
              </w:rPr>
            </w:pPr>
            <w:r w:rsidRPr="000B0BF0">
              <w:rPr>
                <w:lang w:eastAsia="en-AU"/>
              </w:rPr>
              <w:t>Explanatory Memorandum, Bankruptcy Legislation Amendment (</w:t>
            </w:r>
            <w:r>
              <w:rPr>
                <w:lang w:eastAsia="en-AU"/>
              </w:rPr>
              <w:t>Anti-Avoidance) Bill 2005 (</w:t>
            </w:r>
            <w:proofErr w:type="spellStart"/>
            <w:r>
              <w:rPr>
                <w:lang w:eastAsia="en-AU"/>
              </w:rPr>
              <w:t>Cth</w:t>
            </w:r>
            <w:proofErr w:type="spellEnd"/>
            <w:r>
              <w:rPr>
                <w:lang w:eastAsia="en-AU"/>
              </w:rPr>
              <w:t>)</w:t>
            </w:r>
          </w:p>
          <w:p w14:paraId="7A91BF3F" w14:textId="4B306276" w:rsidR="0027695E" w:rsidRPr="0027695E" w:rsidRDefault="0027695E" w:rsidP="000B0BF0">
            <w:pPr>
              <w:pStyle w:val="CasesLegislationAppealFrom"/>
              <w:spacing w:after="60"/>
              <w:rPr>
                <w:lang w:eastAsia="en-AU"/>
              </w:rPr>
            </w:pPr>
            <w:r w:rsidRPr="000B0BF0">
              <w:rPr>
                <w:i/>
                <w:lang w:eastAsia="en-AU"/>
              </w:rPr>
              <w:t>Succession Act 2010</w:t>
            </w:r>
            <w:r w:rsidRPr="000B0BF0">
              <w:rPr>
                <w:lang w:eastAsia="en-AU"/>
              </w:rPr>
              <w:t xml:space="preserve"> (NSW) </w:t>
            </w:r>
          </w:p>
          <w:p w14:paraId="28D05647" w14:textId="316B4062" w:rsidR="000B0BF0" w:rsidRPr="000B0BF0" w:rsidRDefault="000B0BF0" w:rsidP="000B0BF0">
            <w:pPr>
              <w:pStyle w:val="CasesLegislationAppealFrom"/>
              <w:spacing w:after="60"/>
              <w:rPr>
                <w:lang w:eastAsia="en-AU"/>
              </w:rPr>
            </w:pPr>
            <w:r w:rsidRPr="000B0BF0">
              <w:rPr>
                <w:i/>
              </w:rPr>
              <w:t>Supreme Court Act 1986</w:t>
            </w:r>
            <w:r w:rsidRPr="000B0BF0">
              <w:t xml:space="preserve"> (Vic</w:t>
            </w:r>
            <w:r>
              <w:t xml:space="preserve">) </w:t>
            </w:r>
            <w:proofErr w:type="spellStart"/>
            <w:r>
              <w:t>ss</w:t>
            </w:r>
            <w:proofErr w:type="spellEnd"/>
            <w:r>
              <w:t xml:space="preserve"> 33KA, 33ZF</w:t>
            </w:r>
            <w:bookmarkEnd w:id="3"/>
          </w:p>
        </w:tc>
      </w:tr>
      <w:tr w:rsidR="00395B24" w:rsidRPr="00942352" w14:paraId="070D7AAC" w14:textId="77777777" w:rsidTr="00B1405D">
        <w:tc>
          <w:tcPr>
            <w:tcW w:w="3084" w:type="dxa"/>
            <w:shd w:val="clear" w:color="auto" w:fill="auto"/>
          </w:tcPr>
          <w:p w14:paraId="72CBD8DA" w14:textId="77777777" w:rsidR="00395B24" w:rsidRPr="00942352" w:rsidRDefault="00395B24" w:rsidP="00663878">
            <w:pPr>
              <w:pStyle w:val="Normal1linespace"/>
              <w:widowControl w:val="0"/>
              <w:jc w:val="left"/>
            </w:pPr>
          </w:p>
        </w:tc>
        <w:tc>
          <w:tcPr>
            <w:tcW w:w="5989" w:type="dxa"/>
            <w:shd w:val="clear" w:color="auto" w:fill="auto"/>
          </w:tcPr>
          <w:p w14:paraId="114B0BB9" w14:textId="77777777" w:rsidR="00395B24" w:rsidRPr="00942352" w:rsidRDefault="00395B24" w:rsidP="00663878">
            <w:pPr>
              <w:pStyle w:val="Normal1linespace"/>
              <w:widowControl w:val="0"/>
              <w:jc w:val="left"/>
            </w:pPr>
          </w:p>
        </w:tc>
      </w:tr>
      <w:tr w:rsidR="00395B24" w:rsidRPr="00942352" w14:paraId="7E6CB691" w14:textId="77777777" w:rsidTr="00B1405D">
        <w:tc>
          <w:tcPr>
            <w:tcW w:w="3084" w:type="dxa"/>
            <w:shd w:val="clear" w:color="auto" w:fill="auto"/>
          </w:tcPr>
          <w:p w14:paraId="2B27D062" w14:textId="77777777" w:rsidR="00395B24" w:rsidRPr="00942352" w:rsidRDefault="002C7385" w:rsidP="00663878">
            <w:pPr>
              <w:pStyle w:val="Normal1linespace"/>
              <w:widowControl w:val="0"/>
              <w:jc w:val="left"/>
            </w:pPr>
            <w:r w:rsidRPr="00942352">
              <w:t>Cases cited:</w:t>
            </w:r>
          </w:p>
        </w:tc>
        <w:tc>
          <w:tcPr>
            <w:tcW w:w="5989" w:type="dxa"/>
            <w:shd w:val="clear" w:color="auto" w:fill="auto"/>
          </w:tcPr>
          <w:p w14:paraId="069E5601" w14:textId="77777777" w:rsidR="000B0BF0" w:rsidRPr="000B0BF0" w:rsidRDefault="000B0BF0" w:rsidP="000B0BF0">
            <w:pPr>
              <w:pStyle w:val="CasesLegislationAppealFrom"/>
              <w:spacing w:after="60"/>
            </w:pPr>
            <w:bookmarkStart w:id="4" w:name="Cases_Cited"/>
            <w:proofErr w:type="spellStart"/>
            <w:r w:rsidRPr="000B0BF0">
              <w:rPr>
                <w:i/>
              </w:rPr>
              <w:t>Airservices</w:t>
            </w:r>
            <w:proofErr w:type="spellEnd"/>
            <w:r w:rsidRPr="000B0BF0">
              <w:rPr>
                <w:i/>
              </w:rPr>
              <w:t xml:space="preserve"> Australia v Ferrier</w:t>
            </w:r>
            <w:r w:rsidRPr="000B0BF0">
              <w:t xml:space="preserve"> [1996] HCA 54; 185 CLR 483</w:t>
            </w:r>
          </w:p>
          <w:p w14:paraId="03562029" w14:textId="77777777" w:rsidR="000B0BF0" w:rsidRPr="000B0BF0" w:rsidRDefault="000B0BF0" w:rsidP="000B0BF0">
            <w:pPr>
              <w:pStyle w:val="CasesLegislationAppealFrom"/>
              <w:spacing w:after="60"/>
              <w:rPr>
                <w:lang w:eastAsia="en-AU"/>
              </w:rPr>
            </w:pPr>
            <w:r w:rsidRPr="000B0BF0">
              <w:rPr>
                <w:i/>
                <w:lang w:eastAsia="en-AU"/>
              </w:rPr>
              <w:t xml:space="preserve">Birdseye v </w:t>
            </w:r>
            <w:proofErr w:type="spellStart"/>
            <w:r w:rsidRPr="000B0BF0">
              <w:rPr>
                <w:i/>
                <w:lang w:eastAsia="en-AU"/>
              </w:rPr>
              <w:t>Sheahan</w:t>
            </w:r>
            <w:proofErr w:type="spellEnd"/>
            <w:r w:rsidRPr="000B0BF0">
              <w:rPr>
                <w:i/>
                <w:lang w:eastAsia="en-AU"/>
              </w:rPr>
              <w:t xml:space="preserve"> </w:t>
            </w:r>
            <w:r w:rsidRPr="000B0BF0">
              <w:rPr>
                <w:lang w:eastAsia="en-AU"/>
              </w:rPr>
              <w:t>[2002] FCA 1319; 196 ALR 598</w:t>
            </w:r>
          </w:p>
          <w:p w14:paraId="1A1C766D" w14:textId="77777777" w:rsidR="000B0BF0" w:rsidRPr="000B0BF0" w:rsidRDefault="000B0BF0" w:rsidP="000B0BF0">
            <w:pPr>
              <w:pStyle w:val="CasesLegislationAppealFrom"/>
              <w:spacing w:after="60"/>
              <w:rPr>
                <w:lang w:eastAsia="en-AU"/>
              </w:rPr>
            </w:pPr>
            <w:proofErr w:type="spellStart"/>
            <w:r w:rsidRPr="000B0BF0">
              <w:rPr>
                <w:i/>
                <w:lang w:eastAsia="en-AU"/>
              </w:rPr>
              <w:t>Bosanac</w:t>
            </w:r>
            <w:proofErr w:type="spellEnd"/>
            <w:r w:rsidRPr="000B0BF0">
              <w:rPr>
                <w:i/>
                <w:lang w:eastAsia="en-AU"/>
              </w:rPr>
              <w:t xml:space="preserve"> v Commissioner of Taxation</w:t>
            </w:r>
            <w:r w:rsidRPr="000B0BF0">
              <w:rPr>
                <w:lang w:eastAsia="en-AU"/>
              </w:rPr>
              <w:t xml:space="preserve"> [2022] HCA 34; 96 ALJR 976</w:t>
            </w:r>
          </w:p>
          <w:p w14:paraId="50F7E98C" w14:textId="77777777" w:rsidR="000B0BF0" w:rsidRPr="000B0BF0" w:rsidRDefault="000B0BF0" w:rsidP="000B0BF0">
            <w:pPr>
              <w:pStyle w:val="CasesLegislationAppealFrom"/>
              <w:spacing w:after="60"/>
              <w:rPr>
                <w:lang w:eastAsia="en-AU"/>
              </w:rPr>
            </w:pPr>
            <w:r w:rsidRPr="000B0BF0">
              <w:rPr>
                <w:i/>
                <w:lang w:eastAsia="en-AU"/>
              </w:rPr>
              <w:t xml:space="preserve">Bryant (in their capacities as joint and several liquidators of </w:t>
            </w:r>
            <w:proofErr w:type="spellStart"/>
            <w:r w:rsidRPr="000B0BF0">
              <w:rPr>
                <w:i/>
                <w:lang w:eastAsia="en-AU"/>
              </w:rPr>
              <w:t>Gunns</w:t>
            </w:r>
            <w:proofErr w:type="spellEnd"/>
            <w:r w:rsidRPr="000B0BF0">
              <w:rPr>
                <w:i/>
                <w:lang w:eastAsia="en-AU"/>
              </w:rPr>
              <w:t xml:space="preserve"> Ltd (in </w:t>
            </w:r>
            <w:proofErr w:type="spellStart"/>
            <w:r w:rsidRPr="000B0BF0">
              <w:rPr>
                <w:i/>
                <w:lang w:eastAsia="en-AU"/>
              </w:rPr>
              <w:t>liq</w:t>
            </w:r>
            <w:proofErr w:type="spellEnd"/>
            <w:r w:rsidRPr="000B0BF0">
              <w:rPr>
                <w:i/>
                <w:lang w:eastAsia="en-AU"/>
              </w:rPr>
              <w:t xml:space="preserve">) (recs and </w:t>
            </w:r>
            <w:proofErr w:type="spellStart"/>
            <w:r w:rsidRPr="000B0BF0">
              <w:rPr>
                <w:i/>
                <w:lang w:eastAsia="en-AU"/>
              </w:rPr>
              <w:t>mgrs</w:t>
            </w:r>
            <w:proofErr w:type="spellEnd"/>
            <w:r w:rsidRPr="000B0BF0">
              <w:rPr>
                <w:i/>
                <w:lang w:eastAsia="en-AU"/>
              </w:rPr>
              <w:t xml:space="preserve"> </w:t>
            </w:r>
            <w:proofErr w:type="spellStart"/>
            <w:r w:rsidRPr="000B0BF0">
              <w:rPr>
                <w:i/>
                <w:lang w:eastAsia="en-AU"/>
              </w:rPr>
              <w:t>apptd</w:t>
            </w:r>
            <w:proofErr w:type="spellEnd"/>
            <w:r w:rsidRPr="000B0BF0">
              <w:rPr>
                <w:i/>
                <w:lang w:eastAsia="en-AU"/>
              </w:rPr>
              <w:t xml:space="preserve">) (ACN 009 478 </w:t>
            </w:r>
            <w:r w:rsidRPr="000B0BF0">
              <w:rPr>
                <w:i/>
                <w:lang w:eastAsia="en-AU"/>
              </w:rPr>
              <w:lastRenderedPageBreak/>
              <w:t xml:space="preserve">148) v </w:t>
            </w:r>
            <w:proofErr w:type="spellStart"/>
            <w:r w:rsidRPr="000B0BF0">
              <w:rPr>
                <w:i/>
                <w:lang w:eastAsia="en-AU"/>
              </w:rPr>
              <w:t>Edenborn</w:t>
            </w:r>
            <w:proofErr w:type="spellEnd"/>
            <w:r w:rsidRPr="000B0BF0">
              <w:rPr>
                <w:i/>
                <w:lang w:eastAsia="en-AU"/>
              </w:rPr>
              <w:t xml:space="preserve"> Pty Ltd </w:t>
            </w:r>
            <w:r w:rsidRPr="000B0BF0">
              <w:rPr>
                <w:lang w:eastAsia="en-AU"/>
              </w:rPr>
              <w:t>[2020] FCA 715; 381 ALR 190</w:t>
            </w:r>
          </w:p>
          <w:p w14:paraId="51C7714E" w14:textId="77777777" w:rsidR="000B0BF0" w:rsidRPr="000B0BF0" w:rsidRDefault="000B0BF0" w:rsidP="000B0BF0">
            <w:pPr>
              <w:pStyle w:val="CasesLegislationAppealFrom"/>
              <w:spacing w:after="60"/>
              <w:rPr>
                <w:lang w:eastAsia="en-AU"/>
              </w:rPr>
            </w:pPr>
            <w:r w:rsidRPr="000B0BF0">
              <w:rPr>
                <w:i/>
                <w:lang w:eastAsia="en-AU"/>
              </w:rPr>
              <w:t>Bryant v Badenoch Integrated Logging Pty Ltd</w:t>
            </w:r>
            <w:r w:rsidRPr="000B0BF0">
              <w:rPr>
                <w:lang w:eastAsia="en-AU"/>
              </w:rPr>
              <w:t xml:space="preserve"> [2023] HCA 2</w:t>
            </w:r>
          </w:p>
          <w:p w14:paraId="6B52A82E" w14:textId="77777777" w:rsidR="000B0BF0" w:rsidRPr="000B0BF0" w:rsidRDefault="000B0BF0" w:rsidP="000B0BF0">
            <w:pPr>
              <w:pStyle w:val="CasesLegislationAppealFrom"/>
              <w:spacing w:after="60"/>
              <w:rPr>
                <w:lang w:eastAsia="en-AU"/>
              </w:rPr>
            </w:pPr>
            <w:r w:rsidRPr="000B0BF0">
              <w:rPr>
                <w:i/>
                <w:lang w:eastAsia="en-AU"/>
              </w:rPr>
              <w:t xml:space="preserve">Calverley v Green </w:t>
            </w:r>
            <w:r w:rsidRPr="000B0BF0">
              <w:rPr>
                <w:lang w:eastAsia="en-AU"/>
              </w:rPr>
              <w:t>[1984] HCA 81; 155 CLR 242</w:t>
            </w:r>
          </w:p>
          <w:p w14:paraId="5D0AEDA9" w14:textId="77777777" w:rsidR="000B0BF0" w:rsidRPr="000B0BF0" w:rsidRDefault="000B0BF0" w:rsidP="000B0BF0">
            <w:pPr>
              <w:pStyle w:val="CasesLegislationAppealFrom"/>
              <w:spacing w:after="60"/>
            </w:pPr>
            <w:proofErr w:type="spellStart"/>
            <w:r w:rsidRPr="000B0BF0">
              <w:rPr>
                <w:i/>
              </w:rPr>
              <w:t>Camm</w:t>
            </w:r>
            <w:proofErr w:type="spellEnd"/>
            <w:r w:rsidRPr="000B0BF0">
              <w:rPr>
                <w:i/>
              </w:rPr>
              <w:t xml:space="preserve"> v </w:t>
            </w:r>
            <w:proofErr w:type="spellStart"/>
            <w:r w:rsidRPr="000B0BF0">
              <w:rPr>
                <w:i/>
              </w:rPr>
              <w:t>Linke</w:t>
            </w:r>
            <w:proofErr w:type="spellEnd"/>
            <w:r w:rsidRPr="000B0BF0">
              <w:rPr>
                <w:i/>
              </w:rPr>
              <w:t xml:space="preserve"> Nominees Pty Ltd </w:t>
            </w:r>
            <w:r w:rsidRPr="000B0BF0">
              <w:t>[2010] FCA 1148; 190 FCR 193</w:t>
            </w:r>
          </w:p>
          <w:p w14:paraId="074C5D77" w14:textId="77777777" w:rsidR="000B0BF0" w:rsidRPr="000B0BF0" w:rsidRDefault="000B0BF0" w:rsidP="000B0BF0">
            <w:pPr>
              <w:pStyle w:val="CasesLegislationAppealFrom"/>
              <w:spacing w:after="60"/>
            </w:pPr>
            <w:r w:rsidRPr="000B0BF0">
              <w:rPr>
                <w:i/>
              </w:rPr>
              <w:t xml:space="preserve">Clarke v Great Southern Finance Pty Ltd (in liquidation) </w:t>
            </w:r>
            <w:r w:rsidRPr="000B0BF0">
              <w:t>[2014] VSC 569</w:t>
            </w:r>
          </w:p>
          <w:p w14:paraId="17AA5561" w14:textId="77777777" w:rsidR="000B0BF0" w:rsidRPr="000B0BF0" w:rsidRDefault="000B0BF0" w:rsidP="000B0BF0">
            <w:pPr>
              <w:pStyle w:val="CasesLegislationAppealFrom"/>
              <w:spacing w:after="60"/>
            </w:pPr>
            <w:r w:rsidRPr="000B0BF0">
              <w:rPr>
                <w:i/>
              </w:rPr>
              <w:t>Combis (Trustee) v Spottiswood (No 2)</w:t>
            </w:r>
            <w:r w:rsidRPr="000B0BF0">
              <w:t xml:space="preserve"> [2013] FCA 240; 11 ABC(NS) 407</w:t>
            </w:r>
          </w:p>
          <w:p w14:paraId="7C9A3816" w14:textId="77777777" w:rsidR="000B0BF0" w:rsidRPr="000B0BF0" w:rsidRDefault="000B0BF0" w:rsidP="000B0BF0">
            <w:pPr>
              <w:pStyle w:val="CasesLegislationAppealFrom"/>
              <w:spacing w:after="60"/>
              <w:rPr>
                <w:szCs w:val="24"/>
              </w:rPr>
            </w:pPr>
            <w:r w:rsidRPr="000B0BF0">
              <w:rPr>
                <w:i/>
                <w:szCs w:val="24"/>
              </w:rPr>
              <w:t xml:space="preserve">D Pty Ltd (in </w:t>
            </w:r>
            <w:proofErr w:type="spellStart"/>
            <w:r w:rsidRPr="000B0BF0">
              <w:rPr>
                <w:i/>
                <w:szCs w:val="24"/>
              </w:rPr>
              <w:t>liq</w:t>
            </w:r>
            <w:proofErr w:type="spellEnd"/>
            <w:r w:rsidRPr="000B0BF0">
              <w:rPr>
                <w:i/>
                <w:szCs w:val="24"/>
              </w:rPr>
              <w:t xml:space="preserve">) v </w:t>
            </w:r>
            <w:proofErr w:type="spellStart"/>
            <w:r w:rsidRPr="000B0BF0">
              <w:rPr>
                <w:i/>
                <w:szCs w:val="24"/>
              </w:rPr>
              <w:t>Calas</w:t>
            </w:r>
            <w:proofErr w:type="spellEnd"/>
            <w:r w:rsidRPr="000B0BF0">
              <w:rPr>
                <w:szCs w:val="24"/>
              </w:rPr>
              <w:t xml:space="preserve"> [2016] FCA 1409; 12 BFRA 151</w:t>
            </w:r>
          </w:p>
          <w:p w14:paraId="436699A1" w14:textId="77777777" w:rsidR="000B0BF0" w:rsidRPr="000B0BF0" w:rsidRDefault="000B0BF0" w:rsidP="000B0BF0">
            <w:pPr>
              <w:pStyle w:val="CasesLegislationAppealFrom"/>
              <w:spacing w:after="60"/>
              <w:rPr>
                <w:lang w:eastAsia="en-AU"/>
              </w:rPr>
            </w:pPr>
            <w:r w:rsidRPr="000B0BF0">
              <w:rPr>
                <w:i/>
                <w:lang w:eastAsia="en-AU"/>
              </w:rPr>
              <w:t xml:space="preserve">Great Investments Ltd and Others v Warner and Others </w:t>
            </w:r>
            <w:r w:rsidRPr="000B0BF0">
              <w:rPr>
                <w:lang w:eastAsia="en-AU"/>
              </w:rPr>
              <w:t>[2016] FCAFC 85; 243 FCR 516</w:t>
            </w:r>
          </w:p>
          <w:p w14:paraId="52209638" w14:textId="77777777" w:rsidR="000B0BF0" w:rsidRPr="000B0BF0" w:rsidRDefault="000B0BF0" w:rsidP="000B0BF0">
            <w:pPr>
              <w:pStyle w:val="CasesLegislationAppealFrom"/>
              <w:spacing w:after="60"/>
              <w:rPr>
                <w:lang w:eastAsia="en-AU"/>
              </w:rPr>
            </w:pPr>
            <w:r w:rsidRPr="000B0BF0">
              <w:rPr>
                <w:i/>
                <w:lang w:eastAsia="en-AU"/>
              </w:rPr>
              <w:t xml:space="preserve">Griffin &amp; Khatri v Milne &amp; Anor </w:t>
            </w:r>
            <w:r w:rsidRPr="000B0BF0">
              <w:rPr>
                <w:lang w:eastAsia="en-AU"/>
              </w:rPr>
              <w:t>[2009] FMCA 680</w:t>
            </w:r>
          </w:p>
          <w:p w14:paraId="472FCF4A" w14:textId="77777777" w:rsidR="000B0BF0" w:rsidRPr="000B0BF0" w:rsidRDefault="000B0BF0" w:rsidP="000B0BF0">
            <w:pPr>
              <w:pStyle w:val="CasesLegislationAppealFrom"/>
              <w:spacing w:after="60"/>
              <w:rPr>
                <w:lang w:eastAsia="en-AU"/>
              </w:rPr>
            </w:pPr>
            <w:r w:rsidRPr="000B0BF0">
              <w:rPr>
                <w:i/>
                <w:lang w:eastAsia="en-AU"/>
              </w:rPr>
              <w:t xml:space="preserve">Jess (Trustee), in the matter of </w:t>
            </w:r>
            <w:proofErr w:type="spellStart"/>
            <w:r w:rsidRPr="000B0BF0">
              <w:rPr>
                <w:i/>
                <w:lang w:eastAsia="en-AU"/>
              </w:rPr>
              <w:t>Lostitch</w:t>
            </w:r>
            <w:proofErr w:type="spellEnd"/>
            <w:r w:rsidRPr="000B0BF0">
              <w:rPr>
                <w:i/>
                <w:lang w:eastAsia="en-AU"/>
              </w:rPr>
              <w:t xml:space="preserve"> (Bankrupt) v </w:t>
            </w:r>
            <w:proofErr w:type="spellStart"/>
            <w:r w:rsidRPr="000B0BF0">
              <w:rPr>
                <w:i/>
                <w:lang w:eastAsia="en-AU"/>
              </w:rPr>
              <w:t>Lostitch</w:t>
            </w:r>
            <w:proofErr w:type="spellEnd"/>
            <w:r w:rsidRPr="000B0BF0">
              <w:rPr>
                <w:i/>
                <w:lang w:eastAsia="en-AU"/>
              </w:rPr>
              <w:t xml:space="preserve"> </w:t>
            </w:r>
            <w:r w:rsidRPr="000B0BF0">
              <w:rPr>
                <w:lang w:eastAsia="en-AU"/>
              </w:rPr>
              <w:t>[2022] FedCFamC2G 342</w:t>
            </w:r>
          </w:p>
          <w:p w14:paraId="103027C5" w14:textId="77777777" w:rsidR="000B0BF0" w:rsidRPr="000B0BF0" w:rsidRDefault="000B0BF0" w:rsidP="000B0BF0">
            <w:pPr>
              <w:pStyle w:val="CasesLegislationAppealFrom"/>
              <w:spacing w:after="60"/>
              <w:rPr>
                <w:iCs/>
              </w:rPr>
            </w:pPr>
            <w:r w:rsidRPr="000B0BF0">
              <w:rPr>
                <w:i/>
                <w:iCs/>
              </w:rPr>
              <w:t xml:space="preserve">Lo Pilato v </w:t>
            </w:r>
            <w:proofErr w:type="spellStart"/>
            <w:r w:rsidRPr="000B0BF0">
              <w:rPr>
                <w:i/>
                <w:iCs/>
              </w:rPr>
              <w:t>Kamy</w:t>
            </w:r>
            <w:proofErr w:type="spellEnd"/>
            <w:r w:rsidRPr="000B0BF0">
              <w:rPr>
                <w:i/>
                <w:iCs/>
              </w:rPr>
              <w:t xml:space="preserve"> </w:t>
            </w:r>
            <w:proofErr w:type="spellStart"/>
            <w:r w:rsidRPr="000B0BF0">
              <w:rPr>
                <w:i/>
                <w:iCs/>
              </w:rPr>
              <w:t>Saeedi</w:t>
            </w:r>
            <w:proofErr w:type="spellEnd"/>
            <w:r w:rsidRPr="000B0BF0">
              <w:rPr>
                <w:i/>
                <w:iCs/>
              </w:rPr>
              <w:t xml:space="preserve"> Lawyers Pty Ltd</w:t>
            </w:r>
            <w:r w:rsidRPr="000B0BF0">
              <w:rPr>
                <w:iCs/>
              </w:rPr>
              <w:t xml:space="preserve"> [2017] FCA 34; 249 FCR 69</w:t>
            </w:r>
          </w:p>
          <w:p w14:paraId="22727AE6" w14:textId="77777777" w:rsidR="000B0BF0" w:rsidRPr="000B0BF0" w:rsidRDefault="000B0BF0" w:rsidP="000B0BF0">
            <w:pPr>
              <w:pStyle w:val="CasesLegislationAppealFrom"/>
              <w:spacing w:after="60"/>
              <w:rPr>
                <w:lang w:eastAsia="en-AU"/>
              </w:rPr>
            </w:pPr>
            <w:r w:rsidRPr="000B0BF0">
              <w:rPr>
                <w:i/>
                <w:lang w:eastAsia="en-AU"/>
              </w:rPr>
              <w:t xml:space="preserve">Mateo v Official Trustee in Bankruptcy </w:t>
            </w:r>
            <w:r w:rsidRPr="000B0BF0">
              <w:rPr>
                <w:lang w:eastAsia="en-AU"/>
              </w:rPr>
              <w:t>[2002] FCA 344; 117 FCR 179</w:t>
            </w:r>
          </w:p>
          <w:p w14:paraId="1CE1843A" w14:textId="77777777" w:rsidR="000B0BF0" w:rsidRPr="000B0BF0" w:rsidRDefault="000B0BF0" w:rsidP="000B0BF0">
            <w:pPr>
              <w:pStyle w:val="CasesLegislationAppealFrom"/>
              <w:spacing w:after="60"/>
              <w:rPr>
                <w:bCs/>
                <w:iCs/>
              </w:rPr>
            </w:pPr>
            <w:r w:rsidRPr="000B0BF0">
              <w:rPr>
                <w:bCs/>
                <w:i/>
                <w:iCs/>
              </w:rPr>
              <w:t>Mathai v Nelson</w:t>
            </w:r>
            <w:r w:rsidRPr="000B0BF0">
              <w:rPr>
                <w:bCs/>
                <w:iCs/>
              </w:rPr>
              <w:t xml:space="preserve"> [2012] FCA 1448; 208 FCR 165</w:t>
            </w:r>
          </w:p>
          <w:p w14:paraId="129A612A" w14:textId="77777777" w:rsidR="000B0BF0" w:rsidRPr="000B0BF0" w:rsidRDefault="000B0BF0" w:rsidP="000B0BF0">
            <w:pPr>
              <w:pStyle w:val="CasesLegislationAppealFrom"/>
              <w:spacing w:after="60"/>
              <w:rPr>
                <w:lang w:eastAsia="en-AU"/>
              </w:rPr>
            </w:pPr>
            <w:r w:rsidRPr="000B0BF0">
              <w:rPr>
                <w:i/>
                <w:lang w:eastAsia="en-AU"/>
              </w:rPr>
              <w:t xml:space="preserve">Official Trustee in Bankruptcy v </w:t>
            </w:r>
            <w:proofErr w:type="spellStart"/>
            <w:r w:rsidRPr="000B0BF0">
              <w:rPr>
                <w:i/>
                <w:lang w:eastAsia="en-AU"/>
              </w:rPr>
              <w:t>Lopatinsky</w:t>
            </w:r>
            <w:proofErr w:type="spellEnd"/>
            <w:r w:rsidRPr="000B0BF0">
              <w:rPr>
                <w:i/>
                <w:lang w:eastAsia="en-AU"/>
              </w:rPr>
              <w:t xml:space="preserve"> </w:t>
            </w:r>
            <w:r w:rsidRPr="000B0BF0">
              <w:rPr>
                <w:lang w:eastAsia="en-AU"/>
              </w:rPr>
              <w:t>[2003] FCAFC 109; 129 FCR 234</w:t>
            </w:r>
          </w:p>
          <w:p w14:paraId="478E55A9" w14:textId="77777777" w:rsidR="000B0BF0" w:rsidRPr="000B0BF0" w:rsidRDefault="000B0BF0" w:rsidP="000B0BF0">
            <w:pPr>
              <w:pStyle w:val="CasesLegislationAppealFrom"/>
              <w:spacing w:after="60"/>
            </w:pPr>
            <w:r w:rsidRPr="000B0BF0">
              <w:rPr>
                <w:i/>
                <w:lang w:eastAsia="en-AU"/>
              </w:rPr>
              <w:t xml:space="preserve">Official Trustee in Bankruptcy v Mateo </w:t>
            </w:r>
            <w:r w:rsidRPr="000B0BF0">
              <w:rPr>
                <w:lang w:eastAsia="en-AU"/>
              </w:rPr>
              <w:t>[2003] FCAFC 26; 127 FCR 217</w:t>
            </w:r>
          </w:p>
          <w:p w14:paraId="3A790039" w14:textId="77777777" w:rsidR="000B0BF0" w:rsidRPr="000B0BF0" w:rsidRDefault="000B0BF0" w:rsidP="000B0BF0">
            <w:pPr>
              <w:pStyle w:val="CasesLegislationAppealFrom"/>
              <w:spacing w:after="60"/>
            </w:pPr>
            <w:proofErr w:type="spellStart"/>
            <w:r w:rsidRPr="000B0BF0">
              <w:rPr>
                <w:i/>
              </w:rPr>
              <w:t>Peldan</w:t>
            </w:r>
            <w:proofErr w:type="spellEnd"/>
            <w:r w:rsidRPr="000B0BF0">
              <w:rPr>
                <w:i/>
              </w:rPr>
              <w:t xml:space="preserve"> v Anderson </w:t>
            </w:r>
            <w:r w:rsidRPr="000B0BF0">
              <w:t>[2006] HCA 48; 227 CLR 471</w:t>
            </w:r>
          </w:p>
          <w:p w14:paraId="4F0A5DA7" w14:textId="77777777" w:rsidR="000B0BF0" w:rsidRPr="000B0BF0" w:rsidRDefault="000B0BF0" w:rsidP="000B0BF0">
            <w:pPr>
              <w:pStyle w:val="CasesLegislationAppealFrom"/>
              <w:spacing w:after="60"/>
              <w:rPr>
                <w:lang w:eastAsia="en-AU"/>
              </w:rPr>
            </w:pPr>
            <w:proofErr w:type="spellStart"/>
            <w:r w:rsidRPr="000B0BF0">
              <w:rPr>
                <w:i/>
                <w:iCs/>
                <w:lang w:eastAsia="en-AU"/>
              </w:rPr>
              <w:t>Permfox</w:t>
            </w:r>
            <w:proofErr w:type="spellEnd"/>
            <w:r w:rsidRPr="000B0BF0">
              <w:rPr>
                <w:i/>
                <w:iCs/>
                <w:lang w:eastAsia="en-AU"/>
              </w:rPr>
              <w:t xml:space="preserve"> Pty Ltd, in the Matter of Chase v Official Receiver for Bankruptcy District of New South Wales </w:t>
            </w:r>
            <w:r w:rsidRPr="000B0BF0">
              <w:rPr>
                <w:lang w:eastAsia="en-AU"/>
              </w:rPr>
              <w:t>[2002] FCA 1564</w:t>
            </w:r>
          </w:p>
          <w:p w14:paraId="5BB7AC6E" w14:textId="77777777" w:rsidR="000B0BF0" w:rsidRPr="000B0BF0" w:rsidRDefault="000B0BF0" w:rsidP="000B0BF0">
            <w:pPr>
              <w:pStyle w:val="CasesLegislationAppealFrom"/>
              <w:spacing w:after="60"/>
              <w:rPr>
                <w:lang w:eastAsia="en-AU"/>
              </w:rPr>
            </w:pPr>
            <w:proofErr w:type="spellStart"/>
            <w:r w:rsidRPr="000B0BF0">
              <w:rPr>
                <w:i/>
                <w:lang w:eastAsia="en-AU"/>
              </w:rPr>
              <w:t>Pettitt</w:t>
            </w:r>
            <w:proofErr w:type="spellEnd"/>
            <w:r w:rsidRPr="000B0BF0">
              <w:rPr>
                <w:i/>
                <w:lang w:eastAsia="en-AU"/>
              </w:rPr>
              <w:t xml:space="preserve"> v </w:t>
            </w:r>
            <w:proofErr w:type="spellStart"/>
            <w:r w:rsidRPr="000B0BF0">
              <w:rPr>
                <w:i/>
                <w:lang w:eastAsia="en-AU"/>
              </w:rPr>
              <w:t>Pettitt</w:t>
            </w:r>
            <w:proofErr w:type="spellEnd"/>
            <w:r w:rsidRPr="000B0BF0">
              <w:rPr>
                <w:i/>
                <w:lang w:eastAsia="en-AU"/>
              </w:rPr>
              <w:t xml:space="preserve"> </w:t>
            </w:r>
            <w:r w:rsidRPr="000B0BF0">
              <w:rPr>
                <w:lang w:eastAsia="en-AU"/>
              </w:rPr>
              <w:t>[1970] AC 777</w:t>
            </w:r>
          </w:p>
          <w:p w14:paraId="305ECCDB" w14:textId="77777777" w:rsidR="000B0BF0" w:rsidRPr="000B0BF0" w:rsidRDefault="000B0BF0" w:rsidP="000B0BF0">
            <w:pPr>
              <w:pStyle w:val="CasesLegislationAppealFrom"/>
              <w:spacing w:after="60"/>
            </w:pPr>
            <w:r w:rsidRPr="000B0BF0">
              <w:rPr>
                <w:i/>
                <w:iCs/>
              </w:rPr>
              <w:t xml:space="preserve">Re Jury; Ashton v Prentice </w:t>
            </w:r>
            <w:r w:rsidRPr="000B0BF0">
              <w:t>[1999] FCA 671; 92 FCR 68</w:t>
            </w:r>
          </w:p>
          <w:p w14:paraId="3FE5BFAE" w14:textId="77777777" w:rsidR="000B0BF0" w:rsidRPr="000B0BF0" w:rsidRDefault="000B0BF0" w:rsidP="000B0BF0">
            <w:pPr>
              <w:pStyle w:val="CasesLegislationAppealFrom"/>
              <w:spacing w:after="60"/>
              <w:rPr>
                <w:lang w:eastAsia="en-AU"/>
              </w:rPr>
            </w:pPr>
            <w:r w:rsidRPr="000B0BF0">
              <w:rPr>
                <w:i/>
                <w:lang w:eastAsia="en-AU"/>
              </w:rPr>
              <w:t>Richardson v The Commercial Banking Company of Sydney Limited</w:t>
            </w:r>
            <w:r w:rsidRPr="000B0BF0">
              <w:rPr>
                <w:lang w:eastAsia="en-AU"/>
              </w:rPr>
              <w:t xml:space="preserve"> [1952] HCA 8; 85 CLR 110</w:t>
            </w:r>
          </w:p>
          <w:p w14:paraId="6BF7530B" w14:textId="77777777" w:rsidR="000B0BF0" w:rsidRPr="000B0BF0" w:rsidRDefault="000B0BF0" w:rsidP="000B0BF0">
            <w:pPr>
              <w:pStyle w:val="CasesLegislationAppealFrom"/>
              <w:spacing w:after="60"/>
              <w:rPr>
                <w:lang w:eastAsia="en-AU"/>
              </w:rPr>
            </w:pPr>
            <w:proofErr w:type="spellStart"/>
            <w:r w:rsidRPr="000B0BF0">
              <w:rPr>
                <w:i/>
                <w:lang w:eastAsia="en-AU"/>
              </w:rPr>
              <w:t>Sheahan</w:t>
            </w:r>
            <w:proofErr w:type="spellEnd"/>
            <w:r w:rsidRPr="000B0BF0">
              <w:rPr>
                <w:i/>
                <w:lang w:eastAsia="en-AU"/>
              </w:rPr>
              <w:t xml:space="preserve"> v </w:t>
            </w:r>
            <w:proofErr w:type="spellStart"/>
            <w:r w:rsidRPr="000B0BF0">
              <w:rPr>
                <w:i/>
                <w:lang w:eastAsia="en-AU"/>
              </w:rPr>
              <w:t>Birdeye</w:t>
            </w:r>
            <w:proofErr w:type="spellEnd"/>
            <w:r w:rsidRPr="000B0BF0">
              <w:rPr>
                <w:i/>
                <w:lang w:eastAsia="en-AU"/>
              </w:rPr>
              <w:t xml:space="preserve"> </w:t>
            </w:r>
            <w:r w:rsidRPr="000B0BF0">
              <w:rPr>
                <w:lang w:eastAsia="en-AU"/>
              </w:rPr>
              <w:t>[2002] FMCA 41</w:t>
            </w:r>
          </w:p>
          <w:p w14:paraId="0A39CF3A" w14:textId="77777777" w:rsidR="000B0BF0" w:rsidRPr="000B0BF0" w:rsidRDefault="000B0BF0" w:rsidP="000B0BF0">
            <w:pPr>
              <w:pStyle w:val="CasesLegislationAppealFrom"/>
              <w:spacing w:after="60"/>
            </w:pPr>
            <w:r w:rsidRPr="000B0BF0">
              <w:rPr>
                <w:i/>
              </w:rPr>
              <w:t>Silvia (Trustee) v Williams, in the matter of Williams (Bankrupt)</w:t>
            </w:r>
            <w:r w:rsidRPr="000B0BF0">
              <w:t xml:space="preserve"> [2018] FCA 189</w:t>
            </w:r>
          </w:p>
          <w:p w14:paraId="66CF8BDB" w14:textId="77777777" w:rsidR="000B0BF0" w:rsidRPr="000B0BF0" w:rsidRDefault="000B0BF0" w:rsidP="000B0BF0">
            <w:pPr>
              <w:pStyle w:val="CasesLegislationAppealFrom"/>
              <w:spacing w:after="60"/>
              <w:rPr>
                <w:lang w:eastAsia="en-AU"/>
              </w:rPr>
            </w:pPr>
            <w:r w:rsidRPr="000B0BF0">
              <w:rPr>
                <w:i/>
                <w:lang w:eastAsia="en-AU"/>
              </w:rPr>
              <w:t xml:space="preserve">Trustees of Property of Cummins (a bankrupt) v Cummins </w:t>
            </w:r>
            <w:r w:rsidRPr="000B0BF0">
              <w:rPr>
                <w:lang w:eastAsia="en-AU"/>
              </w:rPr>
              <w:t>[2006] HCA 6; 227 CLR 278</w:t>
            </w:r>
          </w:p>
          <w:p w14:paraId="31720669" w14:textId="43353BB5" w:rsidR="000B0BF0" w:rsidRPr="000B0BF0" w:rsidRDefault="000B0BF0" w:rsidP="000B0BF0">
            <w:pPr>
              <w:pStyle w:val="CasesLegislationAppealFrom"/>
              <w:spacing w:after="60"/>
            </w:pPr>
            <w:r w:rsidRPr="000B0BF0">
              <w:rPr>
                <w:i/>
                <w:lang w:eastAsia="en-AU"/>
              </w:rPr>
              <w:t xml:space="preserve">Worrell v </w:t>
            </w:r>
            <w:proofErr w:type="spellStart"/>
            <w:r w:rsidRPr="000B0BF0">
              <w:rPr>
                <w:i/>
                <w:lang w:eastAsia="en-AU"/>
              </w:rPr>
              <w:t>Pix</w:t>
            </w:r>
            <w:proofErr w:type="spellEnd"/>
            <w:r w:rsidRPr="000B0BF0">
              <w:rPr>
                <w:i/>
                <w:lang w:eastAsia="en-AU"/>
              </w:rPr>
              <w:t xml:space="preserve"> </w:t>
            </w:r>
            <w:r w:rsidRPr="000B0BF0">
              <w:rPr>
                <w:lang w:eastAsia="en-AU"/>
              </w:rPr>
              <w:t>[2002] FMCA 93</w:t>
            </w:r>
            <w:bookmarkEnd w:id="4"/>
          </w:p>
        </w:tc>
      </w:tr>
      <w:tr w:rsidR="00367420" w:rsidRPr="00942352" w14:paraId="51C4BB19" w14:textId="77777777" w:rsidTr="00B1405D">
        <w:tc>
          <w:tcPr>
            <w:tcW w:w="3084" w:type="dxa"/>
            <w:shd w:val="clear" w:color="auto" w:fill="auto"/>
          </w:tcPr>
          <w:p w14:paraId="2BA4E35F" w14:textId="77777777" w:rsidR="00367420" w:rsidRPr="00942352" w:rsidRDefault="00367420" w:rsidP="006823E6">
            <w:pPr>
              <w:pStyle w:val="Normal1linespace"/>
              <w:widowControl w:val="0"/>
            </w:pPr>
          </w:p>
        </w:tc>
        <w:tc>
          <w:tcPr>
            <w:tcW w:w="5989" w:type="dxa"/>
            <w:shd w:val="clear" w:color="auto" w:fill="auto"/>
          </w:tcPr>
          <w:p w14:paraId="6FB36F60" w14:textId="77777777" w:rsidR="00367420" w:rsidRPr="00942352" w:rsidRDefault="00367420" w:rsidP="006823E6">
            <w:pPr>
              <w:pStyle w:val="Normal1linespace"/>
              <w:widowControl w:val="0"/>
              <w:jc w:val="left"/>
            </w:pPr>
          </w:p>
        </w:tc>
      </w:tr>
      <w:tr w:rsidR="00367420" w:rsidRPr="00942352" w14:paraId="59463B5C" w14:textId="77777777" w:rsidTr="00B1405D">
        <w:tc>
          <w:tcPr>
            <w:tcW w:w="3084" w:type="dxa"/>
            <w:shd w:val="clear" w:color="auto" w:fill="auto"/>
          </w:tcPr>
          <w:p w14:paraId="034A866D" w14:textId="77777777" w:rsidR="00367420" w:rsidRPr="00942352" w:rsidRDefault="00367420" w:rsidP="00501A12">
            <w:pPr>
              <w:pStyle w:val="Normal1linespace"/>
              <w:widowControl w:val="0"/>
            </w:pPr>
            <w:r w:rsidRPr="00942352">
              <w:t>Division:</w:t>
            </w:r>
          </w:p>
        </w:tc>
        <w:tc>
          <w:tcPr>
            <w:tcW w:w="5989" w:type="dxa"/>
            <w:shd w:val="clear" w:color="auto" w:fill="auto"/>
          </w:tcPr>
          <w:p w14:paraId="5D13BCFE" w14:textId="25EE0EFB" w:rsidR="00367420" w:rsidRPr="00942352" w:rsidRDefault="006A7F46" w:rsidP="00501A12">
            <w:pPr>
              <w:pStyle w:val="Normal1linespace"/>
              <w:widowControl w:val="0"/>
              <w:jc w:val="left"/>
            </w:pPr>
            <w:r>
              <w:t>General Division</w:t>
            </w:r>
          </w:p>
        </w:tc>
      </w:tr>
      <w:tr w:rsidR="00367420" w:rsidRPr="00942352" w14:paraId="0A08DCF2" w14:textId="77777777" w:rsidTr="00B1405D">
        <w:tc>
          <w:tcPr>
            <w:tcW w:w="3084" w:type="dxa"/>
            <w:shd w:val="clear" w:color="auto" w:fill="auto"/>
          </w:tcPr>
          <w:p w14:paraId="76601627" w14:textId="77777777" w:rsidR="00367420" w:rsidRPr="00942352" w:rsidRDefault="00367420" w:rsidP="00501A12">
            <w:pPr>
              <w:pStyle w:val="Normal1linespace"/>
              <w:widowControl w:val="0"/>
            </w:pPr>
            <w:bookmarkStart w:id="5" w:name="Registry_rows" w:colFirst="0" w:colLast="1"/>
          </w:p>
        </w:tc>
        <w:tc>
          <w:tcPr>
            <w:tcW w:w="5989" w:type="dxa"/>
            <w:shd w:val="clear" w:color="auto" w:fill="auto"/>
          </w:tcPr>
          <w:p w14:paraId="5F3EDF49" w14:textId="77777777" w:rsidR="00367420" w:rsidRPr="00942352" w:rsidRDefault="00367420" w:rsidP="00501A12">
            <w:pPr>
              <w:pStyle w:val="Normal1linespace"/>
              <w:widowControl w:val="0"/>
              <w:jc w:val="left"/>
            </w:pPr>
          </w:p>
        </w:tc>
      </w:tr>
      <w:tr w:rsidR="00367420" w:rsidRPr="00942352" w14:paraId="299E4893" w14:textId="77777777" w:rsidTr="00B1405D">
        <w:tc>
          <w:tcPr>
            <w:tcW w:w="3084" w:type="dxa"/>
            <w:shd w:val="clear" w:color="auto" w:fill="auto"/>
          </w:tcPr>
          <w:p w14:paraId="1110F932" w14:textId="77777777" w:rsidR="00367420" w:rsidRPr="00942352" w:rsidRDefault="00367420" w:rsidP="00501A12">
            <w:pPr>
              <w:pStyle w:val="Normal1linespace"/>
              <w:widowControl w:val="0"/>
            </w:pPr>
            <w:r w:rsidRPr="00942352">
              <w:t>Registry:</w:t>
            </w:r>
          </w:p>
        </w:tc>
        <w:tc>
          <w:tcPr>
            <w:tcW w:w="5989" w:type="dxa"/>
            <w:shd w:val="clear" w:color="auto" w:fill="auto"/>
          </w:tcPr>
          <w:p w14:paraId="5334BF5E" w14:textId="7409D3D3" w:rsidR="00367420" w:rsidRPr="00942352" w:rsidRDefault="006A7F46" w:rsidP="00501A12">
            <w:pPr>
              <w:pStyle w:val="Normal1linespace"/>
              <w:widowControl w:val="0"/>
              <w:jc w:val="left"/>
            </w:pPr>
            <w:r>
              <w:t>New South Wales</w:t>
            </w:r>
          </w:p>
        </w:tc>
      </w:tr>
      <w:tr w:rsidR="00367420" w:rsidRPr="00942352" w14:paraId="4F31F65B" w14:textId="77777777" w:rsidTr="00B1405D">
        <w:tc>
          <w:tcPr>
            <w:tcW w:w="3084" w:type="dxa"/>
            <w:shd w:val="clear" w:color="auto" w:fill="auto"/>
          </w:tcPr>
          <w:p w14:paraId="3852F78F" w14:textId="77777777" w:rsidR="00367420" w:rsidRPr="00942352" w:rsidRDefault="00367420" w:rsidP="00501A12">
            <w:pPr>
              <w:pStyle w:val="Normal1linespace"/>
              <w:widowControl w:val="0"/>
            </w:pPr>
            <w:bookmarkStart w:id="6" w:name="NPARow" w:colFirst="0" w:colLast="1"/>
            <w:bookmarkEnd w:id="5"/>
          </w:p>
        </w:tc>
        <w:tc>
          <w:tcPr>
            <w:tcW w:w="5989" w:type="dxa"/>
            <w:shd w:val="clear" w:color="auto" w:fill="auto"/>
          </w:tcPr>
          <w:p w14:paraId="61EFFFB7" w14:textId="77777777" w:rsidR="00367420" w:rsidRPr="00942352" w:rsidRDefault="00367420" w:rsidP="00501A12">
            <w:pPr>
              <w:pStyle w:val="Normal1linespace"/>
              <w:widowControl w:val="0"/>
              <w:jc w:val="left"/>
              <w:rPr>
                <w:b/>
              </w:rPr>
            </w:pPr>
          </w:p>
        </w:tc>
      </w:tr>
      <w:tr w:rsidR="00367420" w:rsidRPr="00942352" w14:paraId="44E35D7C" w14:textId="77777777" w:rsidTr="00B1405D">
        <w:tc>
          <w:tcPr>
            <w:tcW w:w="3084" w:type="dxa"/>
            <w:shd w:val="clear" w:color="auto" w:fill="auto"/>
          </w:tcPr>
          <w:p w14:paraId="4AC4E9F5" w14:textId="77777777" w:rsidR="00367420" w:rsidRPr="00942352" w:rsidRDefault="00367420" w:rsidP="00501A12">
            <w:pPr>
              <w:pStyle w:val="Normal1linespace"/>
              <w:widowControl w:val="0"/>
            </w:pPr>
            <w:r w:rsidRPr="00942352">
              <w:t>National Practice Area:</w:t>
            </w:r>
          </w:p>
        </w:tc>
        <w:tc>
          <w:tcPr>
            <w:tcW w:w="5989" w:type="dxa"/>
            <w:shd w:val="clear" w:color="auto" w:fill="auto"/>
          </w:tcPr>
          <w:p w14:paraId="7F50413A" w14:textId="60387834" w:rsidR="00367420" w:rsidRPr="00942352" w:rsidRDefault="006A7F46" w:rsidP="006823E6">
            <w:pPr>
              <w:pStyle w:val="Normal1linespace"/>
              <w:widowControl w:val="0"/>
              <w:jc w:val="left"/>
              <w:rPr>
                <w:b/>
              </w:rPr>
            </w:pPr>
            <w:r>
              <w:t>Commercial and Corporations</w:t>
            </w:r>
          </w:p>
        </w:tc>
      </w:tr>
      <w:tr w:rsidR="00367420" w:rsidRPr="00942352" w14:paraId="0986DFEA" w14:textId="77777777" w:rsidTr="00B1405D">
        <w:tc>
          <w:tcPr>
            <w:tcW w:w="3084" w:type="dxa"/>
            <w:shd w:val="clear" w:color="auto" w:fill="auto"/>
          </w:tcPr>
          <w:p w14:paraId="61862AFF" w14:textId="77777777" w:rsidR="00367420" w:rsidRPr="00942352" w:rsidRDefault="00367420" w:rsidP="00501A12">
            <w:pPr>
              <w:pStyle w:val="Normal1linespace"/>
              <w:widowControl w:val="0"/>
            </w:pPr>
            <w:bookmarkStart w:id="7" w:name="SubAreaRow" w:colFirst="0" w:colLast="1"/>
            <w:bookmarkEnd w:id="6"/>
          </w:p>
        </w:tc>
        <w:tc>
          <w:tcPr>
            <w:tcW w:w="5989" w:type="dxa"/>
            <w:shd w:val="clear" w:color="auto" w:fill="auto"/>
          </w:tcPr>
          <w:p w14:paraId="732C6761" w14:textId="77777777" w:rsidR="00367420" w:rsidRPr="00942352" w:rsidRDefault="00367420" w:rsidP="006823E6">
            <w:pPr>
              <w:pStyle w:val="Normal1linespace"/>
              <w:widowControl w:val="0"/>
              <w:jc w:val="left"/>
            </w:pPr>
          </w:p>
        </w:tc>
      </w:tr>
      <w:tr w:rsidR="00367420" w:rsidRPr="00942352" w14:paraId="2083DC24" w14:textId="77777777" w:rsidTr="00B1405D">
        <w:tc>
          <w:tcPr>
            <w:tcW w:w="3084" w:type="dxa"/>
            <w:shd w:val="clear" w:color="auto" w:fill="auto"/>
          </w:tcPr>
          <w:p w14:paraId="1648C83C" w14:textId="77777777" w:rsidR="00367420" w:rsidRPr="00942352" w:rsidRDefault="00367420" w:rsidP="00501A12">
            <w:pPr>
              <w:pStyle w:val="Normal1linespace"/>
              <w:widowControl w:val="0"/>
            </w:pPr>
            <w:r w:rsidRPr="00942352">
              <w:t>Sub-area:</w:t>
            </w:r>
          </w:p>
        </w:tc>
        <w:tc>
          <w:tcPr>
            <w:tcW w:w="5989" w:type="dxa"/>
            <w:shd w:val="clear" w:color="auto" w:fill="auto"/>
          </w:tcPr>
          <w:p w14:paraId="0136706E" w14:textId="478CBC7E" w:rsidR="00367420" w:rsidRPr="00942352" w:rsidRDefault="006A7F46" w:rsidP="006823E6">
            <w:pPr>
              <w:pStyle w:val="Normal1linespace"/>
              <w:widowControl w:val="0"/>
              <w:jc w:val="left"/>
            </w:pPr>
            <w:r w:rsidRPr="006A7F46">
              <w:rPr>
                <w:lang w:val="en-US"/>
              </w:rPr>
              <w:t>General and Personal</w:t>
            </w:r>
            <w:r>
              <w:t xml:space="preserve"> Insolvency</w:t>
            </w:r>
          </w:p>
        </w:tc>
      </w:tr>
      <w:bookmarkEnd w:id="7"/>
      <w:tr w:rsidR="00367420" w:rsidRPr="00942352" w14:paraId="593B8C20" w14:textId="77777777" w:rsidTr="00B1405D">
        <w:tc>
          <w:tcPr>
            <w:tcW w:w="3084" w:type="dxa"/>
            <w:shd w:val="clear" w:color="auto" w:fill="auto"/>
          </w:tcPr>
          <w:p w14:paraId="7DA1230C" w14:textId="77777777" w:rsidR="00367420" w:rsidRPr="00942352" w:rsidRDefault="00367420" w:rsidP="00501A12">
            <w:pPr>
              <w:pStyle w:val="Normal1linespace"/>
              <w:widowControl w:val="0"/>
            </w:pPr>
          </w:p>
        </w:tc>
        <w:tc>
          <w:tcPr>
            <w:tcW w:w="5989" w:type="dxa"/>
            <w:shd w:val="clear" w:color="auto" w:fill="auto"/>
          </w:tcPr>
          <w:p w14:paraId="29CA8420" w14:textId="77777777" w:rsidR="00367420" w:rsidRPr="00942352" w:rsidRDefault="00367420" w:rsidP="00501A12">
            <w:pPr>
              <w:pStyle w:val="Normal1linespace"/>
              <w:widowControl w:val="0"/>
              <w:jc w:val="left"/>
            </w:pPr>
          </w:p>
        </w:tc>
      </w:tr>
      <w:tr w:rsidR="00367420" w:rsidRPr="00942352" w14:paraId="6A416ED4" w14:textId="77777777" w:rsidTr="00B1405D">
        <w:tc>
          <w:tcPr>
            <w:tcW w:w="3084" w:type="dxa"/>
            <w:shd w:val="clear" w:color="auto" w:fill="auto"/>
          </w:tcPr>
          <w:p w14:paraId="5C7B92EC" w14:textId="77777777" w:rsidR="00367420" w:rsidRPr="00942352" w:rsidRDefault="00367420" w:rsidP="00501A12">
            <w:pPr>
              <w:pStyle w:val="Normal1linespace"/>
              <w:widowControl w:val="0"/>
            </w:pPr>
            <w:r w:rsidRPr="00942352">
              <w:t>Number of paragraphs:</w:t>
            </w:r>
          </w:p>
        </w:tc>
        <w:tc>
          <w:tcPr>
            <w:tcW w:w="5989" w:type="dxa"/>
            <w:shd w:val="clear" w:color="auto" w:fill="auto"/>
          </w:tcPr>
          <w:p w14:paraId="0BC045C6" w14:textId="51B046AC" w:rsidR="00367420" w:rsidRPr="00942352" w:rsidRDefault="00F85CAA" w:rsidP="00501A12">
            <w:pPr>
              <w:pStyle w:val="Normal1linespace"/>
              <w:widowControl w:val="0"/>
              <w:jc w:val="left"/>
            </w:pPr>
            <w:bookmarkStart w:id="8" w:name="PlaceCategoryParagraphs"/>
            <w:r>
              <w:t>281</w:t>
            </w:r>
            <w:bookmarkEnd w:id="8"/>
          </w:p>
        </w:tc>
      </w:tr>
      <w:tr w:rsidR="00367420" w:rsidRPr="00942352" w14:paraId="0CA67475" w14:textId="77777777" w:rsidTr="00B1405D">
        <w:tc>
          <w:tcPr>
            <w:tcW w:w="3084" w:type="dxa"/>
            <w:shd w:val="clear" w:color="auto" w:fill="auto"/>
          </w:tcPr>
          <w:p w14:paraId="7A019EC0" w14:textId="77777777" w:rsidR="00367420" w:rsidRPr="00942352" w:rsidRDefault="00367420" w:rsidP="00367420">
            <w:pPr>
              <w:pStyle w:val="Normal1linespace"/>
              <w:widowControl w:val="0"/>
              <w:jc w:val="left"/>
            </w:pPr>
          </w:p>
        </w:tc>
        <w:tc>
          <w:tcPr>
            <w:tcW w:w="5989" w:type="dxa"/>
            <w:shd w:val="clear" w:color="auto" w:fill="auto"/>
          </w:tcPr>
          <w:p w14:paraId="2B343372" w14:textId="77777777" w:rsidR="00367420" w:rsidRPr="00942352" w:rsidRDefault="00367420" w:rsidP="00367420">
            <w:pPr>
              <w:pStyle w:val="Normal1linespace"/>
              <w:widowControl w:val="0"/>
              <w:jc w:val="left"/>
            </w:pPr>
          </w:p>
        </w:tc>
      </w:tr>
      <w:tr w:rsidR="00367420" w:rsidRPr="00942352" w14:paraId="563BCE01" w14:textId="77777777" w:rsidTr="00B1405D">
        <w:tc>
          <w:tcPr>
            <w:tcW w:w="3084" w:type="dxa"/>
            <w:shd w:val="clear" w:color="auto" w:fill="auto"/>
          </w:tcPr>
          <w:p w14:paraId="68CE7063" w14:textId="1CCB8A9E" w:rsidR="00367420" w:rsidRPr="00942352" w:rsidRDefault="00367420" w:rsidP="00367420">
            <w:pPr>
              <w:pStyle w:val="Normal1linespace"/>
              <w:widowControl w:val="0"/>
              <w:jc w:val="left"/>
            </w:pPr>
            <w:bookmarkStart w:id="9" w:name="CounselDate" w:colFirst="0" w:colLast="2"/>
            <w:r w:rsidRPr="00942352">
              <w:t>Date</w:t>
            </w:r>
            <w:r w:rsidR="00AD7933" w:rsidRPr="00942352">
              <w:t>s</w:t>
            </w:r>
            <w:r w:rsidRPr="00942352">
              <w:t xml:space="preserve"> of hearing:</w:t>
            </w:r>
          </w:p>
        </w:tc>
        <w:tc>
          <w:tcPr>
            <w:tcW w:w="5989" w:type="dxa"/>
            <w:shd w:val="clear" w:color="auto" w:fill="auto"/>
          </w:tcPr>
          <w:p w14:paraId="52BA7588" w14:textId="0759DA4D" w:rsidR="00367420" w:rsidRPr="00942352" w:rsidRDefault="00DD3A72" w:rsidP="00367420">
            <w:pPr>
              <w:pStyle w:val="Normal1linespace"/>
              <w:widowControl w:val="0"/>
              <w:jc w:val="left"/>
            </w:pPr>
            <w:bookmarkStart w:id="10" w:name="HearingDate"/>
            <w:r w:rsidRPr="00942352">
              <w:t>12–</w:t>
            </w:r>
            <w:r w:rsidR="00E354C4" w:rsidRPr="00942352">
              <w:t>14 October 2022</w:t>
            </w:r>
            <w:r w:rsidR="00367420" w:rsidRPr="00942352">
              <w:t xml:space="preserve"> </w:t>
            </w:r>
            <w:bookmarkEnd w:id="10"/>
          </w:p>
        </w:tc>
      </w:tr>
      <w:tr w:rsidR="00367420" w:rsidRPr="00942352" w14:paraId="59FC60E3" w14:textId="77777777" w:rsidTr="00B1405D">
        <w:tc>
          <w:tcPr>
            <w:tcW w:w="3084" w:type="dxa"/>
            <w:shd w:val="clear" w:color="auto" w:fill="auto"/>
          </w:tcPr>
          <w:p w14:paraId="4F5ACFE8" w14:textId="77777777" w:rsidR="00367420" w:rsidRPr="00942352" w:rsidRDefault="00367420" w:rsidP="00367420">
            <w:pPr>
              <w:pStyle w:val="Normal1linespace"/>
              <w:widowControl w:val="0"/>
              <w:jc w:val="left"/>
            </w:pPr>
          </w:p>
        </w:tc>
        <w:tc>
          <w:tcPr>
            <w:tcW w:w="5989" w:type="dxa"/>
            <w:shd w:val="clear" w:color="auto" w:fill="auto"/>
          </w:tcPr>
          <w:p w14:paraId="69E6E56C" w14:textId="77777777" w:rsidR="00367420" w:rsidRPr="00942352" w:rsidRDefault="00367420" w:rsidP="00367420">
            <w:pPr>
              <w:pStyle w:val="Normal1linespace"/>
              <w:widowControl w:val="0"/>
              <w:jc w:val="left"/>
            </w:pPr>
          </w:p>
        </w:tc>
      </w:tr>
      <w:tr w:rsidR="000D6841" w:rsidRPr="00942352" w14:paraId="68DC45C8" w14:textId="77777777" w:rsidTr="00B1405D">
        <w:tc>
          <w:tcPr>
            <w:tcW w:w="3084" w:type="dxa"/>
            <w:shd w:val="clear" w:color="auto" w:fill="auto"/>
          </w:tcPr>
          <w:p w14:paraId="384813F5" w14:textId="40328C82" w:rsidR="000D6841" w:rsidRPr="00942352" w:rsidRDefault="000D6841" w:rsidP="00367420">
            <w:pPr>
              <w:pStyle w:val="Normal1linespace"/>
              <w:widowControl w:val="0"/>
              <w:jc w:val="left"/>
            </w:pPr>
            <w:r w:rsidRPr="00942352">
              <w:t>Counsel for the applicant:</w:t>
            </w:r>
          </w:p>
        </w:tc>
        <w:tc>
          <w:tcPr>
            <w:tcW w:w="5989" w:type="dxa"/>
            <w:shd w:val="clear" w:color="auto" w:fill="auto"/>
          </w:tcPr>
          <w:p w14:paraId="40326868" w14:textId="5AD70997" w:rsidR="000D6841" w:rsidRPr="00942352" w:rsidRDefault="000D6841" w:rsidP="00367420">
            <w:pPr>
              <w:pStyle w:val="Normal1linespace"/>
              <w:widowControl w:val="0"/>
              <w:jc w:val="left"/>
            </w:pPr>
            <w:r w:rsidRPr="00942352">
              <w:t xml:space="preserve">Mr D </w:t>
            </w:r>
            <w:proofErr w:type="spellStart"/>
            <w:r w:rsidRPr="00942352">
              <w:t>Edney</w:t>
            </w:r>
            <w:proofErr w:type="spellEnd"/>
          </w:p>
        </w:tc>
      </w:tr>
      <w:tr w:rsidR="000D6841" w:rsidRPr="00942352" w14:paraId="48065980" w14:textId="77777777" w:rsidTr="00B1405D">
        <w:tc>
          <w:tcPr>
            <w:tcW w:w="3084" w:type="dxa"/>
            <w:shd w:val="clear" w:color="auto" w:fill="auto"/>
          </w:tcPr>
          <w:p w14:paraId="42422F6F" w14:textId="77777777" w:rsidR="000D6841" w:rsidRPr="00942352" w:rsidRDefault="000D6841" w:rsidP="00367420">
            <w:pPr>
              <w:pStyle w:val="Normal1linespace"/>
              <w:widowControl w:val="0"/>
              <w:jc w:val="left"/>
            </w:pPr>
          </w:p>
        </w:tc>
        <w:tc>
          <w:tcPr>
            <w:tcW w:w="5989" w:type="dxa"/>
            <w:shd w:val="clear" w:color="auto" w:fill="auto"/>
          </w:tcPr>
          <w:p w14:paraId="0022899F" w14:textId="77777777" w:rsidR="000D6841" w:rsidRPr="00942352" w:rsidRDefault="000D6841" w:rsidP="00367420">
            <w:pPr>
              <w:pStyle w:val="Normal1linespace"/>
              <w:widowControl w:val="0"/>
              <w:jc w:val="left"/>
            </w:pPr>
          </w:p>
        </w:tc>
      </w:tr>
      <w:tr w:rsidR="000D6841" w:rsidRPr="00942352" w14:paraId="2D4FCF1E" w14:textId="77777777" w:rsidTr="00B1405D">
        <w:tc>
          <w:tcPr>
            <w:tcW w:w="3084" w:type="dxa"/>
            <w:shd w:val="clear" w:color="auto" w:fill="auto"/>
          </w:tcPr>
          <w:p w14:paraId="79CB0DE2" w14:textId="0B77836E" w:rsidR="000D6841" w:rsidRPr="00942352" w:rsidRDefault="000D6841" w:rsidP="00367420">
            <w:pPr>
              <w:pStyle w:val="Normal1linespace"/>
              <w:widowControl w:val="0"/>
              <w:jc w:val="left"/>
            </w:pPr>
            <w:r w:rsidRPr="00942352">
              <w:t xml:space="preserve">Solicitor for the applicant: </w:t>
            </w:r>
          </w:p>
        </w:tc>
        <w:tc>
          <w:tcPr>
            <w:tcW w:w="5989" w:type="dxa"/>
            <w:shd w:val="clear" w:color="auto" w:fill="auto"/>
          </w:tcPr>
          <w:p w14:paraId="7DE09F65" w14:textId="14CBECF3" w:rsidR="000D6841" w:rsidRPr="00942352" w:rsidRDefault="000D6841" w:rsidP="00367420">
            <w:pPr>
              <w:pStyle w:val="Normal1linespace"/>
              <w:widowControl w:val="0"/>
              <w:jc w:val="left"/>
            </w:pPr>
            <w:r w:rsidRPr="00942352">
              <w:t xml:space="preserve">Matthews </w:t>
            </w:r>
            <w:proofErr w:type="spellStart"/>
            <w:r w:rsidRPr="00942352">
              <w:t>Folbigg</w:t>
            </w:r>
            <w:proofErr w:type="spellEnd"/>
            <w:r w:rsidRPr="00942352">
              <w:t xml:space="preserve"> Solicitors</w:t>
            </w:r>
          </w:p>
        </w:tc>
      </w:tr>
      <w:tr w:rsidR="000D6841" w:rsidRPr="00942352" w14:paraId="2B9F84EB" w14:textId="77777777" w:rsidTr="00B1405D">
        <w:tc>
          <w:tcPr>
            <w:tcW w:w="3084" w:type="dxa"/>
            <w:shd w:val="clear" w:color="auto" w:fill="auto"/>
          </w:tcPr>
          <w:p w14:paraId="4EA968F1" w14:textId="77777777" w:rsidR="000D6841" w:rsidRPr="00942352" w:rsidRDefault="000D6841" w:rsidP="00367420">
            <w:pPr>
              <w:pStyle w:val="Normal1linespace"/>
              <w:widowControl w:val="0"/>
              <w:jc w:val="left"/>
            </w:pPr>
          </w:p>
        </w:tc>
        <w:tc>
          <w:tcPr>
            <w:tcW w:w="5989" w:type="dxa"/>
            <w:shd w:val="clear" w:color="auto" w:fill="auto"/>
          </w:tcPr>
          <w:p w14:paraId="542BB3DA" w14:textId="77777777" w:rsidR="000D6841" w:rsidRPr="00942352" w:rsidRDefault="000D6841" w:rsidP="00367420">
            <w:pPr>
              <w:pStyle w:val="Normal1linespace"/>
              <w:widowControl w:val="0"/>
              <w:jc w:val="left"/>
            </w:pPr>
          </w:p>
        </w:tc>
      </w:tr>
      <w:tr w:rsidR="000D6841" w:rsidRPr="00942352" w14:paraId="640992FC" w14:textId="77777777" w:rsidTr="00B1405D">
        <w:tc>
          <w:tcPr>
            <w:tcW w:w="3084" w:type="dxa"/>
            <w:shd w:val="clear" w:color="auto" w:fill="auto"/>
          </w:tcPr>
          <w:p w14:paraId="65FA6BA7" w14:textId="1A548B35" w:rsidR="000D6841" w:rsidRPr="00942352" w:rsidRDefault="000D6841" w:rsidP="00367420">
            <w:pPr>
              <w:pStyle w:val="Normal1linespace"/>
              <w:widowControl w:val="0"/>
              <w:jc w:val="left"/>
            </w:pPr>
            <w:r w:rsidRPr="00942352">
              <w:t>Counsel for the respondent:</w:t>
            </w:r>
          </w:p>
        </w:tc>
        <w:tc>
          <w:tcPr>
            <w:tcW w:w="5989" w:type="dxa"/>
            <w:shd w:val="clear" w:color="auto" w:fill="auto"/>
          </w:tcPr>
          <w:p w14:paraId="5300E2CC" w14:textId="1AE4C6BC" w:rsidR="000D6841" w:rsidRPr="00942352" w:rsidRDefault="007036DA" w:rsidP="00AD7933">
            <w:pPr>
              <w:pStyle w:val="Normal1linespace"/>
              <w:widowControl w:val="0"/>
              <w:jc w:val="left"/>
            </w:pPr>
            <w:r w:rsidRPr="00942352">
              <w:t xml:space="preserve">Mr R Marshall SC </w:t>
            </w:r>
            <w:r w:rsidR="00AD7933" w:rsidRPr="00942352">
              <w:t>with</w:t>
            </w:r>
            <w:r w:rsidRPr="00942352">
              <w:t xml:space="preserve"> Mr M Collins</w:t>
            </w:r>
          </w:p>
        </w:tc>
      </w:tr>
      <w:tr w:rsidR="000D6841" w:rsidRPr="00942352" w14:paraId="06378F5E" w14:textId="77777777" w:rsidTr="00B1405D">
        <w:tc>
          <w:tcPr>
            <w:tcW w:w="3084" w:type="dxa"/>
            <w:shd w:val="clear" w:color="auto" w:fill="auto"/>
          </w:tcPr>
          <w:p w14:paraId="11F3A3FA" w14:textId="77777777" w:rsidR="000D6841" w:rsidRPr="00942352" w:rsidRDefault="000D6841" w:rsidP="00367420">
            <w:pPr>
              <w:pStyle w:val="Normal1linespace"/>
              <w:widowControl w:val="0"/>
              <w:jc w:val="left"/>
            </w:pPr>
          </w:p>
        </w:tc>
        <w:tc>
          <w:tcPr>
            <w:tcW w:w="5989" w:type="dxa"/>
            <w:shd w:val="clear" w:color="auto" w:fill="auto"/>
          </w:tcPr>
          <w:p w14:paraId="4AE67587" w14:textId="77777777" w:rsidR="000D6841" w:rsidRPr="00942352" w:rsidRDefault="000D6841" w:rsidP="00367420">
            <w:pPr>
              <w:pStyle w:val="Normal1linespace"/>
              <w:widowControl w:val="0"/>
              <w:jc w:val="left"/>
            </w:pPr>
          </w:p>
        </w:tc>
      </w:tr>
      <w:tr w:rsidR="000D6841" w:rsidRPr="00942352" w14:paraId="4CBD1239" w14:textId="77777777" w:rsidTr="00B1405D">
        <w:tc>
          <w:tcPr>
            <w:tcW w:w="3084" w:type="dxa"/>
            <w:shd w:val="clear" w:color="auto" w:fill="auto"/>
          </w:tcPr>
          <w:p w14:paraId="700A0569" w14:textId="59268114" w:rsidR="000D6841" w:rsidRPr="00942352" w:rsidRDefault="000D6841" w:rsidP="00367420">
            <w:pPr>
              <w:pStyle w:val="Normal1linespace"/>
              <w:widowControl w:val="0"/>
              <w:jc w:val="left"/>
            </w:pPr>
            <w:r w:rsidRPr="00942352">
              <w:t>Solicitor for the respondent:</w:t>
            </w:r>
          </w:p>
        </w:tc>
        <w:tc>
          <w:tcPr>
            <w:tcW w:w="5989" w:type="dxa"/>
            <w:shd w:val="clear" w:color="auto" w:fill="auto"/>
          </w:tcPr>
          <w:p w14:paraId="4B7E70E0" w14:textId="48A3EA8A" w:rsidR="000D6841" w:rsidRPr="00942352" w:rsidRDefault="007036DA" w:rsidP="00367420">
            <w:pPr>
              <w:pStyle w:val="Normal1linespace"/>
              <w:widowControl w:val="0"/>
              <w:jc w:val="left"/>
            </w:pPr>
            <w:r w:rsidRPr="00942352">
              <w:t>Adrian Holmes Law Services</w:t>
            </w:r>
          </w:p>
        </w:tc>
      </w:tr>
    </w:tbl>
    <w:p w14:paraId="421DB995" w14:textId="77777777" w:rsidR="00B17D6E" w:rsidRPr="00942352" w:rsidRDefault="00B17D6E">
      <w:pPr>
        <w:pStyle w:val="Normal1linespace"/>
      </w:pPr>
      <w:bookmarkStart w:id="11" w:name="CompletionTable"/>
      <w:bookmarkEnd w:id="9"/>
    </w:p>
    <w:bookmarkEnd w:id="11"/>
    <w:p w14:paraId="09657029" w14:textId="77777777" w:rsidR="007470BD" w:rsidRPr="00942352" w:rsidRDefault="007470BD">
      <w:pPr>
        <w:pStyle w:val="Normal1linespace"/>
      </w:pPr>
    </w:p>
    <w:p w14:paraId="138C7F02" w14:textId="77777777" w:rsidR="00E94CBF" w:rsidRPr="00942352" w:rsidRDefault="00E94CBF">
      <w:pPr>
        <w:pStyle w:val="Normal1linespace"/>
      </w:pPr>
    </w:p>
    <w:p w14:paraId="0FF1265A" w14:textId="77777777" w:rsidR="00395B24" w:rsidRPr="00942352" w:rsidRDefault="00395B24">
      <w:pPr>
        <w:pStyle w:val="Normal1linespace"/>
        <w:sectPr w:rsidR="00395B24" w:rsidRPr="00942352" w:rsidSect="001F24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40" w:right="1440" w:bottom="1440" w:left="1440" w:header="851" w:footer="768" w:gutter="0"/>
          <w:pgNumType w:start="1"/>
          <w:cols w:space="720"/>
          <w:noEndnote/>
          <w:titlePg/>
        </w:sectPr>
      </w:pPr>
    </w:p>
    <w:p w14:paraId="31590E22" w14:textId="77777777" w:rsidR="008C7167" w:rsidRPr="00942352" w:rsidRDefault="0011419D" w:rsidP="00045BB7">
      <w:pPr>
        <w:pStyle w:val="NormalHeadings"/>
        <w:spacing w:line="480" w:lineRule="auto"/>
        <w:jc w:val="center"/>
        <w:rPr>
          <w:sz w:val="28"/>
          <w:szCs w:val="28"/>
        </w:rPr>
      </w:pPr>
      <w:r w:rsidRPr="00942352">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942352" w14:paraId="203F4DA7" w14:textId="77777777" w:rsidTr="00E81DA6">
        <w:tc>
          <w:tcPr>
            <w:tcW w:w="6912" w:type="dxa"/>
            <w:gridSpan w:val="2"/>
          </w:tcPr>
          <w:p w14:paraId="407FF41C" w14:textId="77777777" w:rsidR="00A46CCC" w:rsidRPr="00942352" w:rsidRDefault="00A46CCC" w:rsidP="00525A49">
            <w:pPr>
              <w:pStyle w:val="NormalHeadings"/>
            </w:pPr>
          </w:p>
        </w:tc>
        <w:tc>
          <w:tcPr>
            <w:tcW w:w="2330" w:type="dxa"/>
          </w:tcPr>
          <w:p w14:paraId="07C4B423" w14:textId="77777777" w:rsidR="00A46CCC" w:rsidRPr="00942352" w:rsidRDefault="00367420" w:rsidP="00F92355">
            <w:pPr>
              <w:pStyle w:val="NormalHeadings"/>
              <w:jc w:val="right"/>
            </w:pPr>
            <w:bookmarkStart w:id="12" w:name="FileNo"/>
            <w:r w:rsidRPr="00942352">
              <w:t>NSD 1330 of 2021</w:t>
            </w:r>
            <w:bookmarkEnd w:id="12"/>
          </w:p>
        </w:tc>
      </w:tr>
      <w:tr w:rsidR="00A76C13" w:rsidRPr="00942352" w14:paraId="12653ED0" w14:textId="77777777" w:rsidTr="006823E6">
        <w:tc>
          <w:tcPr>
            <w:tcW w:w="9242" w:type="dxa"/>
            <w:gridSpan w:val="3"/>
          </w:tcPr>
          <w:p w14:paraId="3792B637" w14:textId="77777777" w:rsidR="00A76C13" w:rsidRPr="00942352" w:rsidRDefault="00367420" w:rsidP="00367420">
            <w:pPr>
              <w:pStyle w:val="NormalHeadings"/>
              <w:spacing w:before="240" w:after="240"/>
              <w:jc w:val="left"/>
            </w:pPr>
            <w:bookmarkStart w:id="13" w:name="InTheMatterOf"/>
            <w:r w:rsidRPr="00942352">
              <w:t>IN THE MATTER OF JAMES EDWARD MURRAY</w:t>
            </w:r>
            <w:bookmarkEnd w:id="13"/>
          </w:p>
        </w:tc>
      </w:tr>
      <w:tr w:rsidR="00A46CCC" w:rsidRPr="00942352" w14:paraId="0F405D32" w14:textId="77777777" w:rsidTr="006823E6">
        <w:trPr>
          <w:trHeight w:val="386"/>
        </w:trPr>
        <w:tc>
          <w:tcPr>
            <w:tcW w:w="2376" w:type="dxa"/>
          </w:tcPr>
          <w:p w14:paraId="51277B71" w14:textId="77777777" w:rsidR="00A46CCC" w:rsidRPr="00942352" w:rsidRDefault="00A46CCC" w:rsidP="006823E6">
            <w:pPr>
              <w:pStyle w:val="NormalHeadings"/>
              <w:jc w:val="left"/>
              <w:rPr>
                <w:caps/>
                <w:szCs w:val="24"/>
              </w:rPr>
            </w:pPr>
            <w:bookmarkStart w:id="14" w:name="Parties"/>
            <w:r w:rsidRPr="00942352">
              <w:rPr>
                <w:caps/>
                <w:szCs w:val="24"/>
              </w:rPr>
              <w:t>BETWEEN:</w:t>
            </w:r>
          </w:p>
        </w:tc>
        <w:tc>
          <w:tcPr>
            <w:tcW w:w="6866" w:type="dxa"/>
            <w:gridSpan w:val="2"/>
          </w:tcPr>
          <w:p w14:paraId="72B77BA2" w14:textId="77777777" w:rsidR="00367420" w:rsidRPr="00942352" w:rsidRDefault="00367420" w:rsidP="00367420">
            <w:pPr>
              <w:pStyle w:val="NormalHeadings"/>
              <w:jc w:val="left"/>
            </w:pPr>
            <w:bookmarkStart w:id="15" w:name="Applicant"/>
            <w:r w:rsidRPr="00942352">
              <w:t>ROBERT JOHN KITE AS THE TRUSTEE OF THE PROPERTY OF JAMES EDWARD MURRAY, A BANKRUPT</w:t>
            </w:r>
          </w:p>
          <w:p w14:paraId="040EF10A" w14:textId="77777777" w:rsidR="00367420" w:rsidRPr="00942352" w:rsidRDefault="00367420" w:rsidP="00367420">
            <w:pPr>
              <w:pStyle w:val="PartyType"/>
            </w:pPr>
            <w:r w:rsidRPr="00942352">
              <w:t>Applicant</w:t>
            </w:r>
          </w:p>
          <w:bookmarkEnd w:id="15"/>
          <w:p w14:paraId="4C41B16C" w14:textId="77777777" w:rsidR="00A46CCC" w:rsidRPr="00942352" w:rsidRDefault="00A46CCC" w:rsidP="006823E6">
            <w:pPr>
              <w:pStyle w:val="NormalHeadings"/>
              <w:jc w:val="left"/>
            </w:pPr>
          </w:p>
        </w:tc>
      </w:tr>
      <w:tr w:rsidR="00A46CCC" w:rsidRPr="00942352" w14:paraId="6CFE6CDB" w14:textId="77777777" w:rsidTr="006823E6">
        <w:trPr>
          <w:trHeight w:val="386"/>
        </w:trPr>
        <w:tc>
          <w:tcPr>
            <w:tcW w:w="2376" w:type="dxa"/>
          </w:tcPr>
          <w:p w14:paraId="3343FC4A" w14:textId="77777777" w:rsidR="00A46CCC" w:rsidRPr="00942352" w:rsidRDefault="00A46CCC" w:rsidP="006823E6">
            <w:pPr>
              <w:pStyle w:val="NormalHeadings"/>
              <w:jc w:val="left"/>
              <w:rPr>
                <w:caps/>
                <w:szCs w:val="24"/>
              </w:rPr>
            </w:pPr>
            <w:r w:rsidRPr="00942352">
              <w:rPr>
                <w:caps/>
                <w:szCs w:val="24"/>
              </w:rPr>
              <w:t>AND:</w:t>
            </w:r>
          </w:p>
        </w:tc>
        <w:tc>
          <w:tcPr>
            <w:tcW w:w="6866" w:type="dxa"/>
            <w:gridSpan w:val="2"/>
          </w:tcPr>
          <w:p w14:paraId="52327467" w14:textId="77777777" w:rsidR="00367420" w:rsidRPr="00942352" w:rsidRDefault="00367420" w:rsidP="00367420">
            <w:pPr>
              <w:pStyle w:val="NormalHeadings"/>
              <w:jc w:val="left"/>
            </w:pPr>
            <w:bookmarkStart w:id="16" w:name="Respondent"/>
            <w:r w:rsidRPr="00942352">
              <w:t>MELLISSA BEVERLEY MURRAY</w:t>
            </w:r>
          </w:p>
          <w:p w14:paraId="74A8853B" w14:textId="77777777" w:rsidR="00367420" w:rsidRPr="00942352" w:rsidRDefault="00367420" w:rsidP="00367420">
            <w:pPr>
              <w:pStyle w:val="PartyType"/>
            </w:pPr>
            <w:r w:rsidRPr="00942352">
              <w:t>Respondent</w:t>
            </w:r>
          </w:p>
          <w:bookmarkEnd w:id="16"/>
          <w:p w14:paraId="000C2545" w14:textId="77777777" w:rsidR="00A46CCC" w:rsidRPr="00942352" w:rsidRDefault="00A46CCC" w:rsidP="006823E6">
            <w:pPr>
              <w:pStyle w:val="NormalHeadings"/>
              <w:jc w:val="left"/>
            </w:pPr>
          </w:p>
        </w:tc>
      </w:tr>
    </w:tbl>
    <w:p w14:paraId="77A2EE84" w14:textId="77777777" w:rsidR="00395B24" w:rsidRPr="00942352"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rsidRPr="00942352" w14:paraId="6E262F9B" w14:textId="77777777">
        <w:tc>
          <w:tcPr>
            <w:tcW w:w="2376" w:type="dxa"/>
          </w:tcPr>
          <w:p w14:paraId="40A5273A" w14:textId="77777777" w:rsidR="00395B24" w:rsidRPr="00942352" w:rsidRDefault="00974709">
            <w:pPr>
              <w:pStyle w:val="NormalHeadings"/>
              <w:spacing w:after="120"/>
              <w:jc w:val="left"/>
              <w:rPr>
                <w:caps/>
                <w:szCs w:val="24"/>
              </w:rPr>
            </w:pPr>
            <w:bookmarkStart w:id="18" w:name="JudgeText"/>
            <w:r w:rsidRPr="00942352">
              <w:rPr>
                <w:caps/>
                <w:szCs w:val="24"/>
              </w:rPr>
              <w:t>order made by</w:t>
            </w:r>
            <w:bookmarkEnd w:id="18"/>
            <w:r w:rsidR="002C7385" w:rsidRPr="00942352">
              <w:rPr>
                <w:caps/>
                <w:szCs w:val="24"/>
              </w:rPr>
              <w:t>:</w:t>
            </w:r>
          </w:p>
        </w:tc>
        <w:tc>
          <w:tcPr>
            <w:tcW w:w="6866" w:type="dxa"/>
          </w:tcPr>
          <w:p w14:paraId="1ADEBDDB" w14:textId="77777777" w:rsidR="00395B24" w:rsidRPr="00942352" w:rsidRDefault="00367420">
            <w:pPr>
              <w:pStyle w:val="NormalHeadings"/>
              <w:jc w:val="left"/>
              <w:rPr>
                <w:caps/>
                <w:szCs w:val="24"/>
              </w:rPr>
            </w:pPr>
            <w:bookmarkStart w:id="19" w:name="Judge"/>
            <w:r w:rsidRPr="00942352">
              <w:rPr>
                <w:caps/>
                <w:szCs w:val="24"/>
              </w:rPr>
              <w:t>RAPER J</w:t>
            </w:r>
            <w:bookmarkEnd w:id="19"/>
          </w:p>
        </w:tc>
      </w:tr>
      <w:tr w:rsidR="00395B24" w:rsidRPr="00942352" w14:paraId="73939DE7" w14:textId="77777777">
        <w:tc>
          <w:tcPr>
            <w:tcW w:w="2376" w:type="dxa"/>
          </w:tcPr>
          <w:p w14:paraId="49FD3E3A" w14:textId="77777777" w:rsidR="00395B24" w:rsidRPr="00942352" w:rsidRDefault="002C7385">
            <w:pPr>
              <w:pStyle w:val="NormalHeadings"/>
              <w:spacing w:after="120"/>
              <w:jc w:val="left"/>
              <w:rPr>
                <w:caps/>
                <w:szCs w:val="24"/>
              </w:rPr>
            </w:pPr>
            <w:r w:rsidRPr="00942352">
              <w:rPr>
                <w:caps/>
                <w:szCs w:val="24"/>
              </w:rPr>
              <w:t>DATE OF ORDER:</w:t>
            </w:r>
          </w:p>
        </w:tc>
        <w:tc>
          <w:tcPr>
            <w:tcW w:w="6866" w:type="dxa"/>
          </w:tcPr>
          <w:p w14:paraId="134906B9" w14:textId="19348BB8" w:rsidR="00395B24" w:rsidRPr="00942352" w:rsidRDefault="00BB04FF">
            <w:pPr>
              <w:pStyle w:val="NormalHeadings"/>
              <w:jc w:val="left"/>
              <w:rPr>
                <w:caps/>
                <w:szCs w:val="24"/>
              </w:rPr>
            </w:pPr>
            <w:bookmarkStart w:id="20" w:name="Judgment_Dated"/>
            <w:r w:rsidRPr="00942352">
              <w:rPr>
                <w:caps/>
                <w:szCs w:val="24"/>
              </w:rPr>
              <w:t>10 March 2023</w:t>
            </w:r>
            <w:bookmarkEnd w:id="20"/>
          </w:p>
        </w:tc>
      </w:tr>
    </w:tbl>
    <w:p w14:paraId="011D97B0" w14:textId="77777777" w:rsidR="00395B24" w:rsidRPr="00942352" w:rsidRDefault="00395B24">
      <w:pPr>
        <w:pStyle w:val="NormalHeadings"/>
        <w:rPr>
          <w:b w:val="0"/>
        </w:rPr>
      </w:pPr>
    </w:p>
    <w:p w14:paraId="6750FCA6" w14:textId="77777777" w:rsidR="008D1617" w:rsidRPr="00942352" w:rsidRDefault="008D1617">
      <w:pPr>
        <w:pStyle w:val="NormalHeadings"/>
        <w:rPr>
          <w:b w:val="0"/>
        </w:rPr>
      </w:pPr>
    </w:p>
    <w:p w14:paraId="24AF61CC" w14:textId="7A829CCD" w:rsidR="00A014CB" w:rsidRPr="00942352" w:rsidRDefault="002C7385" w:rsidP="002402FE">
      <w:pPr>
        <w:pStyle w:val="NormalHeadings"/>
      </w:pPr>
      <w:r w:rsidRPr="00942352">
        <w:t>THE COURT ORDERS THAT:</w:t>
      </w:r>
    </w:p>
    <w:p w14:paraId="7FC651F0" w14:textId="77777777" w:rsidR="002402FE" w:rsidRPr="00942352" w:rsidRDefault="002402FE" w:rsidP="002402FE">
      <w:pPr>
        <w:pStyle w:val="NormalHeadings"/>
      </w:pPr>
    </w:p>
    <w:p w14:paraId="6B18CB32" w14:textId="34319BC9" w:rsidR="00A014CB" w:rsidRPr="00942352" w:rsidRDefault="00155C95" w:rsidP="00155C95">
      <w:pPr>
        <w:pStyle w:val="Order1"/>
        <w:numPr>
          <w:ilvl w:val="0"/>
          <w:numId w:val="0"/>
        </w:numPr>
        <w:tabs>
          <w:tab w:val="left" w:pos="720"/>
        </w:tabs>
        <w:ind w:left="720" w:hanging="720"/>
      </w:pPr>
      <w:r w:rsidRPr="00942352">
        <w:t>1.</w:t>
      </w:r>
      <w:r w:rsidRPr="00942352">
        <w:tab/>
      </w:r>
      <w:r w:rsidR="00A014CB" w:rsidRPr="00942352">
        <w:rPr>
          <w:color w:val="000000"/>
          <w:szCs w:val="24"/>
        </w:rPr>
        <w:t xml:space="preserve">By </w:t>
      </w:r>
      <w:r w:rsidR="00BB04FF" w:rsidRPr="00942352">
        <w:rPr>
          <w:color w:val="000000"/>
          <w:szCs w:val="24"/>
        </w:rPr>
        <w:t>6 April 2023,</w:t>
      </w:r>
      <w:r w:rsidR="00A014CB" w:rsidRPr="00942352">
        <w:rPr>
          <w:color w:val="000000"/>
          <w:szCs w:val="24"/>
        </w:rPr>
        <w:t xml:space="preserve"> the parties are to confer and provide draft orders to the Associate to </w:t>
      </w:r>
      <w:r w:rsidR="002402FE" w:rsidRPr="00942352">
        <w:rPr>
          <w:color w:val="000000"/>
          <w:szCs w:val="24"/>
        </w:rPr>
        <w:t xml:space="preserve">Justice </w:t>
      </w:r>
      <w:r w:rsidR="00A014CB" w:rsidRPr="00942352">
        <w:rPr>
          <w:color w:val="000000"/>
          <w:szCs w:val="24"/>
        </w:rPr>
        <w:t>Raper giving effect to these reasons including in relation to the question of costs of the proceeding.</w:t>
      </w:r>
    </w:p>
    <w:p w14:paraId="0F1041C5" w14:textId="6CD14ADB" w:rsidR="00A014CB" w:rsidRPr="00942352" w:rsidRDefault="00155C95" w:rsidP="00155C95">
      <w:pPr>
        <w:pStyle w:val="Order1"/>
        <w:numPr>
          <w:ilvl w:val="0"/>
          <w:numId w:val="0"/>
        </w:numPr>
        <w:tabs>
          <w:tab w:val="left" w:pos="720"/>
        </w:tabs>
        <w:ind w:left="720" w:hanging="720"/>
      </w:pPr>
      <w:r w:rsidRPr="00942352">
        <w:t>2.</w:t>
      </w:r>
      <w:r w:rsidRPr="00942352">
        <w:tab/>
      </w:r>
      <w:r w:rsidR="00A014CB" w:rsidRPr="00942352">
        <w:rPr>
          <w:color w:val="000000"/>
          <w:szCs w:val="24"/>
        </w:rPr>
        <w:t>If the parties cannot agree on the form of proposed o</w:t>
      </w:r>
      <w:r w:rsidR="002402FE" w:rsidRPr="00942352">
        <w:rPr>
          <w:color w:val="000000"/>
          <w:szCs w:val="24"/>
        </w:rPr>
        <w:t>rders as contemplated by Order 1</w:t>
      </w:r>
      <w:r w:rsidR="00A014CB" w:rsidRPr="00942352">
        <w:rPr>
          <w:color w:val="000000"/>
          <w:szCs w:val="24"/>
        </w:rPr>
        <w:t>:</w:t>
      </w:r>
    </w:p>
    <w:p w14:paraId="6D5FD87C" w14:textId="4F64E5D0" w:rsidR="00A014CB" w:rsidRPr="00942352" w:rsidRDefault="00155C95" w:rsidP="00155C95">
      <w:pPr>
        <w:pStyle w:val="Order2"/>
        <w:numPr>
          <w:ilvl w:val="0"/>
          <w:numId w:val="0"/>
        </w:numPr>
        <w:tabs>
          <w:tab w:val="left" w:pos="1440"/>
        </w:tabs>
        <w:ind w:left="1440" w:hanging="720"/>
      </w:pPr>
      <w:r w:rsidRPr="00942352">
        <w:t>(a)</w:t>
      </w:r>
      <w:r w:rsidRPr="00942352">
        <w:tab/>
      </w:r>
      <w:r w:rsidR="00A014CB" w:rsidRPr="00942352">
        <w:t xml:space="preserve">by </w:t>
      </w:r>
      <w:r w:rsidR="00BB04FF" w:rsidRPr="00942352">
        <w:t>6 April 2023</w:t>
      </w:r>
      <w:r w:rsidR="00A014CB" w:rsidRPr="00942352">
        <w:t xml:space="preserve"> they are each to provide the Associate to </w:t>
      </w:r>
      <w:r w:rsidR="002402FE" w:rsidRPr="00942352">
        <w:t xml:space="preserve">Justice </w:t>
      </w:r>
      <w:r w:rsidR="00A014CB" w:rsidRPr="00942352">
        <w:t>Raper with a form of proposed orders giving effect to these reasons including in relation to the question of costs</w:t>
      </w:r>
      <w:r w:rsidR="00EE11AC">
        <w:t>,</w:t>
      </w:r>
      <w:r w:rsidR="00A014CB" w:rsidRPr="00942352">
        <w:t xml:space="preserve"> and submissions, not exceeding </w:t>
      </w:r>
      <w:r w:rsidR="002402FE" w:rsidRPr="00942352">
        <w:t>five (5)</w:t>
      </w:r>
      <w:r w:rsidR="00A014CB" w:rsidRPr="00942352">
        <w:t xml:space="preserve"> pages in length; and</w:t>
      </w:r>
    </w:p>
    <w:p w14:paraId="4425E14B" w14:textId="5407EEE7" w:rsidR="00A014CB" w:rsidRPr="00942352" w:rsidRDefault="00155C95" w:rsidP="00155C95">
      <w:pPr>
        <w:pStyle w:val="Order2"/>
        <w:numPr>
          <w:ilvl w:val="0"/>
          <w:numId w:val="0"/>
        </w:numPr>
        <w:tabs>
          <w:tab w:val="left" w:pos="1440"/>
        </w:tabs>
        <w:ind w:left="1440" w:hanging="720"/>
      </w:pPr>
      <w:r w:rsidRPr="00942352">
        <w:t>(b)</w:t>
      </w:r>
      <w:r w:rsidRPr="00942352">
        <w:tab/>
      </w:r>
      <w:proofErr w:type="gramStart"/>
      <w:r w:rsidR="00A014CB" w:rsidRPr="00942352">
        <w:rPr>
          <w:color w:val="000000"/>
          <w:szCs w:val="24"/>
        </w:rPr>
        <w:t>the</w:t>
      </w:r>
      <w:proofErr w:type="gramEnd"/>
      <w:r w:rsidR="00A014CB" w:rsidRPr="00942352">
        <w:rPr>
          <w:color w:val="000000"/>
          <w:szCs w:val="24"/>
        </w:rPr>
        <w:t xml:space="preserve"> proceeding will be listed on a mutually convenient date for </w:t>
      </w:r>
      <w:r w:rsidR="00EE11AC">
        <w:rPr>
          <w:color w:val="000000"/>
          <w:szCs w:val="24"/>
        </w:rPr>
        <w:t xml:space="preserve">a </w:t>
      </w:r>
      <w:r w:rsidR="00A014CB" w:rsidRPr="00942352">
        <w:rPr>
          <w:color w:val="000000"/>
          <w:szCs w:val="24"/>
        </w:rPr>
        <w:t xml:space="preserve">case </w:t>
      </w:r>
      <w:r w:rsidR="003011B3" w:rsidRPr="00942352">
        <w:rPr>
          <w:color w:val="000000"/>
          <w:szCs w:val="24"/>
        </w:rPr>
        <w:t>m</w:t>
      </w:r>
      <w:r w:rsidR="00A014CB" w:rsidRPr="00942352">
        <w:rPr>
          <w:color w:val="000000"/>
          <w:szCs w:val="24"/>
        </w:rPr>
        <w:t>anagement hearing in order to resolve the form of orders.</w:t>
      </w:r>
    </w:p>
    <w:p w14:paraId="1750464C" w14:textId="77777777" w:rsidR="00A431E6" w:rsidRPr="00942352" w:rsidRDefault="00A431E6" w:rsidP="001A6C52">
      <w:pPr>
        <w:pStyle w:val="BodyText"/>
      </w:pPr>
    </w:p>
    <w:p w14:paraId="7DA58EAC" w14:textId="77777777" w:rsidR="0050309C" w:rsidRPr="00942352" w:rsidRDefault="00367420" w:rsidP="004D53E5">
      <w:pPr>
        <w:pStyle w:val="SingleSpace"/>
      </w:pPr>
      <w:bookmarkStart w:id="21" w:name="OrdersStatement"/>
      <w:r w:rsidRPr="00942352">
        <w:t>Note:</w:t>
      </w:r>
      <w:r w:rsidRPr="00942352">
        <w:tab/>
        <w:t xml:space="preserve">Entry of orders is dealt with in Rule 39.32 of the </w:t>
      </w:r>
      <w:r w:rsidRPr="00942352">
        <w:rPr>
          <w:i/>
        </w:rPr>
        <w:t>Federal Court Rules 2011</w:t>
      </w:r>
      <w:r w:rsidRPr="00942352">
        <w:t>.</w:t>
      </w:r>
      <w:bookmarkEnd w:id="21"/>
    </w:p>
    <w:p w14:paraId="535F5E1C" w14:textId="77777777" w:rsidR="00E23577" w:rsidRPr="00942352" w:rsidRDefault="00E23577" w:rsidP="002B0E91">
      <w:pPr>
        <w:pStyle w:val="BodyText"/>
      </w:pPr>
    </w:p>
    <w:p w14:paraId="0CAA3B4E" w14:textId="77777777" w:rsidR="00395B24" w:rsidRPr="00942352" w:rsidRDefault="00395B24">
      <w:pPr>
        <w:pStyle w:val="NormalHeadings"/>
        <w:spacing w:before="240" w:after="120"/>
        <w:rPr>
          <w:b w:val="0"/>
        </w:rPr>
        <w:sectPr w:rsidR="00395B24" w:rsidRPr="00942352" w:rsidSect="0092590B">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fmt="lowerRoman" w:start="1"/>
          <w:cols w:space="720"/>
          <w:noEndnote/>
          <w:titlePg/>
        </w:sectPr>
      </w:pPr>
    </w:p>
    <w:p w14:paraId="79B1DEB9" w14:textId="77777777" w:rsidR="00484F6D" w:rsidRPr="00942352" w:rsidRDefault="00484F6D" w:rsidP="00045BB7">
      <w:pPr>
        <w:pStyle w:val="NormalHeadings"/>
        <w:spacing w:line="480" w:lineRule="auto"/>
        <w:jc w:val="center"/>
        <w:rPr>
          <w:sz w:val="28"/>
          <w:szCs w:val="28"/>
        </w:rPr>
      </w:pPr>
      <w:bookmarkStart w:id="22" w:name="ReasonsPage"/>
      <w:bookmarkEnd w:id="22"/>
      <w:r w:rsidRPr="00942352">
        <w:rPr>
          <w:sz w:val="28"/>
          <w:szCs w:val="28"/>
        </w:rPr>
        <w:lastRenderedPageBreak/>
        <w:t>REASONS FOR JUDGMENT</w:t>
      </w:r>
    </w:p>
    <w:p w14:paraId="07427571" w14:textId="56EEFEB3" w:rsidR="00570ADC" w:rsidRDefault="001D7DA0" w:rsidP="005E0510">
      <w:pPr>
        <w:pStyle w:val="NormalHeadings"/>
        <w:spacing w:line="360" w:lineRule="auto"/>
        <w:jc w:val="left"/>
        <w:rPr>
          <w:sz w:val="26"/>
          <w:szCs w:val="26"/>
        </w:rPr>
      </w:pPr>
      <w:r w:rsidRPr="00942352">
        <w:rPr>
          <w:sz w:val="26"/>
          <w:szCs w:val="26"/>
        </w:rPr>
        <w:t>RAPER J</w:t>
      </w:r>
    </w:p>
    <w:tbl>
      <w:tblPr>
        <w:tblW w:w="9291" w:type="dxa"/>
        <w:tblLook w:val="01E0" w:firstRow="1" w:lastRow="1" w:firstColumn="1" w:lastColumn="1" w:noHBand="0" w:noVBand="0"/>
      </w:tblPr>
      <w:tblGrid>
        <w:gridCol w:w="8291"/>
        <w:gridCol w:w="1000"/>
      </w:tblGrid>
      <w:tr w:rsidR="007D7327" w:rsidRPr="00D326DB" w14:paraId="7251F4D0" w14:textId="77777777" w:rsidTr="007D7327">
        <w:tc>
          <w:tcPr>
            <w:tcW w:w="8291" w:type="dxa"/>
            <w:shd w:val="clear" w:color="auto" w:fill="auto"/>
          </w:tcPr>
          <w:bookmarkStart w:id="23" w:name="PTOC"/>
          <w:p w14:paraId="4ED90EDF" w14:textId="05F64005" w:rsidR="007D7327" w:rsidRPr="007D7327" w:rsidRDefault="007D7327" w:rsidP="007D7327">
            <w:pPr>
              <w:pStyle w:val="FTOC2"/>
              <w:tabs>
                <w:tab w:val="clear" w:pos="9072"/>
              </w:tabs>
              <w:rPr>
                <w:lang w:eastAsia="en-AU"/>
              </w:rPr>
            </w:pPr>
            <w:r>
              <w:rPr>
                <w:lang w:eastAsia="en-AU"/>
              </w:rPr>
              <w:fldChar w:fldCharType="begin"/>
            </w:r>
            <w:r>
              <w:rPr>
                <w:lang w:eastAsia="en-AU"/>
              </w:rPr>
              <w:instrText xml:space="preserve"> REF _Ref126916168 \h </w:instrText>
            </w:r>
            <w:r>
              <w:rPr>
                <w:lang w:eastAsia="en-AU"/>
              </w:rPr>
            </w:r>
            <w:r>
              <w:rPr>
                <w:lang w:eastAsia="en-AU"/>
              </w:rPr>
              <w:fldChar w:fldCharType="separate"/>
            </w:r>
            <w:r w:rsidR="002B380F" w:rsidRPr="00942352">
              <w:t>Introduction</w:t>
            </w:r>
            <w:r>
              <w:rPr>
                <w:lang w:eastAsia="en-AU"/>
              </w:rPr>
              <w:fldChar w:fldCharType="end"/>
            </w:r>
          </w:p>
        </w:tc>
        <w:tc>
          <w:tcPr>
            <w:tcW w:w="1000" w:type="dxa"/>
            <w:shd w:val="clear" w:color="auto" w:fill="auto"/>
            <w:vAlign w:val="bottom"/>
          </w:tcPr>
          <w:p w14:paraId="781C5767" w14:textId="075FA5C3" w:rsidR="007D7327" w:rsidRDefault="007D7327" w:rsidP="004A5066">
            <w:pPr>
              <w:spacing w:before="120" w:after="60" w:line="240" w:lineRule="auto"/>
              <w:jc w:val="right"/>
              <w:rPr>
                <w:szCs w:val="24"/>
              </w:rPr>
            </w:pPr>
            <w:r>
              <w:rPr>
                <w:szCs w:val="24"/>
              </w:rPr>
              <w:t>[1]</w:t>
            </w:r>
          </w:p>
        </w:tc>
      </w:tr>
      <w:tr w:rsidR="007D7327" w:rsidRPr="00D326DB" w14:paraId="6554F59E" w14:textId="77777777" w:rsidTr="007D7327">
        <w:tc>
          <w:tcPr>
            <w:tcW w:w="8291" w:type="dxa"/>
            <w:shd w:val="clear" w:color="auto" w:fill="auto"/>
          </w:tcPr>
          <w:p w14:paraId="570B085D" w14:textId="44DCE9FB" w:rsidR="007D7327" w:rsidRPr="007D7327" w:rsidRDefault="007D7327" w:rsidP="007D7327">
            <w:pPr>
              <w:pStyle w:val="FTOC2"/>
              <w:tabs>
                <w:tab w:val="clear" w:pos="9072"/>
              </w:tabs>
              <w:rPr>
                <w:lang w:eastAsia="en-AU"/>
              </w:rPr>
            </w:pPr>
            <w:r>
              <w:rPr>
                <w:lang w:eastAsia="en-AU"/>
              </w:rPr>
              <w:fldChar w:fldCharType="begin"/>
            </w:r>
            <w:r>
              <w:rPr>
                <w:lang w:eastAsia="en-AU"/>
              </w:rPr>
              <w:instrText xml:space="preserve"> REF _Ref129010198 \h </w:instrText>
            </w:r>
            <w:r>
              <w:rPr>
                <w:lang w:eastAsia="en-AU"/>
              </w:rPr>
            </w:r>
            <w:r>
              <w:rPr>
                <w:lang w:eastAsia="en-AU"/>
              </w:rPr>
              <w:fldChar w:fldCharType="separate"/>
            </w:r>
            <w:r w:rsidR="002B380F" w:rsidRPr="00942352">
              <w:t>The Amended Application</w:t>
            </w:r>
            <w:r>
              <w:rPr>
                <w:lang w:eastAsia="en-AU"/>
              </w:rPr>
              <w:fldChar w:fldCharType="end"/>
            </w:r>
          </w:p>
        </w:tc>
        <w:tc>
          <w:tcPr>
            <w:tcW w:w="1000" w:type="dxa"/>
            <w:shd w:val="clear" w:color="auto" w:fill="auto"/>
            <w:vAlign w:val="bottom"/>
          </w:tcPr>
          <w:p w14:paraId="5D4CC601" w14:textId="649D48C0" w:rsidR="007D7327" w:rsidRDefault="007D7327" w:rsidP="004A5066">
            <w:pPr>
              <w:spacing w:before="120" w:after="60" w:line="240" w:lineRule="auto"/>
              <w:jc w:val="right"/>
              <w:rPr>
                <w:szCs w:val="24"/>
              </w:rPr>
            </w:pPr>
            <w:r>
              <w:rPr>
                <w:szCs w:val="24"/>
              </w:rPr>
              <w:t>[3]</w:t>
            </w:r>
          </w:p>
        </w:tc>
      </w:tr>
      <w:tr w:rsidR="007D7327" w:rsidRPr="00D326DB" w14:paraId="094F9D3C" w14:textId="77777777" w:rsidTr="007D7327">
        <w:tc>
          <w:tcPr>
            <w:tcW w:w="8291" w:type="dxa"/>
            <w:shd w:val="clear" w:color="auto" w:fill="auto"/>
          </w:tcPr>
          <w:p w14:paraId="7DD223E5" w14:textId="7B70582D" w:rsidR="007D7327" w:rsidRPr="007D7327" w:rsidRDefault="007D7327" w:rsidP="007D7327">
            <w:pPr>
              <w:pStyle w:val="FTOC2"/>
              <w:tabs>
                <w:tab w:val="clear" w:pos="9072"/>
              </w:tabs>
              <w:rPr>
                <w:lang w:eastAsia="en-AU"/>
              </w:rPr>
            </w:pPr>
            <w:r>
              <w:rPr>
                <w:lang w:eastAsia="en-AU"/>
              </w:rPr>
              <w:fldChar w:fldCharType="begin"/>
            </w:r>
            <w:r>
              <w:rPr>
                <w:lang w:eastAsia="en-AU"/>
              </w:rPr>
              <w:instrText xml:space="preserve"> REF _Ref128755626 \h </w:instrText>
            </w:r>
            <w:r>
              <w:rPr>
                <w:lang w:eastAsia="en-AU"/>
              </w:rPr>
            </w:r>
            <w:r>
              <w:rPr>
                <w:lang w:eastAsia="en-AU"/>
              </w:rPr>
              <w:fldChar w:fldCharType="separate"/>
            </w:r>
            <w:r w:rsidR="002B380F" w:rsidRPr="00942352">
              <w:t>Interaction between the respective claims</w:t>
            </w:r>
            <w:r>
              <w:rPr>
                <w:lang w:eastAsia="en-AU"/>
              </w:rPr>
              <w:fldChar w:fldCharType="end"/>
            </w:r>
          </w:p>
        </w:tc>
        <w:tc>
          <w:tcPr>
            <w:tcW w:w="1000" w:type="dxa"/>
            <w:shd w:val="clear" w:color="auto" w:fill="auto"/>
            <w:vAlign w:val="bottom"/>
          </w:tcPr>
          <w:p w14:paraId="01B7F571" w14:textId="0715875C" w:rsidR="007D7327" w:rsidRDefault="007D7327" w:rsidP="004A5066">
            <w:pPr>
              <w:spacing w:before="120" w:after="60" w:line="240" w:lineRule="auto"/>
              <w:jc w:val="right"/>
              <w:rPr>
                <w:szCs w:val="24"/>
              </w:rPr>
            </w:pPr>
            <w:r>
              <w:rPr>
                <w:szCs w:val="24"/>
              </w:rPr>
              <w:t>[4]</w:t>
            </w:r>
          </w:p>
        </w:tc>
      </w:tr>
      <w:tr w:rsidR="007D7327" w:rsidRPr="00D326DB" w14:paraId="243975E7" w14:textId="77777777" w:rsidTr="007D7327">
        <w:tc>
          <w:tcPr>
            <w:tcW w:w="8291" w:type="dxa"/>
            <w:shd w:val="clear" w:color="auto" w:fill="auto"/>
          </w:tcPr>
          <w:p w14:paraId="04D74F48" w14:textId="4584984D" w:rsidR="007D7327" w:rsidRPr="007D7327" w:rsidRDefault="007D7327" w:rsidP="007D7327">
            <w:pPr>
              <w:pStyle w:val="FTOC2"/>
              <w:tabs>
                <w:tab w:val="clear" w:pos="9072"/>
              </w:tabs>
              <w:rPr>
                <w:lang w:eastAsia="en-AU"/>
              </w:rPr>
            </w:pPr>
            <w:r>
              <w:rPr>
                <w:lang w:eastAsia="en-AU"/>
              </w:rPr>
              <w:fldChar w:fldCharType="begin"/>
            </w:r>
            <w:r>
              <w:rPr>
                <w:lang w:eastAsia="en-AU"/>
              </w:rPr>
              <w:instrText xml:space="preserve"> REF _Ref128755627 \h </w:instrText>
            </w:r>
            <w:r>
              <w:rPr>
                <w:lang w:eastAsia="en-AU"/>
              </w:rPr>
            </w:r>
            <w:r>
              <w:rPr>
                <w:lang w:eastAsia="en-AU"/>
              </w:rPr>
              <w:fldChar w:fldCharType="separate"/>
            </w:r>
            <w:r w:rsidR="002B380F" w:rsidRPr="00942352">
              <w:t>Agreed factual overview</w:t>
            </w:r>
            <w:r>
              <w:rPr>
                <w:lang w:eastAsia="en-AU"/>
              </w:rPr>
              <w:fldChar w:fldCharType="end"/>
            </w:r>
          </w:p>
        </w:tc>
        <w:tc>
          <w:tcPr>
            <w:tcW w:w="1000" w:type="dxa"/>
            <w:shd w:val="clear" w:color="auto" w:fill="auto"/>
            <w:vAlign w:val="bottom"/>
          </w:tcPr>
          <w:p w14:paraId="53093B6C" w14:textId="5B98C8CB" w:rsidR="007D7327" w:rsidRDefault="007D7327" w:rsidP="004A5066">
            <w:pPr>
              <w:spacing w:before="120" w:after="60" w:line="240" w:lineRule="auto"/>
              <w:jc w:val="right"/>
              <w:rPr>
                <w:szCs w:val="24"/>
              </w:rPr>
            </w:pPr>
            <w:r>
              <w:rPr>
                <w:szCs w:val="24"/>
              </w:rPr>
              <w:t>[7]</w:t>
            </w:r>
          </w:p>
        </w:tc>
      </w:tr>
      <w:tr w:rsidR="007D7327" w:rsidRPr="00D326DB" w14:paraId="6908D711" w14:textId="77777777" w:rsidTr="007D7327">
        <w:tc>
          <w:tcPr>
            <w:tcW w:w="8291" w:type="dxa"/>
            <w:shd w:val="clear" w:color="auto" w:fill="auto"/>
          </w:tcPr>
          <w:p w14:paraId="7DEB7EED" w14:textId="77501D80" w:rsidR="007D7327" w:rsidRPr="007D7327" w:rsidRDefault="007D7327" w:rsidP="007D7327">
            <w:pPr>
              <w:pStyle w:val="FTOC2"/>
              <w:tabs>
                <w:tab w:val="clear" w:pos="9072"/>
              </w:tabs>
              <w:rPr>
                <w:lang w:eastAsia="en-AU"/>
              </w:rPr>
            </w:pPr>
            <w:r>
              <w:rPr>
                <w:lang w:eastAsia="en-AU"/>
              </w:rPr>
              <w:fldChar w:fldCharType="begin"/>
            </w:r>
            <w:r>
              <w:rPr>
                <w:lang w:eastAsia="en-AU"/>
              </w:rPr>
              <w:instrText xml:space="preserve"> REF _Ref126916172 \h </w:instrText>
            </w:r>
            <w:r>
              <w:rPr>
                <w:lang w:eastAsia="en-AU"/>
              </w:rPr>
            </w:r>
            <w:r>
              <w:rPr>
                <w:lang w:eastAsia="en-AU"/>
              </w:rPr>
              <w:fldChar w:fldCharType="separate"/>
            </w:r>
            <w:r w:rsidR="002B380F" w:rsidRPr="00942352">
              <w:t>Factual matters in dispute</w:t>
            </w:r>
            <w:r>
              <w:rPr>
                <w:lang w:eastAsia="en-AU"/>
              </w:rPr>
              <w:fldChar w:fldCharType="end"/>
            </w:r>
          </w:p>
        </w:tc>
        <w:tc>
          <w:tcPr>
            <w:tcW w:w="1000" w:type="dxa"/>
            <w:shd w:val="clear" w:color="auto" w:fill="auto"/>
            <w:vAlign w:val="bottom"/>
          </w:tcPr>
          <w:p w14:paraId="4E713B9D" w14:textId="2FF056C9" w:rsidR="007D7327" w:rsidRDefault="007D7327" w:rsidP="004A5066">
            <w:pPr>
              <w:spacing w:before="120" w:after="60" w:line="240" w:lineRule="auto"/>
              <w:jc w:val="right"/>
              <w:rPr>
                <w:szCs w:val="24"/>
              </w:rPr>
            </w:pPr>
            <w:r>
              <w:rPr>
                <w:szCs w:val="24"/>
              </w:rPr>
              <w:t>[19]</w:t>
            </w:r>
          </w:p>
        </w:tc>
      </w:tr>
      <w:tr w:rsidR="007D7327" w:rsidRPr="00D326DB" w14:paraId="784769E8" w14:textId="77777777" w:rsidTr="007D7327">
        <w:tc>
          <w:tcPr>
            <w:tcW w:w="8291" w:type="dxa"/>
            <w:shd w:val="clear" w:color="auto" w:fill="auto"/>
          </w:tcPr>
          <w:p w14:paraId="4986A8FB" w14:textId="5934F273" w:rsidR="007D7327" w:rsidRPr="007D7327" w:rsidRDefault="007D7327" w:rsidP="007D7327">
            <w:pPr>
              <w:pStyle w:val="FTOC2"/>
              <w:tabs>
                <w:tab w:val="clear" w:pos="9072"/>
              </w:tabs>
              <w:rPr>
                <w:lang w:eastAsia="en-AU"/>
              </w:rPr>
            </w:pPr>
            <w:r>
              <w:rPr>
                <w:lang w:eastAsia="en-AU"/>
              </w:rPr>
              <w:fldChar w:fldCharType="begin"/>
            </w:r>
            <w:r>
              <w:rPr>
                <w:lang w:eastAsia="en-AU"/>
              </w:rPr>
              <w:instrText xml:space="preserve"> REF _Ref126916174 \h </w:instrText>
            </w:r>
            <w:r>
              <w:rPr>
                <w:lang w:eastAsia="en-AU"/>
              </w:rPr>
            </w:r>
            <w:r>
              <w:rPr>
                <w:lang w:eastAsia="en-AU"/>
              </w:rPr>
              <w:fldChar w:fldCharType="separate"/>
            </w:r>
            <w:r w:rsidR="002B380F" w:rsidRPr="00942352">
              <w:t>The evidence</w:t>
            </w:r>
            <w:r>
              <w:rPr>
                <w:lang w:eastAsia="en-AU"/>
              </w:rPr>
              <w:fldChar w:fldCharType="end"/>
            </w:r>
          </w:p>
        </w:tc>
        <w:tc>
          <w:tcPr>
            <w:tcW w:w="1000" w:type="dxa"/>
            <w:shd w:val="clear" w:color="auto" w:fill="auto"/>
            <w:vAlign w:val="bottom"/>
          </w:tcPr>
          <w:p w14:paraId="4E0D88D6" w14:textId="22F3507B" w:rsidR="007D7327" w:rsidRDefault="007D7327" w:rsidP="004A5066">
            <w:pPr>
              <w:spacing w:before="120" w:after="60" w:line="240" w:lineRule="auto"/>
              <w:jc w:val="right"/>
              <w:rPr>
                <w:szCs w:val="24"/>
              </w:rPr>
            </w:pPr>
            <w:r>
              <w:rPr>
                <w:szCs w:val="24"/>
              </w:rPr>
              <w:t>[24]</w:t>
            </w:r>
          </w:p>
        </w:tc>
      </w:tr>
      <w:tr w:rsidR="007D7327" w:rsidRPr="00D326DB" w14:paraId="174D8A4E" w14:textId="77777777" w:rsidTr="007D7327">
        <w:tc>
          <w:tcPr>
            <w:tcW w:w="8291" w:type="dxa"/>
            <w:shd w:val="clear" w:color="auto" w:fill="auto"/>
          </w:tcPr>
          <w:p w14:paraId="38FDF09A" w14:textId="60F6CFC9"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_Ref127552602 \h </w:instrText>
            </w:r>
            <w:r>
              <w:rPr>
                <w:lang w:eastAsia="en-AU"/>
              </w:rPr>
            </w:r>
            <w:r>
              <w:rPr>
                <w:lang w:eastAsia="en-AU"/>
              </w:rPr>
              <w:fldChar w:fldCharType="separate"/>
            </w:r>
            <w:r w:rsidR="002B380F" w:rsidRPr="00942352">
              <w:t>Conclusions as to the bankrupt’s credit and findings</w:t>
            </w:r>
            <w:r>
              <w:rPr>
                <w:lang w:eastAsia="en-AU"/>
              </w:rPr>
              <w:fldChar w:fldCharType="end"/>
            </w:r>
          </w:p>
        </w:tc>
        <w:tc>
          <w:tcPr>
            <w:tcW w:w="1000" w:type="dxa"/>
            <w:shd w:val="clear" w:color="auto" w:fill="auto"/>
            <w:vAlign w:val="bottom"/>
          </w:tcPr>
          <w:p w14:paraId="010426B4" w14:textId="3EE76301" w:rsidR="007D7327" w:rsidRDefault="007D7327" w:rsidP="004A5066">
            <w:pPr>
              <w:spacing w:before="120" w:after="60" w:line="240" w:lineRule="auto"/>
              <w:jc w:val="right"/>
              <w:rPr>
                <w:szCs w:val="24"/>
              </w:rPr>
            </w:pPr>
            <w:r>
              <w:rPr>
                <w:szCs w:val="24"/>
              </w:rPr>
              <w:t>[41]</w:t>
            </w:r>
          </w:p>
        </w:tc>
      </w:tr>
      <w:tr w:rsidR="007D7327" w:rsidRPr="00D326DB" w14:paraId="45742764" w14:textId="77777777" w:rsidTr="007D7327">
        <w:tc>
          <w:tcPr>
            <w:tcW w:w="8291" w:type="dxa"/>
            <w:shd w:val="clear" w:color="auto" w:fill="auto"/>
          </w:tcPr>
          <w:p w14:paraId="6A73E598" w14:textId="573F67DB" w:rsidR="007D7327" w:rsidRPr="007D7327" w:rsidRDefault="007D7327" w:rsidP="007D7327">
            <w:pPr>
              <w:pStyle w:val="FTOC2"/>
              <w:tabs>
                <w:tab w:val="clear" w:pos="9072"/>
              </w:tabs>
              <w:rPr>
                <w:lang w:eastAsia="en-AU"/>
              </w:rPr>
            </w:pPr>
            <w:r>
              <w:rPr>
                <w:lang w:eastAsia="en-AU"/>
              </w:rPr>
              <w:fldChar w:fldCharType="begin"/>
            </w:r>
            <w:r>
              <w:rPr>
                <w:lang w:eastAsia="en-AU"/>
              </w:rPr>
              <w:instrText xml:space="preserve"> REF _Ref126916180 \h </w:instrText>
            </w:r>
            <w:r>
              <w:rPr>
                <w:lang w:eastAsia="en-AU"/>
              </w:rPr>
            </w:r>
            <w:r>
              <w:rPr>
                <w:lang w:eastAsia="en-AU"/>
              </w:rPr>
              <w:fldChar w:fldCharType="separate"/>
            </w:r>
            <w:r w:rsidR="002B380F" w:rsidRPr="00942352">
              <w:t>Consideration</w:t>
            </w:r>
            <w:r>
              <w:rPr>
                <w:lang w:eastAsia="en-AU"/>
              </w:rPr>
              <w:fldChar w:fldCharType="end"/>
            </w:r>
          </w:p>
        </w:tc>
        <w:tc>
          <w:tcPr>
            <w:tcW w:w="1000" w:type="dxa"/>
            <w:shd w:val="clear" w:color="auto" w:fill="auto"/>
            <w:vAlign w:val="bottom"/>
          </w:tcPr>
          <w:p w14:paraId="7B3BF007" w14:textId="32E43660" w:rsidR="007D7327" w:rsidRDefault="007D7327" w:rsidP="004A5066">
            <w:pPr>
              <w:spacing w:before="120" w:after="60" w:line="240" w:lineRule="auto"/>
              <w:jc w:val="right"/>
              <w:rPr>
                <w:szCs w:val="24"/>
              </w:rPr>
            </w:pPr>
            <w:r>
              <w:rPr>
                <w:szCs w:val="24"/>
              </w:rPr>
              <w:t>[44]</w:t>
            </w:r>
          </w:p>
        </w:tc>
      </w:tr>
      <w:tr w:rsidR="007D7327" w:rsidRPr="00D326DB" w14:paraId="1808EDAE" w14:textId="77777777" w:rsidTr="007D7327">
        <w:tc>
          <w:tcPr>
            <w:tcW w:w="8291" w:type="dxa"/>
            <w:shd w:val="clear" w:color="auto" w:fill="auto"/>
          </w:tcPr>
          <w:p w14:paraId="09C16E7A" w14:textId="1FC96228" w:rsidR="007D7327" w:rsidRPr="007D7327" w:rsidRDefault="007D7327" w:rsidP="007D7327">
            <w:pPr>
              <w:pStyle w:val="FTOC3"/>
              <w:tabs>
                <w:tab w:val="clear" w:pos="9072"/>
              </w:tabs>
              <w:rPr>
                <w:i w:val="0"/>
                <w:lang w:eastAsia="en-AU"/>
              </w:rPr>
            </w:pPr>
            <w:r>
              <w:rPr>
                <w:lang w:eastAsia="en-AU"/>
              </w:rPr>
              <w:fldChar w:fldCharType="begin"/>
            </w:r>
            <w:r>
              <w:rPr>
                <w:lang w:eastAsia="en-AU"/>
              </w:rPr>
              <w:instrText xml:space="preserve"> REF _Ref126916181 \h </w:instrText>
            </w:r>
            <w:r>
              <w:rPr>
                <w:lang w:eastAsia="en-AU"/>
              </w:rPr>
            </w:r>
            <w:r>
              <w:rPr>
                <w:lang w:eastAsia="en-AU"/>
              </w:rPr>
              <w:fldChar w:fldCharType="separate"/>
            </w:r>
            <w:r w:rsidR="002B380F" w:rsidRPr="00942352">
              <w:t>The purchase of the Boyce Road and the Anzac Parade properties</w:t>
            </w:r>
            <w:r>
              <w:rPr>
                <w:lang w:eastAsia="en-AU"/>
              </w:rPr>
              <w:fldChar w:fldCharType="end"/>
            </w:r>
          </w:p>
        </w:tc>
        <w:tc>
          <w:tcPr>
            <w:tcW w:w="1000" w:type="dxa"/>
            <w:shd w:val="clear" w:color="auto" w:fill="auto"/>
            <w:vAlign w:val="bottom"/>
          </w:tcPr>
          <w:p w14:paraId="5CB7F398" w14:textId="58411CC4" w:rsidR="007D7327" w:rsidRDefault="007D7327" w:rsidP="004A5066">
            <w:pPr>
              <w:spacing w:before="120" w:after="60" w:line="240" w:lineRule="auto"/>
              <w:jc w:val="right"/>
              <w:rPr>
                <w:szCs w:val="24"/>
              </w:rPr>
            </w:pPr>
            <w:r>
              <w:rPr>
                <w:szCs w:val="24"/>
              </w:rPr>
              <w:t>[53]</w:t>
            </w:r>
          </w:p>
        </w:tc>
      </w:tr>
      <w:tr w:rsidR="007D7327" w:rsidRPr="00D326DB" w14:paraId="10B1F9B4" w14:textId="77777777" w:rsidTr="007D7327">
        <w:tc>
          <w:tcPr>
            <w:tcW w:w="8291" w:type="dxa"/>
            <w:shd w:val="clear" w:color="auto" w:fill="auto"/>
          </w:tcPr>
          <w:p w14:paraId="54B9333F" w14:textId="4AF1F2D5"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_Ref126935778 \h </w:instrText>
            </w:r>
            <w:r>
              <w:rPr>
                <w:lang w:eastAsia="en-AU"/>
              </w:rPr>
            </w:r>
            <w:r>
              <w:rPr>
                <w:lang w:eastAsia="en-AU"/>
              </w:rPr>
              <w:fldChar w:fldCharType="separate"/>
            </w:r>
            <w:r w:rsidR="002B380F">
              <w:t>Tax t</w:t>
            </w:r>
            <w:r w:rsidR="002B380F" w:rsidRPr="00942352">
              <w:t>reatment</w:t>
            </w:r>
            <w:r>
              <w:rPr>
                <w:lang w:eastAsia="en-AU"/>
              </w:rPr>
              <w:fldChar w:fldCharType="end"/>
            </w:r>
          </w:p>
        </w:tc>
        <w:tc>
          <w:tcPr>
            <w:tcW w:w="1000" w:type="dxa"/>
            <w:shd w:val="clear" w:color="auto" w:fill="auto"/>
            <w:vAlign w:val="bottom"/>
          </w:tcPr>
          <w:p w14:paraId="5FEFE1B0" w14:textId="0136905C" w:rsidR="007D7327" w:rsidRDefault="007D7327" w:rsidP="004A5066">
            <w:pPr>
              <w:spacing w:before="120" w:after="60" w:line="240" w:lineRule="auto"/>
              <w:jc w:val="right"/>
              <w:rPr>
                <w:szCs w:val="24"/>
              </w:rPr>
            </w:pPr>
            <w:r>
              <w:rPr>
                <w:szCs w:val="24"/>
              </w:rPr>
              <w:t>[58]</w:t>
            </w:r>
          </w:p>
        </w:tc>
      </w:tr>
      <w:tr w:rsidR="007D7327" w:rsidRPr="00D326DB" w14:paraId="4EED58A1" w14:textId="77777777" w:rsidTr="007D7327">
        <w:tc>
          <w:tcPr>
            <w:tcW w:w="8291" w:type="dxa"/>
            <w:shd w:val="clear" w:color="auto" w:fill="auto"/>
          </w:tcPr>
          <w:p w14:paraId="0AA73D06" w14:textId="587E00C8" w:rsidR="007D7327" w:rsidRPr="007D7327" w:rsidRDefault="007D7327" w:rsidP="007D7327">
            <w:pPr>
              <w:pStyle w:val="FTOC3"/>
              <w:tabs>
                <w:tab w:val="clear" w:pos="9072"/>
              </w:tabs>
              <w:rPr>
                <w:i w:val="0"/>
                <w:lang w:eastAsia="en-AU"/>
              </w:rPr>
            </w:pPr>
            <w:r>
              <w:rPr>
                <w:lang w:eastAsia="en-AU"/>
              </w:rPr>
              <w:fldChar w:fldCharType="begin"/>
            </w:r>
            <w:r>
              <w:rPr>
                <w:lang w:eastAsia="en-AU"/>
              </w:rPr>
              <w:instrText xml:space="preserve"> REF _Ref128755628 \h </w:instrText>
            </w:r>
            <w:r>
              <w:rPr>
                <w:lang w:eastAsia="en-AU"/>
              </w:rPr>
            </w:r>
            <w:r>
              <w:rPr>
                <w:lang w:eastAsia="en-AU"/>
              </w:rPr>
              <w:fldChar w:fldCharType="separate"/>
            </w:r>
            <w:r w:rsidR="002B380F" w:rsidRPr="00942352">
              <w:t>The sale of the Anzac Parade and Boyce Road properties</w:t>
            </w:r>
            <w:r>
              <w:rPr>
                <w:lang w:eastAsia="en-AU"/>
              </w:rPr>
              <w:fldChar w:fldCharType="end"/>
            </w:r>
          </w:p>
        </w:tc>
        <w:tc>
          <w:tcPr>
            <w:tcW w:w="1000" w:type="dxa"/>
            <w:shd w:val="clear" w:color="auto" w:fill="auto"/>
            <w:vAlign w:val="bottom"/>
          </w:tcPr>
          <w:p w14:paraId="4CDCD53D" w14:textId="7E797339" w:rsidR="007D7327" w:rsidRDefault="007D7327" w:rsidP="004A5066">
            <w:pPr>
              <w:spacing w:before="120" w:after="60" w:line="240" w:lineRule="auto"/>
              <w:jc w:val="right"/>
              <w:rPr>
                <w:szCs w:val="24"/>
              </w:rPr>
            </w:pPr>
            <w:r>
              <w:rPr>
                <w:szCs w:val="24"/>
              </w:rPr>
              <w:t>[75]</w:t>
            </w:r>
          </w:p>
        </w:tc>
      </w:tr>
      <w:tr w:rsidR="007D7327" w:rsidRPr="00D326DB" w14:paraId="010008A6" w14:textId="77777777" w:rsidTr="007D7327">
        <w:tc>
          <w:tcPr>
            <w:tcW w:w="8291" w:type="dxa"/>
            <w:shd w:val="clear" w:color="auto" w:fill="auto"/>
          </w:tcPr>
          <w:p w14:paraId="3A0C2E65" w14:textId="3FE9608F" w:rsidR="007D7327" w:rsidRPr="007D7327" w:rsidRDefault="007D7327" w:rsidP="007D7327">
            <w:pPr>
              <w:pStyle w:val="FTOC3"/>
              <w:tabs>
                <w:tab w:val="clear" w:pos="9072"/>
              </w:tabs>
              <w:rPr>
                <w:i w:val="0"/>
                <w:lang w:eastAsia="en-AU"/>
              </w:rPr>
            </w:pPr>
            <w:r>
              <w:rPr>
                <w:lang w:eastAsia="en-AU"/>
              </w:rPr>
              <w:fldChar w:fldCharType="begin"/>
            </w:r>
            <w:r>
              <w:rPr>
                <w:lang w:eastAsia="en-AU"/>
              </w:rPr>
              <w:instrText xml:space="preserve"> REF _Ref126916186 \h </w:instrText>
            </w:r>
            <w:r>
              <w:rPr>
                <w:lang w:eastAsia="en-AU"/>
              </w:rPr>
            </w:r>
            <w:r>
              <w:rPr>
                <w:lang w:eastAsia="en-AU"/>
              </w:rPr>
              <w:fldChar w:fldCharType="separate"/>
            </w:r>
            <w:r w:rsidR="002B380F" w:rsidRPr="00942352">
              <w:t>The class action</w:t>
            </w:r>
            <w:r>
              <w:rPr>
                <w:lang w:eastAsia="en-AU"/>
              </w:rPr>
              <w:fldChar w:fldCharType="end"/>
            </w:r>
          </w:p>
        </w:tc>
        <w:tc>
          <w:tcPr>
            <w:tcW w:w="1000" w:type="dxa"/>
            <w:shd w:val="clear" w:color="auto" w:fill="auto"/>
            <w:vAlign w:val="bottom"/>
          </w:tcPr>
          <w:p w14:paraId="005CBE60" w14:textId="4A2DB9A6" w:rsidR="007D7327" w:rsidRDefault="007D7327" w:rsidP="004A5066">
            <w:pPr>
              <w:spacing w:before="120" w:after="60" w:line="240" w:lineRule="auto"/>
              <w:jc w:val="right"/>
              <w:rPr>
                <w:szCs w:val="24"/>
              </w:rPr>
            </w:pPr>
            <w:r>
              <w:rPr>
                <w:szCs w:val="24"/>
              </w:rPr>
              <w:t>[92]</w:t>
            </w:r>
          </w:p>
        </w:tc>
      </w:tr>
      <w:tr w:rsidR="007D7327" w:rsidRPr="00D326DB" w14:paraId="71BC7251" w14:textId="77777777" w:rsidTr="007D7327">
        <w:tc>
          <w:tcPr>
            <w:tcW w:w="8291" w:type="dxa"/>
            <w:shd w:val="clear" w:color="auto" w:fill="auto"/>
          </w:tcPr>
          <w:p w14:paraId="20ED5496" w14:textId="02C1AC3F" w:rsidR="007D7327" w:rsidRPr="007D7327" w:rsidRDefault="007D7327" w:rsidP="007D7327">
            <w:pPr>
              <w:pStyle w:val="FTOC3"/>
              <w:tabs>
                <w:tab w:val="clear" w:pos="9072"/>
              </w:tabs>
              <w:rPr>
                <w:i w:val="0"/>
                <w:lang w:eastAsia="en-AU"/>
              </w:rPr>
            </w:pPr>
            <w:r>
              <w:rPr>
                <w:lang w:eastAsia="en-AU"/>
              </w:rPr>
              <w:fldChar w:fldCharType="begin"/>
            </w:r>
            <w:r>
              <w:rPr>
                <w:lang w:eastAsia="en-AU"/>
              </w:rPr>
              <w:instrText xml:space="preserve"> REF _Ref126916188 \h </w:instrText>
            </w:r>
            <w:r>
              <w:rPr>
                <w:lang w:eastAsia="en-AU"/>
              </w:rPr>
            </w:r>
            <w:r>
              <w:rPr>
                <w:lang w:eastAsia="en-AU"/>
              </w:rPr>
              <w:fldChar w:fldCharType="separate"/>
            </w:r>
            <w:r w:rsidR="002B380F" w:rsidRPr="00942352">
              <w:t>The status of the bankrupt’s business in the 2014 financial year</w:t>
            </w:r>
            <w:r>
              <w:rPr>
                <w:lang w:eastAsia="en-AU"/>
              </w:rPr>
              <w:fldChar w:fldCharType="end"/>
            </w:r>
          </w:p>
        </w:tc>
        <w:tc>
          <w:tcPr>
            <w:tcW w:w="1000" w:type="dxa"/>
            <w:shd w:val="clear" w:color="auto" w:fill="auto"/>
            <w:vAlign w:val="bottom"/>
          </w:tcPr>
          <w:p w14:paraId="4BD2D183" w14:textId="75AEECD9" w:rsidR="007D7327" w:rsidRDefault="007D7327" w:rsidP="004A5066">
            <w:pPr>
              <w:spacing w:before="120" w:after="60" w:line="240" w:lineRule="auto"/>
              <w:jc w:val="right"/>
              <w:rPr>
                <w:szCs w:val="24"/>
              </w:rPr>
            </w:pPr>
            <w:r>
              <w:rPr>
                <w:szCs w:val="24"/>
              </w:rPr>
              <w:t>[96]</w:t>
            </w:r>
          </w:p>
        </w:tc>
      </w:tr>
      <w:tr w:rsidR="007D7327" w:rsidRPr="00D326DB" w14:paraId="661A9A47" w14:textId="77777777" w:rsidTr="007D7327">
        <w:tc>
          <w:tcPr>
            <w:tcW w:w="8291" w:type="dxa"/>
            <w:shd w:val="clear" w:color="auto" w:fill="auto"/>
          </w:tcPr>
          <w:p w14:paraId="303322FA" w14:textId="7DC23B3D" w:rsidR="007D7327" w:rsidRPr="007D7327" w:rsidRDefault="007D7327" w:rsidP="007D7327">
            <w:pPr>
              <w:pStyle w:val="FTOC3"/>
              <w:tabs>
                <w:tab w:val="clear" w:pos="9072"/>
              </w:tabs>
              <w:rPr>
                <w:i w:val="0"/>
                <w:lang w:eastAsia="en-AU"/>
              </w:rPr>
            </w:pPr>
            <w:r>
              <w:rPr>
                <w:lang w:eastAsia="en-AU"/>
              </w:rPr>
              <w:fldChar w:fldCharType="begin"/>
            </w:r>
            <w:r>
              <w:rPr>
                <w:lang w:eastAsia="en-AU"/>
              </w:rPr>
              <w:instrText xml:space="preserve"> REF _Ref126916190 \h </w:instrText>
            </w:r>
            <w:r>
              <w:rPr>
                <w:lang w:eastAsia="en-AU"/>
              </w:rPr>
            </w:r>
            <w:r>
              <w:rPr>
                <w:lang w:eastAsia="en-AU"/>
              </w:rPr>
              <w:fldChar w:fldCharType="separate"/>
            </w:r>
            <w:r w:rsidR="002B380F" w:rsidRPr="00942352">
              <w:t>The purchase of the North Balgowlah property</w:t>
            </w:r>
            <w:r>
              <w:rPr>
                <w:lang w:eastAsia="en-AU"/>
              </w:rPr>
              <w:fldChar w:fldCharType="end"/>
            </w:r>
          </w:p>
        </w:tc>
        <w:tc>
          <w:tcPr>
            <w:tcW w:w="1000" w:type="dxa"/>
            <w:shd w:val="clear" w:color="auto" w:fill="auto"/>
            <w:vAlign w:val="bottom"/>
          </w:tcPr>
          <w:p w14:paraId="34D18CFD" w14:textId="1F08D26E" w:rsidR="007D7327" w:rsidRDefault="007D7327" w:rsidP="004A5066">
            <w:pPr>
              <w:spacing w:before="120" w:after="60" w:line="240" w:lineRule="auto"/>
              <w:jc w:val="right"/>
              <w:rPr>
                <w:szCs w:val="24"/>
              </w:rPr>
            </w:pPr>
            <w:r>
              <w:rPr>
                <w:szCs w:val="24"/>
              </w:rPr>
              <w:t>[105]</w:t>
            </w:r>
          </w:p>
        </w:tc>
      </w:tr>
      <w:tr w:rsidR="007D7327" w:rsidRPr="00D326DB" w14:paraId="301E6C86" w14:textId="77777777" w:rsidTr="007D7327">
        <w:tc>
          <w:tcPr>
            <w:tcW w:w="8291" w:type="dxa"/>
            <w:shd w:val="clear" w:color="auto" w:fill="auto"/>
          </w:tcPr>
          <w:p w14:paraId="64F326E8" w14:textId="66A06F62"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_Ref126916191 \h </w:instrText>
            </w:r>
            <w:r>
              <w:rPr>
                <w:lang w:eastAsia="en-AU"/>
              </w:rPr>
            </w:r>
            <w:r>
              <w:rPr>
                <w:lang w:eastAsia="en-AU"/>
              </w:rPr>
              <w:fldChar w:fldCharType="separate"/>
            </w:r>
            <w:r w:rsidR="002B380F" w:rsidRPr="00942352">
              <w:t>The mortgage documentation</w:t>
            </w:r>
            <w:r>
              <w:rPr>
                <w:lang w:eastAsia="en-AU"/>
              </w:rPr>
              <w:fldChar w:fldCharType="end"/>
            </w:r>
          </w:p>
        </w:tc>
        <w:tc>
          <w:tcPr>
            <w:tcW w:w="1000" w:type="dxa"/>
            <w:shd w:val="clear" w:color="auto" w:fill="auto"/>
            <w:vAlign w:val="bottom"/>
          </w:tcPr>
          <w:p w14:paraId="5F28825F" w14:textId="3D926402" w:rsidR="007D7327" w:rsidRDefault="007D7327" w:rsidP="004A5066">
            <w:pPr>
              <w:spacing w:before="120" w:after="60" w:line="240" w:lineRule="auto"/>
              <w:jc w:val="right"/>
              <w:rPr>
                <w:szCs w:val="24"/>
              </w:rPr>
            </w:pPr>
            <w:r>
              <w:rPr>
                <w:szCs w:val="24"/>
              </w:rPr>
              <w:t>[106]</w:t>
            </w:r>
          </w:p>
        </w:tc>
      </w:tr>
      <w:tr w:rsidR="007D7327" w:rsidRPr="00D326DB" w14:paraId="4ED52F0A" w14:textId="77777777" w:rsidTr="007D7327">
        <w:tc>
          <w:tcPr>
            <w:tcW w:w="8291" w:type="dxa"/>
            <w:shd w:val="clear" w:color="auto" w:fill="auto"/>
          </w:tcPr>
          <w:p w14:paraId="5C1C5FC0" w14:textId="768DCDCE"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_Ref128755629 \h </w:instrText>
            </w:r>
            <w:r>
              <w:rPr>
                <w:lang w:eastAsia="en-AU"/>
              </w:rPr>
            </w:r>
            <w:r>
              <w:rPr>
                <w:lang w:eastAsia="en-AU"/>
              </w:rPr>
              <w:fldChar w:fldCharType="separate"/>
            </w:r>
            <w:r w:rsidR="002B380F" w:rsidRPr="00942352">
              <w:t>How was the purchase of the North Balgowlah property funded?</w:t>
            </w:r>
            <w:r>
              <w:rPr>
                <w:lang w:eastAsia="en-AU"/>
              </w:rPr>
              <w:fldChar w:fldCharType="end"/>
            </w:r>
          </w:p>
        </w:tc>
        <w:tc>
          <w:tcPr>
            <w:tcW w:w="1000" w:type="dxa"/>
            <w:shd w:val="clear" w:color="auto" w:fill="auto"/>
            <w:vAlign w:val="bottom"/>
          </w:tcPr>
          <w:p w14:paraId="479233AC" w14:textId="262C48D0" w:rsidR="007D7327" w:rsidRDefault="007D7327" w:rsidP="004A5066">
            <w:pPr>
              <w:spacing w:before="120" w:after="60" w:line="240" w:lineRule="auto"/>
              <w:jc w:val="right"/>
              <w:rPr>
                <w:szCs w:val="24"/>
              </w:rPr>
            </w:pPr>
            <w:r>
              <w:rPr>
                <w:szCs w:val="24"/>
              </w:rPr>
              <w:t>[111]</w:t>
            </w:r>
          </w:p>
        </w:tc>
      </w:tr>
      <w:tr w:rsidR="007D7327" w:rsidRPr="00D326DB" w14:paraId="7F61F986" w14:textId="77777777" w:rsidTr="007D7327">
        <w:tc>
          <w:tcPr>
            <w:tcW w:w="8291" w:type="dxa"/>
            <w:shd w:val="clear" w:color="auto" w:fill="auto"/>
          </w:tcPr>
          <w:p w14:paraId="00791564" w14:textId="30AB1C50"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_Ref128755630 \h </w:instrText>
            </w:r>
            <w:r>
              <w:rPr>
                <w:lang w:eastAsia="en-AU"/>
              </w:rPr>
            </w:r>
            <w:r>
              <w:rPr>
                <w:lang w:eastAsia="en-AU"/>
              </w:rPr>
              <w:fldChar w:fldCharType="separate"/>
            </w:r>
            <w:r w:rsidR="002B380F" w:rsidRPr="00942352">
              <w:t>The evidence of the respondent and bankrupt regarding intention</w:t>
            </w:r>
            <w:r>
              <w:rPr>
                <w:lang w:eastAsia="en-AU"/>
              </w:rPr>
              <w:fldChar w:fldCharType="end"/>
            </w:r>
          </w:p>
        </w:tc>
        <w:tc>
          <w:tcPr>
            <w:tcW w:w="1000" w:type="dxa"/>
            <w:shd w:val="clear" w:color="auto" w:fill="auto"/>
            <w:vAlign w:val="bottom"/>
          </w:tcPr>
          <w:p w14:paraId="403654DA" w14:textId="5C2C49A3" w:rsidR="007D7327" w:rsidRDefault="007D7327" w:rsidP="004A5066">
            <w:pPr>
              <w:spacing w:before="120" w:after="60" w:line="240" w:lineRule="auto"/>
              <w:jc w:val="right"/>
              <w:rPr>
                <w:szCs w:val="24"/>
              </w:rPr>
            </w:pPr>
            <w:r>
              <w:rPr>
                <w:szCs w:val="24"/>
              </w:rPr>
              <w:t>[124]</w:t>
            </w:r>
          </w:p>
        </w:tc>
      </w:tr>
      <w:tr w:rsidR="007D7327" w:rsidRPr="00D326DB" w14:paraId="799C367F" w14:textId="77777777" w:rsidTr="007D7327">
        <w:tc>
          <w:tcPr>
            <w:tcW w:w="8291" w:type="dxa"/>
            <w:shd w:val="clear" w:color="auto" w:fill="auto"/>
          </w:tcPr>
          <w:p w14:paraId="257EF7E7" w14:textId="317A601B"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_Ref128755631 \h </w:instrText>
            </w:r>
            <w:r>
              <w:rPr>
                <w:lang w:eastAsia="en-AU"/>
              </w:rPr>
            </w:r>
            <w:r>
              <w:rPr>
                <w:lang w:eastAsia="en-AU"/>
              </w:rPr>
              <w:fldChar w:fldCharType="separate"/>
            </w:r>
            <w:r w:rsidR="002B380F" w:rsidRPr="00942352">
              <w:t>The beneficial ownership of the North Balgowlah property: Was it a mistake?</w:t>
            </w:r>
            <w:r>
              <w:rPr>
                <w:lang w:eastAsia="en-AU"/>
              </w:rPr>
              <w:fldChar w:fldCharType="end"/>
            </w:r>
          </w:p>
        </w:tc>
        <w:tc>
          <w:tcPr>
            <w:tcW w:w="1000" w:type="dxa"/>
            <w:shd w:val="clear" w:color="auto" w:fill="auto"/>
            <w:vAlign w:val="bottom"/>
          </w:tcPr>
          <w:p w14:paraId="12F91B62" w14:textId="7055B7B0" w:rsidR="007D7327" w:rsidRDefault="007D7327" w:rsidP="004A5066">
            <w:pPr>
              <w:spacing w:before="120" w:after="60" w:line="240" w:lineRule="auto"/>
              <w:jc w:val="right"/>
              <w:rPr>
                <w:szCs w:val="24"/>
              </w:rPr>
            </w:pPr>
            <w:r>
              <w:rPr>
                <w:szCs w:val="24"/>
              </w:rPr>
              <w:t>[134]</w:t>
            </w:r>
          </w:p>
        </w:tc>
      </w:tr>
      <w:tr w:rsidR="007D7327" w:rsidRPr="00D326DB" w14:paraId="2FD0FFC1" w14:textId="77777777" w:rsidTr="007D7327">
        <w:tc>
          <w:tcPr>
            <w:tcW w:w="8291" w:type="dxa"/>
            <w:shd w:val="clear" w:color="auto" w:fill="auto"/>
          </w:tcPr>
          <w:p w14:paraId="17AFF424" w14:textId="22414F0D" w:rsidR="007D7327" w:rsidRPr="007D7327" w:rsidRDefault="007D7327" w:rsidP="007D7327">
            <w:pPr>
              <w:pStyle w:val="FTOC3"/>
              <w:tabs>
                <w:tab w:val="clear" w:pos="9072"/>
              </w:tabs>
              <w:rPr>
                <w:i w:val="0"/>
                <w:lang w:eastAsia="en-AU"/>
              </w:rPr>
            </w:pPr>
            <w:r>
              <w:rPr>
                <w:lang w:eastAsia="en-AU"/>
              </w:rPr>
              <w:fldChar w:fldCharType="begin"/>
            </w:r>
            <w:r>
              <w:rPr>
                <w:lang w:eastAsia="en-AU"/>
              </w:rPr>
              <w:instrText xml:space="preserve"> REF _Ref129166470 \h </w:instrText>
            </w:r>
            <w:r>
              <w:rPr>
                <w:lang w:eastAsia="en-AU"/>
              </w:rPr>
            </w:r>
            <w:r>
              <w:rPr>
                <w:lang w:eastAsia="en-AU"/>
              </w:rPr>
              <w:fldChar w:fldCharType="separate"/>
            </w:r>
            <w:r w:rsidR="002B380F" w:rsidRPr="00942352">
              <w:t>The contributions made by the bankrupt to the Seaforth Mortgages in 2014</w:t>
            </w:r>
            <w:r>
              <w:rPr>
                <w:lang w:eastAsia="en-AU"/>
              </w:rPr>
              <w:fldChar w:fldCharType="end"/>
            </w:r>
          </w:p>
        </w:tc>
        <w:tc>
          <w:tcPr>
            <w:tcW w:w="1000" w:type="dxa"/>
            <w:shd w:val="clear" w:color="auto" w:fill="auto"/>
            <w:vAlign w:val="bottom"/>
          </w:tcPr>
          <w:p w14:paraId="5435D248" w14:textId="3BE60793" w:rsidR="007D7327" w:rsidRDefault="007D7327" w:rsidP="004A5066">
            <w:pPr>
              <w:spacing w:before="120" w:after="60" w:line="240" w:lineRule="auto"/>
              <w:jc w:val="right"/>
              <w:rPr>
                <w:szCs w:val="24"/>
              </w:rPr>
            </w:pPr>
            <w:r>
              <w:rPr>
                <w:szCs w:val="24"/>
              </w:rPr>
              <w:t>[141]</w:t>
            </w:r>
          </w:p>
        </w:tc>
      </w:tr>
      <w:tr w:rsidR="007D7327" w:rsidRPr="00D326DB" w14:paraId="3E6F7D9E" w14:textId="77777777" w:rsidTr="007D7327">
        <w:tc>
          <w:tcPr>
            <w:tcW w:w="8291" w:type="dxa"/>
            <w:shd w:val="clear" w:color="auto" w:fill="auto"/>
          </w:tcPr>
          <w:p w14:paraId="3521CA18" w14:textId="2E2C1EA1" w:rsidR="007D7327" w:rsidRPr="007D7327" w:rsidRDefault="007D7327" w:rsidP="007D7327">
            <w:pPr>
              <w:pStyle w:val="FTOC3"/>
              <w:tabs>
                <w:tab w:val="clear" w:pos="9072"/>
              </w:tabs>
              <w:rPr>
                <w:i w:val="0"/>
                <w:lang w:eastAsia="en-AU"/>
              </w:rPr>
            </w:pPr>
            <w:r>
              <w:rPr>
                <w:lang w:eastAsia="en-AU"/>
              </w:rPr>
              <w:fldChar w:fldCharType="begin"/>
            </w:r>
            <w:r>
              <w:rPr>
                <w:lang w:eastAsia="en-AU"/>
              </w:rPr>
              <w:instrText xml:space="preserve"> REF _Ref129166471 \h </w:instrText>
            </w:r>
            <w:r>
              <w:rPr>
                <w:lang w:eastAsia="en-AU"/>
              </w:rPr>
            </w:r>
            <w:r>
              <w:rPr>
                <w:lang w:eastAsia="en-AU"/>
              </w:rPr>
              <w:fldChar w:fldCharType="separate"/>
            </w:r>
            <w:r w:rsidR="002B380F" w:rsidRPr="00942352">
              <w:rPr>
                <w:lang w:eastAsia="en-AU"/>
              </w:rPr>
              <w:t>The s 139DA claim</w:t>
            </w:r>
            <w:r>
              <w:rPr>
                <w:lang w:eastAsia="en-AU"/>
              </w:rPr>
              <w:fldChar w:fldCharType="end"/>
            </w:r>
          </w:p>
        </w:tc>
        <w:tc>
          <w:tcPr>
            <w:tcW w:w="1000" w:type="dxa"/>
            <w:shd w:val="clear" w:color="auto" w:fill="auto"/>
            <w:vAlign w:val="bottom"/>
          </w:tcPr>
          <w:p w14:paraId="6C52C57F" w14:textId="561BCEF8" w:rsidR="007D7327" w:rsidRDefault="007D7327" w:rsidP="004A5066">
            <w:pPr>
              <w:spacing w:before="120" w:after="60" w:line="240" w:lineRule="auto"/>
              <w:jc w:val="right"/>
              <w:rPr>
                <w:szCs w:val="24"/>
              </w:rPr>
            </w:pPr>
            <w:r>
              <w:rPr>
                <w:szCs w:val="24"/>
              </w:rPr>
              <w:t>[146]</w:t>
            </w:r>
          </w:p>
        </w:tc>
      </w:tr>
      <w:tr w:rsidR="007D7327" w:rsidRPr="00D326DB" w14:paraId="067D7782" w14:textId="77777777" w:rsidTr="007D7327">
        <w:tc>
          <w:tcPr>
            <w:tcW w:w="8291" w:type="dxa"/>
            <w:shd w:val="clear" w:color="auto" w:fill="auto"/>
          </w:tcPr>
          <w:p w14:paraId="1A99F48A" w14:textId="3A196D51"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_Ref126916176 \h </w:instrText>
            </w:r>
            <w:r>
              <w:rPr>
                <w:lang w:eastAsia="en-AU"/>
              </w:rPr>
            </w:r>
            <w:r>
              <w:rPr>
                <w:lang w:eastAsia="en-AU"/>
              </w:rPr>
              <w:fldChar w:fldCharType="separate"/>
            </w:r>
            <w:r w:rsidR="002B380F" w:rsidRPr="00942352">
              <w:rPr>
                <w:lang w:eastAsia="en-AU"/>
              </w:rPr>
              <w:t>The operation of s 139DA of the Bankruptcy Act</w:t>
            </w:r>
            <w:r>
              <w:rPr>
                <w:lang w:eastAsia="en-AU"/>
              </w:rPr>
              <w:fldChar w:fldCharType="end"/>
            </w:r>
          </w:p>
        </w:tc>
        <w:tc>
          <w:tcPr>
            <w:tcW w:w="1000" w:type="dxa"/>
            <w:shd w:val="clear" w:color="auto" w:fill="auto"/>
            <w:vAlign w:val="bottom"/>
          </w:tcPr>
          <w:p w14:paraId="1F471F03" w14:textId="7A780881" w:rsidR="007D7327" w:rsidRDefault="007D7327" w:rsidP="004A5066">
            <w:pPr>
              <w:spacing w:before="120" w:after="60" w:line="240" w:lineRule="auto"/>
              <w:jc w:val="right"/>
              <w:rPr>
                <w:szCs w:val="24"/>
              </w:rPr>
            </w:pPr>
            <w:r>
              <w:rPr>
                <w:szCs w:val="24"/>
              </w:rPr>
              <w:t>[146]</w:t>
            </w:r>
          </w:p>
        </w:tc>
      </w:tr>
      <w:tr w:rsidR="007D7327" w:rsidRPr="00D326DB" w14:paraId="03099BC6" w14:textId="77777777" w:rsidTr="007D7327">
        <w:tc>
          <w:tcPr>
            <w:tcW w:w="8291" w:type="dxa"/>
            <w:shd w:val="clear" w:color="auto" w:fill="auto"/>
          </w:tcPr>
          <w:p w14:paraId="551F031F" w14:textId="5FBD7020"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_Ref126935784 \h </w:instrText>
            </w:r>
            <w:r>
              <w:rPr>
                <w:lang w:eastAsia="en-AU"/>
              </w:rPr>
            </w:r>
            <w:r>
              <w:rPr>
                <w:lang w:eastAsia="en-AU"/>
              </w:rPr>
              <w:fldChar w:fldCharType="separate"/>
            </w:r>
            <w:r w:rsidR="002B380F" w:rsidRPr="00942352">
              <w:t>The claim</w:t>
            </w:r>
            <w:r>
              <w:rPr>
                <w:lang w:eastAsia="en-AU"/>
              </w:rPr>
              <w:fldChar w:fldCharType="end"/>
            </w:r>
          </w:p>
        </w:tc>
        <w:tc>
          <w:tcPr>
            <w:tcW w:w="1000" w:type="dxa"/>
            <w:shd w:val="clear" w:color="auto" w:fill="auto"/>
            <w:vAlign w:val="bottom"/>
          </w:tcPr>
          <w:p w14:paraId="21C7A4CA" w14:textId="6E42BD9D" w:rsidR="007D7327" w:rsidRDefault="007D7327" w:rsidP="004A5066">
            <w:pPr>
              <w:spacing w:before="120" w:after="60" w:line="240" w:lineRule="auto"/>
              <w:jc w:val="right"/>
              <w:rPr>
                <w:szCs w:val="24"/>
              </w:rPr>
            </w:pPr>
            <w:r>
              <w:rPr>
                <w:szCs w:val="24"/>
              </w:rPr>
              <w:t>[157]</w:t>
            </w:r>
          </w:p>
        </w:tc>
      </w:tr>
      <w:tr w:rsidR="007D7327" w:rsidRPr="00D326DB" w14:paraId="2A848783" w14:textId="77777777" w:rsidTr="007D7327">
        <w:tc>
          <w:tcPr>
            <w:tcW w:w="8291" w:type="dxa"/>
            <w:shd w:val="clear" w:color="auto" w:fill="auto"/>
          </w:tcPr>
          <w:p w14:paraId="671053F1" w14:textId="2A58A4CA"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_Ref126935785 \h </w:instrText>
            </w:r>
            <w:r>
              <w:rPr>
                <w:lang w:eastAsia="en-AU"/>
              </w:rPr>
            </w:r>
            <w:r>
              <w:rPr>
                <w:lang w:eastAsia="en-AU"/>
              </w:rPr>
              <w:fldChar w:fldCharType="separate"/>
            </w:r>
            <w:r w:rsidR="002B380F" w:rsidRPr="00942352">
              <w:rPr>
                <w:lang w:eastAsia="en-AU"/>
              </w:rPr>
              <w:t>Whether the respondent acquired the estate as a direct or indirect result of the bankrupt’s contribution</w:t>
            </w:r>
            <w:r>
              <w:rPr>
                <w:lang w:eastAsia="en-AU"/>
              </w:rPr>
              <w:fldChar w:fldCharType="end"/>
            </w:r>
          </w:p>
        </w:tc>
        <w:tc>
          <w:tcPr>
            <w:tcW w:w="1000" w:type="dxa"/>
            <w:shd w:val="clear" w:color="auto" w:fill="auto"/>
            <w:vAlign w:val="bottom"/>
          </w:tcPr>
          <w:p w14:paraId="78713829" w14:textId="29EBB4A5" w:rsidR="007D7327" w:rsidRDefault="007D7327" w:rsidP="004A5066">
            <w:pPr>
              <w:spacing w:before="120" w:after="60" w:line="240" w:lineRule="auto"/>
              <w:jc w:val="right"/>
              <w:rPr>
                <w:szCs w:val="24"/>
              </w:rPr>
            </w:pPr>
            <w:r>
              <w:rPr>
                <w:szCs w:val="24"/>
              </w:rPr>
              <w:t>[164]</w:t>
            </w:r>
          </w:p>
        </w:tc>
      </w:tr>
      <w:tr w:rsidR="007D7327" w:rsidRPr="00D326DB" w14:paraId="7137C2D4" w14:textId="77777777" w:rsidTr="007D7327">
        <w:tc>
          <w:tcPr>
            <w:tcW w:w="8291" w:type="dxa"/>
            <w:shd w:val="clear" w:color="auto" w:fill="auto"/>
          </w:tcPr>
          <w:p w14:paraId="4503B1B8" w14:textId="62FCDC59"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_Ref126916199 \h </w:instrText>
            </w:r>
            <w:r>
              <w:rPr>
                <w:lang w:eastAsia="en-AU"/>
              </w:rPr>
            </w:r>
            <w:r>
              <w:rPr>
                <w:lang w:eastAsia="en-AU"/>
              </w:rPr>
              <w:fldChar w:fldCharType="separate"/>
            </w:r>
            <w:r w:rsidR="002B380F" w:rsidRPr="00942352">
              <w:rPr>
                <w:lang w:eastAsia="en-AU"/>
              </w:rPr>
              <w:t>The nature of the discretion</w:t>
            </w:r>
            <w:r>
              <w:rPr>
                <w:lang w:eastAsia="en-AU"/>
              </w:rPr>
              <w:fldChar w:fldCharType="end"/>
            </w:r>
          </w:p>
        </w:tc>
        <w:tc>
          <w:tcPr>
            <w:tcW w:w="1000" w:type="dxa"/>
            <w:shd w:val="clear" w:color="auto" w:fill="auto"/>
            <w:vAlign w:val="bottom"/>
          </w:tcPr>
          <w:p w14:paraId="39C5B82F" w14:textId="5F64101A" w:rsidR="007D7327" w:rsidRDefault="007D7327" w:rsidP="004A5066">
            <w:pPr>
              <w:spacing w:before="120" w:after="60" w:line="240" w:lineRule="auto"/>
              <w:jc w:val="right"/>
              <w:rPr>
                <w:szCs w:val="24"/>
              </w:rPr>
            </w:pPr>
            <w:r>
              <w:rPr>
                <w:szCs w:val="24"/>
              </w:rPr>
              <w:t>[188]</w:t>
            </w:r>
          </w:p>
        </w:tc>
      </w:tr>
      <w:tr w:rsidR="007D7327" w:rsidRPr="00D326DB" w14:paraId="179172B0" w14:textId="77777777" w:rsidTr="007D7327">
        <w:tc>
          <w:tcPr>
            <w:tcW w:w="8291" w:type="dxa"/>
            <w:shd w:val="clear" w:color="auto" w:fill="auto"/>
          </w:tcPr>
          <w:p w14:paraId="64FE5CF6" w14:textId="5FBC9372"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_Ref126916200 \h </w:instrText>
            </w:r>
            <w:r>
              <w:rPr>
                <w:lang w:eastAsia="en-AU"/>
              </w:rPr>
            </w:r>
            <w:r>
              <w:rPr>
                <w:lang w:eastAsia="en-AU"/>
              </w:rPr>
              <w:fldChar w:fldCharType="separate"/>
            </w:r>
            <w:r w:rsidR="002B380F" w:rsidRPr="00942352">
              <w:rPr>
                <w:lang w:eastAsia="en-AU"/>
              </w:rPr>
              <w:t>Should the discretion be exercised in this case?</w:t>
            </w:r>
            <w:r>
              <w:rPr>
                <w:lang w:eastAsia="en-AU"/>
              </w:rPr>
              <w:fldChar w:fldCharType="end"/>
            </w:r>
          </w:p>
        </w:tc>
        <w:tc>
          <w:tcPr>
            <w:tcW w:w="1000" w:type="dxa"/>
            <w:shd w:val="clear" w:color="auto" w:fill="auto"/>
            <w:vAlign w:val="bottom"/>
          </w:tcPr>
          <w:p w14:paraId="0D412768" w14:textId="170877EB" w:rsidR="007D7327" w:rsidRDefault="007D7327" w:rsidP="004A5066">
            <w:pPr>
              <w:spacing w:before="120" w:after="60" w:line="240" w:lineRule="auto"/>
              <w:jc w:val="right"/>
              <w:rPr>
                <w:szCs w:val="24"/>
              </w:rPr>
            </w:pPr>
            <w:r>
              <w:rPr>
                <w:szCs w:val="24"/>
              </w:rPr>
              <w:t>[198]</w:t>
            </w:r>
          </w:p>
        </w:tc>
      </w:tr>
      <w:tr w:rsidR="007D7327" w:rsidRPr="00D326DB" w14:paraId="1D09AEC7" w14:textId="77777777" w:rsidTr="007D7327">
        <w:tc>
          <w:tcPr>
            <w:tcW w:w="8291" w:type="dxa"/>
            <w:shd w:val="clear" w:color="auto" w:fill="auto"/>
          </w:tcPr>
          <w:p w14:paraId="50623DB7" w14:textId="099544CB"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_Ref126916201 \h </w:instrText>
            </w:r>
            <w:r>
              <w:rPr>
                <w:lang w:eastAsia="en-AU"/>
              </w:rPr>
            </w:r>
            <w:r>
              <w:rPr>
                <w:lang w:eastAsia="en-AU"/>
              </w:rPr>
              <w:fldChar w:fldCharType="separate"/>
            </w:r>
            <w:r w:rsidR="002B380F" w:rsidRPr="00942352">
              <w:rPr>
                <w:lang w:eastAsia="en-AU"/>
              </w:rPr>
              <w:t>Appropriate orders</w:t>
            </w:r>
            <w:r>
              <w:rPr>
                <w:lang w:eastAsia="en-AU"/>
              </w:rPr>
              <w:fldChar w:fldCharType="end"/>
            </w:r>
          </w:p>
        </w:tc>
        <w:tc>
          <w:tcPr>
            <w:tcW w:w="1000" w:type="dxa"/>
            <w:shd w:val="clear" w:color="auto" w:fill="auto"/>
            <w:vAlign w:val="bottom"/>
          </w:tcPr>
          <w:p w14:paraId="63E681AD" w14:textId="4A8C451C" w:rsidR="007D7327" w:rsidRDefault="007D7327" w:rsidP="004A5066">
            <w:pPr>
              <w:spacing w:before="120" w:after="60" w:line="240" w:lineRule="auto"/>
              <w:jc w:val="right"/>
              <w:rPr>
                <w:szCs w:val="24"/>
              </w:rPr>
            </w:pPr>
            <w:r>
              <w:rPr>
                <w:szCs w:val="24"/>
              </w:rPr>
              <w:t>[207]</w:t>
            </w:r>
          </w:p>
        </w:tc>
      </w:tr>
      <w:tr w:rsidR="007D7327" w:rsidRPr="00D326DB" w14:paraId="00FEA4DD" w14:textId="77777777" w:rsidTr="007D7327">
        <w:tc>
          <w:tcPr>
            <w:tcW w:w="8291" w:type="dxa"/>
            <w:shd w:val="clear" w:color="auto" w:fill="auto"/>
          </w:tcPr>
          <w:p w14:paraId="1A6F26C9" w14:textId="1A5E9858" w:rsidR="007D7327" w:rsidRPr="007D7327" w:rsidRDefault="007D7327" w:rsidP="007D7327">
            <w:pPr>
              <w:pStyle w:val="FTOC3"/>
              <w:tabs>
                <w:tab w:val="clear" w:pos="9072"/>
              </w:tabs>
              <w:rPr>
                <w:i w:val="0"/>
                <w:lang w:eastAsia="en-AU"/>
              </w:rPr>
            </w:pPr>
            <w:r>
              <w:rPr>
                <w:lang w:eastAsia="en-AU"/>
              </w:rPr>
              <w:fldChar w:fldCharType="begin"/>
            </w:r>
            <w:r>
              <w:rPr>
                <w:lang w:eastAsia="en-AU"/>
              </w:rPr>
              <w:instrText xml:space="preserve"> REF _Ref126916202 \h </w:instrText>
            </w:r>
            <w:r>
              <w:rPr>
                <w:lang w:eastAsia="en-AU"/>
              </w:rPr>
            </w:r>
            <w:r>
              <w:rPr>
                <w:lang w:eastAsia="en-AU"/>
              </w:rPr>
              <w:fldChar w:fldCharType="separate"/>
            </w:r>
            <w:r w:rsidR="002B380F" w:rsidRPr="00942352">
              <w:rPr>
                <w:lang w:eastAsia="en-AU"/>
              </w:rPr>
              <w:t>The resulting trust/presumption of advancement claim</w:t>
            </w:r>
            <w:r>
              <w:rPr>
                <w:lang w:eastAsia="en-AU"/>
              </w:rPr>
              <w:fldChar w:fldCharType="end"/>
            </w:r>
          </w:p>
        </w:tc>
        <w:tc>
          <w:tcPr>
            <w:tcW w:w="1000" w:type="dxa"/>
            <w:shd w:val="clear" w:color="auto" w:fill="auto"/>
            <w:vAlign w:val="bottom"/>
          </w:tcPr>
          <w:p w14:paraId="352FACA2" w14:textId="714CCC5C" w:rsidR="007D7327" w:rsidRDefault="007D7327" w:rsidP="004A5066">
            <w:pPr>
              <w:spacing w:before="120" w:after="60" w:line="240" w:lineRule="auto"/>
              <w:jc w:val="right"/>
              <w:rPr>
                <w:szCs w:val="24"/>
              </w:rPr>
            </w:pPr>
            <w:r>
              <w:rPr>
                <w:szCs w:val="24"/>
              </w:rPr>
              <w:t>[213]</w:t>
            </w:r>
          </w:p>
        </w:tc>
      </w:tr>
      <w:tr w:rsidR="007D7327" w:rsidRPr="00D326DB" w14:paraId="3A4E6901" w14:textId="77777777" w:rsidTr="007D7327">
        <w:tc>
          <w:tcPr>
            <w:tcW w:w="8291" w:type="dxa"/>
            <w:shd w:val="clear" w:color="auto" w:fill="auto"/>
          </w:tcPr>
          <w:p w14:paraId="2CD30429" w14:textId="2797E777" w:rsidR="007D7327" w:rsidRPr="007D7327" w:rsidRDefault="007D7327" w:rsidP="007D7327">
            <w:pPr>
              <w:pStyle w:val="FTOC4"/>
              <w:tabs>
                <w:tab w:val="clear" w:pos="9072"/>
              </w:tabs>
              <w:rPr>
                <w:i w:val="0"/>
                <w:lang w:eastAsia="en-AU"/>
              </w:rPr>
            </w:pPr>
            <w:r>
              <w:rPr>
                <w:lang w:eastAsia="en-AU"/>
              </w:rPr>
              <w:lastRenderedPageBreak/>
              <w:fldChar w:fldCharType="begin"/>
            </w:r>
            <w:r>
              <w:rPr>
                <w:lang w:eastAsia="en-AU"/>
              </w:rPr>
              <w:instrText xml:space="preserve"> REF _Ref126916177 \h </w:instrText>
            </w:r>
            <w:r>
              <w:rPr>
                <w:lang w:eastAsia="en-AU"/>
              </w:rPr>
            </w:r>
            <w:r>
              <w:rPr>
                <w:lang w:eastAsia="en-AU"/>
              </w:rPr>
              <w:fldChar w:fldCharType="separate"/>
            </w:r>
            <w:r w:rsidR="002B380F" w:rsidRPr="00942352">
              <w:rPr>
                <w:lang w:eastAsia="en-AU"/>
              </w:rPr>
              <w:t>Operation of resulting trusts and the presumption of advancement</w:t>
            </w:r>
            <w:r>
              <w:rPr>
                <w:lang w:eastAsia="en-AU"/>
              </w:rPr>
              <w:fldChar w:fldCharType="end"/>
            </w:r>
          </w:p>
        </w:tc>
        <w:tc>
          <w:tcPr>
            <w:tcW w:w="1000" w:type="dxa"/>
            <w:shd w:val="clear" w:color="auto" w:fill="auto"/>
            <w:vAlign w:val="bottom"/>
          </w:tcPr>
          <w:p w14:paraId="36537223" w14:textId="618C6EB1" w:rsidR="007D7327" w:rsidRDefault="007D7327" w:rsidP="004A5066">
            <w:pPr>
              <w:spacing w:before="120" w:after="60" w:line="240" w:lineRule="auto"/>
              <w:jc w:val="right"/>
              <w:rPr>
                <w:szCs w:val="24"/>
              </w:rPr>
            </w:pPr>
            <w:r>
              <w:rPr>
                <w:szCs w:val="24"/>
              </w:rPr>
              <w:t>[213]</w:t>
            </w:r>
          </w:p>
        </w:tc>
      </w:tr>
      <w:tr w:rsidR="007D7327" w:rsidRPr="00D326DB" w14:paraId="725F54E8" w14:textId="77777777" w:rsidTr="007D7327">
        <w:tc>
          <w:tcPr>
            <w:tcW w:w="8291" w:type="dxa"/>
            <w:shd w:val="clear" w:color="auto" w:fill="auto"/>
          </w:tcPr>
          <w:p w14:paraId="15069FB6" w14:textId="1C15B3F7"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_Ref126916986 \h </w:instrText>
            </w:r>
            <w:r>
              <w:rPr>
                <w:lang w:eastAsia="en-AU"/>
              </w:rPr>
            </w:r>
            <w:r>
              <w:rPr>
                <w:lang w:eastAsia="en-AU"/>
              </w:rPr>
              <w:fldChar w:fldCharType="separate"/>
            </w:r>
            <w:r w:rsidR="002B380F" w:rsidRPr="00942352">
              <w:rPr>
                <w:lang w:eastAsia="en-AU"/>
              </w:rPr>
              <w:t>The resulting trust claim</w:t>
            </w:r>
            <w:r>
              <w:rPr>
                <w:lang w:eastAsia="en-AU"/>
              </w:rPr>
              <w:fldChar w:fldCharType="end"/>
            </w:r>
          </w:p>
        </w:tc>
        <w:tc>
          <w:tcPr>
            <w:tcW w:w="1000" w:type="dxa"/>
            <w:shd w:val="clear" w:color="auto" w:fill="auto"/>
            <w:vAlign w:val="bottom"/>
          </w:tcPr>
          <w:p w14:paraId="3A29D864" w14:textId="4A51E36B" w:rsidR="007D7327" w:rsidRDefault="007D7327" w:rsidP="004A5066">
            <w:pPr>
              <w:spacing w:before="120" w:after="60" w:line="240" w:lineRule="auto"/>
              <w:jc w:val="right"/>
              <w:rPr>
                <w:szCs w:val="24"/>
              </w:rPr>
            </w:pPr>
            <w:r>
              <w:rPr>
                <w:szCs w:val="24"/>
              </w:rPr>
              <w:t>[222]</w:t>
            </w:r>
          </w:p>
        </w:tc>
      </w:tr>
      <w:tr w:rsidR="007D7327" w:rsidRPr="00D326DB" w14:paraId="7885EE97" w14:textId="77777777" w:rsidTr="007D7327">
        <w:tc>
          <w:tcPr>
            <w:tcW w:w="8291" w:type="dxa"/>
            <w:shd w:val="clear" w:color="auto" w:fill="auto"/>
          </w:tcPr>
          <w:p w14:paraId="601CFFDE" w14:textId="7B682EF2" w:rsidR="007D7327" w:rsidRPr="007D7327" w:rsidRDefault="007D7327" w:rsidP="007D7327">
            <w:pPr>
              <w:pStyle w:val="FTOC3"/>
              <w:tabs>
                <w:tab w:val="clear" w:pos="9072"/>
              </w:tabs>
              <w:rPr>
                <w:i w:val="0"/>
                <w:lang w:eastAsia="en-AU"/>
              </w:rPr>
            </w:pPr>
            <w:r>
              <w:rPr>
                <w:lang w:eastAsia="en-AU"/>
              </w:rPr>
              <w:fldChar w:fldCharType="begin"/>
            </w:r>
            <w:r>
              <w:rPr>
                <w:lang w:eastAsia="en-AU"/>
              </w:rPr>
              <w:instrText xml:space="preserve"> REF _Ref126916203 \h </w:instrText>
            </w:r>
            <w:r>
              <w:rPr>
                <w:lang w:eastAsia="en-AU"/>
              </w:rPr>
            </w:r>
            <w:r>
              <w:rPr>
                <w:lang w:eastAsia="en-AU"/>
              </w:rPr>
              <w:fldChar w:fldCharType="separate"/>
            </w:r>
            <w:r w:rsidR="002B380F" w:rsidRPr="00942352">
              <w:rPr>
                <w:lang w:eastAsia="en-AU"/>
              </w:rPr>
              <w:t>The voidable transaction claims</w:t>
            </w:r>
            <w:r>
              <w:rPr>
                <w:lang w:eastAsia="en-AU"/>
              </w:rPr>
              <w:fldChar w:fldCharType="end"/>
            </w:r>
          </w:p>
        </w:tc>
        <w:tc>
          <w:tcPr>
            <w:tcW w:w="1000" w:type="dxa"/>
            <w:shd w:val="clear" w:color="auto" w:fill="auto"/>
            <w:vAlign w:val="bottom"/>
          </w:tcPr>
          <w:p w14:paraId="5390E3F4" w14:textId="462B8053" w:rsidR="007D7327" w:rsidRDefault="007D7327" w:rsidP="004A5066">
            <w:pPr>
              <w:spacing w:before="120" w:after="60" w:line="240" w:lineRule="auto"/>
              <w:jc w:val="right"/>
              <w:rPr>
                <w:szCs w:val="24"/>
              </w:rPr>
            </w:pPr>
            <w:r>
              <w:rPr>
                <w:szCs w:val="24"/>
              </w:rPr>
              <w:t>[231]</w:t>
            </w:r>
          </w:p>
        </w:tc>
      </w:tr>
      <w:tr w:rsidR="007D7327" w:rsidRPr="00D326DB" w14:paraId="595B7578" w14:textId="77777777" w:rsidTr="007D7327">
        <w:tc>
          <w:tcPr>
            <w:tcW w:w="8291" w:type="dxa"/>
            <w:shd w:val="clear" w:color="auto" w:fill="auto"/>
          </w:tcPr>
          <w:p w14:paraId="3C3B0329" w14:textId="195BA084"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_Ref127552606 \h </w:instrText>
            </w:r>
            <w:r>
              <w:rPr>
                <w:lang w:eastAsia="en-AU"/>
              </w:rPr>
            </w:r>
            <w:r>
              <w:rPr>
                <w:lang w:eastAsia="en-AU"/>
              </w:rPr>
              <w:fldChar w:fldCharType="separate"/>
            </w:r>
            <w:r w:rsidR="002B380F" w:rsidRPr="00942352">
              <w:t>Operation of s 121</w:t>
            </w:r>
            <w:r>
              <w:rPr>
                <w:lang w:eastAsia="en-AU"/>
              </w:rPr>
              <w:fldChar w:fldCharType="end"/>
            </w:r>
          </w:p>
        </w:tc>
        <w:tc>
          <w:tcPr>
            <w:tcW w:w="1000" w:type="dxa"/>
            <w:shd w:val="clear" w:color="auto" w:fill="auto"/>
            <w:vAlign w:val="bottom"/>
          </w:tcPr>
          <w:p w14:paraId="3EF508B2" w14:textId="693F42C8" w:rsidR="007D7327" w:rsidRDefault="007D7327" w:rsidP="004A5066">
            <w:pPr>
              <w:spacing w:before="120" w:after="60" w:line="240" w:lineRule="auto"/>
              <w:jc w:val="right"/>
              <w:rPr>
                <w:szCs w:val="24"/>
              </w:rPr>
            </w:pPr>
            <w:r>
              <w:rPr>
                <w:szCs w:val="24"/>
              </w:rPr>
              <w:t>[231]</w:t>
            </w:r>
          </w:p>
        </w:tc>
      </w:tr>
      <w:tr w:rsidR="007D7327" w:rsidRPr="00D326DB" w14:paraId="2EB750FA" w14:textId="77777777" w:rsidTr="007D7327">
        <w:tc>
          <w:tcPr>
            <w:tcW w:w="8291" w:type="dxa"/>
            <w:shd w:val="clear" w:color="auto" w:fill="auto"/>
          </w:tcPr>
          <w:p w14:paraId="5036AD55" w14:textId="7C1BF852"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_Ref129254369 \h </w:instrText>
            </w:r>
            <w:r>
              <w:rPr>
                <w:lang w:eastAsia="en-AU"/>
              </w:rPr>
            </w:r>
            <w:r>
              <w:rPr>
                <w:lang w:eastAsia="en-AU"/>
              </w:rPr>
              <w:fldChar w:fldCharType="separate"/>
            </w:r>
            <w:r w:rsidR="002B380F" w:rsidRPr="00942352">
              <w:t>Were there “transfers of property” from the bankrupt to the respondent</w:t>
            </w:r>
            <w:r w:rsidR="002B380F">
              <w:t>?</w:t>
            </w:r>
            <w:r>
              <w:rPr>
                <w:lang w:eastAsia="en-AU"/>
              </w:rPr>
              <w:fldChar w:fldCharType="end"/>
            </w:r>
          </w:p>
        </w:tc>
        <w:tc>
          <w:tcPr>
            <w:tcW w:w="1000" w:type="dxa"/>
            <w:shd w:val="clear" w:color="auto" w:fill="auto"/>
            <w:vAlign w:val="bottom"/>
          </w:tcPr>
          <w:p w14:paraId="5CA4860C" w14:textId="3C7E8A2B" w:rsidR="007D7327" w:rsidRDefault="007D7327" w:rsidP="004A5066">
            <w:pPr>
              <w:spacing w:before="120" w:after="60" w:line="240" w:lineRule="auto"/>
              <w:jc w:val="right"/>
              <w:rPr>
                <w:szCs w:val="24"/>
              </w:rPr>
            </w:pPr>
            <w:r>
              <w:rPr>
                <w:szCs w:val="24"/>
              </w:rPr>
              <w:t>[236]</w:t>
            </w:r>
          </w:p>
        </w:tc>
      </w:tr>
      <w:tr w:rsidR="007D7327" w:rsidRPr="00D326DB" w14:paraId="66320701" w14:textId="77777777" w:rsidTr="007D7327">
        <w:tc>
          <w:tcPr>
            <w:tcW w:w="8291" w:type="dxa"/>
            <w:shd w:val="clear" w:color="auto" w:fill="auto"/>
          </w:tcPr>
          <w:p w14:paraId="7790FACD" w14:textId="4B9ACB9E"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_Ref127552608 \h </w:instrText>
            </w:r>
            <w:r>
              <w:rPr>
                <w:lang w:eastAsia="en-AU"/>
              </w:rPr>
            </w:r>
            <w:r>
              <w:rPr>
                <w:lang w:eastAsia="en-AU"/>
              </w:rPr>
              <w:fldChar w:fldCharType="separate"/>
            </w:r>
            <w:r w:rsidR="002B380F" w:rsidRPr="00942352">
              <w:t>Would the property have been available or probably available to creditors?</w:t>
            </w:r>
            <w:r>
              <w:rPr>
                <w:lang w:eastAsia="en-AU"/>
              </w:rPr>
              <w:fldChar w:fldCharType="end"/>
            </w:r>
          </w:p>
        </w:tc>
        <w:tc>
          <w:tcPr>
            <w:tcW w:w="1000" w:type="dxa"/>
            <w:shd w:val="clear" w:color="auto" w:fill="auto"/>
            <w:vAlign w:val="bottom"/>
          </w:tcPr>
          <w:p w14:paraId="0FF28702" w14:textId="74145EB8" w:rsidR="007D7327" w:rsidRDefault="007D7327" w:rsidP="004A5066">
            <w:pPr>
              <w:spacing w:before="120" w:after="60" w:line="240" w:lineRule="auto"/>
              <w:jc w:val="right"/>
              <w:rPr>
                <w:szCs w:val="24"/>
              </w:rPr>
            </w:pPr>
            <w:r>
              <w:rPr>
                <w:szCs w:val="24"/>
              </w:rPr>
              <w:t>[245]</w:t>
            </w:r>
          </w:p>
        </w:tc>
      </w:tr>
      <w:tr w:rsidR="007D7327" w:rsidRPr="00D326DB" w14:paraId="7967E1D0" w14:textId="77777777" w:rsidTr="007D7327">
        <w:tc>
          <w:tcPr>
            <w:tcW w:w="8291" w:type="dxa"/>
            <w:shd w:val="clear" w:color="auto" w:fill="auto"/>
          </w:tcPr>
          <w:p w14:paraId="19167C52" w14:textId="02BD3110"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_Ref127552609 \h </w:instrText>
            </w:r>
            <w:r>
              <w:rPr>
                <w:lang w:eastAsia="en-AU"/>
              </w:rPr>
            </w:r>
            <w:r>
              <w:rPr>
                <w:lang w:eastAsia="en-AU"/>
              </w:rPr>
              <w:fldChar w:fldCharType="separate"/>
            </w:r>
            <w:r w:rsidR="002B380F" w:rsidRPr="00942352">
              <w:t>Can it reasonably be inferred that at the time of transfer the bankrupt was insolvent or about to be?</w:t>
            </w:r>
            <w:r>
              <w:rPr>
                <w:lang w:eastAsia="en-AU"/>
              </w:rPr>
              <w:fldChar w:fldCharType="end"/>
            </w:r>
          </w:p>
        </w:tc>
        <w:tc>
          <w:tcPr>
            <w:tcW w:w="1000" w:type="dxa"/>
            <w:shd w:val="clear" w:color="auto" w:fill="auto"/>
            <w:vAlign w:val="bottom"/>
          </w:tcPr>
          <w:p w14:paraId="0EAC0C7D" w14:textId="3153A853" w:rsidR="007D7327" w:rsidRDefault="007D7327" w:rsidP="004A5066">
            <w:pPr>
              <w:spacing w:before="120" w:after="60" w:line="240" w:lineRule="auto"/>
              <w:jc w:val="right"/>
              <w:rPr>
                <w:szCs w:val="24"/>
              </w:rPr>
            </w:pPr>
            <w:r>
              <w:rPr>
                <w:szCs w:val="24"/>
              </w:rPr>
              <w:t>[251]</w:t>
            </w:r>
          </w:p>
        </w:tc>
      </w:tr>
      <w:tr w:rsidR="007D7327" w:rsidRPr="00D326DB" w14:paraId="5E54937F" w14:textId="77777777" w:rsidTr="007D7327">
        <w:tc>
          <w:tcPr>
            <w:tcW w:w="8291" w:type="dxa"/>
            <w:shd w:val="clear" w:color="auto" w:fill="auto"/>
          </w:tcPr>
          <w:p w14:paraId="0A6CF2D9" w14:textId="08295BB2"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_Ref129010209 \h </w:instrText>
            </w:r>
            <w:r>
              <w:rPr>
                <w:lang w:eastAsia="en-AU"/>
              </w:rPr>
            </w:r>
            <w:r>
              <w:rPr>
                <w:lang w:eastAsia="en-AU"/>
              </w:rPr>
              <w:fldChar w:fldCharType="separate"/>
            </w:r>
            <w:r w:rsidR="002B380F" w:rsidRPr="00942352">
              <w:t>Whether there was consideration for the transfers</w:t>
            </w:r>
            <w:r>
              <w:rPr>
                <w:lang w:eastAsia="en-AU"/>
              </w:rPr>
              <w:fldChar w:fldCharType="end"/>
            </w:r>
          </w:p>
        </w:tc>
        <w:tc>
          <w:tcPr>
            <w:tcW w:w="1000" w:type="dxa"/>
            <w:shd w:val="clear" w:color="auto" w:fill="auto"/>
            <w:vAlign w:val="bottom"/>
          </w:tcPr>
          <w:p w14:paraId="10AD2AEE" w14:textId="480A520D" w:rsidR="007D7327" w:rsidRDefault="007D7327" w:rsidP="004A5066">
            <w:pPr>
              <w:spacing w:before="120" w:after="60" w:line="240" w:lineRule="auto"/>
              <w:jc w:val="right"/>
              <w:rPr>
                <w:szCs w:val="24"/>
              </w:rPr>
            </w:pPr>
            <w:r>
              <w:rPr>
                <w:szCs w:val="24"/>
              </w:rPr>
              <w:t>[255]</w:t>
            </w:r>
          </w:p>
        </w:tc>
      </w:tr>
      <w:tr w:rsidR="007D7327" w:rsidRPr="00D326DB" w14:paraId="18DCAF3B" w14:textId="77777777" w:rsidTr="007D7327">
        <w:tc>
          <w:tcPr>
            <w:tcW w:w="8291" w:type="dxa"/>
            <w:shd w:val="clear" w:color="auto" w:fill="auto"/>
          </w:tcPr>
          <w:p w14:paraId="0CC257C3" w14:textId="79C7AAB2"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_Ref127552611 \h </w:instrText>
            </w:r>
            <w:r>
              <w:rPr>
                <w:lang w:eastAsia="en-AU"/>
              </w:rPr>
            </w:r>
            <w:r>
              <w:rPr>
                <w:lang w:eastAsia="en-AU"/>
              </w:rPr>
              <w:fldChar w:fldCharType="separate"/>
            </w:r>
            <w:r w:rsidR="002B380F" w:rsidRPr="00942352">
              <w:t>The bankrupt’s main purpose</w:t>
            </w:r>
            <w:r>
              <w:rPr>
                <w:lang w:eastAsia="en-AU"/>
              </w:rPr>
              <w:fldChar w:fldCharType="end"/>
            </w:r>
          </w:p>
        </w:tc>
        <w:tc>
          <w:tcPr>
            <w:tcW w:w="1000" w:type="dxa"/>
            <w:shd w:val="clear" w:color="auto" w:fill="auto"/>
            <w:vAlign w:val="bottom"/>
          </w:tcPr>
          <w:p w14:paraId="16AD7E8D" w14:textId="2B3C3F11" w:rsidR="007D7327" w:rsidRDefault="007D7327" w:rsidP="004A5066">
            <w:pPr>
              <w:spacing w:before="120" w:after="60" w:line="240" w:lineRule="auto"/>
              <w:jc w:val="right"/>
              <w:rPr>
                <w:szCs w:val="24"/>
              </w:rPr>
            </w:pPr>
            <w:r>
              <w:rPr>
                <w:szCs w:val="24"/>
              </w:rPr>
              <w:t>[256]</w:t>
            </w:r>
          </w:p>
        </w:tc>
      </w:tr>
      <w:tr w:rsidR="007D7327" w:rsidRPr="00D326DB" w14:paraId="1D9B19DF" w14:textId="77777777" w:rsidTr="007D7327">
        <w:tc>
          <w:tcPr>
            <w:tcW w:w="8291" w:type="dxa"/>
            <w:shd w:val="clear" w:color="auto" w:fill="auto"/>
          </w:tcPr>
          <w:p w14:paraId="48E52086" w14:textId="09AF3E69"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_Ref127552612 \h </w:instrText>
            </w:r>
            <w:r>
              <w:rPr>
                <w:lang w:eastAsia="en-AU"/>
              </w:rPr>
            </w:r>
            <w:r>
              <w:rPr>
                <w:lang w:eastAsia="en-AU"/>
              </w:rPr>
              <w:fldChar w:fldCharType="separate"/>
            </w:r>
            <w:r w:rsidR="002B380F" w:rsidRPr="00942352">
              <w:rPr>
                <w:lang w:eastAsia="en-AU"/>
              </w:rPr>
              <w:t>Operation of s 120</w:t>
            </w:r>
            <w:r>
              <w:rPr>
                <w:lang w:eastAsia="en-AU"/>
              </w:rPr>
              <w:fldChar w:fldCharType="end"/>
            </w:r>
          </w:p>
        </w:tc>
        <w:tc>
          <w:tcPr>
            <w:tcW w:w="1000" w:type="dxa"/>
            <w:shd w:val="clear" w:color="auto" w:fill="auto"/>
            <w:vAlign w:val="bottom"/>
          </w:tcPr>
          <w:p w14:paraId="191D8C46" w14:textId="753090BB" w:rsidR="007D7327" w:rsidRDefault="007D7327" w:rsidP="004A5066">
            <w:pPr>
              <w:spacing w:before="120" w:after="60" w:line="240" w:lineRule="auto"/>
              <w:jc w:val="right"/>
              <w:rPr>
                <w:szCs w:val="24"/>
              </w:rPr>
            </w:pPr>
            <w:r>
              <w:rPr>
                <w:szCs w:val="24"/>
              </w:rPr>
              <w:t>[261]</w:t>
            </w:r>
          </w:p>
        </w:tc>
      </w:tr>
      <w:tr w:rsidR="007D7327" w:rsidRPr="00D326DB" w14:paraId="00566A7A" w14:textId="77777777" w:rsidTr="007D7327">
        <w:tc>
          <w:tcPr>
            <w:tcW w:w="8291" w:type="dxa"/>
            <w:shd w:val="clear" w:color="auto" w:fill="auto"/>
          </w:tcPr>
          <w:p w14:paraId="581886AE" w14:textId="514F4983" w:rsidR="007D7327" w:rsidRPr="007D7327" w:rsidRDefault="007D7327" w:rsidP="007D7327">
            <w:pPr>
              <w:pStyle w:val="FTOC4"/>
              <w:tabs>
                <w:tab w:val="clear" w:pos="9072"/>
              </w:tabs>
              <w:rPr>
                <w:i w:val="0"/>
                <w:lang w:eastAsia="en-AU"/>
              </w:rPr>
            </w:pPr>
            <w:r>
              <w:rPr>
                <w:lang w:eastAsia="en-AU"/>
              </w:rPr>
              <w:fldChar w:fldCharType="begin"/>
            </w:r>
            <w:r>
              <w:rPr>
                <w:lang w:eastAsia="en-AU"/>
              </w:rPr>
              <w:instrText xml:space="preserve"> REF _Ref126916988 \h </w:instrText>
            </w:r>
            <w:r>
              <w:rPr>
                <w:lang w:eastAsia="en-AU"/>
              </w:rPr>
            </w:r>
            <w:r>
              <w:rPr>
                <w:lang w:eastAsia="en-AU"/>
              </w:rPr>
              <w:fldChar w:fldCharType="separate"/>
            </w:r>
            <w:r w:rsidR="002B380F" w:rsidRPr="00942352">
              <w:rPr>
                <w:lang w:eastAsia="en-AU"/>
              </w:rPr>
              <w:t>The s 120(1) claim</w:t>
            </w:r>
            <w:r>
              <w:rPr>
                <w:lang w:eastAsia="en-AU"/>
              </w:rPr>
              <w:fldChar w:fldCharType="end"/>
            </w:r>
          </w:p>
        </w:tc>
        <w:tc>
          <w:tcPr>
            <w:tcW w:w="1000" w:type="dxa"/>
            <w:shd w:val="clear" w:color="auto" w:fill="auto"/>
            <w:vAlign w:val="bottom"/>
          </w:tcPr>
          <w:p w14:paraId="3FF3A038" w14:textId="5E1D6F14" w:rsidR="007D7327" w:rsidRDefault="007D7327" w:rsidP="004A5066">
            <w:pPr>
              <w:spacing w:before="120" w:after="60" w:line="240" w:lineRule="auto"/>
              <w:jc w:val="right"/>
              <w:rPr>
                <w:szCs w:val="24"/>
              </w:rPr>
            </w:pPr>
            <w:r>
              <w:rPr>
                <w:szCs w:val="24"/>
              </w:rPr>
              <w:t>[266]</w:t>
            </w:r>
          </w:p>
        </w:tc>
      </w:tr>
      <w:tr w:rsidR="007D7327" w:rsidRPr="00D326DB" w14:paraId="4DADF3B5" w14:textId="77777777" w:rsidTr="007D7327">
        <w:tc>
          <w:tcPr>
            <w:tcW w:w="8291" w:type="dxa"/>
            <w:shd w:val="clear" w:color="auto" w:fill="auto"/>
          </w:tcPr>
          <w:p w14:paraId="7B3DBDB6" w14:textId="3B4EA821" w:rsidR="007D7327" w:rsidRPr="007D7327" w:rsidRDefault="007D7327" w:rsidP="007D7327">
            <w:pPr>
              <w:pStyle w:val="FTOC2"/>
              <w:tabs>
                <w:tab w:val="clear" w:pos="9072"/>
              </w:tabs>
              <w:rPr>
                <w:lang w:eastAsia="en-AU"/>
              </w:rPr>
            </w:pPr>
            <w:r>
              <w:rPr>
                <w:lang w:eastAsia="en-AU"/>
              </w:rPr>
              <w:fldChar w:fldCharType="begin"/>
            </w:r>
            <w:r>
              <w:rPr>
                <w:lang w:eastAsia="en-AU"/>
              </w:rPr>
              <w:instrText xml:space="preserve"> REF _Ref126916207 \h </w:instrText>
            </w:r>
            <w:r>
              <w:rPr>
                <w:lang w:eastAsia="en-AU"/>
              </w:rPr>
            </w:r>
            <w:r>
              <w:rPr>
                <w:lang w:eastAsia="en-AU"/>
              </w:rPr>
              <w:fldChar w:fldCharType="separate"/>
            </w:r>
            <w:r w:rsidR="002B380F" w:rsidRPr="00942352">
              <w:t>Conclusion</w:t>
            </w:r>
            <w:r>
              <w:rPr>
                <w:lang w:eastAsia="en-AU"/>
              </w:rPr>
              <w:fldChar w:fldCharType="end"/>
            </w:r>
          </w:p>
        </w:tc>
        <w:tc>
          <w:tcPr>
            <w:tcW w:w="1000" w:type="dxa"/>
            <w:shd w:val="clear" w:color="auto" w:fill="auto"/>
            <w:vAlign w:val="bottom"/>
          </w:tcPr>
          <w:p w14:paraId="0AA3EC53" w14:textId="1A554EB1" w:rsidR="007D7327" w:rsidRDefault="007D7327" w:rsidP="004A5066">
            <w:pPr>
              <w:spacing w:before="120" w:after="60" w:line="240" w:lineRule="auto"/>
              <w:jc w:val="right"/>
              <w:rPr>
                <w:szCs w:val="24"/>
              </w:rPr>
            </w:pPr>
            <w:r>
              <w:rPr>
                <w:szCs w:val="24"/>
              </w:rPr>
              <w:t>[278]</w:t>
            </w:r>
          </w:p>
        </w:tc>
      </w:tr>
      <w:bookmarkEnd w:id="23"/>
    </w:tbl>
    <w:p w14:paraId="55DC0C1B" w14:textId="77777777" w:rsidR="002A1832" w:rsidRDefault="002A1832" w:rsidP="005E0510">
      <w:pPr>
        <w:pStyle w:val="NormalHeadings"/>
        <w:spacing w:line="360" w:lineRule="auto"/>
        <w:jc w:val="left"/>
        <w:rPr>
          <w:sz w:val="26"/>
          <w:szCs w:val="26"/>
        </w:rPr>
      </w:pPr>
    </w:p>
    <w:p w14:paraId="46555E8D" w14:textId="77777777" w:rsidR="002A1832" w:rsidRDefault="002A1832">
      <w:pPr>
        <w:spacing w:line="240" w:lineRule="auto"/>
        <w:jc w:val="left"/>
        <w:rPr>
          <w:b/>
          <w:sz w:val="26"/>
          <w:szCs w:val="26"/>
        </w:rPr>
      </w:pPr>
      <w:r>
        <w:rPr>
          <w:sz w:val="26"/>
          <w:szCs w:val="26"/>
        </w:rPr>
        <w:br w:type="page"/>
      </w:r>
    </w:p>
    <w:p w14:paraId="020266E1" w14:textId="5B04F9C7" w:rsidR="00CD1346" w:rsidRPr="00942352" w:rsidRDefault="001D7DA0" w:rsidP="005E0A29">
      <w:pPr>
        <w:pStyle w:val="Heading2"/>
      </w:pPr>
      <w:bookmarkStart w:id="24" w:name="_Ref126916168"/>
      <w:bookmarkStart w:id="25" w:name="_Ref129010197"/>
      <w:r w:rsidRPr="00942352">
        <w:lastRenderedPageBreak/>
        <w:t>Introduction</w:t>
      </w:r>
      <w:bookmarkEnd w:id="24"/>
      <w:bookmarkEnd w:id="25"/>
      <w:r w:rsidRPr="00942352">
        <w:t xml:space="preserve"> </w:t>
      </w:r>
    </w:p>
    <w:p w14:paraId="22429E2F" w14:textId="6A1FEE59" w:rsidR="006B3D55" w:rsidRPr="00942352" w:rsidRDefault="00155C95" w:rsidP="00155C95">
      <w:pPr>
        <w:pStyle w:val="ParaNumbering"/>
        <w:numPr>
          <w:ilvl w:val="0"/>
          <w:numId w:val="0"/>
        </w:numPr>
        <w:ind w:hanging="720"/>
      </w:pPr>
      <w:r w:rsidRPr="00942352">
        <w:rPr>
          <w:sz w:val="20"/>
        </w:rPr>
        <w:t>1</w:t>
      </w:r>
      <w:r w:rsidRPr="00942352">
        <w:rPr>
          <w:sz w:val="20"/>
        </w:rPr>
        <w:tab/>
      </w:r>
      <w:r w:rsidR="006B3D55" w:rsidRPr="00942352">
        <w:t xml:space="preserve">The applicant, Robert </w:t>
      </w:r>
      <w:r w:rsidR="00473EAB" w:rsidRPr="00942352">
        <w:t>John</w:t>
      </w:r>
      <w:r w:rsidR="006B3D55" w:rsidRPr="00942352">
        <w:t xml:space="preserve"> Kite (the </w:t>
      </w:r>
      <w:r w:rsidR="006B3D55" w:rsidRPr="00942352">
        <w:rPr>
          <w:b/>
        </w:rPr>
        <w:t>trustee</w:t>
      </w:r>
      <w:r w:rsidR="006B3D55" w:rsidRPr="00942352">
        <w:t xml:space="preserve">), is the trustee in bankruptcy of the estate of James Edward Murray (the </w:t>
      </w:r>
      <w:r w:rsidR="006B3D55" w:rsidRPr="00942352">
        <w:rPr>
          <w:b/>
        </w:rPr>
        <w:t>bankrupt</w:t>
      </w:r>
      <w:r w:rsidR="006B3D55" w:rsidRPr="00942352">
        <w:t xml:space="preserve">). The trustee was appointed on 25 September 2017 upon the filing by the bankrupt of a debtor’s petition pursuant to s 55 of the </w:t>
      </w:r>
      <w:r w:rsidR="006B3D55" w:rsidRPr="00942352">
        <w:rPr>
          <w:b/>
          <w:i/>
        </w:rPr>
        <w:t>Bankruptcy</w:t>
      </w:r>
      <w:r w:rsidR="006B3D55" w:rsidRPr="00942352">
        <w:rPr>
          <w:i/>
        </w:rPr>
        <w:t xml:space="preserve"> </w:t>
      </w:r>
      <w:r w:rsidR="006B3D55" w:rsidRPr="00942352">
        <w:rPr>
          <w:b/>
          <w:i/>
        </w:rPr>
        <w:t>Act</w:t>
      </w:r>
      <w:r w:rsidR="006B3D55" w:rsidRPr="00942352">
        <w:rPr>
          <w:i/>
        </w:rPr>
        <w:t xml:space="preserve"> 1966</w:t>
      </w:r>
      <w:r w:rsidR="006B3D55" w:rsidRPr="00942352">
        <w:t xml:space="preserve"> (</w:t>
      </w:r>
      <w:proofErr w:type="spellStart"/>
      <w:r w:rsidR="006B3D55" w:rsidRPr="00942352">
        <w:t>Cth</w:t>
      </w:r>
      <w:proofErr w:type="spellEnd"/>
      <w:r w:rsidR="006B3D55" w:rsidRPr="00942352">
        <w:t xml:space="preserve">). Mellissa Beverley Murray (the </w:t>
      </w:r>
      <w:r w:rsidR="006B3D55" w:rsidRPr="00942352">
        <w:rPr>
          <w:b/>
        </w:rPr>
        <w:t>respondent</w:t>
      </w:r>
      <w:r w:rsidR="006B3D55" w:rsidRPr="00942352">
        <w:t xml:space="preserve">) is the wife of the bankrupt. </w:t>
      </w:r>
    </w:p>
    <w:p w14:paraId="243038CF" w14:textId="02D96C64" w:rsidR="000470C7" w:rsidRPr="00942352" w:rsidRDefault="00155C95" w:rsidP="00155C95">
      <w:pPr>
        <w:pStyle w:val="ParaNumbering"/>
        <w:numPr>
          <w:ilvl w:val="0"/>
          <w:numId w:val="0"/>
        </w:numPr>
        <w:ind w:hanging="720"/>
      </w:pPr>
      <w:r w:rsidRPr="00942352">
        <w:rPr>
          <w:sz w:val="20"/>
        </w:rPr>
        <w:t>2</w:t>
      </w:r>
      <w:r w:rsidRPr="00942352">
        <w:rPr>
          <w:sz w:val="20"/>
        </w:rPr>
        <w:tab/>
      </w:r>
      <w:r w:rsidR="000470C7" w:rsidRPr="00942352">
        <w:t>The trustee claims:</w:t>
      </w:r>
    </w:p>
    <w:p w14:paraId="690026ED" w14:textId="46C4B17A" w:rsidR="000470C7" w:rsidRPr="00942352" w:rsidRDefault="00155C95" w:rsidP="00155C95">
      <w:pPr>
        <w:pStyle w:val="ListNo1alt"/>
        <w:numPr>
          <w:ilvl w:val="0"/>
          <w:numId w:val="0"/>
        </w:numPr>
        <w:tabs>
          <w:tab w:val="left" w:pos="720"/>
        </w:tabs>
        <w:ind w:left="720" w:hanging="720"/>
      </w:pPr>
      <w:r w:rsidRPr="00942352">
        <w:t>(a)</w:t>
      </w:r>
      <w:r w:rsidRPr="00942352">
        <w:tab/>
      </w:r>
      <w:r w:rsidR="000470C7" w:rsidRPr="00942352">
        <w:t>a 50% beneficial interest in the</w:t>
      </w:r>
      <w:r w:rsidR="00C77405" w:rsidRPr="00942352">
        <w:t xml:space="preserve"> property at 25B Serpentine Crescent, North Balgowlah, in the State of New South Wales (</w:t>
      </w:r>
      <w:r w:rsidR="00C77405" w:rsidRPr="00EE11AC">
        <w:t>the</w:t>
      </w:r>
      <w:r w:rsidR="00C77405" w:rsidRPr="00942352">
        <w:t xml:space="preserve"> </w:t>
      </w:r>
      <w:r w:rsidR="00C77405" w:rsidRPr="00942352">
        <w:rPr>
          <w:b/>
        </w:rPr>
        <w:t>North Balgowlah property</w:t>
      </w:r>
      <w:r w:rsidR="00C77405" w:rsidRPr="00942352">
        <w:t>)</w:t>
      </w:r>
      <w:r w:rsidR="000470C7" w:rsidRPr="00942352">
        <w:t>, either on the basis of:</w:t>
      </w:r>
    </w:p>
    <w:p w14:paraId="45E2481C" w14:textId="4F27D935" w:rsidR="000470C7" w:rsidRPr="00942352" w:rsidRDefault="00155C95" w:rsidP="00155C95">
      <w:pPr>
        <w:pStyle w:val="ListNo2alt"/>
        <w:numPr>
          <w:ilvl w:val="0"/>
          <w:numId w:val="0"/>
        </w:numPr>
        <w:tabs>
          <w:tab w:val="left" w:pos="1440"/>
        </w:tabs>
        <w:ind w:left="1440" w:hanging="720"/>
      </w:pPr>
      <w:r w:rsidRPr="00942352">
        <w:t>(</w:t>
      </w:r>
      <w:proofErr w:type="spellStart"/>
      <w:r w:rsidRPr="00942352">
        <w:t>i</w:t>
      </w:r>
      <w:proofErr w:type="spellEnd"/>
      <w:r w:rsidRPr="00942352">
        <w:t>)</w:t>
      </w:r>
      <w:r w:rsidRPr="00942352">
        <w:tab/>
      </w:r>
      <w:r w:rsidR="000470C7" w:rsidRPr="00942352">
        <w:t xml:space="preserve">Part VI, Division 4A of the Bankruptcy Act (the </w:t>
      </w:r>
      <w:r w:rsidR="000470C7" w:rsidRPr="00942352">
        <w:rPr>
          <w:b/>
        </w:rPr>
        <w:t>s 139DA claim</w:t>
      </w:r>
      <w:r w:rsidR="000470C7" w:rsidRPr="00942352">
        <w:t xml:space="preserve">); or </w:t>
      </w:r>
    </w:p>
    <w:p w14:paraId="1D948696" w14:textId="6EC67949" w:rsidR="00C77405" w:rsidRPr="00942352" w:rsidRDefault="00155C95" w:rsidP="00155C95">
      <w:pPr>
        <w:pStyle w:val="ListNo2alt"/>
        <w:numPr>
          <w:ilvl w:val="0"/>
          <w:numId w:val="0"/>
        </w:numPr>
        <w:tabs>
          <w:tab w:val="left" w:pos="1440"/>
        </w:tabs>
        <w:ind w:left="1440" w:hanging="720"/>
      </w:pPr>
      <w:r w:rsidRPr="00942352">
        <w:t>(ii)</w:t>
      </w:r>
      <w:r w:rsidRPr="00942352">
        <w:tab/>
      </w:r>
      <w:proofErr w:type="gramStart"/>
      <w:r w:rsidR="000470C7" w:rsidRPr="00942352">
        <w:t>ordinary</w:t>
      </w:r>
      <w:proofErr w:type="gramEnd"/>
      <w:r w:rsidR="000470C7" w:rsidRPr="00942352">
        <w:t xml:space="preserve"> “purchase money resulting trust principles” (the </w:t>
      </w:r>
      <w:r w:rsidR="000470C7" w:rsidRPr="00942352">
        <w:rPr>
          <w:b/>
        </w:rPr>
        <w:t>resulting trust claim</w:t>
      </w:r>
      <w:r w:rsidR="000470C7" w:rsidRPr="00942352">
        <w:t>); or</w:t>
      </w:r>
    </w:p>
    <w:p w14:paraId="313189C6" w14:textId="54DE49EA" w:rsidR="001D7DA0" w:rsidRPr="00942352" w:rsidRDefault="00155C95" w:rsidP="00155C95">
      <w:pPr>
        <w:pStyle w:val="ListNo1alt"/>
        <w:numPr>
          <w:ilvl w:val="0"/>
          <w:numId w:val="0"/>
        </w:numPr>
        <w:tabs>
          <w:tab w:val="left" w:pos="720"/>
        </w:tabs>
        <w:ind w:left="720" w:hanging="720"/>
      </w:pPr>
      <w:r w:rsidRPr="00942352">
        <w:t>(b)</w:t>
      </w:r>
      <w:r w:rsidRPr="00942352">
        <w:tab/>
      </w:r>
      <w:r w:rsidR="000470C7" w:rsidRPr="00942352">
        <w:t>failing those, monetary claim</w:t>
      </w:r>
      <w:r w:rsidR="00C77405" w:rsidRPr="00942352">
        <w:t>s</w:t>
      </w:r>
      <w:r w:rsidR="000470C7" w:rsidRPr="00942352">
        <w:t xml:space="preserve"> secured by charge upon the North Balgowlah property in respect of the bankrupt’s cash applied towards the property’s purchase</w:t>
      </w:r>
      <w:r w:rsidR="00C77405" w:rsidRPr="00942352">
        <w:t xml:space="preserve"> and as a result </w:t>
      </w:r>
      <w:r w:rsidR="006B7933" w:rsidRPr="00942352">
        <w:t>of transactions entered into between 11 April 2014 and 28 November 2014</w:t>
      </w:r>
      <w:r w:rsidR="000470C7" w:rsidRPr="00942352">
        <w:t xml:space="preserve">, pursuant to </w:t>
      </w:r>
      <w:proofErr w:type="spellStart"/>
      <w:r w:rsidR="000470C7" w:rsidRPr="00942352">
        <w:t>ss</w:t>
      </w:r>
      <w:proofErr w:type="spellEnd"/>
      <w:r w:rsidR="000470C7" w:rsidRPr="00942352">
        <w:t xml:space="preserve"> 120 and/or 121 of the Bankruptcy Act (the alternative</w:t>
      </w:r>
      <w:r w:rsidR="000470C7" w:rsidRPr="00942352">
        <w:rPr>
          <w:b/>
        </w:rPr>
        <w:t xml:space="preserve"> voidable transaction claims</w:t>
      </w:r>
      <w:r w:rsidR="000470C7" w:rsidRPr="00942352">
        <w:t>).</w:t>
      </w:r>
      <w:r w:rsidR="00BF58CD" w:rsidRPr="00942352">
        <w:t xml:space="preserve"> </w:t>
      </w:r>
    </w:p>
    <w:p w14:paraId="1F408228" w14:textId="23A77166" w:rsidR="00921F06" w:rsidRPr="00942352" w:rsidRDefault="006B7933" w:rsidP="00921F06">
      <w:pPr>
        <w:pStyle w:val="Heading2"/>
      </w:pPr>
      <w:bookmarkStart w:id="26" w:name="_Ref129010198"/>
      <w:r w:rsidRPr="00942352">
        <w:t>The Amended Applicat</w:t>
      </w:r>
      <w:r w:rsidR="003D2C91" w:rsidRPr="00942352">
        <w:t>ion</w:t>
      </w:r>
      <w:bookmarkEnd w:id="26"/>
    </w:p>
    <w:p w14:paraId="13284E96" w14:textId="1463D490" w:rsidR="005E0A29" w:rsidRPr="00942352" w:rsidRDefault="00155C95" w:rsidP="00155C95">
      <w:pPr>
        <w:pStyle w:val="ParaNumbering"/>
        <w:numPr>
          <w:ilvl w:val="0"/>
          <w:numId w:val="0"/>
        </w:numPr>
        <w:ind w:hanging="720"/>
      </w:pPr>
      <w:r w:rsidRPr="00942352">
        <w:rPr>
          <w:sz w:val="20"/>
        </w:rPr>
        <w:t>3</w:t>
      </w:r>
      <w:r w:rsidRPr="00942352">
        <w:rPr>
          <w:sz w:val="20"/>
        </w:rPr>
        <w:tab/>
      </w:r>
      <w:r w:rsidR="000C1C69" w:rsidRPr="00942352">
        <w:t xml:space="preserve">By </w:t>
      </w:r>
      <w:r w:rsidR="00206651" w:rsidRPr="00942352">
        <w:t xml:space="preserve">amended </w:t>
      </w:r>
      <w:r w:rsidR="000C1C69" w:rsidRPr="00942352">
        <w:t xml:space="preserve">application filed on </w:t>
      </w:r>
      <w:r w:rsidR="00DE2277" w:rsidRPr="00942352">
        <w:t>14 October 2022</w:t>
      </w:r>
      <w:r w:rsidR="000C1C69" w:rsidRPr="00942352">
        <w:t>, the trustee</w:t>
      </w:r>
      <w:r w:rsidR="0014275C" w:rsidRPr="00942352">
        <w:t xml:space="preserve"> claims the following</w:t>
      </w:r>
      <w:r w:rsidR="000C1C69" w:rsidRPr="00942352">
        <w:t xml:space="preserve"> </w:t>
      </w:r>
      <w:r w:rsidR="00DE4044" w:rsidRPr="00942352">
        <w:t>primary and alternative relief:</w:t>
      </w:r>
    </w:p>
    <w:p w14:paraId="52D0B9AA" w14:textId="4429D882" w:rsidR="003900A0" w:rsidRPr="00942352" w:rsidRDefault="00155C95" w:rsidP="00155C95">
      <w:pPr>
        <w:pStyle w:val="Quote1"/>
        <w:ind w:left="1097" w:hanging="360"/>
      </w:pPr>
      <w:r w:rsidRPr="00942352">
        <w:t>1.</w:t>
      </w:r>
      <w:r w:rsidRPr="00942352">
        <w:tab/>
      </w:r>
      <w:r w:rsidR="003900A0" w:rsidRPr="00942352">
        <w:t>A declaration that the Respondent holds the legal title to 25</w:t>
      </w:r>
      <w:r w:rsidR="007D640C" w:rsidRPr="00942352">
        <w:t>B</w:t>
      </w:r>
      <w:r w:rsidR="003900A0" w:rsidRPr="00942352">
        <w:t xml:space="preserve"> Serpentine Crescent, North Balgowlah (“</w:t>
      </w:r>
      <w:r w:rsidR="003900A0" w:rsidRPr="00942352">
        <w:rPr>
          <w:b/>
        </w:rPr>
        <w:t>the Property</w:t>
      </w:r>
      <w:r w:rsidR="003900A0" w:rsidRPr="00942352">
        <w:t xml:space="preserve">”) on trust for the Applicant and the Respondent in equal shares. </w:t>
      </w:r>
    </w:p>
    <w:p w14:paraId="076D0934" w14:textId="5B220BC1" w:rsidR="00A93640" w:rsidRPr="00942352" w:rsidRDefault="00155C95" w:rsidP="00155C95">
      <w:pPr>
        <w:pStyle w:val="Quote1"/>
        <w:ind w:left="1097" w:hanging="360"/>
      </w:pPr>
      <w:r w:rsidRPr="00942352">
        <w:t>2.</w:t>
      </w:r>
      <w:r w:rsidRPr="00942352">
        <w:tab/>
      </w:r>
      <w:r w:rsidR="00A93640" w:rsidRPr="00942352">
        <w:t>An order that the Respondent transfer a 1/2 interest in the Property to the Applicant.</w:t>
      </w:r>
    </w:p>
    <w:p w14:paraId="08CF2FD2" w14:textId="2FA80058" w:rsidR="00A93640" w:rsidRPr="00942352" w:rsidRDefault="00155C95" w:rsidP="00155C95">
      <w:pPr>
        <w:pStyle w:val="Quote1"/>
        <w:ind w:left="1097" w:hanging="360"/>
      </w:pPr>
      <w:r w:rsidRPr="00942352">
        <w:t>3.</w:t>
      </w:r>
      <w:r w:rsidRPr="00942352">
        <w:tab/>
      </w:r>
      <w:r w:rsidR="00A93640" w:rsidRPr="00942352">
        <w:t xml:space="preserve">An order pursuant to section 139A and/or section 139DA of the </w:t>
      </w:r>
      <w:r w:rsidR="00A93640" w:rsidRPr="00942352">
        <w:rPr>
          <w:i/>
        </w:rPr>
        <w:t>Bankruptcy Act 1966</w:t>
      </w:r>
      <w:r w:rsidR="00A93640" w:rsidRPr="00942352">
        <w:t xml:space="preserve"> (</w:t>
      </w:r>
      <w:proofErr w:type="spellStart"/>
      <w:r w:rsidR="00A93640" w:rsidRPr="00942352">
        <w:t>Cth</w:t>
      </w:r>
      <w:proofErr w:type="spellEnd"/>
      <w:r w:rsidR="00A93640" w:rsidRPr="00942352">
        <w:t>) (“</w:t>
      </w:r>
      <w:r w:rsidR="00A93640" w:rsidRPr="00942352">
        <w:rPr>
          <w:b/>
        </w:rPr>
        <w:t>the Act</w:t>
      </w:r>
      <w:r w:rsidR="00A93640" w:rsidRPr="00942352">
        <w:t>”) that the respondent transfer to the Applicant 50% of the Property.</w:t>
      </w:r>
    </w:p>
    <w:p w14:paraId="10EACCA9" w14:textId="5E38447B" w:rsidR="00A93640" w:rsidRPr="00942352" w:rsidRDefault="00155C95" w:rsidP="00155C95">
      <w:pPr>
        <w:pStyle w:val="Quote1"/>
        <w:ind w:left="1097" w:hanging="360"/>
      </w:pPr>
      <w:r w:rsidRPr="00942352">
        <w:t>4.</w:t>
      </w:r>
      <w:r w:rsidRPr="00942352">
        <w:tab/>
      </w:r>
      <w:r w:rsidR="00A93640" w:rsidRPr="00942352">
        <w:t>In the alternative to the relied</w:t>
      </w:r>
      <w:r w:rsidR="00EE11AC">
        <w:t xml:space="preserve"> [sic]</w:t>
      </w:r>
      <w:r w:rsidR="00A93640" w:rsidRPr="00942352">
        <w:t xml:space="preserve"> sought in prayers 1-3 above, a declaration that the Respondent holds the legal title to the Property on trust for the Applicant and the Respondent in the proportions to which the Respondent and James Edward Murray </w:t>
      </w:r>
      <w:r w:rsidR="007009CA" w:rsidRPr="00942352">
        <w:t>(“</w:t>
      </w:r>
      <w:r w:rsidR="007009CA" w:rsidRPr="00942352">
        <w:rPr>
          <w:b/>
        </w:rPr>
        <w:t>the Bankrupt</w:t>
      </w:r>
      <w:r w:rsidR="007009CA" w:rsidRPr="00942352">
        <w:t>”</w:t>
      </w:r>
      <w:r w:rsidR="00A93640" w:rsidRPr="00942352">
        <w:t>) contributed to the total purchase price of the Property.</w:t>
      </w:r>
    </w:p>
    <w:p w14:paraId="155EE39B" w14:textId="23F73851" w:rsidR="00A93640" w:rsidRPr="00942352" w:rsidRDefault="00155C95" w:rsidP="00155C95">
      <w:pPr>
        <w:pStyle w:val="Quote1"/>
        <w:ind w:left="1097" w:hanging="360"/>
      </w:pPr>
      <w:r w:rsidRPr="00942352">
        <w:t>5.</w:t>
      </w:r>
      <w:r w:rsidRPr="00942352">
        <w:tab/>
      </w:r>
      <w:r w:rsidR="00A93640" w:rsidRPr="00942352">
        <w:t>In the alternative to the order sought in prayer 2 above, an order that the Respondent transfer to the Applicant the portion of the Property determined by the Court to be held on trust for the Applicant.</w:t>
      </w:r>
    </w:p>
    <w:p w14:paraId="24DA2FC7" w14:textId="273E8168" w:rsidR="00A93640" w:rsidRPr="00942352" w:rsidRDefault="00155C95" w:rsidP="00155C95">
      <w:pPr>
        <w:pStyle w:val="Quote1"/>
        <w:ind w:left="1097" w:hanging="360"/>
      </w:pPr>
      <w:r w:rsidRPr="00942352">
        <w:t>6.</w:t>
      </w:r>
      <w:r w:rsidRPr="00942352">
        <w:tab/>
      </w:r>
      <w:r w:rsidR="00A93640" w:rsidRPr="00942352">
        <w:t xml:space="preserve">Further to the relief claimed in prayers 1 to 5 above, an order pursuant to section </w:t>
      </w:r>
      <w:r w:rsidR="00A93640" w:rsidRPr="00942352">
        <w:lastRenderedPageBreak/>
        <w:t xml:space="preserve">66G of the </w:t>
      </w:r>
      <w:r w:rsidR="00A93640" w:rsidRPr="00942352">
        <w:rPr>
          <w:i/>
        </w:rPr>
        <w:t>Conveyancing Act 1919</w:t>
      </w:r>
      <w:r w:rsidR="00A93640" w:rsidRPr="00942352">
        <w:t xml:space="preserve"> (NSW), that the Trustee and Erwin Rommel Alfonso (</w:t>
      </w:r>
      <w:r w:rsidR="001E1ACA" w:rsidRPr="00942352">
        <w:t>“</w:t>
      </w:r>
      <w:r w:rsidR="00A93640" w:rsidRPr="00942352">
        <w:rPr>
          <w:b/>
        </w:rPr>
        <w:t>the 66G</w:t>
      </w:r>
      <w:r w:rsidR="00D57D68" w:rsidRPr="00942352">
        <w:rPr>
          <w:b/>
        </w:rPr>
        <w:t xml:space="preserve"> </w:t>
      </w:r>
      <w:r w:rsidR="00A93640" w:rsidRPr="00942352">
        <w:rPr>
          <w:b/>
        </w:rPr>
        <w:t>Trustees</w:t>
      </w:r>
      <w:r w:rsidR="001E1ACA" w:rsidRPr="00942352">
        <w:t>”</w:t>
      </w:r>
      <w:r w:rsidR="00A93640" w:rsidRPr="00942352">
        <w:t>) be appointed as trustees for the sale of the Property.</w:t>
      </w:r>
    </w:p>
    <w:p w14:paraId="6167B40A" w14:textId="1214138B" w:rsidR="00A93640" w:rsidRPr="00942352" w:rsidRDefault="00155C95" w:rsidP="00155C95">
      <w:pPr>
        <w:pStyle w:val="Quote1"/>
        <w:ind w:left="1097" w:hanging="360"/>
      </w:pPr>
      <w:r w:rsidRPr="00942352">
        <w:t>7.</w:t>
      </w:r>
      <w:r w:rsidRPr="00942352">
        <w:tab/>
      </w:r>
      <w:r w:rsidR="00A93640" w:rsidRPr="00942352">
        <w:t>An order that the Property immediately vest in the 66G Trustees as trustees for sale.</w:t>
      </w:r>
    </w:p>
    <w:p w14:paraId="036E2942" w14:textId="2935DAB5" w:rsidR="00A93640" w:rsidRPr="00942352" w:rsidRDefault="00155C95" w:rsidP="00155C95">
      <w:pPr>
        <w:pStyle w:val="Quote1"/>
        <w:ind w:left="1097" w:hanging="360"/>
      </w:pPr>
      <w:r w:rsidRPr="00942352">
        <w:t>8.</w:t>
      </w:r>
      <w:r w:rsidRPr="00942352">
        <w:tab/>
      </w:r>
      <w:r w:rsidR="00A93640" w:rsidRPr="00942352">
        <w:t>An order that the 66G Trustees be authorised and empowered to offer the Property for sale and to sell the Property by public auction with the power to fix a reserve price or alternatively to sell the property by private treaty at the best available price.</w:t>
      </w:r>
    </w:p>
    <w:p w14:paraId="6AC23153" w14:textId="115FF48F" w:rsidR="00A93640" w:rsidRPr="00942352" w:rsidRDefault="00155C95" w:rsidP="00155C95">
      <w:pPr>
        <w:pStyle w:val="Quote1"/>
        <w:ind w:left="1097" w:hanging="360"/>
      </w:pPr>
      <w:r w:rsidRPr="00942352">
        <w:t>9.</w:t>
      </w:r>
      <w:r w:rsidRPr="00942352">
        <w:tab/>
      </w:r>
      <w:r w:rsidR="00A93640" w:rsidRPr="00942352">
        <w:t>The 66G Trustees are empowered to make all necessary adjustments of rates and taxes on settlement of the sale of the Property.</w:t>
      </w:r>
    </w:p>
    <w:p w14:paraId="36EB3BB5" w14:textId="7C6D8A4F" w:rsidR="00A93640" w:rsidRPr="00942352" w:rsidRDefault="00155C95" w:rsidP="00155C95">
      <w:pPr>
        <w:pStyle w:val="Quote1"/>
        <w:ind w:left="1097" w:hanging="360"/>
      </w:pPr>
      <w:r w:rsidRPr="00942352">
        <w:t>10.</w:t>
      </w:r>
      <w:r w:rsidRPr="00942352">
        <w:tab/>
      </w:r>
      <w:r w:rsidR="00A93640" w:rsidRPr="00942352">
        <w:t>The proceeds of sale of the Property are to be distributed in the following manner:</w:t>
      </w:r>
    </w:p>
    <w:p w14:paraId="3E26A1FE" w14:textId="0095586A" w:rsidR="00A93640" w:rsidRPr="00942352" w:rsidRDefault="00155C95" w:rsidP="00155C95">
      <w:pPr>
        <w:pStyle w:val="Quote2"/>
        <w:ind w:left="1457" w:hanging="360"/>
      </w:pPr>
      <w:r w:rsidRPr="00942352">
        <w:t>(a)</w:t>
      </w:r>
      <w:r w:rsidRPr="00942352">
        <w:tab/>
      </w:r>
      <w:r w:rsidR="00A93640" w:rsidRPr="00942352">
        <w:t>First, to the 66G Tr</w:t>
      </w:r>
      <w:r w:rsidR="00D94F6F" w:rsidRPr="00942352">
        <w:t>ustees’</w:t>
      </w:r>
      <w:r w:rsidR="00A93640" w:rsidRPr="00942352">
        <w:t xml:space="preserve"> costs and expenses, including legal fees, valuation fees,</w:t>
      </w:r>
      <w:r w:rsidR="00D94F6F" w:rsidRPr="00942352">
        <w:t xml:space="preserve"> </w:t>
      </w:r>
      <w:r w:rsidR="00A93640" w:rsidRPr="00942352">
        <w:t>agents fees and commission and any other expenses, of effecting the sale of the Property;</w:t>
      </w:r>
    </w:p>
    <w:p w14:paraId="7A894032" w14:textId="530BA3BC" w:rsidR="00A93640" w:rsidRPr="00942352" w:rsidRDefault="00155C95" w:rsidP="00155C95">
      <w:pPr>
        <w:pStyle w:val="Quote2"/>
        <w:ind w:left="1457" w:hanging="360"/>
      </w:pPr>
      <w:r w:rsidRPr="00942352">
        <w:t>(b)</w:t>
      </w:r>
      <w:r w:rsidRPr="00942352">
        <w:tab/>
      </w:r>
      <w:r w:rsidR="00A93640" w:rsidRPr="00942352">
        <w:t>Second, to the remuneration of the 66G Trustees with respect to the sale of the Property and disbursement of the proceeds thereof;</w:t>
      </w:r>
    </w:p>
    <w:p w14:paraId="5C5FFCC7" w14:textId="6E9130D7" w:rsidR="00A01EBB" w:rsidRPr="00942352" w:rsidRDefault="00155C95" w:rsidP="00155C95">
      <w:pPr>
        <w:pStyle w:val="Quote2"/>
        <w:ind w:left="1457" w:hanging="360"/>
      </w:pPr>
      <w:r w:rsidRPr="00942352">
        <w:t>(c)</w:t>
      </w:r>
      <w:r w:rsidRPr="00942352">
        <w:tab/>
      </w:r>
      <w:r w:rsidR="00A93640" w:rsidRPr="00942352">
        <w:t xml:space="preserve">Thirdly, to the </w:t>
      </w:r>
      <w:r w:rsidR="00C5564F" w:rsidRPr="00942352">
        <w:t>mortgagee’</w:t>
      </w:r>
      <w:r w:rsidR="00A93640" w:rsidRPr="00942352">
        <w:t xml:space="preserve">s debt secured over the Property; and </w:t>
      </w:r>
    </w:p>
    <w:p w14:paraId="22FD6B0E" w14:textId="0F814DC5" w:rsidR="00A93640" w:rsidRPr="00942352" w:rsidRDefault="00155C95" w:rsidP="00155C95">
      <w:pPr>
        <w:pStyle w:val="Quote2"/>
        <w:ind w:left="1457" w:hanging="360"/>
      </w:pPr>
      <w:r w:rsidRPr="00942352">
        <w:t>(d)</w:t>
      </w:r>
      <w:r w:rsidRPr="00942352">
        <w:tab/>
      </w:r>
      <w:r w:rsidR="00A93640" w:rsidRPr="00942352">
        <w:t xml:space="preserve">Finally, the balance of the proceeds of sale to the Trustee and the Respondent in equal shares or such other shares as the Court may determine. </w:t>
      </w:r>
    </w:p>
    <w:p w14:paraId="6C795BC1" w14:textId="7C1011A1" w:rsidR="00BB59BC" w:rsidRPr="00942352" w:rsidRDefault="00155C95" w:rsidP="00155C95">
      <w:pPr>
        <w:pStyle w:val="Quote1"/>
        <w:ind w:left="1097" w:hanging="360"/>
      </w:pPr>
      <w:r w:rsidRPr="00942352">
        <w:t>11.</w:t>
      </w:r>
      <w:r w:rsidRPr="00942352">
        <w:tab/>
      </w:r>
      <w:r w:rsidR="00BB59BC" w:rsidRPr="00942352">
        <w:t>Liberty to the parties to apply on two days</w:t>
      </w:r>
      <w:r w:rsidR="009B3765" w:rsidRPr="00942352">
        <w:t>’</w:t>
      </w:r>
      <w:r w:rsidR="00BB59BC" w:rsidRPr="00942352">
        <w:t xml:space="preserve"> notice with respect to any matter arising out of the sale of the Property or the distribution of the sale proceeds.</w:t>
      </w:r>
    </w:p>
    <w:p w14:paraId="4BF2341E" w14:textId="15AF2AF7" w:rsidR="00BB59BC" w:rsidRPr="00942352" w:rsidRDefault="00155C95" w:rsidP="00155C95">
      <w:pPr>
        <w:pStyle w:val="Quote1"/>
        <w:ind w:left="1097" w:hanging="360"/>
      </w:pPr>
      <w:r w:rsidRPr="00942352">
        <w:t>12.</w:t>
      </w:r>
      <w:r w:rsidRPr="00942352">
        <w:tab/>
      </w:r>
      <w:r w:rsidR="00BB59BC" w:rsidRPr="00942352">
        <w:t xml:space="preserve">In the alternative to the relief sought in prayers 1-11 above a declaration that the payment of $252,690.13 to the Respondent from the sale proceeds of the </w:t>
      </w:r>
      <w:r w:rsidR="009B3765" w:rsidRPr="00942352">
        <w:t>Bankrupt’</w:t>
      </w:r>
      <w:r w:rsidR="00BB59BC" w:rsidRPr="00942352">
        <w:t xml:space="preserve">s interest in property </w:t>
      </w:r>
      <w:r w:rsidR="00ED5E87" w:rsidRPr="00942352">
        <w:t>[sic]</w:t>
      </w:r>
      <w:r w:rsidR="00BB59BC" w:rsidRPr="00942352">
        <w:t xml:space="preserve"> known as unit 305/97 Boyce Road Maroubra, and unit 505/747 Anzac Parade, Maroubra, in the state of New South Wales is void against the Applicant pursuant to section 120 and/or section 121 of the Act.</w:t>
      </w:r>
    </w:p>
    <w:p w14:paraId="4017FBB7" w14:textId="73B8DACF" w:rsidR="00BB59BC" w:rsidRPr="00942352" w:rsidRDefault="00155C95" w:rsidP="00155C95">
      <w:pPr>
        <w:pStyle w:val="Quote1"/>
        <w:ind w:left="1097" w:hanging="360"/>
      </w:pPr>
      <w:r w:rsidRPr="00942352">
        <w:t>13.</w:t>
      </w:r>
      <w:r w:rsidRPr="00942352">
        <w:tab/>
      </w:r>
      <w:r w:rsidR="00BB59BC" w:rsidRPr="00942352">
        <w:t>In the alternative to the relief sought in prayers 1-11 above an order that the Respondent pay the Applicant the sum of $252,690.13.</w:t>
      </w:r>
    </w:p>
    <w:p w14:paraId="3C0B8173" w14:textId="1AF63E18" w:rsidR="00BB59BC" w:rsidRPr="00942352" w:rsidRDefault="00155C95" w:rsidP="00155C95">
      <w:pPr>
        <w:pStyle w:val="Quote1"/>
        <w:ind w:left="1097" w:hanging="360"/>
      </w:pPr>
      <w:r w:rsidRPr="00942352">
        <w:t>14.</w:t>
      </w:r>
      <w:r w:rsidRPr="00942352">
        <w:tab/>
      </w:r>
      <w:r w:rsidR="00BB59BC" w:rsidRPr="00942352">
        <w:t xml:space="preserve">An order that the Respondent pay interest on the amount in prayer 13 from 3 September 2018 at the rates provided for pursuant to s51 </w:t>
      </w:r>
      <w:r w:rsidR="00BB59BC" w:rsidRPr="00942352">
        <w:rPr>
          <w:i/>
        </w:rPr>
        <w:t>Federal Court of Australia Act 1976</w:t>
      </w:r>
      <w:r w:rsidR="00BB59BC" w:rsidRPr="00942352">
        <w:t xml:space="preserve"> (</w:t>
      </w:r>
      <w:proofErr w:type="spellStart"/>
      <w:r w:rsidR="00BB59BC" w:rsidRPr="00942352">
        <w:t>Cth</w:t>
      </w:r>
      <w:proofErr w:type="spellEnd"/>
      <w:r w:rsidR="00BB59BC" w:rsidRPr="00942352">
        <w:t>).</w:t>
      </w:r>
    </w:p>
    <w:p w14:paraId="2071E787" w14:textId="06DB025C" w:rsidR="00BB59BC" w:rsidRPr="00942352" w:rsidRDefault="00155C95" w:rsidP="00155C95">
      <w:pPr>
        <w:pStyle w:val="Quote1"/>
        <w:ind w:left="1097" w:hanging="360"/>
      </w:pPr>
      <w:r w:rsidRPr="00942352">
        <w:t>15.</w:t>
      </w:r>
      <w:r w:rsidRPr="00942352">
        <w:tab/>
      </w:r>
      <w:r w:rsidR="00BB59BC" w:rsidRPr="00942352">
        <w:t>An order that the Respondent pay the Applicant</w:t>
      </w:r>
      <w:r w:rsidR="004320C5" w:rsidRPr="00942352">
        <w:t>’</w:t>
      </w:r>
      <w:r w:rsidR="00BB59BC" w:rsidRPr="00942352">
        <w:t>s costs of these proceedings.</w:t>
      </w:r>
    </w:p>
    <w:p w14:paraId="4897791C" w14:textId="6F8CC7D4" w:rsidR="00BB59BC" w:rsidRPr="00942352" w:rsidRDefault="00155C95" w:rsidP="00155C95">
      <w:pPr>
        <w:pStyle w:val="Quote1"/>
        <w:ind w:left="1097" w:hanging="360"/>
      </w:pPr>
      <w:r w:rsidRPr="00942352">
        <w:t>16.</w:t>
      </w:r>
      <w:r w:rsidRPr="00942352">
        <w:tab/>
      </w:r>
      <w:r w:rsidR="00BB59BC" w:rsidRPr="00942352">
        <w:rPr>
          <w:u w:val="single"/>
        </w:rPr>
        <w:t xml:space="preserve">An order that the Property be charged with the payment to the </w:t>
      </w:r>
      <w:r w:rsidR="00ED5E87" w:rsidRPr="00942352">
        <w:rPr>
          <w:u w:val="single"/>
        </w:rPr>
        <w:t>Applicant</w:t>
      </w:r>
      <w:r w:rsidR="00BB59BC" w:rsidRPr="00942352">
        <w:rPr>
          <w:u w:val="single"/>
        </w:rPr>
        <w:t xml:space="preserve"> of any amount payable pursuant to prayers 13 and 14 above.</w:t>
      </w:r>
    </w:p>
    <w:p w14:paraId="7A5AE309" w14:textId="64AD8323" w:rsidR="00BB59BC" w:rsidRPr="00942352" w:rsidRDefault="00155C95" w:rsidP="00155C95">
      <w:pPr>
        <w:pStyle w:val="Quote1"/>
        <w:ind w:left="1097" w:hanging="360"/>
      </w:pPr>
      <w:r w:rsidRPr="00942352">
        <w:t>17.</w:t>
      </w:r>
      <w:r w:rsidRPr="00942352">
        <w:tab/>
      </w:r>
      <w:r w:rsidR="00BB59BC" w:rsidRPr="00942352">
        <w:rPr>
          <w:u w:val="single"/>
        </w:rPr>
        <w:t>Such further or other order as the court sees fit.</w:t>
      </w:r>
      <w:r w:rsidR="00BB59BC" w:rsidRPr="00942352">
        <w:t xml:space="preserve"> </w:t>
      </w:r>
    </w:p>
    <w:p w14:paraId="2E76955C" w14:textId="5285AC6A" w:rsidR="000C1C69" w:rsidRPr="00942352" w:rsidRDefault="009A184D" w:rsidP="000C1C69">
      <w:pPr>
        <w:pStyle w:val="Quote1"/>
      </w:pPr>
      <w:r w:rsidRPr="00942352">
        <w:t>(Emphasis in original.)</w:t>
      </w:r>
    </w:p>
    <w:p w14:paraId="312426E2" w14:textId="531715F6" w:rsidR="0014275C" w:rsidRPr="00942352" w:rsidRDefault="0014275C" w:rsidP="0014275C">
      <w:pPr>
        <w:pStyle w:val="Heading2"/>
      </w:pPr>
      <w:bookmarkStart w:id="27" w:name="_Ref128755626"/>
      <w:bookmarkStart w:id="28" w:name="_Ref126916171"/>
      <w:r w:rsidRPr="00942352">
        <w:t>Interaction between the respective claims</w:t>
      </w:r>
      <w:bookmarkEnd w:id="27"/>
      <w:r w:rsidRPr="00942352">
        <w:t xml:space="preserve"> </w:t>
      </w:r>
    </w:p>
    <w:p w14:paraId="37B25369" w14:textId="2AFBC3FF" w:rsidR="0014275C" w:rsidRPr="00942352" w:rsidRDefault="00155C95" w:rsidP="00155C95">
      <w:pPr>
        <w:pStyle w:val="ParaNumbering"/>
        <w:numPr>
          <w:ilvl w:val="0"/>
          <w:numId w:val="0"/>
        </w:numPr>
        <w:ind w:hanging="720"/>
      </w:pPr>
      <w:r w:rsidRPr="00942352">
        <w:rPr>
          <w:sz w:val="20"/>
        </w:rPr>
        <w:t>4</w:t>
      </w:r>
      <w:r w:rsidRPr="00942352">
        <w:rPr>
          <w:sz w:val="20"/>
        </w:rPr>
        <w:tab/>
      </w:r>
      <w:r w:rsidR="0014275C" w:rsidRPr="00942352">
        <w:t xml:space="preserve">It was difficult, at hearing, to decipher the trustee’s position regarding </w:t>
      </w:r>
      <w:r w:rsidR="00AD6256" w:rsidRPr="00942352">
        <w:t>his</w:t>
      </w:r>
      <w:r w:rsidR="0014275C" w:rsidRPr="00942352">
        <w:t xml:space="preserve"> respective claims. The trustee’s position ultimately appeared to be as follows: </w:t>
      </w:r>
    </w:p>
    <w:p w14:paraId="6C124FD7" w14:textId="58D62950" w:rsidR="0014275C"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B4172A" w:rsidRPr="00942352">
        <w:t>t</w:t>
      </w:r>
      <w:r w:rsidR="0014275C" w:rsidRPr="00942352">
        <w:t>he</w:t>
      </w:r>
      <w:proofErr w:type="gramEnd"/>
      <w:r w:rsidR="0014275C" w:rsidRPr="00942352">
        <w:t xml:space="preserve"> s 139DA claim was his primary claim; </w:t>
      </w:r>
      <w:r w:rsidR="00736F54" w:rsidRPr="00942352">
        <w:t>and</w:t>
      </w:r>
    </w:p>
    <w:p w14:paraId="79EF1957" w14:textId="4E2ABE5F" w:rsidR="0014275C" w:rsidRPr="00942352" w:rsidRDefault="00155C95" w:rsidP="00155C95">
      <w:pPr>
        <w:pStyle w:val="ListNo1alt"/>
        <w:numPr>
          <w:ilvl w:val="0"/>
          <w:numId w:val="0"/>
        </w:numPr>
        <w:tabs>
          <w:tab w:val="left" w:pos="720"/>
        </w:tabs>
        <w:ind w:left="720" w:hanging="720"/>
      </w:pPr>
      <w:r w:rsidRPr="00942352">
        <w:lastRenderedPageBreak/>
        <w:t>(b)</w:t>
      </w:r>
      <w:r w:rsidRPr="00942352">
        <w:tab/>
      </w:r>
      <w:proofErr w:type="gramStart"/>
      <w:r w:rsidR="00B4172A" w:rsidRPr="00942352">
        <w:t>t</w:t>
      </w:r>
      <w:r w:rsidR="0014275C" w:rsidRPr="00942352">
        <w:t>here</w:t>
      </w:r>
      <w:proofErr w:type="gramEnd"/>
      <w:r w:rsidR="0014275C" w:rsidRPr="00942352">
        <w:t xml:space="preserve"> was no need to consider his resulting trust claim if he succeeded on </w:t>
      </w:r>
      <w:r w:rsidR="00AD6256" w:rsidRPr="00942352">
        <w:t>his</w:t>
      </w:r>
      <w:r w:rsidR="0014275C" w:rsidRPr="00942352">
        <w:t xml:space="preserve"> s 139DA claim where the Court </w:t>
      </w:r>
      <w:r w:rsidR="00736F54" w:rsidRPr="00942352">
        <w:t>declared</w:t>
      </w:r>
      <w:r w:rsidR="0014275C" w:rsidRPr="00942352">
        <w:t xml:space="preserve"> a 50% interest. </w:t>
      </w:r>
    </w:p>
    <w:p w14:paraId="1256FEB9" w14:textId="69A08567" w:rsidR="0014275C" w:rsidRPr="00942352" w:rsidRDefault="00155C95" w:rsidP="00155C95">
      <w:pPr>
        <w:pStyle w:val="ParaNumbering"/>
        <w:numPr>
          <w:ilvl w:val="0"/>
          <w:numId w:val="0"/>
        </w:numPr>
        <w:ind w:hanging="720"/>
      </w:pPr>
      <w:r w:rsidRPr="00942352">
        <w:rPr>
          <w:sz w:val="20"/>
        </w:rPr>
        <w:t>5</w:t>
      </w:r>
      <w:r w:rsidRPr="00942352">
        <w:rPr>
          <w:sz w:val="20"/>
        </w:rPr>
        <w:tab/>
      </w:r>
      <w:r w:rsidR="0014275C" w:rsidRPr="00942352">
        <w:t xml:space="preserve">However, it was unclear as to what the trustee’s position was with respect to maintaining the alternative </w:t>
      </w:r>
      <w:r w:rsidR="00331367" w:rsidRPr="00942352">
        <w:t>voidable transaction</w:t>
      </w:r>
      <w:r w:rsidR="0014275C" w:rsidRPr="00942352">
        <w:t xml:space="preserve"> claims. </w:t>
      </w:r>
    </w:p>
    <w:p w14:paraId="4B7F53AE" w14:textId="55D1B884" w:rsidR="0014275C" w:rsidRPr="00942352" w:rsidRDefault="00155C95" w:rsidP="00155C95">
      <w:pPr>
        <w:pStyle w:val="ParaNumbering"/>
        <w:numPr>
          <w:ilvl w:val="0"/>
          <w:numId w:val="0"/>
        </w:numPr>
        <w:ind w:hanging="720"/>
      </w:pPr>
      <w:r w:rsidRPr="00942352">
        <w:rPr>
          <w:sz w:val="20"/>
        </w:rPr>
        <w:t>6</w:t>
      </w:r>
      <w:r w:rsidRPr="00942352">
        <w:rPr>
          <w:sz w:val="20"/>
        </w:rPr>
        <w:tab/>
      </w:r>
      <w:r w:rsidR="0014275C" w:rsidRPr="00942352">
        <w:t xml:space="preserve">For the reasons which follow (and to the extent that </w:t>
      </w:r>
      <w:r w:rsidR="00C51E0A" w:rsidRPr="00942352">
        <w:t>was</w:t>
      </w:r>
      <w:r w:rsidR="0014275C" w:rsidRPr="00942352">
        <w:t xml:space="preserve"> necessary </w:t>
      </w:r>
      <w:r w:rsidR="00DA4442" w:rsidRPr="00942352">
        <w:t xml:space="preserve">for all claims to be </w:t>
      </w:r>
      <w:r w:rsidR="009460DE" w:rsidRPr="00942352">
        <w:t>decided</w:t>
      </w:r>
      <w:r w:rsidR="0014275C" w:rsidRPr="00942352">
        <w:t xml:space="preserve">) my conclusions with respect to each claim are as follows: </w:t>
      </w:r>
    </w:p>
    <w:p w14:paraId="6DCEC50D" w14:textId="42F1EB03" w:rsidR="0014275C"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B4172A" w:rsidRPr="00942352">
        <w:t>t</w:t>
      </w:r>
      <w:r w:rsidR="0014275C" w:rsidRPr="00942352">
        <w:t>he</w:t>
      </w:r>
      <w:proofErr w:type="gramEnd"/>
      <w:r w:rsidR="0014275C" w:rsidRPr="00942352">
        <w:t xml:space="preserve"> trustee succeeds on </w:t>
      </w:r>
      <w:r w:rsidR="00FC1363" w:rsidRPr="00942352">
        <w:t>his</w:t>
      </w:r>
      <w:r w:rsidR="0014275C" w:rsidRPr="00942352">
        <w:t xml:space="preserve"> s 139DA claim but only to the extent of a </w:t>
      </w:r>
      <w:r w:rsidR="006975ED" w:rsidRPr="00942352">
        <w:t>1</w:t>
      </w:r>
      <w:r w:rsidR="00BB04FF" w:rsidRPr="00942352">
        <w:t>1</w:t>
      </w:r>
      <w:r w:rsidR="0014275C" w:rsidRPr="00942352">
        <w:t xml:space="preserve">% </w:t>
      </w:r>
      <w:r w:rsidR="00EE11AC">
        <w:t xml:space="preserve">beneficial </w:t>
      </w:r>
      <w:r w:rsidR="0014275C" w:rsidRPr="00942352">
        <w:t>interest</w:t>
      </w:r>
      <w:r w:rsidR="00EE11AC">
        <w:t xml:space="preserve"> in the North Balgowlah property</w:t>
      </w:r>
      <w:r w:rsidR="0014275C" w:rsidRPr="00942352">
        <w:t xml:space="preserve">; </w:t>
      </w:r>
    </w:p>
    <w:p w14:paraId="111A3570" w14:textId="561A1DB1" w:rsidR="0014275C" w:rsidRPr="00942352" w:rsidRDefault="00155C95" w:rsidP="00155C95">
      <w:pPr>
        <w:pStyle w:val="ListNo1alt"/>
        <w:numPr>
          <w:ilvl w:val="0"/>
          <w:numId w:val="0"/>
        </w:numPr>
        <w:tabs>
          <w:tab w:val="left" w:pos="720"/>
        </w:tabs>
        <w:ind w:left="720" w:hanging="720"/>
      </w:pPr>
      <w:r w:rsidRPr="00942352">
        <w:t>(b)</w:t>
      </w:r>
      <w:r w:rsidRPr="00942352">
        <w:tab/>
      </w:r>
      <w:proofErr w:type="gramStart"/>
      <w:r w:rsidR="00B4172A" w:rsidRPr="00942352">
        <w:t>t</w:t>
      </w:r>
      <w:r w:rsidR="0014275C" w:rsidRPr="00942352">
        <w:t>he</w:t>
      </w:r>
      <w:proofErr w:type="gramEnd"/>
      <w:r w:rsidR="0014275C" w:rsidRPr="00942352">
        <w:t xml:space="preserve"> trustee does not succeed on </w:t>
      </w:r>
      <w:r w:rsidR="00252283" w:rsidRPr="00942352">
        <w:t>his</w:t>
      </w:r>
      <w:r w:rsidR="0014275C" w:rsidRPr="00942352">
        <w:t xml:space="preserve"> resulting trust claim; and </w:t>
      </w:r>
    </w:p>
    <w:p w14:paraId="18183A88" w14:textId="2FD33EB9" w:rsidR="0014275C" w:rsidRPr="00942352" w:rsidRDefault="00155C95" w:rsidP="00155C95">
      <w:pPr>
        <w:pStyle w:val="ListNo1alt"/>
        <w:numPr>
          <w:ilvl w:val="0"/>
          <w:numId w:val="0"/>
        </w:numPr>
        <w:tabs>
          <w:tab w:val="left" w:pos="720"/>
        </w:tabs>
        <w:ind w:left="720" w:hanging="720"/>
      </w:pPr>
      <w:r w:rsidRPr="00942352">
        <w:t>(c)</w:t>
      </w:r>
      <w:r w:rsidRPr="00942352">
        <w:tab/>
      </w:r>
      <w:proofErr w:type="gramStart"/>
      <w:r w:rsidR="00B4172A" w:rsidRPr="00942352">
        <w:t>i</w:t>
      </w:r>
      <w:r w:rsidR="0014275C" w:rsidRPr="00942352">
        <w:t>n</w:t>
      </w:r>
      <w:proofErr w:type="gramEnd"/>
      <w:r w:rsidR="0014275C" w:rsidRPr="00942352">
        <w:t xml:space="preserve"> the alternative, the trustee succeeds on </w:t>
      </w:r>
      <w:r w:rsidR="00BB04FF" w:rsidRPr="00942352">
        <w:t xml:space="preserve">his voidable transaction </w:t>
      </w:r>
      <w:r w:rsidR="0014275C" w:rsidRPr="00942352">
        <w:t xml:space="preserve">claims. </w:t>
      </w:r>
    </w:p>
    <w:p w14:paraId="1549E125" w14:textId="0F14EF11" w:rsidR="00325441" w:rsidRPr="00942352" w:rsidRDefault="00325441" w:rsidP="00A04153">
      <w:pPr>
        <w:pStyle w:val="Heading2"/>
      </w:pPr>
      <w:bookmarkStart w:id="29" w:name="_Ref128755627"/>
      <w:r w:rsidRPr="00942352">
        <w:t>Agreed factual overview</w:t>
      </w:r>
      <w:bookmarkEnd w:id="28"/>
      <w:bookmarkEnd w:id="29"/>
    </w:p>
    <w:p w14:paraId="1AE13656" w14:textId="149B95EC" w:rsidR="00325441" w:rsidRPr="00942352" w:rsidRDefault="00155C95" w:rsidP="00155C95">
      <w:pPr>
        <w:pStyle w:val="ParaNumbering"/>
        <w:numPr>
          <w:ilvl w:val="0"/>
          <w:numId w:val="0"/>
        </w:numPr>
        <w:ind w:hanging="720"/>
      </w:pPr>
      <w:r w:rsidRPr="00942352">
        <w:rPr>
          <w:sz w:val="20"/>
        </w:rPr>
        <w:t>7</w:t>
      </w:r>
      <w:r w:rsidRPr="00942352">
        <w:rPr>
          <w:sz w:val="20"/>
        </w:rPr>
        <w:tab/>
      </w:r>
      <w:r w:rsidR="00325441" w:rsidRPr="00942352">
        <w:t>The parties’ agreed chronological facts reveal the following.</w:t>
      </w:r>
    </w:p>
    <w:p w14:paraId="690074FC" w14:textId="40C304CA" w:rsidR="00325441" w:rsidRPr="00942352" w:rsidRDefault="00155C95" w:rsidP="00155C95">
      <w:pPr>
        <w:pStyle w:val="ParaNumbering"/>
        <w:numPr>
          <w:ilvl w:val="0"/>
          <w:numId w:val="0"/>
        </w:numPr>
        <w:ind w:hanging="720"/>
      </w:pPr>
      <w:r w:rsidRPr="00942352">
        <w:rPr>
          <w:sz w:val="20"/>
        </w:rPr>
        <w:t>8</w:t>
      </w:r>
      <w:r w:rsidRPr="00942352">
        <w:rPr>
          <w:sz w:val="20"/>
        </w:rPr>
        <w:tab/>
      </w:r>
      <w:r w:rsidR="00325441" w:rsidRPr="00942352">
        <w:t>In 1999, the bankrupt and the respondent began paying their earnings into and paying expenses out of joint bank accounts. In 2000, the bankrupt and the respondent</w:t>
      </w:r>
      <w:r w:rsidR="0055451B" w:rsidRPr="00942352">
        <w:t xml:space="preserve"> were</w:t>
      </w:r>
      <w:r w:rsidR="00325441" w:rsidRPr="00942352">
        <w:t xml:space="preserve"> married. Until </w:t>
      </w:r>
      <w:r w:rsidR="00E70C6F" w:rsidRPr="00942352">
        <w:t>2015</w:t>
      </w:r>
      <w:r w:rsidR="00325441" w:rsidRPr="00942352">
        <w:t>, the bankrupt was the primary income earner and the respondent the primary carer of their children.</w:t>
      </w:r>
    </w:p>
    <w:p w14:paraId="61528EB7" w14:textId="4DBF58EB" w:rsidR="00325441" w:rsidRPr="00942352" w:rsidRDefault="00155C95" w:rsidP="00155C95">
      <w:pPr>
        <w:pStyle w:val="ParaNumbering"/>
        <w:numPr>
          <w:ilvl w:val="0"/>
          <w:numId w:val="0"/>
        </w:numPr>
        <w:tabs>
          <w:tab w:val="left" w:pos="720"/>
        </w:tabs>
        <w:ind w:hanging="720"/>
      </w:pPr>
      <w:r w:rsidRPr="00942352">
        <w:rPr>
          <w:sz w:val="20"/>
        </w:rPr>
        <w:t>9</w:t>
      </w:r>
      <w:r w:rsidRPr="00942352">
        <w:rPr>
          <w:sz w:val="20"/>
        </w:rPr>
        <w:tab/>
      </w:r>
      <w:r w:rsidR="00325441" w:rsidRPr="00942352">
        <w:t xml:space="preserve">Over the years, </w:t>
      </w:r>
      <w:r w:rsidR="000C6CBC" w:rsidRPr="00942352">
        <w:t>the bankrupt and the respondent</w:t>
      </w:r>
      <w:r w:rsidR="00325441" w:rsidRPr="00942352">
        <w:t xml:space="preserve"> acquired several properties</w:t>
      </w:r>
      <w:r w:rsidR="00EC05C5" w:rsidRPr="00942352">
        <w:t xml:space="preserve"> in New South Wales</w:t>
      </w:r>
      <w:r w:rsidR="00695A6E" w:rsidRPr="00942352">
        <w:t xml:space="preserve"> prior to the purchase of the North Balgowlah property</w:t>
      </w:r>
      <w:r w:rsidR="00325441" w:rsidRPr="00942352">
        <w:t>, some jointly but some separately. Specifically:</w:t>
      </w:r>
    </w:p>
    <w:p w14:paraId="33334339" w14:textId="274CF0D1" w:rsidR="007F27B3"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325441" w:rsidRPr="00942352">
        <w:t>in</w:t>
      </w:r>
      <w:proofErr w:type="gramEnd"/>
      <w:r w:rsidR="00325441" w:rsidRPr="00942352">
        <w:t xml:space="preserve"> 1999, the property known as 12 Austin Street, Fairlight</w:t>
      </w:r>
      <w:r w:rsidR="00ED795A" w:rsidRPr="00942352">
        <w:t xml:space="preserve"> and being folio identifier 1/841427</w:t>
      </w:r>
      <w:r w:rsidR="00325441" w:rsidRPr="00942352">
        <w:t xml:space="preserve"> (</w:t>
      </w:r>
      <w:r w:rsidR="00EA554A" w:rsidRPr="00EE11AC">
        <w:t>the</w:t>
      </w:r>
      <w:r w:rsidR="00EA554A" w:rsidRPr="00942352">
        <w:rPr>
          <w:b/>
        </w:rPr>
        <w:t xml:space="preserve"> Fairlight p</w:t>
      </w:r>
      <w:r w:rsidR="00325441" w:rsidRPr="00942352">
        <w:rPr>
          <w:b/>
        </w:rPr>
        <w:t>roperty</w:t>
      </w:r>
      <w:r w:rsidR="00325441" w:rsidRPr="00942352">
        <w:t>)</w:t>
      </w:r>
      <w:r w:rsidR="00325441" w:rsidRPr="00942352">
        <w:rPr>
          <w:spacing w:val="-3"/>
        </w:rPr>
        <w:t xml:space="preserve"> </w:t>
      </w:r>
      <w:r w:rsidR="00325441" w:rsidRPr="00942352">
        <w:t>was</w:t>
      </w:r>
      <w:r w:rsidR="00325441" w:rsidRPr="00942352">
        <w:rPr>
          <w:spacing w:val="-5"/>
        </w:rPr>
        <w:t xml:space="preserve"> </w:t>
      </w:r>
      <w:r w:rsidR="00325441" w:rsidRPr="00942352">
        <w:t>purchased for $637,000</w:t>
      </w:r>
      <w:r w:rsidR="00325441" w:rsidRPr="00942352">
        <w:rPr>
          <w:spacing w:val="-5"/>
        </w:rPr>
        <w:t xml:space="preserve"> </w:t>
      </w:r>
      <w:r w:rsidR="00325441" w:rsidRPr="00942352">
        <w:t>in</w:t>
      </w:r>
      <w:r w:rsidR="00325441" w:rsidRPr="00942352">
        <w:rPr>
          <w:spacing w:val="-3"/>
        </w:rPr>
        <w:t xml:space="preserve"> </w:t>
      </w:r>
      <w:r w:rsidR="00325441" w:rsidRPr="00942352">
        <w:t>the</w:t>
      </w:r>
      <w:r w:rsidR="00325441" w:rsidRPr="00942352">
        <w:rPr>
          <w:spacing w:val="-4"/>
        </w:rPr>
        <w:t xml:space="preserve"> </w:t>
      </w:r>
      <w:r w:rsidR="00325441" w:rsidRPr="00942352">
        <w:t>names</w:t>
      </w:r>
      <w:r w:rsidR="00325441" w:rsidRPr="00942352">
        <w:rPr>
          <w:spacing w:val="-3"/>
        </w:rPr>
        <w:t xml:space="preserve"> </w:t>
      </w:r>
      <w:r w:rsidR="00325441" w:rsidRPr="00942352">
        <w:t>of</w:t>
      </w:r>
      <w:r w:rsidR="00325441" w:rsidRPr="00942352">
        <w:rPr>
          <w:spacing w:val="-5"/>
        </w:rPr>
        <w:t xml:space="preserve"> </w:t>
      </w:r>
      <w:r w:rsidR="00325441" w:rsidRPr="00942352">
        <w:t>the</w:t>
      </w:r>
      <w:r w:rsidR="00325441" w:rsidRPr="00942352">
        <w:rPr>
          <w:spacing w:val="-3"/>
        </w:rPr>
        <w:t xml:space="preserve"> </w:t>
      </w:r>
      <w:r w:rsidR="00325441" w:rsidRPr="00942352">
        <w:t>bankrupt</w:t>
      </w:r>
      <w:r w:rsidR="00325441" w:rsidRPr="00942352">
        <w:rPr>
          <w:spacing w:val="-2"/>
        </w:rPr>
        <w:t xml:space="preserve"> </w:t>
      </w:r>
      <w:r w:rsidR="00325441" w:rsidRPr="00942352">
        <w:t>and</w:t>
      </w:r>
      <w:r w:rsidR="00325441" w:rsidRPr="00942352">
        <w:rPr>
          <w:spacing w:val="-1"/>
        </w:rPr>
        <w:t xml:space="preserve"> </w:t>
      </w:r>
      <w:r w:rsidR="00325441" w:rsidRPr="00942352">
        <w:t>respondent</w:t>
      </w:r>
      <w:r w:rsidR="00325441" w:rsidRPr="00942352">
        <w:rPr>
          <w:spacing w:val="-5"/>
        </w:rPr>
        <w:t xml:space="preserve"> </w:t>
      </w:r>
      <w:r w:rsidR="00325441" w:rsidRPr="00942352">
        <w:t xml:space="preserve">jointly. The purchase </w:t>
      </w:r>
      <w:r w:rsidR="00EE11AC">
        <w:t>monies</w:t>
      </w:r>
      <w:r w:rsidR="00751954" w:rsidRPr="00942352">
        <w:t xml:space="preserve"> </w:t>
      </w:r>
      <w:r w:rsidR="00325441" w:rsidRPr="00942352">
        <w:t xml:space="preserve">were obtained from </w:t>
      </w:r>
      <w:r w:rsidR="00325441" w:rsidRPr="00942352">
        <w:rPr>
          <w:b/>
        </w:rPr>
        <w:t>Ms</w:t>
      </w:r>
      <w:r w:rsidR="00325441" w:rsidRPr="00942352">
        <w:t xml:space="preserve"> Beverley </w:t>
      </w:r>
      <w:r w:rsidR="00325441" w:rsidRPr="00942352">
        <w:rPr>
          <w:b/>
        </w:rPr>
        <w:t>Dew</w:t>
      </w:r>
      <w:r w:rsidR="00325441" w:rsidRPr="00942352">
        <w:t xml:space="preserve"> (the respondent’s mother) </w:t>
      </w:r>
      <w:r w:rsidR="007527C3">
        <w:t xml:space="preserve">in the sum of $200,000 </w:t>
      </w:r>
      <w:r w:rsidR="00325441" w:rsidRPr="00942352">
        <w:t>and</w:t>
      </w:r>
      <w:r w:rsidR="00C5794F" w:rsidRPr="00942352">
        <w:t xml:space="preserve"> by way of loan from</w:t>
      </w:r>
      <w:r w:rsidR="00325441" w:rsidRPr="00942352">
        <w:t xml:space="preserve"> Collins Securities</w:t>
      </w:r>
      <w:r w:rsidR="00A15A1A" w:rsidRPr="00942352">
        <w:t>. The Fairlight</w:t>
      </w:r>
      <w:r w:rsidR="00064D50" w:rsidRPr="00942352">
        <w:t xml:space="preserve"> p</w:t>
      </w:r>
      <w:r w:rsidR="00037FA9" w:rsidRPr="00942352">
        <w:t xml:space="preserve">roperty was sold </w:t>
      </w:r>
      <w:r w:rsidR="00447A1E" w:rsidRPr="00942352">
        <w:t xml:space="preserve">in </w:t>
      </w:r>
      <w:r w:rsidR="00DD2591">
        <w:t xml:space="preserve">May </w:t>
      </w:r>
      <w:r w:rsidR="00037FA9" w:rsidRPr="00942352">
        <w:t>200</w:t>
      </w:r>
      <w:r w:rsidR="00A15A1A" w:rsidRPr="00942352">
        <w:t>3</w:t>
      </w:r>
      <w:r w:rsidR="00325441" w:rsidRPr="00942352">
        <w:t>;</w:t>
      </w:r>
    </w:p>
    <w:p w14:paraId="47E9CB83" w14:textId="0D87A18A" w:rsidR="007F27B3" w:rsidRPr="00942352" w:rsidRDefault="00155C95" w:rsidP="00155C95">
      <w:pPr>
        <w:pStyle w:val="ListNo1alt"/>
        <w:numPr>
          <w:ilvl w:val="0"/>
          <w:numId w:val="0"/>
        </w:numPr>
        <w:tabs>
          <w:tab w:val="left" w:pos="720"/>
        </w:tabs>
        <w:ind w:left="720" w:hanging="720"/>
      </w:pPr>
      <w:r w:rsidRPr="00942352">
        <w:t>(b)</w:t>
      </w:r>
      <w:r w:rsidRPr="00942352">
        <w:tab/>
      </w:r>
      <w:proofErr w:type="gramStart"/>
      <w:r w:rsidR="00325441" w:rsidRPr="00942352">
        <w:t>in</w:t>
      </w:r>
      <w:proofErr w:type="gramEnd"/>
      <w:r w:rsidR="00325441" w:rsidRPr="00942352">
        <w:rPr>
          <w:spacing w:val="-4"/>
        </w:rPr>
        <w:t xml:space="preserve"> </w:t>
      </w:r>
      <w:r w:rsidR="00325441" w:rsidRPr="00942352">
        <w:t>2002,</w:t>
      </w:r>
      <w:r w:rsidR="00325441" w:rsidRPr="00942352">
        <w:rPr>
          <w:spacing w:val="-4"/>
        </w:rPr>
        <w:t xml:space="preserve"> </w:t>
      </w:r>
      <w:r w:rsidR="00325441" w:rsidRPr="00942352">
        <w:t>the</w:t>
      </w:r>
      <w:r w:rsidR="00325441" w:rsidRPr="00942352">
        <w:rPr>
          <w:spacing w:val="-2"/>
        </w:rPr>
        <w:t xml:space="preserve"> </w:t>
      </w:r>
      <w:r w:rsidR="00325441" w:rsidRPr="00942352">
        <w:t>property</w:t>
      </w:r>
      <w:r w:rsidR="00325441" w:rsidRPr="00942352">
        <w:rPr>
          <w:spacing w:val="-4"/>
        </w:rPr>
        <w:t xml:space="preserve"> </w:t>
      </w:r>
      <w:r w:rsidR="00325441" w:rsidRPr="00942352">
        <w:t>known</w:t>
      </w:r>
      <w:r w:rsidR="00325441" w:rsidRPr="00942352">
        <w:rPr>
          <w:spacing w:val="-2"/>
        </w:rPr>
        <w:t xml:space="preserve"> </w:t>
      </w:r>
      <w:r w:rsidR="00325441" w:rsidRPr="00942352">
        <w:t>as 606</w:t>
      </w:r>
      <w:r w:rsidR="00325441" w:rsidRPr="00942352">
        <w:rPr>
          <w:spacing w:val="-3"/>
        </w:rPr>
        <w:t xml:space="preserve"> </w:t>
      </w:r>
      <w:r w:rsidR="00325441" w:rsidRPr="00942352">
        <w:t>Sydney</w:t>
      </w:r>
      <w:r w:rsidR="00325441" w:rsidRPr="00942352">
        <w:rPr>
          <w:spacing w:val="-2"/>
        </w:rPr>
        <w:t xml:space="preserve"> </w:t>
      </w:r>
      <w:r w:rsidR="00325441" w:rsidRPr="00942352">
        <w:t>Road,</w:t>
      </w:r>
      <w:r w:rsidR="00325441" w:rsidRPr="00942352">
        <w:rPr>
          <w:spacing w:val="-2"/>
        </w:rPr>
        <w:t xml:space="preserve"> </w:t>
      </w:r>
      <w:r w:rsidR="00325441" w:rsidRPr="00942352">
        <w:t>Seaforth</w:t>
      </w:r>
      <w:r w:rsidR="00ED795A" w:rsidRPr="00942352">
        <w:t xml:space="preserve"> being folio identifier 19/9521</w:t>
      </w:r>
      <w:r w:rsidR="00325441" w:rsidRPr="00942352">
        <w:rPr>
          <w:spacing w:val="-4"/>
        </w:rPr>
        <w:t xml:space="preserve"> </w:t>
      </w:r>
      <w:r w:rsidR="00325441" w:rsidRPr="00942352">
        <w:t>(</w:t>
      </w:r>
      <w:r w:rsidR="00325441" w:rsidRPr="00EE11AC">
        <w:t>the</w:t>
      </w:r>
      <w:r w:rsidR="00325441" w:rsidRPr="00942352">
        <w:rPr>
          <w:b/>
          <w:spacing w:val="-6"/>
        </w:rPr>
        <w:t xml:space="preserve"> </w:t>
      </w:r>
      <w:r w:rsidR="00C475AD" w:rsidRPr="00942352">
        <w:rPr>
          <w:b/>
        </w:rPr>
        <w:t>Seaforth p</w:t>
      </w:r>
      <w:r w:rsidR="00325441" w:rsidRPr="00942352">
        <w:rPr>
          <w:b/>
        </w:rPr>
        <w:t>roperty</w:t>
      </w:r>
      <w:r w:rsidR="00325441" w:rsidRPr="00942352">
        <w:t>) was purchased in the sole name of the respondent</w:t>
      </w:r>
      <w:r w:rsidR="00872CAB" w:rsidRPr="00942352">
        <w:t>. The Seaforth p</w:t>
      </w:r>
      <w:r w:rsidR="00AD1663" w:rsidRPr="00942352">
        <w:t xml:space="preserve">roperty was sold in </w:t>
      </w:r>
      <w:r w:rsidR="00DD2591">
        <w:t xml:space="preserve">April </w:t>
      </w:r>
      <w:r w:rsidR="00AD1663" w:rsidRPr="00942352">
        <w:t>2016</w:t>
      </w:r>
      <w:r w:rsidR="00325441" w:rsidRPr="00942352">
        <w:t>;</w:t>
      </w:r>
    </w:p>
    <w:p w14:paraId="1702BB30" w14:textId="21030FF3" w:rsidR="007F27B3" w:rsidRPr="00942352" w:rsidRDefault="00155C95" w:rsidP="00155C95">
      <w:pPr>
        <w:pStyle w:val="ListNo1alt"/>
        <w:numPr>
          <w:ilvl w:val="0"/>
          <w:numId w:val="0"/>
        </w:numPr>
        <w:tabs>
          <w:tab w:val="left" w:pos="720"/>
        </w:tabs>
        <w:ind w:left="720" w:hanging="720"/>
      </w:pPr>
      <w:r w:rsidRPr="00942352">
        <w:t>(c)</w:t>
      </w:r>
      <w:r w:rsidRPr="00942352">
        <w:tab/>
      </w:r>
      <w:proofErr w:type="gramStart"/>
      <w:r w:rsidR="00325441" w:rsidRPr="00942352">
        <w:t>in</w:t>
      </w:r>
      <w:proofErr w:type="gramEnd"/>
      <w:r w:rsidR="00325441" w:rsidRPr="00942352">
        <w:rPr>
          <w:spacing w:val="-1"/>
        </w:rPr>
        <w:t xml:space="preserve"> </w:t>
      </w:r>
      <w:r w:rsidR="00325441" w:rsidRPr="00942352">
        <w:t>2005,</w:t>
      </w:r>
      <w:r w:rsidR="00325441" w:rsidRPr="00942352">
        <w:rPr>
          <w:spacing w:val="-5"/>
        </w:rPr>
        <w:t xml:space="preserve"> </w:t>
      </w:r>
      <w:r w:rsidR="00325441" w:rsidRPr="00942352">
        <w:t>the</w:t>
      </w:r>
      <w:r w:rsidR="00325441" w:rsidRPr="00942352">
        <w:rPr>
          <w:spacing w:val="-2"/>
        </w:rPr>
        <w:t xml:space="preserve"> </w:t>
      </w:r>
      <w:r w:rsidR="00325441" w:rsidRPr="00942352">
        <w:t>property</w:t>
      </w:r>
      <w:r w:rsidR="00325441" w:rsidRPr="00942352">
        <w:rPr>
          <w:spacing w:val="-5"/>
        </w:rPr>
        <w:t xml:space="preserve"> </w:t>
      </w:r>
      <w:r w:rsidR="00325441" w:rsidRPr="00942352">
        <w:t>known</w:t>
      </w:r>
      <w:r w:rsidR="00325441" w:rsidRPr="00942352">
        <w:rPr>
          <w:spacing w:val="-2"/>
        </w:rPr>
        <w:t xml:space="preserve"> </w:t>
      </w:r>
      <w:r w:rsidR="00325441" w:rsidRPr="00942352">
        <w:t>as</w:t>
      </w:r>
      <w:r w:rsidR="00325441" w:rsidRPr="00942352">
        <w:rPr>
          <w:spacing w:val="-3"/>
        </w:rPr>
        <w:t xml:space="preserve"> </w:t>
      </w:r>
      <w:r w:rsidR="00325441" w:rsidRPr="00942352">
        <w:t>Unit</w:t>
      </w:r>
      <w:r w:rsidR="00325441" w:rsidRPr="00942352">
        <w:rPr>
          <w:spacing w:val="-5"/>
        </w:rPr>
        <w:t xml:space="preserve"> </w:t>
      </w:r>
      <w:r w:rsidR="00325441" w:rsidRPr="00942352">
        <w:t>305/97</w:t>
      </w:r>
      <w:r w:rsidR="00325441" w:rsidRPr="00942352">
        <w:rPr>
          <w:spacing w:val="-5"/>
        </w:rPr>
        <w:t xml:space="preserve"> </w:t>
      </w:r>
      <w:r w:rsidR="00325441" w:rsidRPr="00942352">
        <w:t>Boyce</w:t>
      </w:r>
      <w:r w:rsidR="00325441" w:rsidRPr="00942352">
        <w:rPr>
          <w:spacing w:val="-5"/>
        </w:rPr>
        <w:t xml:space="preserve"> </w:t>
      </w:r>
      <w:r w:rsidR="00325441" w:rsidRPr="00942352">
        <w:t>Road,</w:t>
      </w:r>
      <w:r w:rsidR="00325441" w:rsidRPr="00942352">
        <w:rPr>
          <w:spacing w:val="-2"/>
        </w:rPr>
        <w:t xml:space="preserve"> </w:t>
      </w:r>
      <w:r w:rsidR="00325441" w:rsidRPr="00942352">
        <w:t>Maroubra</w:t>
      </w:r>
      <w:r w:rsidR="00ED795A" w:rsidRPr="00942352">
        <w:t xml:space="preserve"> being folio identifier 35/SP74405</w:t>
      </w:r>
      <w:r w:rsidR="00325441" w:rsidRPr="00942352">
        <w:rPr>
          <w:spacing w:val="-4"/>
        </w:rPr>
        <w:t xml:space="preserve"> </w:t>
      </w:r>
      <w:r w:rsidR="00325441" w:rsidRPr="00942352">
        <w:t>(</w:t>
      </w:r>
      <w:r w:rsidR="00325441" w:rsidRPr="00DD2591">
        <w:t>the</w:t>
      </w:r>
      <w:r w:rsidR="00325441" w:rsidRPr="00942352">
        <w:rPr>
          <w:b/>
          <w:spacing w:val="-5"/>
        </w:rPr>
        <w:t xml:space="preserve"> </w:t>
      </w:r>
      <w:r w:rsidR="00321651" w:rsidRPr="00942352">
        <w:rPr>
          <w:b/>
        </w:rPr>
        <w:t>Boyce Road p</w:t>
      </w:r>
      <w:r w:rsidR="00325441" w:rsidRPr="00942352">
        <w:rPr>
          <w:b/>
        </w:rPr>
        <w:t>roperty</w:t>
      </w:r>
      <w:r w:rsidR="00325441" w:rsidRPr="00942352">
        <w:t>) was purchased in the sole name of the bankrupt</w:t>
      </w:r>
      <w:r w:rsidR="00DA6EC5" w:rsidRPr="00942352">
        <w:t>. The Boyce Road p</w:t>
      </w:r>
      <w:r w:rsidR="00E87FE2" w:rsidRPr="00942352">
        <w:t>roperty was sold in</w:t>
      </w:r>
      <w:r w:rsidR="00DD2591">
        <w:t xml:space="preserve"> April</w:t>
      </w:r>
      <w:r w:rsidR="00E87FE2" w:rsidRPr="00942352">
        <w:t xml:space="preserve"> </w:t>
      </w:r>
      <w:r w:rsidR="00037FA9" w:rsidRPr="00942352">
        <w:t>2014</w:t>
      </w:r>
      <w:r w:rsidR="00325441" w:rsidRPr="00942352">
        <w:t>; and</w:t>
      </w:r>
    </w:p>
    <w:p w14:paraId="4B36CB2A" w14:textId="4DA07DB3" w:rsidR="00325441" w:rsidRPr="00942352" w:rsidRDefault="00155C95" w:rsidP="00155C95">
      <w:pPr>
        <w:pStyle w:val="ListNo1alt"/>
        <w:numPr>
          <w:ilvl w:val="0"/>
          <w:numId w:val="0"/>
        </w:numPr>
        <w:tabs>
          <w:tab w:val="left" w:pos="720"/>
        </w:tabs>
        <w:ind w:left="720" w:hanging="720"/>
      </w:pPr>
      <w:r w:rsidRPr="00942352">
        <w:lastRenderedPageBreak/>
        <w:t>(d)</w:t>
      </w:r>
      <w:r w:rsidRPr="00942352">
        <w:tab/>
      </w:r>
      <w:proofErr w:type="gramStart"/>
      <w:r w:rsidR="00325441" w:rsidRPr="00942352">
        <w:t>in</w:t>
      </w:r>
      <w:proofErr w:type="gramEnd"/>
      <w:r w:rsidR="00325441" w:rsidRPr="00942352">
        <w:t xml:space="preserve"> 2008, the property known as Unit 505/747 Anzac Parade, Maroubra</w:t>
      </w:r>
      <w:r w:rsidR="00ED795A" w:rsidRPr="00942352">
        <w:t xml:space="preserve"> being folio identifier 63/SP79763</w:t>
      </w:r>
      <w:r w:rsidR="00325441" w:rsidRPr="00942352">
        <w:t xml:space="preserve"> (</w:t>
      </w:r>
      <w:r w:rsidR="00325441" w:rsidRPr="00DD2591">
        <w:t>the</w:t>
      </w:r>
      <w:r w:rsidR="00325441" w:rsidRPr="00942352">
        <w:rPr>
          <w:b/>
        </w:rPr>
        <w:t xml:space="preserve"> Anzac</w:t>
      </w:r>
      <w:r w:rsidR="00325441" w:rsidRPr="00942352">
        <w:rPr>
          <w:b/>
          <w:spacing w:val="-4"/>
        </w:rPr>
        <w:t xml:space="preserve"> </w:t>
      </w:r>
      <w:r w:rsidR="00325441" w:rsidRPr="00942352">
        <w:rPr>
          <w:b/>
        </w:rPr>
        <w:t>Parade</w:t>
      </w:r>
      <w:r w:rsidR="00325441" w:rsidRPr="00942352">
        <w:rPr>
          <w:b/>
          <w:spacing w:val="-5"/>
        </w:rPr>
        <w:t xml:space="preserve"> </w:t>
      </w:r>
      <w:r w:rsidR="002F3EDE" w:rsidRPr="00942352">
        <w:rPr>
          <w:b/>
        </w:rPr>
        <w:t>p</w:t>
      </w:r>
      <w:r w:rsidR="00325441" w:rsidRPr="00942352">
        <w:rPr>
          <w:b/>
        </w:rPr>
        <w:t>roperty</w:t>
      </w:r>
      <w:r w:rsidR="00325441" w:rsidRPr="00942352">
        <w:t>)</w:t>
      </w:r>
      <w:r w:rsidR="00325441" w:rsidRPr="00942352">
        <w:rPr>
          <w:spacing w:val="-2"/>
        </w:rPr>
        <w:t xml:space="preserve"> </w:t>
      </w:r>
      <w:r w:rsidR="00325441" w:rsidRPr="00942352">
        <w:t>was</w:t>
      </w:r>
      <w:r w:rsidR="00325441" w:rsidRPr="00942352">
        <w:rPr>
          <w:spacing w:val="-5"/>
        </w:rPr>
        <w:t xml:space="preserve"> </w:t>
      </w:r>
      <w:r w:rsidR="00325441" w:rsidRPr="00942352">
        <w:t>acquired</w:t>
      </w:r>
      <w:r w:rsidR="00325441" w:rsidRPr="00942352">
        <w:rPr>
          <w:spacing w:val="-3"/>
        </w:rPr>
        <w:t xml:space="preserve"> </w:t>
      </w:r>
      <w:r w:rsidR="00325441" w:rsidRPr="00942352">
        <w:t>with</w:t>
      </w:r>
      <w:r w:rsidR="00325441" w:rsidRPr="00942352">
        <w:rPr>
          <w:spacing w:val="-4"/>
        </w:rPr>
        <w:t xml:space="preserve"> </w:t>
      </w:r>
      <w:r w:rsidR="00325441" w:rsidRPr="00942352">
        <w:t>the</w:t>
      </w:r>
      <w:r w:rsidR="00325441" w:rsidRPr="00942352">
        <w:rPr>
          <w:spacing w:val="-7"/>
        </w:rPr>
        <w:t xml:space="preserve"> </w:t>
      </w:r>
      <w:r w:rsidR="00B54AFF" w:rsidRPr="00942352">
        <w:t>b</w:t>
      </w:r>
      <w:r w:rsidR="00325441" w:rsidRPr="00942352">
        <w:t>ankrupt</w:t>
      </w:r>
      <w:r w:rsidR="00325441" w:rsidRPr="00942352">
        <w:rPr>
          <w:spacing w:val="-2"/>
        </w:rPr>
        <w:t xml:space="preserve"> </w:t>
      </w:r>
      <w:r w:rsidR="00325441" w:rsidRPr="00942352">
        <w:t>as</w:t>
      </w:r>
      <w:r w:rsidR="00325441" w:rsidRPr="00942352">
        <w:rPr>
          <w:spacing w:val="-3"/>
        </w:rPr>
        <w:t xml:space="preserve"> </w:t>
      </w:r>
      <w:r w:rsidR="00325441" w:rsidRPr="00942352">
        <w:t>99%</w:t>
      </w:r>
      <w:r w:rsidR="00325441" w:rsidRPr="00942352">
        <w:rPr>
          <w:spacing w:val="-3"/>
        </w:rPr>
        <w:t xml:space="preserve"> </w:t>
      </w:r>
      <w:r w:rsidR="00F72356" w:rsidRPr="00942352">
        <w:t>legal</w:t>
      </w:r>
      <w:r w:rsidR="00A97937">
        <w:t xml:space="preserve"> owner and the r</w:t>
      </w:r>
      <w:r w:rsidR="00325441" w:rsidRPr="00942352">
        <w:t xml:space="preserve">espondent as 1% </w:t>
      </w:r>
      <w:r w:rsidR="00F72356" w:rsidRPr="00942352">
        <w:t>legal</w:t>
      </w:r>
      <w:r w:rsidR="00325441" w:rsidRPr="00942352">
        <w:t xml:space="preserve"> owner.</w:t>
      </w:r>
      <w:r w:rsidR="00DD5121" w:rsidRPr="00942352">
        <w:t xml:space="preserve"> The Anzac Parade </w:t>
      </w:r>
      <w:r w:rsidR="00317508" w:rsidRPr="00942352">
        <w:t>p</w:t>
      </w:r>
      <w:r w:rsidR="00A319E5" w:rsidRPr="00942352">
        <w:t xml:space="preserve">roperty was sold in </w:t>
      </w:r>
      <w:r w:rsidR="00DD2591">
        <w:t xml:space="preserve">September </w:t>
      </w:r>
      <w:r w:rsidR="00A319E5" w:rsidRPr="00942352">
        <w:t>2014.</w:t>
      </w:r>
    </w:p>
    <w:p w14:paraId="3BE1ED6B" w14:textId="5306F98D" w:rsidR="00325441" w:rsidRPr="00942352" w:rsidRDefault="00155C95" w:rsidP="00155C95">
      <w:pPr>
        <w:pStyle w:val="ParaNumbering"/>
        <w:numPr>
          <w:ilvl w:val="0"/>
          <w:numId w:val="0"/>
        </w:numPr>
        <w:ind w:hanging="720"/>
      </w:pPr>
      <w:r w:rsidRPr="00942352">
        <w:rPr>
          <w:sz w:val="20"/>
        </w:rPr>
        <w:t>10</w:t>
      </w:r>
      <w:r w:rsidRPr="00942352">
        <w:rPr>
          <w:sz w:val="20"/>
        </w:rPr>
        <w:tab/>
      </w:r>
      <w:r w:rsidR="00325441" w:rsidRPr="00942352">
        <w:t xml:space="preserve">The circumstances concerning the purchase of the Boyce Road and the Anzac Parade </w:t>
      </w:r>
      <w:r w:rsidR="009A6EA5" w:rsidRPr="00942352">
        <w:t>properties</w:t>
      </w:r>
      <w:r w:rsidR="00325441" w:rsidRPr="00942352">
        <w:t xml:space="preserve"> assume relevance in these proceedings because it is the proceeds of the sale of those properties which the </w:t>
      </w:r>
      <w:r w:rsidR="00CB3810" w:rsidRPr="00942352">
        <w:t>trustee</w:t>
      </w:r>
      <w:r w:rsidR="00325441" w:rsidRPr="00942352">
        <w:t xml:space="preserve"> claims constitute </w:t>
      </w:r>
      <w:r w:rsidR="00E0266A" w:rsidRPr="00942352">
        <w:t xml:space="preserve">a significant part of </w:t>
      </w:r>
      <w:r w:rsidR="00325441" w:rsidRPr="00942352">
        <w:t>the relevant “financial contributions” for the purpose of the s</w:t>
      </w:r>
      <w:r w:rsidR="005F5DBE">
        <w:t xml:space="preserve"> </w:t>
      </w:r>
      <w:r w:rsidR="00325441" w:rsidRPr="00942352">
        <w:t xml:space="preserve">139DA(a) claim, which support his claim regarding </w:t>
      </w:r>
      <w:r w:rsidR="00ED795A" w:rsidRPr="00942352">
        <w:t>his beneficial interest in the later purchase of the North Balgowlah property (described at [</w:t>
      </w:r>
      <w:r w:rsidR="00A97937">
        <w:rPr>
          <w:b/>
        </w:rPr>
        <w:fldChar w:fldCharType="begin"/>
      </w:r>
      <w:r w:rsidR="00A97937">
        <w:instrText xml:space="preserve"> REF _Ref129269230 \r \h </w:instrText>
      </w:r>
      <w:r w:rsidR="00A97937">
        <w:rPr>
          <w:b/>
        </w:rPr>
      </w:r>
      <w:r w:rsidR="00A97937">
        <w:rPr>
          <w:b/>
        </w:rPr>
        <w:fldChar w:fldCharType="separate"/>
      </w:r>
      <w:r w:rsidR="002B380F">
        <w:t>14</w:t>
      </w:r>
      <w:r w:rsidR="00A97937">
        <w:rPr>
          <w:b/>
        </w:rPr>
        <w:fldChar w:fldCharType="end"/>
      </w:r>
      <w:r w:rsidR="00ED795A" w:rsidRPr="00942352">
        <w:t>] below)</w:t>
      </w:r>
      <w:r w:rsidR="000671CC" w:rsidRPr="00942352">
        <w:t>,</w:t>
      </w:r>
      <w:r w:rsidR="00ED795A" w:rsidRPr="00942352">
        <w:t xml:space="preserve"> and which </w:t>
      </w:r>
      <w:r w:rsidR="001A59BF" w:rsidRPr="00942352">
        <w:t xml:space="preserve">also </w:t>
      </w:r>
      <w:r w:rsidR="00ED795A" w:rsidRPr="00942352">
        <w:t xml:space="preserve">form </w:t>
      </w:r>
      <w:r w:rsidR="001112F2" w:rsidRPr="00942352">
        <w:t>part of the basis</w:t>
      </w:r>
      <w:r w:rsidR="00ED795A" w:rsidRPr="00942352">
        <w:t xml:space="preserve"> for the voidable transaction claims. </w:t>
      </w:r>
      <w:r w:rsidR="001112F2" w:rsidRPr="00942352">
        <w:t xml:space="preserve">The other </w:t>
      </w:r>
      <w:r w:rsidR="007527C3">
        <w:t xml:space="preserve">relevant transfers </w:t>
      </w:r>
      <w:r w:rsidR="0022257C" w:rsidRPr="00942352">
        <w:t xml:space="preserve">for the voidable transaction claims </w:t>
      </w:r>
      <w:r w:rsidR="007527C3">
        <w:t>also included</w:t>
      </w:r>
      <w:r w:rsidR="0022257C" w:rsidRPr="00942352">
        <w:t xml:space="preserve"> various payments between April and November 2014 towards the </w:t>
      </w:r>
      <w:r w:rsidR="0081641F" w:rsidRPr="00942352">
        <w:t xml:space="preserve">four </w:t>
      </w:r>
      <w:r w:rsidR="0022257C" w:rsidRPr="00942352">
        <w:t>mortgage</w:t>
      </w:r>
      <w:r w:rsidR="0081641F" w:rsidRPr="00942352">
        <w:t>s</w:t>
      </w:r>
      <w:r w:rsidR="0022257C" w:rsidRPr="00942352">
        <w:t xml:space="preserve"> on the Seaforth property</w:t>
      </w:r>
      <w:r w:rsidR="00793699" w:rsidRPr="00942352">
        <w:t xml:space="preserve"> (the </w:t>
      </w:r>
      <w:r w:rsidR="00793699" w:rsidRPr="00942352">
        <w:rPr>
          <w:b/>
        </w:rPr>
        <w:t>Seaforth Mortgage</w:t>
      </w:r>
      <w:r w:rsidR="0081641F" w:rsidRPr="00942352">
        <w:rPr>
          <w:b/>
        </w:rPr>
        <w:t>s</w:t>
      </w:r>
      <w:r w:rsidR="00793699" w:rsidRPr="00942352">
        <w:t>)</w:t>
      </w:r>
      <w:r w:rsidR="0022257C" w:rsidRPr="00942352">
        <w:t xml:space="preserve">. </w:t>
      </w:r>
    </w:p>
    <w:p w14:paraId="3E4E9A84" w14:textId="23098E6D" w:rsidR="00325441" w:rsidRPr="00942352" w:rsidRDefault="00155C95" w:rsidP="00155C95">
      <w:pPr>
        <w:pStyle w:val="ParaNumbering"/>
        <w:numPr>
          <w:ilvl w:val="0"/>
          <w:numId w:val="0"/>
        </w:numPr>
        <w:ind w:hanging="720"/>
      </w:pPr>
      <w:bookmarkStart w:id="30" w:name="_Ref128645286"/>
      <w:r w:rsidRPr="00942352">
        <w:rPr>
          <w:sz w:val="20"/>
        </w:rPr>
        <w:t>11</w:t>
      </w:r>
      <w:r w:rsidRPr="00942352">
        <w:rPr>
          <w:sz w:val="20"/>
        </w:rPr>
        <w:tab/>
      </w:r>
      <w:r w:rsidR="00325441" w:rsidRPr="00942352">
        <w:t>In the period between the purchase of the Boyce Ro</w:t>
      </w:r>
      <w:r w:rsidR="006203BA" w:rsidRPr="00942352">
        <w:t>ad and the Anzac Parade p</w:t>
      </w:r>
      <w:r w:rsidR="00067060" w:rsidRPr="00942352">
        <w:t>roperties</w:t>
      </w:r>
      <w:r w:rsidR="00325441" w:rsidRPr="00942352">
        <w:t>, in Ju</w:t>
      </w:r>
      <w:r w:rsidR="006E568C">
        <w:t>ly 2007</w:t>
      </w:r>
      <w:r w:rsidR="00325441" w:rsidRPr="00942352">
        <w:t xml:space="preserve"> the bankrupt borrowed funds in the amount of $75,875 through ABL Nominees Pty Ltd to invest in an agricultural investment scheme known as the “Great Southern 2007 High Value Timber Project” (</w:t>
      </w:r>
      <w:r w:rsidR="00325441" w:rsidRPr="00942352">
        <w:rPr>
          <w:b/>
        </w:rPr>
        <w:t>the</w:t>
      </w:r>
      <w:r w:rsidR="00325441" w:rsidRPr="00942352">
        <w:t xml:space="preserve"> </w:t>
      </w:r>
      <w:r w:rsidR="00325441" w:rsidRPr="00942352">
        <w:rPr>
          <w:b/>
        </w:rPr>
        <w:t>Scheme</w:t>
      </w:r>
      <w:r w:rsidR="00325441" w:rsidRPr="00942352">
        <w:t>), which led to the bankrupt owing what ultimately came to be the primary debt in his bankruptcy, being some $305,499.06</w:t>
      </w:r>
      <w:r w:rsidR="00470932" w:rsidRPr="00942352">
        <w:t xml:space="preserve"> (as at 18 October 2017)</w:t>
      </w:r>
      <w:r w:rsidR="00785A08" w:rsidRPr="00942352">
        <w:t>,</w:t>
      </w:r>
      <w:r w:rsidR="00325441" w:rsidRPr="00942352">
        <w:t xml:space="preserve"> to </w:t>
      </w:r>
      <w:r w:rsidR="009A6EA5" w:rsidRPr="00942352">
        <w:t xml:space="preserve">the </w:t>
      </w:r>
      <w:r w:rsidR="00325441" w:rsidRPr="006E568C">
        <w:rPr>
          <w:b/>
        </w:rPr>
        <w:t>Bendigo</w:t>
      </w:r>
      <w:r w:rsidR="00325441" w:rsidRPr="00942352">
        <w:t xml:space="preserve"> and Adelaide </w:t>
      </w:r>
      <w:r w:rsidR="00325441" w:rsidRPr="006E568C">
        <w:rPr>
          <w:b/>
        </w:rPr>
        <w:t>Bank</w:t>
      </w:r>
      <w:r w:rsidR="00325441" w:rsidRPr="00942352">
        <w:t xml:space="preserve"> (</w:t>
      </w:r>
      <w:r w:rsidR="00325441" w:rsidRPr="00942352">
        <w:rPr>
          <w:b/>
        </w:rPr>
        <w:t>the Bendigo Debt</w:t>
      </w:r>
      <w:r w:rsidR="00325441" w:rsidRPr="00942352">
        <w:t>).</w:t>
      </w:r>
      <w:bookmarkEnd w:id="30"/>
      <w:r w:rsidR="00325441" w:rsidRPr="00942352">
        <w:rPr>
          <w:spacing w:val="40"/>
        </w:rPr>
        <w:t xml:space="preserve"> </w:t>
      </w:r>
    </w:p>
    <w:p w14:paraId="56B39117" w14:textId="404DCA8C" w:rsidR="00325441" w:rsidRPr="00942352" w:rsidRDefault="00155C95" w:rsidP="00155C95">
      <w:pPr>
        <w:pStyle w:val="ParaNumbering"/>
        <w:numPr>
          <w:ilvl w:val="0"/>
          <w:numId w:val="0"/>
        </w:numPr>
        <w:ind w:hanging="720"/>
      </w:pPr>
      <w:bookmarkStart w:id="31" w:name="_Ref127888649"/>
      <w:r w:rsidRPr="00942352">
        <w:rPr>
          <w:sz w:val="20"/>
        </w:rPr>
        <w:t>12</w:t>
      </w:r>
      <w:r w:rsidRPr="00942352">
        <w:rPr>
          <w:sz w:val="20"/>
        </w:rPr>
        <w:tab/>
      </w:r>
      <w:r w:rsidR="002A05B9" w:rsidRPr="00942352">
        <w:t>D</w:t>
      </w:r>
      <w:r w:rsidR="00325441" w:rsidRPr="00942352">
        <w:t>uring</w:t>
      </w:r>
      <w:r w:rsidR="00325441" w:rsidRPr="00942352">
        <w:rPr>
          <w:spacing w:val="-3"/>
        </w:rPr>
        <w:t xml:space="preserve"> </w:t>
      </w:r>
      <w:r w:rsidR="00325441" w:rsidRPr="00942352">
        <w:t>the</w:t>
      </w:r>
      <w:r w:rsidR="00325441" w:rsidRPr="00942352">
        <w:rPr>
          <w:spacing w:val="-4"/>
        </w:rPr>
        <w:t xml:space="preserve"> </w:t>
      </w:r>
      <w:r w:rsidR="00325441" w:rsidRPr="00942352">
        <w:t>period</w:t>
      </w:r>
      <w:r w:rsidR="00325441" w:rsidRPr="00942352">
        <w:rPr>
          <w:spacing w:val="-2"/>
        </w:rPr>
        <w:t xml:space="preserve"> </w:t>
      </w:r>
      <w:r w:rsidR="00325441" w:rsidRPr="00942352">
        <w:t>up</w:t>
      </w:r>
      <w:r w:rsidR="00325441" w:rsidRPr="00942352">
        <w:rPr>
          <w:spacing w:val="-3"/>
        </w:rPr>
        <w:t xml:space="preserve"> </w:t>
      </w:r>
      <w:r w:rsidR="00325441" w:rsidRPr="00942352">
        <w:t>to</w:t>
      </w:r>
      <w:r w:rsidR="00325441" w:rsidRPr="00942352">
        <w:rPr>
          <w:spacing w:val="-5"/>
        </w:rPr>
        <w:t xml:space="preserve"> </w:t>
      </w:r>
      <w:r w:rsidR="00325441" w:rsidRPr="00942352">
        <w:t>the</w:t>
      </w:r>
      <w:r w:rsidR="00325441" w:rsidRPr="00942352">
        <w:rPr>
          <w:spacing w:val="-2"/>
        </w:rPr>
        <w:t xml:space="preserve"> </w:t>
      </w:r>
      <w:r w:rsidR="00325441" w:rsidRPr="00942352">
        <w:t>critical</w:t>
      </w:r>
      <w:r w:rsidR="00325441" w:rsidRPr="00942352">
        <w:rPr>
          <w:spacing w:val="-3"/>
        </w:rPr>
        <w:t xml:space="preserve"> </w:t>
      </w:r>
      <w:r w:rsidR="00325441" w:rsidRPr="00942352">
        <w:t>property</w:t>
      </w:r>
      <w:r w:rsidR="00325441" w:rsidRPr="00942352">
        <w:rPr>
          <w:spacing w:val="-4"/>
        </w:rPr>
        <w:t xml:space="preserve"> </w:t>
      </w:r>
      <w:r w:rsidR="00325441" w:rsidRPr="00942352">
        <w:t>transactions</w:t>
      </w:r>
      <w:r w:rsidR="00325441" w:rsidRPr="00942352">
        <w:rPr>
          <w:spacing w:val="-1"/>
        </w:rPr>
        <w:t xml:space="preserve"> </w:t>
      </w:r>
      <w:r w:rsidR="002A05B9" w:rsidRPr="00942352">
        <w:t>in 2014,</w:t>
      </w:r>
      <w:r w:rsidR="003C38FE" w:rsidRPr="00942352">
        <w:t xml:space="preserve"> the following events unfolded with respect to the Scheme</w:t>
      </w:r>
      <w:r w:rsidR="00325441" w:rsidRPr="00942352">
        <w:t>:</w:t>
      </w:r>
      <w:bookmarkEnd w:id="31"/>
      <w:r w:rsidR="00CB57F6" w:rsidRPr="00942352">
        <w:t xml:space="preserve"> O</w:t>
      </w:r>
      <w:r w:rsidR="00325441" w:rsidRPr="00942352">
        <w:t>n</w:t>
      </w:r>
      <w:r w:rsidR="00325441" w:rsidRPr="00942352">
        <w:rPr>
          <w:spacing w:val="-6"/>
        </w:rPr>
        <w:t xml:space="preserve"> </w:t>
      </w:r>
      <w:r w:rsidR="00325441" w:rsidRPr="00942352">
        <w:t>1</w:t>
      </w:r>
      <w:r w:rsidR="00325441" w:rsidRPr="00942352">
        <w:rPr>
          <w:spacing w:val="-4"/>
        </w:rPr>
        <w:t xml:space="preserve"> </w:t>
      </w:r>
      <w:r w:rsidR="00325441" w:rsidRPr="00942352">
        <w:t>May 2009,</w:t>
      </w:r>
      <w:r w:rsidR="00325441" w:rsidRPr="00942352">
        <w:rPr>
          <w:spacing w:val="-4"/>
        </w:rPr>
        <w:t xml:space="preserve"> </w:t>
      </w:r>
      <w:r w:rsidR="00325441" w:rsidRPr="00942352">
        <w:t>Great</w:t>
      </w:r>
      <w:r w:rsidR="00325441" w:rsidRPr="00942352">
        <w:rPr>
          <w:spacing w:val="-3"/>
        </w:rPr>
        <w:t xml:space="preserve"> </w:t>
      </w:r>
      <w:r w:rsidR="00325441" w:rsidRPr="00942352">
        <w:t>Southern</w:t>
      </w:r>
      <w:r w:rsidR="00325441" w:rsidRPr="00942352">
        <w:rPr>
          <w:spacing w:val="-6"/>
        </w:rPr>
        <w:t xml:space="preserve"> </w:t>
      </w:r>
      <w:r w:rsidR="00325441" w:rsidRPr="00942352">
        <w:t>appointed</w:t>
      </w:r>
      <w:r w:rsidR="00325441" w:rsidRPr="00942352">
        <w:rPr>
          <w:spacing w:val="-2"/>
        </w:rPr>
        <w:t xml:space="preserve"> </w:t>
      </w:r>
      <w:r w:rsidR="00325441" w:rsidRPr="00942352">
        <w:t>a</w:t>
      </w:r>
      <w:r w:rsidR="00325441" w:rsidRPr="00942352">
        <w:rPr>
          <w:spacing w:val="-4"/>
        </w:rPr>
        <w:t xml:space="preserve"> </w:t>
      </w:r>
      <w:r w:rsidR="00325441" w:rsidRPr="00942352">
        <w:t>voluntary</w:t>
      </w:r>
      <w:r w:rsidR="00325441" w:rsidRPr="00942352">
        <w:rPr>
          <w:spacing w:val="-3"/>
        </w:rPr>
        <w:t xml:space="preserve"> </w:t>
      </w:r>
      <w:r w:rsidR="006A28D4" w:rsidRPr="00942352">
        <w:rPr>
          <w:spacing w:val="-2"/>
        </w:rPr>
        <w:t>administrator.</w:t>
      </w:r>
      <w:r w:rsidR="008173F1" w:rsidRPr="00942352">
        <w:rPr>
          <w:spacing w:val="-2"/>
        </w:rPr>
        <w:t xml:space="preserve"> I</w:t>
      </w:r>
      <w:r w:rsidR="00325441" w:rsidRPr="00942352">
        <w:t>n</w:t>
      </w:r>
      <w:r w:rsidR="00325441" w:rsidRPr="00942352">
        <w:rPr>
          <w:spacing w:val="-1"/>
        </w:rPr>
        <w:t xml:space="preserve"> </w:t>
      </w:r>
      <w:r w:rsidR="00325441" w:rsidRPr="00942352">
        <w:t>August</w:t>
      </w:r>
      <w:r w:rsidR="00325441" w:rsidRPr="00942352">
        <w:rPr>
          <w:spacing w:val="-1"/>
        </w:rPr>
        <w:t xml:space="preserve"> </w:t>
      </w:r>
      <w:r w:rsidR="00325441" w:rsidRPr="00942352">
        <w:t>2009,</w:t>
      </w:r>
      <w:r w:rsidR="00325441" w:rsidRPr="00942352">
        <w:rPr>
          <w:spacing w:val="-5"/>
        </w:rPr>
        <w:t xml:space="preserve"> </w:t>
      </w:r>
      <w:r w:rsidR="00325441" w:rsidRPr="00942352">
        <w:t>the</w:t>
      </w:r>
      <w:r w:rsidR="00325441" w:rsidRPr="00942352">
        <w:rPr>
          <w:spacing w:val="-2"/>
        </w:rPr>
        <w:t xml:space="preserve"> </w:t>
      </w:r>
      <w:r w:rsidR="00325441" w:rsidRPr="00942352">
        <w:t>bankrupt</w:t>
      </w:r>
      <w:r w:rsidR="00325441" w:rsidRPr="00942352">
        <w:rPr>
          <w:spacing w:val="-3"/>
        </w:rPr>
        <w:t xml:space="preserve"> </w:t>
      </w:r>
      <w:r w:rsidR="00325441" w:rsidRPr="00942352">
        <w:t>defaulted</w:t>
      </w:r>
      <w:r w:rsidR="00325441" w:rsidRPr="00942352">
        <w:rPr>
          <w:spacing w:val="-3"/>
        </w:rPr>
        <w:t xml:space="preserve"> </w:t>
      </w:r>
      <w:r w:rsidR="00325441" w:rsidRPr="00942352">
        <w:t>upon</w:t>
      </w:r>
      <w:r w:rsidR="00325441" w:rsidRPr="00942352">
        <w:rPr>
          <w:spacing w:val="-4"/>
        </w:rPr>
        <w:t xml:space="preserve"> </w:t>
      </w:r>
      <w:r w:rsidR="00325441" w:rsidRPr="00942352">
        <w:t>the</w:t>
      </w:r>
      <w:r w:rsidR="00325441" w:rsidRPr="00942352">
        <w:rPr>
          <w:spacing w:val="-7"/>
        </w:rPr>
        <w:t xml:space="preserve"> </w:t>
      </w:r>
      <w:r w:rsidR="00325441" w:rsidRPr="00942352">
        <w:t>Bendigo</w:t>
      </w:r>
      <w:r w:rsidR="00325441" w:rsidRPr="00942352">
        <w:rPr>
          <w:spacing w:val="-3"/>
        </w:rPr>
        <w:t xml:space="preserve"> </w:t>
      </w:r>
      <w:r w:rsidR="00325441" w:rsidRPr="00942352">
        <w:t>Debt,</w:t>
      </w:r>
      <w:r w:rsidR="00325441" w:rsidRPr="00942352">
        <w:rPr>
          <w:spacing w:val="-5"/>
        </w:rPr>
        <w:t xml:space="preserve"> </w:t>
      </w:r>
      <w:r w:rsidR="00325441" w:rsidRPr="00942352">
        <w:t>and</w:t>
      </w:r>
      <w:r w:rsidR="00325441" w:rsidRPr="00942352">
        <w:rPr>
          <w:spacing w:val="-3"/>
        </w:rPr>
        <w:t xml:space="preserve"> </w:t>
      </w:r>
      <w:r w:rsidR="00325441" w:rsidRPr="00942352">
        <w:t>demands were made upon him shortly afterwards to pay the Bendigo De</w:t>
      </w:r>
      <w:r w:rsidR="00C67979" w:rsidRPr="00942352">
        <w:t>bt in October and November 2009.</w:t>
      </w:r>
      <w:r w:rsidR="006D3276" w:rsidRPr="00942352">
        <w:t xml:space="preserve"> R</w:t>
      </w:r>
      <w:r w:rsidR="00325441" w:rsidRPr="00942352">
        <w:t>ather than pay the Bendigo Debt, the bankrupt participated in a class action</w:t>
      </w:r>
      <w:r w:rsidR="00C5159C" w:rsidRPr="00942352">
        <w:t xml:space="preserve"> from about 2010</w:t>
      </w:r>
      <w:r w:rsidR="00325441" w:rsidRPr="00942352">
        <w:t xml:space="preserve"> challenging his liability for the underlying debt – no material further payments were</w:t>
      </w:r>
      <w:r w:rsidR="00325441" w:rsidRPr="00942352">
        <w:rPr>
          <w:spacing w:val="-4"/>
        </w:rPr>
        <w:t xml:space="preserve"> </w:t>
      </w:r>
      <w:r w:rsidR="00325441" w:rsidRPr="00942352">
        <w:t>ever</w:t>
      </w:r>
      <w:r w:rsidR="00325441" w:rsidRPr="00942352">
        <w:rPr>
          <w:spacing w:val="-4"/>
        </w:rPr>
        <w:t xml:space="preserve"> </w:t>
      </w:r>
      <w:r w:rsidR="00325441" w:rsidRPr="00942352">
        <w:t>made,</w:t>
      </w:r>
      <w:r w:rsidR="00325441" w:rsidRPr="00942352">
        <w:rPr>
          <w:spacing w:val="-1"/>
        </w:rPr>
        <w:t xml:space="preserve"> </w:t>
      </w:r>
      <w:r w:rsidR="00325441" w:rsidRPr="00942352">
        <w:t>such</w:t>
      </w:r>
      <w:r w:rsidR="00325441" w:rsidRPr="00942352">
        <w:rPr>
          <w:spacing w:val="-3"/>
        </w:rPr>
        <w:t xml:space="preserve"> </w:t>
      </w:r>
      <w:r w:rsidR="00325441" w:rsidRPr="00942352">
        <w:t>that</w:t>
      </w:r>
      <w:r w:rsidR="00325441" w:rsidRPr="00942352">
        <w:rPr>
          <w:spacing w:val="-1"/>
        </w:rPr>
        <w:t xml:space="preserve"> </w:t>
      </w:r>
      <w:r w:rsidR="00325441" w:rsidRPr="00942352">
        <w:t>the</w:t>
      </w:r>
      <w:r w:rsidR="00325441" w:rsidRPr="00942352">
        <w:rPr>
          <w:spacing w:val="-1"/>
        </w:rPr>
        <w:t xml:space="preserve"> </w:t>
      </w:r>
      <w:r w:rsidR="00325441" w:rsidRPr="00942352">
        <w:t>balance</w:t>
      </w:r>
      <w:r w:rsidR="00325441" w:rsidRPr="00942352">
        <w:rPr>
          <w:spacing w:val="-4"/>
        </w:rPr>
        <w:t xml:space="preserve"> </w:t>
      </w:r>
      <w:r w:rsidR="00325441" w:rsidRPr="00942352">
        <w:t>of</w:t>
      </w:r>
      <w:r w:rsidR="00325441" w:rsidRPr="00942352">
        <w:rPr>
          <w:spacing w:val="-4"/>
        </w:rPr>
        <w:t xml:space="preserve"> </w:t>
      </w:r>
      <w:r w:rsidR="00325441" w:rsidRPr="00942352">
        <w:t>the</w:t>
      </w:r>
      <w:r w:rsidR="00325441" w:rsidRPr="00942352">
        <w:rPr>
          <w:spacing w:val="-4"/>
        </w:rPr>
        <w:t xml:space="preserve"> </w:t>
      </w:r>
      <w:r w:rsidR="00325441" w:rsidRPr="00942352">
        <w:t>Bendigo</w:t>
      </w:r>
      <w:r w:rsidR="00325441" w:rsidRPr="00942352">
        <w:rPr>
          <w:spacing w:val="-1"/>
        </w:rPr>
        <w:t xml:space="preserve"> </w:t>
      </w:r>
      <w:r w:rsidR="00325441" w:rsidRPr="00942352">
        <w:t>Debt</w:t>
      </w:r>
      <w:r w:rsidR="00325441" w:rsidRPr="00942352">
        <w:rPr>
          <w:spacing w:val="-1"/>
        </w:rPr>
        <w:t xml:space="preserve"> </w:t>
      </w:r>
      <w:r w:rsidR="00325441" w:rsidRPr="00942352">
        <w:t>kept</w:t>
      </w:r>
      <w:r w:rsidR="00325441" w:rsidRPr="00942352">
        <w:rPr>
          <w:spacing w:val="-2"/>
        </w:rPr>
        <w:t xml:space="preserve"> </w:t>
      </w:r>
      <w:r w:rsidR="00325441" w:rsidRPr="00942352">
        <w:t>increasing</w:t>
      </w:r>
      <w:r w:rsidR="00325441" w:rsidRPr="00942352">
        <w:rPr>
          <w:spacing w:val="-2"/>
        </w:rPr>
        <w:t xml:space="preserve"> </w:t>
      </w:r>
      <w:r w:rsidR="00EC302C" w:rsidRPr="00942352">
        <w:t>from then onwards. T</w:t>
      </w:r>
      <w:r w:rsidR="00325441" w:rsidRPr="00942352">
        <w:t>he</w:t>
      </w:r>
      <w:r w:rsidR="00325441" w:rsidRPr="00942352">
        <w:rPr>
          <w:spacing w:val="-2"/>
        </w:rPr>
        <w:t xml:space="preserve"> </w:t>
      </w:r>
      <w:r w:rsidR="00325441" w:rsidRPr="00942352">
        <w:t>trial</w:t>
      </w:r>
      <w:r w:rsidR="00325441" w:rsidRPr="00942352">
        <w:rPr>
          <w:spacing w:val="-3"/>
        </w:rPr>
        <w:t xml:space="preserve"> </w:t>
      </w:r>
      <w:r w:rsidR="00325441" w:rsidRPr="00942352">
        <w:t>of</w:t>
      </w:r>
      <w:r w:rsidR="00325441" w:rsidRPr="00942352">
        <w:rPr>
          <w:spacing w:val="-3"/>
        </w:rPr>
        <w:t xml:space="preserve"> </w:t>
      </w:r>
      <w:r w:rsidR="00325441" w:rsidRPr="00942352">
        <w:t>that</w:t>
      </w:r>
      <w:r w:rsidR="00325441" w:rsidRPr="00942352">
        <w:rPr>
          <w:spacing w:val="-2"/>
        </w:rPr>
        <w:t xml:space="preserve"> </w:t>
      </w:r>
      <w:r w:rsidR="00325441" w:rsidRPr="00942352">
        <w:t>class</w:t>
      </w:r>
      <w:r w:rsidR="00325441" w:rsidRPr="00942352">
        <w:rPr>
          <w:spacing w:val="-5"/>
        </w:rPr>
        <w:t xml:space="preserve"> </w:t>
      </w:r>
      <w:r w:rsidR="00325441" w:rsidRPr="00942352">
        <w:t>action</w:t>
      </w:r>
      <w:r w:rsidR="00325441" w:rsidRPr="00942352">
        <w:rPr>
          <w:spacing w:val="-2"/>
        </w:rPr>
        <w:t xml:space="preserve"> </w:t>
      </w:r>
      <w:r w:rsidR="00325441" w:rsidRPr="00942352">
        <w:t>occurred</w:t>
      </w:r>
      <w:r w:rsidR="00325441" w:rsidRPr="00942352">
        <w:rPr>
          <w:spacing w:val="-3"/>
        </w:rPr>
        <w:t xml:space="preserve"> </w:t>
      </w:r>
      <w:r w:rsidR="00325441" w:rsidRPr="00942352">
        <w:t>between</w:t>
      </w:r>
      <w:r w:rsidR="00325441" w:rsidRPr="00942352">
        <w:rPr>
          <w:spacing w:val="-5"/>
        </w:rPr>
        <w:t xml:space="preserve"> </w:t>
      </w:r>
      <w:r w:rsidR="00325441" w:rsidRPr="00942352">
        <w:t>October</w:t>
      </w:r>
      <w:r w:rsidR="00325441" w:rsidRPr="00942352">
        <w:rPr>
          <w:spacing w:val="-3"/>
        </w:rPr>
        <w:t xml:space="preserve"> </w:t>
      </w:r>
      <w:r w:rsidR="00325441" w:rsidRPr="00942352">
        <w:t>2012</w:t>
      </w:r>
      <w:r w:rsidR="00325441" w:rsidRPr="00942352">
        <w:rPr>
          <w:spacing w:val="-2"/>
        </w:rPr>
        <w:t xml:space="preserve"> </w:t>
      </w:r>
      <w:r w:rsidR="00325441" w:rsidRPr="00942352">
        <w:t>and</w:t>
      </w:r>
      <w:r w:rsidR="00325441" w:rsidRPr="00942352">
        <w:rPr>
          <w:spacing w:val="-4"/>
        </w:rPr>
        <w:t xml:space="preserve"> </w:t>
      </w:r>
      <w:r w:rsidR="00325441" w:rsidRPr="00942352">
        <w:t xml:space="preserve">October </w:t>
      </w:r>
      <w:r w:rsidR="00662221" w:rsidRPr="00942352">
        <w:rPr>
          <w:spacing w:val="-2"/>
        </w:rPr>
        <w:t>2013.</w:t>
      </w:r>
      <w:r w:rsidR="00220C2D" w:rsidRPr="00942352">
        <w:rPr>
          <w:spacing w:val="-2"/>
        </w:rPr>
        <w:t xml:space="preserve"> S</w:t>
      </w:r>
      <w:r w:rsidR="00325441" w:rsidRPr="00942352">
        <w:rPr>
          <w:spacing w:val="-2"/>
        </w:rPr>
        <w:t>ometime between October 2013 and July 2014 or before,</w:t>
      </w:r>
      <w:r w:rsidR="00325441" w:rsidRPr="00942352">
        <w:t xml:space="preserve"> the bankrupt spoke to either his financial planner or advisor</w:t>
      </w:r>
      <w:r w:rsidR="00325441" w:rsidRPr="00942352">
        <w:rPr>
          <w:spacing w:val="-1"/>
        </w:rPr>
        <w:t xml:space="preserve"> </w:t>
      </w:r>
      <w:r w:rsidR="00325441" w:rsidRPr="00942352">
        <w:t>about</w:t>
      </w:r>
      <w:r w:rsidR="00325441" w:rsidRPr="00942352">
        <w:rPr>
          <w:spacing w:val="-4"/>
        </w:rPr>
        <w:t xml:space="preserve"> </w:t>
      </w:r>
      <w:r w:rsidR="00325441" w:rsidRPr="00942352">
        <w:t>the</w:t>
      </w:r>
      <w:r w:rsidR="00325441" w:rsidRPr="00942352">
        <w:rPr>
          <w:spacing w:val="-4"/>
        </w:rPr>
        <w:t xml:space="preserve"> </w:t>
      </w:r>
      <w:r w:rsidR="00325441" w:rsidRPr="00942352">
        <w:t>hearing</w:t>
      </w:r>
      <w:r w:rsidR="00325441" w:rsidRPr="00942352">
        <w:rPr>
          <w:spacing w:val="-4"/>
        </w:rPr>
        <w:t xml:space="preserve"> </w:t>
      </w:r>
      <w:r w:rsidR="00325441" w:rsidRPr="00942352">
        <w:t>of</w:t>
      </w:r>
      <w:r w:rsidR="00325441" w:rsidRPr="00942352">
        <w:rPr>
          <w:spacing w:val="-2"/>
        </w:rPr>
        <w:t xml:space="preserve"> </w:t>
      </w:r>
      <w:r w:rsidR="00325441" w:rsidRPr="00942352">
        <w:t>the</w:t>
      </w:r>
      <w:r w:rsidR="00325441" w:rsidRPr="00942352">
        <w:rPr>
          <w:spacing w:val="-3"/>
        </w:rPr>
        <w:t xml:space="preserve"> </w:t>
      </w:r>
      <w:r w:rsidR="00325441" w:rsidRPr="00942352">
        <w:t>class</w:t>
      </w:r>
      <w:r w:rsidR="00325441" w:rsidRPr="00942352">
        <w:rPr>
          <w:spacing w:val="-2"/>
        </w:rPr>
        <w:t xml:space="preserve"> </w:t>
      </w:r>
      <w:r w:rsidR="00325441" w:rsidRPr="00942352">
        <w:t>action,</w:t>
      </w:r>
      <w:r w:rsidR="00325441" w:rsidRPr="00942352">
        <w:rPr>
          <w:spacing w:val="-1"/>
        </w:rPr>
        <w:t xml:space="preserve"> </w:t>
      </w:r>
      <w:r w:rsidR="00325441" w:rsidRPr="00942352">
        <w:t>and</w:t>
      </w:r>
      <w:r w:rsidR="00325441" w:rsidRPr="00942352">
        <w:rPr>
          <w:spacing w:val="-3"/>
        </w:rPr>
        <w:t xml:space="preserve"> </w:t>
      </w:r>
      <w:r w:rsidR="00325441" w:rsidRPr="00942352">
        <w:t>was</w:t>
      </w:r>
      <w:r w:rsidR="00325441" w:rsidRPr="00942352">
        <w:rPr>
          <w:spacing w:val="-4"/>
        </w:rPr>
        <w:t xml:space="preserve"> </w:t>
      </w:r>
      <w:r w:rsidR="00325441" w:rsidRPr="00942352">
        <w:t>told</w:t>
      </w:r>
      <w:r w:rsidR="00325441" w:rsidRPr="00942352">
        <w:rPr>
          <w:spacing w:val="-4"/>
        </w:rPr>
        <w:t xml:space="preserve"> </w:t>
      </w:r>
      <w:r w:rsidR="00325441" w:rsidRPr="00942352">
        <w:t>that</w:t>
      </w:r>
      <w:r w:rsidR="00325441" w:rsidRPr="00942352">
        <w:rPr>
          <w:spacing w:val="-1"/>
        </w:rPr>
        <w:t xml:space="preserve"> </w:t>
      </w:r>
      <w:r w:rsidR="00325441" w:rsidRPr="00942352">
        <w:t>the</w:t>
      </w:r>
      <w:r w:rsidR="00325441" w:rsidRPr="00942352">
        <w:rPr>
          <w:spacing w:val="-2"/>
        </w:rPr>
        <w:t xml:space="preserve"> </w:t>
      </w:r>
      <w:r w:rsidR="00325441" w:rsidRPr="00942352">
        <w:t>hearing</w:t>
      </w:r>
      <w:r w:rsidR="00325441" w:rsidRPr="00942352">
        <w:rPr>
          <w:spacing w:val="-1"/>
        </w:rPr>
        <w:t xml:space="preserve"> </w:t>
      </w:r>
      <w:r w:rsidR="00325441" w:rsidRPr="00942352">
        <w:t>“hadn’t gone well”, “wasn’t going well</w:t>
      </w:r>
      <w:r w:rsidR="00056B05" w:rsidRPr="00942352">
        <w:t>” or that “it didn’t look good”.</w:t>
      </w:r>
    </w:p>
    <w:p w14:paraId="2E2CA5A3" w14:textId="43705CAA" w:rsidR="006E568C" w:rsidRDefault="00155C95" w:rsidP="00155C95">
      <w:pPr>
        <w:pStyle w:val="ParaNumbering"/>
        <w:numPr>
          <w:ilvl w:val="0"/>
          <w:numId w:val="0"/>
        </w:numPr>
        <w:ind w:hanging="720"/>
      </w:pPr>
      <w:bookmarkStart w:id="32" w:name="_Ref125979862"/>
      <w:bookmarkStart w:id="33" w:name="_Ref128652538"/>
      <w:bookmarkStart w:id="34" w:name="_Ref128990022"/>
      <w:bookmarkEnd w:id="32"/>
      <w:r>
        <w:rPr>
          <w:sz w:val="20"/>
        </w:rPr>
        <w:t>13</w:t>
      </w:r>
      <w:r>
        <w:rPr>
          <w:sz w:val="20"/>
        </w:rPr>
        <w:tab/>
      </w:r>
      <w:r w:rsidR="00DC588A" w:rsidRPr="00942352">
        <w:t>O</w:t>
      </w:r>
      <w:r w:rsidR="00325441" w:rsidRPr="00942352">
        <w:t>n 11 April 2014, the net proceeds of sale f</w:t>
      </w:r>
      <w:r w:rsidR="008E02E8" w:rsidRPr="00942352">
        <w:t>rom the sale of the Boyce Road p</w:t>
      </w:r>
      <w:r w:rsidR="00325441" w:rsidRPr="00942352">
        <w:t xml:space="preserve">roperty (totalling $330,211.31) were paid to a joint account operated by the bankrupt and the respondent </w:t>
      </w:r>
      <w:r w:rsidR="003112B4" w:rsidRPr="00942352">
        <w:t xml:space="preserve">ending </w:t>
      </w:r>
      <w:r w:rsidR="003112B4" w:rsidRPr="00942352">
        <w:lastRenderedPageBreak/>
        <w:t>in</w:t>
      </w:r>
      <w:r w:rsidR="00325441" w:rsidRPr="00942352">
        <w:t xml:space="preserve"> #4777</w:t>
      </w:r>
      <w:r w:rsidR="00840817" w:rsidRPr="00942352">
        <w:t xml:space="preserve"> (</w:t>
      </w:r>
      <w:r w:rsidR="0069737B" w:rsidRPr="00942352">
        <w:rPr>
          <w:b/>
        </w:rPr>
        <w:t>the</w:t>
      </w:r>
      <w:r w:rsidR="0069737B" w:rsidRPr="00942352">
        <w:t xml:space="preserve"> </w:t>
      </w:r>
      <w:r w:rsidR="0069737B" w:rsidRPr="00942352">
        <w:rPr>
          <w:b/>
        </w:rPr>
        <w:t>Joint Account</w:t>
      </w:r>
      <w:r w:rsidR="0069737B" w:rsidRPr="00942352">
        <w:t>)</w:t>
      </w:r>
      <w:bookmarkEnd w:id="33"/>
      <w:r w:rsidR="00263067" w:rsidRPr="00942352">
        <w:t>. O</w:t>
      </w:r>
      <w:r w:rsidR="00325441" w:rsidRPr="00942352">
        <w:t xml:space="preserve">n 30 June 2014, </w:t>
      </w:r>
      <w:proofErr w:type="spellStart"/>
      <w:r w:rsidR="00325441" w:rsidRPr="00942352">
        <w:rPr>
          <w:b/>
        </w:rPr>
        <w:t>Apscore</w:t>
      </w:r>
      <w:proofErr w:type="spellEnd"/>
      <w:r w:rsidR="00325441" w:rsidRPr="00942352">
        <w:t xml:space="preserve"> </w:t>
      </w:r>
      <w:r w:rsidR="003D6913" w:rsidRPr="00942352">
        <w:t xml:space="preserve">International </w:t>
      </w:r>
      <w:r w:rsidR="00325441" w:rsidRPr="00942352">
        <w:t>Pty Ltd (the bankrupt’s company) recorded accum</w:t>
      </w:r>
      <w:r w:rsidR="002F3C33" w:rsidRPr="00942352">
        <w:t>ulated losses of $6,243,566.46. O</w:t>
      </w:r>
      <w:r w:rsidR="00325441" w:rsidRPr="00942352">
        <w:t>n 23 July 2014, a settlement</w:t>
      </w:r>
      <w:r w:rsidR="0069737B" w:rsidRPr="00942352">
        <w:t xml:space="preserve"> of the class action</w:t>
      </w:r>
      <w:r w:rsidR="00325441" w:rsidRPr="00942352">
        <w:t xml:space="preserve"> was reached, substantially providing for a confirmation of the group members’ loan obli</w:t>
      </w:r>
      <w:r w:rsidR="00ED795A" w:rsidRPr="00942352">
        <w:t>gations</w:t>
      </w:r>
      <w:r w:rsidR="00235B99" w:rsidRPr="00942352">
        <w:t xml:space="preserve">. </w:t>
      </w:r>
    </w:p>
    <w:p w14:paraId="055F5FE8" w14:textId="2B930D42" w:rsidR="00325441" w:rsidRPr="00942352" w:rsidRDefault="00155C95" w:rsidP="00155C95">
      <w:pPr>
        <w:pStyle w:val="ParaNumbering"/>
        <w:numPr>
          <w:ilvl w:val="0"/>
          <w:numId w:val="0"/>
        </w:numPr>
        <w:ind w:hanging="720"/>
      </w:pPr>
      <w:bookmarkStart w:id="35" w:name="_Ref129269230"/>
      <w:r w:rsidRPr="00942352">
        <w:rPr>
          <w:sz w:val="20"/>
        </w:rPr>
        <w:t>14</w:t>
      </w:r>
      <w:r w:rsidRPr="00942352">
        <w:rPr>
          <w:sz w:val="20"/>
        </w:rPr>
        <w:tab/>
      </w:r>
      <w:r w:rsidR="006E568C">
        <w:t>Then, a matter of days later, o</w:t>
      </w:r>
      <w:r w:rsidR="00CB33F3" w:rsidRPr="00942352">
        <w:t xml:space="preserve">n 4 August 2014, </w:t>
      </w:r>
      <w:r w:rsidR="006E568C">
        <w:t xml:space="preserve">the bankrupt and the respondent exchanged </w:t>
      </w:r>
      <w:r w:rsidR="00CB33F3" w:rsidRPr="00942352">
        <w:t xml:space="preserve">the contract for the purchase of the North Balgowlah property </w:t>
      </w:r>
      <w:r w:rsidR="006E568C">
        <w:t>(the sale price was $1.</w:t>
      </w:r>
      <w:r w:rsidR="00CB33F3" w:rsidRPr="00942352">
        <w:t>8</w:t>
      </w:r>
      <w:r w:rsidR="006E568C">
        <w:t xml:space="preserve"> million).</w:t>
      </w:r>
      <w:r w:rsidR="00CB33F3" w:rsidRPr="00942352">
        <w:t xml:space="preserve"> </w:t>
      </w:r>
      <w:r w:rsidR="006E568C">
        <w:t>B</w:t>
      </w:r>
      <w:r w:rsidR="00CB33F3" w:rsidRPr="00942352">
        <w:t xml:space="preserve">oth the bankrupt and the respondent </w:t>
      </w:r>
      <w:r w:rsidR="006E568C">
        <w:t xml:space="preserve">were </w:t>
      </w:r>
      <w:r w:rsidR="00CB33F3" w:rsidRPr="00942352">
        <w:t xml:space="preserve">named on the contract as purchasers. </w:t>
      </w:r>
      <w:r w:rsidR="00235B99" w:rsidRPr="00942352">
        <w:t>B</w:t>
      </w:r>
      <w:r w:rsidR="0069737B" w:rsidRPr="00942352">
        <w:t xml:space="preserve">y sale settling </w:t>
      </w:r>
      <w:r w:rsidR="006E568C">
        <w:t xml:space="preserve">on </w:t>
      </w:r>
      <w:r w:rsidR="0069737B" w:rsidRPr="00942352">
        <w:t>9 September 2014, the bankrupt and the respondent sold the Anzac Parade</w:t>
      </w:r>
      <w:r w:rsidR="0069737B" w:rsidRPr="00942352">
        <w:rPr>
          <w:spacing w:val="-3"/>
        </w:rPr>
        <w:t xml:space="preserve"> </w:t>
      </w:r>
      <w:r w:rsidR="002010B5" w:rsidRPr="00942352">
        <w:t>p</w:t>
      </w:r>
      <w:r w:rsidR="0069737B" w:rsidRPr="00942352">
        <w:t>roperty</w:t>
      </w:r>
      <w:r w:rsidR="0069737B" w:rsidRPr="00942352">
        <w:rPr>
          <w:spacing w:val="-3"/>
        </w:rPr>
        <w:t xml:space="preserve"> </w:t>
      </w:r>
      <w:r w:rsidR="0069737B" w:rsidRPr="00942352">
        <w:t>realising</w:t>
      </w:r>
      <w:r w:rsidR="0069737B" w:rsidRPr="00942352">
        <w:rPr>
          <w:spacing w:val="-3"/>
        </w:rPr>
        <w:t xml:space="preserve"> </w:t>
      </w:r>
      <w:r w:rsidR="0069737B" w:rsidRPr="00942352">
        <w:t>$110,310.05</w:t>
      </w:r>
      <w:r w:rsidR="0069737B" w:rsidRPr="00942352">
        <w:rPr>
          <w:spacing w:val="-3"/>
        </w:rPr>
        <w:t xml:space="preserve"> </w:t>
      </w:r>
      <w:r w:rsidR="0069737B" w:rsidRPr="00942352">
        <w:t>of</w:t>
      </w:r>
      <w:r w:rsidR="0069737B" w:rsidRPr="00942352">
        <w:rPr>
          <w:spacing w:val="-1"/>
        </w:rPr>
        <w:t xml:space="preserve"> </w:t>
      </w:r>
      <w:r w:rsidR="0069737B" w:rsidRPr="00942352">
        <w:t>net</w:t>
      </w:r>
      <w:r w:rsidR="0069737B" w:rsidRPr="00942352">
        <w:rPr>
          <w:spacing w:val="-1"/>
        </w:rPr>
        <w:t xml:space="preserve"> </w:t>
      </w:r>
      <w:r w:rsidR="0069737B" w:rsidRPr="00942352">
        <w:t>proceeds,</w:t>
      </w:r>
      <w:r w:rsidR="0069737B" w:rsidRPr="00942352">
        <w:rPr>
          <w:spacing w:val="-1"/>
        </w:rPr>
        <w:t xml:space="preserve"> </w:t>
      </w:r>
      <w:r w:rsidR="0069737B" w:rsidRPr="00942352">
        <w:t>which</w:t>
      </w:r>
      <w:r w:rsidR="0069737B" w:rsidRPr="00942352">
        <w:rPr>
          <w:spacing w:val="-7"/>
        </w:rPr>
        <w:t xml:space="preserve"> </w:t>
      </w:r>
      <w:r w:rsidR="0069737B" w:rsidRPr="00942352">
        <w:t>were</w:t>
      </w:r>
      <w:r w:rsidR="0069737B" w:rsidRPr="00942352">
        <w:rPr>
          <w:spacing w:val="-3"/>
        </w:rPr>
        <w:t xml:space="preserve"> </w:t>
      </w:r>
      <w:r w:rsidR="0069737B" w:rsidRPr="00942352">
        <w:t>paid</w:t>
      </w:r>
      <w:r w:rsidR="0069737B" w:rsidRPr="00942352">
        <w:rPr>
          <w:spacing w:val="-7"/>
        </w:rPr>
        <w:t xml:space="preserve"> </w:t>
      </w:r>
      <w:r w:rsidR="0069737B" w:rsidRPr="00942352">
        <w:t>into</w:t>
      </w:r>
      <w:r w:rsidR="0069737B" w:rsidRPr="00942352">
        <w:rPr>
          <w:spacing w:val="-6"/>
        </w:rPr>
        <w:t xml:space="preserve"> </w:t>
      </w:r>
      <w:r w:rsidR="0069737B" w:rsidRPr="00942352">
        <w:t>the</w:t>
      </w:r>
      <w:r w:rsidR="0069737B" w:rsidRPr="00942352">
        <w:rPr>
          <w:spacing w:val="-2"/>
        </w:rPr>
        <w:t xml:space="preserve"> </w:t>
      </w:r>
      <w:r w:rsidR="0069737B" w:rsidRPr="00942352">
        <w:t xml:space="preserve">Joint </w:t>
      </w:r>
      <w:r w:rsidR="0069737B" w:rsidRPr="00942352">
        <w:rPr>
          <w:spacing w:val="-2"/>
        </w:rPr>
        <w:t>Account.</w:t>
      </w:r>
      <w:bookmarkEnd w:id="34"/>
      <w:bookmarkEnd w:id="35"/>
    </w:p>
    <w:p w14:paraId="36EEED0C" w14:textId="158BB45D" w:rsidR="00325441" w:rsidRPr="00942352" w:rsidRDefault="00155C95" w:rsidP="00155C95">
      <w:pPr>
        <w:pStyle w:val="ParaNumbering"/>
        <w:numPr>
          <w:ilvl w:val="0"/>
          <w:numId w:val="0"/>
        </w:numPr>
        <w:ind w:hanging="720"/>
      </w:pPr>
      <w:r w:rsidRPr="00942352">
        <w:rPr>
          <w:sz w:val="20"/>
        </w:rPr>
        <w:t>15</w:t>
      </w:r>
      <w:r w:rsidRPr="00942352">
        <w:rPr>
          <w:sz w:val="20"/>
        </w:rPr>
        <w:tab/>
      </w:r>
      <w:r w:rsidR="0069737B" w:rsidRPr="00942352">
        <w:t>T</w:t>
      </w:r>
      <w:r w:rsidR="00325441" w:rsidRPr="00942352">
        <w:t>he purchase settled on 28 November 2014, at which tim</w:t>
      </w:r>
      <w:r w:rsidR="002010B5" w:rsidRPr="00942352">
        <w:t>e title to the North Balgowlah p</w:t>
      </w:r>
      <w:r w:rsidR="00325441" w:rsidRPr="00942352">
        <w:t>roperty was taken solely in</w:t>
      </w:r>
      <w:r w:rsidR="00325441" w:rsidRPr="00942352">
        <w:rPr>
          <w:spacing w:val="-2"/>
        </w:rPr>
        <w:t xml:space="preserve"> </w:t>
      </w:r>
      <w:r w:rsidR="00325441" w:rsidRPr="00942352">
        <w:t>the respondent’s name (the reasons for</w:t>
      </w:r>
      <w:r w:rsidR="00325441" w:rsidRPr="00942352">
        <w:rPr>
          <w:spacing w:val="-2"/>
        </w:rPr>
        <w:t xml:space="preserve"> </w:t>
      </w:r>
      <w:r w:rsidR="00325441" w:rsidRPr="00942352">
        <w:t>which</w:t>
      </w:r>
      <w:r w:rsidR="00325441" w:rsidRPr="00942352">
        <w:rPr>
          <w:spacing w:val="-4"/>
        </w:rPr>
        <w:t xml:space="preserve"> </w:t>
      </w:r>
      <w:r w:rsidR="00325441" w:rsidRPr="00942352">
        <w:t>are</w:t>
      </w:r>
      <w:r w:rsidR="00325441" w:rsidRPr="00942352">
        <w:rPr>
          <w:spacing w:val="-3"/>
        </w:rPr>
        <w:t xml:space="preserve"> </w:t>
      </w:r>
      <w:r w:rsidR="00325441" w:rsidRPr="00942352">
        <w:t>addressed</w:t>
      </w:r>
      <w:r w:rsidR="00325441" w:rsidRPr="00942352">
        <w:rPr>
          <w:spacing w:val="-4"/>
        </w:rPr>
        <w:t xml:space="preserve"> </w:t>
      </w:r>
      <w:r w:rsidR="00325441" w:rsidRPr="00942352">
        <w:t>later</w:t>
      </w:r>
      <w:r w:rsidR="00325441" w:rsidRPr="00942352">
        <w:rPr>
          <w:spacing w:val="-1"/>
        </w:rPr>
        <w:t xml:space="preserve"> </w:t>
      </w:r>
      <w:r w:rsidR="00325441" w:rsidRPr="00942352">
        <w:t>in</w:t>
      </w:r>
      <w:r w:rsidR="00325441" w:rsidRPr="00942352">
        <w:rPr>
          <w:spacing w:val="-4"/>
        </w:rPr>
        <w:t xml:space="preserve"> </w:t>
      </w:r>
      <w:r w:rsidR="00325441" w:rsidRPr="00942352">
        <w:t>these</w:t>
      </w:r>
      <w:r w:rsidR="00325441" w:rsidRPr="00942352">
        <w:rPr>
          <w:spacing w:val="-4"/>
        </w:rPr>
        <w:t xml:space="preserve"> </w:t>
      </w:r>
      <w:r w:rsidR="00D829BE" w:rsidRPr="00942352">
        <w:t>reasons when</w:t>
      </w:r>
      <w:r w:rsidR="00325441" w:rsidRPr="00942352">
        <w:rPr>
          <w:spacing w:val="-4"/>
        </w:rPr>
        <w:t xml:space="preserve"> </w:t>
      </w:r>
      <w:r w:rsidR="00325441" w:rsidRPr="00942352">
        <w:t>considering</w:t>
      </w:r>
      <w:r w:rsidR="00325441" w:rsidRPr="00942352">
        <w:rPr>
          <w:spacing w:val="-3"/>
        </w:rPr>
        <w:t xml:space="preserve"> </w:t>
      </w:r>
      <w:r w:rsidR="00325441" w:rsidRPr="00942352">
        <w:t>the</w:t>
      </w:r>
      <w:r w:rsidR="00325441" w:rsidRPr="00942352">
        <w:rPr>
          <w:spacing w:val="-4"/>
        </w:rPr>
        <w:t xml:space="preserve"> </w:t>
      </w:r>
      <w:r w:rsidR="00347FDE" w:rsidRPr="00942352">
        <w:t>t</w:t>
      </w:r>
      <w:r w:rsidR="00325441" w:rsidRPr="00942352">
        <w:t>rustee’s resulting trust claim).</w:t>
      </w:r>
    </w:p>
    <w:p w14:paraId="1C4CDB1B" w14:textId="21C625DF" w:rsidR="00AA7920" w:rsidRPr="00942352" w:rsidRDefault="00155C95" w:rsidP="00155C95">
      <w:pPr>
        <w:pStyle w:val="ParaNumbering"/>
        <w:numPr>
          <w:ilvl w:val="0"/>
          <w:numId w:val="0"/>
        </w:numPr>
        <w:ind w:hanging="720"/>
      </w:pPr>
      <w:bookmarkStart w:id="36" w:name="_Ref128651686"/>
      <w:r w:rsidRPr="00942352">
        <w:rPr>
          <w:sz w:val="20"/>
        </w:rPr>
        <w:t>16</w:t>
      </w:r>
      <w:r w:rsidRPr="00942352">
        <w:rPr>
          <w:sz w:val="20"/>
        </w:rPr>
        <w:tab/>
      </w:r>
      <w:r w:rsidR="00AA7920" w:rsidRPr="00942352">
        <w:t>The purchase</w:t>
      </w:r>
      <w:r w:rsidR="00AA7920" w:rsidRPr="00942352">
        <w:rPr>
          <w:spacing w:val="-4"/>
        </w:rPr>
        <w:t xml:space="preserve"> </w:t>
      </w:r>
      <w:r w:rsidR="00AA7920" w:rsidRPr="00942352">
        <w:t>price,</w:t>
      </w:r>
      <w:r w:rsidR="00AA7920" w:rsidRPr="00942352">
        <w:rPr>
          <w:spacing w:val="-1"/>
        </w:rPr>
        <w:t xml:space="preserve"> </w:t>
      </w:r>
      <w:r w:rsidR="00AA7920" w:rsidRPr="00942352">
        <w:t>and</w:t>
      </w:r>
      <w:r w:rsidR="00AA7920" w:rsidRPr="00942352">
        <w:rPr>
          <w:spacing w:val="-3"/>
        </w:rPr>
        <w:t xml:space="preserve"> </w:t>
      </w:r>
      <w:r w:rsidR="00AA7920" w:rsidRPr="00942352">
        <w:t>the</w:t>
      </w:r>
      <w:r w:rsidR="00AA7920" w:rsidRPr="00942352">
        <w:rPr>
          <w:spacing w:val="-5"/>
        </w:rPr>
        <w:t xml:space="preserve"> </w:t>
      </w:r>
      <w:r w:rsidR="00AA7920" w:rsidRPr="00942352">
        <w:t>other</w:t>
      </w:r>
      <w:r w:rsidR="00AA7920" w:rsidRPr="00942352">
        <w:rPr>
          <w:spacing w:val="-2"/>
        </w:rPr>
        <w:t xml:space="preserve"> </w:t>
      </w:r>
      <w:r w:rsidR="00AA7920" w:rsidRPr="00942352">
        <w:t>costs</w:t>
      </w:r>
      <w:r w:rsidR="00AA7920" w:rsidRPr="00942352">
        <w:rPr>
          <w:spacing w:val="-2"/>
        </w:rPr>
        <w:t xml:space="preserve"> </w:t>
      </w:r>
      <w:r w:rsidR="00AA7920" w:rsidRPr="00942352">
        <w:t>of</w:t>
      </w:r>
      <w:r w:rsidR="00AA7920" w:rsidRPr="00942352">
        <w:rPr>
          <w:spacing w:val="-4"/>
        </w:rPr>
        <w:t xml:space="preserve"> </w:t>
      </w:r>
      <w:r w:rsidR="00AA7920" w:rsidRPr="00942352">
        <w:t>the</w:t>
      </w:r>
      <w:r w:rsidR="00AA7920" w:rsidRPr="00942352">
        <w:rPr>
          <w:spacing w:val="-4"/>
        </w:rPr>
        <w:t xml:space="preserve"> </w:t>
      </w:r>
      <w:r w:rsidR="00AA7920" w:rsidRPr="00942352">
        <w:t>purchase,</w:t>
      </w:r>
      <w:r w:rsidR="00AA7920" w:rsidRPr="00942352">
        <w:rPr>
          <w:spacing w:val="-2"/>
        </w:rPr>
        <w:t xml:space="preserve"> </w:t>
      </w:r>
      <w:r w:rsidR="00AA7920" w:rsidRPr="00942352">
        <w:t>were</w:t>
      </w:r>
      <w:r w:rsidR="00AA7920" w:rsidRPr="00942352">
        <w:rPr>
          <w:spacing w:val="-6"/>
        </w:rPr>
        <w:t xml:space="preserve"> </w:t>
      </w:r>
      <w:r w:rsidR="00AA7920" w:rsidRPr="00942352">
        <w:t>paid</w:t>
      </w:r>
      <w:r w:rsidR="00AA7920" w:rsidRPr="00942352">
        <w:rPr>
          <w:spacing w:val="-4"/>
        </w:rPr>
        <w:t xml:space="preserve"> </w:t>
      </w:r>
      <w:r w:rsidR="00AA7920" w:rsidRPr="00942352">
        <w:t>by</w:t>
      </w:r>
      <w:r w:rsidR="00AA7920" w:rsidRPr="00942352">
        <w:rPr>
          <w:spacing w:val="-2"/>
        </w:rPr>
        <w:t xml:space="preserve"> </w:t>
      </w:r>
      <w:r w:rsidR="00AA7920" w:rsidRPr="00942352">
        <w:t>way</w:t>
      </w:r>
      <w:r w:rsidR="00AA7920" w:rsidRPr="00942352">
        <w:rPr>
          <w:spacing w:val="-2"/>
        </w:rPr>
        <w:t xml:space="preserve"> </w:t>
      </w:r>
      <w:r w:rsidR="00AA7920" w:rsidRPr="00942352">
        <w:rPr>
          <w:spacing w:val="-5"/>
        </w:rPr>
        <w:t>of:</w:t>
      </w:r>
      <w:bookmarkEnd w:id="36"/>
    </w:p>
    <w:p w14:paraId="48E4BF52" w14:textId="6D34E871" w:rsidR="00AA7920"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AA7920" w:rsidRPr="00942352">
        <w:t>drawings</w:t>
      </w:r>
      <w:proofErr w:type="gramEnd"/>
      <w:r w:rsidR="00AA7920" w:rsidRPr="00942352">
        <w:rPr>
          <w:spacing w:val="-4"/>
        </w:rPr>
        <w:t xml:space="preserve"> </w:t>
      </w:r>
      <w:r w:rsidR="00AA7920" w:rsidRPr="00942352">
        <w:t>totalling</w:t>
      </w:r>
      <w:r w:rsidR="00AA7920" w:rsidRPr="00942352">
        <w:rPr>
          <w:spacing w:val="-6"/>
        </w:rPr>
        <w:t xml:space="preserve"> </w:t>
      </w:r>
      <w:r w:rsidR="00AA7920" w:rsidRPr="00942352">
        <w:t>$197,773.86</w:t>
      </w:r>
      <w:r w:rsidR="00AA7920" w:rsidRPr="00942352">
        <w:rPr>
          <w:spacing w:val="-7"/>
        </w:rPr>
        <w:t xml:space="preserve"> </w:t>
      </w:r>
      <w:r w:rsidR="00AA7920" w:rsidRPr="00942352">
        <w:t>from</w:t>
      </w:r>
      <w:r w:rsidR="00AA7920" w:rsidRPr="00942352">
        <w:rPr>
          <w:spacing w:val="-8"/>
        </w:rPr>
        <w:t xml:space="preserve"> </w:t>
      </w:r>
      <w:r w:rsidR="00AA7920" w:rsidRPr="00942352">
        <w:t>the</w:t>
      </w:r>
      <w:r w:rsidR="00AA7920" w:rsidRPr="00942352">
        <w:rPr>
          <w:spacing w:val="-7"/>
        </w:rPr>
        <w:t xml:space="preserve"> </w:t>
      </w:r>
      <w:r w:rsidR="00AA7920" w:rsidRPr="00942352">
        <w:t>Joint</w:t>
      </w:r>
      <w:r w:rsidR="00AA7920" w:rsidRPr="00942352">
        <w:rPr>
          <w:spacing w:val="-4"/>
        </w:rPr>
        <w:t xml:space="preserve"> </w:t>
      </w:r>
      <w:r w:rsidR="00AA7920" w:rsidRPr="00942352">
        <w:t>Account;</w:t>
      </w:r>
      <w:r w:rsidR="00AA7920" w:rsidRPr="00942352">
        <w:rPr>
          <w:spacing w:val="-4"/>
        </w:rPr>
        <w:t xml:space="preserve"> </w:t>
      </w:r>
      <w:r w:rsidR="00AA7920" w:rsidRPr="00942352">
        <w:rPr>
          <w:spacing w:val="-5"/>
        </w:rPr>
        <w:t>and</w:t>
      </w:r>
    </w:p>
    <w:p w14:paraId="6CA70069" w14:textId="67060684" w:rsidR="00AA7920" w:rsidRPr="00942352" w:rsidRDefault="00155C95" w:rsidP="00155C95">
      <w:pPr>
        <w:pStyle w:val="ListNo1alt"/>
        <w:numPr>
          <w:ilvl w:val="0"/>
          <w:numId w:val="0"/>
        </w:numPr>
        <w:tabs>
          <w:tab w:val="left" w:pos="720"/>
        </w:tabs>
        <w:ind w:left="720" w:hanging="720"/>
      </w:pPr>
      <w:r w:rsidRPr="00942352">
        <w:t>(b)</w:t>
      </w:r>
      <w:r w:rsidRPr="00942352">
        <w:tab/>
      </w:r>
      <w:r w:rsidR="00AA7920" w:rsidRPr="00942352">
        <w:t>$1</w:t>
      </w:r>
      <w:r w:rsidR="006E568C">
        <w:t>.7 million</w:t>
      </w:r>
      <w:r w:rsidR="00AA7920" w:rsidRPr="00942352">
        <w:rPr>
          <w:spacing w:val="-5"/>
        </w:rPr>
        <w:t xml:space="preserve"> </w:t>
      </w:r>
      <w:r w:rsidR="00AA7920" w:rsidRPr="00942352">
        <w:t>borrowed</w:t>
      </w:r>
      <w:r w:rsidR="00AA7920" w:rsidRPr="00942352">
        <w:rPr>
          <w:spacing w:val="-5"/>
        </w:rPr>
        <w:t xml:space="preserve"> </w:t>
      </w:r>
      <w:r w:rsidR="00AA7920" w:rsidRPr="00942352">
        <w:t>from</w:t>
      </w:r>
      <w:r w:rsidR="00AA7920" w:rsidRPr="00942352">
        <w:rPr>
          <w:spacing w:val="-3"/>
        </w:rPr>
        <w:t xml:space="preserve"> </w:t>
      </w:r>
      <w:r w:rsidR="00AA7920" w:rsidRPr="00942352">
        <w:t>the</w:t>
      </w:r>
      <w:r w:rsidR="00AA7920" w:rsidRPr="00942352">
        <w:rPr>
          <w:spacing w:val="-3"/>
        </w:rPr>
        <w:t xml:space="preserve"> </w:t>
      </w:r>
      <w:r w:rsidR="00AA7920" w:rsidRPr="00942352">
        <w:t>Commonwealth</w:t>
      </w:r>
      <w:r w:rsidR="00AA7920" w:rsidRPr="00942352">
        <w:rPr>
          <w:spacing w:val="-5"/>
        </w:rPr>
        <w:t xml:space="preserve"> </w:t>
      </w:r>
      <w:r w:rsidR="00AA7920" w:rsidRPr="00942352">
        <w:t>Bank</w:t>
      </w:r>
      <w:r w:rsidR="00AA7920" w:rsidRPr="00942352">
        <w:rPr>
          <w:spacing w:val="-3"/>
        </w:rPr>
        <w:t xml:space="preserve"> </w:t>
      </w:r>
      <w:r w:rsidR="00AA7920" w:rsidRPr="00942352">
        <w:t>by</w:t>
      </w:r>
      <w:r w:rsidR="00AA7920" w:rsidRPr="00942352">
        <w:rPr>
          <w:spacing w:val="-1"/>
        </w:rPr>
        <w:t xml:space="preserve"> </w:t>
      </w:r>
      <w:r w:rsidR="00AA7920" w:rsidRPr="00942352">
        <w:t>way</w:t>
      </w:r>
      <w:r w:rsidR="00AA7920" w:rsidRPr="00942352">
        <w:rPr>
          <w:spacing w:val="-5"/>
        </w:rPr>
        <w:t xml:space="preserve"> </w:t>
      </w:r>
      <w:r w:rsidR="00AA7920" w:rsidRPr="00942352">
        <w:t>of</w:t>
      </w:r>
      <w:r w:rsidR="00AA7920" w:rsidRPr="00942352">
        <w:rPr>
          <w:spacing w:val="-2"/>
        </w:rPr>
        <w:t xml:space="preserve"> </w:t>
      </w:r>
      <w:r w:rsidR="00AA7920" w:rsidRPr="00942352">
        <w:t>a</w:t>
      </w:r>
      <w:r w:rsidR="00AA7920" w:rsidRPr="00942352">
        <w:rPr>
          <w:spacing w:val="-6"/>
        </w:rPr>
        <w:t xml:space="preserve"> </w:t>
      </w:r>
      <w:r w:rsidR="00AA7920" w:rsidRPr="00942352">
        <w:t>loan</w:t>
      </w:r>
      <w:r w:rsidR="00AA7920" w:rsidRPr="00942352">
        <w:rPr>
          <w:spacing w:val="-3"/>
        </w:rPr>
        <w:t xml:space="preserve"> </w:t>
      </w:r>
      <w:r w:rsidR="00AA7920" w:rsidRPr="00942352">
        <w:t>in respect of which both the bankrupt and the respondent were principal borrowers</w:t>
      </w:r>
      <w:r w:rsidR="00AE6023" w:rsidRPr="00942352">
        <w:t>.</w:t>
      </w:r>
    </w:p>
    <w:p w14:paraId="732B7614" w14:textId="15A4A484" w:rsidR="00D829BE" w:rsidRPr="00942352" w:rsidRDefault="00155C95" w:rsidP="00155C95">
      <w:pPr>
        <w:pStyle w:val="ParaNumbering"/>
        <w:numPr>
          <w:ilvl w:val="0"/>
          <w:numId w:val="0"/>
        </w:numPr>
        <w:ind w:hanging="720"/>
      </w:pPr>
      <w:bookmarkStart w:id="37" w:name="_Ref128647882"/>
      <w:r w:rsidRPr="00942352">
        <w:rPr>
          <w:sz w:val="20"/>
        </w:rPr>
        <w:t>17</w:t>
      </w:r>
      <w:r w:rsidRPr="00942352">
        <w:rPr>
          <w:sz w:val="20"/>
        </w:rPr>
        <w:tab/>
      </w:r>
      <w:r w:rsidR="004B00A9" w:rsidRPr="00942352">
        <w:t>In the period between April and November 2014,</w:t>
      </w:r>
      <w:r w:rsidR="00D829BE" w:rsidRPr="00942352">
        <w:t xml:space="preserve"> $54,916.27</w:t>
      </w:r>
      <w:r w:rsidR="00D829BE" w:rsidRPr="00942352">
        <w:rPr>
          <w:spacing w:val="-5"/>
        </w:rPr>
        <w:t xml:space="preserve"> </w:t>
      </w:r>
      <w:r w:rsidR="00D829BE" w:rsidRPr="00942352">
        <w:t>was</w:t>
      </w:r>
      <w:r w:rsidR="00D829BE" w:rsidRPr="00942352">
        <w:rPr>
          <w:spacing w:val="-3"/>
        </w:rPr>
        <w:t xml:space="preserve"> </w:t>
      </w:r>
      <w:r w:rsidR="00D829BE" w:rsidRPr="00942352">
        <w:t>applied</w:t>
      </w:r>
      <w:r w:rsidR="00D829BE" w:rsidRPr="00942352">
        <w:rPr>
          <w:spacing w:val="-3"/>
        </w:rPr>
        <w:t xml:space="preserve"> </w:t>
      </w:r>
      <w:r w:rsidR="00D829BE" w:rsidRPr="00942352">
        <w:t>in</w:t>
      </w:r>
      <w:r w:rsidR="00D829BE" w:rsidRPr="00942352">
        <w:rPr>
          <w:spacing w:val="-2"/>
        </w:rPr>
        <w:t xml:space="preserve"> </w:t>
      </w:r>
      <w:r w:rsidR="00D829BE" w:rsidRPr="00942352">
        <w:t>payment</w:t>
      </w:r>
      <w:r w:rsidR="00D829BE" w:rsidRPr="00942352">
        <w:rPr>
          <w:spacing w:val="-1"/>
        </w:rPr>
        <w:t xml:space="preserve"> </w:t>
      </w:r>
      <w:r w:rsidR="00D829BE" w:rsidRPr="00942352">
        <w:t>of</w:t>
      </w:r>
      <w:r w:rsidR="00D829BE" w:rsidRPr="00942352">
        <w:rPr>
          <w:spacing w:val="-5"/>
        </w:rPr>
        <w:t xml:space="preserve"> </w:t>
      </w:r>
      <w:r w:rsidR="00D829BE" w:rsidRPr="00942352">
        <w:t>the</w:t>
      </w:r>
      <w:r w:rsidR="00D829BE" w:rsidRPr="00942352">
        <w:rPr>
          <w:spacing w:val="-5"/>
        </w:rPr>
        <w:t xml:space="preserve"> </w:t>
      </w:r>
      <w:r w:rsidR="00D829BE" w:rsidRPr="00942352">
        <w:t>Seaforth</w:t>
      </w:r>
      <w:r w:rsidR="00D829BE" w:rsidRPr="00942352">
        <w:rPr>
          <w:spacing w:val="-2"/>
        </w:rPr>
        <w:t xml:space="preserve"> </w:t>
      </w:r>
      <w:r w:rsidR="0081641F" w:rsidRPr="00942352">
        <w:t>M</w:t>
      </w:r>
      <w:r w:rsidR="00D829BE" w:rsidRPr="00942352">
        <w:t>ortgage</w:t>
      </w:r>
      <w:r w:rsidR="0081641F" w:rsidRPr="00942352">
        <w:t>s</w:t>
      </w:r>
      <w:r w:rsidR="00D829BE" w:rsidRPr="00942352">
        <w:rPr>
          <w:spacing w:val="-4"/>
        </w:rPr>
        <w:t xml:space="preserve"> </w:t>
      </w:r>
      <w:r w:rsidR="00D829BE" w:rsidRPr="00942352">
        <w:t>(</w:t>
      </w:r>
      <w:r w:rsidR="00B01AFD" w:rsidRPr="00942352">
        <w:t xml:space="preserve">which was </w:t>
      </w:r>
      <w:r w:rsidR="00D829BE" w:rsidRPr="00942352">
        <w:t xml:space="preserve">solely </w:t>
      </w:r>
      <w:r w:rsidR="001423BB" w:rsidRPr="00942352">
        <w:t xml:space="preserve">for the </w:t>
      </w:r>
      <w:r w:rsidR="00D829BE" w:rsidRPr="00942352">
        <w:t xml:space="preserve">benefit </w:t>
      </w:r>
      <w:r w:rsidR="001423BB" w:rsidRPr="00942352">
        <w:t xml:space="preserve">of </w:t>
      </w:r>
      <w:r w:rsidR="00D829BE" w:rsidRPr="00942352">
        <w:t>the respondent</w:t>
      </w:r>
      <w:r w:rsidR="00D33419" w:rsidRPr="00942352">
        <w:t xml:space="preserve"> given that property was solely in her name</w:t>
      </w:r>
      <w:r w:rsidR="00D829BE" w:rsidRPr="00942352">
        <w:t>)</w:t>
      </w:r>
      <w:r w:rsidR="006E3AC1" w:rsidRPr="00942352">
        <w:t>.</w:t>
      </w:r>
      <w:bookmarkEnd w:id="37"/>
    </w:p>
    <w:p w14:paraId="062232D2" w14:textId="704F5D67" w:rsidR="00325441" w:rsidRPr="00942352" w:rsidRDefault="00155C95" w:rsidP="00155C95">
      <w:pPr>
        <w:pStyle w:val="ParaNumbering"/>
        <w:numPr>
          <w:ilvl w:val="0"/>
          <w:numId w:val="0"/>
        </w:numPr>
        <w:ind w:hanging="720"/>
      </w:pPr>
      <w:bookmarkStart w:id="38" w:name="_Ref128647890"/>
      <w:r w:rsidRPr="00942352">
        <w:rPr>
          <w:sz w:val="20"/>
        </w:rPr>
        <w:t>18</w:t>
      </w:r>
      <w:r w:rsidRPr="00942352">
        <w:rPr>
          <w:sz w:val="20"/>
        </w:rPr>
        <w:tab/>
      </w:r>
      <w:r w:rsidR="00325441" w:rsidRPr="00942352">
        <w:t>After</w:t>
      </w:r>
      <w:r w:rsidR="00325441" w:rsidRPr="00942352">
        <w:rPr>
          <w:spacing w:val="-3"/>
        </w:rPr>
        <w:t xml:space="preserve"> </w:t>
      </w:r>
      <w:r w:rsidR="0023291D">
        <w:t>the</w:t>
      </w:r>
      <w:r w:rsidR="00325441" w:rsidRPr="00942352">
        <w:rPr>
          <w:spacing w:val="-5"/>
        </w:rPr>
        <w:t xml:space="preserve"> </w:t>
      </w:r>
      <w:r w:rsidR="0023291D">
        <w:t>drawings from</w:t>
      </w:r>
      <w:r w:rsidR="00325441" w:rsidRPr="00942352">
        <w:rPr>
          <w:spacing w:val="-3"/>
        </w:rPr>
        <w:t xml:space="preserve"> </w:t>
      </w:r>
      <w:r w:rsidR="00325441" w:rsidRPr="00942352">
        <w:t>the</w:t>
      </w:r>
      <w:r w:rsidR="00325441" w:rsidRPr="00942352">
        <w:rPr>
          <w:spacing w:val="-4"/>
        </w:rPr>
        <w:t xml:space="preserve"> </w:t>
      </w:r>
      <w:r w:rsidR="00325441" w:rsidRPr="00942352">
        <w:t>Joint</w:t>
      </w:r>
      <w:r w:rsidR="00325441" w:rsidRPr="00942352">
        <w:rPr>
          <w:spacing w:val="-1"/>
        </w:rPr>
        <w:t xml:space="preserve"> </w:t>
      </w:r>
      <w:r w:rsidR="00325441" w:rsidRPr="00942352">
        <w:t>Account</w:t>
      </w:r>
      <w:r w:rsidR="00325441" w:rsidRPr="00942352">
        <w:rPr>
          <w:spacing w:val="-2"/>
        </w:rPr>
        <w:t xml:space="preserve"> </w:t>
      </w:r>
      <w:r w:rsidR="0023291D">
        <w:rPr>
          <w:spacing w:val="-2"/>
        </w:rPr>
        <w:t xml:space="preserve">put towards the heavily mortgaged North Balgowlah property and the Seaforth Mortgages, the Joint Account </w:t>
      </w:r>
      <w:r w:rsidR="00325441" w:rsidRPr="00942352">
        <w:t>was</w:t>
      </w:r>
      <w:r w:rsidR="00325441" w:rsidRPr="00942352">
        <w:rPr>
          <w:spacing w:val="-3"/>
        </w:rPr>
        <w:t xml:space="preserve"> </w:t>
      </w:r>
      <w:r w:rsidR="00325441" w:rsidRPr="00942352">
        <w:t>essentially</w:t>
      </w:r>
      <w:r w:rsidR="00325441" w:rsidRPr="00942352">
        <w:rPr>
          <w:spacing w:val="-3"/>
        </w:rPr>
        <w:t xml:space="preserve"> </w:t>
      </w:r>
      <w:r w:rsidR="00325441" w:rsidRPr="00942352">
        <w:t>exhausted</w:t>
      </w:r>
      <w:r w:rsidR="00325441" w:rsidRPr="00942352">
        <w:rPr>
          <w:spacing w:val="-5"/>
        </w:rPr>
        <w:t xml:space="preserve"> </w:t>
      </w:r>
      <w:r w:rsidR="00325441" w:rsidRPr="00942352">
        <w:t>and</w:t>
      </w:r>
      <w:r w:rsidR="00325441" w:rsidRPr="00942352">
        <w:rPr>
          <w:spacing w:val="-5"/>
        </w:rPr>
        <w:t xml:space="preserve"> </w:t>
      </w:r>
      <w:r w:rsidR="00325441" w:rsidRPr="00942352">
        <w:t>the</w:t>
      </w:r>
      <w:r w:rsidR="00325441" w:rsidRPr="00942352">
        <w:rPr>
          <w:spacing w:val="-4"/>
        </w:rPr>
        <w:t xml:space="preserve"> b</w:t>
      </w:r>
      <w:r w:rsidR="00325441" w:rsidRPr="00942352">
        <w:t>ankrupt</w:t>
      </w:r>
      <w:r w:rsidR="00325441" w:rsidRPr="00942352">
        <w:rPr>
          <w:spacing w:val="-3"/>
        </w:rPr>
        <w:t xml:space="preserve"> </w:t>
      </w:r>
      <w:r w:rsidR="0023291D">
        <w:t>was</w:t>
      </w:r>
      <w:r w:rsidR="00325441" w:rsidRPr="00942352">
        <w:t xml:space="preserve"> denuded of his assets.</w:t>
      </w:r>
      <w:bookmarkStart w:id="39" w:name="_Ref128559958"/>
      <w:bookmarkEnd w:id="38"/>
      <w:r w:rsidR="002D5BC7" w:rsidRPr="00942352">
        <w:t xml:space="preserve"> W</w:t>
      </w:r>
      <w:r w:rsidR="00325441" w:rsidRPr="00942352">
        <w:t>hen the Bendigo Bank further called upon the Bendigo Debt after the conclusion of the class action the bankrupt pleaded poverty and sought time.</w:t>
      </w:r>
      <w:r w:rsidR="00325441" w:rsidRPr="00942352">
        <w:rPr>
          <w:spacing w:val="40"/>
        </w:rPr>
        <w:t xml:space="preserve"> </w:t>
      </w:r>
      <w:r w:rsidR="00D829BE" w:rsidRPr="00942352">
        <w:t>The bankrupt</w:t>
      </w:r>
      <w:r w:rsidR="00325441" w:rsidRPr="00942352">
        <w:rPr>
          <w:spacing w:val="-6"/>
        </w:rPr>
        <w:t xml:space="preserve"> </w:t>
      </w:r>
      <w:r w:rsidR="00325441" w:rsidRPr="00942352">
        <w:t>was</w:t>
      </w:r>
      <w:r w:rsidR="00325441" w:rsidRPr="00942352">
        <w:rPr>
          <w:spacing w:val="-4"/>
        </w:rPr>
        <w:t xml:space="preserve"> </w:t>
      </w:r>
      <w:r w:rsidR="00325441" w:rsidRPr="00942352">
        <w:t>then</w:t>
      </w:r>
      <w:r w:rsidR="00325441" w:rsidRPr="00942352">
        <w:rPr>
          <w:spacing w:val="-3"/>
        </w:rPr>
        <w:t xml:space="preserve"> </w:t>
      </w:r>
      <w:r w:rsidR="00325441" w:rsidRPr="00942352">
        <w:t>ultimately</w:t>
      </w:r>
      <w:r w:rsidR="00325441" w:rsidRPr="00942352">
        <w:rPr>
          <w:spacing w:val="-3"/>
        </w:rPr>
        <w:t xml:space="preserve"> </w:t>
      </w:r>
      <w:r w:rsidR="00325441" w:rsidRPr="00942352">
        <w:t>sued</w:t>
      </w:r>
      <w:r w:rsidR="00325441" w:rsidRPr="00942352">
        <w:rPr>
          <w:spacing w:val="-4"/>
        </w:rPr>
        <w:t xml:space="preserve"> </w:t>
      </w:r>
      <w:r w:rsidR="00325441" w:rsidRPr="00942352">
        <w:t>and,</w:t>
      </w:r>
      <w:r w:rsidR="00325441" w:rsidRPr="00942352">
        <w:rPr>
          <w:spacing w:val="-4"/>
        </w:rPr>
        <w:t xml:space="preserve"> </w:t>
      </w:r>
      <w:r w:rsidR="00325441" w:rsidRPr="00942352">
        <w:t>after</w:t>
      </w:r>
      <w:r w:rsidR="00325441" w:rsidRPr="00942352">
        <w:rPr>
          <w:spacing w:val="-3"/>
        </w:rPr>
        <w:t xml:space="preserve"> </w:t>
      </w:r>
      <w:r w:rsidR="00325441" w:rsidRPr="00942352">
        <w:t>attempting</w:t>
      </w:r>
      <w:r w:rsidR="00325441" w:rsidRPr="00942352">
        <w:rPr>
          <w:spacing w:val="-4"/>
        </w:rPr>
        <w:t xml:space="preserve"> </w:t>
      </w:r>
      <w:r w:rsidR="00325441" w:rsidRPr="00942352">
        <w:t>to</w:t>
      </w:r>
      <w:r w:rsidR="00325441" w:rsidRPr="00942352">
        <w:rPr>
          <w:spacing w:val="-3"/>
        </w:rPr>
        <w:t xml:space="preserve"> </w:t>
      </w:r>
      <w:r w:rsidR="00325441" w:rsidRPr="00942352">
        <w:t>defend</w:t>
      </w:r>
      <w:r w:rsidR="00325441" w:rsidRPr="00942352">
        <w:rPr>
          <w:spacing w:val="-4"/>
        </w:rPr>
        <w:t xml:space="preserve"> </w:t>
      </w:r>
      <w:r w:rsidR="00325441" w:rsidRPr="00942352">
        <w:t>the</w:t>
      </w:r>
      <w:r w:rsidR="00325441" w:rsidRPr="00942352">
        <w:rPr>
          <w:spacing w:val="-4"/>
        </w:rPr>
        <w:t xml:space="preserve"> </w:t>
      </w:r>
      <w:r w:rsidR="00325441" w:rsidRPr="00942352">
        <w:t>proceedings brought against him</w:t>
      </w:r>
      <w:r w:rsidR="00782AD9" w:rsidRPr="00942352">
        <w:t>,</w:t>
      </w:r>
      <w:r w:rsidR="00325441" w:rsidRPr="00942352">
        <w:t xml:space="preserve"> declared bankruptcy on 25 September 2017.</w:t>
      </w:r>
      <w:bookmarkEnd w:id="39"/>
    </w:p>
    <w:p w14:paraId="69045098" w14:textId="77777777" w:rsidR="00325441" w:rsidRPr="00942352" w:rsidRDefault="00325441" w:rsidP="00325441">
      <w:pPr>
        <w:pStyle w:val="Heading2"/>
      </w:pPr>
      <w:bookmarkStart w:id="40" w:name="_Ref126916172"/>
      <w:r w:rsidRPr="00942352">
        <w:t>Factual matters in dispute</w:t>
      </w:r>
      <w:bookmarkEnd w:id="40"/>
    </w:p>
    <w:p w14:paraId="15CF0D50" w14:textId="3683909B" w:rsidR="00325441" w:rsidRPr="00942352" w:rsidRDefault="00155C95" w:rsidP="00155C95">
      <w:pPr>
        <w:pStyle w:val="ParaNumbering"/>
        <w:numPr>
          <w:ilvl w:val="0"/>
          <w:numId w:val="0"/>
        </w:numPr>
        <w:ind w:hanging="720"/>
      </w:pPr>
      <w:r w:rsidRPr="00942352">
        <w:rPr>
          <w:sz w:val="20"/>
        </w:rPr>
        <w:t>19</w:t>
      </w:r>
      <w:r w:rsidRPr="00942352">
        <w:rPr>
          <w:sz w:val="20"/>
        </w:rPr>
        <w:tab/>
      </w:r>
      <w:r w:rsidR="00325441" w:rsidRPr="00942352">
        <w:t xml:space="preserve">The factual dispute </w:t>
      </w:r>
      <w:r w:rsidR="00D455D9" w:rsidRPr="00942352">
        <w:t>concerns</w:t>
      </w:r>
      <w:r w:rsidR="00325441" w:rsidRPr="00942352">
        <w:t xml:space="preserve">, </w:t>
      </w:r>
      <w:r w:rsidR="00325441" w:rsidRPr="00942352">
        <w:rPr>
          <w:i/>
        </w:rPr>
        <w:t>first</w:t>
      </w:r>
      <w:r w:rsidR="00325441" w:rsidRPr="00942352">
        <w:t xml:space="preserve">, the purported beneficial ownership of the Boyce Road and Anzac Parade </w:t>
      </w:r>
      <w:r w:rsidR="00835BBD" w:rsidRPr="00942352">
        <w:t>p</w:t>
      </w:r>
      <w:r w:rsidR="00325441" w:rsidRPr="00942352">
        <w:t xml:space="preserve">roperties, which </w:t>
      </w:r>
      <w:r w:rsidR="00A02E79" w:rsidRPr="00942352">
        <w:t xml:space="preserve">the trustee </w:t>
      </w:r>
      <w:r w:rsidR="00FC01DC" w:rsidRPr="00942352">
        <w:t xml:space="preserve">submits </w:t>
      </w:r>
      <w:r w:rsidR="00A02E79" w:rsidRPr="00942352">
        <w:t>to be</w:t>
      </w:r>
      <w:r w:rsidR="00325441" w:rsidRPr="00942352">
        <w:rPr>
          <w:spacing w:val="-4"/>
        </w:rPr>
        <w:t xml:space="preserve"> </w:t>
      </w:r>
      <w:r w:rsidR="00325441" w:rsidRPr="00942352">
        <w:t>the</w:t>
      </w:r>
      <w:r w:rsidR="00325441" w:rsidRPr="00942352">
        <w:rPr>
          <w:spacing w:val="-2"/>
        </w:rPr>
        <w:t xml:space="preserve"> </w:t>
      </w:r>
      <w:r w:rsidR="00325441" w:rsidRPr="00942352">
        <w:t>source</w:t>
      </w:r>
      <w:r w:rsidR="00325441" w:rsidRPr="00942352">
        <w:rPr>
          <w:spacing w:val="-2"/>
        </w:rPr>
        <w:t xml:space="preserve"> </w:t>
      </w:r>
      <w:r w:rsidR="00325441" w:rsidRPr="00942352">
        <w:t>of</w:t>
      </w:r>
      <w:r w:rsidR="00325441" w:rsidRPr="00942352">
        <w:rPr>
          <w:spacing w:val="-4"/>
        </w:rPr>
        <w:t xml:space="preserve"> </w:t>
      </w:r>
      <w:r w:rsidR="00325441" w:rsidRPr="00942352">
        <w:t>the</w:t>
      </w:r>
      <w:r w:rsidR="00325441" w:rsidRPr="00942352">
        <w:rPr>
          <w:spacing w:val="-4"/>
        </w:rPr>
        <w:t xml:space="preserve"> </w:t>
      </w:r>
      <w:r w:rsidR="00325441" w:rsidRPr="00942352">
        <w:t>funds</w:t>
      </w:r>
      <w:r w:rsidR="00325441" w:rsidRPr="00942352">
        <w:rPr>
          <w:spacing w:val="-4"/>
        </w:rPr>
        <w:t xml:space="preserve"> </w:t>
      </w:r>
      <w:r w:rsidR="00325441" w:rsidRPr="00942352">
        <w:t>used</w:t>
      </w:r>
      <w:r w:rsidR="00325441" w:rsidRPr="00942352">
        <w:rPr>
          <w:spacing w:val="-3"/>
        </w:rPr>
        <w:t xml:space="preserve"> </w:t>
      </w:r>
      <w:r w:rsidR="00325441" w:rsidRPr="00942352">
        <w:t>to</w:t>
      </w:r>
      <w:r w:rsidR="00325441" w:rsidRPr="00942352">
        <w:rPr>
          <w:spacing w:val="-3"/>
        </w:rPr>
        <w:t xml:space="preserve"> </w:t>
      </w:r>
      <w:r w:rsidR="00325441" w:rsidRPr="00942352">
        <w:t>purchase</w:t>
      </w:r>
      <w:r w:rsidR="00325441" w:rsidRPr="00942352">
        <w:rPr>
          <w:spacing w:val="-1"/>
        </w:rPr>
        <w:t xml:space="preserve"> </w:t>
      </w:r>
      <w:r w:rsidR="00325441" w:rsidRPr="00942352">
        <w:t>the</w:t>
      </w:r>
      <w:r w:rsidR="00325441" w:rsidRPr="00942352">
        <w:rPr>
          <w:spacing w:val="-3"/>
        </w:rPr>
        <w:t xml:space="preserve"> </w:t>
      </w:r>
      <w:r w:rsidR="00325441" w:rsidRPr="00942352">
        <w:t xml:space="preserve">North Balgowlah </w:t>
      </w:r>
      <w:r w:rsidR="00835BBD" w:rsidRPr="00942352">
        <w:t>p</w:t>
      </w:r>
      <w:r w:rsidR="00325441" w:rsidRPr="00942352">
        <w:t>roperty.</w:t>
      </w:r>
    </w:p>
    <w:p w14:paraId="433E6A70" w14:textId="6B9B0E61" w:rsidR="00325441" w:rsidRPr="00942352" w:rsidRDefault="00155C95" w:rsidP="00155C95">
      <w:pPr>
        <w:pStyle w:val="ParaNumbering"/>
        <w:numPr>
          <w:ilvl w:val="0"/>
          <w:numId w:val="0"/>
        </w:numPr>
        <w:ind w:hanging="720"/>
      </w:pPr>
      <w:r w:rsidRPr="00942352">
        <w:rPr>
          <w:sz w:val="20"/>
        </w:rPr>
        <w:lastRenderedPageBreak/>
        <w:t>20</w:t>
      </w:r>
      <w:r w:rsidRPr="00942352">
        <w:rPr>
          <w:sz w:val="20"/>
        </w:rPr>
        <w:tab/>
      </w:r>
      <w:r w:rsidR="00325441" w:rsidRPr="00942352">
        <w:t>In this respect, the</w:t>
      </w:r>
      <w:r w:rsidR="00325441" w:rsidRPr="00942352">
        <w:rPr>
          <w:spacing w:val="-1"/>
        </w:rPr>
        <w:t xml:space="preserve"> t</w:t>
      </w:r>
      <w:r w:rsidR="00325441" w:rsidRPr="00942352">
        <w:t>rustee</w:t>
      </w:r>
      <w:r w:rsidR="00325441" w:rsidRPr="00942352">
        <w:rPr>
          <w:spacing w:val="-3"/>
        </w:rPr>
        <w:t xml:space="preserve"> </w:t>
      </w:r>
      <w:r w:rsidR="00325441" w:rsidRPr="00942352">
        <w:t>contends</w:t>
      </w:r>
      <w:r w:rsidR="00325441" w:rsidRPr="00942352">
        <w:rPr>
          <w:spacing w:val="-5"/>
        </w:rPr>
        <w:t xml:space="preserve"> </w:t>
      </w:r>
      <w:r w:rsidR="00325441" w:rsidRPr="00942352">
        <w:t>that</w:t>
      </w:r>
      <w:r w:rsidR="00325441" w:rsidRPr="00942352">
        <w:rPr>
          <w:spacing w:val="-3"/>
        </w:rPr>
        <w:t xml:space="preserve"> </w:t>
      </w:r>
      <w:r w:rsidR="00325441" w:rsidRPr="00942352">
        <w:t>the</w:t>
      </w:r>
      <w:r w:rsidR="00325441" w:rsidRPr="00942352">
        <w:rPr>
          <w:spacing w:val="-3"/>
        </w:rPr>
        <w:t xml:space="preserve"> </w:t>
      </w:r>
      <w:r w:rsidR="00325441" w:rsidRPr="00942352">
        <w:t>Boyce</w:t>
      </w:r>
      <w:r w:rsidR="00325441" w:rsidRPr="00942352">
        <w:rPr>
          <w:spacing w:val="-5"/>
        </w:rPr>
        <w:t xml:space="preserve"> </w:t>
      </w:r>
      <w:r w:rsidR="00325441" w:rsidRPr="00942352">
        <w:t>Road</w:t>
      </w:r>
      <w:r w:rsidR="00325441" w:rsidRPr="00942352">
        <w:rPr>
          <w:spacing w:val="-2"/>
        </w:rPr>
        <w:t xml:space="preserve"> </w:t>
      </w:r>
      <w:r w:rsidR="00325441" w:rsidRPr="00942352">
        <w:t>and</w:t>
      </w:r>
      <w:r w:rsidR="00325441" w:rsidRPr="00942352">
        <w:rPr>
          <w:spacing w:val="-4"/>
        </w:rPr>
        <w:t xml:space="preserve"> </w:t>
      </w:r>
      <w:r w:rsidR="00325441" w:rsidRPr="00942352">
        <w:t>Anzac</w:t>
      </w:r>
      <w:r w:rsidR="00325441" w:rsidRPr="00942352">
        <w:rPr>
          <w:spacing w:val="-3"/>
        </w:rPr>
        <w:t xml:space="preserve"> </w:t>
      </w:r>
      <w:r w:rsidR="00325441" w:rsidRPr="00942352">
        <w:t>Parade</w:t>
      </w:r>
      <w:r w:rsidR="00325441" w:rsidRPr="00942352">
        <w:rPr>
          <w:spacing w:val="-4"/>
        </w:rPr>
        <w:t xml:space="preserve"> </w:t>
      </w:r>
      <w:r w:rsidR="008C2253" w:rsidRPr="00942352">
        <w:t>p</w:t>
      </w:r>
      <w:r w:rsidR="00325441" w:rsidRPr="00942352">
        <w:t>roperties</w:t>
      </w:r>
      <w:r w:rsidR="00325441" w:rsidRPr="00942352">
        <w:rPr>
          <w:spacing w:val="-7"/>
        </w:rPr>
        <w:t xml:space="preserve"> </w:t>
      </w:r>
      <w:r w:rsidR="00325441" w:rsidRPr="00942352">
        <w:t>were beneficially owned in accordance with their legal title (namely by the bankrupt</w:t>
      </w:r>
      <w:r w:rsidR="0023291D">
        <w:t xml:space="preserve"> solely or substantially</w:t>
      </w:r>
      <w:r w:rsidR="00325441" w:rsidRPr="00942352">
        <w:t xml:space="preserve">). </w:t>
      </w:r>
    </w:p>
    <w:p w14:paraId="4C862341" w14:textId="610A84F1" w:rsidR="00325441" w:rsidRPr="00942352" w:rsidRDefault="00155C95" w:rsidP="00155C95">
      <w:pPr>
        <w:pStyle w:val="ParaNumbering"/>
        <w:numPr>
          <w:ilvl w:val="0"/>
          <w:numId w:val="0"/>
        </w:numPr>
        <w:ind w:hanging="720"/>
      </w:pPr>
      <w:r w:rsidRPr="00942352">
        <w:rPr>
          <w:sz w:val="20"/>
        </w:rPr>
        <w:t>21</w:t>
      </w:r>
      <w:r w:rsidRPr="00942352">
        <w:rPr>
          <w:sz w:val="20"/>
        </w:rPr>
        <w:tab/>
      </w:r>
      <w:r w:rsidR="00325441" w:rsidRPr="00942352">
        <w:t xml:space="preserve">The respondent contends that, while the legal title should be accepted as reflecting beneficial title in respect of the </w:t>
      </w:r>
      <w:r w:rsidR="008C2253" w:rsidRPr="00942352">
        <w:t>Seaforth and North Balgowlah p</w:t>
      </w:r>
      <w:r w:rsidR="00325441" w:rsidRPr="00942352">
        <w:t>roperties</w:t>
      </w:r>
      <w:r w:rsidR="00325441" w:rsidRPr="00942352">
        <w:rPr>
          <w:spacing w:val="-4"/>
        </w:rPr>
        <w:t xml:space="preserve"> </w:t>
      </w:r>
      <w:r w:rsidR="00325441" w:rsidRPr="00942352">
        <w:t>(that</w:t>
      </w:r>
      <w:r w:rsidR="00325441" w:rsidRPr="00942352">
        <w:rPr>
          <w:spacing w:val="-4"/>
        </w:rPr>
        <w:t xml:space="preserve"> </w:t>
      </w:r>
      <w:r w:rsidR="00325441" w:rsidRPr="00942352">
        <w:t>is,</w:t>
      </w:r>
      <w:r w:rsidR="00325441" w:rsidRPr="00942352">
        <w:rPr>
          <w:spacing w:val="-1"/>
        </w:rPr>
        <w:t xml:space="preserve"> </w:t>
      </w:r>
      <w:r w:rsidR="00325441" w:rsidRPr="00942352">
        <w:t>the</w:t>
      </w:r>
      <w:r w:rsidR="00325441" w:rsidRPr="00942352">
        <w:rPr>
          <w:spacing w:val="-3"/>
        </w:rPr>
        <w:t xml:space="preserve"> </w:t>
      </w:r>
      <w:r w:rsidR="00325441" w:rsidRPr="00942352">
        <w:t>properties</w:t>
      </w:r>
      <w:r w:rsidR="00325441" w:rsidRPr="00942352">
        <w:rPr>
          <w:spacing w:val="-2"/>
        </w:rPr>
        <w:t xml:space="preserve"> </w:t>
      </w:r>
      <w:r w:rsidR="00325441" w:rsidRPr="00942352">
        <w:t>where</w:t>
      </w:r>
      <w:r w:rsidR="00325441" w:rsidRPr="00942352">
        <w:rPr>
          <w:spacing w:val="-1"/>
        </w:rPr>
        <w:t xml:space="preserve"> </w:t>
      </w:r>
      <w:r w:rsidR="00325441" w:rsidRPr="00942352">
        <w:t>she</w:t>
      </w:r>
      <w:r w:rsidR="00325441" w:rsidRPr="00942352">
        <w:rPr>
          <w:spacing w:val="-3"/>
        </w:rPr>
        <w:t xml:space="preserve"> </w:t>
      </w:r>
      <w:r w:rsidR="00325441" w:rsidRPr="00942352">
        <w:t>was</w:t>
      </w:r>
      <w:r w:rsidR="00F05BFD" w:rsidRPr="00942352">
        <w:t xml:space="preserve"> the</w:t>
      </w:r>
      <w:r w:rsidR="00325441" w:rsidRPr="00942352">
        <w:rPr>
          <w:spacing w:val="-4"/>
        </w:rPr>
        <w:t xml:space="preserve"> </w:t>
      </w:r>
      <w:r w:rsidR="00325441" w:rsidRPr="00942352">
        <w:t>sole</w:t>
      </w:r>
      <w:r w:rsidR="00325441" w:rsidRPr="00942352">
        <w:rPr>
          <w:spacing w:val="-4"/>
        </w:rPr>
        <w:t xml:space="preserve"> </w:t>
      </w:r>
      <w:r w:rsidR="00325441" w:rsidRPr="00942352">
        <w:t>legal</w:t>
      </w:r>
      <w:r w:rsidR="00325441" w:rsidRPr="00942352">
        <w:rPr>
          <w:spacing w:val="-2"/>
        </w:rPr>
        <w:t xml:space="preserve"> </w:t>
      </w:r>
      <w:r w:rsidR="00325441" w:rsidRPr="00942352">
        <w:t>owner),</w:t>
      </w:r>
      <w:r w:rsidR="00325441" w:rsidRPr="00942352">
        <w:rPr>
          <w:spacing w:val="-4"/>
        </w:rPr>
        <w:t xml:space="preserve"> </w:t>
      </w:r>
      <w:r w:rsidR="00325441" w:rsidRPr="00942352">
        <w:t>the</w:t>
      </w:r>
      <w:r w:rsidR="00325441" w:rsidRPr="00942352">
        <w:rPr>
          <w:spacing w:val="-2"/>
        </w:rPr>
        <w:t xml:space="preserve"> </w:t>
      </w:r>
      <w:r w:rsidR="00325441" w:rsidRPr="00942352">
        <w:t>legal</w:t>
      </w:r>
      <w:r w:rsidR="00325441" w:rsidRPr="00942352">
        <w:rPr>
          <w:spacing w:val="-2"/>
        </w:rPr>
        <w:t xml:space="preserve"> </w:t>
      </w:r>
      <w:r w:rsidR="00325441" w:rsidRPr="00942352">
        <w:t>titles should be disregarded in respect of t</w:t>
      </w:r>
      <w:r w:rsidR="008C2253" w:rsidRPr="00942352">
        <w:t>he Boyce Road and Anzac Parade p</w:t>
      </w:r>
      <w:r w:rsidR="00325441" w:rsidRPr="00942352">
        <w:t>roperties</w:t>
      </w:r>
      <w:r w:rsidR="00325441" w:rsidRPr="00942352">
        <w:rPr>
          <w:spacing w:val="-5"/>
        </w:rPr>
        <w:t xml:space="preserve"> </w:t>
      </w:r>
      <w:r w:rsidR="00325441" w:rsidRPr="00942352">
        <w:t>where</w:t>
      </w:r>
      <w:r w:rsidR="00325441" w:rsidRPr="00942352">
        <w:rPr>
          <w:spacing w:val="-4"/>
        </w:rPr>
        <w:t xml:space="preserve"> </w:t>
      </w:r>
      <w:r w:rsidR="00325441" w:rsidRPr="00942352">
        <w:t>the</w:t>
      </w:r>
      <w:r w:rsidR="00325441" w:rsidRPr="00942352">
        <w:rPr>
          <w:spacing w:val="-4"/>
        </w:rPr>
        <w:t xml:space="preserve"> b</w:t>
      </w:r>
      <w:r w:rsidR="00325441" w:rsidRPr="00942352">
        <w:t>ankrupt</w:t>
      </w:r>
      <w:r w:rsidR="00325441" w:rsidRPr="00942352">
        <w:rPr>
          <w:spacing w:val="-5"/>
        </w:rPr>
        <w:t xml:space="preserve"> </w:t>
      </w:r>
      <w:r w:rsidR="00325441" w:rsidRPr="00942352">
        <w:t>was</w:t>
      </w:r>
      <w:r w:rsidR="00325441" w:rsidRPr="00942352">
        <w:rPr>
          <w:spacing w:val="-5"/>
        </w:rPr>
        <w:t xml:space="preserve"> </w:t>
      </w:r>
      <w:r w:rsidR="00325441" w:rsidRPr="00942352">
        <w:t>the</w:t>
      </w:r>
      <w:r w:rsidR="00325441" w:rsidRPr="00942352">
        <w:rPr>
          <w:spacing w:val="-1"/>
        </w:rPr>
        <w:t xml:space="preserve"> </w:t>
      </w:r>
      <w:r w:rsidR="00325441" w:rsidRPr="00942352">
        <w:t>sole</w:t>
      </w:r>
      <w:r w:rsidR="00325441" w:rsidRPr="00942352">
        <w:rPr>
          <w:spacing w:val="-5"/>
        </w:rPr>
        <w:t xml:space="preserve"> </w:t>
      </w:r>
      <w:r w:rsidR="00325441" w:rsidRPr="00942352">
        <w:t>or</w:t>
      </w:r>
      <w:r w:rsidR="00325441" w:rsidRPr="00942352">
        <w:rPr>
          <w:spacing w:val="-3"/>
        </w:rPr>
        <w:t xml:space="preserve"> </w:t>
      </w:r>
      <w:r w:rsidR="00325441" w:rsidRPr="00942352">
        <w:t>predominant</w:t>
      </w:r>
      <w:r w:rsidR="00325441" w:rsidRPr="00942352">
        <w:rPr>
          <w:spacing w:val="-1"/>
        </w:rPr>
        <w:t xml:space="preserve"> </w:t>
      </w:r>
      <w:r w:rsidR="00325441" w:rsidRPr="00942352">
        <w:t>owner,</w:t>
      </w:r>
      <w:r w:rsidR="00325441" w:rsidRPr="00942352">
        <w:rPr>
          <w:spacing w:val="-2"/>
        </w:rPr>
        <w:t xml:space="preserve"> </w:t>
      </w:r>
      <w:r w:rsidR="00325441" w:rsidRPr="00942352">
        <w:t>such</w:t>
      </w:r>
      <w:r w:rsidR="00325441" w:rsidRPr="00942352">
        <w:rPr>
          <w:spacing w:val="-4"/>
        </w:rPr>
        <w:t xml:space="preserve"> </w:t>
      </w:r>
      <w:r w:rsidR="00325441" w:rsidRPr="00942352">
        <w:t>that they should instead be viewed as beneficially owned by both her and the bankrupt equally.</w:t>
      </w:r>
    </w:p>
    <w:p w14:paraId="510342EA" w14:textId="66B24B95" w:rsidR="00325441" w:rsidRPr="00942352" w:rsidRDefault="00155C95" w:rsidP="00155C95">
      <w:pPr>
        <w:pStyle w:val="ParaNumbering"/>
        <w:numPr>
          <w:ilvl w:val="0"/>
          <w:numId w:val="0"/>
        </w:numPr>
        <w:ind w:hanging="720"/>
      </w:pPr>
      <w:r w:rsidRPr="00942352">
        <w:rPr>
          <w:sz w:val="20"/>
        </w:rPr>
        <w:t>22</w:t>
      </w:r>
      <w:r w:rsidRPr="00942352">
        <w:rPr>
          <w:sz w:val="20"/>
        </w:rPr>
        <w:tab/>
      </w:r>
      <w:r w:rsidR="00325441" w:rsidRPr="00942352">
        <w:t xml:space="preserve">The </w:t>
      </w:r>
      <w:r w:rsidR="00DE2E1B" w:rsidRPr="00942352">
        <w:t>trustee</w:t>
      </w:r>
      <w:r w:rsidR="00325441" w:rsidRPr="00942352">
        <w:t xml:space="preserve"> contends that the</w:t>
      </w:r>
      <w:r w:rsidR="00325441" w:rsidRPr="00942352">
        <w:rPr>
          <w:spacing w:val="-4"/>
        </w:rPr>
        <w:t xml:space="preserve"> </w:t>
      </w:r>
      <w:r w:rsidR="00325441" w:rsidRPr="00942352">
        <w:t>respondent’s</w:t>
      </w:r>
      <w:r w:rsidR="00325441" w:rsidRPr="00942352">
        <w:rPr>
          <w:spacing w:val="-2"/>
        </w:rPr>
        <w:t xml:space="preserve"> </w:t>
      </w:r>
      <w:r w:rsidR="00325441" w:rsidRPr="00942352">
        <w:t>position</w:t>
      </w:r>
      <w:r w:rsidR="00325441" w:rsidRPr="00942352">
        <w:rPr>
          <w:spacing w:val="-4"/>
        </w:rPr>
        <w:t xml:space="preserve"> </w:t>
      </w:r>
      <w:r w:rsidR="00325441" w:rsidRPr="00942352">
        <w:t>should</w:t>
      </w:r>
      <w:r w:rsidR="00325441" w:rsidRPr="00942352">
        <w:rPr>
          <w:spacing w:val="-4"/>
        </w:rPr>
        <w:t xml:space="preserve"> </w:t>
      </w:r>
      <w:r w:rsidR="00325441" w:rsidRPr="00942352">
        <w:t>not be</w:t>
      </w:r>
      <w:r w:rsidR="00325441" w:rsidRPr="00942352">
        <w:rPr>
          <w:spacing w:val="-3"/>
        </w:rPr>
        <w:t xml:space="preserve"> </w:t>
      </w:r>
      <w:r w:rsidR="00325441" w:rsidRPr="00942352">
        <w:t>accepted,</w:t>
      </w:r>
      <w:r w:rsidR="00325441" w:rsidRPr="00942352">
        <w:rPr>
          <w:spacing w:val="-2"/>
        </w:rPr>
        <w:t xml:space="preserve"> </w:t>
      </w:r>
      <w:r w:rsidR="00325441" w:rsidRPr="00942352">
        <w:t>but even</w:t>
      </w:r>
      <w:r w:rsidR="00325441" w:rsidRPr="00942352">
        <w:rPr>
          <w:spacing w:val="-3"/>
        </w:rPr>
        <w:t xml:space="preserve"> </w:t>
      </w:r>
      <w:r w:rsidR="00325441" w:rsidRPr="00942352">
        <w:t>if</w:t>
      </w:r>
      <w:r w:rsidR="00325441" w:rsidRPr="00942352">
        <w:rPr>
          <w:spacing w:val="-2"/>
        </w:rPr>
        <w:t xml:space="preserve"> </w:t>
      </w:r>
      <w:r w:rsidR="00325441" w:rsidRPr="00942352">
        <w:t xml:space="preserve">it is accepted it does not change the conclusion that the bulk of the cash contributed to the purchase of the North Balgowlah </w:t>
      </w:r>
      <w:r w:rsidR="008C2253" w:rsidRPr="00942352">
        <w:t>p</w:t>
      </w:r>
      <w:r w:rsidR="00325441" w:rsidRPr="00942352">
        <w:t>roperty came from the bankrupt.</w:t>
      </w:r>
    </w:p>
    <w:p w14:paraId="7AC04B8A" w14:textId="37CDA150" w:rsidR="00985F5D" w:rsidRPr="00942352" w:rsidRDefault="00155C95" w:rsidP="00155C95">
      <w:pPr>
        <w:pStyle w:val="ParaNumbering"/>
        <w:numPr>
          <w:ilvl w:val="0"/>
          <w:numId w:val="0"/>
        </w:numPr>
        <w:ind w:hanging="720"/>
      </w:pPr>
      <w:r w:rsidRPr="00942352">
        <w:rPr>
          <w:sz w:val="20"/>
        </w:rPr>
        <w:t>23</w:t>
      </w:r>
      <w:r w:rsidRPr="00942352">
        <w:rPr>
          <w:sz w:val="20"/>
        </w:rPr>
        <w:tab/>
      </w:r>
      <w:r w:rsidR="00985F5D" w:rsidRPr="00942352">
        <w:t>The factual dispute thereafter concerns the intention of the bankrupt as to the reason(s) for the sale of t</w:t>
      </w:r>
      <w:r w:rsidR="00CE76B6" w:rsidRPr="00942352">
        <w:t>he Boyce Road and Anzac Parade p</w:t>
      </w:r>
      <w:r w:rsidR="00985F5D" w:rsidRPr="00942352">
        <w:t>roperties</w:t>
      </w:r>
      <w:r w:rsidR="00303A38" w:rsidRPr="00942352">
        <w:t xml:space="preserve"> and their intention regarding ownership of the North Balgowlah </w:t>
      </w:r>
      <w:r w:rsidR="00CE76B6" w:rsidRPr="00942352">
        <w:t>p</w:t>
      </w:r>
      <w:r w:rsidR="00303A38" w:rsidRPr="00942352">
        <w:t xml:space="preserve">roperty. </w:t>
      </w:r>
    </w:p>
    <w:p w14:paraId="356C507F" w14:textId="566C56C7" w:rsidR="00AB1304" w:rsidRPr="00942352" w:rsidRDefault="00AB1304" w:rsidP="00A04153">
      <w:pPr>
        <w:pStyle w:val="Heading2"/>
      </w:pPr>
      <w:bookmarkStart w:id="41" w:name="_Ref126916174"/>
      <w:r w:rsidRPr="00942352">
        <w:t>The evidence</w:t>
      </w:r>
      <w:bookmarkEnd w:id="41"/>
    </w:p>
    <w:p w14:paraId="6A63DD85" w14:textId="36B779EF" w:rsidR="00AB1304" w:rsidRPr="00942352" w:rsidRDefault="00155C95" w:rsidP="00155C95">
      <w:pPr>
        <w:pStyle w:val="ParaNumbering"/>
        <w:numPr>
          <w:ilvl w:val="0"/>
          <w:numId w:val="0"/>
        </w:numPr>
        <w:ind w:hanging="720"/>
      </w:pPr>
      <w:r w:rsidRPr="00942352">
        <w:rPr>
          <w:sz w:val="20"/>
        </w:rPr>
        <w:t>24</w:t>
      </w:r>
      <w:r w:rsidRPr="00942352">
        <w:rPr>
          <w:sz w:val="20"/>
        </w:rPr>
        <w:tab/>
      </w:r>
      <w:r w:rsidR="00AB1304" w:rsidRPr="00942352">
        <w:t>A series of affidavits have been filed in the proceeding which are listed as follows:</w:t>
      </w:r>
    </w:p>
    <w:p w14:paraId="70B47660" w14:textId="420E3942" w:rsidR="002F6B75" w:rsidRPr="00942352" w:rsidRDefault="00155C95" w:rsidP="00155C95">
      <w:pPr>
        <w:pStyle w:val="ListNo1alt"/>
        <w:numPr>
          <w:ilvl w:val="0"/>
          <w:numId w:val="0"/>
        </w:numPr>
        <w:tabs>
          <w:tab w:val="left" w:pos="720"/>
        </w:tabs>
        <w:ind w:left="720" w:hanging="720"/>
      </w:pPr>
      <w:r w:rsidRPr="00942352">
        <w:t>(a)</w:t>
      </w:r>
      <w:r w:rsidRPr="00942352">
        <w:tab/>
      </w:r>
      <w:r w:rsidR="00B74B91" w:rsidRPr="00942352">
        <w:t>Mr Kite, the trustee, made on 17</w:t>
      </w:r>
      <w:r w:rsidR="00AB1304" w:rsidRPr="00942352">
        <w:t xml:space="preserve"> December 2021;</w:t>
      </w:r>
    </w:p>
    <w:p w14:paraId="5BCF2829" w14:textId="1726AED7" w:rsidR="002F6B75" w:rsidRPr="00942352" w:rsidRDefault="00155C95" w:rsidP="00155C95">
      <w:pPr>
        <w:pStyle w:val="ListNo1alt"/>
        <w:numPr>
          <w:ilvl w:val="0"/>
          <w:numId w:val="0"/>
        </w:numPr>
        <w:tabs>
          <w:tab w:val="left" w:pos="720"/>
        </w:tabs>
        <w:ind w:left="720" w:hanging="720"/>
      </w:pPr>
      <w:r w:rsidRPr="00942352">
        <w:t>(b)</w:t>
      </w:r>
      <w:r w:rsidRPr="00942352">
        <w:tab/>
      </w:r>
      <w:r w:rsidR="00AB1304" w:rsidRPr="00942352">
        <w:t xml:space="preserve">Mrs Murray, the respondent, made on 6 April 2022; and </w:t>
      </w:r>
    </w:p>
    <w:p w14:paraId="571E9C64" w14:textId="5358F7C9" w:rsidR="00AB1304" w:rsidRPr="00942352" w:rsidRDefault="00155C95" w:rsidP="00155C95">
      <w:pPr>
        <w:pStyle w:val="ListNo1alt"/>
        <w:numPr>
          <w:ilvl w:val="0"/>
          <w:numId w:val="0"/>
        </w:numPr>
        <w:tabs>
          <w:tab w:val="left" w:pos="720"/>
        </w:tabs>
        <w:ind w:left="720" w:hanging="720"/>
      </w:pPr>
      <w:r w:rsidRPr="00942352">
        <w:t>(c)</w:t>
      </w:r>
      <w:r w:rsidRPr="00942352">
        <w:tab/>
      </w:r>
      <w:r w:rsidR="00AB1304" w:rsidRPr="00942352">
        <w:t>Mr Murray, the bankrupt, made on 6 April 2022.</w:t>
      </w:r>
    </w:p>
    <w:p w14:paraId="4C628E28" w14:textId="234619D0" w:rsidR="00AB1304" w:rsidRPr="00942352" w:rsidRDefault="00155C95" w:rsidP="00155C95">
      <w:pPr>
        <w:pStyle w:val="ParaNumbering"/>
        <w:numPr>
          <w:ilvl w:val="0"/>
          <w:numId w:val="0"/>
        </w:numPr>
        <w:ind w:hanging="720"/>
      </w:pPr>
      <w:r w:rsidRPr="00942352">
        <w:rPr>
          <w:sz w:val="20"/>
        </w:rPr>
        <w:t>25</w:t>
      </w:r>
      <w:r w:rsidRPr="00942352">
        <w:rPr>
          <w:sz w:val="20"/>
        </w:rPr>
        <w:tab/>
      </w:r>
      <w:r w:rsidR="00AB1304" w:rsidRPr="00942352">
        <w:t xml:space="preserve">Each of the witnesses were cross-examined. </w:t>
      </w:r>
    </w:p>
    <w:p w14:paraId="7BF46899" w14:textId="28D6C220" w:rsidR="00AB1304" w:rsidRPr="00942352" w:rsidRDefault="00155C95" w:rsidP="00155C95">
      <w:pPr>
        <w:pStyle w:val="ParaNumbering"/>
        <w:numPr>
          <w:ilvl w:val="0"/>
          <w:numId w:val="0"/>
        </w:numPr>
        <w:ind w:hanging="720"/>
      </w:pPr>
      <w:bookmarkStart w:id="42" w:name="_Ref128647968"/>
      <w:r w:rsidRPr="00942352">
        <w:rPr>
          <w:sz w:val="20"/>
        </w:rPr>
        <w:t>26</w:t>
      </w:r>
      <w:r w:rsidRPr="00942352">
        <w:rPr>
          <w:sz w:val="20"/>
        </w:rPr>
        <w:tab/>
      </w:r>
      <w:r w:rsidR="00AB1304" w:rsidRPr="00942352">
        <w:t xml:space="preserve">With respect to Mr Kite, it was my observation that he answered the questions asked of him truthfully. The apparent purpose of his cross-examination was to reveal certain limitations in his evidence. </w:t>
      </w:r>
      <w:r w:rsidR="00AB1304" w:rsidRPr="00942352">
        <w:rPr>
          <w:i/>
        </w:rPr>
        <w:t>First,</w:t>
      </w:r>
      <w:r w:rsidR="00AB1304" w:rsidRPr="00942352">
        <w:t xml:space="preserve"> as to the absence of evidence and assumption made by him as to when </w:t>
      </w:r>
      <w:r w:rsidR="00633F55" w:rsidRPr="00942352">
        <w:t>the bankrupt knew</w:t>
      </w:r>
      <w:r w:rsidR="00AB1304" w:rsidRPr="00942352">
        <w:t xml:space="preserve"> </w:t>
      </w:r>
      <w:r w:rsidR="00AB1304" w:rsidRPr="00942352">
        <w:rPr>
          <w:i/>
        </w:rPr>
        <w:t>when</w:t>
      </w:r>
      <w:r w:rsidR="00AB1304" w:rsidRPr="00942352">
        <w:t xml:space="preserve"> the </w:t>
      </w:r>
      <w:r w:rsidR="009B2095" w:rsidRPr="00942352">
        <w:t>Supreme Court of Victoria</w:t>
      </w:r>
      <w:r w:rsidR="009F7981" w:rsidRPr="00942352">
        <w:t xml:space="preserve"> </w:t>
      </w:r>
      <w:r w:rsidR="00AB1304" w:rsidRPr="00942352">
        <w:t>would deliver its judgment in the class action. Mr Kite conceded, contrary to his evidence</w:t>
      </w:r>
      <w:r w:rsidR="000B0BF0">
        <w:t>,</w:t>
      </w:r>
      <w:r w:rsidR="00AB1304" w:rsidRPr="00942352">
        <w:t xml:space="preserve"> that there was no evidence of the trial judge indicating “at the time” that the proceedings concluded on 24 October 2013 that judgement would be delivered on 25 July 2014. Rather, according to the judgment</w:t>
      </w:r>
      <w:r w:rsidR="000B0BF0">
        <w:t xml:space="preserve"> of Judd J (in relation to applications made by the class action group members under </w:t>
      </w:r>
      <w:proofErr w:type="spellStart"/>
      <w:r w:rsidR="000B0BF0">
        <w:t>ss</w:t>
      </w:r>
      <w:proofErr w:type="spellEnd"/>
      <w:r w:rsidR="000B0BF0">
        <w:t xml:space="preserve"> 33KA and 33ZF of the </w:t>
      </w:r>
      <w:r w:rsidR="000B0BF0" w:rsidRPr="000B0BF0">
        <w:rPr>
          <w:i/>
        </w:rPr>
        <w:t>Supreme Court Act 1986</w:t>
      </w:r>
      <w:r w:rsidR="000B0BF0" w:rsidRPr="000B0BF0">
        <w:t xml:space="preserve"> (Vic)</w:t>
      </w:r>
      <w:r w:rsidR="000B0BF0">
        <w:t xml:space="preserve">: see </w:t>
      </w:r>
      <w:r w:rsidR="000B0BF0" w:rsidRPr="000B0BF0">
        <w:rPr>
          <w:i/>
        </w:rPr>
        <w:t xml:space="preserve">Clarke v Great Southern Finance Pty Ltd (in liquidation) </w:t>
      </w:r>
      <w:r w:rsidR="000B0BF0" w:rsidRPr="000B0BF0">
        <w:t>[2014] VSC 569</w:t>
      </w:r>
      <w:r w:rsidR="000B0BF0">
        <w:t xml:space="preserve"> </w:t>
      </w:r>
      <w:r w:rsidR="000B0BF0" w:rsidRPr="00942352">
        <w:t>at [3]</w:t>
      </w:r>
      <w:r w:rsidR="000B0BF0">
        <w:t xml:space="preserve">) </w:t>
      </w:r>
      <w:r w:rsidR="00AB1304" w:rsidRPr="00942352">
        <w:t xml:space="preserve">Croft J notified the parties </w:t>
      </w:r>
      <w:r w:rsidR="00576C9F" w:rsidRPr="00942352">
        <w:t>“shortly before 25 July 2014” of his</w:t>
      </w:r>
      <w:r w:rsidR="00D02B27">
        <w:t xml:space="preserve"> </w:t>
      </w:r>
      <w:r w:rsidR="00D02B27">
        <w:lastRenderedPageBreak/>
        <w:t>Honour’s</w:t>
      </w:r>
      <w:r w:rsidR="00576C9F" w:rsidRPr="00942352">
        <w:t xml:space="preserve"> intention </w:t>
      </w:r>
      <w:r w:rsidR="00AB1304" w:rsidRPr="00942352">
        <w:t>to deliver judgment</w:t>
      </w:r>
      <w:r w:rsidR="000106AE" w:rsidRPr="00942352">
        <w:t xml:space="preserve"> on that day</w:t>
      </w:r>
      <w:r w:rsidR="00AB1304" w:rsidRPr="00942352">
        <w:t xml:space="preserve">. </w:t>
      </w:r>
      <w:r w:rsidR="00AB1304" w:rsidRPr="000B0BF0">
        <w:rPr>
          <w:i/>
        </w:rPr>
        <w:t xml:space="preserve">Secondly, </w:t>
      </w:r>
      <w:r w:rsidR="00AB1304" w:rsidRPr="00942352">
        <w:t xml:space="preserve">Mr Kite accepted that he had not: (a) </w:t>
      </w:r>
      <w:r w:rsidR="00C63396" w:rsidRPr="00942352">
        <w:t xml:space="preserve">undertaken a detailed analysis of the other accounts identified by </w:t>
      </w:r>
      <w:r w:rsidR="007527C3">
        <w:t>him</w:t>
      </w:r>
      <w:r w:rsidR="00C63396" w:rsidRPr="00942352">
        <w:t xml:space="preserve"> as being held by the respondent and the bankrupt</w:t>
      </w:r>
      <w:r w:rsidR="00AB1304" w:rsidRPr="00942352">
        <w:t xml:space="preserve">; (b) taken into account the fact that in April </w:t>
      </w:r>
      <w:r w:rsidR="00CE493C" w:rsidRPr="00942352">
        <w:t>2016</w:t>
      </w:r>
      <w:r w:rsidR="00AB1304" w:rsidRPr="00942352">
        <w:t xml:space="preserve">, the proceeds of the sale of the Seaforth </w:t>
      </w:r>
      <w:r w:rsidR="00AC3253" w:rsidRPr="00942352">
        <w:t>property</w:t>
      </w:r>
      <w:r w:rsidR="00AB1304" w:rsidRPr="00942352">
        <w:t xml:space="preserve"> were</w:t>
      </w:r>
      <w:r w:rsidR="00AE5D09" w:rsidRPr="00942352">
        <w:t xml:space="preserve"> used to repay the </w:t>
      </w:r>
      <w:r w:rsidR="0081641F" w:rsidRPr="00942352">
        <w:t>Seaforth Mortgages</w:t>
      </w:r>
      <w:r w:rsidR="00AE5D09" w:rsidRPr="00942352">
        <w:t xml:space="preserve"> and reduce the mortgages over </w:t>
      </w:r>
      <w:r w:rsidR="00FF2F8E" w:rsidRPr="00942352">
        <w:t xml:space="preserve">the </w:t>
      </w:r>
      <w:r w:rsidR="00AE5D09" w:rsidRPr="00942352">
        <w:t xml:space="preserve">North Balgowlah </w:t>
      </w:r>
      <w:r w:rsidR="00540A26" w:rsidRPr="00942352">
        <w:t>p</w:t>
      </w:r>
      <w:r w:rsidR="00AE5D09" w:rsidRPr="00942352">
        <w:t xml:space="preserve">roperty; </w:t>
      </w:r>
      <w:r w:rsidR="00AB1304" w:rsidRPr="00942352">
        <w:t>and (c) did not factor into his analysis the contributions made by Ms Dew.</w:t>
      </w:r>
      <w:bookmarkEnd w:id="42"/>
      <w:r w:rsidR="00AB1304" w:rsidRPr="00942352">
        <w:t xml:space="preserve"> </w:t>
      </w:r>
    </w:p>
    <w:p w14:paraId="6A5DAE24" w14:textId="7FEFAD42" w:rsidR="00AB1304" w:rsidRPr="00942352" w:rsidRDefault="00155C95" w:rsidP="00155C95">
      <w:pPr>
        <w:pStyle w:val="ParaNumbering"/>
        <w:numPr>
          <w:ilvl w:val="0"/>
          <w:numId w:val="0"/>
        </w:numPr>
        <w:ind w:hanging="720"/>
      </w:pPr>
      <w:r w:rsidRPr="00942352">
        <w:rPr>
          <w:sz w:val="20"/>
        </w:rPr>
        <w:t>27</w:t>
      </w:r>
      <w:r w:rsidRPr="00942352">
        <w:rPr>
          <w:sz w:val="20"/>
        </w:rPr>
        <w:tab/>
      </w:r>
      <w:r w:rsidR="00AB1304" w:rsidRPr="00942352">
        <w:t xml:space="preserve">The respondent gave evidence. Her cross-examination was relatively brief. Her responses were curt and largely without explanation. The respondent is tertiary educated, </w:t>
      </w:r>
      <w:r w:rsidR="00AE5D09" w:rsidRPr="00942352">
        <w:t xml:space="preserve">holding a Bachelor of Human Movement Studies, a Graduate Diploma of Education, a Graduate Certificate in Religious Education and a </w:t>
      </w:r>
      <w:proofErr w:type="spellStart"/>
      <w:r w:rsidR="00AE5D09" w:rsidRPr="00942352">
        <w:t>Masters</w:t>
      </w:r>
      <w:proofErr w:type="spellEnd"/>
      <w:r w:rsidR="00AE5D09" w:rsidRPr="00942352">
        <w:t xml:space="preserve"> in Education in Career Development</w:t>
      </w:r>
      <w:r w:rsidR="00AB1304" w:rsidRPr="00942352">
        <w:t>. It was apparent that she had had involvement in and made ma</w:t>
      </w:r>
      <w:r w:rsidR="00D829BE" w:rsidRPr="00942352">
        <w:t>n</w:t>
      </w:r>
      <w:r w:rsidR="00AB1304" w:rsidRPr="00942352">
        <w:t xml:space="preserve">y decisions as to how </w:t>
      </w:r>
      <w:proofErr w:type="gramStart"/>
      <w:r w:rsidR="00D829BE" w:rsidRPr="00942352">
        <w:t>her</w:t>
      </w:r>
      <w:proofErr w:type="gramEnd"/>
      <w:r w:rsidR="00D829BE" w:rsidRPr="00942352">
        <w:t xml:space="preserve"> and the bankrupt’s</w:t>
      </w:r>
      <w:r w:rsidR="00AB1304" w:rsidRPr="00942352">
        <w:t xml:space="preserve"> assets were held and their affairs structured. Indeed, it was the bankrupt</w:t>
      </w:r>
      <w:r w:rsidR="00CD76EF" w:rsidRPr="00942352">
        <w:t>’s evidence that the respondent</w:t>
      </w:r>
      <w:r w:rsidR="00AB1304" w:rsidRPr="00942352">
        <w:t xml:space="preserve"> </w:t>
      </w:r>
      <w:r w:rsidR="00AE5D09" w:rsidRPr="00942352">
        <w:t xml:space="preserve">would have, </w:t>
      </w:r>
      <w:r w:rsidR="00AB1304" w:rsidRPr="00942352">
        <w:t xml:space="preserve">on her own, </w:t>
      </w:r>
      <w:r w:rsidR="00D829BE" w:rsidRPr="00942352">
        <w:t>given</w:t>
      </w:r>
      <w:r w:rsidR="00AB1304" w:rsidRPr="00942352">
        <w:t xml:space="preserve"> instructions to their solicitors when purchasing one of the properties. </w:t>
      </w:r>
    </w:p>
    <w:p w14:paraId="2EDCE096" w14:textId="3D3045B9" w:rsidR="007D14A3" w:rsidRPr="00942352" w:rsidRDefault="00155C95" w:rsidP="00155C95">
      <w:pPr>
        <w:pStyle w:val="ParaNumbering"/>
        <w:numPr>
          <w:ilvl w:val="0"/>
          <w:numId w:val="0"/>
        </w:numPr>
        <w:ind w:hanging="720"/>
      </w:pPr>
      <w:r w:rsidRPr="00942352">
        <w:rPr>
          <w:sz w:val="20"/>
        </w:rPr>
        <w:t>28</w:t>
      </w:r>
      <w:r w:rsidRPr="00942352">
        <w:rPr>
          <w:sz w:val="20"/>
        </w:rPr>
        <w:tab/>
      </w:r>
      <w:r w:rsidR="007D14A3" w:rsidRPr="00942352">
        <w:t>I note that the trustee’s case does not depend upon an acceptance or rejection of the respondent’s evidence.</w:t>
      </w:r>
      <w:bookmarkStart w:id="43" w:name="_Ref127780729"/>
      <w:r w:rsidR="001272AF" w:rsidRPr="00942352">
        <w:t xml:space="preserve"> The t</w:t>
      </w:r>
      <w:r w:rsidR="007D14A3" w:rsidRPr="00942352">
        <w:t xml:space="preserve">rustee does not challenge her honesty but does submit that the Court should not “unreservedly accept” the respondent’s evidence as to long-ago events, and should look to the contemporary materials, objectively established facts, apparent logic of events and the </w:t>
      </w:r>
      <w:r w:rsidR="007D14A3" w:rsidRPr="00247297">
        <w:t>respondent’s</w:t>
      </w:r>
      <w:r w:rsidR="007D14A3" w:rsidRPr="00942352">
        <w:t xml:space="preserve"> past </w:t>
      </w:r>
      <w:r w:rsidR="007D14A3" w:rsidRPr="00247297">
        <w:t>examination</w:t>
      </w:r>
      <w:r w:rsidR="007D14A3" w:rsidRPr="00942352">
        <w:t xml:space="preserve"> </w:t>
      </w:r>
      <w:r w:rsidR="00D02B27">
        <w:t xml:space="preserve">before the </w:t>
      </w:r>
      <w:r w:rsidR="00D02B27" w:rsidRPr="00942352">
        <w:t>Australian Financial Security Authority (</w:t>
      </w:r>
      <w:r w:rsidR="00D02B27" w:rsidRPr="00942352">
        <w:rPr>
          <w:b/>
        </w:rPr>
        <w:t>AFSA</w:t>
      </w:r>
      <w:r w:rsidR="00D02B27" w:rsidRPr="00942352">
        <w:t>)</w:t>
      </w:r>
      <w:r w:rsidR="00D02B27">
        <w:t xml:space="preserve"> </w:t>
      </w:r>
      <w:r w:rsidR="007D14A3" w:rsidRPr="00942352">
        <w:t>to best ascertain the truth. I am of the view that this is an appropriate approach to her evidence.</w:t>
      </w:r>
      <w:bookmarkEnd w:id="43"/>
      <w:r w:rsidR="007D14A3" w:rsidRPr="00942352">
        <w:t xml:space="preserve"> </w:t>
      </w:r>
    </w:p>
    <w:p w14:paraId="3A4D8078" w14:textId="71C73C0E" w:rsidR="008A0F28" w:rsidRPr="00942352" w:rsidRDefault="00155C95" w:rsidP="00155C95">
      <w:pPr>
        <w:pStyle w:val="ParaNumbering"/>
        <w:numPr>
          <w:ilvl w:val="0"/>
          <w:numId w:val="0"/>
        </w:numPr>
        <w:ind w:hanging="720"/>
      </w:pPr>
      <w:bookmarkStart w:id="44" w:name="_Ref128661990"/>
      <w:r w:rsidRPr="00942352">
        <w:rPr>
          <w:sz w:val="20"/>
        </w:rPr>
        <w:t>29</w:t>
      </w:r>
      <w:r w:rsidRPr="00942352">
        <w:rPr>
          <w:sz w:val="20"/>
        </w:rPr>
        <w:tab/>
      </w:r>
      <w:r w:rsidR="00AB1304" w:rsidRPr="00942352">
        <w:t>The bankrupt gave evidence and was cross-examined</w:t>
      </w:r>
      <w:r w:rsidR="00D829BE" w:rsidRPr="00942352">
        <w:t xml:space="preserve"> more extensively. </w:t>
      </w:r>
      <w:r w:rsidR="00AB1304" w:rsidRPr="00942352">
        <w:t xml:space="preserve">The bankrupt’s responses were often difficult to understand, </w:t>
      </w:r>
      <w:r w:rsidR="00960809" w:rsidRPr="00942352">
        <w:t xml:space="preserve">to </w:t>
      </w:r>
      <w:r w:rsidR="00AB1304" w:rsidRPr="00942352">
        <w:t xml:space="preserve">reconcile with the evidence and </w:t>
      </w:r>
      <w:r w:rsidR="000908EC" w:rsidRPr="00942352">
        <w:t>in</w:t>
      </w:r>
      <w:r w:rsidR="00AB1304" w:rsidRPr="00942352">
        <w:t xml:space="preserve">consistent with other responses in his testimony. It appeared </w:t>
      </w:r>
      <w:r w:rsidR="005D2CAF" w:rsidRPr="00942352">
        <w:t xml:space="preserve">from my observation of the bankrupt during his evidence </w:t>
      </w:r>
      <w:r w:rsidR="00AB1304" w:rsidRPr="00942352">
        <w:t xml:space="preserve">that the bankrupt wanted to ensure that to the extent that his wife may have deposed to conversations (different from his recollection) he did not want to contradict her but at the same time he sought to confuse the evidence and to not make any concession which he considered would assist the trustee’s case. It appeared implausible that a person who had conducted his own business for many years, held the position of a company director and </w:t>
      </w:r>
      <w:r w:rsidR="000908EC" w:rsidRPr="00942352">
        <w:t xml:space="preserve">employed </w:t>
      </w:r>
      <w:r w:rsidR="007527C3">
        <w:t>22</w:t>
      </w:r>
      <w:r w:rsidR="000908EC" w:rsidRPr="00942352">
        <w:t xml:space="preserve"> staff, would have such a limited recall as to his investment decisions and the structuring of his</w:t>
      </w:r>
      <w:r w:rsidR="00247297">
        <w:t xml:space="preserve"> uncomplicated</w:t>
      </w:r>
      <w:r w:rsidR="000908EC" w:rsidRPr="00942352">
        <w:t xml:space="preserve"> affairs.</w:t>
      </w:r>
      <w:bookmarkEnd w:id="44"/>
      <w:r w:rsidR="000908EC" w:rsidRPr="00942352">
        <w:t xml:space="preserve"> </w:t>
      </w:r>
    </w:p>
    <w:p w14:paraId="0CDDCC07" w14:textId="154777AF" w:rsidR="00F87A4C" w:rsidRPr="00942352" w:rsidRDefault="00155C95" w:rsidP="00155C95">
      <w:pPr>
        <w:pStyle w:val="ParaNumbering"/>
        <w:numPr>
          <w:ilvl w:val="0"/>
          <w:numId w:val="0"/>
        </w:numPr>
        <w:ind w:hanging="720"/>
      </w:pPr>
      <w:r w:rsidRPr="00942352">
        <w:rPr>
          <w:sz w:val="20"/>
        </w:rPr>
        <w:lastRenderedPageBreak/>
        <w:t>30</w:t>
      </w:r>
      <w:r w:rsidRPr="00942352">
        <w:rPr>
          <w:sz w:val="20"/>
        </w:rPr>
        <w:tab/>
      </w:r>
      <w:r w:rsidR="00F87A4C" w:rsidRPr="00942352">
        <w:t xml:space="preserve">In making findings regarding the bankrupt’s intention regarding the purchase and sale of the Boyce Road and Anzac Parade properties and his intention regarding the use of </w:t>
      </w:r>
      <w:r w:rsidR="00D829BE" w:rsidRPr="00942352">
        <w:t xml:space="preserve">the </w:t>
      </w:r>
      <w:r w:rsidR="00F87A4C" w:rsidRPr="00942352">
        <w:t xml:space="preserve">proceeds of their sale and purchase of the North Balgowlah property, much turns upon his credit. I have, in this respect, formed a view adverse to his credit. I will, therefore, before setting out my findings as to the facts relevant to the present proceedings set out the discrepancies in the bankrupt’s evidence. It will explain why I formed this view in addition to my observations of his demeanour in the witness box. </w:t>
      </w:r>
    </w:p>
    <w:p w14:paraId="4500D38F" w14:textId="28EC88C3" w:rsidR="00F87A4C" w:rsidRPr="00942352" w:rsidRDefault="00155C95" w:rsidP="00155C95">
      <w:pPr>
        <w:pStyle w:val="ParaNumbering"/>
        <w:numPr>
          <w:ilvl w:val="0"/>
          <w:numId w:val="0"/>
        </w:numPr>
        <w:ind w:hanging="720"/>
      </w:pPr>
      <w:r w:rsidRPr="00942352">
        <w:rPr>
          <w:sz w:val="20"/>
        </w:rPr>
        <w:t>31</w:t>
      </w:r>
      <w:r w:rsidRPr="00942352">
        <w:rPr>
          <w:sz w:val="20"/>
        </w:rPr>
        <w:tab/>
      </w:r>
      <w:r w:rsidR="00ED7E2C" w:rsidRPr="00942352">
        <w:t xml:space="preserve">Only one affidavit sworn by the bankrupt was filed in the respondent’s case. </w:t>
      </w:r>
      <w:r w:rsidR="00F87A4C" w:rsidRPr="00942352">
        <w:t xml:space="preserve">However, the bankrupt had been examined by the </w:t>
      </w:r>
      <w:r w:rsidR="00D02B27">
        <w:t>AFSA</w:t>
      </w:r>
      <w:r w:rsidR="00F87A4C" w:rsidRPr="00942352">
        <w:t>, almost a year before, on 5 May 2021 (</w:t>
      </w:r>
      <w:r w:rsidR="00F87A4C" w:rsidRPr="00960E38">
        <w:t>the</w:t>
      </w:r>
      <w:r w:rsidR="00F87A4C" w:rsidRPr="00942352">
        <w:rPr>
          <w:b/>
        </w:rPr>
        <w:t xml:space="preserve"> examination</w:t>
      </w:r>
      <w:r w:rsidR="00F87A4C" w:rsidRPr="00942352">
        <w:t>)</w:t>
      </w:r>
      <w:r w:rsidR="009E4B1B" w:rsidRPr="00942352">
        <w:t xml:space="preserve"> pursuant to a s 77C notice for which he was required to answer all questions truthfully and not avoid any questions: s 267G of the Bankruptcy Act</w:t>
      </w:r>
      <w:r w:rsidR="00F87A4C" w:rsidRPr="00942352">
        <w:t xml:space="preserve">. </w:t>
      </w:r>
    </w:p>
    <w:p w14:paraId="55FE160A" w14:textId="79A42356" w:rsidR="009E4B1B" w:rsidRPr="00942352" w:rsidRDefault="00155C95" w:rsidP="00155C95">
      <w:pPr>
        <w:pStyle w:val="ParaNumbering"/>
        <w:numPr>
          <w:ilvl w:val="0"/>
          <w:numId w:val="0"/>
        </w:numPr>
        <w:ind w:hanging="720"/>
      </w:pPr>
      <w:r w:rsidRPr="00942352">
        <w:rPr>
          <w:sz w:val="20"/>
        </w:rPr>
        <w:t>32</w:t>
      </w:r>
      <w:r w:rsidRPr="00942352">
        <w:rPr>
          <w:sz w:val="20"/>
        </w:rPr>
        <w:tab/>
      </w:r>
      <w:r w:rsidR="009E4B1B" w:rsidRPr="00942352">
        <w:t>A consideration of the bankrupt’s answers to the questions under examination, his affidavit evidence and his oral evidence revealed the following.</w:t>
      </w:r>
    </w:p>
    <w:p w14:paraId="3F19996E" w14:textId="48EE50F2" w:rsidR="009E4B1B" w:rsidRPr="00942352" w:rsidRDefault="00155C95" w:rsidP="00155C95">
      <w:pPr>
        <w:pStyle w:val="ParaNumbering"/>
        <w:numPr>
          <w:ilvl w:val="0"/>
          <w:numId w:val="0"/>
        </w:numPr>
        <w:ind w:hanging="720"/>
      </w:pPr>
      <w:r w:rsidRPr="00942352">
        <w:rPr>
          <w:sz w:val="20"/>
        </w:rPr>
        <w:t>33</w:t>
      </w:r>
      <w:r w:rsidRPr="00942352">
        <w:rPr>
          <w:sz w:val="20"/>
        </w:rPr>
        <w:tab/>
      </w:r>
      <w:r w:rsidR="009E4B1B" w:rsidRPr="00942352">
        <w:t xml:space="preserve">Curiously, the bankrupt </w:t>
      </w:r>
      <w:r w:rsidR="004A1F92" w:rsidRPr="00942352">
        <w:t>deposed in his affidavit</w:t>
      </w:r>
      <w:r w:rsidR="009E4B1B" w:rsidRPr="00942352">
        <w:t xml:space="preserve"> to having </w:t>
      </w:r>
      <w:r w:rsidR="00274805" w:rsidRPr="00942352">
        <w:t xml:space="preserve">a </w:t>
      </w:r>
      <w:r w:rsidR="009E4B1B" w:rsidRPr="00942352">
        <w:t>recollection of a number of conversations many years ago, which he claimed a year earlier under</w:t>
      </w:r>
      <w:r w:rsidR="00686178" w:rsidRPr="00942352">
        <w:t xml:space="preserve"> the </w:t>
      </w:r>
      <w:r w:rsidR="009E4B1B" w:rsidRPr="00942352">
        <w:t>examination</w:t>
      </w:r>
      <w:r w:rsidR="009D3F97" w:rsidRPr="00942352">
        <w:t>, he had no recollection of. For example:</w:t>
      </w:r>
      <w:r w:rsidR="009E4B1B" w:rsidRPr="00942352">
        <w:t xml:space="preserve"> </w:t>
      </w:r>
    </w:p>
    <w:p w14:paraId="6712510F" w14:textId="5D6A0FD5" w:rsidR="009E4B1B" w:rsidRPr="00942352" w:rsidRDefault="00155C95" w:rsidP="00155C95">
      <w:pPr>
        <w:pStyle w:val="ListNo1alt"/>
        <w:numPr>
          <w:ilvl w:val="0"/>
          <w:numId w:val="0"/>
        </w:numPr>
        <w:tabs>
          <w:tab w:val="left" w:pos="720"/>
        </w:tabs>
        <w:ind w:left="720" w:hanging="720"/>
      </w:pPr>
      <w:r w:rsidRPr="00942352">
        <w:t>(a)</w:t>
      </w:r>
      <w:r w:rsidRPr="00942352">
        <w:tab/>
      </w:r>
      <w:r w:rsidR="009E4B1B" w:rsidRPr="00942352">
        <w:t>The bankrupt stated under examination that he could not remember any specific discussions about the ownership of the Fairlight property, yet at [14] of his affidavit claims to recall conversations with the respondent discussing that the Fairlight property was to be</w:t>
      </w:r>
      <w:r w:rsidR="00D829BE" w:rsidRPr="00942352">
        <w:t xml:space="preserve"> solely owned by</w:t>
      </w:r>
      <w:r w:rsidR="009E4B1B" w:rsidRPr="00942352">
        <w:t xml:space="preserve"> the respondent. </w:t>
      </w:r>
    </w:p>
    <w:p w14:paraId="44BC88FC" w14:textId="15FB1BE6" w:rsidR="009E4B1B" w:rsidRPr="00942352" w:rsidRDefault="00155C95" w:rsidP="00155C95">
      <w:pPr>
        <w:pStyle w:val="ListNo1alt"/>
        <w:numPr>
          <w:ilvl w:val="0"/>
          <w:numId w:val="0"/>
        </w:numPr>
        <w:tabs>
          <w:tab w:val="left" w:pos="720"/>
        </w:tabs>
        <w:ind w:left="720" w:hanging="720"/>
      </w:pPr>
      <w:r w:rsidRPr="00942352">
        <w:t>(b)</w:t>
      </w:r>
      <w:r w:rsidRPr="00942352">
        <w:tab/>
      </w:r>
      <w:r w:rsidR="009E4B1B" w:rsidRPr="00942352">
        <w:t xml:space="preserve">The bankrupt claimed, under examination, that he could not remember anything about the mistake on the contract for the North Balgowlah property, including any specific conversation about changing the names on the contract </w:t>
      </w:r>
      <w:r w:rsidR="008F6F25" w:rsidRPr="00942352">
        <w:t>yet at [51]–</w:t>
      </w:r>
      <w:r w:rsidR="009E4B1B" w:rsidRPr="00942352">
        <w:t>[52] of his affidavit the bankrupt says he recalls the mistake on the contract and having a conversation</w:t>
      </w:r>
      <w:r w:rsidR="00D829BE" w:rsidRPr="00942352">
        <w:t xml:space="preserve"> with the respondent</w:t>
      </w:r>
      <w:r w:rsidR="009E4B1B" w:rsidRPr="00942352">
        <w:t xml:space="preserve"> about making sure it was changed and instructing his solicitor to change it. </w:t>
      </w:r>
    </w:p>
    <w:p w14:paraId="5D3267B6" w14:textId="24612E0E" w:rsidR="00A90B65" w:rsidRPr="00942352" w:rsidRDefault="00155C95" w:rsidP="00155C95">
      <w:pPr>
        <w:pStyle w:val="ParaNumbering"/>
        <w:numPr>
          <w:ilvl w:val="0"/>
          <w:numId w:val="0"/>
        </w:numPr>
        <w:ind w:hanging="720"/>
      </w:pPr>
      <w:bookmarkStart w:id="45" w:name="_Ref127787988"/>
      <w:r w:rsidRPr="00942352">
        <w:rPr>
          <w:sz w:val="20"/>
        </w:rPr>
        <w:t>34</w:t>
      </w:r>
      <w:r w:rsidRPr="00942352">
        <w:rPr>
          <w:sz w:val="20"/>
        </w:rPr>
        <w:tab/>
      </w:r>
      <w:r w:rsidR="00A90B65" w:rsidRPr="00942352">
        <w:t xml:space="preserve">Similarly, under examination, the bankrupt was unable to recall a number of important matters but now deposes to </w:t>
      </w:r>
      <w:proofErr w:type="gramStart"/>
      <w:r w:rsidR="00A90B65" w:rsidRPr="00942352">
        <w:t>having</w:t>
      </w:r>
      <w:proofErr w:type="gramEnd"/>
      <w:r w:rsidR="00A90B65" w:rsidRPr="00942352">
        <w:t xml:space="preserve"> such a recall. For example, t</w:t>
      </w:r>
      <w:r w:rsidR="009E4B1B" w:rsidRPr="00942352">
        <w:t>he bankrupt was unable to recall</w:t>
      </w:r>
      <w:r w:rsidR="00A90B65" w:rsidRPr="00942352">
        <w:t>, during the examination,</w:t>
      </w:r>
      <w:r w:rsidR="009E4B1B" w:rsidRPr="00942352">
        <w:t xml:space="preserve"> why the legal title to the Boyce Road property was in his sole name and the Anzac Parade property split 99:1 between him and the respondent, or any conversations to that effect. </w:t>
      </w:r>
      <w:r w:rsidR="00A90B65" w:rsidRPr="00942352">
        <w:t>The bankrupt</w:t>
      </w:r>
      <w:r w:rsidR="009E4B1B" w:rsidRPr="00942352">
        <w:t xml:space="preserve"> also stated that the legal title may have been done this way “for an </w:t>
      </w:r>
      <w:r w:rsidR="009E4B1B" w:rsidRPr="00942352">
        <w:lastRenderedPageBreak/>
        <w:t>accounting reason” but was not sure what that reason might have been, only that he would have had advice from lawyers or accountants but could not reca</w:t>
      </w:r>
      <w:r w:rsidR="00960E38">
        <w:t>ll any meetings in that regard</w:t>
      </w:r>
      <w:r w:rsidR="009E4B1B" w:rsidRPr="00942352">
        <w:t>.</w:t>
      </w:r>
      <w:bookmarkEnd w:id="45"/>
      <w:r w:rsidR="009E4B1B" w:rsidRPr="00942352">
        <w:t xml:space="preserve"> </w:t>
      </w:r>
    </w:p>
    <w:p w14:paraId="221B830B" w14:textId="37315382" w:rsidR="009E4B1B" w:rsidRPr="00942352" w:rsidRDefault="00155C95" w:rsidP="00155C95">
      <w:pPr>
        <w:pStyle w:val="ParaNumbering"/>
        <w:numPr>
          <w:ilvl w:val="0"/>
          <w:numId w:val="0"/>
        </w:numPr>
        <w:ind w:hanging="720"/>
      </w:pPr>
      <w:bookmarkStart w:id="46" w:name="_Ref127787995"/>
      <w:r w:rsidRPr="00942352">
        <w:rPr>
          <w:sz w:val="20"/>
        </w:rPr>
        <w:t>35</w:t>
      </w:r>
      <w:r w:rsidRPr="00942352">
        <w:rPr>
          <w:sz w:val="20"/>
        </w:rPr>
        <w:tab/>
      </w:r>
      <w:r w:rsidR="00A90B65" w:rsidRPr="00942352">
        <w:t xml:space="preserve">The bankrupt then deposed in </w:t>
      </w:r>
      <w:r w:rsidR="009E4B1B" w:rsidRPr="00942352">
        <w:t>his affidavit</w:t>
      </w:r>
      <w:r w:rsidR="00A90B65" w:rsidRPr="00942352">
        <w:t>, a year after the examination, that he recalled</w:t>
      </w:r>
      <w:r w:rsidR="009E4B1B" w:rsidRPr="00942352">
        <w:t xml:space="preserve"> seeking his accountant’s advice for the best taxation benefits available from the investment properties, that a </w:t>
      </w:r>
      <w:r w:rsidR="00A90B65" w:rsidRPr="00942352">
        <w:t>“</w:t>
      </w:r>
      <w:r w:rsidR="009E4B1B" w:rsidRPr="00942352">
        <w:t>financial advisor</w:t>
      </w:r>
      <w:r w:rsidR="00A90B65" w:rsidRPr="00942352">
        <w:t>”</w:t>
      </w:r>
      <w:r w:rsidR="009E4B1B" w:rsidRPr="00942352">
        <w:t xml:space="preserve"> had suggested he buy an investment property and that he and the respondent had discussed owning them together. The bankrupt conceded in cross-examination that he only remembered the gist of these conversations and identified that the “financial advisor” referred to was</w:t>
      </w:r>
      <w:r w:rsidR="00062D6C" w:rsidRPr="00942352">
        <w:t xml:space="preserve"> probably</w:t>
      </w:r>
      <w:r w:rsidR="009E4B1B" w:rsidRPr="00942352">
        <w:t xml:space="preserve"> a finance broker by the name of Gerard Hanson </w:t>
      </w:r>
      <w:r w:rsidR="00624021" w:rsidRPr="00942352">
        <w:t>who had advised him, along with another person from</w:t>
      </w:r>
      <w:r w:rsidR="009E4B1B" w:rsidRPr="00942352">
        <w:t xml:space="preserve"> Bright Wealth</w:t>
      </w:r>
      <w:r w:rsidR="00D975FC" w:rsidRPr="00942352">
        <w:t>, in relation to the Scheme</w:t>
      </w:r>
      <w:r w:rsidR="00533B8C">
        <w:t xml:space="preserve"> </w:t>
      </w:r>
      <w:r w:rsidR="009E4B1B" w:rsidRPr="00942352">
        <w:t>– a fact he could not recall at the examination.</w:t>
      </w:r>
      <w:bookmarkEnd w:id="46"/>
      <w:r w:rsidR="009E4B1B" w:rsidRPr="00942352">
        <w:t xml:space="preserve"> </w:t>
      </w:r>
    </w:p>
    <w:p w14:paraId="611222BB" w14:textId="697900C2" w:rsidR="00A90B65" w:rsidRPr="00942352" w:rsidRDefault="00155C95" w:rsidP="00155C95">
      <w:pPr>
        <w:pStyle w:val="ParaNumbering"/>
        <w:numPr>
          <w:ilvl w:val="0"/>
          <w:numId w:val="0"/>
        </w:numPr>
        <w:ind w:hanging="720"/>
      </w:pPr>
      <w:bookmarkStart w:id="47" w:name="_Ref127888087"/>
      <w:r w:rsidRPr="00942352">
        <w:rPr>
          <w:sz w:val="20"/>
        </w:rPr>
        <w:t>36</w:t>
      </w:r>
      <w:r w:rsidRPr="00942352">
        <w:rPr>
          <w:sz w:val="20"/>
        </w:rPr>
        <w:tab/>
      </w:r>
      <w:r w:rsidR="00D829BE" w:rsidRPr="00942352">
        <w:t xml:space="preserve">There were </w:t>
      </w:r>
      <w:r w:rsidR="00A90B65" w:rsidRPr="00942352">
        <w:t xml:space="preserve">further inconsistences as between the </w:t>
      </w:r>
      <w:r w:rsidR="008F1A09" w:rsidRPr="00942352">
        <w:t>bankrupt’s</w:t>
      </w:r>
      <w:r w:rsidR="00A90B65" w:rsidRPr="00942352">
        <w:t xml:space="preserve"> affidavit evidence, the examination and the evidence he gave under cross-examination as to the purported reason for the bankrupt divesting the only substantial assets in his name in 2014, namely the Boyce Road and Anzac Parade properties.</w:t>
      </w:r>
      <w:bookmarkEnd w:id="47"/>
      <w:r w:rsidR="00A90B65" w:rsidRPr="00942352">
        <w:t xml:space="preserve"> </w:t>
      </w:r>
    </w:p>
    <w:p w14:paraId="147EF259" w14:textId="51B4A66E" w:rsidR="009E4B1B" w:rsidRPr="00942352" w:rsidRDefault="00155C95" w:rsidP="00155C95">
      <w:pPr>
        <w:pStyle w:val="ParaNumbering"/>
        <w:numPr>
          <w:ilvl w:val="0"/>
          <w:numId w:val="0"/>
        </w:numPr>
        <w:ind w:hanging="720"/>
      </w:pPr>
      <w:bookmarkStart w:id="48" w:name="_Ref128563006"/>
      <w:r w:rsidRPr="00942352">
        <w:rPr>
          <w:sz w:val="20"/>
        </w:rPr>
        <w:t>37</w:t>
      </w:r>
      <w:r w:rsidRPr="00942352">
        <w:rPr>
          <w:sz w:val="20"/>
        </w:rPr>
        <w:tab/>
      </w:r>
      <w:r w:rsidR="00A90B65" w:rsidRPr="00942352">
        <w:t xml:space="preserve">The </w:t>
      </w:r>
      <w:r w:rsidR="009E4B1B" w:rsidRPr="00942352">
        <w:t>bankrupt</w:t>
      </w:r>
      <w:r w:rsidR="00A90B65" w:rsidRPr="00942352">
        <w:t xml:space="preserve"> deposed in his </w:t>
      </w:r>
      <w:r w:rsidR="009E4B1B" w:rsidRPr="00942352">
        <w:t xml:space="preserve">affidavit </w:t>
      </w:r>
      <w:r w:rsidR="00A90B65" w:rsidRPr="00942352">
        <w:t>that he sold</w:t>
      </w:r>
      <w:r w:rsidR="009E4B1B" w:rsidRPr="00942352">
        <w:t xml:space="preserve"> the Boyce Road and Anzac Parade properties</w:t>
      </w:r>
      <w:r w:rsidR="00A90B65" w:rsidRPr="00942352">
        <w:t xml:space="preserve"> for the following four reasons</w:t>
      </w:r>
      <w:r w:rsidR="009E4B1B" w:rsidRPr="00942352">
        <w:t>:</w:t>
      </w:r>
      <w:bookmarkEnd w:id="48"/>
      <w:r w:rsidR="009E4B1B" w:rsidRPr="00942352">
        <w:t xml:space="preserve"> </w:t>
      </w:r>
    </w:p>
    <w:p w14:paraId="65240065" w14:textId="4A02EBFD" w:rsidR="009E4B1B" w:rsidRPr="00942352" w:rsidRDefault="009E4B1B" w:rsidP="004A5066">
      <w:pPr>
        <w:pStyle w:val="Quote1Bullet"/>
      </w:pPr>
      <w:r w:rsidRPr="00942352">
        <w:t xml:space="preserve">Payment for one of </w:t>
      </w:r>
      <w:r w:rsidR="00533B8C">
        <w:t>[his]</w:t>
      </w:r>
      <w:r w:rsidRPr="00942352">
        <w:t xml:space="preserve"> daughter’s wedding</w:t>
      </w:r>
    </w:p>
    <w:p w14:paraId="31300825" w14:textId="0F39211D" w:rsidR="009E4B1B" w:rsidRPr="00942352" w:rsidRDefault="009E4B1B" w:rsidP="004A5066">
      <w:pPr>
        <w:pStyle w:val="Quote1Bullet"/>
      </w:pPr>
      <w:r w:rsidRPr="00942352">
        <w:t>Payment of the O’Donnell settlement</w:t>
      </w:r>
    </w:p>
    <w:p w14:paraId="1AB54B09" w14:textId="2DDC1BF1" w:rsidR="009E4B1B" w:rsidRPr="00942352" w:rsidRDefault="009E4B1B" w:rsidP="004A5066">
      <w:pPr>
        <w:pStyle w:val="Quote1Bullet"/>
      </w:pPr>
      <w:r w:rsidRPr="00942352">
        <w:t xml:space="preserve">Payment of an overseas trip for </w:t>
      </w:r>
      <w:r w:rsidR="00533B8C">
        <w:t>[Ms Dew]</w:t>
      </w:r>
    </w:p>
    <w:p w14:paraId="380C58B5" w14:textId="4A018332" w:rsidR="009E4B1B" w:rsidRPr="00942352" w:rsidRDefault="009E4B1B" w:rsidP="004A5066">
      <w:pPr>
        <w:pStyle w:val="Quote1Bullet"/>
      </w:pPr>
      <w:r w:rsidRPr="00942352">
        <w:t>Payment of school fees.</w:t>
      </w:r>
    </w:p>
    <w:p w14:paraId="4CB3F9AF" w14:textId="5AF3269F" w:rsidR="009E4B1B" w:rsidRPr="00942352" w:rsidRDefault="00155C95" w:rsidP="00155C95">
      <w:pPr>
        <w:pStyle w:val="ParaNumbering"/>
        <w:numPr>
          <w:ilvl w:val="0"/>
          <w:numId w:val="0"/>
        </w:numPr>
        <w:ind w:hanging="720"/>
      </w:pPr>
      <w:bookmarkStart w:id="49" w:name="_Ref127888124"/>
      <w:r w:rsidRPr="00942352">
        <w:rPr>
          <w:sz w:val="20"/>
        </w:rPr>
        <w:t>38</w:t>
      </w:r>
      <w:r w:rsidRPr="00942352">
        <w:rPr>
          <w:sz w:val="20"/>
        </w:rPr>
        <w:tab/>
      </w:r>
      <w:r w:rsidR="009E4B1B" w:rsidRPr="00942352">
        <w:t xml:space="preserve">Yet, </w:t>
      </w:r>
      <w:r w:rsidR="005001AA" w:rsidRPr="00942352">
        <w:t xml:space="preserve">the previous year when under </w:t>
      </w:r>
      <w:r w:rsidR="009E4B1B" w:rsidRPr="00942352">
        <w:t>examination, the bankrupt</w:t>
      </w:r>
      <w:r w:rsidR="005001AA" w:rsidRPr="00942352">
        <w:t xml:space="preserve"> had given two reasons for the sales only</w:t>
      </w:r>
      <w:r w:rsidR="00FF55D7">
        <w:t>,</w:t>
      </w:r>
      <w:r w:rsidR="005001AA" w:rsidRPr="00942352">
        <w:t xml:space="preserve"> namely </w:t>
      </w:r>
      <w:r w:rsidR="009E4B1B" w:rsidRPr="00942352">
        <w:t>to pay Mr O’Donnell</w:t>
      </w:r>
      <w:r w:rsidR="005001AA" w:rsidRPr="00942352">
        <w:t xml:space="preserve"> and </w:t>
      </w:r>
      <w:r w:rsidR="009E4B1B" w:rsidRPr="00942352">
        <w:t>to fund</w:t>
      </w:r>
      <w:r w:rsidR="005001AA" w:rsidRPr="00942352">
        <w:t xml:space="preserve"> </w:t>
      </w:r>
      <w:r w:rsidR="009E4B1B" w:rsidRPr="00942352">
        <w:t>renovation</w:t>
      </w:r>
      <w:r w:rsidR="005001AA" w:rsidRPr="00942352">
        <w:t>s</w:t>
      </w:r>
      <w:r w:rsidR="009E4B1B" w:rsidRPr="00942352">
        <w:t xml:space="preserve"> of </w:t>
      </w:r>
      <w:r w:rsidR="005001AA" w:rsidRPr="00942352">
        <w:t xml:space="preserve">the </w:t>
      </w:r>
      <w:r w:rsidR="009E4B1B" w:rsidRPr="00942352">
        <w:t xml:space="preserve">Seaforth </w:t>
      </w:r>
      <w:r w:rsidR="005001AA" w:rsidRPr="00942352">
        <w:t>property</w:t>
      </w:r>
      <w:bookmarkEnd w:id="49"/>
      <w:r w:rsidR="00FF55D7">
        <w:t>.</w:t>
      </w:r>
    </w:p>
    <w:p w14:paraId="1D3EA1A2" w14:textId="321140E4" w:rsidR="005001AA" w:rsidRPr="00942352" w:rsidRDefault="00155C95" w:rsidP="00155C95">
      <w:pPr>
        <w:pStyle w:val="ParaNumbering"/>
        <w:numPr>
          <w:ilvl w:val="0"/>
          <w:numId w:val="0"/>
        </w:numPr>
        <w:ind w:hanging="720"/>
      </w:pPr>
      <w:r w:rsidRPr="00942352">
        <w:rPr>
          <w:sz w:val="20"/>
        </w:rPr>
        <w:t>39</w:t>
      </w:r>
      <w:r w:rsidRPr="00942352">
        <w:rPr>
          <w:sz w:val="20"/>
        </w:rPr>
        <w:tab/>
      </w:r>
      <w:r w:rsidR="002E5E86" w:rsidRPr="00942352">
        <w:t>Perhaps what was the most significant, was the bankrupt’s oral testimony under cross-examination regarding the circumstances leading to his business’</w:t>
      </w:r>
      <w:r w:rsidR="00D75F5B" w:rsidRPr="00942352">
        <w:t xml:space="preserve"> decline and the extent of the acuteness of </w:t>
      </w:r>
      <w:r w:rsidR="00D829BE" w:rsidRPr="00942352">
        <w:t>his</w:t>
      </w:r>
      <w:r w:rsidR="00D75F5B" w:rsidRPr="00942352">
        <w:t xml:space="preserve"> financial stress in 2014. It was my strong impression that the bankrupt was attempting to obfuscate from the obvious. As will be seen at </w:t>
      </w:r>
      <w:r w:rsidR="00960809" w:rsidRPr="00942352">
        <w:t>[</w:t>
      </w:r>
      <w:r w:rsidR="00D829BE" w:rsidRPr="00942352">
        <w:fldChar w:fldCharType="begin"/>
      </w:r>
      <w:r w:rsidR="00D829BE" w:rsidRPr="00942352">
        <w:instrText xml:space="preserve"> REF _Ref127886409 \r \h </w:instrText>
      </w:r>
      <w:r w:rsidR="00942352" w:rsidRPr="00942352">
        <w:instrText xml:space="preserve"> \* MERGEFORMAT </w:instrText>
      </w:r>
      <w:r w:rsidR="00D829BE" w:rsidRPr="00942352">
        <w:fldChar w:fldCharType="separate"/>
      </w:r>
      <w:r w:rsidR="002B380F">
        <w:t>99</w:t>
      </w:r>
      <w:r w:rsidR="00D829BE" w:rsidRPr="00942352">
        <w:fldChar w:fldCharType="end"/>
      </w:r>
      <w:r w:rsidR="00960809" w:rsidRPr="00942352">
        <w:t>]</w:t>
      </w:r>
      <w:r w:rsidR="00D75F5B" w:rsidRPr="00942352">
        <w:rPr>
          <w:b/>
        </w:rPr>
        <w:t xml:space="preserve"> </w:t>
      </w:r>
      <w:r w:rsidR="00D75F5B" w:rsidRPr="00942352">
        <w:t>below, the bankrupt’s 18 July 2015 statutory declaration paints a very different picture from the one the bankrupt is now seeking to create (as he claimed under cross-examination</w:t>
      </w:r>
      <w:r w:rsidR="00A974A6">
        <w:t>) that his business suffered a “</w:t>
      </w:r>
      <w:r w:rsidR="00D75F5B" w:rsidRPr="00942352">
        <w:t xml:space="preserve">gradual” not sudden decline. </w:t>
      </w:r>
    </w:p>
    <w:p w14:paraId="2F7E97ED" w14:textId="28F17621" w:rsidR="009E4B1B" w:rsidRPr="00942352" w:rsidRDefault="00155C95" w:rsidP="00155C95">
      <w:pPr>
        <w:pStyle w:val="ParaNumbering"/>
        <w:numPr>
          <w:ilvl w:val="0"/>
          <w:numId w:val="0"/>
        </w:numPr>
        <w:ind w:hanging="720"/>
      </w:pPr>
      <w:bookmarkStart w:id="50" w:name="_Ref128661995"/>
      <w:r w:rsidRPr="00942352">
        <w:rPr>
          <w:sz w:val="20"/>
        </w:rPr>
        <w:t>40</w:t>
      </w:r>
      <w:r w:rsidRPr="00942352">
        <w:rPr>
          <w:sz w:val="20"/>
        </w:rPr>
        <w:tab/>
      </w:r>
      <w:r w:rsidR="00D75F5B" w:rsidRPr="00942352">
        <w:t xml:space="preserve">Finally, I found it very difficult to reconcile the bankrupt’s lack of apparent recall for why he purchased the Boyce Road and Anzac Parade properties, his confused recall regarding the </w:t>
      </w:r>
      <w:r w:rsidR="00D75F5B" w:rsidRPr="00942352">
        <w:lastRenderedPageBreak/>
        <w:t xml:space="preserve">obtaining of advice regarding them and the tax treatment of the properties. At the time, the bankrupt had only those two investment properties, he is a sophisticated business man. He has repeatedly structured his affairs in the most tax beneficial way he can for himself. </w:t>
      </w:r>
      <w:r w:rsidR="003B274E" w:rsidRPr="00942352">
        <w:t xml:space="preserve">The evidence regarding </w:t>
      </w:r>
      <w:r w:rsidR="004B3B65" w:rsidRPr="00942352">
        <w:t>this finding and related findings are dealt with more fulsomely below.</w:t>
      </w:r>
      <w:bookmarkEnd w:id="50"/>
      <w:r w:rsidR="004B3B65" w:rsidRPr="00942352">
        <w:t xml:space="preserve"> </w:t>
      </w:r>
    </w:p>
    <w:p w14:paraId="7DC562CB" w14:textId="2030735A" w:rsidR="00D11172" w:rsidRPr="00942352" w:rsidRDefault="00D11172" w:rsidP="00D11172">
      <w:pPr>
        <w:pStyle w:val="Heading4"/>
      </w:pPr>
      <w:bookmarkStart w:id="51" w:name="_Ref127552602"/>
      <w:r w:rsidRPr="00942352">
        <w:t>Conclusions as to the bankrupt’s credit and findings</w:t>
      </w:r>
      <w:bookmarkEnd w:id="51"/>
    </w:p>
    <w:p w14:paraId="0241CD34" w14:textId="2D509D8F" w:rsidR="009E4B1B" w:rsidRPr="00942352" w:rsidRDefault="00155C95" w:rsidP="00155C95">
      <w:pPr>
        <w:pStyle w:val="ParaNumbering"/>
        <w:numPr>
          <w:ilvl w:val="0"/>
          <w:numId w:val="0"/>
        </w:numPr>
        <w:ind w:hanging="720"/>
      </w:pPr>
      <w:bookmarkStart w:id="52" w:name="_Ref127780719"/>
      <w:r w:rsidRPr="00942352">
        <w:rPr>
          <w:sz w:val="20"/>
        </w:rPr>
        <w:t>41</w:t>
      </w:r>
      <w:r w:rsidRPr="00942352">
        <w:rPr>
          <w:sz w:val="20"/>
        </w:rPr>
        <w:tab/>
      </w:r>
      <w:r w:rsidR="00D11172" w:rsidRPr="00942352">
        <w:t>Not all of the inconsistencies in the bankrupt’s evidence have been reproduced above. I accept that in part, the inconsistencies may be explained by the passage of time since the relevant events and the fact that during the relevant period the bankrupt was no doubt under significant stress and distress g</w:t>
      </w:r>
      <w:r w:rsidR="00C6592E" w:rsidRPr="00942352">
        <w:t xml:space="preserve">iven the demise of his business, </w:t>
      </w:r>
      <w:r w:rsidR="00D11172" w:rsidRPr="00942352">
        <w:t xml:space="preserve">the failure of the </w:t>
      </w:r>
      <w:r w:rsidR="004B3B65" w:rsidRPr="00942352">
        <w:t>Scheme and the mounting debt</w:t>
      </w:r>
      <w:r w:rsidR="00D11172" w:rsidRPr="00942352">
        <w:t xml:space="preserve"> associated with it. What they reveal is at the very least his evidence is unreliable in the absence of </w:t>
      </w:r>
      <w:r w:rsidR="00BB04FF" w:rsidRPr="00942352">
        <w:t>corroborative</w:t>
      </w:r>
      <w:r w:rsidR="00D11172" w:rsidRPr="00942352">
        <w:t xml:space="preserve"> documentary evidence or </w:t>
      </w:r>
      <w:r w:rsidR="00A974A6">
        <w:t xml:space="preserve">where it was </w:t>
      </w:r>
      <w:r w:rsidR="00D11172" w:rsidRPr="00942352">
        <w:t xml:space="preserve">against </w:t>
      </w:r>
      <w:r w:rsidR="001B504B" w:rsidRPr="00942352">
        <w:t xml:space="preserve">his </w:t>
      </w:r>
      <w:r w:rsidR="00D11172" w:rsidRPr="00942352">
        <w:t>interest.</w:t>
      </w:r>
      <w:bookmarkEnd w:id="52"/>
      <w:r w:rsidR="00D11172" w:rsidRPr="00942352">
        <w:t xml:space="preserve"> </w:t>
      </w:r>
    </w:p>
    <w:p w14:paraId="325FEA3D" w14:textId="0D23B12C" w:rsidR="00D11172" w:rsidRPr="00942352" w:rsidRDefault="00155C95" w:rsidP="00155C95">
      <w:pPr>
        <w:pStyle w:val="ParaNumbering"/>
        <w:numPr>
          <w:ilvl w:val="0"/>
          <w:numId w:val="0"/>
        </w:numPr>
        <w:ind w:hanging="720"/>
      </w:pPr>
      <w:r w:rsidRPr="00942352">
        <w:rPr>
          <w:sz w:val="20"/>
        </w:rPr>
        <w:t>42</w:t>
      </w:r>
      <w:r w:rsidRPr="00942352">
        <w:rPr>
          <w:sz w:val="20"/>
        </w:rPr>
        <w:tab/>
      </w:r>
      <w:r w:rsidR="00D11172" w:rsidRPr="00942352">
        <w:t>However, I am of the view, that by reason of these findings, and for the reasons dealt with more fully below at [</w:t>
      </w:r>
      <w:r w:rsidR="006860C4">
        <w:fldChar w:fldCharType="begin"/>
      </w:r>
      <w:r w:rsidR="006860C4">
        <w:instrText xml:space="preserve"> REF _Ref129270421 \r \h </w:instrText>
      </w:r>
      <w:r w:rsidR="006860C4">
        <w:fldChar w:fldCharType="separate"/>
      </w:r>
      <w:r w:rsidR="002B380F">
        <w:t>136</w:t>
      </w:r>
      <w:r w:rsidR="006860C4">
        <w:fldChar w:fldCharType="end"/>
      </w:r>
      <w:r w:rsidR="00D11172" w:rsidRPr="00942352">
        <w:t xml:space="preserve">], that the bankrupt did sell </w:t>
      </w:r>
      <w:r w:rsidR="00C66AD2" w:rsidRPr="00942352">
        <w:t>the Boyce Roa</w:t>
      </w:r>
      <w:r w:rsidR="004D4B6C" w:rsidRPr="00942352">
        <w:t>d and Anzac Parade p</w:t>
      </w:r>
      <w:r w:rsidR="00C66AD2" w:rsidRPr="00942352">
        <w:t xml:space="preserve">roperties </w:t>
      </w:r>
      <w:r w:rsidR="00D11172" w:rsidRPr="00942352">
        <w:t>or at least use</w:t>
      </w:r>
      <w:r w:rsidR="00C66AD2" w:rsidRPr="00942352">
        <w:t>d</w:t>
      </w:r>
      <w:r w:rsidR="00D11172" w:rsidRPr="00942352">
        <w:t xml:space="preserve"> $</w:t>
      </w:r>
      <w:r w:rsidR="00455C5E" w:rsidRPr="00942352">
        <w:t>197,773.86</w:t>
      </w:r>
      <w:r w:rsidR="00D11172" w:rsidRPr="00942352">
        <w:rPr>
          <w:spacing w:val="-7"/>
        </w:rPr>
        <w:t xml:space="preserve"> </w:t>
      </w:r>
      <w:r w:rsidR="00C66AD2" w:rsidRPr="00942352">
        <w:rPr>
          <w:spacing w:val="-7"/>
        </w:rPr>
        <w:t xml:space="preserve">from those sales </w:t>
      </w:r>
      <w:r w:rsidR="00D11172" w:rsidRPr="00942352">
        <w:t xml:space="preserve">in the purchase of the North Balgowlah property so as to secure those monies from creditors. </w:t>
      </w:r>
    </w:p>
    <w:p w14:paraId="72146B55" w14:textId="33DE6721" w:rsidR="00637040" w:rsidRPr="00942352" w:rsidRDefault="00155C95" w:rsidP="00155C95">
      <w:pPr>
        <w:pStyle w:val="ParaNumbering"/>
        <w:numPr>
          <w:ilvl w:val="0"/>
          <w:numId w:val="0"/>
        </w:numPr>
        <w:ind w:hanging="720"/>
      </w:pPr>
      <w:bookmarkStart w:id="53" w:name="_Ref128561111"/>
      <w:r w:rsidRPr="00942352">
        <w:rPr>
          <w:sz w:val="20"/>
        </w:rPr>
        <w:t>43</w:t>
      </w:r>
      <w:r w:rsidRPr="00942352">
        <w:rPr>
          <w:sz w:val="20"/>
        </w:rPr>
        <w:tab/>
      </w:r>
      <w:r w:rsidR="00637040" w:rsidRPr="00942352">
        <w:t>Ultimately, however, I have approached the evidence</w:t>
      </w:r>
      <w:r w:rsidR="00D11172" w:rsidRPr="00942352">
        <w:t>, largely in a manner consistent</w:t>
      </w:r>
      <w:r w:rsidR="004521C3" w:rsidRPr="00942352">
        <w:t xml:space="preserve"> with</w:t>
      </w:r>
      <w:r w:rsidR="00D11172" w:rsidRPr="00942352">
        <w:t xml:space="preserve"> that urged upon me by the trustee,</w:t>
      </w:r>
      <w:r w:rsidR="00637040" w:rsidRPr="00942352">
        <w:t xml:space="preserve"> on the following bases</w:t>
      </w:r>
      <w:bookmarkEnd w:id="53"/>
      <w:r w:rsidR="00A974A6">
        <w:t>:</w:t>
      </w:r>
    </w:p>
    <w:p w14:paraId="6A470391" w14:textId="03A6DFA5" w:rsidR="00637040" w:rsidRPr="00942352" w:rsidRDefault="00155C95" w:rsidP="00155C95">
      <w:pPr>
        <w:pStyle w:val="ListNo1alt"/>
        <w:numPr>
          <w:ilvl w:val="0"/>
          <w:numId w:val="0"/>
        </w:numPr>
        <w:tabs>
          <w:tab w:val="left" w:pos="720"/>
        </w:tabs>
        <w:ind w:left="720" w:hanging="720"/>
      </w:pPr>
      <w:r w:rsidRPr="00942352">
        <w:t>(a)</w:t>
      </w:r>
      <w:r w:rsidRPr="00942352">
        <w:tab/>
      </w:r>
      <w:r w:rsidR="00637040" w:rsidRPr="00942352">
        <w:t xml:space="preserve">the bankrupt’s and the respondent’s evidence largely concerned dealings and conversations, between </w:t>
      </w:r>
      <w:r w:rsidR="00A31A2F" w:rsidRPr="00942352">
        <w:t>eight</w:t>
      </w:r>
      <w:r w:rsidR="00637040" w:rsidRPr="00942352">
        <w:t xml:space="preserve"> and 17 years before deposing to their evidence, principally based on the fallibility of their own memory rather than contemporary records;</w:t>
      </w:r>
    </w:p>
    <w:p w14:paraId="47C5F138" w14:textId="211BE44E" w:rsidR="00637040" w:rsidRPr="00942352" w:rsidRDefault="00155C95" w:rsidP="00155C95">
      <w:pPr>
        <w:pStyle w:val="ListNo1alt"/>
        <w:numPr>
          <w:ilvl w:val="0"/>
          <w:numId w:val="0"/>
        </w:numPr>
        <w:tabs>
          <w:tab w:val="left" w:pos="720"/>
        </w:tabs>
        <w:ind w:left="720" w:hanging="720"/>
      </w:pPr>
      <w:bookmarkStart w:id="54" w:name="_Ref128561101"/>
      <w:r w:rsidRPr="00942352">
        <w:t>(b)</w:t>
      </w:r>
      <w:r w:rsidRPr="00942352">
        <w:tab/>
      </w:r>
      <w:r w:rsidR="00637040" w:rsidRPr="00942352">
        <w:t>the Court should place primary emphasis on the objective factual surrounding material and the inherent probabilities, together with the documentation tendered in evidence, rather than the asserted recollections of witnesses;</w:t>
      </w:r>
      <w:bookmarkEnd w:id="54"/>
      <w:r w:rsidR="00637040" w:rsidRPr="00942352">
        <w:t xml:space="preserve"> </w:t>
      </w:r>
      <w:r w:rsidR="00BB04FF" w:rsidRPr="00942352">
        <w:t>and</w:t>
      </w:r>
    </w:p>
    <w:p w14:paraId="7A32F4C4" w14:textId="7F7AB26C" w:rsidR="00637040" w:rsidRPr="00942352" w:rsidRDefault="00155C95" w:rsidP="00155C95">
      <w:pPr>
        <w:pStyle w:val="ListNo1alt"/>
        <w:numPr>
          <w:ilvl w:val="0"/>
          <w:numId w:val="0"/>
        </w:numPr>
        <w:tabs>
          <w:tab w:val="left" w:pos="720"/>
        </w:tabs>
        <w:ind w:left="720" w:hanging="720"/>
      </w:pPr>
      <w:r w:rsidRPr="00942352">
        <w:t>(c)</w:t>
      </w:r>
      <w:r w:rsidRPr="00942352">
        <w:tab/>
      </w:r>
      <w:r w:rsidR="00637040" w:rsidRPr="00942352">
        <w:t>the trustee, necessarily by not having involvement in any of the underlying dealings giving rise to the proceedings, is not able to adduce direct evidence of those matters and the Court must take that into account when the respondent seeks to make something of the fact that the trustee has not been able to adduce direct evidence of those matters</w:t>
      </w:r>
      <w:r w:rsidR="00BB04FF" w:rsidRPr="00942352">
        <w:t>.</w:t>
      </w:r>
    </w:p>
    <w:p w14:paraId="0E27A65F" w14:textId="2E3FDE96" w:rsidR="005E0A29" w:rsidRPr="00942352" w:rsidRDefault="005E0A29" w:rsidP="00E940C1">
      <w:pPr>
        <w:pStyle w:val="Heading2"/>
      </w:pPr>
      <w:bookmarkStart w:id="55" w:name="_Ref126916180"/>
      <w:r w:rsidRPr="00942352">
        <w:t>Consideration</w:t>
      </w:r>
      <w:bookmarkEnd w:id="55"/>
    </w:p>
    <w:p w14:paraId="634AE8A5" w14:textId="528CD2AA" w:rsidR="00737999" w:rsidRPr="00942352" w:rsidRDefault="00155C95" w:rsidP="00155C95">
      <w:pPr>
        <w:pStyle w:val="ParaNumbering"/>
        <w:numPr>
          <w:ilvl w:val="0"/>
          <w:numId w:val="0"/>
        </w:numPr>
        <w:ind w:hanging="720"/>
      </w:pPr>
      <w:r w:rsidRPr="00942352">
        <w:rPr>
          <w:sz w:val="20"/>
        </w:rPr>
        <w:t>44</w:t>
      </w:r>
      <w:r w:rsidRPr="00942352">
        <w:rPr>
          <w:sz w:val="20"/>
        </w:rPr>
        <w:tab/>
      </w:r>
      <w:r w:rsidR="00737999" w:rsidRPr="00942352">
        <w:t>It is necessary to consider the evidence in some detail to resolve the question</w:t>
      </w:r>
      <w:r w:rsidR="00834A87" w:rsidRPr="00942352">
        <w:t xml:space="preserve">s </w:t>
      </w:r>
      <w:r w:rsidR="00BB04FF" w:rsidRPr="00942352">
        <w:t>at issue.</w:t>
      </w:r>
    </w:p>
    <w:p w14:paraId="1010CE6F" w14:textId="5A218233" w:rsidR="00665523" w:rsidRPr="00942352" w:rsidRDefault="00155C95" w:rsidP="00155C95">
      <w:pPr>
        <w:pStyle w:val="ParaNumbering"/>
        <w:numPr>
          <w:ilvl w:val="0"/>
          <w:numId w:val="0"/>
        </w:numPr>
        <w:ind w:hanging="720"/>
      </w:pPr>
      <w:r w:rsidRPr="00942352">
        <w:rPr>
          <w:sz w:val="20"/>
        </w:rPr>
        <w:lastRenderedPageBreak/>
        <w:t>45</w:t>
      </w:r>
      <w:r w:rsidRPr="00942352">
        <w:rPr>
          <w:sz w:val="20"/>
        </w:rPr>
        <w:tab/>
      </w:r>
      <w:r w:rsidR="00665523" w:rsidRPr="00942352">
        <w:t>For the reasons which follow</w:t>
      </w:r>
      <w:r w:rsidR="00FD04CD" w:rsidRPr="00942352">
        <w:t>,</w:t>
      </w:r>
      <w:r w:rsidR="00665523" w:rsidRPr="00942352">
        <w:t xml:space="preserve"> it is my view that the B</w:t>
      </w:r>
      <w:r w:rsidR="00757951" w:rsidRPr="00942352">
        <w:t>oyce Road and the Anzac Parade p</w:t>
      </w:r>
      <w:r w:rsidR="00665523" w:rsidRPr="00942352">
        <w:t>roperties were beneficially owned in accordance with their legal title.</w:t>
      </w:r>
    </w:p>
    <w:p w14:paraId="250F1913" w14:textId="30557976" w:rsidR="0069737B" w:rsidRPr="00942352" w:rsidRDefault="00155C95" w:rsidP="00155C95">
      <w:pPr>
        <w:pStyle w:val="ParaNumbering"/>
        <w:numPr>
          <w:ilvl w:val="0"/>
          <w:numId w:val="0"/>
        </w:numPr>
        <w:ind w:hanging="720"/>
      </w:pPr>
      <w:r w:rsidRPr="00942352">
        <w:rPr>
          <w:sz w:val="20"/>
        </w:rPr>
        <w:t>46</w:t>
      </w:r>
      <w:r w:rsidRPr="00942352">
        <w:rPr>
          <w:sz w:val="20"/>
        </w:rPr>
        <w:tab/>
      </w:r>
      <w:r w:rsidR="00737999" w:rsidRPr="00942352">
        <w:t xml:space="preserve">The agreed facts reveal a number of pertinent matters leading up to the </w:t>
      </w:r>
      <w:r w:rsidR="007D57D6" w:rsidRPr="00942352">
        <w:t xml:space="preserve">purchase of the </w:t>
      </w:r>
      <w:r w:rsidR="0069737B" w:rsidRPr="00942352">
        <w:t xml:space="preserve">Boyce Road </w:t>
      </w:r>
      <w:r w:rsidR="00737999" w:rsidRPr="00942352">
        <w:t xml:space="preserve">and Anzac Parade </w:t>
      </w:r>
      <w:r w:rsidR="00443BE8" w:rsidRPr="00942352">
        <w:t>p</w:t>
      </w:r>
      <w:r w:rsidR="00737999" w:rsidRPr="00942352">
        <w:t xml:space="preserve">roperties. </w:t>
      </w:r>
      <w:r w:rsidR="00737999" w:rsidRPr="00942352">
        <w:rPr>
          <w:i/>
        </w:rPr>
        <w:t>First</w:t>
      </w:r>
      <w:r w:rsidR="00737999" w:rsidRPr="006860C4">
        <w:t>,</w:t>
      </w:r>
      <w:r w:rsidR="00737999" w:rsidRPr="00942352">
        <w:rPr>
          <w:i/>
        </w:rPr>
        <w:t xml:space="preserve"> </w:t>
      </w:r>
      <w:r w:rsidR="00737999" w:rsidRPr="00942352">
        <w:t xml:space="preserve">the bankrupt and the respondent, from 1999, paid their earnings into and expenses out of joint bank accounts. </w:t>
      </w:r>
      <w:r w:rsidR="00737999" w:rsidRPr="00942352">
        <w:rPr>
          <w:i/>
        </w:rPr>
        <w:t>Secondly</w:t>
      </w:r>
      <w:r w:rsidR="00737999" w:rsidRPr="006860C4">
        <w:t>,</w:t>
      </w:r>
      <w:r w:rsidR="00737999" w:rsidRPr="00942352">
        <w:t xml:space="preserve"> from the time that they </w:t>
      </w:r>
      <w:r w:rsidR="003965E1" w:rsidRPr="00942352">
        <w:t xml:space="preserve">were </w:t>
      </w:r>
      <w:r w:rsidR="00737999" w:rsidRPr="00942352">
        <w:t xml:space="preserve">married until </w:t>
      </w:r>
      <w:r w:rsidR="006B429A" w:rsidRPr="00942352">
        <w:t>2015</w:t>
      </w:r>
      <w:r w:rsidR="00737999" w:rsidRPr="00942352">
        <w:t>, the bankrupt was t</w:t>
      </w:r>
      <w:r w:rsidR="0069737B" w:rsidRPr="00942352">
        <w:t>he primary income earner and the respondent the primary carer of their</w:t>
      </w:r>
      <w:r w:rsidR="00737999" w:rsidRPr="00942352">
        <w:t xml:space="preserve"> children</w:t>
      </w:r>
      <w:r w:rsidR="002B03E0" w:rsidRPr="00942352">
        <w:t xml:space="preserve"> and working part-time</w:t>
      </w:r>
      <w:r w:rsidR="00737999" w:rsidRPr="00942352">
        <w:t xml:space="preserve">. </w:t>
      </w:r>
      <w:r w:rsidR="00737999" w:rsidRPr="00942352">
        <w:rPr>
          <w:i/>
        </w:rPr>
        <w:t>Thirdly</w:t>
      </w:r>
      <w:r w:rsidR="00737999" w:rsidRPr="006860C4">
        <w:t>,</w:t>
      </w:r>
      <w:r w:rsidR="00737999" w:rsidRPr="00942352">
        <w:rPr>
          <w:i/>
        </w:rPr>
        <w:t xml:space="preserve"> </w:t>
      </w:r>
      <w:r w:rsidR="00737999" w:rsidRPr="00942352">
        <w:t>over the years they acquired several properties, some jointly and some separately. For example, their first property bought t</w:t>
      </w:r>
      <w:r w:rsidR="00651DF7" w:rsidRPr="00942352">
        <w:t>ogether in 1999, the Fairlight p</w:t>
      </w:r>
      <w:r w:rsidR="00737999" w:rsidRPr="00942352">
        <w:t xml:space="preserve">roperty, was purchased in both their names and then three years later, in 2002 the Seaforth </w:t>
      </w:r>
      <w:r w:rsidR="00E35B91" w:rsidRPr="00942352">
        <w:t>p</w:t>
      </w:r>
      <w:r w:rsidR="00737999" w:rsidRPr="00942352">
        <w:t xml:space="preserve">roperty was purchased solely in the name of the respondent. </w:t>
      </w:r>
    </w:p>
    <w:p w14:paraId="20198219" w14:textId="1EBC13EF" w:rsidR="00737999" w:rsidRPr="00942352" w:rsidRDefault="00155C95" w:rsidP="00155C95">
      <w:pPr>
        <w:pStyle w:val="ParaNumbering"/>
        <w:numPr>
          <w:ilvl w:val="0"/>
          <w:numId w:val="0"/>
        </w:numPr>
        <w:ind w:hanging="720"/>
      </w:pPr>
      <w:r w:rsidRPr="00942352">
        <w:rPr>
          <w:sz w:val="20"/>
        </w:rPr>
        <w:t>47</w:t>
      </w:r>
      <w:r w:rsidRPr="00942352">
        <w:rPr>
          <w:sz w:val="20"/>
        </w:rPr>
        <w:tab/>
      </w:r>
      <w:r w:rsidR="00737999" w:rsidRPr="00942352">
        <w:t xml:space="preserve">The respondent and the bankrupt both gave evidence to the effect that this change in position regarding ownership reflected the fact that the purchase </w:t>
      </w:r>
      <w:r w:rsidR="00EE11AC">
        <w:t>monies</w:t>
      </w:r>
      <w:r w:rsidR="00737999" w:rsidRPr="00942352">
        <w:t xml:space="preserve"> for the Fairlight property were obtained from Ms Dew</w:t>
      </w:r>
      <w:r w:rsidR="002E57D3" w:rsidRPr="00942352">
        <w:t>, in the sum of $200,000</w:t>
      </w:r>
      <w:r w:rsidR="00A974A6">
        <w:t xml:space="preserve"> (which the respondent stated was a loan to her only)</w:t>
      </w:r>
      <w:r w:rsidR="00EF7786" w:rsidRPr="00942352">
        <w:t>,</w:t>
      </w:r>
      <w:r w:rsidR="00A974A6">
        <w:t xml:space="preserve"> as well as a loan </w:t>
      </w:r>
      <w:r w:rsidR="00EF7786" w:rsidRPr="00942352">
        <w:t xml:space="preserve">from </w:t>
      </w:r>
      <w:r w:rsidR="00737999" w:rsidRPr="00942352">
        <w:t>Collins Securities</w:t>
      </w:r>
      <w:r w:rsidR="002E57D3" w:rsidRPr="00942352">
        <w:t xml:space="preserve">. </w:t>
      </w:r>
      <w:r w:rsidR="00D443C2" w:rsidRPr="00942352">
        <w:t>The bankrupt gave evidence of a</w:t>
      </w:r>
      <w:r w:rsidR="007527C3">
        <w:t>n</w:t>
      </w:r>
      <w:r w:rsidR="00D443C2" w:rsidRPr="00942352">
        <w:t xml:space="preserve"> undated conversation he had with his solicitor requesting that “he draw up a loan agre</w:t>
      </w:r>
      <w:r w:rsidR="008D66D6" w:rsidRPr="00942352">
        <w:t>ement or document to protect” M</w:t>
      </w:r>
      <w:r w:rsidR="00D443C2" w:rsidRPr="00942352">
        <w:t>s Dew’s loan and annexed to his affidavit an unexecuted mortgage document which he</w:t>
      </w:r>
      <w:r w:rsidR="00600901" w:rsidRPr="00942352">
        <w:t xml:space="preserve"> “believe[d]” reflected the loan</w:t>
      </w:r>
      <w:r w:rsidR="00D443C2" w:rsidRPr="00942352">
        <w:t xml:space="preserve"> agreement. </w:t>
      </w:r>
    </w:p>
    <w:p w14:paraId="26B66087" w14:textId="3DE1E933" w:rsidR="006336F8" w:rsidRPr="00942352" w:rsidRDefault="00155C95" w:rsidP="00155C95">
      <w:pPr>
        <w:pStyle w:val="ParaNumbering"/>
        <w:numPr>
          <w:ilvl w:val="0"/>
          <w:numId w:val="0"/>
        </w:numPr>
        <w:ind w:hanging="720"/>
      </w:pPr>
      <w:r w:rsidRPr="00942352">
        <w:rPr>
          <w:sz w:val="20"/>
        </w:rPr>
        <w:t>48</w:t>
      </w:r>
      <w:r w:rsidRPr="00942352">
        <w:rPr>
          <w:sz w:val="20"/>
        </w:rPr>
        <w:tab/>
      </w:r>
      <w:r w:rsidR="002F4458" w:rsidRPr="00942352">
        <w:t xml:space="preserve">In </w:t>
      </w:r>
      <w:r w:rsidR="006336F8" w:rsidRPr="00942352">
        <w:t xml:space="preserve">1999, the respondent was then </w:t>
      </w:r>
      <w:r w:rsidR="00C36C4B" w:rsidRPr="00942352">
        <w:t>24</w:t>
      </w:r>
      <w:r w:rsidR="006336F8" w:rsidRPr="00942352">
        <w:t xml:space="preserve"> years</w:t>
      </w:r>
      <w:r w:rsidR="00986F06" w:rsidRPr="00942352">
        <w:t>’</w:t>
      </w:r>
      <w:r w:rsidR="006336F8" w:rsidRPr="00942352">
        <w:t xml:space="preserve"> old and the bankrupt </w:t>
      </w:r>
      <w:r w:rsidR="00A96375" w:rsidRPr="00942352">
        <w:t>44 years</w:t>
      </w:r>
      <w:r w:rsidR="00986F06" w:rsidRPr="00942352">
        <w:t>’</w:t>
      </w:r>
      <w:r w:rsidR="00A96375" w:rsidRPr="00942352">
        <w:t xml:space="preserve"> old.</w:t>
      </w:r>
      <w:r w:rsidR="006336F8" w:rsidRPr="00942352">
        <w:t xml:space="preserve"> The bankrupt had previously been married with two daughters to that marriage. </w:t>
      </w:r>
    </w:p>
    <w:p w14:paraId="012FC394" w14:textId="4521D47F" w:rsidR="006336F8" w:rsidRPr="00942352" w:rsidRDefault="00155C95" w:rsidP="00155C95">
      <w:pPr>
        <w:pStyle w:val="ParaNumbering"/>
        <w:numPr>
          <w:ilvl w:val="0"/>
          <w:numId w:val="0"/>
        </w:numPr>
        <w:ind w:hanging="720"/>
      </w:pPr>
      <w:r w:rsidRPr="00942352">
        <w:rPr>
          <w:sz w:val="20"/>
        </w:rPr>
        <w:t>49</w:t>
      </w:r>
      <w:r w:rsidRPr="00942352">
        <w:rPr>
          <w:sz w:val="20"/>
        </w:rPr>
        <w:tab/>
      </w:r>
      <w:r w:rsidR="006336F8" w:rsidRPr="00942352">
        <w:t>The respondent gave evidence that she had expressed an intenti</w:t>
      </w:r>
      <w:r w:rsidR="00666233" w:rsidRPr="00942352">
        <w:t xml:space="preserve">on in 1999, that the Fairlight </w:t>
      </w:r>
      <w:r w:rsidR="00AC3253" w:rsidRPr="00942352">
        <w:t>property</w:t>
      </w:r>
      <w:r w:rsidR="006336F8" w:rsidRPr="00942352">
        <w:t xml:space="preserve"> “[had] to be [her] house, as it will be bought with money from </w:t>
      </w:r>
      <w:r w:rsidR="008E7300" w:rsidRPr="00942352">
        <w:t>[her]</w:t>
      </w:r>
      <w:r w:rsidR="009F6F3F" w:rsidRPr="00942352">
        <w:t xml:space="preserve"> mum” and had been</w:t>
      </w:r>
      <w:r w:rsidR="006336F8" w:rsidRPr="00942352">
        <w:t xml:space="preserve"> </w:t>
      </w:r>
      <w:r w:rsidR="009F6F3F" w:rsidRPr="00942352">
        <w:t>“</w:t>
      </w:r>
      <w:r w:rsidR="006336F8" w:rsidRPr="00942352">
        <w:t xml:space="preserve">worried about any claim </w:t>
      </w:r>
      <w:r w:rsidR="00316B77" w:rsidRPr="00942352">
        <w:t>[the bankrupt’s]</w:t>
      </w:r>
      <w:r w:rsidR="006336F8" w:rsidRPr="00942352">
        <w:t xml:space="preserve"> children might make if </w:t>
      </w:r>
      <w:r w:rsidR="00FD7B9C" w:rsidRPr="00942352">
        <w:t>[he]</w:t>
      </w:r>
      <w:r w:rsidR="006336F8" w:rsidRPr="00942352">
        <w:t xml:space="preserve"> own</w:t>
      </w:r>
      <w:r w:rsidR="00FD7B9C" w:rsidRPr="00942352">
        <w:t>[</w:t>
      </w:r>
      <w:proofErr w:type="spellStart"/>
      <w:r w:rsidR="00FD7B9C" w:rsidRPr="00942352">
        <w:t>ed</w:t>
      </w:r>
      <w:proofErr w:type="spellEnd"/>
      <w:r w:rsidR="00FD7B9C" w:rsidRPr="00942352">
        <w:t>]</w:t>
      </w:r>
      <w:r w:rsidR="006336F8" w:rsidRPr="00942352">
        <w:t xml:space="preserve"> it, particularly if </w:t>
      </w:r>
      <w:r w:rsidR="00D162D3" w:rsidRPr="00942352">
        <w:t>[he]</w:t>
      </w:r>
      <w:r w:rsidR="006336F8" w:rsidRPr="00942352">
        <w:t xml:space="preserve"> die</w:t>
      </w:r>
      <w:r w:rsidR="00D162D3" w:rsidRPr="00942352">
        <w:t>[s]</w:t>
      </w:r>
      <w:r w:rsidR="006336F8" w:rsidRPr="00942352">
        <w:t xml:space="preserve">”. </w:t>
      </w:r>
      <w:r w:rsidR="00BD2975" w:rsidRPr="00942352">
        <w:t>The bankrupt deposed to there being various conversations between them in about 1999</w:t>
      </w:r>
      <w:r w:rsidR="00D443C2" w:rsidRPr="00942352">
        <w:t xml:space="preserve"> and thereafter</w:t>
      </w:r>
      <w:r w:rsidR="00BD2975" w:rsidRPr="00942352">
        <w:t xml:space="preserve"> regarding the purchase and the respondent being concerned to secure her interest in the property so as to avoid any </w:t>
      </w:r>
      <w:r w:rsidR="003B4E83" w:rsidRPr="00942352">
        <w:t xml:space="preserve">testamentary </w:t>
      </w:r>
      <w:r w:rsidR="00BD2975" w:rsidRPr="00942352">
        <w:t>claim by the respondent’s daughters from his former marriage.</w:t>
      </w:r>
      <w:r w:rsidR="00A974A6">
        <w:t xml:space="preserve"> I</w:t>
      </w:r>
      <w:r w:rsidR="004B3B65" w:rsidRPr="00942352">
        <w:t xml:space="preserve">t was </w:t>
      </w:r>
      <w:r w:rsidR="00A974A6">
        <w:t>their</w:t>
      </w:r>
      <w:r w:rsidR="004B3B65" w:rsidRPr="00942352">
        <w:t xml:space="preserve"> unchallenged evidence </w:t>
      </w:r>
      <w:r w:rsidR="00BD2975" w:rsidRPr="00942352">
        <w:t>that</w:t>
      </w:r>
      <w:r w:rsidR="006336F8" w:rsidRPr="00942352">
        <w:t xml:space="preserve"> </w:t>
      </w:r>
      <w:r w:rsidR="00A974A6">
        <w:t>she was</w:t>
      </w:r>
      <w:r w:rsidR="006336F8" w:rsidRPr="00942352">
        <w:t xml:space="preserve"> unable to secure a loan</w:t>
      </w:r>
      <w:r w:rsidR="00A974A6">
        <w:t xml:space="preserve"> by herself</w:t>
      </w:r>
      <w:r w:rsidR="006336F8" w:rsidRPr="00942352">
        <w:t xml:space="preserve">, as at that stage the respondent had only been working for a year and as a consequence the title was </w:t>
      </w:r>
      <w:r w:rsidR="00A974A6">
        <w:t xml:space="preserve">required to be </w:t>
      </w:r>
      <w:r w:rsidR="006336F8" w:rsidRPr="00942352">
        <w:t xml:space="preserve">in both their names. </w:t>
      </w:r>
    </w:p>
    <w:p w14:paraId="649BC763" w14:textId="0905F8AE" w:rsidR="006336F8" w:rsidRPr="00942352" w:rsidRDefault="00155C95" w:rsidP="00155C95">
      <w:pPr>
        <w:pStyle w:val="ParaNumbering"/>
        <w:numPr>
          <w:ilvl w:val="0"/>
          <w:numId w:val="0"/>
        </w:numPr>
        <w:ind w:hanging="720"/>
      </w:pPr>
      <w:r w:rsidRPr="00942352">
        <w:rPr>
          <w:sz w:val="20"/>
        </w:rPr>
        <w:t>50</w:t>
      </w:r>
      <w:r w:rsidRPr="00942352">
        <w:rPr>
          <w:sz w:val="20"/>
        </w:rPr>
        <w:tab/>
      </w:r>
      <w:r w:rsidR="006336F8" w:rsidRPr="00942352">
        <w:t xml:space="preserve">According to the respondent, </w:t>
      </w:r>
      <w:r w:rsidR="00B41AC9" w:rsidRPr="00942352">
        <w:t>her and the bankrupt</w:t>
      </w:r>
      <w:r w:rsidR="006336F8" w:rsidRPr="00942352">
        <w:t xml:space="preserve"> then </w:t>
      </w:r>
      <w:r w:rsidR="006555AE" w:rsidRPr="00942352">
        <w:t>decided</w:t>
      </w:r>
      <w:r w:rsidR="006336F8" w:rsidRPr="00942352">
        <w:t xml:space="preserve"> to purchase a bigger home to live in and </w:t>
      </w:r>
      <w:r w:rsidR="00A974A6" w:rsidRPr="00942352">
        <w:t xml:space="preserve">bought the Seaforth property </w:t>
      </w:r>
      <w:r w:rsidR="00A974A6">
        <w:t xml:space="preserve">and then </w:t>
      </w:r>
      <w:r w:rsidR="006336F8" w:rsidRPr="00942352">
        <w:t xml:space="preserve">sold the Fairlight </w:t>
      </w:r>
      <w:r w:rsidR="00AC3253" w:rsidRPr="00942352">
        <w:t>property</w:t>
      </w:r>
      <w:r w:rsidR="006336F8" w:rsidRPr="00942352">
        <w:t>. When the Fairlight property was sold</w:t>
      </w:r>
      <w:r w:rsidR="00BA1011" w:rsidRPr="00942352">
        <w:t xml:space="preserve">, the respondent gave evidence that the bank took most of the money from </w:t>
      </w:r>
      <w:r w:rsidR="00BA1011" w:rsidRPr="00942352">
        <w:lastRenderedPageBreak/>
        <w:t xml:space="preserve">the sale and her mother’s loan was not repaid which she knew of at the time “and felt bad about it”. </w:t>
      </w:r>
    </w:p>
    <w:p w14:paraId="37899C19" w14:textId="7288E6AA" w:rsidR="00BA1011" w:rsidRPr="00942352" w:rsidRDefault="00155C95" w:rsidP="00155C95">
      <w:pPr>
        <w:pStyle w:val="ParaNumbering"/>
        <w:numPr>
          <w:ilvl w:val="0"/>
          <w:numId w:val="0"/>
        </w:numPr>
        <w:ind w:hanging="720"/>
        <w:rPr>
          <w:b/>
        </w:rPr>
      </w:pPr>
      <w:r w:rsidRPr="00942352">
        <w:rPr>
          <w:sz w:val="20"/>
        </w:rPr>
        <w:t>51</w:t>
      </w:r>
      <w:r w:rsidRPr="00942352">
        <w:rPr>
          <w:sz w:val="20"/>
        </w:rPr>
        <w:tab/>
      </w:r>
      <w:r w:rsidR="00BA1011" w:rsidRPr="00942352">
        <w:t xml:space="preserve">When the Seaforth property </w:t>
      </w:r>
      <w:r w:rsidR="0047315E" w:rsidRPr="00942352">
        <w:t xml:space="preserve">was purchased, </w:t>
      </w:r>
      <w:r w:rsidR="00D443C2" w:rsidRPr="00942352">
        <w:t xml:space="preserve">it was </w:t>
      </w:r>
      <w:r w:rsidR="007B7D43" w:rsidRPr="00942352">
        <w:t xml:space="preserve">in </w:t>
      </w:r>
      <w:r w:rsidR="00D443C2" w:rsidRPr="00942352">
        <w:t xml:space="preserve">both </w:t>
      </w:r>
      <w:r w:rsidR="0047315E" w:rsidRPr="00942352">
        <w:t>the respondent’s</w:t>
      </w:r>
      <w:r w:rsidR="00D443C2" w:rsidRPr="00942352">
        <w:t xml:space="preserve"> and the bankrupt’s </w:t>
      </w:r>
      <w:r w:rsidR="007B7D43" w:rsidRPr="00942352">
        <w:t xml:space="preserve">names. It was their respective </w:t>
      </w:r>
      <w:r w:rsidR="00D443C2" w:rsidRPr="00942352">
        <w:t>unchallenged</w:t>
      </w:r>
      <w:r w:rsidR="0047315E" w:rsidRPr="00942352">
        <w:t xml:space="preserve"> evidence</w:t>
      </w:r>
      <w:r w:rsidR="00D443C2" w:rsidRPr="00942352">
        <w:rPr>
          <w:b/>
        </w:rPr>
        <w:t xml:space="preserve"> </w:t>
      </w:r>
      <w:r w:rsidR="0047315E" w:rsidRPr="00942352">
        <w:t xml:space="preserve">that when </w:t>
      </w:r>
      <w:r w:rsidR="005A2140" w:rsidRPr="00942352">
        <w:t>the respondent</w:t>
      </w:r>
      <w:r w:rsidR="0047315E" w:rsidRPr="00942352">
        <w:t xml:space="preserve"> initially saw the purchase contract it was in both their names</w:t>
      </w:r>
      <w:r w:rsidR="005A2140" w:rsidRPr="00942352">
        <w:t xml:space="preserve"> and the respondent demanded a change</w:t>
      </w:r>
      <w:r w:rsidR="004B3B65" w:rsidRPr="00942352">
        <w:t xml:space="preserve">. </w:t>
      </w:r>
      <w:r w:rsidR="0047315E" w:rsidRPr="00942352">
        <w:t xml:space="preserve">At some point, thereafter, at </w:t>
      </w:r>
      <w:r w:rsidR="004B3B65" w:rsidRPr="00942352">
        <w:t>the respondent’s</w:t>
      </w:r>
      <w:r w:rsidR="0047315E" w:rsidRPr="00942352">
        <w:t xml:space="preserve"> instigation, there was a change “in the name of the purchaser”</w:t>
      </w:r>
      <w:r w:rsidR="001016D6" w:rsidRPr="00942352">
        <w:t xml:space="preserve"> to be solely hers</w:t>
      </w:r>
      <w:r w:rsidR="0047315E" w:rsidRPr="00942352">
        <w:t xml:space="preserve">. </w:t>
      </w:r>
      <w:r w:rsidR="005250B3" w:rsidRPr="00942352">
        <w:t xml:space="preserve">No evidence was adduced by either party of the contracts of sale, transfer documents nor loan documentation save for correspondence from L.G. Parker &amp; Co solicitors in February 2002 to both the respondent and the bankrupt and </w:t>
      </w:r>
      <w:r w:rsidR="00A974A6">
        <w:t xml:space="preserve">in </w:t>
      </w:r>
      <w:r w:rsidR="005250B3" w:rsidRPr="00942352">
        <w:t xml:space="preserve">March 2002 to the respondent confirming settlement. </w:t>
      </w:r>
    </w:p>
    <w:p w14:paraId="4E2C09F4" w14:textId="427DE361" w:rsidR="0047315E" w:rsidRPr="00942352" w:rsidRDefault="00155C95" w:rsidP="00155C95">
      <w:pPr>
        <w:pStyle w:val="ParaNumbering"/>
        <w:numPr>
          <w:ilvl w:val="0"/>
          <w:numId w:val="0"/>
        </w:numPr>
        <w:ind w:hanging="720"/>
      </w:pPr>
      <w:r w:rsidRPr="00942352">
        <w:rPr>
          <w:sz w:val="20"/>
        </w:rPr>
        <w:t>52</w:t>
      </w:r>
      <w:r w:rsidRPr="00942352">
        <w:rPr>
          <w:sz w:val="20"/>
        </w:rPr>
        <w:tab/>
      </w:r>
      <w:r w:rsidR="0047315E" w:rsidRPr="00942352">
        <w:t xml:space="preserve">What this evidence reveals is that the respondent was intimately involved in the decisions regarding property ownership from </w:t>
      </w:r>
      <w:r w:rsidR="00B06027" w:rsidRPr="00942352">
        <w:t>the</w:t>
      </w:r>
      <w:r w:rsidR="0047315E" w:rsidRPr="00942352">
        <w:t xml:space="preserve"> inception of their relationship and in particular </w:t>
      </w:r>
      <w:r w:rsidR="00FD253B" w:rsidRPr="00942352">
        <w:t>concerning</w:t>
      </w:r>
      <w:r w:rsidR="0047315E" w:rsidRPr="00942352">
        <w:t xml:space="preserve"> decisions regarding who would be placed on the title and what the effect of that would be, </w:t>
      </w:r>
      <w:r w:rsidR="0020710B" w:rsidRPr="00942352">
        <w:t>i.e.,</w:t>
      </w:r>
      <w:r w:rsidR="0047315E" w:rsidRPr="00942352">
        <w:t xml:space="preserve"> the respondent’s evidence was to the effect </w:t>
      </w:r>
      <w:r w:rsidR="00617869" w:rsidRPr="00942352">
        <w:t xml:space="preserve">that </w:t>
      </w:r>
      <w:r w:rsidR="0047315E" w:rsidRPr="00942352">
        <w:t xml:space="preserve">with </w:t>
      </w:r>
      <w:r w:rsidR="00617869" w:rsidRPr="00942352">
        <w:t xml:space="preserve">respect to </w:t>
      </w:r>
      <w:r w:rsidR="0047315E" w:rsidRPr="00942352">
        <w:t>the Fairlight and the Seaforth properties that she wanted them in her name</w:t>
      </w:r>
      <w:r w:rsidR="004B3B65" w:rsidRPr="00942352">
        <w:t xml:space="preserve"> for two reasons:</w:t>
      </w:r>
      <w:r w:rsidR="0047315E" w:rsidRPr="00942352">
        <w:t xml:space="preserve"> (a) to reflect the contribution made by her mother; and (b) to preserve them from any claim made by the </w:t>
      </w:r>
      <w:r w:rsidR="001E6DD5" w:rsidRPr="00942352">
        <w:t>bankrupt’s</w:t>
      </w:r>
      <w:r w:rsidR="0047315E" w:rsidRPr="00942352">
        <w:t xml:space="preserve"> children from his first marriage. </w:t>
      </w:r>
    </w:p>
    <w:p w14:paraId="34152C11" w14:textId="6C078213" w:rsidR="0069737B" w:rsidRPr="00942352" w:rsidRDefault="0069737B" w:rsidP="0069737B">
      <w:pPr>
        <w:pStyle w:val="Heading3"/>
      </w:pPr>
      <w:bookmarkStart w:id="56" w:name="_Ref126916181"/>
      <w:r w:rsidRPr="00942352">
        <w:t>The purchase of the Boyce Road and the Anzac Parade properties</w:t>
      </w:r>
      <w:bookmarkEnd w:id="56"/>
      <w:r w:rsidRPr="00942352">
        <w:t xml:space="preserve"> </w:t>
      </w:r>
    </w:p>
    <w:p w14:paraId="595C2FCA" w14:textId="0115F5A8" w:rsidR="0069737B" w:rsidRPr="00942352" w:rsidRDefault="00155C95" w:rsidP="00155C95">
      <w:pPr>
        <w:pStyle w:val="ParaNumbering"/>
        <w:numPr>
          <w:ilvl w:val="0"/>
          <w:numId w:val="0"/>
        </w:numPr>
        <w:ind w:hanging="720"/>
      </w:pPr>
      <w:r w:rsidRPr="00942352">
        <w:rPr>
          <w:sz w:val="20"/>
        </w:rPr>
        <w:t>53</w:t>
      </w:r>
      <w:r w:rsidRPr="00942352">
        <w:rPr>
          <w:sz w:val="20"/>
        </w:rPr>
        <w:tab/>
      </w:r>
      <w:r w:rsidR="0047315E" w:rsidRPr="00942352">
        <w:t>By contrast, three years after the purchase of the Seaforth property, in</w:t>
      </w:r>
      <w:r w:rsidR="00731E72" w:rsidRPr="00942352">
        <w:t xml:space="preserve"> 2005 the</w:t>
      </w:r>
      <w:r w:rsidR="0047315E" w:rsidRPr="00942352">
        <w:t xml:space="preserve"> </w:t>
      </w:r>
      <w:r w:rsidR="00731E72" w:rsidRPr="00942352">
        <w:t xml:space="preserve">Boyce Road property was purchased with the </w:t>
      </w:r>
      <w:r w:rsidR="00913878" w:rsidRPr="00942352">
        <w:t>bankrupt</w:t>
      </w:r>
      <w:r w:rsidR="00731E72" w:rsidRPr="00942352">
        <w:t xml:space="preserve"> as sole legal owner and then in 2008 the Anzac Parade </w:t>
      </w:r>
      <w:r w:rsidR="00AC3253" w:rsidRPr="00942352">
        <w:t>property</w:t>
      </w:r>
      <w:r w:rsidR="00731E72" w:rsidRPr="00942352">
        <w:t xml:space="preserve"> was acquired with the bankrupt as 99% legal owner and the respondent as 1% legal owner. Relevantly, in the intervening period, between the </w:t>
      </w:r>
      <w:r w:rsidR="006C3BC5" w:rsidRPr="00942352">
        <w:t>purchases</w:t>
      </w:r>
      <w:r w:rsidR="00731E72" w:rsidRPr="00942352">
        <w:t xml:space="preserve"> of these two properties, in July 2007, the bankrupt borrowed funds in the amount of $75,875, through ABL Nominees Pty Ltd, to invest in the Scheme. </w:t>
      </w:r>
      <w:r w:rsidR="0069737B" w:rsidRPr="00942352">
        <w:t>This uncontested sequence reveal</w:t>
      </w:r>
      <w:r w:rsidR="00964643" w:rsidRPr="00942352">
        <w:t>s</w:t>
      </w:r>
      <w:r w:rsidR="0069737B" w:rsidRPr="00942352">
        <w:t xml:space="preserve"> that over the period </w:t>
      </w:r>
      <w:r w:rsidR="006E61D8" w:rsidRPr="00942352">
        <w:t xml:space="preserve">from </w:t>
      </w:r>
      <w:r w:rsidR="0069737B" w:rsidRPr="00942352">
        <w:t>2005 to 2008 the bankrupt was investing in a number of different ventures</w:t>
      </w:r>
      <w:r w:rsidR="00731E72" w:rsidRPr="00942352">
        <w:t xml:space="preserve"> for which he held solely or substantially the title</w:t>
      </w:r>
      <w:r w:rsidR="0069737B" w:rsidRPr="00942352">
        <w:t xml:space="preserve">. </w:t>
      </w:r>
    </w:p>
    <w:p w14:paraId="1EABD652" w14:textId="4D7E4B27" w:rsidR="0020710B" w:rsidRPr="00942352" w:rsidRDefault="00155C95" w:rsidP="00155C95">
      <w:pPr>
        <w:pStyle w:val="ParaNumbering"/>
        <w:numPr>
          <w:ilvl w:val="0"/>
          <w:numId w:val="0"/>
        </w:numPr>
        <w:ind w:hanging="720"/>
      </w:pPr>
      <w:r w:rsidRPr="00942352">
        <w:rPr>
          <w:sz w:val="20"/>
        </w:rPr>
        <w:t>54</w:t>
      </w:r>
      <w:r w:rsidRPr="00942352">
        <w:rPr>
          <w:sz w:val="20"/>
        </w:rPr>
        <w:tab/>
      </w:r>
      <w:r w:rsidR="008737C5" w:rsidRPr="00942352">
        <w:t xml:space="preserve">The purchase of these two properties is relevant to the ultimate dispute between the parties because </w:t>
      </w:r>
      <w:r w:rsidR="006E3D49" w:rsidRPr="00942352">
        <w:t xml:space="preserve">part of </w:t>
      </w:r>
      <w:r w:rsidR="008737C5" w:rsidRPr="00942352">
        <w:t xml:space="preserve">the sale proceeds of these properties is, on the </w:t>
      </w:r>
      <w:r w:rsidR="0072486F" w:rsidRPr="00942352">
        <w:t>trustee</w:t>
      </w:r>
      <w:r w:rsidR="007A1045" w:rsidRPr="00942352">
        <w:t>’</w:t>
      </w:r>
      <w:r w:rsidR="008737C5" w:rsidRPr="00942352">
        <w:t xml:space="preserve">s </w:t>
      </w:r>
      <w:r w:rsidR="002E0C2F" w:rsidRPr="00942352">
        <w:t>case,</w:t>
      </w:r>
      <w:r w:rsidR="008737C5" w:rsidRPr="00942352">
        <w:t xml:space="preserve"> said to form the contribution to the purchase of the North Balgowlah property. Therefore, the determination of the beneficial ownership of the Boyce Road and Anzac Parade properties is relevant to the </w:t>
      </w:r>
      <w:r w:rsidR="0072486F" w:rsidRPr="00942352">
        <w:t>trustee</w:t>
      </w:r>
      <w:r w:rsidR="008737C5" w:rsidRPr="00942352">
        <w:t xml:space="preserve">’s resulting trust claim against the North Balgowlah property, the </w:t>
      </w:r>
      <w:r w:rsidR="0072486F" w:rsidRPr="00942352">
        <w:t>trustee</w:t>
      </w:r>
      <w:r w:rsidR="008737C5" w:rsidRPr="00942352">
        <w:t xml:space="preserve">’s s 139DA </w:t>
      </w:r>
      <w:r w:rsidR="008737C5" w:rsidRPr="00942352">
        <w:lastRenderedPageBreak/>
        <w:t xml:space="preserve">claim as it is said to </w:t>
      </w:r>
      <w:r w:rsidR="00E016E1" w:rsidRPr="00942352">
        <w:t>comprise</w:t>
      </w:r>
      <w:r w:rsidR="008737C5" w:rsidRPr="00942352">
        <w:t xml:space="preserve"> the “direct or indirect” source of the financial contribution, and </w:t>
      </w:r>
      <w:r w:rsidR="000E3547" w:rsidRPr="00942352">
        <w:t>his</w:t>
      </w:r>
      <w:r w:rsidR="008737C5" w:rsidRPr="00942352">
        <w:t xml:space="preserve"> </w:t>
      </w:r>
      <w:proofErr w:type="spellStart"/>
      <w:r w:rsidR="008737C5" w:rsidRPr="00942352">
        <w:t>ss</w:t>
      </w:r>
      <w:proofErr w:type="spellEnd"/>
      <w:r w:rsidR="008737C5" w:rsidRPr="00942352">
        <w:t xml:space="preserve"> 120 and 121 claims. </w:t>
      </w:r>
    </w:p>
    <w:p w14:paraId="40A22F26" w14:textId="39B77132" w:rsidR="0069737B" w:rsidRPr="00942352" w:rsidRDefault="00155C95" w:rsidP="00155C95">
      <w:pPr>
        <w:pStyle w:val="ParaNumbering"/>
        <w:numPr>
          <w:ilvl w:val="0"/>
          <w:numId w:val="0"/>
        </w:numPr>
        <w:ind w:hanging="720"/>
      </w:pPr>
      <w:r w:rsidRPr="00942352">
        <w:rPr>
          <w:sz w:val="20"/>
        </w:rPr>
        <w:t>55</w:t>
      </w:r>
      <w:r w:rsidRPr="00942352">
        <w:rPr>
          <w:sz w:val="20"/>
        </w:rPr>
        <w:tab/>
      </w:r>
      <w:r w:rsidR="00731E72" w:rsidRPr="00942352">
        <w:t>The contemporaneous</w:t>
      </w:r>
      <w:r w:rsidR="0069737B" w:rsidRPr="00942352">
        <w:t xml:space="preserve"> documentary </w:t>
      </w:r>
      <w:r w:rsidR="00731E72" w:rsidRPr="00942352">
        <w:t>evidence relating to</w:t>
      </w:r>
      <w:r w:rsidR="0069737B" w:rsidRPr="00942352">
        <w:t xml:space="preserve"> the purchase of both properties</w:t>
      </w:r>
      <w:r w:rsidR="00731E72" w:rsidRPr="00942352">
        <w:t xml:space="preserve"> revealed</w:t>
      </w:r>
      <w:r w:rsidR="0069737B" w:rsidRPr="00942352">
        <w:t xml:space="preserve"> that the bankrupt was represented by solicitors on both occasions</w:t>
      </w:r>
      <w:r w:rsidR="00731E72" w:rsidRPr="00942352">
        <w:t>,</w:t>
      </w:r>
      <w:r w:rsidR="0069737B" w:rsidRPr="00942352">
        <w:t xml:space="preserve"> who</w:t>
      </w:r>
      <w:r w:rsidR="00731E72" w:rsidRPr="00942352">
        <w:t xml:space="preserve"> it may be inferred</w:t>
      </w:r>
      <w:r w:rsidR="0069737B" w:rsidRPr="00942352">
        <w:t xml:space="preserve"> acted upon his instructions and from which it can be inferred that to the extent his interest is reflected in the title of both properties, it reflected intentional thought and consideration. </w:t>
      </w:r>
      <w:r w:rsidR="008230F7" w:rsidRPr="00942352">
        <w:t xml:space="preserve">This is </w:t>
      </w:r>
      <w:r w:rsidR="00EF6F29" w:rsidRPr="00942352">
        <w:t xml:space="preserve">consistent with what the bankrupt said during the examination regarding </w:t>
      </w:r>
      <w:r w:rsidR="00D410F7" w:rsidRPr="00942352">
        <w:t>how the</w:t>
      </w:r>
      <w:r w:rsidR="00EF6F29" w:rsidRPr="00942352">
        <w:t xml:space="preserve"> title </w:t>
      </w:r>
      <w:r w:rsidR="00D410F7" w:rsidRPr="00942352">
        <w:t xml:space="preserve">of the properties was </w:t>
      </w:r>
      <w:r w:rsidR="006D5B1D" w:rsidRPr="00942352">
        <w:t xml:space="preserve">determined, and that the bankrupt “would have” </w:t>
      </w:r>
      <w:r w:rsidR="00AA1286" w:rsidRPr="00942352">
        <w:t xml:space="preserve">had advice from lawyers and accountants about determining </w:t>
      </w:r>
      <w:r w:rsidR="002E1791" w:rsidRPr="00942352">
        <w:t xml:space="preserve">the title of the properties (as outlined above at </w:t>
      </w:r>
      <w:r w:rsidR="00547D5F" w:rsidRPr="00942352">
        <w:t>[</w:t>
      </w:r>
      <w:r w:rsidR="00547D5F" w:rsidRPr="00942352">
        <w:fldChar w:fldCharType="begin"/>
      </w:r>
      <w:r w:rsidR="00547D5F" w:rsidRPr="00942352">
        <w:instrText xml:space="preserve"> REF _Ref127787988 \r \h </w:instrText>
      </w:r>
      <w:r w:rsidR="00942352" w:rsidRPr="00942352">
        <w:instrText xml:space="preserve"> \* MERGEFORMAT </w:instrText>
      </w:r>
      <w:r w:rsidR="00547D5F" w:rsidRPr="00942352">
        <w:fldChar w:fldCharType="separate"/>
      </w:r>
      <w:r w:rsidR="002B380F">
        <w:t>34</w:t>
      </w:r>
      <w:r w:rsidR="00547D5F" w:rsidRPr="00942352">
        <w:fldChar w:fldCharType="end"/>
      </w:r>
      <w:r w:rsidR="00547D5F" w:rsidRPr="00942352">
        <w:t xml:space="preserve">]). </w:t>
      </w:r>
    </w:p>
    <w:p w14:paraId="3AB9CE77" w14:textId="3B3D4CC8" w:rsidR="005250B3" w:rsidRPr="00942352" w:rsidRDefault="00155C95" w:rsidP="00155C95">
      <w:pPr>
        <w:pStyle w:val="ParaNumbering"/>
        <w:numPr>
          <w:ilvl w:val="0"/>
          <w:numId w:val="0"/>
        </w:numPr>
        <w:ind w:hanging="720"/>
      </w:pPr>
      <w:r w:rsidRPr="00942352">
        <w:rPr>
          <w:sz w:val="20"/>
        </w:rPr>
        <w:t>56</w:t>
      </w:r>
      <w:r w:rsidRPr="00942352">
        <w:rPr>
          <w:sz w:val="20"/>
        </w:rPr>
        <w:tab/>
      </w:r>
      <w:r w:rsidR="0069737B" w:rsidRPr="00942352">
        <w:t>The bankrupt was the sole mortgag</w:t>
      </w:r>
      <w:r w:rsidR="00BD139A">
        <w:t>or for the Boyce Road property</w:t>
      </w:r>
      <w:r w:rsidR="0069737B" w:rsidRPr="00942352">
        <w:t>. Whereas both the bankrupt a</w:t>
      </w:r>
      <w:r w:rsidR="004F0241">
        <w:t>nd the respondent were mortgagor</w:t>
      </w:r>
      <w:r w:rsidR="0069737B" w:rsidRPr="00942352">
        <w:t>s for the Anzac Parade property.</w:t>
      </w:r>
      <w:r w:rsidR="00787869" w:rsidRPr="00942352">
        <w:t xml:space="preserve"> </w:t>
      </w:r>
      <w:r w:rsidR="00FD04CD" w:rsidRPr="00942352">
        <w:t>Not much can be made of this as t</w:t>
      </w:r>
      <w:r w:rsidR="00787869" w:rsidRPr="00942352">
        <w:t>here was no contemporaneous mortgage document</w:t>
      </w:r>
      <w:r w:rsidR="00681694" w:rsidRPr="00942352">
        <w:t>ation</w:t>
      </w:r>
      <w:r w:rsidR="00787869" w:rsidRPr="00942352">
        <w:t xml:space="preserve"> in evidence save for a letter from the bankrupt’s solicitor, dated 11 August 2005, to the solicitor for the vendor regarding the difficulties the bankrupt had had regarding obtaining finance and related delay. </w:t>
      </w:r>
      <w:r w:rsidR="00E12086" w:rsidRPr="00942352">
        <w:t>The bankrupt stated in the e</w:t>
      </w:r>
      <w:r w:rsidR="005250B3" w:rsidRPr="00942352">
        <w:t xml:space="preserve">xamination, in answer to questions regarding the mortgages of both properties, that </w:t>
      </w:r>
      <w:r w:rsidR="0086115B" w:rsidRPr="00942352">
        <w:t>“they we</w:t>
      </w:r>
      <w:r w:rsidR="004F0241">
        <w:t>re pretty much self-sufficient”.</w:t>
      </w:r>
    </w:p>
    <w:p w14:paraId="40821B1C" w14:textId="352A8501" w:rsidR="0069737B" w:rsidRPr="00942352" w:rsidRDefault="00155C95" w:rsidP="00155C95">
      <w:pPr>
        <w:pStyle w:val="ParaNumbering"/>
        <w:numPr>
          <w:ilvl w:val="0"/>
          <w:numId w:val="0"/>
        </w:numPr>
        <w:ind w:hanging="720"/>
      </w:pPr>
      <w:r w:rsidRPr="00942352">
        <w:rPr>
          <w:sz w:val="20"/>
        </w:rPr>
        <w:t>57</w:t>
      </w:r>
      <w:r w:rsidRPr="00942352">
        <w:rPr>
          <w:sz w:val="20"/>
        </w:rPr>
        <w:tab/>
      </w:r>
      <w:r w:rsidR="0069737B" w:rsidRPr="00942352">
        <w:t xml:space="preserve">Relevant to one’s consideration of what may be drawn from this documentary evidence is what may be drawn from past documentary evidence – as is evident from the purchase of the Fairlight and Seaforth properties, over time the bankrupt and respondent made conscious decisions putting the properties in their sole or joint names.  </w:t>
      </w:r>
    </w:p>
    <w:p w14:paraId="0F2909FC" w14:textId="29B9AA93" w:rsidR="00787869" w:rsidRPr="00942352" w:rsidRDefault="004F0241" w:rsidP="008E773A">
      <w:pPr>
        <w:pStyle w:val="Heading4"/>
      </w:pPr>
      <w:bookmarkStart w:id="57" w:name="_Ref126935778"/>
      <w:r>
        <w:t>Tax t</w:t>
      </w:r>
      <w:r w:rsidR="00787869" w:rsidRPr="00942352">
        <w:t>reatment</w:t>
      </w:r>
      <w:bookmarkEnd w:id="57"/>
    </w:p>
    <w:p w14:paraId="2623792E" w14:textId="07431FE0" w:rsidR="000A6903" w:rsidRPr="00942352" w:rsidRDefault="00155C95" w:rsidP="00155C95">
      <w:pPr>
        <w:pStyle w:val="ParaNumbering"/>
        <w:numPr>
          <w:ilvl w:val="0"/>
          <w:numId w:val="0"/>
        </w:numPr>
        <w:ind w:hanging="720"/>
      </w:pPr>
      <w:r w:rsidRPr="00942352">
        <w:rPr>
          <w:sz w:val="20"/>
        </w:rPr>
        <w:t>58</w:t>
      </w:r>
      <w:r w:rsidRPr="00942352">
        <w:rPr>
          <w:sz w:val="20"/>
        </w:rPr>
        <w:tab/>
      </w:r>
      <w:r w:rsidR="00787869" w:rsidRPr="00942352">
        <w:t>Evidence of the tax treatment of the properties was limited</w:t>
      </w:r>
      <w:r w:rsidR="00FD04CD" w:rsidRPr="00942352">
        <w:t xml:space="preserve"> and in my view does not support the conclusion for which the respondent contends</w:t>
      </w:r>
      <w:r w:rsidR="002D3431" w:rsidRPr="00942352">
        <w:t>, namely that the legal title of both properties should be disregarded and that both properties should be viewed as beneficially owned by both the respondent and bankrupt equally</w:t>
      </w:r>
      <w:r w:rsidR="00787869" w:rsidRPr="00942352">
        <w:t xml:space="preserve">. </w:t>
      </w:r>
    </w:p>
    <w:p w14:paraId="06EAB656" w14:textId="500FBFEF" w:rsidR="00986F06" w:rsidRPr="00942352" w:rsidRDefault="00155C95" w:rsidP="00155C95">
      <w:pPr>
        <w:pStyle w:val="ParaNumbering"/>
        <w:numPr>
          <w:ilvl w:val="0"/>
          <w:numId w:val="0"/>
        </w:numPr>
        <w:ind w:hanging="720"/>
      </w:pPr>
      <w:r w:rsidRPr="00942352">
        <w:rPr>
          <w:sz w:val="20"/>
        </w:rPr>
        <w:t>59</w:t>
      </w:r>
      <w:r w:rsidRPr="00942352">
        <w:rPr>
          <w:sz w:val="20"/>
        </w:rPr>
        <w:tab/>
      </w:r>
      <w:r w:rsidR="0080380A" w:rsidRPr="00942352">
        <w:t xml:space="preserve">There </w:t>
      </w:r>
      <w:r w:rsidR="00EE04A5" w:rsidRPr="00942352">
        <w:t>is no evidence of the properties’ tax treatment at the time of acquisition</w:t>
      </w:r>
      <w:r w:rsidR="00DF3E4E" w:rsidRPr="00942352">
        <w:t>. The</w:t>
      </w:r>
      <w:r w:rsidR="0080380A" w:rsidRPr="00942352">
        <w:t xml:space="preserve"> </w:t>
      </w:r>
      <w:r w:rsidR="004827F1" w:rsidRPr="00942352">
        <w:t xml:space="preserve">only </w:t>
      </w:r>
      <w:r w:rsidR="0080380A" w:rsidRPr="00942352">
        <w:t xml:space="preserve">tax returns regarding the properties </w:t>
      </w:r>
      <w:r w:rsidR="005C03BC" w:rsidRPr="00942352">
        <w:t xml:space="preserve">in evidence </w:t>
      </w:r>
      <w:r w:rsidR="0080380A" w:rsidRPr="00942352">
        <w:t xml:space="preserve">were </w:t>
      </w:r>
      <w:r w:rsidR="00DF3E4E" w:rsidRPr="00942352">
        <w:t>for the financial years ending 30 June 2010 – 2017.</w:t>
      </w:r>
      <w:r w:rsidR="0080380A" w:rsidRPr="00942352">
        <w:t xml:space="preserve"> </w:t>
      </w:r>
      <w:r w:rsidR="00EE04A5" w:rsidRPr="00942352">
        <w:t>Therefore</w:t>
      </w:r>
      <w:r w:rsidR="00737FE8" w:rsidRPr="00942352">
        <w:t>,</w:t>
      </w:r>
      <w:r w:rsidR="005C0DB4" w:rsidRPr="00942352">
        <w:t xml:space="preserve"> there were no returns until</w:t>
      </w:r>
      <w:r w:rsidR="00EE04A5" w:rsidRPr="00942352">
        <w:t xml:space="preserve"> five years after the purchase of the Boyce Road property and two years after the purchase of the Anzac Parade property. </w:t>
      </w:r>
      <w:r w:rsidR="008119B7" w:rsidRPr="00942352">
        <w:t>Those</w:t>
      </w:r>
      <w:r w:rsidR="00DF3E4E" w:rsidRPr="00942352">
        <w:t xml:space="preserve"> </w:t>
      </w:r>
      <w:r w:rsidR="00787869" w:rsidRPr="00942352">
        <w:t xml:space="preserve">tax returns </w:t>
      </w:r>
      <w:r w:rsidR="009C40CC" w:rsidRPr="00942352">
        <w:t>revealed</w:t>
      </w:r>
      <w:r w:rsidR="00787869" w:rsidRPr="00942352">
        <w:t xml:space="preserve"> a 50/50 split in the rental income/loss for both properties</w:t>
      </w:r>
      <w:r w:rsidR="00DC2261" w:rsidRPr="00942352">
        <w:t>.</w:t>
      </w:r>
      <w:r w:rsidR="004F0241">
        <w:t xml:space="preserve"> </w:t>
      </w:r>
      <w:r w:rsidR="00986F06" w:rsidRPr="00942352">
        <w:t xml:space="preserve">The bankrupt </w:t>
      </w:r>
      <w:r w:rsidR="007C2C4E" w:rsidRPr="00942352">
        <w:t xml:space="preserve">also </w:t>
      </w:r>
      <w:r w:rsidR="00986F06" w:rsidRPr="00942352">
        <w:t xml:space="preserve">provided </w:t>
      </w:r>
      <w:r w:rsidR="00986F06" w:rsidRPr="00942352">
        <w:lastRenderedPageBreak/>
        <w:t xml:space="preserve">a calculation from his accountant regarding the </w:t>
      </w:r>
      <w:r w:rsidR="007527C3">
        <w:t xml:space="preserve">capital </w:t>
      </w:r>
      <w:r w:rsidR="00986F06" w:rsidRPr="00942352">
        <w:t xml:space="preserve">gain for the Boyce Road </w:t>
      </w:r>
      <w:r w:rsidR="00AC3253" w:rsidRPr="00942352">
        <w:t>property</w:t>
      </w:r>
      <w:r w:rsidR="00986F06" w:rsidRPr="00942352">
        <w:t xml:space="preserve"> (purportedly split as between the respondent and the bankrupt).</w:t>
      </w:r>
    </w:p>
    <w:p w14:paraId="489B730E" w14:textId="192C3591" w:rsidR="00787869" w:rsidRPr="00942352" w:rsidRDefault="00155C95" w:rsidP="00155C95">
      <w:pPr>
        <w:pStyle w:val="ParaNumbering"/>
        <w:numPr>
          <w:ilvl w:val="0"/>
          <w:numId w:val="0"/>
        </w:numPr>
        <w:ind w:hanging="720"/>
      </w:pPr>
      <w:r w:rsidRPr="00942352">
        <w:rPr>
          <w:sz w:val="20"/>
        </w:rPr>
        <w:t>60</w:t>
      </w:r>
      <w:r w:rsidRPr="00942352">
        <w:rPr>
          <w:sz w:val="20"/>
        </w:rPr>
        <w:tab/>
      </w:r>
      <w:r w:rsidR="00986F06" w:rsidRPr="00942352">
        <w:t xml:space="preserve">Ultimately, I am of the view that little can be gained from the evidence regarding the tax treatment of the properties for the following reasons. </w:t>
      </w:r>
      <w:r w:rsidR="00986F06" w:rsidRPr="00942352">
        <w:rPr>
          <w:i/>
        </w:rPr>
        <w:t>First</w:t>
      </w:r>
      <w:r w:rsidR="00986F06" w:rsidRPr="004F0241">
        <w:t>,</w:t>
      </w:r>
      <w:r w:rsidR="00986F06" w:rsidRPr="00942352">
        <w:rPr>
          <w:i/>
        </w:rPr>
        <w:t xml:space="preserve"> </w:t>
      </w:r>
      <w:r w:rsidR="00986F06" w:rsidRPr="00942352">
        <w:t xml:space="preserve">the respondent and the bankrupt </w:t>
      </w:r>
      <w:r w:rsidR="00D12E4F" w:rsidRPr="00942352">
        <w:t xml:space="preserve">gave </w:t>
      </w:r>
      <w:r w:rsidR="00986F06" w:rsidRPr="00942352">
        <w:t xml:space="preserve">scant </w:t>
      </w:r>
      <w:r w:rsidR="00D12E4F" w:rsidRPr="00942352">
        <w:t xml:space="preserve">(and partly inconsistent) </w:t>
      </w:r>
      <w:r w:rsidR="00986F06" w:rsidRPr="00942352">
        <w:t xml:space="preserve">evidence as to their treatment at all. </w:t>
      </w:r>
      <w:r w:rsidR="00986F06" w:rsidRPr="00942352">
        <w:rPr>
          <w:i/>
        </w:rPr>
        <w:t>Secondly</w:t>
      </w:r>
      <w:r w:rsidR="00986F06" w:rsidRPr="004F0241">
        <w:t xml:space="preserve">, </w:t>
      </w:r>
      <w:r w:rsidR="00986F06" w:rsidRPr="00942352">
        <w:t xml:space="preserve">there were no contemporaneous tax return records in evidence. </w:t>
      </w:r>
      <w:r w:rsidR="00EE04A5" w:rsidRPr="00942352">
        <w:rPr>
          <w:i/>
        </w:rPr>
        <w:t>Thirdly</w:t>
      </w:r>
      <w:r w:rsidR="00EE04A5" w:rsidRPr="00942352">
        <w:t>, there was contemporaneous documentary evidence that in 2005 and later in 2008 that legal title remained predominantly in the bankrupt’s name.</w:t>
      </w:r>
      <w:r w:rsidR="00710E94" w:rsidRPr="00942352">
        <w:t xml:space="preserve"> </w:t>
      </w:r>
      <w:r w:rsidR="003E3912" w:rsidRPr="00942352">
        <w:rPr>
          <w:i/>
        </w:rPr>
        <w:t>Fourthly</w:t>
      </w:r>
      <w:r w:rsidR="003E3912" w:rsidRPr="00942352">
        <w:t>, as late as 2013, when applying to refinance their existing mortgage on the Seaforth property, the bankrupt and the respondent, when relying on both properties as security for the loan, describe them as being owned in a manner consistent with their legal title</w:t>
      </w:r>
      <w:r w:rsidR="0024320E" w:rsidRPr="00942352">
        <w:t>.</w:t>
      </w:r>
      <w:r w:rsidR="003E3912" w:rsidRPr="00942352">
        <w:t xml:space="preserve"> </w:t>
      </w:r>
    </w:p>
    <w:p w14:paraId="19E4132A" w14:textId="1C58E3E9" w:rsidR="003127AF" w:rsidRPr="00942352" w:rsidRDefault="00155C95" w:rsidP="00155C95">
      <w:pPr>
        <w:pStyle w:val="ParaNumbering"/>
        <w:numPr>
          <w:ilvl w:val="0"/>
          <w:numId w:val="0"/>
        </w:numPr>
        <w:ind w:hanging="720"/>
      </w:pPr>
      <w:r w:rsidRPr="00942352">
        <w:rPr>
          <w:sz w:val="20"/>
        </w:rPr>
        <w:t>61</w:t>
      </w:r>
      <w:r w:rsidRPr="00942352">
        <w:rPr>
          <w:sz w:val="20"/>
        </w:rPr>
        <w:tab/>
      </w:r>
      <w:r w:rsidR="003127AF" w:rsidRPr="00942352">
        <w:t>There was affidavit and oral evidence, including cross-examination on this issue</w:t>
      </w:r>
      <w:r w:rsidR="006B2394" w:rsidRPr="00942352">
        <w:t>.</w:t>
      </w:r>
    </w:p>
    <w:p w14:paraId="34D85D0F" w14:textId="3133693C" w:rsidR="0038508D" w:rsidRPr="00942352" w:rsidRDefault="00155C95" w:rsidP="00155C95">
      <w:pPr>
        <w:pStyle w:val="ParaNumbering"/>
        <w:numPr>
          <w:ilvl w:val="0"/>
          <w:numId w:val="0"/>
        </w:numPr>
        <w:ind w:hanging="720"/>
      </w:pPr>
      <w:r w:rsidRPr="00942352">
        <w:rPr>
          <w:sz w:val="20"/>
        </w:rPr>
        <w:t>62</w:t>
      </w:r>
      <w:r w:rsidRPr="00942352">
        <w:rPr>
          <w:sz w:val="20"/>
        </w:rPr>
        <w:tab/>
      </w:r>
      <w:r w:rsidR="00F97046" w:rsidRPr="00942352">
        <w:t xml:space="preserve">The </w:t>
      </w:r>
      <w:r w:rsidR="00A9637F" w:rsidRPr="00942352">
        <w:t>respondent</w:t>
      </w:r>
      <w:r w:rsidR="00F97046" w:rsidRPr="00942352">
        <w:t xml:space="preserve"> gave affidavit evidence regarding </w:t>
      </w:r>
      <w:r w:rsidR="00D1150F" w:rsidRPr="00942352">
        <w:t>her and the bankrupt’s</w:t>
      </w:r>
      <w:r w:rsidR="0038508D" w:rsidRPr="00942352">
        <w:t xml:space="preserve"> intention </w:t>
      </w:r>
      <w:r w:rsidR="00F008BB" w:rsidRPr="00942352">
        <w:t>with respect to</w:t>
      </w:r>
      <w:r w:rsidR="0038508D" w:rsidRPr="00942352">
        <w:t xml:space="preserve"> the Boyce Road and Anzac Parade properties</w:t>
      </w:r>
      <w:r w:rsidR="007520A8" w:rsidRPr="00942352">
        <w:t xml:space="preserve"> to the effect that</w:t>
      </w:r>
      <w:r w:rsidR="00CB1136" w:rsidRPr="00942352">
        <w:t xml:space="preserve"> it was intended that they were</w:t>
      </w:r>
      <w:r w:rsidR="005D75DD" w:rsidRPr="00942352">
        <w:t xml:space="preserve"> </w:t>
      </w:r>
      <w:r w:rsidR="0038508D" w:rsidRPr="00942352">
        <w:t>to be held jointly by them</w:t>
      </w:r>
      <w:r w:rsidR="00F97046" w:rsidRPr="00942352">
        <w:t>. As will be revealed, this evidence was very scant in detail and</w:t>
      </w:r>
      <w:r w:rsidR="0038508D" w:rsidRPr="00942352">
        <w:t xml:space="preserve"> comprised largely recall without </w:t>
      </w:r>
      <w:r w:rsidR="004F0241">
        <w:t xml:space="preserve">supporting </w:t>
      </w:r>
      <w:r w:rsidR="0038508D" w:rsidRPr="00942352">
        <w:t>contemporaneous documentary evidence. This evidence must be assessed within the context of the objective facts revealed by the documentary evidence.</w:t>
      </w:r>
    </w:p>
    <w:p w14:paraId="025D2C4D" w14:textId="68416E5A" w:rsidR="005A2140" w:rsidRPr="00942352" w:rsidRDefault="00155C95" w:rsidP="00155C95">
      <w:pPr>
        <w:pStyle w:val="ParaNumbering"/>
        <w:numPr>
          <w:ilvl w:val="0"/>
          <w:numId w:val="0"/>
        </w:numPr>
        <w:ind w:hanging="720"/>
      </w:pPr>
      <w:r w:rsidRPr="00942352">
        <w:rPr>
          <w:sz w:val="20"/>
        </w:rPr>
        <w:t>63</w:t>
      </w:r>
      <w:r w:rsidRPr="00942352">
        <w:rPr>
          <w:sz w:val="20"/>
        </w:rPr>
        <w:tab/>
      </w:r>
      <w:r w:rsidR="0038508D" w:rsidRPr="00942352">
        <w:t xml:space="preserve">In the respondent’s affidavit, the respondent gave evidence of </w:t>
      </w:r>
      <w:r w:rsidR="00CD3072" w:rsidRPr="00942352">
        <w:t xml:space="preserve">an </w:t>
      </w:r>
      <w:r w:rsidR="0038508D" w:rsidRPr="00942352">
        <w:t xml:space="preserve">undated conversation between herself and the bankrupt that the impetus of the “investment” activity was her idea to save money for the education of their own children (where by 2004 the respondent had had the first of their three children). </w:t>
      </w:r>
      <w:r w:rsidR="00C01D63" w:rsidRPr="00942352">
        <w:t xml:space="preserve">By contrast, the bankrupt’s </w:t>
      </w:r>
      <w:r w:rsidR="005A2140" w:rsidRPr="00942352">
        <w:t xml:space="preserve">evidence </w:t>
      </w:r>
      <w:r w:rsidR="00C01D63" w:rsidRPr="00942352">
        <w:t xml:space="preserve">was </w:t>
      </w:r>
      <w:r w:rsidR="005A2140" w:rsidRPr="00942352">
        <w:t>that it was his “financial advisor” who had suggested “[</w:t>
      </w:r>
      <w:r w:rsidR="005A2140" w:rsidRPr="00942352">
        <w:rPr>
          <w:i/>
        </w:rPr>
        <w:t>he</w:t>
      </w:r>
      <w:r w:rsidR="005A2140" w:rsidRPr="00942352">
        <w:t xml:space="preserve">] buy an investment property” (emphasis added). </w:t>
      </w:r>
      <w:r w:rsidR="00827357" w:rsidRPr="00942352">
        <w:t>However, the bankrupt changed his evidence regarding the same under cross-examination.</w:t>
      </w:r>
    </w:p>
    <w:p w14:paraId="6F7D91CF" w14:textId="5C4543A8" w:rsidR="0038508D" w:rsidRPr="00942352" w:rsidRDefault="00155C95" w:rsidP="00155C95">
      <w:pPr>
        <w:pStyle w:val="ParaNumbering"/>
        <w:numPr>
          <w:ilvl w:val="0"/>
          <w:numId w:val="0"/>
        </w:numPr>
        <w:ind w:hanging="720"/>
      </w:pPr>
      <w:r w:rsidRPr="00942352">
        <w:rPr>
          <w:sz w:val="20"/>
        </w:rPr>
        <w:t>64</w:t>
      </w:r>
      <w:r w:rsidRPr="00942352">
        <w:rPr>
          <w:sz w:val="20"/>
        </w:rPr>
        <w:tab/>
      </w:r>
      <w:r w:rsidR="0038508D" w:rsidRPr="00942352">
        <w:t>The respondent gave evidence of a conversation in 2005 where the bankrupt told her that he had found a property but that the “first one” would need to be in his name so he could “negatively gear it”</w:t>
      </w:r>
      <w:r w:rsidR="00F97046" w:rsidRPr="00942352">
        <w:t>.</w:t>
      </w:r>
    </w:p>
    <w:p w14:paraId="53C3989C" w14:textId="31CC879E" w:rsidR="0069737B" w:rsidRPr="00942352" w:rsidRDefault="00155C95" w:rsidP="00155C95">
      <w:pPr>
        <w:pStyle w:val="ParaNumbering"/>
        <w:numPr>
          <w:ilvl w:val="0"/>
          <w:numId w:val="0"/>
        </w:numPr>
        <w:ind w:hanging="720"/>
      </w:pPr>
      <w:bookmarkStart w:id="58" w:name="_Ref122447181"/>
      <w:r w:rsidRPr="00942352">
        <w:rPr>
          <w:sz w:val="20"/>
        </w:rPr>
        <w:t>65</w:t>
      </w:r>
      <w:r w:rsidRPr="00942352">
        <w:rPr>
          <w:sz w:val="20"/>
        </w:rPr>
        <w:tab/>
      </w:r>
      <w:r w:rsidR="00F97046" w:rsidRPr="00942352">
        <w:t xml:space="preserve">The respondent then deposed to the following, in </w:t>
      </w:r>
      <w:r w:rsidR="004F0241">
        <w:t>three</w:t>
      </w:r>
      <w:r w:rsidR="00F97046" w:rsidRPr="00942352">
        <w:t xml:space="preserve"> short paragraphs, regarding the processes associated with the purchase of both properties:</w:t>
      </w:r>
      <w:bookmarkEnd w:id="58"/>
    </w:p>
    <w:p w14:paraId="59443050" w14:textId="5DDCC572" w:rsidR="00F70841" w:rsidRPr="00942352" w:rsidRDefault="00F70841" w:rsidP="00F70841">
      <w:pPr>
        <w:pStyle w:val="Quote1"/>
        <w:ind w:left="1440" w:hanging="703"/>
        <w:rPr>
          <w:szCs w:val="22"/>
          <w:lang w:eastAsia="en-AU"/>
        </w:rPr>
      </w:pPr>
      <w:r w:rsidRPr="00942352">
        <w:rPr>
          <w:szCs w:val="22"/>
          <w:lang w:eastAsia="en-AU"/>
        </w:rPr>
        <w:t xml:space="preserve">29. </w:t>
      </w:r>
      <w:r w:rsidRPr="00942352">
        <w:rPr>
          <w:szCs w:val="22"/>
          <w:lang w:eastAsia="en-AU"/>
        </w:rPr>
        <w:tab/>
        <w:t xml:space="preserve">I recall signing new mortgage documents for both Sydney Road and unit 305 Anzac Parade. The builder provided two different specifications for colours </w:t>
      </w:r>
      <w:r w:rsidRPr="00942352">
        <w:rPr>
          <w:szCs w:val="22"/>
          <w:lang w:eastAsia="en-AU"/>
        </w:rPr>
        <w:lastRenderedPageBreak/>
        <w:t>carpet and other items. I reviewed these and made the selections to complete the building.</w:t>
      </w:r>
    </w:p>
    <w:p w14:paraId="27FE5763" w14:textId="5DD8B7D1" w:rsidR="00F70841" w:rsidRPr="00942352" w:rsidRDefault="00F70841" w:rsidP="00F70841">
      <w:pPr>
        <w:pStyle w:val="Quote1"/>
        <w:rPr>
          <w:szCs w:val="22"/>
          <w:lang w:eastAsia="en-AU"/>
        </w:rPr>
      </w:pPr>
      <w:r w:rsidRPr="00942352">
        <w:rPr>
          <w:szCs w:val="22"/>
          <w:lang w:eastAsia="en-AU"/>
        </w:rPr>
        <w:t xml:space="preserve">30. </w:t>
      </w:r>
      <w:r w:rsidRPr="00942352">
        <w:rPr>
          <w:szCs w:val="22"/>
          <w:lang w:eastAsia="en-AU"/>
        </w:rPr>
        <w:tab/>
        <w:t>In 2006 I gave birth to our second child.</w:t>
      </w:r>
    </w:p>
    <w:p w14:paraId="14507F9C" w14:textId="74FEF8AF" w:rsidR="00F70841" w:rsidRPr="00942352" w:rsidRDefault="00F70841" w:rsidP="00F70841">
      <w:pPr>
        <w:pStyle w:val="Quote1"/>
        <w:ind w:left="1440" w:hanging="703"/>
        <w:rPr>
          <w:szCs w:val="22"/>
          <w:lang w:eastAsia="en-AU"/>
        </w:rPr>
      </w:pPr>
      <w:r w:rsidRPr="00942352">
        <w:rPr>
          <w:szCs w:val="22"/>
          <w:lang w:eastAsia="en-AU"/>
        </w:rPr>
        <w:t xml:space="preserve">31. </w:t>
      </w:r>
      <w:r w:rsidRPr="00942352">
        <w:rPr>
          <w:szCs w:val="22"/>
          <w:lang w:eastAsia="en-AU"/>
        </w:rPr>
        <w:tab/>
        <w:t>In about April 2008 James and I inspected unit 505 in Boyce Parade, Maroubra. We purchased it. I was registered as a 1% owner. I recall J</w:t>
      </w:r>
      <w:r w:rsidR="00724C39" w:rsidRPr="00942352">
        <w:rPr>
          <w:szCs w:val="22"/>
          <w:lang w:eastAsia="en-AU"/>
        </w:rPr>
        <w:t xml:space="preserve">ames told me </w:t>
      </w:r>
      <w:r w:rsidR="005434A9" w:rsidRPr="00942352">
        <w:rPr>
          <w:szCs w:val="22"/>
          <w:lang w:eastAsia="en-AU"/>
        </w:rPr>
        <w:t>“</w:t>
      </w:r>
      <w:r w:rsidRPr="00942352">
        <w:rPr>
          <w:szCs w:val="22"/>
          <w:lang w:eastAsia="en-AU"/>
        </w:rPr>
        <w:t>The bank requires your name on title.</w:t>
      </w:r>
      <w:r w:rsidR="005434A9" w:rsidRPr="00942352">
        <w:rPr>
          <w:szCs w:val="22"/>
          <w:lang w:eastAsia="en-AU"/>
        </w:rPr>
        <w:t>”</w:t>
      </w:r>
      <w:r w:rsidRPr="00942352">
        <w:rPr>
          <w:szCs w:val="22"/>
          <w:lang w:eastAsia="en-AU"/>
        </w:rPr>
        <w:t xml:space="preserve"> After it was acquired I again I </w:t>
      </w:r>
      <w:r w:rsidR="007527C3">
        <w:rPr>
          <w:szCs w:val="22"/>
          <w:lang w:eastAsia="en-AU"/>
        </w:rPr>
        <w:t xml:space="preserve">[sic] </w:t>
      </w:r>
      <w:r w:rsidRPr="00942352">
        <w:rPr>
          <w:szCs w:val="22"/>
          <w:lang w:eastAsia="en-AU"/>
        </w:rPr>
        <w:t>spent some of my time selecting the internal finishes that the builder made available and I arranged for the inclusion of an internal wall that converted the study nook into a small bedroom. We were using Infinity Properties to manage the unit and they arranged the tradesmen to complete the internal wall.</w:t>
      </w:r>
    </w:p>
    <w:p w14:paraId="5A0B8F2F" w14:textId="4427469B" w:rsidR="009A3C83" w:rsidRPr="00942352" w:rsidRDefault="00155C95" w:rsidP="00155C95">
      <w:pPr>
        <w:pStyle w:val="ParaNumbering"/>
        <w:numPr>
          <w:ilvl w:val="0"/>
          <w:numId w:val="0"/>
        </w:numPr>
        <w:ind w:hanging="720"/>
      </w:pPr>
      <w:r w:rsidRPr="00942352">
        <w:rPr>
          <w:sz w:val="20"/>
        </w:rPr>
        <w:t>66</w:t>
      </w:r>
      <w:r w:rsidRPr="00942352">
        <w:rPr>
          <w:sz w:val="20"/>
        </w:rPr>
        <w:tab/>
      </w:r>
      <w:r w:rsidR="009A3C83" w:rsidRPr="00942352">
        <w:t>Under cross-examination, the respondent maintained that the legal title of both properties reflected professional advice for negative gearing purposes, the bankrupt’s income was higher and</w:t>
      </w:r>
      <w:r w:rsidR="004F0241">
        <w:t xml:space="preserve"> his income funded the mortgage.</w:t>
      </w:r>
    </w:p>
    <w:p w14:paraId="617BF864" w14:textId="450C8751" w:rsidR="00F97046" w:rsidRPr="00942352" w:rsidRDefault="00155C95" w:rsidP="00155C95">
      <w:pPr>
        <w:pStyle w:val="ParaNumbering"/>
        <w:numPr>
          <w:ilvl w:val="0"/>
          <w:numId w:val="0"/>
        </w:numPr>
        <w:ind w:hanging="720"/>
      </w:pPr>
      <w:bookmarkStart w:id="59" w:name="_Ref127887369"/>
      <w:r w:rsidRPr="00942352">
        <w:rPr>
          <w:sz w:val="20"/>
        </w:rPr>
        <w:t>67</w:t>
      </w:r>
      <w:r w:rsidRPr="00942352">
        <w:rPr>
          <w:sz w:val="20"/>
        </w:rPr>
        <w:tab/>
      </w:r>
      <w:r w:rsidR="005A2140" w:rsidRPr="00942352">
        <w:t>The bankrupt deposed to the following regarding the purchase of the two properties</w:t>
      </w:r>
      <w:r w:rsidR="007B590B" w:rsidRPr="00942352">
        <w:t>, though there was cross-examination regarding</w:t>
      </w:r>
      <w:r w:rsidR="00CF255D" w:rsidRPr="00942352">
        <w:t xml:space="preserve"> paragraph</w:t>
      </w:r>
      <w:r w:rsidR="007B590B" w:rsidRPr="00942352">
        <w:t xml:space="preserve"> [34]</w:t>
      </w:r>
      <w:r w:rsidR="0061449F" w:rsidRPr="00942352">
        <w:t xml:space="preserve"> (dealt with below)</w:t>
      </w:r>
      <w:r w:rsidR="005A2140" w:rsidRPr="00942352">
        <w:t>:</w:t>
      </w:r>
      <w:bookmarkEnd w:id="59"/>
    </w:p>
    <w:p w14:paraId="71197982" w14:textId="6A5838A2" w:rsidR="002E1F69" w:rsidRPr="00942352" w:rsidRDefault="002E1F69" w:rsidP="002E1F69">
      <w:pPr>
        <w:pStyle w:val="Quote1"/>
        <w:ind w:left="1440" w:hanging="703"/>
        <w:rPr>
          <w:szCs w:val="22"/>
          <w:lang w:eastAsia="en-AU"/>
        </w:rPr>
      </w:pPr>
      <w:r w:rsidRPr="00942352">
        <w:rPr>
          <w:szCs w:val="22"/>
          <w:lang w:eastAsia="en-AU"/>
        </w:rPr>
        <w:t xml:space="preserve">34. </w:t>
      </w:r>
      <w:r w:rsidRPr="00942352">
        <w:rPr>
          <w:szCs w:val="22"/>
          <w:lang w:eastAsia="en-AU"/>
        </w:rPr>
        <w:tab/>
        <w:t>In about 2004 or 2005 I recall that Mellissa and I had a discussion in words to the effect:</w:t>
      </w:r>
    </w:p>
    <w:p w14:paraId="5BB3A26F" w14:textId="133D99A6" w:rsidR="002E1F69" w:rsidRPr="004A5066" w:rsidRDefault="002E1F69" w:rsidP="004A5066">
      <w:pPr>
        <w:pStyle w:val="Quote1"/>
        <w:ind w:left="1440"/>
        <w:rPr>
          <w:i/>
          <w:lang w:eastAsia="en-AU"/>
        </w:rPr>
      </w:pPr>
      <w:r w:rsidRPr="004A5066">
        <w:rPr>
          <w:i/>
          <w:lang w:eastAsia="en-AU"/>
        </w:rPr>
        <w:t>“My financial advisor has suggested that I buy an investment property. To do that there will be a need to use the equity from Sydney Road.”</w:t>
      </w:r>
    </w:p>
    <w:p w14:paraId="156B5D96" w14:textId="77777777" w:rsidR="002E1F69" w:rsidRPr="00942352" w:rsidRDefault="002E1F69" w:rsidP="004A5066">
      <w:pPr>
        <w:pStyle w:val="Quote1"/>
        <w:ind w:left="1440"/>
        <w:rPr>
          <w:lang w:eastAsia="en-AU"/>
        </w:rPr>
      </w:pPr>
      <w:r w:rsidRPr="00942352">
        <w:rPr>
          <w:lang w:eastAsia="en-AU"/>
        </w:rPr>
        <w:t>Mellissa said words to the effect:</w:t>
      </w:r>
    </w:p>
    <w:p w14:paraId="52F20521" w14:textId="144DD208" w:rsidR="002E1F69" w:rsidRPr="00942352" w:rsidRDefault="002E1F69" w:rsidP="00E46939">
      <w:pPr>
        <w:pStyle w:val="Quote1"/>
        <w:ind w:left="1440"/>
        <w:rPr>
          <w:i/>
          <w:lang w:eastAsia="en-AU"/>
        </w:rPr>
      </w:pPr>
      <w:r w:rsidRPr="00942352">
        <w:rPr>
          <w:i/>
          <w:lang w:eastAsia="en-AU"/>
        </w:rPr>
        <w:t>“Yes. We can own them together. It will be good to have investment property</w:t>
      </w:r>
      <w:r w:rsidR="00AE080C" w:rsidRPr="00942352">
        <w:rPr>
          <w:i/>
          <w:lang w:eastAsia="en-AU"/>
        </w:rPr>
        <w:t xml:space="preserve"> </w:t>
      </w:r>
      <w:r w:rsidR="00AE080C" w:rsidRPr="007527C3">
        <w:rPr>
          <w:lang w:eastAsia="en-AU"/>
        </w:rPr>
        <w:t>[sic]</w:t>
      </w:r>
      <w:r w:rsidRPr="00942352">
        <w:rPr>
          <w:i/>
          <w:lang w:eastAsia="en-AU"/>
        </w:rPr>
        <w:t xml:space="preserve"> together.”</w:t>
      </w:r>
    </w:p>
    <w:p w14:paraId="31FBB7E8" w14:textId="1A93CB55" w:rsidR="002E1F69" w:rsidRPr="00942352" w:rsidRDefault="002E1F69" w:rsidP="002E1F69">
      <w:pPr>
        <w:pStyle w:val="Quote1"/>
        <w:ind w:left="1440" w:hanging="703"/>
        <w:rPr>
          <w:szCs w:val="22"/>
          <w:lang w:eastAsia="en-AU"/>
        </w:rPr>
      </w:pPr>
      <w:r w:rsidRPr="00942352">
        <w:rPr>
          <w:szCs w:val="22"/>
          <w:lang w:eastAsia="en-AU"/>
        </w:rPr>
        <w:t xml:space="preserve">35. </w:t>
      </w:r>
      <w:r w:rsidRPr="00942352">
        <w:rPr>
          <w:szCs w:val="22"/>
          <w:lang w:eastAsia="en-AU"/>
        </w:rPr>
        <w:tab/>
        <w:t>We looked at buying two units in Maroubra off the plan. We saw a display unit together. Mellissa chose the colours and floor coverings. The two units were in the same complex but had different street addresses. They were purchased a couple of years apart because one took longer to build than the other.</w:t>
      </w:r>
    </w:p>
    <w:p w14:paraId="60D5219F" w14:textId="43987CF3" w:rsidR="002E1F69" w:rsidRPr="00942352" w:rsidRDefault="002E1F69" w:rsidP="002E1F69">
      <w:pPr>
        <w:pStyle w:val="Quote1"/>
        <w:ind w:left="1440" w:hanging="703"/>
        <w:rPr>
          <w:szCs w:val="22"/>
          <w:lang w:eastAsia="en-AU"/>
        </w:rPr>
      </w:pPr>
      <w:r w:rsidRPr="00942352">
        <w:rPr>
          <w:szCs w:val="22"/>
          <w:lang w:eastAsia="en-AU"/>
        </w:rPr>
        <w:t xml:space="preserve">36. </w:t>
      </w:r>
      <w:r w:rsidRPr="00942352">
        <w:rPr>
          <w:szCs w:val="22"/>
          <w:lang w:eastAsia="en-AU"/>
        </w:rPr>
        <w:tab/>
        <w:t xml:space="preserve">The first unit purchased was apartment 305 in Anzac </w:t>
      </w:r>
      <w:proofErr w:type="spellStart"/>
      <w:r w:rsidRPr="00942352">
        <w:rPr>
          <w:szCs w:val="22"/>
          <w:lang w:eastAsia="en-AU"/>
        </w:rPr>
        <w:t>Pde</w:t>
      </w:r>
      <w:proofErr w:type="spellEnd"/>
      <w:r w:rsidRPr="00942352">
        <w:rPr>
          <w:szCs w:val="22"/>
          <w:lang w:eastAsia="en-AU"/>
        </w:rPr>
        <w:t xml:space="preserve"> Maroubra. This was in 2005. I cannot now recall exactly why my name only was on the contract. Annexed hereto from page 11-12 of the Exhibit and marked JEM 1 is a true copy of the settlement sheet noting the payout of the then mortgage over Seaforth so that it could be used as security for the purchase of the Anzac Parade property in my sole name.</w:t>
      </w:r>
    </w:p>
    <w:p w14:paraId="09B83141" w14:textId="2FC13C1D" w:rsidR="002E1F69" w:rsidRPr="00942352" w:rsidRDefault="002E1F69" w:rsidP="002E1F69">
      <w:pPr>
        <w:pStyle w:val="Quote1"/>
        <w:ind w:left="1440" w:hanging="703"/>
        <w:rPr>
          <w:szCs w:val="22"/>
          <w:lang w:eastAsia="en-AU"/>
        </w:rPr>
      </w:pPr>
      <w:r w:rsidRPr="00942352">
        <w:rPr>
          <w:szCs w:val="22"/>
          <w:lang w:eastAsia="en-AU"/>
        </w:rPr>
        <w:t xml:space="preserve">37. </w:t>
      </w:r>
      <w:r w:rsidRPr="00942352">
        <w:rPr>
          <w:szCs w:val="22"/>
          <w:lang w:eastAsia="en-AU"/>
        </w:rPr>
        <w:tab/>
      </w:r>
      <w:r w:rsidR="00346FBD" w:rsidRPr="00942352">
        <w:rPr>
          <w:szCs w:val="22"/>
          <w:lang w:eastAsia="en-AU"/>
        </w:rPr>
        <w:t>…</w:t>
      </w:r>
      <w:r w:rsidRPr="00942352">
        <w:rPr>
          <w:szCs w:val="22"/>
          <w:lang w:eastAsia="en-AU"/>
        </w:rPr>
        <w:t>I recall seeking my accountant’s advice for the best taxation benefits available from the investment properties.</w:t>
      </w:r>
    </w:p>
    <w:p w14:paraId="4539407F" w14:textId="4165509F" w:rsidR="002E1F69" w:rsidRPr="00942352" w:rsidRDefault="002E1F69" w:rsidP="002E1F69">
      <w:pPr>
        <w:pStyle w:val="Quote1"/>
        <w:ind w:left="1440" w:hanging="703"/>
      </w:pPr>
      <w:r w:rsidRPr="00942352">
        <w:t xml:space="preserve">38. </w:t>
      </w:r>
      <w:r w:rsidRPr="00942352">
        <w:tab/>
        <w:t xml:space="preserve">A second investment property was acquired by Mellissa and </w:t>
      </w:r>
      <w:proofErr w:type="gramStart"/>
      <w:r w:rsidRPr="00942352">
        <w:t>I</w:t>
      </w:r>
      <w:proofErr w:type="gramEnd"/>
      <w:r w:rsidRPr="00942352">
        <w:t xml:space="preserve"> at Boyce Road Maroubra in about 2008. Annexed at page 13-16 of the Exhibit marked JEM1 is a true copy of my </w:t>
      </w:r>
      <w:proofErr w:type="gramStart"/>
      <w:r w:rsidRPr="00942352">
        <w:t>solicitors</w:t>
      </w:r>
      <w:proofErr w:type="gramEnd"/>
      <w:r w:rsidRPr="00942352">
        <w:t xml:space="preserve"> settlement letter and settlement sheet.</w:t>
      </w:r>
    </w:p>
    <w:p w14:paraId="66D2BD99" w14:textId="7F3F6111" w:rsidR="002E1F69" w:rsidRPr="00942352" w:rsidRDefault="002E1F69" w:rsidP="002E1F69">
      <w:pPr>
        <w:pStyle w:val="Quote1"/>
        <w:ind w:left="1440" w:hanging="703"/>
      </w:pPr>
      <w:r w:rsidRPr="00942352">
        <w:t>(Emphasis in original</w:t>
      </w:r>
      <w:r w:rsidR="008D24C5" w:rsidRPr="00942352">
        <w:t>.)</w:t>
      </w:r>
    </w:p>
    <w:p w14:paraId="3E5626D3" w14:textId="10AC8239" w:rsidR="000A6903" w:rsidRPr="00942352" w:rsidRDefault="00155C95" w:rsidP="00155C95">
      <w:pPr>
        <w:pStyle w:val="ParaNumbering"/>
        <w:numPr>
          <w:ilvl w:val="0"/>
          <w:numId w:val="0"/>
        </w:numPr>
        <w:ind w:hanging="720"/>
      </w:pPr>
      <w:r w:rsidRPr="00942352">
        <w:rPr>
          <w:sz w:val="20"/>
        </w:rPr>
        <w:t>68</w:t>
      </w:r>
      <w:r w:rsidRPr="00942352">
        <w:rPr>
          <w:sz w:val="20"/>
        </w:rPr>
        <w:tab/>
      </w:r>
      <w:r w:rsidR="000A6903" w:rsidRPr="00942352">
        <w:t xml:space="preserve">Despite the bankrupt deposing to </w:t>
      </w:r>
      <w:proofErr w:type="gramStart"/>
      <w:r w:rsidR="000A6903" w:rsidRPr="00942352">
        <w:t>having</w:t>
      </w:r>
      <w:proofErr w:type="gramEnd"/>
      <w:r w:rsidR="000A6903" w:rsidRPr="00942352">
        <w:t xml:space="preserve"> a conversation with his wife in which he stated that his “financial advisor” had suggested that he “buy” an investment property, the bankrupt </w:t>
      </w:r>
      <w:r w:rsidR="000A6903" w:rsidRPr="00942352">
        <w:lastRenderedPageBreak/>
        <w:t>changed his evidence under cross-examination claiming that he had not had a financial advisor, he remembered only having a “broker” and a “general conversation</w:t>
      </w:r>
      <w:r w:rsidR="00E744D5" w:rsidRPr="00942352">
        <w:t>”</w:t>
      </w:r>
      <w:r w:rsidR="000A6903" w:rsidRPr="00942352">
        <w:t xml:space="preserve">. This was in </w:t>
      </w:r>
      <w:r w:rsidR="00294B5C" w:rsidRPr="00942352">
        <w:t xml:space="preserve">stark </w:t>
      </w:r>
      <w:r w:rsidR="000A6903" w:rsidRPr="00942352">
        <w:t xml:space="preserve">contrast with what the bankrupt had said in the </w:t>
      </w:r>
      <w:r w:rsidR="002C4E1D" w:rsidRPr="00942352">
        <w:t>e</w:t>
      </w:r>
      <w:r w:rsidR="000A6903" w:rsidRPr="00942352">
        <w:t>xamination</w:t>
      </w:r>
      <w:r w:rsidR="004F0241">
        <w:t xml:space="preserve"> previously</w:t>
      </w:r>
      <w:r w:rsidR="000A6903" w:rsidRPr="00942352">
        <w:t>, where he had</w:t>
      </w:r>
      <w:r w:rsidR="004F0241">
        <w:t xml:space="preserve"> </w:t>
      </w:r>
      <w:r w:rsidR="000A6903" w:rsidRPr="00942352">
        <w:t>stated:</w:t>
      </w:r>
    </w:p>
    <w:p w14:paraId="5050EC2E" w14:textId="753AF4EE" w:rsidR="00786D93" w:rsidRPr="00942352" w:rsidRDefault="00786D93" w:rsidP="00786D93">
      <w:pPr>
        <w:pStyle w:val="Quote1"/>
      </w:pPr>
      <w:r w:rsidRPr="00942352">
        <w:t>MR MULLETTE: And Boyce Road was purchased in your sole name, wasn’t it?</w:t>
      </w:r>
    </w:p>
    <w:p w14:paraId="4B818F28" w14:textId="77777777" w:rsidR="00786D93" w:rsidRPr="00942352" w:rsidRDefault="00786D93" w:rsidP="00786D93">
      <w:pPr>
        <w:pStyle w:val="Quote1"/>
      </w:pPr>
      <w:r w:rsidRPr="00942352">
        <w:t>WITNESS: Yes, I believe so.</w:t>
      </w:r>
    </w:p>
    <w:p w14:paraId="445DC154" w14:textId="5DE85702" w:rsidR="00786D93" w:rsidRPr="00942352" w:rsidRDefault="00786D93" w:rsidP="00786D93">
      <w:pPr>
        <w:pStyle w:val="Quote1"/>
      </w:pPr>
      <w:r w:rsidRPr="00942352">
        <w:t>MR MULLETTE: And was there a particular reason for that?</w:t>
      </w:r>
    </w:p>
    <w:p w14:paraId="04D4004D" w14:textId="098F2A80" w:rsidR="009D4300" w:rsidRPr="00942352" w:rsidRDefault="00786D93" w:rsidP="00786D93">
      <w:pPr>
        <w:pStyle w:val="Quote1"/>
      </w:pPr>
      <w:r w:rsidRPr="00942352">
        <w:t xml:space="preserve">WITNESS: I don’t remember, but there must have been, otherwise we wouldn’t have done it. So it would have been advice from the lawyers or from – from the accountants. </w:t>
      </w:r>
    </w:p>
    <w:p w14:paraId="30F023A5" w14:textId="554C239D" w:rsidR="006B1C45" w:rsidRPr="00942352" w:rsidRDefault="006B1C45" w:rsidP="006B1C45">
      <w:pPr>
        <w:pStyle w:val="Quote1"/>
      </w:pPr>
      <w:r w:rsidRPr="00942352">
        <w:t>MR MULLETTE: Right. Without asking you to tell us what that advice was, do you have a specific recollection of receiving advice from any lawyer or accountant?</w:t>
      </w:r>
    </w:p>
    <w:p w14:paraId="0FF8F9F5" w14:textId="4623EB73" w:rsidR="006B1C45" w:rsidRPr="00942352" w:rsidRDefault="006B1C45" w:rsidP="006B1C45">
      <w:pPr>
        <w:pStyle w:val="Quote1"/>
      </w:pPr>
      <w:r w:rsidRPr="00942352">
        <w:t>WITNESS: No. I don’t have a specific recollection of any meeting or none of that.</w:t>
      </w:r>
    </w:p>
    <w:p w14:paraId="74D70F91" w14:textId="6C2661A3" w:rsidR="006B1C45" w:rsidRPr="00942352" w:rsidRDefault="006B1C45" w:rsidP="006B1C45">
      <w:pPr>
        <w:pStyle w:val="Quote1"/>
      </w:pPr>
      <w:r w:rsidRPr="00942352">
        <w:t>MR MULLETTE: Okay. And would it have been the case that Mellissa might not have been working at that stage in March 2005?</w:t>
      </w:r>
    </w:p>
    <w:p w14:paraId="797D1CB7" w14:textId="77777777" w:rsidR="006B1C45" w:rsidRPr="00942352" w:rsidRDefault="006B1C45" w:rsidP="006B1C45">
      <w:pPr>
        <w:pStyle w:val="Quote1"/>
      </w:pPr>
      <w:r w:rsidRPr="00942352">
        <w:t>WITNESS: Don’t remember.</w:t>
      </w:r>
    </w:p>
    <w:p w14:paraId="4735DE37" w14:textId="2D3490D8" w:rsidR="006B1C45" w:rsidRPr="00942352" w:rsidRDefault="006B1C45" w:rsidP="006B1C45">
      <w:pPr>
        <w:pStyle w:val="Quote1"/>
      </w:pPr>
      <w:r w:rsidRPr="00942352">
        <w:t>MR MULLETTE: Don’t remember? Okay. And the payment of the mortgage on Boyce Road, do you remember where those funds came from other than the rent?</w:t>
      </w:r>
    </w:p>
    <w:p w14:paraId="789AAD2F" w14:textId="77777777" w:rsidR="006B1C45" w:rsidRPr="00942352" w:rsidRDefault="006B1C45" w:rsidP="006B1C45">
      <w:pPr>
        <w:pStyle w:val="Quote1"/>
      </w:pPr>
      <w:r w:rsidRPr="00942352">
        <w:t>WITNESS: Just the rent.</w:t>
      </w:r>
    </w:p>
    <w:p w14:paraId="60F2CFAB" w14:textId="297EA24A" w:rsidR="006B1C45" w:rsidRPr="00942352" w:rsidRDefault="006B1C45" w:rsidP="006B1C45">
      <w:pPr>
        <w:pStyle w:val="Quote1"/>
      </w:pPr>
      <w:r w:rsidRPr="00942352">
        <w:t>MR MULLETTE: Just the rent?</w:t>
      </w:r>
    </w:p>
    <w:p w14:paraId="5E15CD07" w14:textId="77777777" w:rsidR="006B1C45" w:rsidRPr="00942352" w:rsidRDefault="006B1C45" w:rsidP="006B1C45">
      <w:pPr>
        <w:pStyle w:val="Quote1"/>
      </w:pPr>
      <w:r w:rsidRPr="00942352">
        <w:t>WITNESS: As far as I know.</w:t>
      </w:r>
    </w:p>
    <w:p w14:paraId="6CCE0139" w14:textId="6AE28825" w:rsidR="006B1C45" w:rsidRPr="00942352" w:rsidRDefault="006B1C45" w:rsidP="006B1C45">
      <w:pPr>
        <w:pStyle w:val="Quote1"/>
      </w:pPr>
      <w:r w:rsidRPr="00942352">
        <w:t>MR MULLETTE: If there was a shortfall, because it probably was negatively geared for at least a while, wasn’t it?</w:t>
      </w:r>
    </w:p>
    <w:p w14:paraId="3D4741CE" w14:textId="3611E331" w:rsidR="00786D93" w:rsidRPr="00942352" w:rsidRDefault="006B1C45" w:rsidP="00786D93">
      <w:pPr>
        <w:pStyle w:val="Quote1"/>
      </w:pPr>
      <w:r w:rsidRPr="00942352">
        <w:t xml:space="preserve">WITNESS: I don’t remember. </w:t>
      </w:r>
    </w:p>
    <w:p w14:paraId="505BCEFE" w14:textId="0F01F354" w:rsidR="00246C71" w:rsidRPr="00942352" w:rsidRDefault="00155C95" w:rsidP="00155C95">
      <w:pPr>
        <w:pStyle w:val="ParaNumbering"/>
        <w:numPr>
          <w:ilvl w:val="0"/>
          <w:numId w:val="0"/>
        </w:numPr>
        <w:ind w:hanging="720"/>
      </w:pPr>
      <w:bookmarkStart w:id="60" w:name="_Ref127887383"/>
      <w:r w:rsidRPr="00942352">
        <w:rPr>
          <w:sz w:val="20"/>
        </w:rPr>
        <w:t>69</w:t>
      </w:r>
      <w:r w:rsidRPr="00942352">
        <w:rPr>
          <w:sz w:val="20"/>
        </w:rPr>
        <w:tab/>
      </w:r>
      <w:r w:rsidR="00246C71" w:rsidRPr="00942352">
        <w:t xml:space="preserve">In addition, as can be seen from the above exchange, the bankrupt also changed his evidence in </w:t>
      </w:r>
      <w:r w:rsidR="00E30334" w:rsidRPr="00942352">
        <w:t>his affidavit from that in the e</w:t>
      </w:r>
      <w:r w:rsidR="00246C71" w:rsidRPr="00942352">
        <w:t xml:space="preserve">xamination. In the </w:t>
      </w:r>
      <w:r w:rsidR="00E30334" w:rsidRPr="00942352">
        <w:t>e</w:t>
      </w:r>
      <w:r w:rsidR="00246C71" w:rsidRPr="00942352">
        <w:t>xamination he claimed to have “no specific recollection of any meeting</w:t>
      </w:r>
      <w:r w:rsidR="008A4542" w:rsidRPr="00942352">
        <w:t>” with any lawyer or accountant</w:t>
      </w:r>
      <w:r w:rsidR="00246C71" w:rsidRPr="00942352">
        <w:t xml:space="preserve"> and had no memory of the reason for why </w:t>
      </w:r>
      <w:r w:rsidR="004F0241">
        <w:t xml:space="preserve">the </w:t>
      </w:r>
      <w:r w:rsidR="00246C71" w:rsidRPr="00942352">
        <w:t>Boyce Road</w:t>
      </w:r>
      <w:r w:rsidR="004F0241">
        <w:t xml:space="preserve"> property</w:t>
      </w:r>
      <w:r w:rsidR="00246C71" w:rsidRPr="00942352">
        <w:t xml:space="preserve"> was purchased in his name, but then in his affidavit, he claimed that he “recall</w:t>
      </w:r>
      <w:r w:rsidR="009B250D" w:rsidRPr="00942352">
        <w:t>[</w:t>
      </w:r>
      <w:proofErr w:type="spellStart"/>
      <w:r w:rsidR="00246C71" w:rsidRPr="00942352">
        <w:t>ed</w:t>
      </w:r>
      <w:proofErr w:type="spellEnd"/>
      <w:r w:rsidR="009B250D" w:rsidRPr="00942352">
        <w:t>]</w:t>
      </w:r>
      <w:r w:rsidR="00246C71" w:rsidRPr="00942352">
        <w:t xml:space="preserve"> seeking [his] accountant’s advice for the best taxation benefits available from the investment properties”. To then state under cross-examination repeatedly that he had no memory of whether he “negatively geared” </w:t>
      </w:r>
      <w:r w:rsidR="004F0241">
        <w:t xml:space="preserve">the </w:t>
      </w:r>
      <w:r w:rsidR="00246C71" w:rsidRPr="00942352">
        <w:t xml:space="preserve">Boyce Road </w:t>
      </w:r>
      <w:r w:rsidR="004F0241">
        <w:t>property</w:t>
      </w:r>
      <w:r w:rsidR="00246C71" w:rsidRPr="00942352">
        <w:t>, and to say he “didn’t believe” that he had received advice that he should negatively gear it seems unlikely. It is not as though the bankrupt had an extensive, complex property or investment portfolio. These were the only two “investment properties” he had</w:t>
      </w:r>
      <w:r w:rsidR="009D41AE" w:rsidRPr="00942352">
        <w:t xml:space="preserve"> at that time</w:t>
      </w:r>
      <w:r w:rsidR="00246C71" w:rsidRPr="00942352">
        <w:t xml:space="preserve">. The bankrupt was a </w:t>
      </w:r>
      <w:r w:rsidR="00DA55BA" w:rsidRPr="00942352">
        <w:t>company d</w:t>
      </w:r>
      <w:r w:rsidR="00246C71" w:rsidRPr="00942352">
        <w:t>irector, who managed a staff of 22 employees. He could not be said to be unsophisticated.</w:t>
      </w:r>
      <w:bookmarkEnd w:id="60"/>
      <w:r w:rsidR="00246C71" w:rsidRPr="00942352">
        <w:t xml:space="preserve"> </w:t>
      </w:r>
    </w:p>
    <w:p w14:paraId="45A13CF9" w14:textId="454F51CD" w:rsidR="00294B5C" w:rsidRPr="00942352" w:rsidRDefault="00155C95" w:rsidP="00155C95">
      <w:pPr>
        <w:pStyle w:val="ParaNumbering"/>
        <w:numPr>
          <w:ilvl w:val="0"/>
          <w:numId w:val="0"/>
        </w:numPr>
        <w:ind w:hanging="720"/>
      </w:pPr>
      <w:r w:rsidRPr="00942352">
        <w:rPr>
          <w:sz w:val="20"/>
        </w:rPr>
        <w:lastRenderedPageBreak/>
        <w:t>70</w:t>
      </w:r>
      <w:r w:rsidRPr="00942352">
        <w:rPr>
          <w:sz w:val="20"/>
        </w:rPr>
        <w:tab/>
      </w:r>
      <w:r w:rsidR="009255DC" w:rsidRPr="00942352">
        <w:t>Both the respondent and the bankrupt deposed in their evidence to conversations in which they discussed the purchase of “investment properties” and that they would “own them together</w:t>
      </w:r>
      <w:r w:rsidR="00CB6787" w:rsidRPr="00942352">
        <w:t>”</w:t>
      </w:r>
      <w:r w:rsidR="009255DC" w:rsidRPr="00942352">
        <w:t>. However, it is clear that regardless of whether these convers</w:t>
      </w:r>
      <w:r w:rsidR="004D5469" w:rsidRPr="00942352">
        <w:t>ations occurred,</w:t>
      </w:r>
      <w:r w:rsidR="009255DC" w:rsidRPr="00942352">
        <w:t xml:space="preserve"> </w:t>
      </w:r>
      <w:r w:rsidR="004D5469" w:rsidRPr="00942352">
        <w:t>w</w:t>
      </w:r>
      <w:r w:rsidR="009255DC" w:rsidRPr="00942352">
        <w:t xml:space="preserve">hat happened subsequently, </w:t>
      </w:r>
      <w:r w:rsidR="005E0CC4" w:rsidRPr="00942352">
        <w:t>displaces that intention: The properties</w:t>
      </w:r>
      <w:r w:rsidR="009255DC" w:rsidRPr="00942352">
        <w:t xml:space="preserve"> were purchased either entirely or predominantly in the bankrupt’s name. I do not accept that despite this, it remained their “intention” that they be held jointly. </w:t>
      </w:r>
    </w:p>
    <w:p w14:paraId="30D5AC08" w14:textId="03072CD3" w:rsidR="00193954" w:rsidRPr="00942352" w:rsidRDefault="00155C95" w:rsidP="00155C95">
      <w:pPr>
        <w:pStyle w:val="ParaNumbering"/>
        <w:numPr>
          <w:ilvl w:val="0"/>
          <w:numId w:val="0"/>
        </w:numPr>
        <w:ind w:hanging="720"/>
      </w:pPr>
      <w:r w:rsidRPr="00942352">
        <w:rPr>
          <w:sz w:val="20"/>
        </w:rPr>
        <w:t>71</w:t>
      </w:r>
      <w:r w:rsidRPr="00942352">
        <w:rPr>
          <w:sz w:val="20"/>
        </w:rPr>
        <w:tab/>
      </w:r>
      <w:r w:rsidR="00571467" w:rsidRPr="00942352">
        <w:rPr>
          <w:i/>
        </w:rPr>
        <w:t>First</w:t>
      </w:r>
      <w:r w:rsidR="00571467" w:rsidRPr="004F0241">
        <w:t>,</w:t>
      </w:r>
      <w:r w:rsidR="005E0CC4" w:rsidRPr="004F0241">
        <w:t xml:space="preserve"> </w:t>
      </w:r>
      <w:r w:rsidR="005E0CC4" w:rsidRPr="00942352">
        <w:t xml:space="preserve">the respondent gave clear evidence that the reason for the change was so that the bankrupt could obtain a negative gearing benefit. I accept that this </w:t>
      </w:r>
      <w:r w:rsidR="00294B5C" w:rsidRPr="00942352">
        <w:t>is what happened</w:t>
      </w:r>
      <w:r w:rsidR="005E0CC4" w:rsidRPr="00942352">
        <w:t>.</w:t>
      </w:r>
      <w:r w:rsidR="00294B5C" w:rsidRPr="00942352">
        <w:t xml:space="preserve"> I do not accept the bankrupt’s evidence that the properties were not purchased in his name for “negative gearing” purposes. </w:t>
      </w:r>
      <w:r w:rsidR="005E0CC4" w:rsidRPr="00942352">
        <w:t xml:space="preserve">If </w:t>
      </w:r>
      <w:r w:rsidR="00294B5C" w:rsidRPr="00942352">
        <w:t>negative gearing</w:t>
      </w:r>
      <w:r w:rsidR="005E0CC4" w:rsidRPr="00942352">
        <w:t xml:space="preserve"> was the “intention” then it is clear that the respondent and the bankrupt intended that he own the property to obtain a tax minimisation benefit. </w:t>
      </w:r>
      <w:r w:rsidR="005E0CC4" w:rsidRPr="00942352">
        <w:rPr>
          <w:i/>
        </w:rPr>
        <w:t>Secondly</w:t>
      </w:r>
      <w:r w:rsidR="005E0CC4" w:rsidRPr="004F0241">
        <w:t>,</w:t>
      </w:r>
      <w:r w:rsidR="005E0CC4" w:rsidRPr="00942352">
        <w:rPr>
          <w:i/>
        </w:rPr>
        <w:t xml:space="preserve"> </w:t>
      </w:r>
      <w:r w:rsidR="005E0CC4" w:rsidRPr="00942352">
        <w:t>I do not accept that the true intention was that it be held “50/50”. It</w:t>
      </w:r>
      <w:r w:rsidR="00571467" w:rsidRPr="00942352">
        <w:t xml:space="preserve"> </w:t>
      </w:r>
      <w:r w:rsidR="00441B47" w:rsidRPr="00942352">
        <w:t>is</w:t>
      </w:r>
      <w:r w:rsidR="00571467" w:rsidRPr="00942352">
        <w:t xml:space="preserve"> not consistent at all with the respondent’s conduct with respect to other properties. If she had had that intention, she would have required that she be on the title</w:t>
      </w:r>
      <w:r w:rsidR="004F0241">
        <w:t xml:space="preserve"> (in a manner reflecting her intention) </w:t>
      </w:r>
      <w:r w:rsidR="00C81868" w:rsidRPr="00942352">
        <w:t xml:space="preserve">as she </w:t>
      </w:r>
      <w:r w:rsidR="00571467" w:rsidRPr="00942352">
        <w:t>required with other properties.</w:t>
      </w:r>
      <w:r w:rsidR="008760C0" w:rsidRPr="00942352">
        <w:t xml:space="preserve"> The bankrupt conceded that if </w:t>
      </w:r>
      <w:r w:rsidR="004F0241">
        <w:t xml:space="preserve">the </w:t>
      </w:r>
      <w:r w:rsidR="008760C0" w:rsidRPr="00942352">
        <w:t xml:space="preserve">Boyce Road </w:t>
      </w:r>
      <w:r w:rsidR="004F0241">
        <w:t xml:space="preserve">property </w:t>
      </w:r>
      <w:r w:rsidR="008760C0" w:rsidRPr="00942352">
        <w:t xml:space="preserve">had intended to be held equally, </w:t>
      </w:r>
      <w:r w:rsidR="004F0241">
        <w:t>the title</w:t>
      </w:r>
      <w:r w:rsidR="008760C0" w:rsidRPr="00942352">
        <w:t xml:space="preserve"> could have been in both their names </w:t>
      </w:r>
      <w:r w:rsidR="004F0241">
        <w:t>equally</w:t>
      </w:r>
      <w:r w:rsidR="008760C0" w:rsidRPr="00942352">
        <w:t xml:space="preserve">. </w:t>
      </w:r>
      <w:r w:rsidR="00C81868" w:rsidRPr="00942352">
        <w:t xml:space="preserve">The respondent </w:t>
      </w:r>
      <w:r w:rsidR="00B44E6E" w:rsidRPr="00942352">
        <w:t>tendered</w:t>
      </w:r>
      <w:r w:rsidR="00C81868" w:rsidRPr="00942352">
        <w:t xml:space="preserve"> no contemporaneous docum</w:t>
      </w:r>
      <w:r w:rsidR="00484930" w:rsidRPr="00942352">
        <w:t xml:space="preserve">entary evidence to </w:t>
      </w:r>
      <w:r w:rsidR="0061449F" w:rsidRPr="00942352">
        <w:t>support her position</w:t>
      </w:r>
      <w:r w:rsidR="00484930" w:rsidRPr="00942352">
        <w:t>.</w:t>
      </w:r>
      <w:r w:rsidR="00C81868" w:rsidRPr="00942352">
        <w:t xml:space="preserve"> </w:t>
      </w:r>
      <w:r w:rsidR="00571467" w:rsidRPr="00942352">
        <w:rPr>
          <w:i/>
        </w:rPr>
        <w:t>Thirdly</w:t>
      </w:r>
      <w:r w:rsidR="00571467" w:rsidRPr="00942352">
        <w:t>,</w:t>
      </w:r>
      <w:r w:rsidR="00571467" w:rsidRPr="00942352">
        <w:rPr>
          <w:i/>
        </w:rPr>
        <w:t xml:space="preserve"> </w:t>
      </w:r>
      <w:r w:rsidR="00777155" w:rsidRPr="00942352">
        <w:t xml:space="preserve">with respect to </w:t>
      </w:r>
      <w:r w:rsidR="005E0CC4" w:rsidRPr="00942352">
        <w:t xml:space="preserve">the purported </w:t>
      </w:r>
      <w:r w:rsidR="00571467" w:rsidRPr="00942352">
        <w:t>conversation</w:t>
      </w:r>
      <w:r w:rsidR="005E0CC4" w:rsidRPr="00942352">
        <w:t xml:space="preserve"> </w:t>
      </w:r>
      <w:r w:rsidR="00420D04" w:rsidRPr="00942352">
        <w:t xml:space="preserve">that </w:t>
      </w:r>
      <w:r w:rsidR="005E0CC4" w:rsidRPr="00942352">
        <w:t>arose</w:t>
      </w:r>
      <w:r w:rsidR="00571467" w:rsidRPr="00942352">
        <w:t xml:space="preserve"> in the bankrupt’s affidavit </w:t>
      </w:r>
      <w:r w:rsidR="00662ABC" w:rsidRPr="00942352">
        <w:t>(</w:t>
      </w:r>
      <w:r w:rsidR="00420D04" w:rsidRPr="00942352">
        <w:t xml:space="preserve">at </w:t>
      </w:r>
      <w:r w:rsidR="00662ABC" w:rsidRPr="00942352">
        <w:t>[34])</w:t>
      </w:r>
      <w:r w:rsidR="00571467" w:rsidRPr="00942352">
        <w:t xml:space="preserve"> </w:t>
      </w:r>
      <w:r w:rsidR="00D84953" w:rsidRPr="00942352">
        <w:t xml:space="preserve">his evidence was entirely unreliable. </w:t>
      </w:r>
      <w:r w:rsidR="00FE1FC9" w:rsidRPr="00942352">
        <w:t xml:space="preserve">The bankrupt </w:t>
      </w:r>
      <w:r w:rsidR="00571467" w:rsidRPr="00942352">
        <w:t>conceded</w:t>
      </w:r>
      <w:r w:rsidR="00716F18" w:rsidRPr="00942352">
        <w:t xml:space="preserve"> that</w:t>
      </w:r>
      <w:r w:rsidR="00571467" w:rsidRPr="00942352">
        <w:t xml:space="preserve"> </w:t>
      </w:r>
      <w:r w:rsidR="00716F18" w:rsidRPr="00942352">
        <w:t xml:space="preserve">this evidence was </w:t>
      </w:r>
      <w:r w:rsidR="00571467" w:rsidRPr="00942352">
        <w:t>incorrect in other material respects</w:t>
      </w:r>
      <w:r w:rsidR="005E0CC4" w:rsidRPr="00942352">
        <w:t xml:space="preserve"> as set out </w:t>
      </w:r>
      <w:r w:rsidR="008624CF" w:rsidRPr="00942352">
        <w:t>at [</w:t>
      </w:r>
      <w:r w:rsidR="008624CF" w:rsidRPr="00942352">
        <w:fldChar w:fldCharType="begin"/>
      </w:r>
      <w:r w:rsidR="008624CF" w:rsidRPr="00942352">
        <w:instrText xml:space="preserve"> REF _Ref127787988 \r \h </w:instrText>
      </w:r>
      <w:r w:rsidR="00942352" w:rsidRPr="00942352">
        <w:instrText xml:space="preserve"> \* MERGEFORMAT </w:instrText>
      </w:r>
      <w:r w:rsidR="008624CF" w:rsidRPr="00942352">
        <w:fldChar w:fldCharType="separate"/>
      </w:r>
      <w:r w:rsidR="002B380F">
        <w:t>34</w:t>
      </w:r>
      <w:r w:rsidR="008624CF" w:rsidRPr="00942352">
        <w:fldChar w:fldCharType="end"/>
      </w:r>
      <w:r w:rsidR="008624CF" w:rsidRPr="00942352">
        <w:t>]–[</w:t>
      </w:r>
      <w:r w:rsidR="008624CF" w:rsidRPr="00942352">
        <w:fldChar w:fldCharType="begin"/>
      </w:r>
      <w:r w:rsidR="008624CF" w:rsidRPr="00942352">
        <w:instrText xml:space="preserve"> REF _Ref127787995 \r \h </w:instrText>
      </w:r>
      <w:r w:rsidR="00942352" w:rsidRPr="00942352">
        <w:instrText xml:space="preserve"> \* MERGEFORMAT </w:instrText>
      </w:r>
      <w:r w:rsidR="008624CF" w:rsidRPr="00942352">
        <w:fldChar w:fldCharType="separate"/>
      </w:r>
      <w:r w:rsidR="002B380F">
        <w:t>35</w:t>
      </w:r>
      <w:r w:rsidR="008624CF" w:rsidRPr="00942352">
        <w:fldChar w:fldCharType="end"/>
      </w:r>
      <w:r w:rsidR="008624CF" w:rsidRPr="00942352">
        <w:t>]</w:t>
      </w:r>
      <w:r w:rsidR="005E0CC4" w:rsidRPr="00942352">
        <w:t xml:space="preserve"> </w:t>
      </w:r>
      <w:r w:rsidR="0061449F" w:rsidRPr="00942352">
        <w:t>and [</w:t>
      </w:r>
      <w:r w:rsidR="0061449F" w:rsidRPr="00942352">
        <w:fldChar w:fldCharType="begin"/>
      </w:r>
      <w:r w:rsidR="0061449F" w:rsidRPr="00942352">
        <w:instrText xml:space="preserve"> REF _Ref127887369 \r \h </w:instrText>
      </w:r>
      <w:r w:rsidR="00942352" w:rsidRPr="00942352">
        <w:instrText xml:space="preserve"> \* MERGEFORMAT </w:instrText>
      </w:r>
      <w:r w:rsidR="0061449F" w:rsidRPr="00942352">
        <w:fldChar w:fldCharType="separate"/>
      </w:r>
      <w:r w:rsidR="002B380F">
        <w:t>67</w:t>
      </w:r>
      <w:r w:rsidR="0061449F" w:rsidRPr="00942352">
        <w:fldChar w:fldCharType="end"/>
      </w:r>
      <w:r w:rsidR="0061449F" w:rsidRPr="00942352">
        <w:t>]–[</w:t>
      </w:r>
      <w:r w:rsidR="0061449F" w:rsidRPr="00942352">
        <w:fldChar w:fldCharType="begin"/>
      </w:r>
      <w:r w:rsidR="0061449F" w:rsidRPr="00942352">
        <w:instrText xml:space="preserve"> REF _Ref127887383 \r \h </w:instrText>
      </w:r>
      <w:r w:rsidR="00942352" w:rsidRPr="00942352">
        <w:instrText xml:space="preserve"> \* MERGEFORMAT </w:instrText>
      </w:r>
      <w:r w:rsidR="0061449F" w:rsidRPr="00942352">
        <w:fldChar w:fldCharType="separate"/>
      </w:r>
      <w:r w:rsidR="002B380F">
        <w:t>69</w:t>
      </w:r>
      <w:r w:rsidR="0061449F" w:rsidRPr="00942352">
        <w:fldChar w:fldCharType="end"/>
      </w:r>
      <w:r w:rsidR="0061449F" w:rsidRPr="00942352">
        <w:t xml:space="preserve">] </w:t>
      </w:r>
      <w:r w:rsidR="005E0CC4" w:rsidRPr="00942352">
        <w:t>above</w:t>
      </w:r>
      <w:r w:rsidR="003C0CF8" w:rsidRPr="00942352">
        <w:t>,</w:t>
      </w:r>
      <w:r w:rsidR="00571467" w:rsidRPr="00942352">
        <w:t xml:space="preserve"> </w:t>
      </w:r>
      <w:r w:rsidR="007248FD" w:rsidRPr="00942352">
        <w:t xml:space="preserve">and as such </w:t>
      </w:r>
      <w:r w:rsidR="00715354" w:rsidRPr="00942352">
        <w:t xml:space="preserve">I have significant doubts about its accuracy. </w:t>
      </w:r>
      <w:r w:rsidR="00715354" w:rsidRPr="00942352">
        <w:rPr>
          <w:i/>
        </w:rPr>
        <w:t>Fourthly</w:t>
      </w:r>
      <w:r w:rsidR="00715354" w:rsidRPr="004F0241">
        <w:t>,</w:t>
      </w:r>
      <w:r w:rsidR="00715354" w:rsidRPr="00942352">
        <w:rPr>
          <w:i/>
        </w:rPr>
        <w:t xml:space="preserve"> </w:t>
      </w:r>
      <w:r w:rsidR="00715354" w:rsidRPr="00942352">
        <w:t xml:space="preserve">the bankrupt claimed, under cross-examination, that he intended the investment to be “for his kids”. This </w:t>
      </w:r>
      <w:r w:rsidR="008760C0" w:rsidRPr="00942352">
        <w:t>does not align with the investment being for them to hold together jointly</w:t>
      </w:r>
      <w:r w:rsidR="0061449F" w:rsidRPr="00942352">
        <w:t xml:space="preserve"> and even if it did, by reason of my view as to his credibility, I do not accept it was the reason</w:t>
      </w:r>
      <w:r w:rsidR="008760C0" w:rsidRPr="00942352">
        <w:t xml:space="preserve">. </w:t>
      </w:r>
    </w:p>
    <w:p w14:paraId="20862963" w14:textId="1FB1CCB6" w:rsidR="005A2140" w:rsidRPr="00942352" w:rsidRDefault="00155C95" w:rsidP="00155C95">
      <w:pPr>
        <w:pStyle w:val="ParaNumbering"/>
        <w:numPr>
          <w:ilvl w:val="0"/>
          <w:numId w:val="0"/>
        </w:numPr>
        <w:ind w:hanging="720"/>
      </w:pPr>
      <w:r w:rsidRPr="00942352">
        <w:rPr>
          <w:sz w:val="20"/>
        </w:rPr>
        <w:t>72</w:t>
      </w:r>
      <w:r w:rsidRPr="00942352">
        <w:rPr>
          <w:sz w:val="20"/>
        </w:rPr>
        <w:tab/>
      </w:r>
      <w:r w:rsidR="00FD04CD" w:rsidRPr="00942352">
        <w:t xml:space="preserve">Ultimately, I am not persuaded by the respondent’s nor the bankrupt’s evidence in the face of the documentary evidence and a consideration of their past and future conduct: </w:t>
      </w:r>
      <w:r w:rsidR="00294B5C" w:rsidRPr="00942352">
        <w:t>The evidence revealed that t</w:t>
      </w:r>
      <w:r w:rsidR="005C7E8A" w:rsidRPr="00942352">
        <w:t>he bankrupt and the respondent made deliberate, conscious decisions, where they were represented by solicitors on each occasion with respect to acquisitions and their title. Each of them were involved in the process and the respondent had been vocal in the past (regarding the Fairlight and Seaforth properties) to ensure (if possible) that certain properties were in her name. In the context of the first of these transactions, t</w:t>
      </w:r>
      <w:r w:rsidR="00FD04CD" w:rsidRPr="00942352">
        <w:t xml:space="preserve">he bankrupt had received advice from someone that it would be wise for him to purchase an investment property that he would own solely, on account of the negative gearing benefits. </w:t>
      </w:r>
      <w:r w:rsidR="005C7E8A" w:rsidRPr="00942352">
        <w:t xml:space="preserve">It was uncontroversial that the bankrupt’s </w:t>
      </w:r>
      <w:r w:rsidR="005C7E8A" w:rsidRPr="00942352">
        <w:lastRenderedPageBreak/>
        <w:t>income was significantly higher than the respondent’s at the time</w:t>
      </w:r>
      <w:r w:rsidR="00DA55BA" w:rsidRPr="00942352">
        <w:t>,</w:t>
      </w:r>
      <w:r w:rsidR="00FB184B" w:rsidRPr="00942352">
        <w:t xml:space="preserve"> which is consistent with the same</w:t>
      </w:r>
      <w:r w:rsidR="005C7E8A" w:rsidRPr="00942352">
        <w:t xml:space="preserve">. </w:t>
      </w:r>
      <w:r w:rsidR="00FD04CD" w:rsidRPr="00942352">
        <w:t xml:space="preserve">Both the Anzac Parade and Boyce Road properties were acquired in a manner consistent with that intention. </w:t>
      </w:r>
    </w:p>
    <w:p w14:paraId="031473EC" w14:textId="54496B9A" w:rsidR="00FD7FE5" w:rsidRPr="00942352" w:rsidRDefault="00155C95" w:rsidP="00155C95">
      <w:pPr>
        <w:pStyle w:val="ParaNumbering"/>
        <w:numPr>
          <w:ilvl w:val="0"/>
          <w:numId w:val="0"/>
        </w:numPr>
        <w:ind w:hanging="720"/>
      </w:pPr>
      <w:r w:rsidRPr="00942352">
        <w:rPr>
          <w:sz w:val="20"/>
        </w:rPr>
        <w:t>73</w:t>
      </w:r>
      <w:r w:rsidRPr="00942352">
        <w:rPr>
          <w:sz w:val="20"/>
        </w:rPr>
        <w:tab/>
      </w:r>
      <w:r w:rsidR="00FD7FE5" w:rsidRPr="00942352">
        <w:t xml:space="preserve">I hold the same view with respect to the acquisition of the Anzac Parade property for the same reasons, noting additionally: </w:t>
      </w:r>
      <w:r w:rsidR="008012EB" w:rsidRPr="00942352">
        <w:rPr>
          <w:i/>
        </w:rPr>
        <w:t>First</w:t>
      </w:r>
      <w:r w:rsidR="008012EB" w:rsidRPr="004F0241">
        <w:t>,</w:t>
      </w:r>
      <w:r w:rsidR="00FD7FE5" w:rsidRPr="004F0241">
        <w:t xml:space="preserve"> </w:t>
      </w:r>
      <w:r w:rsidR="00FD7FE5" w:rsidRPr="00942352">
        <w:t xml:space="preserve">the apparent agreement between the bankrupt and the respondent that the respondent would only take a 1% interest so as to retain the maximum negative gearing benefit while satisfying the lender’s requirement. </w:t>
      </w:r>
      <w:r w:rsidR="008012EB" w:rsidRPr="00942352">
        <w:rPr>
          <w:i/>
        </w:rPr>
        <w:t>Secondly</w:t>
      </w:r>
      <w:r w:rsidR="008012EB" w:rsidRPr="004F0241">
        <w:t>,</w:t>
      </w:r>
      <w:r w:rsidR="008012EB" w:rsidRPr="00942352">
        <w:rPr>
          <w:i/>
        </w:rPr>
        <w:t xml:space="preserve"> </w:t>
      </w:r>
      <w:r w:rsidR="00FD7FE5" w:rsidRPr="00942352">
        <w:t>this course was consistent with that involving both the Boyce Road</w:t>
      </w:r>
      <w:r w:rsidR="004F0241">
        <w:t xml:space="preserve"> property</w:t>
      </w:r>
      <w:r w:rsidR="00FD7FE5" w:rsidRPr="00942352">
        <w:t xml:space="preserve"> purchase and the bankrupt’s sole participation in the Scheme</w:t>
      </w:r>
      <w:r w:rsidR="008012EB" w:rsidRPr="00942352">
        <w:t xml:space="preserve">. </w:t>
      </w:r>
      <w:r w:rsidR="008012EB" w:rsidRPr="00942352">
        <w:rPr>
          <w:i/>
        </w:rPr>
        <w:t>Thirdly</w:t>
      </w:r>
      <w:r w:rsidR="008012EB" w:rsidRPr="004F0241">
        <w:t>,</w:t>
      </w:r>
      <w:r w:rsidR="00FD7FE5" w:rsidRPr="00942352">
        <w:t xml:space="preserve"> all three investments were undertaken with tax minimisation partly in mind</w:t>
      </w:r>
      <w:r w:rsidR="008012EB" w:rsidRPr="00942352">
        <w:t>.</w:t>
      </w:r>
      <w:r w:rsidR="00BB04FF" w:rsidRPr="00942352">
        <w:rPr>
          <w:i/>
        </w:rPr>
        <w:t xml:space="preserve"> </w:t>
      </w:r>
      <w:r w:rsidR="008012EB" w:rsidRPr="00942352">
        <w:rPr>
          <w:i/>
        </w:rPr>
        <w:t>Fourthly</w:t>
      </w:r>
      <w:r w:rsidR="008012EB" w:rsidRPr="004F0241">
        <w:t>,</w:t>
      </w:r>
      <w:r w:rsidR="008012EB" w:rsidRPr="00942352">
        <w:rPr>
          <w:i/>
        </w:rPr>
        <w:t xml:space="preserve"> </w:t>
      </w:r>
      <w:r w:rsidR="008012EB" w:rsidRPr="00942352">
        <w:t>the respondent’s evidence was largely consistent with that of the trustee’s case, whereby the respon</w:t>
      </w:r>
      <w:r w:rsidR="00E12C5A" w:rsidRPr="00942352">
        <w:t>dent’s scant evidence revealed that it was necessary for her</w:t>
      </w:r>
      <w:r w:rsidR="008012EB" w:rsidRPr="00942352">
        <w:t xml:space="preserve"> to be on the </w:t>
      </w:r>
      <w:r w:rsidR="00EE30F4" w:rsidRPr="00942352">
        <w:t xml:space="preserve">Anzac Parade </w:t>
      </w:r>
      <w:r w:rsidR="00AC3253" w:rsidRPr="00942352">
        <w:t>property</w:t>
      </w:r>
      <w:r w:rsidR="00EE30F4" w:rsidRPr="00942352">
        <w:t xml:space="preserve">’s </w:t>
      </w:r>
      <w:r w:rsidR="008012EB" w:rsidRPr="00942352">
        <w:t>title due to a requirement of “the bank” (extracted at [</w:t>
      </w:r>
      <w:r w:rsidR="008012EB" w:rsidRPr="00942352">
        <w:fldChar w:fldCharType="begin"/>
      </w:r>
      <w:r w:rsidR="008012EB" w:rsidRPr="00942352">
        <w:instrText xml:space="preserve"> REF _Ref122447181 \r \h </w:instrText>
      </w:r>
      <w:r w:rsidR="00942352" w:rsidRPr="00942352">
        <w:instrText xml:space="preserve"> \* MERGEFORMAT </w:instrText>
      </w:r>
      <w:r w:rsidR="008012EB" w:rsidRPr="00942352">
        <w:fldChar w:fldCharType="separate"/>
      </w:r>
      <w:r w:rsidR="002B380F">
        <w:t>65</w:t>
      </w:r>
      <w:r w:rsidR="008012EB" w:rsidRPr="00942352">
        <w:fldChar w:fldCharType="end"/>
      </w:r>
      <w:r w:rsidR="008012EB" w:rsidRPr="00942352">
        <w:t xml:space="preserve">] above); the respondent agreed that she knew she would only take a 1% interest in the property and it was based on professional advice, agreed it was her understanding that the reason for the title </w:t>
      </w:r>
      <w:r w:rsidR="004F0241">
        <w:t xml:space="preserve">being put in this way </w:t>
      </w:r>
      <w:r w:rsidR="008012EB" w:rsidRPr="00942352">
        <w:t xml:space="preserve">was because it would maximise the negative gearing benefits </w:t>
      </w:r>
      <w:r w:rsidR="007E1FCC" w:rsidRPr="00942352">
        <w:t>for the benefit of the bankrupt</w:t>
      </w:r>
      <w:r w:rsidR="008012EB" w:rsidRPr="00942352">
        <w:t xml:space="preserve"> and where the respondent agreed that if she and the bankrupt had intended to be 50/50 owners instead of 99/1 owners, they could have easily registered the property’s title on that basis instead. </w:t>
      </w:r>
    </w:p>
    <w:p w14:paraId="390006D1" w14:textId="3A21D065" w:rsidR="00A123BB" w:rsidRPr="00942352" w:rsidRDefault="00155C95" w:rsidP="00155C95">
      <w:pPr>
        <w:pStyle w:val="ParaNumbering"/>
        <w:numPr>
          <w:ilvl w:val="0"/>
          <w:numId w:val="0"/>
        </w:numPr>
        <w:ind w:hanging="720"/>
      </w:pPr>
      <w:bookmarkStart w:id="61" w:name="_Ref128652520"/>
      <w:r w:rsidRPr="00942352">
        <w:rPr>
          <w:sz w:val="20"/>
        </w:rPr>
        <w:t>74</w:t>
      </w:r>
      <w:r w:rsidRPr="00942352">
        <w:rPr>
          <w:sz w:val="20"/>
        </w:rPr>
        <w:tab/>
      </w:r>
      <w:r w:rsidR="00A123BB" w:rsidRPr="00942352">
        <w:t>Accordingly, for the</w:t>
      </w:r>
      <w:r w:rsidR="00BD402F" w:rsidRPr="00942352">
        <w:t>se</w:t>
      </w:r>
      <w:r w:rsidR="00A123BB" w:rsidRPr="00942352">
        <w:t xml:space="preserve"> </w:t>
      </w:r>
      <w:r w:rsidR="00BD402F" w:rsidRPr="00942352">
        <w:t xml:space="preserve">reasons, it is my view that the Boyce Road and the Anzac Parade </w:t>
      </w:r>
      <w:r w:rsidR="00AC3253" w:rsidRPr="00942352">
        <w:t>properties</w:t>
      </w:r>
      <w:r w:rsidR="00BD402F" w:rsidRPr="00942352">
        <w:t xml:space="preserve"> were beneficially owned in accordance with their legal title.</w:t>
      </w:r>
      <w:bookmarkEnd w:id="61"/>
      <w:r w:rsidR="00BD402F" w:rsidRPr="00942352">
        <w:t xml:space="preserve"> </w:t>
      </w:r>
    </w:p>
    <w:p w14:paraId="77D1B19E" w14:textId="6C7E1865" w:rsidR="009A2FB6" w:rsidRPr="00942352" w:rsidRDefault="009A2FB6" w:rsidP="0069737B">
      <w:pPr>
        <w:pStyle w:val="Heading3"/>
      </w:pPr>
      <w:bookmarkStart w:id="62" w:name="_Ref126916182"/>
      <w:bookmarkStart w:id="63" w:name="_Ref128755628"/>
      <w:r w:rsidRPr="00942352">
        <w:t xml:space="preserve">The sale of </w:t>
      </w:r>
      <w:r w:rsidR="00E41807" w:rsidRPr="00942352">
        <w:t xml:space="preserve">the </w:t>
      </w:r>
      <w:r w:rsidRPr="00942352">
        <w:t>Anzac Parade and Boyce Road</w:t>
      </w:r>
      <w:bookmarkEnd w:id="62"/>
      <w:r w:rsidR="00E41807" w:rsidRPr="00942352">
        <w:t xml:space="preserve"> </w:t>
      </w:r>
      <w:r w:rsidR="00AC3253" w:rsidRPr="00942352">
        <w:t>properties</w:t>
      </w:r>
      <w:bookmarkEnd w:id="63"/>
    </w:p>
    <w:p w14:paraId="36327DD0" w14:textId="1BF25133" w:rsidR="009A2FB6" w:rsidRPr="00942352" w:rsidRDefault="00155C95" w:rsidP="00155C95">
      <w:pPr>
        <w:pStyle w:val="ParaNumbering"/>
        <w:numPr>
          <w:ilvl w:val="0"/>
          <w:numId w:val="0"/>
        </w:numPr>
        <w:ind w:hanging="720"/>
      </w:pPr>
      <w:r w:rsidRPr="00942352">
        <w:rPr>
          <w:sz w:val="20"/>
        </w:rPr>
        <w:t>75</w:t>
      </w:r>
      <w:r w:rsidRPr="00942352">
        <w:rPr>
          <w:sz w:val="20"/>
        </w:rPr>
        <w:tab/>
      </w:r>
      <w:r w:rsidR="009A2FB6" w:rsidRPr="00942352">
        <w:t>As set out at [</w:t>
      </w:r>
      <w:r w:rsidR="009A2FB6" w:rsidRPr="00942352">
        <w:fldChar w:fldCharType="begin"/>
      </w:r>
      <w:r w:rsidR="009A2FB6" w:rsidRPr="00942352">
        <w:instrText xml:space="preserve"> REF _Ref125979862 \r \h </w:instrText>
      </w:r>
      <w:r w:rsidR="00942352" w:rsidRPr="00942352">
        <w:instrText xml:space="preserve"> \* MERGEFORMAT </w:instrText>
      </w:r>
      <w:r w:rsidR="009A2FB6" w:rsidRPr="00942352">
        <w:fldChar w:fldCharType="separate"/>
      </w:r>
      <w:r w:rsidR="002B380F">
        <w:t>13</w:t>
      </w:r>
      <w:r w:rsidR="009A2FB6" w:rsidRPr="00942352">
        <w:fldChar w:fldCharType="end"/>
      </w:r>
      <w:r w:rsidR="009A2FB6" w:rsidRPr="00942352">
        <w:t xml:space="preserve">] above, the agreed facts revealed that: </w:t>
      </w:r>
    </w:p>
    <w:p w14:paraId="1E1A124D" w14:textId="6F0E8ADE" w:rsidR="009A2FB6"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243C86" w:rsidRPr="00942352">
        <w:t>o</w:t>
      </w:r>
      <w:r w:rsidR="008C570F" w:rsidRPr="00942352">
        <w:t>n</w:t>
      </w:r>
      <w:proofErr w:type="gramEnd"/>
      <w:r w:rsidR="008C570F" w:rsidRPr="00942352">
        <w:t xml:space="preserve"> 11 April 2014, the net proceeds of sale from the sale of the Boyce Road </w:t>
      </w:r>
      <w:r w:rsidR="00AC3253" w:rsidRPr="00942352">
        <w:t>property</w:t>
      </w:r>
      <w:r w:rsidR="008C570F" w:rsidRPr="00942352">
        <w:t xml:space="preserve"> (totalling $330,211.31) were paid to the Joint Account</w:t>
      </w:r>
      <w:r w:rsidR="00756664" w:rsidRPr="00942352">
        <w:t xml:space="preserve">; and </w:t>
      </w:r>
    </w:p>
    <w:p w14:paraId="17316D56" w14:textId="51FCECA0" w:rsidR="00756664" w:rsidRPr="00942352" w:rsidRDefault="00155C95" w:rsidP="00155C95">
      <w:pPr>
        <w:pStyle w:val="ListNo1alt"/>
        <w:numPr>
          <w:ilvl w:val="0"/>
          <w:numId w:val="0"/>
        </w:numPr>
        <w:tabs>
          <w:tab w:val="left" w:pos="720"/>
        </w:tabs>
        <w:ind w:left="720" w:hanging="720"/>
      </w:pPr>
      <w:r w:rsidRPr="00942352">
        <w:t>(b)</w:t>
      </w:r>
      <w:r w:rsidRPr="00942352">
        <w:tab/>
      </w:r>
      <w:proofErr w:type="gramStart"/>
      <w:r w:rsidR="00243C86" w:rsidRPr="00942352">
        <w:t>o</w:t>
      </w:r>
      <w:r w:rsidR="00756664" w:rsidRPr="00942352">
        <w:t>n</w:t>
      </w:r>
      <w:proofErr w:type="gramEnd"/>
      <w:r w:rsidR="00756664" w:rsidRPr="00942352">
        <w:t xml:space="preserve"> 9 September 2014, the bankrupt and the respondent sold the Anzac Parade property realising $110,310.05 of net proceeds, which were paid into the Joint Account. </w:t>
      </w:r>
    </w:p>
    <w:p w14:paraId="5236834E" w14:textId="235A15A4" w:rsidR="00756664" w:rsidRPr="00942352" w:rsidRDefault="00155C95" w:rsidP="00155C95">
      <w:pPr>
        <w:pStyle w:val="ParaNumbering"/>
        <w:numPr>
          <w:ilvl w:val="0"/>
          <w:numId w:val="0"/>
        </w:numPr>
        <w:ind w:hanging="720"/>
      </w:pPr>
      <w:r w:rsidRPr="00942352">
        <w:rPr>
          <w:sz w:val="20"/>
        </w:rPr>
        <w:t>76</w:t>
      </w:r>
      <w:r w:rsidRPr="00942352">
        <w:rPr>
          <w:sz w:val="20"/>
        </w:rPr>
        <w:tab/>
      </w:r>
      <w:r w:rsidR="00756664" w:rsidRPr="00942352">
        <w:t xml:space="preserve">An important issue, on the </w:t>
      </w:r>
      <w:r w:rsidR="008E36E7" w:rsidRPr="00942352">
        <w:t>trustee’s</w:t>
      </w:r>
      <w:r w:rsidR="00756664" w:rsidRPr="00942352">
        <w:t xml:space="preserve"> case, was </w:t>
      </w:r>
      <w:r w:rsidR="00756664" w:rsidRPr="00942352">
        <w:rPr>
          <w:i/>
        </w:rPr>
        <w:t>why</w:t>
      </w:r>
      <w:r w:rsidR="00756664" w:rsidRPr="00942352">
        <w:t xml:space="preserve"> the properties were sold</w:t>
      </w:r>
      <w:r w:rsidR="00CD54C3" w:rsidRPr="00942352">
        <w:t xml:space="preserve"> given as at 2014, they were the only substantial assets in the bankrupt’s name</w:t>
      </w:r>
      <w:r w:rsidR="00756664" w:rsidRPr="00942352">
        <w:t xml:space="preserve">. </w:t>
      </w:r>
    </w:p>
    <w:p w14:paraId="5F04EE6B" w14:textId="4B3AA1B2" w:rsidR="00683223" w:rsidRPr="00942352" w:rsidRDefault="00155C95" w:rsidP="00155C95">
      <w:pPr>
        <w:pStyle w:val="ParaNumbering"/>
        <w:numPr>
          <w:ilvl w:val="0"/>
          <w:numId w:val="0"/>
        </w:numPr>
        <w:ind w:hanging="720"/>
      </w:pPr>
      <w:r w:rsidRPr="00942352">
        <w:rPr>
          <w:sz w:val="20"/>
        </w:rPr>
        <w:t>77</w:t>
      </w:r>
      <w:r w:rsidRPr="00942352">
        <w:rPr>
          <w:sz w:val="20"/>
        </w:rPr>
        <w:tab/>
      </w:r>
      <w:r w:rsidR="000A4A78" w:rsidRPr="00942352">
        <w:t xml:space="preserve">The respondent gave no affidavit evidence as to the circumstances of the sale of the two properties. She was not cross-examined at all about </w:t>
      </w:r>
      <w:r w:rsidR="000A4A78" w:rsidRPr="00942352">
        <w:rPr>
          <w:i/>
        </w:rPr>
        <w:t>why</w:t>
      </w:r>
      <w:r w:rsidR="000A4A78" w:rsidRPr="00942352">
        <w:t xml:space="preserve"> they were sold</w:t>
      </w:r>
      <w:r w:rsidR="0034349A" w:rsidRPr="00942352">
        <w:t xml:space="preserve">. </w:t>
      </w:r>
      <w:r w:rsidR="00683223" w:rsidRPr="00942352">
        <w:t>The only cross-</w:t>
      </w:r>
      <w:r w:rsidR="00683223" w:rsidRPr="00942352">
        <w:lastRenderedPageBreak/>
        <w:t xml:space="preserve">examination relating to their sale was that </w:t>
      </w:r>
      <w:r w:rsidR="008E36E7" w:rsidRPr="00942352">
        <w:t>the respondent</w:t>
      </w:r>
      <w:r w:rsidR="00683223" w:rsidRPr="00942352">
        <w:t xml:space="preserve"> conceded that the proceeds of their sale was deposited into the Joint Account. </w:t>
      </w:r>
    </w:p>
    <w:p w14:paraId="13A7E398" w14:textId="08ADD606" w:rsidR="00CD3072" w:rsidRPr="00942352" w:rsidRDefault="00155C95" w:rsidP="00155C95">
      <w:pPr>
        <w:pStyle w:val="ParaNumbering"/>
        <w:numPr>
          <w:ilvl w:val="0"/>
          <w:numId w:val="0"/>
        </w:numPr>
        <w:ind w:hanging="720"/>
      </w:pPr>
      <w:bookmarkStart w:id="64" w:name="_Ref128644279"/>
      <w:r w:rsidRPr="00942352">
        <w:rPr>
          <w:sz w:val="20"/>
        </w:rPr>
        <w:t>78</w:t>
      </w:r>
      <w:r w:rsidRPr="00942352">
        <w:rPr>
          <w:sz w:val="20"/>
        </w:rPr>
        <w:tab/>
      </w:r>
      <w:r w:rsidR="00E45BA4" w:rsidRPr="00942352">
        <w:t>As referred to above at [</w:t>
      </w:r>
      <w:r w:rsidR="00D71723" w:rsidRPr="00942352">
        <w:fldChar w:fldCharType="begin"/>
      </w:r>
      <w:r w:rsidR="00D71723" w:rsidRPr="00942352">
        <w:instrText xml:space="preserve"> REF _Ref128563006 \r \h </w:instrText>
      </w:r>
      <w:r w:rsidR="00942352" w:rsidRPr="00942352">
        <w:instrText xml:space="preserve"> \* MERGEFORMAT </w:instrText>
      </w:r>
      <w:r w:rsidR="00D71723" w:rsidRPr="00942352">
        <w:fldChar w:fldCharType="separate"/>
      </w:r>
      <w:r w:rsidR="002B380F">
        <w:t>37</w:t>
      </w:r>
      <w:r w:rsidR="00D71723" w:rsidRPr="00942352">
        <w:fldChar w:fldCharType="end"/>
      </w:r>
      <w:r w:rsidR="00D71723" w:rsidRPr="00942352">
        <w:t>],</w:t>
      </w:r>
      <w:r w:rsidR="00E45BA4" w:rsidRPr="00942352">
        <w:t xml:space="preserve"> </w:t>
      </w:r>
      <w:r w:rsidR="006C74AB" w:rsidRPr="00942352">
        <w:t>i</w:t>
      </w:r>
      <w:r w:rsidR="00CD3072" w:rsidRPr="00942352">
        <w:t>n the bankrupt’s affidavit evidence, he deposed that the circumstances in which the Boyce Road and Anzac Parade properties were sold were:</w:t>
      </w:r>
      <w:bookmarkEnd w:id="64"/>
    </w:p>
    <w:p w14:paraId="11222D5B" w14:textId="42043C2E" w:rsidR="00533B8C" w:rsidRPr="00942352" w:rsidRDefault="00533B8C" w:rsidP="004A5066">
      <w:pPr>
        <w:pStyle w:val="Quote1Bullet"/>
      </w:pPr>
      <w:r w:rsidRPr="00942352">
        <w:t xml:space="preserve">Payment for one of </w:t>
      </w:r>
      <w:r>
        <w:t>[his]</w:t>
      </w:r>
      <w:r w:rsidRPr="00942352">
        <w:t xml:space="preserve"> daughter’s wedding</w:t>
      </w:r>
    </w:p>
    <w:p w14:paraId="6732B620" w14:textId="0E769AF2" w:rsidR="00533B8C" w:rsidRPr="00942352" w:rsidRDefault="00533B8C" w:rsidP="004A5066">
      <w:pPr>
        <w:pStyle w:val="Quote1Bullet"/>
      </w:pPr>
      <w:r w:rsidRPr="00942352">
        <w:t>Payment of the O’Donnell settlement</w:t>
      </w:r>
    </w:p>
    <w:p w14:paraId="1F81E110" w14:textId="7BD553EB" w:rsidR="00533B8C" w:rsidRPr="00942352" w:rsidRDefault="00533B8C" w:rsidP="004A5066">
      <w:pPr>
        <w:pStyle w:val="Quote1Bullet"/>
      </w:pPr>
      <w:r w:rsidRPr="00942352">
        <w:t xml:space="preserve">Payment of an overseas trip for </w:t>
      </w:r>
      <w:r>
        <w:t>[Ms Dew]</w:t>
      </w:r>
    </w:p>
    <w:p w14:paraId="54A3EAD1" w14:textId="184071A6" w:rsidR="00533B8C" w:rsidRPr="00942352" w:rsidRDefault="00533B8C" w:rsidP="004A5066">
      <w:pPr>
        <w:pStyle w:val="Quote1Bullet"/>
      </w:pPr>
      <w:r w:rsidRPr="00942352">
        <w:t>Payment of school fees.</w:t>
      </w:r>
    </w:p>
    <w:p w14:paraId="3AB3DA4E" w14:textId="38E4F464" w:rsidR="00837D81" w:rsidRPr="00942352" w:rsidRDefault="00155C95" w:rsidP="00155C95">
      <w:pPr>
        <w:pStyle w:val="ParaNumbering"/>
        <w:numPr>
          <w:ilvl w:val="0"/>
          <w:numId w:val="0"/>
        </w:numPr>
        <w:ind w:hanging="720"/>
      </w:pPr>
      <w:r w:rsidRPr="00942352">
        <w:rPr>
          <w:sz w:val="20"/>
        </w:rPr>
        <w:t>79</w:t>
      </w:r>
      <w:r w:rsidRPr="00942352">
        <w:rPr>
          <w:sz w:val="20"/>
        </w:rPr>
        <w:tab/>
      </w:r>
      <w:r w:rsidR="00837D81" w:rsidRPr="00942352">
        <w:t xml:space="preserve">The respondent and the bankrupt advanced no evidence </w:t>
      </w:r>
      <w:r w:rsidR="00D26223" w:rsidRPr="00942352">
        <w:t>that any payments of the kinds referred to above were made from the proceeds of t</w:t>
      </w:r>
      <w:r w:rsidR="0000508B" w:rsidRPr="00942352">
        <w:t>he Boyce Road and Anzac Parade p</w:t>
      </w:r>
      <w:r w:rsidR="00D26223" w:rsidRPr="00942352">
        <w:t>roperties</w:t>
      </w:r>
      <w:r w:rsidR="00071528" w:rsidRPr="00942352">
        <w:t xml:space="preserve">. </w:t>
      </w:r>
      <w:r w:rsidR="00D2680E" w:rsidRPr="00942352">
        <w:t>W</w:t>
      </w:r>
      <w:r w:rsidR="004F1DEC" w:rsidRPr="00942352">
        <w:t xml:space="preserve">hilst </w:t>
      </w:r>
      <w:r w:rsidR="00CC01F6" w:rsidRPr="00942352">
        <w:t xml:space="preserve">there is a reference to a “Wedding Payment” in the bank statements, the respondent and the bankrupt </w:t>
      </w:r>
      <w:r w:rsidR="00D2680E" w:rsidRPr="00942352">
        <w:t xml:space="preserve">did not provide further evidence to substantiate that this payment was made from the </w:t>
      </w:r>
      <w:r w:rsidR="002603E0" w:rsidRPr="00942352">
        <w:t xml:space="preserve">sale </w:t>
      </w:r>
      <w:r w:rsidR="00D2680E" w:rsidRPr="00942352">
        <w:t xml:space="preserve">proceeds of the properties. </w:t>
      </w:r>
    </w:p>
    <w:p w14:paraId="63C7286E" w14:textId="28F422BA" w:rsidR="00106519" w:rsidRPr="00942352" w:rsidRDefault="00155C95" w:rsidP="00155C95">
      <w:pPr>
        <w:pStyle w:val="ParaNumbering"/>
        <w:numPr>
          <w:ilvl w:val="0"/>
          <w:numId w:val="0"/>
        </w:numPr>
        <w:ind w:hanging="720"/>
      </w:pPr>
      <w:r w:rsidRPr="00942352">
        <w:rPr>
          <w:sz w:val="20"/>
        </w:rPr>
        <w:t>80</w:t>
      </w:r>
      <w:r w:rsidRPr="00942352">
        <w:rPr>
          <w:sz w:val="20"/>
        </w:rPr>
        <w:tab/>
      </w:r>
      <w:r w:rsidR="00106519" w:rsidRPr="00942352">
        <w:t xml:space="preserve">Under cross-examination, the bankrupt disputed that the reasons for their sale were because he was in a hard place financially </w:t>
      </w:r>
      <w:r w:rsidR="008F45A7" w:rsidRPr="00942352">
        <w:t xml:space="preserve">despite conceding that was what he had said </w:t>
      </w:r>
      <w:r w:rsidR="00A754FA">
        <w:t>in the</w:t>
      </w:r>
      <w:r w:rsidR="008F45A7" w:rsidRPr="00942352">
        <w:t xml:space="preserve"> examination</w:t>
      </w:r>
      <w:r w:rsidR="00E2550B" w:rsidRPr="00942352">
        <w:t xml:space="preserve"> and that it was the truth</w:t>
      </w:r>
      <w:r w:rsidR="00106519" w:rsidRPr="00942352">
        <w:t xml:space="preserve">. </w:t>
      </w:r>
      <w:r w:rsidR="00702AA4" w:rsidRPr="00942352">
        <w:t>Inconsistently, as referred to above at [</w:t>
      </w:r>
      <w:r w:rsidR="00702AA4" w:rsidRPr="00942352">
        <w:fldChar w:fldCharType="begin"/>
      </w:r>
      <w:r w:rsidR="00702AA4" w:rsidRPr="00942352">
        <w:instrText xml:space="preserve"> REF _Ref127888087 \r \h </w:instrText>
      </w:r>
      <w:r w:rsidR="00942352" w:rsidRPr="00942352">
        <w:instrText xml:space="preserve"> \* MERGEFORMAT </w:instrText>
      </w:r>
      <w:r w:rsidR="00702AA4" w:rsidRPr="00942352">
        <w:fldChar w:fldCharType="separate"/>
      </w:r>
      <w:r w:rsidR="002B380F">
        <w:t>36</w:t>
      </w:r>
      <w:r w:rsidR="00702AA4" w:rsidRPr="00942352">
        <w:fldChar w:fldCharType="end"/>
      </w:r>
      <w:r w:rsidR="00702AA4" w:rsidRPr="00942352">
        <w:t>]–[</w:t>
      </w:r>
      <w:r w:rsidR="00702AA4" w:rsidRPr="00942352">
        <w:fldChar w:fldCharType="begin"/>
      </w:r>
      <w:r w:rsidR="00702AA4" w:rsidRPr="00942352">
        <w:instrText xml:space="preserve"> REF _Ref127888124 \r \h </w:instrText>
      </w:r>
      <w:r w:rsidR="00942352" w:rsidRPr="00942352">
        <w:instrText xml:space="preserve"> \* MERGEFORMAT </w:instrText>
      </w:r>
      <w:r w:rsidR="00702AA4" w:rsidRPr="00942352">
        <w:fldChar w:fldCharType="separate"/>
      </w:r>
      <w:r w:rsidR="002B380F">
        <w:t>38</w:t>
      </w:r>
      <w:r w:rsidR="00702AA4" w:rsidRPr="00942352">
        <w:fldChar w:fldCharType="end"/>
      </w:r>
      <w:r w:rsidR="00702AA4" w:rsidRPr="00942352">
        <w:t>]</w:t>
      </w:r>
      <w:r w:rsidR="00106519" w:rsidRPr="00942352">
        <w:t xml:space="preserve">, </w:t>
      </w:r>
      <w:r w:rsidR="001B4200" w:rsidRPr="00942352">
        <w:t xml:space="preserve">the bankrupt had claimed </w:t>
      </w:r>
      <w:r w:rsidR="00A754FA">
        <w:t>in the</w:t>
      </w:r>
      <w:r w:rsidR="001B4200" w:rsidRPr="00942352">
        <w:t xml:space="preserve"> e</w:t>
      </w:r>
      <w:r w:rsidR="001A7959" w:rsidRPr="00942352">
        <w:t>xamination</w:t>
      </w:r>
      <w:r w:rsidR="00106519" w:rsidRPr="00942352">
        <w:t xml:space="preserve"> that they were sold to pay for renovations</w:t>
      </w:r>
      <w:r w:rsidR="008962F0" w:rsidRPr="00942352">
        <w:t xml:space="preserve"> </w:t>
      </w:r>
      <w:r w:rsidR="00106519" w:rsidRPr="00942352">
        <w:t>and to pay his former business partner, Mr O’Donnell</w:t>
      </w:r>
      <w:r w:rsidR="00AE53DA" w:rsidRPr="00942352">
        <w:t>.</w:t>
      </w:r>
      <w:r w:rsidR="00055BAD" w:rsidRPr="00942352">
        <w:t xml:space="preserve"> For the reasons which follow, I </w:t>
      </w:r>
      <w:r w:rsidR="00A754FA">
        <w:t>do</w:t>
      </w:r>
      <w:r w:rsidR="00055BAD" w:rsidRPr="00942352">
        <w:t xml:space="preserve"> not find his explanation </w:t>
      </w:r>
      <w:r w:rsidR="001A7959" w:rsidRPr="00942352">
        <w:t xml:space="preserve">for their sale </w:t>
      </w:r>
      <w:r w:rsidR="00055BAD" w:rsidRPr="00942352">
        <w:t>at all satisfactory.</w:t>
      </w:r>
    </w:p>
    <w:p w14:paraId="5988F896" w14:textId="3BCFAB87" w:rsidR="006B5756" w:rsidRPr="00942352" w:rsidRDefault="00155C95" w:rsidP="00155C95">
      <w:pPr>
        <w:pStyle w:val="ParaNumbering"/>
        <w:numPr>
          <w:ilvl w:val="0"/>
          <w:numId w:val="0"/>
        </w:numPr>
        <w:ind w:hanging="720"/>
      </w:pPr>
      <w:r w:rsidRPr="00942352">
        <w:rPr>
          <w:sz w:val="20"/>
        </w:rPr>
        <w:t>81</w:t>
      </w:r>
      <w:r w:rsidRPr="00942352">
        <w:rPr>
          <w:sz w:val="20"/>
        </w:rPr>
        <w:tab/>
      </w:r>
      <w:r w:rsidR="006B5756" w:rsidRPr="00942352">
        <w:t xml:space="preserve">With respect to the alleged “renovations”, the bankrupt provided no </w:t>
      </w:r>
      <w:r w:rsidR="00CD3072" w:rsidRPr="00942352">
        <w:t xml:space="preserve">plausible </w:t>
      </w:r>
      <w:r w:rsidR="006B5756" w:rsidRPr="00942352">
        <w:t>evidence as what the renovations com</w:t>
      </w:r>
      <w:r w:rsidR="00BB7ED0" w:rsidRPr="00942352">
        <w:t xml:space="preserve">prised, when they were to occur, </w:t>
      </w:r>
      <w:r w:rsidR="006B5756" w:rsidRPr="00942352">
        <w:t xml:space="preserve">whether </w:t>
      </w:r>
      <w:r w:rsidR="00BB7ED0" w:rsidRPr="00942352">
        <w:t xml:space="preserve">the bankrupt </w:t>
      </w:r>
      <w:r w:rsidR="006B5756" w:rsidRPr="00942352">
        <w:t xml:space="preserve">did in fact carry them out and what they cost. </w:t>
      </w:r>
      <w:r w:rsidR="00CD3072" w:rsidRPr="00942352">
        <w:t>To the extent that there was any evidence</w:t>
      </w:r>
      <w:r w:rsidR="00012D63" w:rsidRPr="00942352">
        <w:t>,</w:t>
      </w:r>
      <w:r w:rsidR="00CD3072" w:rsidRPr="00942352">
        <w:t xml:space="preserve"> the bankrupt claimed in his affidavit evidence that renovations were made to the North Balgowlah property in 2016 (two years after the sale of the two assets). The Boyce Road property was sold in April 2014, the contract for the North Balgowlah property was not entered into until August 2014, four months after its sale</w:t>
      </w:r>
      <w:r w:rsidR="00012D63" w:rsidRPr="00942352">
        <w:t xml:space="preserve"> and where in the examination the bankrupt conceded the renovation would have had to have been for the Seaforth </w:t>
      </w:r>
      <w:r w:rsidR="005B6D79" w:rsidRPr="00942352">
        <w:t>p</w:t>
      </w:r>
      <w:r w:rsidR="00012D63" w:rsidRPr="00942352">
        <w:t>roperty</w:t>
      </w:r>
      <w:r w:rsidR="00CD3072" w:rsidRPr="00942352">
        <w:t xml:space="preserve">. </w:t>
      </w:r>
    </w:p>
    <w:p w14:paraId="0071EF1E" w14:textId="4E21C768" w:rsidR="00DF240F" w:rsidRPr="00942352" w:rsidRDefault="00155C95" w:rsidP="00155C95">
      <w:pPr>
        <w:pStyle w:val="ParaNumbering"/>
        <w:numPr>
          <w:ilvl w:val="0"/>
          <w:numId w:val="0"/>
        </w:numPr>
        <w:ind w:hanging="720"/>
      </w:pPr>
      <w:bookmarkStart w:id="65" w:name="_Ref128661222"/>
      <w:r w:rsidRPr="00942352">
        <w:rPr>
          <w:sz w:val="20"/>
        </w:rPr>
        <w:t>82</w:t>
      </w:r>
      <w:r w:rsidRPr="00942352">
        <w:rPr>
          <w:sz w:val="20"/>
        </w:rPr>
        <w:tab/>
      </w:r>
      <w:r w:rsidR="00DF240F" w:rsidRPr="00942352">
        <w:t xml:space="preserve">In the </w:t>
      </w:r>
      <w:r w:rsidR="009D4621" w:rsidRPr="00942352">
        <w:t>e</w:t>
      </w:r>
      <w:r w:rsidR="00DF240F" w:rsidRPr="00942352">
        <w:t xml:space="preserve">xamination, the bankrupt stated the reason the Boyce Road and Anzac Parade properties were sold in 2014 was because </w:t>
      </w:r>
      <w:r w:rsidR="00AB643B" w:rsidRPr="00942352">
        <w:t>he</w:t>
      </w:r>
      <w:r w:rsidR="00DF240F" w:rsidRPr="00942352">
        <w:t xml:space="preserve"> and the respondent “needed renovation money” and he needed to pay Mr O’Donnell roughly $240,000</w:t>
      </w:r>
      <w:r w:rsidR="00AB643B" w:rsidRPr="00942352">
        <w:t xml:space="preserve"> (which as will be seen below at </w:t>
      </w:r>
      <w:r w:rsidR="002B1EB9" w:rsidRPr="00942352">
        <w:t>[</w:t>
      </w:r>
      <w:r w:rsidR="002B1EB9" w:rsidRPr="00942352">
        <w:fldChar w:fldCharType="begin"/>
      </w:r>
      <w:r w:rsidR="002B1EB9" w:rsidRPr="00942352">
        <w:instrText xml:space="preserve"> REF _Ref128563636 \r \h </w:instrText>
      </w:r>
      <w:r w:rsidR="00942352" w:rsidRPr="00942352">
        <w:instrText xml:space="preserve"> \* MERGEFORMAT </w:instrText>
      </w:r>
      <w:r w:rsidR="002B1EB9" w:rsidRPr="00942352">
        <w:fldChar w:fldCharType="separate"/>
      </w:r>
      <w:r w:rsidR="002B380F">
        <w:t>88</w:t>
      </w:r>
      <w:r w:rsidR="002B1EB9" w:rsidRPr="00942352">
        <w:fldChar w:fldCharType="end"/>
      </w:r>
      <w:r w:rsidR="002B1EB9" w:rsidRPr="00942352">
        <w:t>] was $225,000)</w:t>
      </w:r>
      <w:r w:rsidR="00DF240F" w:rsidRPr="00942352">
        <w:t xml:space="preserve">. </w:t>
      </w:r>
      <w:r w:rsidR="003E1065" w:rsidRPr="00942352">
        <w:t xml:space="preserve">The bankrupt </w:t>
      </w:r>
      <w:r w:rsidR="00554F04" w:rsidRPr="00942352">
        <w:t xml:space="preserve">said </w:t>
      </w:r>
      <w:r w:rsidR="00CD49F8" w:rsidRPr="00942352">
        <w:t>he</w:t>
      </w:r>
      <w:r w:rsidR="00554F04" w:rsidRPr="00942352">
        <w:t xml:space="preserve"> and the respondent </w:t>
      </w:r>
      <w:r w:rsidR="00DF240F" w:rsidRPr="00942352">
        <w:t xml:space="preserve">did not intend to sell the investment </w:t>
      </w:r>
      <w:r w:rsidR="00DF240F" w:rsidRPr="00942352">
        <w:lastRenderedPageBreak/>
        <w:t xml:space="preserve">properties at that time but </w:t>
      </w:r>
      <w:r w:rsidR="00485175" w:rsidRPr="00942352">
        <w:t>he was</w:t>
      </w:r>
      <w:r w:rsidR="00DF240F" w:rsidRPr="00942352">
        <w:t xml:space="preserve"> “pushed into a hard place”.</w:t>
      </w:r>
      <w:r w:rsidR="00DF240F" w:rsidRPr="00942352">
        <w:rPr>
          <w:b/>
        </w:rPr>
        <w:t xml:space="preserve"> </w:t>
      </w:r>
      <w:r w:rsidR="00DF240F" w:rsidRPr="00942352">
        <w:t xml:space="preserve">The bankrupt </w:t>
      </w:r>
      <w:r w:rsidR="00E03D4C" w:rsidRPr="00942352">
        <w:t>stated that</w:t>
      </w:r>
      <w:r w:rsidR="00DF240F" w:rsidRPr="00942352">
        <w:t xml:space="preserve"> even with selling the properties he did not have enough money to pay Mr O’Donnell so he borrowed </w:t>
      </w:r>
      <w:r w:rsidR="00E167AB" w:rsidRPr="00942352">
        <w:t>$100,000</w:t>
      </w:r>
      <w:r w:rsidR="00DF240F" w:rsidRPr="00942352">
        <w:t xml:space="preserve"> from Ms Dew </w:t>
      </w:r>
      <w:r w:rsidR="009B4D00" w:rsidRPr="00942352">
        <w:t xml:space="preserve">and in exchange he signed over his shares in </w:t>
      </w:r>
      <w:proofErr w:type="spellStart"/>
      <w:r w:rsidR="009B4D00" w:rsidRPr="00942352">
        <w:t>Apscore</w:t>
      </w:r>
      <w:proofErr w:type="spellEnd"/>
      <w:r w:rsidR="009B4D00" w:rsidRPr="00942352">
        <w:t xml:space="preserve"> to Ms Dew</w:t>
      </w:r>
      <w:r w:rsidR="00E167AB" w:rsidRPr="00942352">
        <w:t>.</w:t>
      </w:r>
      <w:r w:rsidR="00DF240F" w:rsidRPr="00942352">
        <w:rPr>
          <w:b/>
        </w:rPr>
        <w:t xml:space="preserve"> </w:t>
      </w:r>
      <w:r w:rsidR="00DF240F" w:rsidRPr="00942352">
        <w:t xml:space="preserve">The bankrupt could not recall how much the renovation cost but said it was at least more than a $100,000. </w:t>
      </w:r>
      <w:bookmarkEnd w:id="65"/>
    </w:p>
    <w:p w14:paraId="2DEEF976" w14:textId="15EC4B2A" w:rsidR="00DF240F" w:rsidRPr="00942352" w:rsidRDefault="00155C95" w:rsidP="00155C95">
      <w:pPr>
        <w:pStyle w:val="ParaNumbering"/>
        <w:numPr>
          <w:ilvl w:val="0"/>
          <w:numId w:val="0"/>
        </w:numPr>
        <w:ind w:hanging="720"/>
      </w:pPr>
      <w:bookmarkStart w:id="66" w:name="_Ref128661225"/>
      <w:r w:rsidRPr="00942352">
        <w:rPr>
          <w:sz w:val="20"/>
        </w:rPr>
        <w:t>83</w:t>
      </w:r>
      <w:r w:rsidRPr="00942352">
        <w:rPr>
          <w:sz w:val="20"/>
        </w:rPr>
        <w:tab/>
      </w:r>
      <w:r w:rsidR="00DF240F" w:rsidRPr="00942352">
        <w:t xml:space="preserve">During cross-examination, the bankrupt confirmed what he had previously said about being “pushed into a hard place”, however, there was no further questioning by the </w:t>
      </w:r>
      <w:r w:rsidR="0072486F" w:rsidRPr="00942352">
        <w:t>trustee</w:t>
      </w:r>
      <w:r w:rsidR="00DF240F" w:rsidRPr="00942352">
        <w:t xml:space="preserve"> as to the bankrupt’s previous contention that the sale of the Boyce Road and Anzac Parade properties was effected in order to pay Mr O’Donnell and cover renovation costs</w:t>
      </w:r>
      <w:r w:rsidR="008108DD" w:rsidRPr="00942352">
        <w:t xml:space="preserve"> or that it was for the reasons he deposed to in his affidavit</w:t>
      </w:r>
      <w:r w:rsidR="0079305A" w:rsidRPr="00942352">
        <w:t xml:space="preserve"> (see above at</w:t>
      </w:r>
      <w:r w:rsidR="00611250" w:rsidRPr="00942352">
        <w:t xml:space="preserve"> </w:t>
      </w:r>
      <w:r w:rsidR="008802D3" w:rsidRPr="00942352">
        <w:t>[</w:t>
      </w:r>
      <w:r w:rsidR="003D5138" w:rsidRPr="00942352">
        <w:fldChar w:fldCharType="begin"/>
      </w:r>
      <w:r w:rsidR="003D5138" w:rsidRPr="00942352">
        <w:instrText xml:space="preserve"> REF _Ref128563006 \r \h </w:instrText>
      </w:r>
      <w:r w:rsidR="00942352" w:rsidRPr="00942352">
        <w:instrText xml:space="preserve"> \* MERGEFORMAT </w:instrText>
      </w:r>
      <w:r w:rsidR="003D5138" w:rsidRPr="00942352">
        <w:fldChar w:fldCharType="separate"/>
      </w:r>
      <w:r w:rsidR="002B380F">
        <w:t>37</w:t>
      </w:r>
      <w:r w:rsidR="003D5138" w:rsidRPr="00942352">
        <w:fldChar w:fldCharType="end"/>
      </w:r>
      <w:r w:rsidR="008802D3" w:rsidRPr="00942352">
        <w:t>] and [</w:t>
      </w:r>
      <w:r w:rsidR="008802D3" w:rsidRPr="00942352">
        <w:fldChar w:fldCharType="begin"/>
      </w:r>
      <w:r w:rsidR="008802D3" w:rsidRPr="00942352">
        <w:instrText xml:space="preserve"> REF _Ref128644279 \r \h </w:instrText>
      </w:r>
      <w:r w:rsidR="00942352" w:rsidRPr="00942352">
        <w:instrText xml:space="preserve"> \* MERGEFORMAT </w:instrText>
      </w:r>
      <w:r w:rsidR="008802D3" w:rsidRPr="00942352">
        <w:fldChar w:fldCharType="separate"/>
      </w:r>
      <w:r w:rsidR="002B380F">
        <w:t>78</w:t>
      </w:r>
      <w:r w:rsidR="008802D3" w:rsidRPr="00942352">
        <w:fldChar w:fldCharType="end"/>
      </w:r>
      <w:r w:rsidR="008802D3" w:rsidRPr="00942352">
        <w:t>]</w:t>
      </w:r>
      <w:r w:rsidR="00784BD1" w:rsidRPr="00942352">
        <w:t>).</w:t>
      </w:r>
      <w:r w:rsidR="00DF240F" w:rsidRPr="00942352">
        <w:rPr>
          <w:b/>
        </w:rPr>
        <w:t xml:space="preserve"> </w:t>
      </w:r>
      <w:r w:rsidR="00DF240F" w:rsidRPr="00942352">
        <w:t xml:space="preserve">The bankrupt only said later during cross-examination that the proceeds of the properties went to “other things” </w:t>
      </w:r>
      <w:r w:rsidR="00FC66DD" w:rsidRPr="00942352">
        <w:t xml:space="preserve">and did not concede </w:t>
      </w:r>
      <w:r w:rsidR="00554F04" w:rsidRPr="00942352">
        <w:t xml:space="preserve">that </w:t>
      </w:r>
      <w:r w:rsidR="00FC66DD" w:rsidRPr="00942352">
        <w:t>any of the monies wer</w:t>
      </w:r>
      <w:r w:rsidR="00847FAF" w:rsidRPr="00942352">
        <w:t>e</w:t>
      </w:r>
      <w:r w:rsidR="00DF240F" w:rsidRPr="00942352">
        <w:t xml:space="preserve"> used to</w:t>
      </w:r>
      <w:r w:rsidR="00847FAF" w:rsidRPr="00942352">
        <w:t xml:space="preserve"> fund the</w:t>
      </w:r>
      <w:r w:rsidR="00DF240F" w:rsidRPr="00942352">
        <w:t xml:space="preserve"> purchase </w:t>
      </w:r>
      <w:r w:rsidR="00847FAF" w:rsidRPr="00942352">
        <w:t xml:space="preserve">of </w:t>
      </w:r>
      <w:r w:rsidR="00DF240F" w:rsidRPr="00942352">
        <w:t>the North Balgowlah property.</w:t>
      </w:r>
      <w:bookmarkEnd w:id="66"/>
      <w:r w:rsidR="00DF240F" w:rsidRPr="00942352">
        <w:t xml:space="preserve"> </w:t>
      </w:r>
    </w:p>
    <w:p w14:paraId="606AD7A1" w14:textId="27377766" w:rsidR="00DF240F" w:rsidRPr="00942352" w:rsidRDefault="00155C95" w:rsidP="00155C95">
      <w:pPr>
        <w:pStyle w:val="ParaNumbering"/>
        <w:numPr>
          <w:ilvl w:val="0"/>
          <w:numId w:val="0"/>
        </w:numPr>
        <w:ind w:hanging="720"/>
      </w:pPr>
      <w:r w:rsidRPr="00942352">
        <w:rPr>
          <w:sz w:val="20"/>
        </w:rPr>
        <w:t>84</w:t>
      </w:r>
      <w:r w:rsidRPr="00942352">
        <w:rPr>
          <w:sz w:val="20"/>
        </w:rPr>
        <w:tab/>
      </w:r>
      <w:r w:rsidR="00DF240F" w:rsidRPr="00942352">
        <w:t>Based on this evidence, it is not consistent with the bankrupt’s contention of the purpose of the sale of the Boyce Road and Anzac Parade properties that a large amount of those proceeds went towards the purchase of the North Balgowlah property (rather than as the bankrupt contends, towards renovation</w:t>
      </w:r>
      <w:r w:rsidR="001A7959" w:rsidRPr="00942352">
        <w:t>s</w:t>
      </w:r>
      <w:r w:rsidR="00DF240F" w:rsidRPr="00942352">
        <w:t xml:space="preserve">). </w:t>
      </w:r>
    </w:p>
    <w:p w14:paraId="74574E65" w14:textId="6862893A" w:rsidR="00055BAD" w:rsidRPr="00942352" w:rsidRDefault="00155C95" w:rsidP="00155C95">
      <w:pPr>
        <w:pStyle w:val="ParaNumbering"/>
        <w:numPr>
          <w:ilvl w:val="0"/>
          <w:numId w:val="0"/>
        </w:numPr>
        <w:ind w:hanging="720"/>
      </w:pPr>
      <w:r w:rsidRPr="00942352">
        <w:rPr>
          <w:sz w:val="20"/>
        </w:rPr>
        <w:t>85</w:t>
      </w:r>
      <w:r w:rsidRPr="00942352">
        <w:rPr>
          <w:sz w:val="20"/>
        </w:rPr>
        <w:tab/>
      </w:r>
      <w:r w:rsidR="00055BAD" w:rsidRPr="00942352">
        <w:t xml:space="preserve">Further, I am not convinced that the sale of the </w:t>
      </w:r>
      <w:r w:rsidR="00E349C9" w:rsidRPr="00942352">
        <w:t>Boyce Road and Anzac Parade p</w:t>
      </w:r>
      <w:r w:rsidR="00055BAD" w:rsidRPr="00942352">
        <w:t xml:space="preserve">roperties was for the purpose of </w:t>
      </w:r>
      <w:r w:rsidR="00850714" w:rsidRPr="00942352">
        <w:t xml:space="preserve">repaying Mr O’Donnell pursuant to </w:t>
      </w:r>
      <w:r w:rsidR="00055BAD" w:rsidRPr="00942352">
        <w:t xml:space="preserve">the O’Donnell settlement. </w:t>
      </w:r>
    </w:p>
    <w:p w14:paraId="7AD183D4" w14:textId="169EE276" w:rsidR="00F7774C" w:rsidRPr="00942352" w:rsidRDefault="00155C95" w:rsidP="00155C95">
      <w:pPr>
        <w:pStyle w:val="ParaNumbering"/>
        <w:numPr>
          <w:ilvl w:val="0"/>
          <w:numId w:val="0"/>
        </w:numPr>
        <w:ind w:hanging="720"/>
      </w:pPr>
      <w:r w:rsidRPr="00942352">
        <w:rPr>
          <w:sz w:val="20"/>
        </w:rPr>
        <w:t>86</w:t>
      </w:r>
      <w:r w:rsidRPr="00942352">
        <w:rPr>
          <w:sz w:val="20"/>
        </w:rPr>
        <w:tab/>
      </w:r>
      <w:proofErr w:type="gramStart"/>
      <w:r w:rsidR="00F7774C" w:rsidRPr="00942352">
        <w:t>There</w:t>
      </w:r>
      <w:proofErr w:type="gramEnd"/>
      <w:r w:rsidR="00F7774C" w:rsidRPr="00942352">
        <w:t xml:space="preserve"> was very limited contemporaneous evidence as to the terms of settlement and the payments made to Mr O’Donnell. The parties accepted that by way of </w:t>
      </w:r>
      <w:r w:rsidR="001E1787" w:rsidRPr="00942352">
        <w:rPr>
          <w:b/>
        </w:rPr>
        <w:t>D</w:t>
      </w:r>
      <w:r w:rsidR="00F7774C" w:rsidRPr="00942352">
        <w:rPr>
          <w:b/>
        </w:rPr>
        <w:t>eed</w:t>
      </w:r>
      <w:r w:rsidR="00F7774C" w:rsidRPr="00942352">
        <w:t xml:space="preserve"> of settlement, the bankrupt settled litigation commenced by Mr O’Donnell against </w:t>
      </w:r>
      <w:r w:rsidR="00F7774C" w:rsidRPr="00942352">
        <w:rPr>
          <w:bCs/>
          <w:szCs w:val="24"/>
          <w:lang w:eastAsia="en-AU"/>
        </w:rPr>
        <w:t>Grand Canyon Technologies Pty Limited (</w:t>
      </w:r>
      <w:r w:rsidR="00F7774C" w:rsidRPr="00942352">
        <w:rPr>
          <w:b/>
          <w:bCs/>
          <w:szCs w:val="24"/>
          <w:lang w:eastAsia="en-AU"/>
        </w:rPr>
        <w:t>GCT</w:t>
      </w:r>
      <w:r w:rsidR="00F7774C" w:rsidRPr="00942352">
        <w:rPr>
          <w:bCs/>
          <w:szCs w:val="24"/>
          <w:lang w:eastAsia="en-AU"/>
        </w:rPr>
        <w:t>)</w:t>
      </w:r>
      <w:r w:rsidR="00F7774C" w:rsidRPr="00942352">
        <w:t xml:space="preserve">, </w:t>
      </w:r>
      <w:proofErr w:type="spellStart"/>
      <w:r w:rsidR="00F7774C" w:rsidRPr="00942352">
        <w:t>Apscore</w:t>
      </w:r>
      <w:proofErr w:type="spellEnd"/>
      <w:r w:rsidR="00F7774C" w:rsidRPr="00942352">
        <w:t xml:space="preserve"> and the bankrupt. </w:t>
      </w:r>
    </w:p>
    <w:p w14:paraId="52BB6176" w14:textId="3A1A1B87" w:rsidR="00F7774C" w:rsidRPr="00942352" w:rsidRDefault="00155C95" w:rsidP="00155C95">
      <w:pPr>
        <w:pStyle w:val="ParaNumbering"/>
        <w:numPr>
          <w:ilvl w:val="0"/>
          <w:numId w:val="0"/>
        </w:numPr>
        <w:ind w:hanging="720"/>
      </w:pPr>
      <w:r w:rsidRPr="00942352">
        <w:rPr>
          <w:sz w:val="20"/>
        </w:rPr>
        <w:t>87</w:t>
      </w:r>
      <w:r w:rsidRPr="00942352">
        <w:rPr>
          <w:sz w:val="20"/>
        </w:rPr>
        <w:tab/>
      </w:r>
      <w:r w:rsidR="00A754FA">
        <w:t>At the time the D</w:t>
      </w:r>
      <w:r w:rsidR="00F7774C" w:rsidRPr="00942352">
        <w:t xml:space="preserve">eed was drawn up, Mr O’Donnell and the bankrupt were directors and shareholders of GCT. Mr O’Donnell remained a shareholder of </w:t>
      </w:r>
      <w:proofErr w:type="spellStart"/>
      <w:r w:rsidR="00F7774C" w:rsidRPr="00942352">
        <w:t>Apscore</w:t>
      </w:r>
      <w:proofErr w:type="spellEnd"/>
      <w:r w:rsidR="00F7774C" w:rsidRPr="00942352">
        <w:t xml:space="preserve"> but ceased to be a director in December 2000. </w:t>
      </w:r>
      <w:r w:rsidR="0099339B" w:rsidRPr="00942352">
        <w:t>The bankrupt</w:t>
      </w:r>
      <w:r w:rsidR="00F7774C" w:rsidRPr="00942352">
        <w:t xml:space="preserve"> was then a shareholder and the sole director of </w:t>
      </w:r>
      <w:proofErr w:type="spellStart"/>
      <w:r w:rsidR="00F7774C" w:rsidRPr="00942352">
        <w:t>Apscore</w:t>
      </w:r>
      <w:proofErr w:type="spellEnd"/>
      <w:r w:rsidR="00F7774C" w:rsidRPr="00942352">
        <w:t xml:space="preserve">. </w:t>
      </w:r>
    </w:p>
    <w:p w14:paraId="7996D909" w14:textId="1A7B5BE7" w:rsidR="00F7774C" w:rsidRPr="00942352" w:rsidRDefault="00155C95" w:rsidP="00155C95">
      <w:pPr>
        <w:pStyle w:val="ParaNumbering"/>
        <w:numPr>
          <w:ilvl w:val="0"/>
          <w:numId w:val="0"/>
        </w:numPr>
        <w:ind w:hanging="720"/>
      </w:pPr>
      <w:bookmarkStart w:id="67" w:name="_Ref128563636"/>
      <w:r w:rsidRPr="00942352">
        <w:rPr>
          <w:sz w:val="20"/>
        </w:rPr>
        <w:t>88</w:t>
      </w:r>
      <w:r w:rsidRPr="00942352">
        <w:rPr>
          <w:sz w:val="20"/>
        </w:rPr>
        <w:tab/>
      </w:r>
      <w:r w:rsidR="00F7774C" w:rsidRPr="00942352">
        <w:t>The terms of the settlement provided that</w:t>
      </w:r>
      <w:r w:rsidR="00A754FA">
        <w:t>,</w:t>
      </w:r>
      <w:r w:rsidR="00F7774C" w:rsidRPr="00942352">
        <w:t xml:space="preserve"> by way of the following instalments, GCT was to repay the debt of $225,000 to Mr O’Donnell</w:t>
      </w:r>
      <w:r w:rsidR="00554F04" w:rsidRPr="00942352">
        <w:t xml:space="preserve"> (for which </w:t>
      </w:r>
      <w:proofErr w:type="spellStart"/>
      <w:r w:rsidR="00554F04" w:rsidRPr="00942352">
        <w:t>Apscore</w:t>
      </w:r>
      <w:proofErr w:type="spellEnd"/>
      <w:r w:rsidR="00554F04" w:rsidRPr="00942352">
        <w:t xml:space="preserve"> guaranteed and indemnified the payments)</w:t>
      </w:r>
      <w:r w:rsidR="00F7774C" w:rsidRPr="00942352">
        <w:t xml:space="preserve">: </w:t>
      </w:r>
      <w:bookmarkEnd w:id="67"/>
    </w:p>
    <w:p w14:paraId="2B112110" w14:textId="6399B32B" w:rsidR="00F7774C" w:rsidRPr="00942352" w:rsidRDefault="00155C95" w:rsidP="00155C95">
      <w:pPr>
        <w:pStyle w:val="ListNo1alt"/>
        <w:numPr>
          <w:ilvl w:val="0"/>
          <w:numId w:val="0"/>
        </w:numPr>
        <w:tabs>
          <w:tab w:val="left" w:pos="720"/>
        </w:tabs>
        <w:ind w:left="720" w:hanging="720"/>
      </w:pPr>
      <w:r w:rsidRPr="00942352">
        <w:t>(a)</w:t>
      </w:r>
      <w:r w:rsidRPr="00942352">
        <w:tab/>
      </w:r>
      <w:r w:rsidR="00F7774C" w:rsidRPr="00942352">
        <w:t>$10,000 within 28 days of executing and exchanging counterparts of the Deed;</w:t>
      </w:r>
    </w:p>
    <w:p w14:paraId="4B2E20C7" w14:textId="0CBDACC5" w:rsidR="00F7774C" w:rsidRPr="00942352" w:rsidRDefault="00155C95" w:rsidP="00155C95">
      <w:pPr>
        <w:pStyle w:val="ListNo1alt"/>
        <w:numPr>
          <w:ilvl w:val="0"/>
          <w:numId w:val="0"/>
        </w:numPr>
        <w:tabs>
          <w:tab w:val="left" w:pos="720"/>
        </w:tabs>
        <w:ind w:left="720" w:hanging="720"/>
      </w:pPr>
      <w:r w:rsidRPr="00942352">
        <w:lastRenderedPageBreak/>
        <w:t>(b)</w:t>
      </w:r>
      <w:r w:rsidRPr="00942352">
        <w:tab/>
      </w:r>
      <w:r w:rsidR="00F7774C" w:rsidRPr="00942352">
        <w:t xml:space="preserve">$50,000 on or before 17 May 2013; </w:t>
      </w:r>
    </w:p>
    <w:p w14:paraId="43AC5473" w14:textId="3760843B" w:rsidR="00F7774C" w:rsidRPr="00942352" w:rsidRDefault="00155C95" w:rsidP="00155C95">
      <w:pPr>
        <w:pStyle w:val="ListNo1alt"/>
        <w:numPr>
          <w:ilvl w:val="0"/>
          <w:numId w:val="0"/>
        </w:numPr>
        <w:tabs>
          <w:tab w:val="left" w:pos="720"/>
        </w:tabs>
        <w:ind w:left="720" w:hanging="720"/>
      </w:pPr>
      <w:r w:rsidRPr="00942352">
        <w:t>(c)</w:t>
      </w:r>
      <w:r w:rsidRPr="00942352">
        <w:tab/>
      </w:r>
      <w:r w:rsidR="00F7774C" w:rsidRPr="00942352">
        <w:t xml:space="preserve">$50,000 </w:t>
      </w:r>
      <w:proofErr w:type="gramStart"/>
      <w:r w:rsidR="00F7774C" w:rsidRPr="00942352">
        <w:t>on</w:t>
      </w:r>
      <w:proofErr w:type="gramEnd"/>
      <w:r w:rsidR="00F7774C" w:rsidRPr="00942352">
        <w:t xml:space="preserve"> or before 17 May 2014; </w:t>
      </w:r>
    </w:p>
    <w:p w14:paraId="453097AB" w14:textId="394C18CF" w:rsidR="00F7774C" w:rsidRPr="00942352" w:rsidRDefault="00155C95" w:rsidP="00155C95">
      <w:pPr>
        <w:pStyle w:val="ListNo1alt"/>
        <w:numPr>
          <w:ilvl w:val="0"/>
          <w:numId w:val="0"/>
        </w:numPr>
        <w:tabs>
          <w:tab w:val="left" w:pos="720"/>
        </w:tabs>
        <w:ind w:left="720" w:hanging="720"/>
      </w:pPr>
      <w:r w:rsidRPr="00942352">
        <w:t>(d)</w:t>
      </w:r>
      <w:r w:rsidRPr="00942352">
        <w:tab/>
      </w:r>
      <w:r w:rsidR="00F7774C" w:rsidRPr="00942352">
        <w:t xml:space="preserve">$55,000 on or before 17 May 2015; </w:t>
      </w:r>
    </w:p>
    <w:p w14:paraId="7437576E" w14:textId="4A97B6C9" w:rsidR="00F7774C" w:rsidRPr="00942352" w:rsidRDefault="00155C95" w:rsidP="00155C95">
      <w:pPr>
        <w:pStyle w:val="ListNo1alt"/>
        <w:numPr>
          <w:ilvl w:val="0"/>
          <w:numId w:val="0"/>
        </w:numPr>
        <w:tabs>
          <w:tab w:val="left" w:pos="720"/>
        </w:tabs>
        <w:ind w:left="720" w:hanging="720"/>
      </w:pPr>
      <w:r w:rsidRPr="00942352">
        <w:t>(e)</w:t>
      </w:r>
      <w:r w:rsidRPr="00942352">
        <w:tab/>
      </w:r>
      <w:r w:rsidR="00F7774C" w:rsidRPr="00942352">
        <w:t>$60,000 on or before either</w:t>
      </w:r>
      <w:r w:rsidR="00554F04" w:rsidRPr="00942352">
        <w:t xml:space="preserve"> (whichever was the latest date)</w:t>
      </w:r>
      <w:r w:rsidR="00F7774C" w:rsidRPr="00942352">
        <w:t>:</w:t>
      </w:r>
    </w:p>
    <w:p w14:paraId="0A220EC6" w14:textId="6F487AB0" w:rsidR="00F7774C" w:rsidRPr="00942352" w:rsidRDefault="00155C95" w:rsidP="00155C95">
      <w:pPr>
        <w:pStyle w:val="ListNo2alt"/>
        <w:numPr>
          <w:ilvl w:val="0"/>
          <w:numId w:val="0"/>
        </w:numPr>
        <w:tabs>
          <w:tab w:val="left" w:pos="1440"/>
        </w:tabs>
        <w:ind w:left="1440" w:hanging="720"/>
      </w:pPr>
      <w:r w:rsidRPr="00942352">
        <w:t>(</w:t>
      </w:r>
      <w:proofErr w:type="spellStart"/>
      <w:r w:rsidRPr="00942352">
        <w:t>i</w:t>
      </w:r>
      <w:proofErr w:type="spellEnd"/>
      <w:r w:rsidRPr="00942352">
        <w:t>)</w:t>
      </w:r>
      <w:r w:rsidRPr="00942352">
        <w:tab/>
      </w:r>
      <w:r w:rsidR="00F7774C" w:rsidRPr="00942352">
        <w:t>17 November 2015; or</w:t>
      </w:r>
    </w:p>
    <w:p w14:paraId="579D867D" w14:textId="218B1244" w:rsidR="00F7774C" w:rsidRPr="00942352" w:rsidRDefault="00155C95" w:rsidP="00155C95">
      <w:pPr>
        <w:pStyle w:val="ListNo2alt"/>
        <w:numPr>
          <w:ilvl w:val="0"/>
          <w:numId w:val="0"/>
        </w:numPr>
        <w:tabs>
          <w:tab w:val="left" w:pos="1440"/>
        </w:tabs>
        <w:ind w:left="1440" w:hanging="720"/>
      </w:pPr>
      <w:r w:rsidRPr="00942352">
        <w:t>(ii)</w:t>
      </w:r>
      <w:r w:rsidRPr="00942352">
        <w:tab/>
      </w:r>
      <w:r w:rsidR="00F7774C" w:rsidRPr="00942352">
        <w:t>The date on which Mr O’Donnell fully released GCT in respect of the prescribed “Security Interest” (created by the GCT Security Deed) and then registered the release on the Personal Properties Securities Register (</w:t>
      </w:r>
      <w:r w:rsidR="00F7774C" w:rsidRPr="00942352">
        <w:rPr>
          <w:b/>
        </w:rPr>
        <w:t>PPSR</w:t>
      </w:r>
      <w:r w:rsidR="00F7774C" w:rsidRPr="00942352">
        <w:t>); or</w:t>
      </w:r>
    </w:p>
    <w:p w14:paraId="513D4AF7" w14:textId="31A4FD02" w:rsidR="00F7774C" w:rsidRPr="00942352" w:rsidRDefault="00155C95" w:rsidP="00155C95">
      <w:pPr>
        <w:pStyle w:val="ListNo2alt"/>
        <w:numPr>
          <w:ilvl w:val="0"/>
          <w:numId w:val="0"/>
        </w:numPr>
        <w:tabs>
          <w:tab w:val="left" w:pos="1440"/>
        </w:tabs>
        <w:ind w:left="1440" w:hanging="720"/>
      </w:pPr>
      <w:r w:rsidRPr="00942352">
        <w:t>(iii)</w:t>
      </w:r>
      <w:r w:rsidRPr="00942352">
        <w:tab/>
      </w:r>
      <w:r w:rsidR="00F7774C" w:rsidRPr="00942352">
        <w:t xml:space="preserve">The date on which Mr O’Donnell fully released </w:t>
      </w:r>
      <w:proofErr w:type="spellStart"/>
      <w:r w:rsidR="00F7774C" w:rsidRPr="00942352">
        <w:t>Apscore</w:t>
      </w:r>
      <w:proofErr w:type="spellEnd"/>
      <w:r w:rsidR="00F7774C" w:rsidRPr="00942352">
        <w:t xml:space="preserve"> in respect of the prescribed “Security Interest” (created by the </w:t>
      </w:r>
      <w:proofErr w:type="spellStart"/>
      <w:r w:rsidR="00F7774C" w:rsidRPr="00942352">
        <w:t>Apscore</w:t>
      </w:r>
      <w:proofErr w:type="spellEnd"/>
      <w:r w:rsidR="00F7774C" w:rsidRPr="00942352">
        <w:t xml:space="preserve"> Security Deed) and then registered the release on the PPSR.</w:t>
      </w:r>
    </w:p>
    <w:p w14:paraId="7C7EC7DA" w14:textId="3A823E83" w:rsidR="00F7774C" w:rsidRPr="00942352" w:rsidRDefault="00155C95" w:rsidP="00155C95">
      <w:pPr>
        <w:pStyle w:val="ParaNumbering"/>
        <w:numPr>
          <w:ilvl w:val="0"/>
          <w:numId w:val="0"/>
        </w:numPr>
        <w:ind w:hanging="720"/>
      </w:pPr>
      <w:r w:rsidRPr="00942352">
        <w:rPr>
          <w:sz w:val="20"/>
        </w:rPr>
        <w:t>89</w:t>
      </w:r>
      <w:r w:rsidRPr="00942352">
        <w:rPr>
          <w:sz w:val="20"/>
        </w:rPr>
        <w:tab/>
      </w:r>
      <w:r w:rsidR="00F7774C" w:rsidRPr="00942352">
        <w:t>The bankrupt agreed that the settlement reflected in the draft settlement deed was the settlement struck</w:t>
      </w:r>
      <w:r w:rsidR="00B16C9B" w:rsidRPr="00942352">
        <w:t>,</w:t>
      </w:r>
      <w:r w:rsidR="00F7774C" w:rsidRPr="00942352">
        <w:t xml:space="preserve"> such that he owed (through </w:t>
      </w:r>
      <w:proofErr w:type="spellStart"/>
      <w:r w:rsidR="00F7774C" w:rsidRPr="00942352">
        <w:t>Apscore</w:t>
      </w:r>
      <w:proofErr w:type="spellEnd"/>
      <w:r w:rsidR="00F7774C" w:rsidRPr="00942352">
        <w:t xml:space="preserve"> and GCT) money to Mr O’Donnell. </w:t>
      </w:r>
    </w:p>
    <w:p w14:paraId="11D11212" w14:textId="109EE34A" w:rsidR="0083569B" w:rsidRPr="00942352" w:rsidRDefault="00155C95" w:rsidP="00155C95">
      <w:pPr>
        <w:pStyle w:val="ParaNumbering"/>
        <w:numPr>
          <w:ilvl w:val="0"/>
          <w:numId w:val="0"/>
        </w:numPr>
        <w:ind w:hanging="720"/>
      </w:pPr>
      <w:r w:rsidRPr="00942352">
        <w:rPr>
          <w:sz w:val="20"/>
        </w:rPr>
        <w:t>90</w:t>
      </w:r>
      <w:r w:rsidRPr="00942352">
        <w:rPr>
          <w:sz w:val="20"/>
        </w:rPr>
        <w:tab/>
      </w:r>
      <w:r w:rsidR="00055BAD" w:rsidRPr="00942352">
        <w:t xml:space="preserve">If one accepts that the ultimate settlement comprised the above terms, the respondent tendered no contemporaneous evidence of any of the payments in fact being made throughout the relevant period. Further, </w:t>
      </w:r>
      <w:r w:rsidR="00F7774C" w:rsidRPr="00942352">
        <w:t xml:space="preserve">Mr Murray conceded that </w:t>
      </w:r>
      <w:proofErr w:type="spellStart"/>
      <w:r w:rsidR="00F7774C" w:rsidRPr="00942352">
        <w:t>Apscore</w:t>
      </w:r>
      <w:proofErr w:type="spellEnd"/>
      <w:r w:rsidR="00F7774C" w:rsidRPr="00942352">
        <w:t xml:space="preserve"> had a continuing liability to pay the instalments to Mr O’Donnell </w:t>
      </w:r>
      <w:r w:rsidR="00A27B25" w:rsidRPr="00942352">
        <w:t xml:space="preserve">as </w:t>
      </w:r>
      <w:r w:rsidR="00F7774C" w:rsidRPr="00942352">
        <w:t xml:space="preserve">at 30 June 2014. </w:t>
      </w:r>
    </w:p>
    <w:p w14:paraId="4058FDF1" w14:textId="4C55D8DD" w:rsidR="006B5756" w:rsidRPr="00942352" w:rsidRDefault="00155C95" w:rsidP="00155C95">
      <w:pPr>
        <w:pStyle w:val="ParaNumbering"/>
        <w:numPr>
          <w:ilvl w:val="0"/>
          <w:numId w:val="0"/>
        </w:numPr>
        <w:ind w:hanging="720"/>
      </w:pPr>
      <w:bookmarkStart w:id="68" w:name="_Ref128661489"/>
      <w:r w:rsidRPr="00942352">
        <w:rPr>
          <w:sz w:val="20"/>
        </w:rPr>
        <w:t>91</w:t>
      </w:r>
      <w:r w:rsidRPr="00942352">
        <w:rPr>
          <w:sz w:val="20"/>
        </w:rPr>
        <w:tab/>
      </w:r>
      <w:r w:rsidR="006B5756" w:rsidRPr="00942352">
        <w:t>Rather for the reasons which follow, it is my view that the sale of the two properties occurred in 2014 to fund the North Balgowlah property and shield th</w:t>
      </w:r>
      <w:r w:rsidR="00836D73" w:rsidRPr="00942352">
        <w:t>e bankrupt’s assets from creditors</w:t>
      </w:r>
      <w:r w:rsidR="006B5756" w:rsidRPr="00942352">
        <w:t>. A combination of the following</w:t>
      </w:r>
      <w:r w:rsidR="00A754FA">
        <w:t xml:space="preserve"> considerations leads to this view</w:t>
      </w:r>
      <w:r w:rsidR="006B5756" w:rsidRPr="00942352">
        <w:t xml:space="preserve">: the plight of the class action, the status of the bankrupt’s finances and the events leading up to the purchase of North Balgowlah reveal the same. </w:t>
      </w:r>
      <w:bookmarkEnd w:id="68"/>
    </w:p>
    <w:p w14:paraId="4C7E42F4" w14:textId="571265A1" w:rsidR="0069737B" w:rsidRPr="00942352" w:rsidRDefault="0069737B" w:rsidP="0069737B">
      <w:pPr>
        <w:pStyle w:val="Heading3"/>
      </w:pPr>
      <w:bookmarkStart w:id="69" w:name="_Ref126916186"/>
      <w:r w:rsidRPr="00942352">
        <w:t>The class action</w:t>
      </w:r>
      <w:bookmarkEnd w:id="69"/>
      <w:r w:rsidRPr="00942352">
        <w:t xml:space="preserve"> </w:t>
      </w:r>
    </w:p>
    <w:p w14:paraId="0EF9B3BA" w14:textId="58FF11AC" w:rsidR="00820E1E" w:rsidRPr="00942352" w:rsidRDefault="00155C95" w:rsidP="00155C95">
      <w:pPr>
        <w:pStyle w:val="ParaNumbering"/>
        <w:numPr>
          <w:ilvl w:val="0"/>
          <w:numId w:val="0"/>
        </w:numPr>
        <w:ind w:hanging="720"/>
      </w:pPr>
      <w:r w:rsidRPr="00942352">
        <w:rPr>
          <w:sz w:val="20"/>
        </w:rPr>
        <w:t>92</w:t>
      </w:r>
      <w:r w:rsidRPr="00942352">
        <w:rPr>
          <w:sz w:val="20"/>
        </w:rPr>
        <w:tab/>
      </w:r>
      <w:r w:rsidR="00963E7D" w:rsidRPr="00942352">
        <w:t>As referred to above at [</w:t>
      </w:r>
      <w:r w:rsidR="00144765" w:rsidRPr="00942352">
        <w:fldChar w:fldCharType="begin"/>
      </w:r>
      <w:r w:rsidR="00144765" w:rsidRPr="00942352">
        <w:instrText xml:space="preserve"> REF _Ref128645286 \r \h </w:instrText>
      </w:r>
      <w:r w:rsidR="00942352" w:rsidRPr="00942352">
        <w:instrText xml:space="preserve"> \* MERGEFORMAT </w:instrText>
      </w:r>
      <w:r w:rsidR="00144765" w:rsidRPr="00942352">
        <w:fldChar w:fldCharType="separate"/>
      </w:r>
      <w:r w:rsidR="002B380F">
        <w:t>11</w:t>
      </w:r>
      <w:r w:rsidR="00144765" w:rsidRPr="00942352">
        <w:fldChar w:fldCharType="end"/>
      </w:r>
      <w:r w:rsidR="00144765" w:rsidRPr="00942352">
        <w:t>]</w:t>
      </w:r>
      <w:r w:rsidR="00963E7D" w:rsidRPr="00942352">
        <w:t>, a</w:t>
      </w:r>
      <w:r w:rsidR="0069737B" w:rsidRPr="00942352">
        <w:t xml:space="preserve">longside the </w:t>
      </w:r>
      <w:r w:rsidR="002A4D34" w:rsidRPr="00942352">
        <w:t xml:space="preserve">bankrupt’s investments in property </w:t>
      </w:r>
      <w:r w:rsidR="0069737B" w:rsidRPr="00942352">
        <w:t xml:space="preserve">above, the bankrupt became involved in </w:t>
      </w:r>
      <w:r w:rsidR="002A4D34" w:rsidRPr="00942352">
        <w:t>the</w:t>
      </w:r>
      <w:r w:rsidR="0069737B" w:rsidRPr="00942352">
        <w:t xml:space="preserve"> </w:t>
      </w:r>
      <w:r w:rsidR="002A4D34" w:rsidRPr="00942352">
        <w:t>Scheme</w:t>
      </w:r>
      <w:r w:rsidR="0069737B" w:rsidRPr="00942352">
        <w:t>, which led to the bankrupt owing the Bendigo Debt.</w:t>
      </w:r>
      <w:r w:rsidR="0069737B" w:rsidRPr="00942352">
        <w:rPr>
          <w:spacing w:val="40"/>
        </w:rPr>
        <w:t xml:space="preserve"> </w:t>
      </w:r>
      <w:r w:rsidR="0069737B" w:rsidRPr="00942352">
        <w:t>Relevantly, during</w:t>
      </w:r>
      <w:r w:rsidR="0069737B" w:rsidRPr="00942352">
        <w:rPr>
          <w:spacing w:val="-3"/>
        </w:rPr>
        <w:t xml:space="preserve"> </w:t>
      </w:r>
      <w:r w:rsidR="0069737B" w:rsidRPr="00942352">
        <w:t>the</w:t>
      </w:r>
      <w:r w:rsidR="0069737B" w:rsidRPr="00942352">
        <w:rPr>
          <w:spacing w:val="-4"/>
        </w:rPr>
        <w:t xml:space="preserve"> </w:t>
      </w:r>
      <w:r w:rsidR="0069737B" w:rsidRPr="00942352">
        <w:t>period</w:t>
      </w:r>
      <w:r w:rsidR="0069737B" w:rsidRPr="00942352">
        <w:rPr>
          <w:spacing w:val="-2"/>
        </w:rPr>
        <w:t xml:space="preserve"> </w:t>
      </w:r>
      <w:r w:rsidR="0069737B" w:rsidRPr="00942352">
        <w:t>up</w:t>
      </w:r>
      <w:r w:rsidR="0069737B" w:rsidRPr="00942352">
        <w:rPr>
          <w:spacing w:val="-3"/>
        </w:rPr>
        <w:t xml:space="preserve"> </w:t>
      </w:r>
      <w:r w:rsidR="0069737B" w:rsidRPr="00942352">
        <w:t>to</w:t>
      </w:r>
      <w:r w:rsidR="0069737B" w:rsidRPr="00942352">
        <w:rPr>
          <w:spacing w:val="-5"/>
        </w:rPr>
        <w:t xml:space="preserve"> </w:t>
      </w:r>
      <w:r w:rsidR="0069737B" w:rsidRPr="00942352">
        <w:t>the</w:t>
      </w:r>
      <w:r w:rsidR="0069737B" w:rsidRPr="00942352">
        <w:rPr>
          <w:spacing w:val="-2"/>
        </w:rPr>
        <w:t xml:space="preserve"> </w:t>
      </w:r>
      <w:r w:rsidR="0069737B" w:rsidRPr="00942352">
        <w:t>critical</w:t>
      </w:r>
      <w:r w:rsidR="0069737B" w:rsidRPr="00942352">
        <w:rPr>
          <w:spacing w:val="-3"/>
        </w:rPr>
        <w:t xml:space="preserve"> </w:t>
      </w:r>
      <w:r w:rsidR="0069737B" w:rsidRPr="00942352">
        <w:t>property</w:t>
      </w:r>
      <w:r w:rsidR="0069737B" w:rsidRPr="00942352">
        <w:rPr>
          <w:spacing w:val="-4"/>
        </w:rPr>
        <w:t xml:space="preserve"> </w:t>
      </w:r>
      <w:r w:rsidR="0069737B" w:rsidRPr="00942352">
        <w:t>transactions</w:t>
      </w:r>
      <w:r w:rsidR="002A4D34" w:rsidRPr="00942352">
        <w:t>, in addition to the matters referred to at [</w:t>
      </w:r>
      <w:r w:rsidR="002A4D34" w:rsidRPr="00942352">
        <w:fldChar w:fldCharType="begin"/>
      </w:r>
      <w:r w:rsidR="002A4D34" w:rsidRPr="00942352">
        <w:instrText xml:space="preserve"> REF _Ref127888649 \r \h </w:instrText>
      </w:r>
      <w:r w:rsidR="00942352" w:rsidRPr="00942352">
        <w:instrText xml:space="preserve"> \* MERGEFORMAT </w:instrText>
      </w:r>
      <w:r w:rsidR="002A4D34" w:rsidRPr="00942352">
        <w:fldChar w:fldCharType="separate"/>
      </w:r>
      <w:r w:rsidR="002B380F">
        <w:t>12</w:t>
      </w:r>
      <w:r w:rsidR="002A4D34" w:rsidRPr="00942352">
        <w:fldChar w:fldCharType="end"/>
      </w:r>
      <w:r w:rsidR="002A4D34" w:rsidRPr="00942352">
        <w:t>] above</w:t>
      </w:r>
      <w:r w:rsidR="00BB04FF" w:rsidRPr="00942352">
        <w:t>, a</w:t>
      </w:r>
      <w:r w:rsidR="002A4D34" w:rsidRPr="00942352">
        <w:t xml:space="preserve">fter </w:t>
      </w:r>
      <w:r w:rsidR="0069737B" w:rsidRPr="00942352">
        <w:t xml:space="preserve">the </w:t>
      </w:r>
      <w:r w:rsidR="002A4D34" w:rsidRPr="00942352">
        <w:t xml:space="preserve">bankrupt’s default </w:t>
      </w:r>
      <w:r w:rsidR="00C46334" w:rsidRPr="00942352">
        <w:t>on 20</w:t>
      </w:r>
      <w:r w:rsidR="00820E1E" w:rsidRPr="00942352">
        <w:t xml:space="preserve"> October 2009, the bankrupt received a Notice o</w:t>
      </w:r>
      <w:r w:rsidR="00E735DA" w:rsidRPr="00942352">
        <w:t>f Demand from the Bendigo B</w:t>
      </w:r>
      <w:r w:rsidR="00820E1E" w:rsidRPr="00942352">
        <w:t>ank which stated that he owed $76,664.32 and that the Bank “may issue legal proceedings agains</w:t>
      </w:r>
      <w:r w:rsidR="004F1524" w:rsidRPr="00942352">
        <w:t xml:space="preserve">t </w:t>
      </w:r>
      <w:r w:rsidR="00A754FA">
        <w:t xml:space="preserve">[him] without further notice”. </w:t>
      </w:r>
      <w:r w:rsidR="00F77BC5" w:rsidRPr="00942352">
        <w:t>Then o</w:t>
      </w:r>
      <w:r w:rsidR="00820E1E" w:rsidRPr="00942352">
        <w:t xml:space="preserve">n 16 November 2009, the bankrupt received a </w:t>
      </w:r>
      <w:r w:rsidR="00BA53DC" w:rsidRPr="00942352">
        <w:t>“</w:t>
      </w:r>
      <w:r w:rsidR="00820E1E" w:rsidRPr="00942352">
        <w:t xml:space="preserve">Credit </w:t>
      </w:r>
      <w:proofErr w:type="gramStart"/>
      <w:r w:rsidR="00820E1E" w:rsidRPr="00942352">
        <w:t>Listing</w:t>
      </w:r>
      <w:proofErr w:type="gramEnd"/>
      <w:r w:rsidR="00820E1E" w:rsidRPr="00942352">
        <w:t xml:space="preserve"> – Final Warning</w:t>
      </w:r>
      <w:r w:rsidR="00BA53DC" w:rsidRPr="00942352">
        <w:t>”</w:t>
      </w:r>
      <w:r w:rsidR="001A1308" w:rsidRPr="00942352">
        <w:t xml:space="preserve"> from the Bendigo </w:t>
      </w:r>
      <w:r w:rsidR="001A1308" w:rsidRPr="00942352">
        <w:lastRenderedPageBreak/>
        <w:t>Bank</w:t>
      </w:r>
      <w:r w:rsidR="00820E1E" w:rsidRPr="00942352">
        <w:t xml:space="preserve"> (which</w:t>
      </w:r>
      <w:r w:rsidR="00BA53DC" w:rsidRPr="00942352">
        <w:t xml:space="preserve"> at the time of the examination</w:t>
      </w:r>
      <w:r w:rsidR="00820E1E" w:rsidRPr="00942352">
        <w:t xml:space="preserve"> the bankrupt had no recollection of receiving but did not dispute receipt</w:t>
      </w:r>
      <w:r w:rsidR="0004683D" w:rsidRPr="00942352">
        <w:t>).</w:t>
      </w:r>
    </w:p>
    <w:p w14:paraId="433912AE" w14:textId="5076CCEB" w:rsidR="0069737B" w:rsidRPr="00942352" w:rsidRDefault="00155C95" w:rsidP="00155C95">
      <w:pPr>
        <w:pStyle w:val="ParaNumbering"/>
        <w:numPr>
          <w:ilvl w:val="0"/>
          <w:numId w:val="0"/>
        </w:numPr>
        <w:ind w:hanging="720"/>
      </w:pPr>
      <w:bookmarkStart w:id="70" w:name="_Ref128646649"/>
      <w:r w:rsidRPr="00942352">
        <w:rPr>
          <w:sz w:val="20"/>
        </w:rPr>
        <w:t>93</w:t>
      </w:r>
      <w:r w:rsidRPr="00942352">
        <w:rPr>
          <w:sz w:val="20"/>
        </w:rPr>
        <w:tab/>
      </w:r>
      <w:r w:rsidR="00584082" w:rsidRPr="00942352">
        <w:t xml:space="preserve">The parties agreed to the following relevant fact as to the state of the bankrupt’s knowledge: </w:t>
      </w:r>
      <w:r w:rsidR="00820E1E" w:rsidRPr="00942352">
        <w:t>S</w:t>
      </w:r>
      <w:r w:rsidR="0069737B" w:rsidRPr="00942352">
        <w:t>ometime between October 2013 and July 2014 or before</w:t>
      </w:r>
      <w:r w:rsidR="00564510" w:rsidRPr="00942352">
        <w:t xml:space="preserve"> the end of the case</w:t>
      </w:r>
      <w:r w:rsidR="0069737B" w:rsidRPr="00942352">
        <w:t>, the bankrupt spoke to either his financial planner or advisor</w:t>
      </w:r>
      <w:r w:rsidR="0069737B" w:rsidRPr="00942352">
        <w:rPr>
          <w:spacing w:val="-1"/>
        </w:rPr>
        <w:t xml:space="preserve"> </w:t>
      </w:r>
      <w:r w:rsidR="0069737B" w:rsidRPr="00942352">
        <w:t>about</w:t>
      </w:r>
      <w:r w:rsidR="0069737B" w:rsidRPr="00942352">
        <w:rPr>
          <w:spacing w:val="-4"/>
        </w:rPr>
        <w:t xml:space="preserve"> </w:t>
      </w:r>
      <w:r w:rsidR="0069737B" w:rsidRPr="00942352">
        <w:t>the</w:t>
      </w:r>
      <w:r w:rsidR="0069737B" w:rsidRPr="00942352">
        <w:rPr>
          <w:spacing w:val="-4"/>
        </w:rPr>
        <w:t xml:space="preserve"> </w:t>
      </w:r>
      <w:r w:rsidR="0069737B" w:rsidRPr="00942352">
        <w:t>hearing</w:t>
      </w:r>
      <w:r w:rsidR="0069737B" w:rsidRPr="00942352">
        <w:rPr>
          <w:spacing w:val="-4"/>
        </w:rPr>
        <w:t xml:space="preserve"> </w:t>
      </w:r>
      <w:r w:rsidR="0069737B" w:rsidRPr="00942352">
        <w:t>of the</w:t>
      </w:r>
      <w:r w:rsidR="0069737B" w:rsidRPr="00942352">
        <w:rPr>
          <w:spacing w:val="-3"/>
        </w:rPr>
        <w:t xml:space="preserve"> </w:t>
      </w:r>
      <w:r w:rsidR="0069737B" w:rsidRPr="00942352">
        <w:t>class action,</w:t>
      </w:r>
      <w:r w:rsidR="0069737B" w:rsidRPr="00942352">
        <w:rPr>
          <w:spacing w:val="-1"/>
        </w:rPr>
        <w:t xml:space="preserve"> </w:t>
      </w:r>
      <w:r w:rsidR="0069737B" w:rsidRPr="00942352">
        <w:t>and</w:t>
      </w:r>
      <w:r w:rsidR="0069737B" w:rsidRPr="00942352">
        <w:rPr>
          <w:spacing w:val="-3"/>
        </w:rPr>
        <w:t xml:space="preserve"> </w:t>
      </w:r>
      <w:r w:rsidR="0069737B" w:rsidRPr="00942352">
        <w:t>was</w:t>
      </w:r>
      <w:r w:rsidR="0069737B" w:rsidRPr="00942352">
        <w:rPr>
          <w:spacing w:val="-4"/>
        </w:rPr>
        <w:t xml:space="preserve"> </w:t>
      </w:r>
      <w:r w:rsidR="0069737B" w:rsidRPr="00942352">
        <w:t>told</w:t>
      </w:r>
      <w:r w:rsidR="0069737B" w:rsidRPr="00942352">
        <w:rPr>
          <w:spacing w:val="-4"/>
        </w:rPr>
        <w:t xml:space="preserve"> </w:t>
      </w:r>
      <w:r w:rsidR="0069737B" w:rsidRPr="00942352">
        <w:t>that</w:t>
      </w:r>
      <w:r w:rsidR="0069737B" w:rsidRPr="00942352">
        <w:rPr>
          <w:spacing w:val="-1"/>
        </w:rPr>
        <w:t xml:space="preserve"> </w:t>
      </w:r>
      <w:r w:rsidR="0069737B" w:rsidRPr="00942352">
        <w:t>the hearing</w:t>
      </w:r>
      <w:r w:rsidR="0069737B" w:rsidRPr="00942352">
        <w:rPr>
          <w:spacing w:val="-1"/>
        </w:rPr>
        <w:t xml:space="preserve"> </w:t>
      </w:r>
      <w:r w:rsidR="0069737B" w:rsidRPr="00942352">
        <w:t>“hadn’t gone well”, “wasn’t going well” or that “it didn’t look good”.</w:t>
      </w:r>
      <w:bookmarkEnd w:id="70"/>
    </w:p>
    <w:p w14:paraId="202E3967" w14:textId="3A119B12" w:rsidR="00BB04FF" w:rsidRPr="00942352" w:rsidRDefault="00155C95" w:rsidP="00155C95">
      <w:pPr>
        <w:pStyle w:val="ParaNumbering"/>
        <w:numPr>
          <w:ilvl w:val="0"/>
          <w:numId w:val="0"/>
        </w:numPr>
        <w:tabs>
          <w:tab w:val="left" w:pos="720"/>
        </w:tabs>
        <w:ind w:hanging="720"/>
      </w:pPr>
      <w:r w:rsidRPr="00942352">
        <w:rPr>
          <w:sz w:val="20"/>
        </w:rPr>
        <w:t>94</w:t>
      </w:r>
      <w:r w:rsidRPr="00942352">
        <w:rPr>
          <w:sz w:val="20"/>
        </w:rPr>
        <w:tab/>
      </w:r>
      <w:r w:rsidR="00BB04FF" w:rsidRPr="00942352">
        <w:t xml:space="preserve">The bankrupt accepted under cross-examination that regardless of what anyone told him “at any time” that he “always knew there was, at least, a risk that [he] </w:t>
      </w:r>
      <w:r w:rsidR="00A754FA">
        <w:t xml:space="preserve">could lose … the class action”, </w:t>
      </w:r>
      <w:r w:rsidR="00BB04FF" w:rsidRPr="00942352">
        <w:t>and further:</w:t>
      </w:r>
    </w:p>
    <w:p w14:paraId="285CF7F7" w14:textId="77777777" w:rsidR="00BB04FF" w:rsidRPr="00942352" w:rsidRDefault="00BB04FF" w:rsidP="00BB04FF">
      <w:pPr>
        <w:pStyle w:val="Quote1"/>
      </w:pPr>
      <w:r w:rsidRPr="00942352">
        <w:t>MR EDNEY: But once you were told, “It doesn’t look good,” whenever the exact date must have been, you would have appreciated that that risk was substantial, can’t put a number on it but substantial?---What was substantial?</w:t>
      </w:r>
    </w:p>
    <w:p w14:paraId="11A18684" w14:textId="77777777" w:rsidR="00BB04FF" w:rsidRPr="00942352" w:rsidRDefault="00BB04FF" w:rsidP="00BB04FF">
      <w:pPr>
        <w:pStyle w:val="Quote1"/>
      </w:pPr>
      <w:r w:rsidRPr="00942352">
        <w:t>Sorry. The risk of losing, the risk that it could be a loss</w:t>
      </w:r>
      <w:proofErr w:type="gramStart"/>
      <w:r w:rsidRPr="00942352">
        <w:t>?---</w:t>
      </w:r>
      <w:proofErr w:type="gramEnd"/>
      <w:r w:rsidRPr="00942352">
        <w:t xml:space="preserve">Yes. </w:t>
      </w:r>
    </w:p>
    <w:p w14:paraId="064DB040" w14:textId="3674CE0D" w:rsidR="00F6092C" w:rsidRPr="00942352" w:rsidRDefault="00155C95" w:rsidP="00155C95">
      <w:pPr>
        <w:pStyle w:val="ParaNumbering"/>
        <w:numPr>
          <w:ilvl w:val="0"/>
          <w:numId w:val="0"/>
        </w:numPr>
        <w:ind w:hanging="720"/>
      </w:pPr>
      <w:r w:rsidRPr="00942352">
        <w:rPr>
          <w:sz w:val="20"/>
        </w:rPr>
        <w:t>95</w:t>
      </w:r>
      <w:r w:rsidRPr="00942352">
        <w:rPr>
          <w:sz w:val="20"/>
        </w:rPr>
        <w:tab/>
      </w:r>
      <w:r w:rsidR="00CA5A17" w:rsidRPr="00942352">
        <w:t>Accordingly, the</w:t>
      </w:r>
      <w:r w:rsidR="00F6092C" w:rsidRPr="00942352">
        <w:t xml:space="preserve"> bankrupt must have known</w:t>
      </w:r>
      <w:r w:rsidR="00CA5A17" w:rsidRPr="00942352">
        <w:t xml:space="preserve">, at least by July </w:t>
      </w:r>
      <w:proofErr w:type="gramStart"/>
      <w:r w:rsidR="00554F04" w:rsidRPr="00942352">
        <w:t>2014, that</w:t>
      </w:r>
      <w:proofErr w:type="gramEnd"/>
      <w:r w:rsidR="00F6092C" w:rsidRPr="00942352">
        <w:t xml:space="preserve"> he was likely to </w:t>
      </w:r>
      <w:r w:rsidR="00A01583" w:rsidRPr="00942352">
        <w:t>have to repay the Bendigo D</w:t>
      </w:r>
      <w:r w:rsidR="0072068D" w:rsidRPr="00942352">
        <w:t>ebt. This is a significant fact</w:t>
      </w:r>
      <w:r w:rsidR="0058747C" w:rsidRPr="00942352">
        <w:t xml:space="preserve"> that has bearing on the bankrupt’s state of mind when he purchased the North Balgowlah property in early August, a month later.</w:t>
      </w:r>
    </w:p>
    <w:p w14:paraId="69B5CDA3" w14:textId="68F9FE7A" w:rsidR="008962F0" w:rsidRPr="00942352" w:rsidRDefault="008962F0" w:rsidP="00A754FA">
      <w:pPr>
        <w:pStyle w:val="Heading3"/>
      </w:pPr>
      <w:bookmarkStart w:id="71" w:name="_Ref126916188"/>
      <w:r w:rsidRPr="00942352">
        <w:t>The status of the bankrupt’s business in the 2014 financial year</w:t>
      </w:r>
      <w:bookmarkEnd w:id="71"/>
    </w:p>
    <w:p w14:paraId="403BB013" w14:textId="5A3ECE14" w:rsidR="00B53140" w:rsidRPr="00942352" w:rsidRDefault="00155C95" w:rsidP="00155C95">
      <w:pPr>
        <w:pStyle w:val="ParaNumbering"/>
        <w:numPr>
          <w:ilvl w:val="0"/>
          <w:numId w:val="0"/>
        </w:numPr>
        <w:ind w:hanging="720"/>
      </w:pPr>
      <w:r w:rsidRPr="00942352">
        <w:rPr>
          <w:sz w:val="20"/>
        </w:rPr>
        <w:t>96</w:t>
      </w:r>
      <w:r w:rsidRPr="00942352">
        <w:rPr>
          <w:sz w:val="20"/>
        </w:rPr>
        <w:tab/>
      </w:r>
      <w:r w:rsidR="00D233B5" w:rsidRPr="00942352">
        <w:t>In addition, a</w:t>
      </w:r>
      <w:r w:rsidR="00F6092C" w:rsidRPr="00942352">
        <w:t>t this very time when the bankrupt knew of the failed class action, o</w:t>
      </w:r>
      <w:r w:rsidR="00B53140" w:rsidRPr="00942352">
        <w:t>n 30 June 2014,</w:t>
      </w:r>
      <w:r w:rsidR="003A4E71" w:rsidRPr="00942352">
        <w:t xml:space="preserve"> the bankrupt’s business</w:t>
      </w:r>
      <w:r w:rsidR="00B53140" w:rsidRPr="00942352">
        <w:t xml:space="preserve"> </w:t>
      </w:r>
      <w:proofErr w:type="spellStart"/>
      <w:r w:rsidR="00B53140" w:rsidRPr="00942352">
        <w:t>Apscore</w:t>
      </w:r>
      <w:proofErr w:type="spellEnd"/>
      <w:r w:rsidR="00B53140" w:rsidRPr="00942352">
        <w:t xml:space="preserve"> recorded accumulated losses of $6,243,566.46. </w:t>
      </w:r>
    </w:p>
    <w:p w14:paraId="76516AC5" w14:textId="3EC9AEAC" w:rsidR="00B53140" w:rsidRPr="00942352" w:rsidRDefault="00155C95" w:rsidP="00155C95">
      <w:pPr>
        <w:pStyle w:val="ParaNumbering"/>
        <w:numPr>
          <w:ilvl w:val="0"/>
          <w:numId w:val="0"/>
        </w:numPr>
        <w:ind w:hanging="720"/>
      </w:pPr>
      <w:r w:rsidRPr="00942352">
        <w:rPr>
          <w:sz w:val="20"/>
        </w:rPr>
        <w:t>97</w:t>
      </w:r>
      <w:r w:rsidRPr="00942352">
        <w:rPr>
          <w:sz w:val="20"/>
        </w:rPr>
        <w:tab/>
      </w:r>
      <w:r w:rsidR="00B53140" w:rsidRPr="00942352">
        <w:t>During the bankrupt’s cross-examination, it was my impression that he sou</w:t>
      </w:r>
      <w:r w:rsidR="00470668" w:rsidRPr="00942352">
        <w:t>ght to down</w:t>
      </w:r>
      <w:r w:rsidR="00B53140" w:rsidRPr="00942352">
        <w:t xml:space="preserve">play the extent of his business’ stressors and financial problems in 2014. </w:t>
      </w:r>
      <w:r w:rsidR="008C3413" w:rsidRPr="00942352">
        <w:t xml:space="preserve">This, in turn, </w:t>
      </w:r>
      <w:r w:rsidR="001B456B" w:rsidRPr="00942352">
        <w:t xml:space="preserve">revealed serious questions as to why in the face of a significant loss in the class action and his business failing, he would </w:t>
      </w:r>
      <w:r w:rsidR="00A921A1" w:rsidRPr="00942352">
        <w:t>denude</w:t>
      </w:r>
      <w:r w:rsidR="001B456B" w:rsidRPr="00942352">
        <w:t xml:space="preserve"> himself of his only assets and purchase a new heavily mortgaged property.</w:t>
      </w:r>
    </w:p>
    <w:p w14:paraId="71D25270" w14:textId="327E9FEA" w:rsidR="001438BF" w:rsidRPr="00942352" w:rsidRDefault="00155C95" w:rsidP="00155C95">
      <w:pPr>
        <w:pStyle w:val="ParaNumbering"/>
        <w:numPr>
          <w:ilvl w:val="0"/>
          <w:numId w:val="0"/>
        </w:numPr>
        <w:ind w:hanging="720"/>
      </w:pPr>
      <w:r w:rsidRPr="00942352">
        <w:rPr>
          <w:sz w:val="20"/>
        </w:rPr>
        <w:t>98</w:t>
      </w:r>
      <w:r w:rsidRPr="00942352">
        <w:rPr>
          <w:sz w:val="20"/>
        </w:rPr>
        <w:tab/>
      </w:r>
      <w:r w:rsidR="001438BF" w:rsidRPr="00942352">
        <w:t xml:space="preserve">The trustee tendered </w:t>
      </w:r>
      <w:proofErr w:type="spellStart"/>
      <w:r w:rsidR="001438BF" w:rsidRPr="00942352">
        <w:t>Apscore’s</w:t>
      </w:r>
      <w:proofErr w:type="spellEnd"/>
      <w:r w:rsidR="001438BF" w:rsidRPr="00942352">
        <w:t xml:space="preserve"> Financial Reports for the </w:t>
      </w:r>
      <w:r w:rsidR="009B7398" w:rsidRPr="00942352">
        <w:t xml:space="preserve">2015 </w:t>
      </w:r>
      <w:r w:rsidR="001438BF" w:rsidRPr="00942352">
        <w:t xml:space="preserve">and </w:t>
      </w:r>
      <w:r w:rsidR="004C62E8">
        <w:t xml:space="preserve">2017 </w:t>
      </w:r>
      <w:r w:rsidR="001438BF" w:rsidRPr="00942352">
        <w:t xml:space="preserve">financial years. They revealed the following: </w:t>
      </w:r>
    </w:p>
    <w:p w14:paraId="747A845B" w14:textId="633CE734" w:rsidR="001438BF"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C9134F" w:rsidRPr="00942352">
        <w:t>a</w:t>
      </w:r>
      <w:proofErr w:type="gramEnd"/>
      <w:r w:rsidR="005B1A37" w:rsidRPr="00942352">
        <w:t xml:space="preserve"> loss of $218,852.90 in 2014 and $126,178.68 in 2015</w:t>
      </w:r>
      <w:r w:rsidR="00C723D6" w:rsidRPr="00942352">
        <w:t>;</w:t>
      </w:r>
    </w:p>
    <w:p w14:paraId="39D4E8A6" w14:textId="1B81F266" w:rsidR="00C723D6" w:rsidRPr="00942352" w:rsidRDefault="00155C95" w:rsidP="00155C95">
      <w:pPr>
        <w:pStyle w:val="ListNo1alt"/>
        <w:numPr>
          <w:ilvl w:val="0"/>
          <w:numId w:val="0"/>
        </w:numPr>
        <w:tabs>
          <w:tab w:val="left" w:pos="720"/>
        </w:tabs>
        <w:ind w:left="720" w:hanging="720"/>
      </w:pPr>
      <w:r w:rsidRPr="00942352">
        <w:t>(b)</w:t>
      </w:r>
      <w:r w:rsidRPr="00942352">
        <w:tab/>
      </w:r>
      <w:proofErr w:type="gramStart"/>
      <w:r w:rsidR="00C9134F" w:rsidRPr="00942352">
        <w:t>a</w:t>
      </w:r>
      <w:proofErr w:type="gramEnd"/>
      <w:r w:rsidR="00C723D6" w:rsidRPr="00942352">
        <w:t xml:space="preserve"> substantial decline in salaries and wages, $432,799</w:t>
      </w:r>
      <w:r w:rsidR="00C9134F" w:rsidRPr="00942352">
        <w:t>.76 in 2014 and $125,258.10 in 2</w:t>
      </w:r>
      <w:r w:rsidR="00C723D6" w:rsidRPr="00942352">
        <w:t xml:space="preserve">015; and </w:t>
      </w:r>
    </w:p>
    <w:p w14:paraId="10A1E3E2" w14:textId="5A66240D" w:rsidR="00C723D6" w:rsidRPr="00942352" w:rsidRDefault="00155C95" w:rsidP="00155C95">
      <w:pPr>
        <w:pStyle w:val="ListNo1alt"/>
        <w:numPr>
          <w:ilvl w:val="0"/>
          <w:numId w:val="0"/>
        </w:numPr>
        <w:tabs>
          <w:tab w:val="left" w:pos="720"/>
        </w:tabs>
        <w:ind w:left="720" w:hanging="720"/>
      </w:pPr>
      <w:r w:rsidRPr="00942352">
        <w:t>(c)</w:t>
      </w:r>
      <w:r w:rsidRPr="00942352">
        <w:tab/>
      </w:r>
      <w:proofErr w:type="gramStart"/>
      <w:r w:rsidR="00C9134F" w:rsidRPr="00942352">
        <w:t>s</w:t>
      </w:r>
      <w:r w:rsidR="00C723D6" w:rsidRPr="00942352">
        <w:t>ubstantial</w:t>
      </w:r>
      <w:proofErr w:type="gramEnd"/>
      <w:r w:rsidR="00C723D6" w:rsidRPr="00942352">
        <w:t xml:space="preserve"> loans from </w:t>
      </w:r>
      <w:proofErr w:type="spellStart"/>
      <w:r w:rsidR="00C723D6" w:rsidRPr="00942352">
        <w:t>Apscore</w:t>
      </w:r>
      <w:proofErr w:type="spellEnd"/>
      <w:r w:rsidR="00C723D6" w:rsidRPr="00942352">
        <w:t xml:space="preserve"> to the bankrupt in 2012, 2013 and 2014</w:t>
      </w:r>
      <w:r w:rsidR="00BC5572" w:rsidRPr="00942352">
        <w:t xml:space="preserve"> </w:t>
      </w:r>
      <w:r w:rsidR="00C723D6" w:rsidRPr="00942352">
        <w:t>to the value of $</w:t>
      </w:r>
      <w:r w:rsidR="00BC5572" w:rsidRPr="00942352">
        <w:t>523,150.57</w:t>
      </w:r>
      <w:r w:rsidR="00F362C0" w:rsidRPr="00942352">
        <w:t>.</w:t>
      </w:r>
      <w:r w:rsidR="00BC5572" w:rsidRPr="00942352">
        <w:rPr>
          <w:b/>
        </w:rPr>
        <w:t xml:space="preserve"> </w:t>
      </w:r>
    </w:p>
    <w:p w14:paraId="6A5153F8" w14:textId="644F8DCD" w:rsidR="003D7AEB" w:rsidRPr="00942352" w:rsidRDefault="00155C95" w:rsidP="00155C95">
      <w:pPr>
        <w:pStyle w:val="ParaNumbering"/>
        <w:numPr>
          <w:ilvl w:val="0"/>
          <w:numId w:val="0"/>
        </w:numPr>
        <w:ind w:hanging="720"/>
      </w:pPr>
      <w:bookmarkStart w:id="72" w:name="_Ref127886409"/>
      <w:r w:rsidRPr="00942352">
        <w:rPr>
          <w:sz w:val="20"/>
        </w:rPr>
        <w:lastRenderedPageBreak/>
        <w:t>99</w:t>
      </w:r>
      <w:r w:rsidRPr="00942352">
        <w:rPr>
          <w:sz w:val="20"/>
        </w:rPr>
        <w:tab/>
      </w:r>
      <w:r w:rsidR="003D7AEB" w:rsidRPr="00942352">
        <w:t>What was particularly telling was the bankr</w:t>
      </w:r>
      <w:r w:rsidR="00A754FA">
        <w:t>upt’s description in 2015 in a statutory d</w:t>
      </w:r>
      <w:r w:rsidR="003D7AEB" w:rsidRPr="00942352">
        <w:t>eclaration as to the reasons for his company</w:t>
      </w:r>
      <w:r w:rsidR="00A754FA">
        <w:t>’s</w:t>
      </w:r>
      <w:r w:rsidR="003D7AEB" w:rsidRPr="00942352">
        <w:t xml:space="preserve"> decline and the suddenness and acuteness of it. He declared, on 18 Jul</w:t>
      </w:r>
      <w:r w:rsidR="00A754FA">
        <w:t>y</w:t>
      </w:r>
      <w:r w:rsidR="003D7AEB" w:rsidRPr="00942352">
        <w:t xml:space="preserve"> 2015, the following:</w:t>
      </w:r>
      <w:bookmarkEnd w:id="72"/>
      <w:r w:rsidR="003D7AEB" w:rsidRPr="00942352">
        <w:t xml:space="preserve"> </w:t>
      </w:r>
    </w:p>
    <w:p w14:paraId="001FD912" w14:textId="0F4AD103" w:rsidR="00946D62" w:rsidRPr="00942352" w:rsidRDefault="00946D62" w:rsidP="00946D62">
      <w:pPr>
        <w:pStyle w:val="Quote1"/>
      </w:pPr>
      <w:r w:rsidRPr="00942352">
        <w:t>…</w:t>
      </w:r>
      <w:r w:rsidR="00BF03D6" w:rsidRPr="00942352">
        <w:t xml:space="preserve"> </w:t>
      </w:r>
      <w:r w:rsidRPr="00942352">
        <w:rPr>
          <w:b/>
        </w:rPr>
        <w:t>Last year</w:t>
      </w:r>
      <w:r w:rsidRPr="00942352">
        <w:t xml:space="preserve"> my company’s largest client, a mining services electrical contractor in Perth, suddenly and without notice cancelled a multi-million dollar development contract. As a result we have been haemorrhaging revenue and staff ever since. That company is down to two full time staff from 22 last year…</w:t>
      </w:r>
    </w:p>
    <w:p w14:paraId="60D734A5" w14:textId="025E1CFA" w:rsidR="00946D62" w:rsidRPr="00942352" w:rsidRDefault="00946D62" w:rsidP="00946D62">
      <w:pPr>
        <w:pStyle w:val="Quote1"/>
      </w:pPr>
      <w:r w:rsidRPr="00942352">
        <w:t>I have also been caught with a credit card debt slightly in excess of $126,000. I have negotiated pay down arrangements, which includes some debt relief, with 2 of the banks and I am currently in negotiations with the other two banks…</w:t>
      </w:r>
    </w:p>
    <w:p w14:paraId="3B0B851F" w14:textId="77777777" w:rsidR="00946D62" w:rsidRPr="00942352" w:rsidRDefault="00946D62" w:rsidP="00946D62">
      <w:pPr>
        <w:pStyle w:val="Quote1"/>
      </w:pPr>
      <w:r w:rsidRPr="00942352">
        <w:t>I believe that the Courts have now confirmed that I owe to the Bendigo and Adelaide Bank a considerable amount of money…</w:t>
      </w:r>
    </w:p>
    <w:p w14:paraId="1F71D52A" w14:textId="4CDBC049" w:rsidR="003D7AEB" w:rsidRPr="00942352" w:rsidRDefault="00C47C4F" w:rsidP="00946D62">
      <w:pPr>
        <w:pStyle w:val="Quote1"/>
      </w:pPr>
      <w:r w:rsidRPr="00942352">
        <w:t>I</w:t>
      </w:r>
      <w:r w:rsidR="00946D62" w:rsidRPr="00942352">
        <w:t xml:space="preserve"> do not want to be forced into bankruptcy but at this stage of my life there is only so much I can afford to do. </w:t>
      </w:r>
    </w:p>
    <w:p w14:paraId="256C8258" w14:textId="3B085B95" w:rsidR="00821E51" w:rsidRPr="00942352" w:rsidRDefault="00821E51" w:rsidP="00946D62">
      <w:pPr>
        <w:pStyle w:val="Quote1"/>
      </w:pPr>
      <w:r w:rsidRPr="00942352">
        <w:t>(Emphasis added</w:t>
      </w:r>
      <w:r w:rsidR="008D24C5" w:rsidRPr="00942352">
        <w:t>.</w:t>
      </w:r>
      <w:r w:rsidRPr="00942352">
        <w:t>)</w:t>
      </w:r>
    </w:p>
    <w:p w14:paraId="3A3C8871" w14:textId="36CFFDFC" w:rsidR="0024320E" w:rsidRPr="00942352" w:rsidRDefault="00155C95" w:rsidP="00155C95">
      <w:pPr>
        <w:pStyle w:val="ParaNumbering"/>
        <w:numPr>
          <w:ilvl w:val="0"/>
          <w:numId w:val="0"/>
        </w:numPr>
        <w:ind w:hanging="720"/>
      </w:pPr>
      <w:r w:rsidRPr="00942352">
        <w:rPr>
          <w:sz w:val="20"/>
        </w:rPr>
        <w:t>100</w:t>
      </w:r>
      <w:r w:rsidRPr="00942352">
        <w:rPr>
          <w:sz w:val="20"/>
        </w:rPr>
        <w:tab/>
      </w:r>
      <w:r w:rsidR="0024320E" w:rsidRPr="00942352">
        <w:t>The reference to “</w:t>
      </w:r>
      <w:r w:rsidR="00A754FA">
        <w:t>[</w:t>
      </w:r>
      <w:r w:rsidR="0024320E" w:rsidRPr="00942352">
        <w:t>l</w:t>
      </w:r>
      <w:r w:rsidR="00A754FA">
        <w:t>]</w:t>
      </w:r>
      <w:proofErr w:type="spellStart"/>
      <w:r w:rsidR="0024320E" w:rsidRPr="00942352">
        <w:t>ast</w:t>
      </w:r>
      <w:proofErr w:type="spellEnd"/>
      <w:r w:rsidR="0024320E" w:rsidRPr="00942352">
        <w:t xml:space="preserve"> year” was accepted by the bankrupt to be</w:t>
      </w:r>
      <w:r w:rsidR="005605D9" w:rsidRPr="00942352">
        <w:t xml:space="preserve"> 2014. It is clear from the 2015</w:t>
      </w:r>
      <w:r w:rsidR="0024320E" w:rsidRPr="00942352">
        <w:t xml:space="preserve"> Financial Statement that there was a substantial decline in wages and salaries in his business</w:t>
      </w:r>
      <w:r w:rsidR="00A01376" w:rsidRPr="00942352">
        <w:t xml:space="preserve"> from 2014 to 2015</w:t>
      </w:r>
      <w:r w:rsidR="0024320E" w:rsidRPr="00942352">
        <w:t xml:space="preserve">. Further, the bankrupt’s tax returns indicated a decline in his “allowances/ earnings/ tips/ director’s fees” from $60,000 </w:t>
      </w:r>
      <w:r w:rsidR="006C56F6" w:rsidRPr="00942352">
        <w:t xml:space="preserve">in the 2014 financial year </w:t>
      </w:r>
      <w:r w:rsidR="0024320E" w:rsidRPr="00942352">
        <w:t xml:space="preserve">to $37,000 in the </w:t>
      </w:r>
      <w:r w:rsidR="006C56F6" w:rsidRPr="00942352">
        <w:t>2015 financial year</w:t>
      </w:r>
      <w:r w:rsidR="0024320E" w:rsidRPr="00942352">
        <w:t xml:space="preserve">. </w:t>
      </w:r>
    </w:p>
    <w:p w14:paraId="24219A2F" w14:textId="5D8E4A94" w:rsidR="00D821A8" w:rsidRPr="00942352" w:rsidRDefault="00155C95" w:rsidP="00155C95">
      <w:pPr>
        <w:pStyle w:val="ParaNumbering"/>
        <w:numPr>
          <w:ilvl w:val="0"/>
          <w:numId w:val="0"/>
        </w:numPr>
        <w:ind w:hanging="720"/>
      </w:pPr>
      <w:r w:rsidRPr="00942352">
        <w:rPr>
          <w:sz w:val="20"/>
        </w:rPr>
        <w:t>101</w:t>
      </w:r>
      <w:r w:rsidRPr="00942352">
        <w:rPr>
          <w:sz w:val="20"/>
        </w:rPr>
        <w:tab/>
      </w:r>
      <w:r w:rsidR="00D821A8" w:rsidRPr="00942352">
        <w:t xml:space="preserve">It is important to understand “when” in 2014 the financial stressors became apparent to the bankrupt. </w:t>
      </w:r>
      <w:r w:rsidR="00426616" w:rsidRPr="00942352">
        <w:t xml:space="preserve">It was put to the bankrupt that the loss of the major client was in late 2013 or before the middle of 2014. The exchange was as follows: </w:t>
      </w:r>
    </w:p>
    <w:p w14:paraId="0EFEC8E6" w14:textId="136EB1EA" w:rsidR="00C25E60" w:rsidRPr="00942352" w:rsidRDefault="00C25E60" w:rsidP="00C25E60">
      <w:pPr>
        <w:pStyle w:val="Quote1"/>
      </w:pPr>
      <w:r w:rsidRPr="00942352">
        <w:t xml:space="preserve">MR EDNEY: Well, having been shown that and doing the best you can to recall, would you accept that the loss of your major customer occurred, probably, actually about late 2013 or before the middle of financial year ’14?---I recall it being gradual, though. I mean, it was just a </w:t>
      </w:r>
      <w:proofErr w:type="spellStart"/>
      <w:r w:rsidRPr="00942352">
        <w:t>cutdown</w:t>
      </w:r>
      <w:proofErr w:type="spellEnd"/>
      <w:r w:rsidR="00554F04" w:rsidRPr="00942352">
        <w:t xml:space="preserve"> [sic]</w:t>
      </w:r>
      <w:r w:rsidRPr="00942352">
        <w:t>. So eventually, they just stopped doing business with us.</w:t>
      </w:r>
    </w:p>
    <w:p w14:paraId="141A6203" w14:textId="77777777" w:rsidR="00C25E60" w:rsidRPr="00942352" w:rsidRDefault="00C25E60" w:rsidP="00C25E60">
      <w:pPr>
        <w:pStyle w:val="Quote1"/>
      </w:pPr>
      <w:r w:rsidRPr="00942352">
        <w:t>It’s over the course of the 2014 financial year it’s winding down, correct</w:t>
      </w:r>
      <w:proofErr w:type="gramStart"/>
      <w:r w:rsidRPr="00942352">
        <w:t>?---</w:t>
      </w:r>
      <w:proofErr w:type="gramEnd"/>
      <w:r w:rsidRPr="00942352">
        <w:t>Yes, from memory, yes.</w:t>
      </w:r>
    </w:p>
    <w:p w14:paraId="532EC210" w14:textId="740DBC29" w:rsidR="00C25E60" w:rsidRPr="00942352" w:rsidRDefault="00C25E60" w:rsidP="00C25E60">
      <w:pPr>
        <w:pStyle w:val="Quote1"/>
      </w:pPr>
      <w:r w:rsidRPr="00942352">
        <w:t>And by the end of the 2014 financial year, it is – if not totally, it is at least mostly wound down, correct</w:t>
      </w:r>
      <w:proofErr w:type="gramStart"/>
      <w:r w:rsidRPr="00942352">
        <w:t>?---</w:t>
      </w:r>
      <w:proofErr w:type="gramEnd"/>
      <w:r w:rsidRPr="00942352">
        <w:t xml:space="preserve">I’m not sure, but yes. </w:t>
      </w:r>
    </w:p>
    <w:p w14:paraId="43D7C9C3" w14:textId="77777777" w:rsidR="00C25E60" w:rsidRPr="00942352" w:rsidRDefault="00C25E60" w:rsidP="00C25E60">
      <w:pPr>
        <w:pStyle w:val="Quote1"/>
      </w:pPr>
      <w:r w:rsidRPr="00942352">
        <w:t>Okay. Not sure, but you definitely don’t have a – you don’t have any recollection that would mean you can say I’m wrong. Does that make sense</w:t>
      </w:r>
      <w:proofErr w:type="gramStart"/>
      <w:r w:rsidRPr="00942352">
        <w:t>?---</w:t>
      </w:r>
      <w:proofErr w:type="gramEnd"/>
      <w:r w:rsidRPr="00942352">
        <w:t>Yes.</w:t>
      </w:r>
    </w:p>
    <w:p w14:paraId="52CB16B5" w14:textId="0113B924" w:rsidR="00426616" w:rsidRPr="00942352" w:rsidRDefault="00C25E60" w:rsidP="00C25E60">
      <w:pPr>
        <w:pStyle w:val="Quote1"/>
      </w:pPr>
      <w:r w:rsidRPr="00942352">
        <w:t>Sorry, it makes sense, or you agree with me, or both</w:t>
      </w:r>
      <w:proofErr w:type="gramStart"/>
      <w:r w:rsidRPr="00942352">
        <w:t>?---</w:t>
      </w:r>
      <w:proofErr w:type="gramEnd"/>
      <w:r w:rsidRPr="00942352">
        <w:t xml:space="preserve">I agree with you, but I don’t have any recollection that would dispute that, no. </w:t>
      </w:r>
    </w:p>
    <w:p w14:paraId="6CB25CFD" w14:textId="7392B09C" w:rsidR="008B59A7" w:rsidRPr="00942352" w:rsidRDefault="00155C95" w:rsidP="00155C95">
      <w:pPr>
        <w:pStyle w:val="ParaNumbering"/>
        <w:numPr>
          <w:ilvl w:val="0"/>
          <w:numId w:val="0"/>
        </w:numPr>
        <w:ind w:hanging="720"/>
      </w:pPr>
      <w:r w:rsidRPr="00942352">
        <w:rPr>
          <w:sz w:val="20"/>
        </w:rPr>
        <w:t>102</w:t>
      </w:r>
      <w:r w:rsidRPr="00942352">
        <w:rPr>
          <w:sz w:val="20"/>
        </w:rPr>
        <w:tab/>
      </w:r>
      <w:r w:rsidR="008B59A7" w:rsidRPr="00942352">
        <w:t>Regardless, the bankrupt ultimately accept</w:t>
      </w:r>
      <w:r w:rsidR="009D2494" w:rsidRPr="00942352">
        <w:t>ed</w:t>
      </w:r>
      <w:r w:rsidR="008B59A7" w:rsidRPr="00942352">
        <w:t xml:space="preserve"> that over the course of the 2014 financial year his business </w:t>
      </w:r>
      <w:r w:rsidR="003032E7" w:rsidRPr="00942352">
        <w:t>had</w:t>
      </w:r>
      <w:r w:rsidR="008B59A7" w:rsidRPr="00942352">
        <w:t xml:space="preserve"> “signi</w:t>
      </w:r>
      <w:r w:rsidR="00A754FA">
        <w:t>ficantly wound down”.</w:t>
      </w:r>
    </w:p>
    <w:p w14:paraId="6D4A2074" w14:textId="279E00D5" w:rsidR="004F694D" w:rsidRPr="00942352" w:rsidRDefault="00155C95" w:rsidP="00155C95">
      <w:pPr>
        <w:pStyle w:val="ParaNumbering"/>
        <w:numPr>
          <w:ilvl w:val="0"/>
          <w:numId w:val="0"/>
        </w:numPr>
        <w:ind w:hanging="720"/>
      </w:pPr>
      <w:r w:rsidRPr="00942352">
        <w:rPr>
          <w:sz w:val="20"/>
        </w:rPr>
        <w:lastRenderedPageBreak/>
        <w:t>103</w:t>
      </w:r>
      <w:r w:rsidRPr="00942352">
        <w:rPr>
          <w:sz w:val="20"/>
        </w:rPr>
        <w:tab/>
      </w:r>
      <w:r w:rsidR="004F694D" w:rsidRPr="00942352">
        <w:t>At the same time, the bankrupt owed his former business partner Mr O’Donnell $2</w:t>
      </w:r>
      <w:r w:rsidR="002E5C03" w:rsidRPr="00942352">
        <w:t xml:space="preserve">25,000 </w:t>
      </w:r>
      <w:r w:rsidR="004F694D" w:rsidRPr="00942352">
        <w:t>arising from the negotiated settlement of litigation</w:t>
      </w:r>
      <w:r w:rsidR="00B611ED" w:rsidRPr="00942352">
        <w:t xml:space="preserve"> (see above at [</w:t>
      </w:r>
      <w:r w:rsidR="00B611ED" w:rsidRPr="00942352">
        <w:fldChar w:fldCharType="begin"/>
      </w:r>
      <w:r w:rsidR="00B611ED" w:rsidRPr="00942352">
        <w:instrText xml:space="preserve"> REF _Ref128563636 \r \h </w:instrText>
      </w:r>
      <w:r w:rsidR="00942352" w:rsidRPr="00942352">
        <w:instrText xml:space="preserve"> \* MERGEFORMAT </w:instrText>
      </w:r>
      <w:r w:rsidR="00B611ED" w:rsidRPr="00942352">
        <w:fldChar w:fldCharType="separate"/>
      </w:r>
      <w:r w:rsidR="002B380F">
        <w:t>88</w:t>
      </w:r>
      <w:r w:rsidR="00B611ED" w:rsidRPr="00942352">
        <w:fldChar w:fldCharType="end"/>
      </w:r>
      <w:r w:rsidR="00B611ED" w:rsidRPr="00942352">
        <w:t>])</w:t>
      </w:r>
      <w:r w:rsidR="004F694D" w:rsidRPr="00942352">
        <w:t xml:space="preserve">. </w:t>
      </w:r>
    </w:p>
    <w:p w14:paraId="6EFEEEBA" w14:textId="279F5C20" w:rsidR="000C6A58" w:rsidRPr="00942352" w:rsidRDefault="00155C95" w:rsidP="00155C95">
      <w:pPr>
        <w:pStyle w:val="ParaNumbering"/>
        <w:numPr>
          <w:ilvl w:val="0"/>
          <w:numId w:val="0"/>
        </w:numPr>
        <w:ind w:hanging="720"/>
      </w:pPr>
      <w:r w:rsidRPr="00942352">
        <w:rPr>
          <w:sz w:val="20"/>
        </w:rPr>
        <w:t>104</w:t>
      </w:r>
      <w:r w:rsidRPr="00942352">
        <w:rPr>
          <w:sz w:val="20"/>
        </w:rPr>
        <w:tab/>
      </w:r>
      <w:r w:rsidR="000C6A58" w:rsidRPr="00942352">
        <w:t xml:space="preserve">The respondent accepted under cross-examination that she was aware in mid-2014 that </w:t>
      </w:r>
      <w:r w:rsidR="00ED6C17" w:rsidRPr="00942352">
        <w:t xml:space="preserve">the bankrupt’s </w:t>
      </w:r>
      <w:r w:rsidR="000C6A58" w:rsidRPr="00942352">
        <w:t xml:space="preserve">business had shrunk massively from having </w:t>
      </w:r>
      <w:r w:rsidR="00237E52" w:rsidRPr="00942352">
        <w:t xml:space="preserve">22 </w:t>
      </w:r>
      <w:r w:rsidR="000C6A58" w:rsidRPr="00942352">
        <w:t xml:space="preserve">employees to </w:t>
      </w:r>
      <w:proofErr w:type="gramStart"/>
      <w:r w:rsidR="000C6A58" w:rsidRPr="00942352">
        <w:t>two, that</w:t>
      </w:r>
      <w:proofErr w:type="gramEnd"/>
      <w:r w:rsidR="000C6A58" w:rsidRPr="00942352">
        <w:t xml:space="preserve"> the bankrupt had lost a major customer and was under significant financial stress. </w:t>
      </w:r>
      <w:r w:rsidR="00961AEB" w:rsidRPr="00942352">
        <w:t xml:space="preserve">Her evidence was as follows: </w:t>
      </w:r>
    </w:p>
    <w:p w14:paraId="29DFE24A" w14:textId="77777777" w:rsidR="0003779B" w:rsidRPr="00942352" w:rsidRDefault="0003779B" w:rsidP="0003779B">
      <w:pPr>
        <w:pStyle w:val="Quote1"/>
      </w:pPr>
      <w:r w:rsidRPr="00942352">
        <w:t>MR EDNEY: You were aware – there is a time – and I put to you that it’s about mid-2014 – where James’ business had – I will say collapse but then I will clarify what I mean. It had shrunk massively. It had gone from being 22 employees to two</w:t>
      </w:r>
      <w:proofErr w:type="gramStart"/>
      <w:r w:rsidRPr="00942352">
        <w:t>?---</w:t>
      </w:r>
      <w:proofErr w:type="gramEnd"/>
      <w:r w:rsidRPr="00942352">
        <w:t>Yes.</w:t>
      </w:r>
    </w:p>
    <w:p w14:paraId="0CF8EAE1" w14:textId="7152A9F7" w:rsidR="0003779B" w:rsidRPr="00942352" w:rsidRDefault="0003779B" w:rsidP="0003779B">
      <w:pPr>
        <w:pStyle w:val="Quote1"/>
      </w:pPr>
      <w:r w:rsidRPr="00942352">
        <w:t>You remember that happened? He had lost his major customer; correct</w:t>
      </w:r>
      <w:proofErr w:type="gramStart"/>
      <w:r w:rsidRPr="00942352">
        <w:t>?---</w:t>
      </w:r>
      <w:proofErr w:type="gramEnd"/>
      <w:r w:rsidRPr="00942352">
        <w:t>Yes.</w:t>
      </w:r>
    </w:p>
    <w:p w14:paraId="445783D8" w14:textId="77777777" w:rsidR="0003779B" w:rsidRPr="00942352" w:rsidRDefault="0003779B" w:rsidP="0003779B">
      <w:pPr>
        <w:pStyle w:val="Quote1"/>
      </w:pPr>
      <w:r w:rsidRPr="00942352">
        <w:t>He was – I will put in somewhat usual terms – under significant financial stress; correct</w:t>
      </w:r>
      <w:proofErr w:type="gramStart"/>
      <w:r w:rsidRPr="00942352">
        <w:t>?---</w:t>
      </w:r>
      <w:proofErr w:type="gramEnd"/>
      <w:r w:rsidRPr="00942352">
        <w:t>Yes.</w:t>
      </w:r>
    </w:p>
    <w:p w14:paraId="6C69C198" w14:textId="280DF054" w:rsidR="0003779B" w:rsidRPr="00942352" w:rsidRDefault="0003779B" w:rsidP="0003779B">
      <w:pPr>
        <w:pStyle w:val="Quote1"/>
      </w:pPr>
      <w:r w:rsidRPr="00942352">
        <w:t xml:space="preserve">And at the time those things occurred, you have previously given evidence under examination that you recall him being </w:t>
      </w:r>
      <w:r w:rsidR="00C95616" w:rsidRPr="00942352">
        <w:t xml:space="preserve">[…] </w:t>
      </w:r>
      <w:r w:rsidRPr="00942352">
        <w:t>incredibly low because of his difficult financial position. If you don’t recall that, tell me, and I can take you to it</w:t>
      </w:r>
      <w:proofErr w:type="gramStart"/>
      <w:r w:rsidRPr="00942352">
        <w:t>?---</w:t>
      </w:r>
      <w:proofErr w:type="gramEnd"/>
      <w:r w:rsidRPr="00942352">
        <w:t>No, I recall.</w:t>
      </w:r>
    </w:p>
    <w:p w14:paraId="3034D30A" w14:textId="12423D8F" w:rsidR="0003779B" w:rsidRPr="00942352" w:rsidRDefault="0003779B" w:rsidP="0003779B">
      <w:pPr>
        <w:pStyle w:val="Quote1"/>
      </w:pPr>
      <w:r w:rsidRPr="00942352">
        <w:t>Okay. But that’s the truth, isn’t it</w:t>
      </w:r>
      <w:proofErr w:type="gramStart"/>
      <w:r w:rsidRPr="00942352">
        <w:t>?---</w:t>
      </w:r>
      <w:proofErr w:type="gramEnd"/>
      <w:r w:rsidRPr="00942352">
        <w:t xml:space="preserve">Yes. </w:t>
      </w:r>
    </w:p>
    <w:p w14:paraId="7590F2FB" w14:textId="77777777" w:rsidR="0003779B" w:rsidRPr="00942352" w:rsidRDefault="0003779B" w:rsidP="0003779B">
      <w:pPr>
        <w:pStyle w:val="Quote1"/>
      </w:pPr>
      <w:r w:rsidRPr="00942352">
        <w:t>And that was at about the time that you were buying what I will call the North Balgowlah property, wasn’t it</w:t>
      </w:r>
      <w:proofErr w:type="gramStart"/>
      <w:r w:rsidRPr="00942352">
        <w:t>?---</w:t>
      </w:r>
      <w:proofErr w:type="gramEnd"/>
      <w:r w:rsidRPr="00942352">
        <w:t>Yes. Yes.</w:t>
      </w:r>
    </w:p>
    <w:p w14:paraId="54C68AE8" w14:textId="6A8739BC" w:rsidR="0003779B" w:rsidRPr="00942352" w:rsidRDefault="0003779B" w:rsidP="0003779B">
      <w:pPr>
        <w:pStyle w:val="Quote1"/>
      </w:pPr>
      <w:r w:rsidRPr="00942352">
        <w:t xml:space="preserve">So you were aware at this time that he had at least </w:t>
      </w:r>
      <w:r w:rsidR="00C95616" w:rsidRPr="00942352">
        <w:t xml:space="preserve">[…] </w:t>
      </w:r>
      <w:r w:rsidRPr="00942352">
        <w:t>sufficient financial difficulties that it was making him incredibly low</w:t>
      </w:r>
      <w:proofErr w:type="gramStart"/>
      <w:r w:rsidRPr="00942352">
        <w:t>?---</w:t>
      </w:r>
      <w:proofErr w:type="gramEnd"/>
      <w:r w:rsidRPr="00942352">
        <w:t>Yes.</w:t>
      </w:r>
    </w:p>
    <w:p w14:paraId="28792135" w14:textId="375DC905" w:rsidR="0003779B" w:rsidRPr="00942352" w:rsidRDefault="0003779B" w:rsidP="0003779B">
      <w:pPr>
        <w:pStyle w:val="Quote1"/>
      </w:pPr>
      <w:r w:rsidRPr="00942352">
        <w:t>You would have appreciated that that meant there was a real risk that creditors could one day be coming knocking for anything in James’ name; correct?---Yes.</w:t>
      </w:r>
    </w:p>
    <w:p w14:paraId="49FBC5D8" w14:textId="77777777" w:rsidR="0003779B" w:rsidRPr="00942352" w:rsidRDefault="0003779B" w:rsidP="0003779B">
      <w:pPr>
        <w:pStyle w:val="Quote1"/>
      </w:pPr>
      <w:r w:rsidRPr="00942352">
        <w:t>And that meant that allowing James’ name to go on the title to the North Balgowlah property put it at risk to claims by those creditors, didn’t it?---Well, it could, yes. I can say that.</w:t>
      </w:r>
    </w:p>
    <w:p w14:paraId="5AE1D645" w14:textId="37AB4179" w:rsidR="0003779B" w:rsidRPr="00942352" w:rsidRDefault="0003779B" w:rsidP="0003779B">
      <w:pPr>
        <w:pStyle w:val="Quote1"/>
      </w:pPr>
      <w:r w:rsidRPr="00942352">
        <w:t>And that’s the main reason why you made sure that it was in your name at the end of the day and not both names</w:t>
      </w:r>
      <w:proofErr w:type="gramStart"/>
      <w:r w:rsidRPr="00942352">
        <w:t>?---</w:t>
      </w:r>
      <w:proofErr w:type="gramEnd"/>
      <w:r w:rsidRPr="00942352">
        <w:t>No, that is not the reason.</w:t>
      </w:r>
    </w:p>
    <w:p w14:paraId="4CBD3C46" w14:textId="15B728C7" w:rsidR="001A471A" w:rsidRPr="00942352" w:rsidRDefault="00BC4244" w:rsidP="00893B39">
      <w:pPr>
        <w:pStyle w:val="Heading3"/>
      </w:pPr>
      <w:bookmarkStart w:id="73" w:name="_Ref126916190"/>
      <w:r w:rsidRPr="00942352">
        <w:t>The purchase of the North Balgowlah property</w:t>
      </w:r>
      <w:bookmarkEnd w:id="73"/>
    </w:p>
    <w:p w14:paraId="5D13A71A" w14:textId="2A555B61" w:rsidR="00624BDD" w:rsidRPr="00942352" w:rsidRDefault="00155C95" w:rsidP="00155C95">
      <w:pPr>
        <w:pStyle w:val="ParaNumbering"/>
        <w:numPr>
          <w:ilvl w:val="0"/>
          <w:numId w:val="0"/>
        </w:numPr>
        <w:ind w:hanging="720"/>
      </w:pPr>
      <w:r w:rsidRPr="00942352">
        <w:rPr>
          <w:sz w:val="20"/>
        </w:rPr>
        <w:t>105</w:t>
      </w:r>
      <w:r w:rsidRPr="00942352">
        <w:rPr>
          <w:sz w:val="20"/>
        </w:rPr>
        <w:tab/>
      </w:r>
      <w:r w:rsidR="00624BDD" w:rsidRPr="00942352">
        <w:t>The undisputed facts</w:t>
      </w:r>
      <w:r w:rsidR="003A3B37" w:rsidRPr="00942352">
        <w:t>, set out above at [</w:t>
      </w:r>
      <w:r w:rsidR="00127DA0">
        <w:fldChar w:fldCharType="begin"/>
      </w:r>
      <w:r w:rsidR="00127DA0">
        <w:instrText xml:space="preserve"> REF _Ref129269230 \r \h </w:instrText>
      </w:r>
      <w:r w:rsidR="00127DA0">
        <w:fldChar w:fldCharType="separate"/>
      </w:r>
      <w:r w:rsidR="002B380F">
        <w:t>14</w:t>
      </w:r>
      <w:r w:rsidR="00127DA0">
        <w:fldChar w:fldCharType="end"/>
      </w:r>
      <w:r w:rsidR="003A3B37" w:rsidRPr="00942352">
        <w:t>]–[</w:t>
      </w:r>
      <w:r w:rsidR="003A3B37" w:rsidRPr="00942352">
        <w:fldChar w:fldCharType="begin"/>
      </w:r>
      <w:r w:rsidR="003A3B37" w:rsidRPr="00942352">
        <w:instrText xml:space="preserve"> REF _Ref128651686 \r \h </w:instrText>
      </w:r>
      <w:r w:rsidR="00942352" w:rsidRPr="00942352">
        <w:instrText xml:space="preserve"> \* MERGEFORMAT </w:instrText>
      </w:r>
      <w:r w:rsidR="003A3B37" w:rsidRPr="00942352">
        <w:fldChar w:fldCharType="separate"/>
      </w:r>
      <w:r w:rsidR="002B380F">
        <w:t>16</w:t>
      </w:r>
      <w:r w:rsidR="003A3B37" w:rsidRPr="00942352">
        <w:fldChar w:fldCharType="end"/>
      </w:r>
      <w:r w:rsidR="003A3B37" w:rsidRPr="00942352">
        <w:t xml:space="preserve">], reveal that </w:t>
      </w:r>
      <w:r w:rsidR="00624BDD" w:rsidRPr="00942352">
        <w:t>on about 4 August 2014, the bankrupt and the respondent entered into a contract</w:t>
      </w:r>
      <w:r w:rsidR="00624BDD" w:rsidRPr="00942352">
        <w:rPr>
          <w:spacing w:val="-2"/>
        </w:rPr>
        <w:t xml:space="preserve"> </w:t>
      </w:r>
      <w:r w:rsidR="00624BDD" w:rsidRPr="00942352">
        <w:t>to</w:t>
      </w:r>
      <w:r w:rsidR="00624BDD" w:rsidRPr="00942352">
        <w:rPr>
          <w:spacing w:val="-5"/>
        </w:rPr>
        <w:t xml:space="preserve"> </w:t>
      </w:r>
      <w:r w:rsidR="00624BDD" w:rsidRPr="00942352">
        <w:t>purchase</w:t>
      </w:r>
      <w:r w:rsidR="00624BDD" w:rsidRPr="00942352">
        <w:rPr>
          <w:spacing w:val="-5"/>
        </w:rPr>
        <w:t xml:space="preserve"> </w:t>
      </w:r>
      <w:r w:rsidR="00624BDD" w:rsidRPr="00942352">
        <w:t>the</w:t>
      </w:r>
      <w:r w:rsidR="00624BDD" w:rsidRPr="00942352">
        <w:rPr>
          <w:spacing w:val="-6"/>
        </w:rPr>
        <w:t xml:space="preserve"> </w:t>
      </w:r>
      <w:r w:rsidR="00624BDD" w:rsidRPr="00942352">
        <w:t>North</w:t>
      </w:r>
      <w:r w:rsidR="00624BDD" w:rsidRPr="00942352">
        <w:rPr>
          <w:spacing w:val="-1"/>
        </w:rPr>
        <w:t xml:space="preserve"> </w:t>
      </w:r>
      <w:r w:rsidR="00624BDD" w:rsidRPr="00942352">
        <w:t>Balgowlah</w:t>
      </w:r>
      <w:r w:rsidR="00624BDD" w:rsidRPr="00942352">
        <w:rPr>
          <w:spacing w:val="-3"/>
        </w:rPr>
        <w:t xml:space="preserve"> </w:t>
      </w:r>
      <w:r w:rsidR="00AC3253" w:rsidRPr="00942352">
        <w:t>property</w:t>
      </w:r>
      <w:r w:rsidR="00624BDD" w:rsidRPr="00942352">
        <w:rPr>
          <w:spacing w:val="-3"/>
        </w:rPr>
        <w:t xml:space="preserve"> </w:t>
      </w:r>
      <w:r w:rsidR="00624BDD" w:rsidRPr="00942352">
        <w:t>for</w:t>
      </w:r>
      <w:r w:rsidR="00624BDD" w:rsidRPr="00942352">
        <w:rPr>
          <w:spacing w:val="-2"/>
        </w:rPr>
        <w:t xml:space="preserve"> </w:t>
      </w:r>
      <w:r w:rsidR="00624BDD" w:rsidRPr="00942352">
        <w:t>$</w:t>
      </w:r>
      <w:r w:rsidR="00A754FA">
        <w:t>1.8 million</w:t>
      </w:r>
      <w:r w:rsidR="00624BDD" w:rsidRPr="00942352">
        <w:t>,</w:t>
      </w:r>
      <w:r w:rsidR="00624BDD" w:rsidRPr="00942352">
        <w:rPr>
          <w:spacing w:val="-3"/>
        </w:rPr>
        <w:t xml:space="preserve"> </w:t>
      </w:r>
      <w:r w:rsidR="00624BDD" w:rsidRPr="00942352">
        <w:t>with</w:t>
      </w:r>
      <w:r w:rsidR="00624BDD" w:rsidRPr="00942352">
        <w:rPr>
          <w:spacing w:val="-4"/>
        </w:rPr>
        <w:t xml:space="preserve"> </w:t>
      </w:r>
      <w:r w:rsidR="00624BDD" w:rsidRPr="00942352">
        <w:t>both</w:t>
      </w:r>
      <w:r w:rsidR="00624BDD" w:rsidRPr="00942352">
        <w:rPr>
          <w:spacing w:val="-5"/>
        </w:rPr>
        <w:t xml:space="preserve"> </w:t>
      </w:r>
      <w:r w:rsidR="00624BDD" w:rsidRPr="00942352">
        <w:t>of them name</w:t>
      </w:r>
      <w:r w:rsidR="00891956" w:rsidRPr="00942352">
        <w:t xml:space="preserve">d on the contract as purchasers. The </w:t>
      </w:r>
      <w:r w:rsidR="00624BDD" w:rsidRPr="00942352">
        <w:t>purchase</w:t>
      </w:r>
      <w:r w:rsidR="00624BDD" w:rsidRPr="00942352">
        <w:rPr>
          <w:spacing w:val="-4"/>
        </w:rPr>
        <w:t xml:space="preserve"> </w:t>
      </w:r>
      <w:r w:rsidR="00624BDD" w:rsidRPr="00942352">
        <w:t>price,</w:t>
      </w:r>
      <w:r w:rsidR="00624BDD" w:rsidRPr="00942352">
        <w:rPr>
          <w:spacing w:val="-1"/>
        </w:rPr>
        <w:t xml:space="preserve"> </w:t>
      </w:r>
      <w:r w:rsidR="00624BDD" w:rsidRPr="00942352">
        <w:t>and</w:t>
      </w:r>
      <w:r w:rsidR="00624BDD" w:rsidRPr="00942352">
        <w:rPr>
          <w:spacing w:val="-3"/>
        </w:rPr>
        <w:t xml:space="preserve"> </w:t>
      </w:r>
      <w:r w:rsidR="00624BDD" w:rsidRPr="00942352">
        <w:t>the</w:t>
      </w:r>
      <w:r w:rsidR="00624BDD" w:rsidRPr="00942352">
        <w:rPr>
          <w:spacing w:val="-5"/>
        </w:rPr>
        <w:t xml:space="preserve"> </w:t>
      </w:r>
      <w:r w:rsidR="00624BDD" w:rsidRPr="00942352">
        <w:t>other</w:t>
      </w:r>
      <w:r w:rsidR="00624BDD" w:rsidRPr="00942352">
        <w:rPr>
          <w:spacing w:val="-2"/>
        </w:rPr>
        <w:t xml:space="preserve"> </w:t>
      </w:r>
      <w:r w:rsidR="00624BDD" w:rsidRPr="00942352">
        <w:t>costs</w:t>
      </w:r>
      <w:r w:rsidR="00624BDD" w:rsidRPr="00942352">
        <w:rPr>
          <w:spacing w:val="-2"/>
        </w:rPr>
        <w:t xml:space="preserve"> </w:t>
      </w:r>
      <w:r w:rsidR="00624BDD" w:rsidRPr="00942352">
        <w:t>of</w:t>
      </w:r>
      <w:r w:rsidR="00624BDD" w:rsidRPr="00942352">
        <w:rPr>
          <w:spacing w:val="-4"/>
        </w:rPr>
        <w:t xml:space="preserve"> </w:t>
      </w:r>
      <w:r w:rsidR="00624BDD" w:rsidRPr="00942352">
        <w:t>the</w:t>
      </w:r>
      <w:r w:rsidR="00624BDD" w:rsidRPr="00942352">
        <w:rPr>
          <w:spacing w:val="-4"/>
        </w:rPr>
        <w:t xml:space="preserve"> </w:t>
      </w:r>
      <w:r w:rsidR="00624BDD" w:rsidRPr="00942352">
        <w:t>purchase,</w:t>
      </w:r>
      <w:r w:rsidR="00624BDD" w:rsidRPr="00942352">
        <w:rPr>
          <w:spacing w:val="-2"/>
        </w:rPr>
        <w:t xml:space="preserve"> </w:t>
      </w:r>
      <w:r w:rsidR="00624BDD" w:rsidRPr="00942352">
        <w:t>were</w:t>
      </w:r>
      <w:r w:rsidR="00624BDD" w:rsidRPr="00942352">
        <w:rPr>
          <w:spacing w:val="-6"/>
        </w:rPr>
        <w:t xml:space="preserve"> </w:t>
      </w:r>
      <w:r w:rsidR="00624BDD" w:rsidRPr="00942352">
        <w:t>paid</w:t>
      </w:r>
      <w:r w:rsidR="00624BDD" w:rsidRPr="00942352">
        <w:rPr>
          <w:spacing w:val="-4"/>
        </w:rPr>
        <w:t xml:space="preserve"> </w:t>
      </w:r>
      <w:r w:rsidR="00624BDD" w:rsidRPr="00942352">
        <w:t>by</w:t>
      </w:r>
      <w:r w:rsidR="00624BDD" w:rsidRPr="00942352">
        <w:rPr>
          <w:spacing w:val="-2"/>
        </w:rPr>
        <w:t xml:space="preserve"> </w:t>
      </w:r>
      <w:r w:rsidR="00624BDD" w:rsidRPr="00942352">
        <w:t>way</w:t>
      </w:r>
      <w:r w:rsidR="00624BDD" w:rsidRPr="00942352">
        <w:rPr>
          <w:spacing w:val="-2"/>
        </w:rPr>
        <w:t xml:space="preserve"> </w:t>
      </w:r>
      <w:r w:rsidR="00624BDD" w:rsidRPr="00942352">
        <w:rPr>
          <w:spacing w:val="-5"/>
        </w:rPr>
        <w:t>of:</w:t>
      </w:r>
    </w:p>
    <w:p w14:paraId="55FE6C02" w14:textId="0A5CEF4F" w:rsidR="00624BDD"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624BDD" w:rsidRPr="00942352">
        <w:t>drawings</w:t>
      </w:r>
      <w:proofErr w:type="gramEnd"/>
      <w:r w:rsidR="00624BDD" w:rsidRPr="00A754FA">
        <w:rPr>
          <w:spacing w:val="-4"/>
        </w:rPr>
        <w:t xml:space="preserve"> </w:t>
      </w:r>
      <w:r w:rsidR="00624BDD" w:rsidRPr="00942352">
        <w:t>totalling</w:t>
      </w:r>
      <w:r w:rsidR="00624BDD" w:rsidRPr="00A754FA">
        <w:rPr>
          <w:spacing w:val="-6"/>
        </w:rPr>
        <w:t xml:space="preserve"> </w:t>
      </w:r>
      <w:r w:rsidR="00624BDD" w:rsidRPr="00942352">
        <w:t>$197,773.86</w:t>
      </w:r>
      <w:r w:rsidR="00624BDD" w:rsidRPr="00A754FA">
        <w:rPr>
          <w:spacing w:val="-7"/>
        </w:rPr>
        <w:t xml:space="preserve"> </w:t>
      </w:r>
      <w:r w:rsidR="00624BDD" w:rsidRPr="00942352">
        <w:t>from</w:t>
      </w:r>
      <w:r w:rsidR="00624BDD" w:rsidRPr="00A754FA">
        <w:rPr>
          <w:spacing w:val="-8"/>
        </w:rPr>
        <w:t xml:space="preserve"> </w:t>
      </w:r>
      <w:r w:rsidR="00624BDD" w:rsidRPr="00942352">
        <w:t>the</w:t>
      </w:r>
      <w:r w:rsidR="00624BDD" w:rsidRPr="00A754FA">
        <w:rPr>
          <w:spacing w:val="-7"/>
        </w:rPr>
        <w:t xml:space="preserve"> </w:t>
      </w:r>
      <w:r w:rsidR="00624BDD" w:rsidRPr="00942352">
        <w:t>Joint</w:t>
      </w:r>
      <w:r w:rsidR="00624BDD" w:rsidRPr="00A754FA">
        <w:rPr>
          <w:spacing w:val="-4"/>
        </w:rPr>
        <w:t xml:space="preserve"> </w:t>
      </w:r>
      <w:r w:rsidR="00624BDD" w:rsidRPr="00942352">
        <w:t>Account;</w:t>
      </w:r>
      <w:r w:rsidR="00624BDD" w:rsidRPr="00A754FA">
        <w:rPr>
          <w:spacing w:val="-4"/>
        </w:rPr>
        <w:t xml:space="preserve"> </w:t>
      </w:r>
      <w:r w:rsidR="00624BDD" w:rsidRPr="00A754FA">
        <w:rPr>
          <w:spacing w:val="-5"/>
        </w:rPr>
        <w:t>and</w:t>
      </w:r>
    </w:p>
    <w:p w14:paraId="1C826138" w14:textId="49B0453C" w:rsidR="00624BDD" w:rsidRPr="00942352" w:rsidRDefault="00155C95" w:rsidP="00155C95">
      <w:pPr>
        <w:pStyle w:val="ListNo1alt"/>
        <w:numPr>
          <w:ilvl w:val="0"/>
          <w:numId w:val="0"/>
        </w:numPr>
        <w:tabs>
          <w:tab w:val="left" w:pos="720"/>
        </w:tabs>
        <w:ind w:left="720" w:hanging="720"/>
      </w:pPr>
      <w:r w:rsidRPr="00942352">
        <w:t>(b)</w:t>
      </w:r>
      <w:r w:rsidRPr="00942352">
        <w:tab/>
      </w:r>
      <w:r w:rsidR="00624BDD" w:rsidRPr="00942352">
        <w:t>$1</w:t>
      </w:r>
      <w:r w:rsidR="00A754FA">
        <w:t>.7 million</w:t>
      </w:r>
      <w:r w:rsidR="00624BDD" w:rsidRPr="00942352">
        <w:rPr>
          <w:spacing w:val="-5"/>
        </w:rPr>
        <w:t xml:space="preserve"> </w:t>
      </w:r>
      <w:r w:rsidR="00624BDD" w:rsidRPr="00942352">
        <w:t>borrowed</w:t>
      </w:r>
      <w:r w:rsidR="00624BDD" w:rsidRPr="00942352">
        <w:rPr>
          <w:spacing w:val="-5"/>
        </w:rPr>
        <w:t xml:space="preserve"> </w:t>
      </w:r>
      <w:r w:rsidR="00624BDD" w:rsidRPr="00942352">
        <w:t>from</w:t>
      </w:r>
      <w:r w:rsidR="00624BDD" w:rsidRPr="00942352">
        <w:rPr>
          <w:spacing w:val="-3"/>
        </w:rPr>
        <w:t xml:space="preserve"> </w:t>
      </w:r>
      <w:r w:rsidR="00624BDD" w:rsidRPr="00942352">
        <w:t>the</w:t>
      </w:r>
      <w:r w:rsidR="00624BDD" w:rsidRPr="00942352">
        <w:rPr>
          <w:spacing w:val="-3"/>
        </w:rPr>
        <w:t xml:space="preserve"> </w:t>
      </w:r>
      <w:r w:rsidR="00624BDD" w:rsidRPr="00942352">
        <w:t>Commonwealth</w:t>
      </w:r>
      <w:r w:rsidR="00624BDD" w:rsidRPr="00942352">
        <w:rPr>
          <w:spacing w:val="-5"/>
        </w:rPr>
        <w:t xml:space="preserve"> </w:t>
      </w:r>
      <w:r w:rsidR="00624BDD" w:rsidRPr="00942352">
        <w:t>Bank</w:t>
      </w:r>
      <w:r w:rsidR="00624BDD" w:rsidRPr="00942352">
        <w:rPr>
          <w:spacing w:val="-3"/>
        </w:rPr>
        <w:t xml:space="preserve"> </w:t>
      </w:r>
      <w:r w:rsidR="00624BDD" w:rsidRPr="00942352">
        <w:t>by</w:t>
      </w:r>
      <w:r w:rsidR="00624BDD" w:rsidRPr="00942352">
        <w:rPr>
          <w:spacing w:val="-1"/>
        </w:rPr>
        <w:t xml:space="preserve"> </w:t>
      </w:r>
      <w:r w:rsidR="00624BDD" w:rsidRPr="00942352">
        <w:t>way</w:t>
      </w:r>
      <w:r w:rsidR="00624BDD" w:rsidRPr="00942352">
        <w:rPr>
          <w:spacing w:val="-5"/>
        </w:rPr>
        <w:t xml:space="preserve"> </w:t>
      </w:r>
      <w:r w:rsidR="00624BDD" w:rsidRPr="00942352">
        <w:t>of</w:t>
      </w:r>
      <w:r w:rsidR="00624BDD" w:rsidRPr="00942352">
        <w:rPr>
          <w:spacing w:val="-2"/>
        </w:rPr>
        <w:t xml:space="preserve"> </w:t>
      </w:r>
      <w:r w:rsidR="00624BDD" w:rsidRPr="00942352">
        <w:t>a</w:t>
      </w:r>
      <w:r w:rsidR="00624BDD" w:rsidRPr="00942352">
        <w:rPr>
          <w:spacing w:val="-6"/>
        </w:rPr>
        <w:t xml:space="preserve"> </w:t>
      </w:r>
      <w:r w:rsidR="00624BDD" w:rsidRPr="00942352">
        <w:t>loan</w:t>
      </w:r>
      <w:r w:rsidR="00624BDD" w:rsidRPr="00942352">
        <w:rPr>
          <w:spacing w:val="-3"/>
        </w:rPr>
        <w:t xml:space="preserve"> </w:t>
      </w:r>
      <w:r w:rsidR="00624BDD" w:rsidRPr="00942352">
        <w:t>in respect of which both the bankrupt and the resp</w:t>
      </w:r>
      <w:r w:rsidR="00D5743E" w:rsidRPr="00942352">
        <w:t>ondent were principal borrowers,</w:t>
      </w:r>
      <w:r w:rsidR="00624BDD" w:rsidRPr="00942352">
        <w:t xml:space="preserve"> and</w:t>
      </w:r>
    </w:p>
    <w:p w14:paraId="50D868AD" w14:textId="0B515180" w:rsidR="00624BDD" w:rsidRPr="00942352" w:rsidRDefault="00155C95" w:rsidP="00155C95">
      <w:pPr>
        <w:pStyle w:val="ListNo1alt"/>
        <w:numPr>
          <w:ilvl w:val="0"/>
          <w:numId w:val="0"/>
        </w:numPr>
        <w:tabs>
          <w:tab w:val="left" w:pos="720"/>
        </w:tabs>
        <w:ind w:left="720" w:hanging="720"/>
      </w:pPr>
      <w:r w:rsidRPr="00942352">
        <w:lastRenderedPageBreak/>
        <w:t>(c)</w:t>
      </w:r>
      <w:r w:rsidRPr="00942352">
        <w:tab/>
      </w:r>
      <w:proofErr w:type="gramStart"/>
      <w:r w:rsidR="00624BDD" w:rsidRPr="00942352">
        <w:t>the</w:t>
      </w:r>
      <w:proofErr w:type="gramEnd"/>
      <w:r w:rsidR="00624BDD" w:rsidRPr="00942352">
        <w:t xml:space="preserve"> purchase settled on 28 November 2014, at which ti</w:t>
      </w:r>
      <w:r w:rsidR="00A754FA">
        <w:t xml:space="preserve">me title to the North Balgowlah </w:t>
      </w:r>
      <w:r w:rsidR="00AC3253" w:rsidRPr="00942352">
        <w:t>property</w:t>
      </w:r>
      <w:r w:rsidR="00624BDD" w:rsidRPr="00942352">
        <w:t xml:space="preserve"> was taken solely in</w:t>
      </w:r>
      <w:r w:rsidR="00624BDD" w:rsidRPr="00942352">
        <w:rPr>
          <w:spacing w:val="-2"/>
        </w:rPr>
        <w:t xml:space="preserve"> </w:t>
      </w:r>
      <w:r w:rsidR="00624BDD" w:rsidRPr="00942352">
        <w:t>the respondent’s name.</w:t>
      </w:r>
    </w:p>
    <w:p w14:paraId="7E1DECAB" w14:textId="77777777" w:rsidR="00E53F9D" w:rsidRPr="00942352" w:rsidRDefault="00E53F9D" w:rsidP="00E53F9D">
      <w:pPr>
        <w:pStyle w:val="Heading4"/>
      </w:pPr>
      <w:bookmarkStart w:id="74" w:name="_Ref126916191"/>
      <w:r w:rsidRPr="00942352">
        <w:t>The mortgage documentation</w:t>
      </w:r>
      <w:bookmarkEnd w:id="74"/>
    </w:p>
    <w:p w14:paraId="5D0D51E8" w14:textId="4D09C82D" w:rsidR="00E53F9D" w:rsidRPr="00942352" w:rsidRDefault="00155C95" w:rsidP="00155C95">
      <w:pPr>
        <w:pStyle w:val="ParaNumbering"/>
        <w:numPr>
          <w:ilvl w:val="0"/>
          <w:numId w:val="0"/>
        </w:numPr>
        <w:ind w:hanging="720"/>
      </w:pPr>
      <w:r w:rsidRPr="00942352">
        <w:rPr>
          <w:sz w:val="20"/>
        </w:rPr>
        <w:t>106</w:t>
      </w:r>
      <w:r w:rsidRPr="00942352">
        <w:rPr>
          <w:sz w:val="20"/>
        </w:rPr>
        <w:tab/>
      </w:r>
      <w:r w:rsidR="00E53F9D" w:rsidRPr="00942352">
        <w:t>On 5 November 2014, the Commonwealth Bank loan to the bankrupt and the respondent for the p</w:t>
      </w:r>
      <w:r w:rsidR="00F45CCF" w:rsidRPr="00942352">
        <w:t>urchase of the North Balgowlah p</w:t>
      </w:r>
      <w:r w:rsidR="00E53F9D" w:rsidRPr="00942352">
        <w:t>roperty was approved</w:t>
      </w:r>
      <w:r w:rsidR="00DD5C03" w:rsidRPr="00942352">
        <w:t>.</w:t>
      </w:r>
    </w:p>
    <w:p w14:paraId="2CEF8B06" w14:textId="401A53B3" w:rsidR="005560CE" w:rsidRPr="00942352" w:rsidRDefault="00155C95" w:rsidP="00155C95">
      <w:pPr>
        <w:pStyle w:val="ParaNumbering"/>
        <w:numPr>
          <w:ilvl w:val="0"/>
          <w:numId w:val="0"/>
        </w:numPr>
        <w:ind w:hanging="720"/>
      </w:pPr>
      <w:r w:rsidRPr="00942352">
        <w:rPr>
          <w:sz w:val="20"/>
        </w:rPr>
        <w:t>107</w:t>
      </w:r>
      <w:r w:rsidRPr="00942352">
        <w:rPr>
          <w:sz w:val="20"/>
        </w:rPr>
        <w:tab/>
      </w:r>
      <w:r w:rsidR="005560CE" w:rsidRPr="00942352">
        <w:t xml:space="preserve">The Commonwealth Bank </w:t>
      </w:r>
      <w:r w:rsidR="005560CE" w:rsidRPr="00942352">
        <w:rPr>
          <w:b/>
        </w:rPr>
        <w:t>loan application</w:t>
      </w:r>
      <w:r w:rsidR="005560CE" w:rsidRPr="00942352">
        <w:t xml:space="preserve"> showed that the bankrupt and the respondent were approved to borrow $1.7 million from the Commonwealth Bank comprising the bulk of the $1.8 million purchase price for the North Balgowlah </w:t>
      </w:r>
      <w:r w:rsidR="00AC3253" w:rsidRPr="00942352">
        <w:t>property</w:t>
      </w:r>
      <w:r w:rsidR="005560CE" w:rsidRPr="00942352">
        <w:t xml:space="preserve">. </w:t>
      </w:r>
    </w:p>
    <w:p w14:paraId="7CB532CD" w14:textId="2B9C028E" w:rsidR="005560CE" w:rsidRPr="00942352" w:rsidRDefault="00155C95" w:rsidP="00155C95">
      <w:pPr>
        <w:pStyle w:val="ParaNumbering"/>
        <w:numPr>
          <w:ilvl w:val="0"/>
          <w:numId w:val="0"/>
        </w:numPr>
        <w:ind w:hanging="720"/>
      </w:pPr>
      <w:bookmarkStart w:id="75" w:name="_Ref128748891"/>
      <w:r w:rsidRPr="00942352">
        <w:rPr>
          <w:sz w:val="20"/>
        </w:rPr>
        <w:t>108</w:t>
      </w:r>
      <w:r w:rsidRPr="00942352">
        <w:rPr>
          <w:sz w:val="20"/>
        </w:rPr>
        <w:tab/>
      </w:r>
      <w:r w:rsidR="005560CE" w:rsidRPr="00942352">
        <w:t>The loan application demonstrates the asset pool of the bankrupt and the respondent around the period between 29 October 2014 (</w:t>
      </w:r>
      <w:r w:rsidR="00A754FA">
        <w:t xml:space="preserve">the </w:t>
      </w:r>
      <w:r w:rsidR="005560CE" w:rsidRPr="00942352">
        <w:t xml:space="preserve">date recommended by </w:t>
      </w:r>
      <w:r w:rsidR="00A754FA">
        <w:t xml:space="preserve">the </w:t>
      </w:r>
      <w:r w:rsidR="005560CE" w:rsidRPr="00942352">
        <w:t>bank officer) and 5 November 2014 (</w:t>
      </w:r>
      <w:r w:rsidR="00A754FA">
        <w:t xml:space="preserve">the </w:t>
      </w:r>
      <w:r w:rsidR="005560CE" w:rsidRPr="00942352">
        <w:t xml:space="preserve">date approved by </w:t>
      </w:r>
      <w:r w:rsidR="00A754FA">
        <w:t xml:space="preserve">the </w:t>
      </w:r>
      <w:r w:rsidR="005560CE" w:rsidRPr="00942352">
        <w:t xml:space="preserve">bank officer). There were only three accounts comprising the bankrupt and the respondent’s savings listed on the loan application: a </w:t>
      </w:r>
      <w:r w:rsidR="00FB6282" w:rsidRPr="00942352">
        <w:t>National Australia Bank (</w:t>
      </w:r>
      <w:r w:rsidR="005560CE" w:rsidRPr="00942352">
        <w:rPr>
          <w:b/>
        </w:rPr>
        <w:t>NAB</w:t>
      </w:r>
      <w:r w:rsidR="00FB6282" w:rsidRPr="00942352">
        <w:t>)</w:t>
      </w:r>
      <w:r w:rsidR="005560CE" w:rsidRPr="00942352">
        <w:t xml:space="preserve"> account with a balance of $8,000 (for which no account number was provided) and two Commonwealth Bank accounts –</w:t>
      </w:r>
      <w:r w:rsidR="00FB6282" w:rsidRPr="00942352">
        <w:t xml:space="preserve"> </w:t>
      </w:r>
      <w:r w:rsidR="005560CE" w:rsidRPr="00942352">
        <w:t xml:space="preserve">an account ending in #1660 with a balance of $174.18 and </w:t>
      </w:r>
      <w:r w:rsidR="00FB6282" w:rsidRPr="00942352">
        <w:t>the Joint Account</w:t>
      </w:r>
      <w:r w:rsidR="005560CE" w:rsidRPr="00942352">
        <w:t xml:space="preserve"> with a balance of $116,374.59 (consistent with the bank statement in evidence as at </w:t>
      </w:r>
      <w:r w:rsidR="00FB6282" w:rsidRPr="00942352">
        <w:t xml:space="preserve">4 November </w:t>
      </w:r>
      <w:r w:rsidR="00A754FA">
        <w:t>2014</w:t>
      </w:r>
      <w:r w:rsidR="005560CE" w:rsidRPr="00942352">
        <w:t xml:space="preserve">). This is what the bankrupt and the respondent had </w:t>
      </w:r>
      <w:r w:rsidR="000B747E" w:rsidRPr="00942352">
        <w:t>represented to</w:t>
      </w:r>
      <w:r w:rsidR="005560CE" w:rsidRPr="00942352">
        <w:t xml:space="preserve"> the Commonwealth Bank were their accounts at the time leading up to the purchase of the North Balgowlah property.</w:t>
      </w:r>
      <w:bookmarkEnd w:id="75"/>
      <w:r w:rsidR="005560CE" w:rsidRPr="00942352">
        <w:t xml:space="preserve"> </w:t>
      </w:r>
    </w:p>
    <w:p w14:paraId="510871A8" w14:textId="316C87A1" w:rsidR="00DD5C03" w:rsidRPr="00942352" w:rsidRDefault="00155C95" w:rsidP="00155C95">
      <w:pPr>
        <w:pStyle w:val="ParaNumbering"/>
        <w:numPr>
          <w:ilvl w:val="0"/>
          <w:numId w:val="0"/>
        </w:numPr>
        <w:ind w:hanging="720"/>
        <w:rPr>
          <w:b/>
        </w:rPr>
      </w:pPr>
      <w:r w:rsidRPr="00942352">
        <w:rPr>
          <w:sz w:val="20"/>
        </w:rPr>
        <w:t>109</w:t>
      </w:r>
      <w:r w:rsidRPr="00942352">
        <w:rPr>
          <w:sz w:val="20"/>
        </w:rPr>
        <w:tab/>
      </w:r>
      <w:r w:rsidR="005560CE" w:rsidRPr="00942352">
        <w:t xml:space="preserve">Accordingly, the respondent’s submission that there were numerous accounts for which the trustee needed to consider when analysing the bankrupt’s contributions to the purchase of the North Balgowlah property is not consistent with this contemporaneous documentary evidence. </w:t>
      </w:r>
      <w:r w:rsidR="00DD5C03" w:rsidRPr="00942352">
        <w:t>This is particularly so given</w:t>
      </w:r>
      <w:r w:rsidR="004B17DB" w:rsidRPr="00942352">
        <w:t xml:space="preserve"> that</w:t>
      </w:r>
      <w:r w:rsidR="00DD5C03" w:rsidRPr="00942352">
        <w:t xml:space="preserve"> the documentation from the </w:t>
      </w:r>
      <w:r w:rsidR="00A754FA">
        <w:t>2013 refinance application</w:t>
      </w:r>
      <w:r w:rsidR="00DD5C03" w:rsidRPr="00942352">
        <w:t xml:space="preserve"> reflected the same picture</w:t>
      </w:r>
      <w:r w:rsidR="000B41CD">
        <w:t xml:space="preserve"> (extracted at [</w:t>
      </w:r>
      <w:r w:rsidR="000B41CD">
        <w:fldChar w:fldCharType="begin"/>
      </w:r>
      <w:r w:rsidR="000B41CD">
        <w:instrText xml:space="preserve"> REF _Ref127888218 \r \h </w:instrText>
      </w:r>
      <w:r w:rsidR="000B41CD">
        <w:fldChar w:fldCharType="separate"/>
      </w:r>
      <w:r w:rsidR="002B380F">
        <w:t>122</w:t>
      </w:r>
      <w:r w:rsidR="000B41CD">
        <w:fldChar w:fldCharType="end"/>
      </w:r>
      <w:r w:rsidR="000B41CD">
        <w:t>] below)</w:t>
      </w:r>
      <w:r w:rsidR="00672798" w:rsidRPr="00942352">
        <w:t>.</w:t>
      </w:r>
      <w:r w:rsidR="000A7DD8" w:rsidRPr="00942352">
        <w:rPr>
          <w:b/>
        </w:rPr>
        <w:t xml:space="preserve"> </w:t>
      </w:r>
    </w:p>
    <w:p w14:paraId="768F4CB2" w14:textId="22EE7789" w:rsidR="005560CE" w:rsidRPr="00942352" w:rsidRDefault="00155C95" w:rsidP="00155C95">
      <w:pPr>
        <w:pStyle w:val="ParaNumbering"/>
        <w:numPr>
          <w:ilvl w:val="0"/>
          <w:numId w:val="0"/>
        </w:numPr>
        <w:ind w:hanging="720"/>
      </w:pPr>
      <w:r w:rsidRPr="00942352">
        <w:rPr>
          <w:sz w:val="20"/>
        </w:rPr>
        <w:t>110</w:t>
      </w:r>
      <w:r w:rsidRPr="00942352">
        <w:rPr>
          <w:sz w:val="20"/>
        </w:rPr>
        <w:tab/>
      </w:r>
      <w:r w:rsidR="005560CE" w:rsidRPr="00942352">
        <w:t xml:space="preserve">In relation to the </w:t>
      </w:r>
      <w:proofErr w:type="spellStart"/>
      <w:r w:rsidR="005560CE" w:rsidRPr="00942352">
        <w:t>the</w:t>
      </w:r>
      <w:proofErr w:type="spellEnd"/>
      <w:r w:rsidR="005560CE" w:rsidRPr="00942352">
        <w:t xml:space="preserve"> respondent’s equity in the Seaforth property, the loan application demonstrates that around the period between 29 October and 5 November 2014, the bankrupt and the respondent had four existing mortgages over the Seaforth property with the Commonwealth Bank. The Commonwealth Bank valued the Seaforth property as worth $2.25 million and the total balance owing on the mortgages was $1,659,149. The respondent’s equity was t</w:t>
      </w:r>
      <w:r w:rsidR="000B41CD">
        <w:t>herefore $590,851 at that time.</w:t>
      </w:r>
    </w:p>
    <w:p w14:paraId="5212E767" w14:textId="18A3CA2B" w:rsidR="00EA22E5" w:rsidRPr="00942352" w:rsidRDefault="00EA22E5" w:rsidP="00EA22E5">
      <w:pPr>
        <w:pStyle w:val="Heading4"/>
      </w:pPr>
      <w:bookmarkStart w:id="76" w:name="_Ref126916192"/>
      <w:bookmarkStart w:id="77" w:name="_Ref128755629"/>
      <w:r w:rsidRPr="00942352">
        <w:lastRenderedPageBreak/>
        <w:t>How was the purchase of the North Balgowlah property funded</w:t>
      </w:r>
      <w:bookmarkEnd w:id="76"/>
      <w:r w:rsidR="009F1A3E" w:rsidRPr="00942352">
        <w:t>?</w:t>
      </w:r>
      <w:bookmarkEnd w:id="77"/>
    </w:p>
    <w:p w14:paraId="3A442F2A" w14:textId="7F52B4C9" w:rsidR="00EA22E5" w:rsidRPr="00942352" w:rsidRDefault="00155C95" w:rsidP="00155C95">
      <w:pPr>
        <w:pStyle w:val="ParaNumbering"/>
        <w:numPr>
          <w:ilvl w:val="0"/>
          <w:numId w:val="0"/>
        </w:numPr>
        <w:ind w:hanging="720"/>
      </w:pPr>
      <w:r w:rsidRPr="00942352">
        <w:rPr>
          <w:sz w:val="20"/>
        </w:rPr>
        <w:t>111</w:t>
      </w:r>
      <w:r w:rsidRPr="00942352">
        <w:rPr>
          <w:sz w:val="20"/>
        </w:rPr>
        <w:tab/>
      </w:r>
      <w:r w:rsidR="00EA22E5" w:rsidRPr="00942352">
        <w:t xml:space="preserve">A live dispute between the parties was whose funds were used to purchase the North Balgowlah property. </w:t>
      </w:r>
    </w:p>
    <w:p w14:paraId="64D22271" w14:textId="08BE15B0" w:rsidR="00EA22E5" w:rsidRPr="00942352" w:rsidRDefault="00155C95" w:rsidP="00155C95">
      <w:pPr>
        <w:pStyle w:val="ParaNumbering"/>
        <w:numPr>
          <w:ilvl w:val="0"/>
          <w:numId w:val="0"/>
        </w:numPr>
        <w:ind w:hanging="720"/>
      </w:pPr>
      <w:r w:rsidRPr="00942352">
        <w:rPr>
          <w:sz w:val="20"/>
        </w:rPr>
        <w:t>112</w:t>
      </w:r>
      <w:r w:rsidRPr="00942352">
        <w:rPr>
          <w:sz w:val="20"/>
        </w:rPr>
        <w:tab/>
      </w:r>
      <w:r w:rsidR="00EA22E5" w:rsidRPr="00942352">
        <w:t>The evidence revealed that, as set out above, that</w:t>
      </w:r>
      <w:r w:rsidR="00204596">
        <w:t xml:space="preserve"> apart from the Commonwealth Bank loan,</w:t>
      </w:r>
      <w:r w:rsidR="00EA22E5" w:rsidRPr="00942352">
        <w:t xml:space="preserve"> the sole source of drawings totalling $197,773.86 used for the purchase came from the Joint Account. </w:t>
      </w:r>
    </w:p>
    <w:p w14:paraId="11C07351" w14:textId="44CD0824" w:rsidR="00F91B8E" w:rsidRPr="00942352" w:rsidRDefault="00155C95" w:rsidP="00155C95">
      <w:pPr>
        <w:pStyle w:val="ParaNumbering"/>
        <w:numPr>
          <w:ilvl w:val="0"/>
          <w:numId w:val="0"/>
        </w:numPr>
        <w:ind w:hanging="720"/>
      </w:pPr>
      <w:r w:rsidRPr="00942352">
        <w:rPr>
          <w:sz w:val="20"/>
        </w:rPr>
        <w:t>113</w:t>
      </w:r>
      <w:r w:rsidRPr="00942352">
        <w:rPr>
          <w:sz w:val="20"/>
        </w:rPr>
        <w:tab/>
      </w:r>
      <w:r w:rsidR="00F91B8E" w:rsidRPr="00942352">
        <w:t xml:space="preserve">The trustee tendered the statements of the Joint Account for the period between </w:t>
      </w:r>
      <w:r w:rsidR="003E7319" w:rsidRPr="00942352">
        <w:t>22 January 2014</w:t>
      </w:r>
      <w:r w:rsidR="00F91B8E" w:rsidRPr="00942352">
        <w:rPr>
          <w:b/>
        </w:rPr>
        <w:t xml:space="preserve"> </w:t>
      </w:r>
      <w:r w:rsidR="00F91B8E" w:rsidRPr="00942352">
        <w:t xml:space="preserve">and </w:t>
      </w:r>
      <w:r w:rsidR="003E7319" w:rsidRPr="00942352">
        <w:t>3 October 2017</w:t>
      </w:r>
      <w:r w:rsidR="00F91B8E" w:rsidRPr="00942352">
        <w:t>.</w:t>
      </w:r>
    </w:p>
    <w:p w14:paraId="28CBE853" w14:textId="66BEE7BC" w:rsidR="00F91B8E" w:rsidRPr="00942352" w:rsidRDefault="00155C95" w:rsidP="00155C95">
      <w:pPr>
        <w:pStyle w:val="ParaNumbering"/>
        <w:numPr>
          <w:ilvl w:val="0"/>
          <w:numId w:val="0"/>
        </w:numPr>
        <w:ind w:hanging="720"/>
      </w:pPr>
      <w:r w:rsidRPr="00942352">
        <w:rPr>
          <w:sz w:val="20"/>
        </w:rPr>
        <w:t>114</w:t>
      </w:r>
      <w:r w:rsidRPr="00942352">
        <w:rPr>
          <w:sz w:val="20"/>
        </w:rPr>
        <w:tab/>
      </w:r>
      <w:r w:rsidR="00F91B8E" w:rsidRPr="00942352">
        <w:t xml:space="preserve">The </w:t>
      </w:r>
      <w:r w:rsidR="00E60C40" w:rsidRPr="00942352">
        <w:t xml:space="preserve">opening </w:t>
      </w:r>
      <w:r w:rsidR="00F91B8E" w:rsidRPr="00942352">
        <w:t xml:space="preserve">balance in the first Statement of Account was </w:t>
      </w:r>
      <w:r w:rsidR="00A43E21" w:rsidRPr="00942352">
        <w:t>$1,156.47</w:t>
      </w:r>
      <w:r w:rsidR="00F91B8E" w:rsidRPr="00942352">
        <w:t xml:space="preserve"> and </w:t>
      </w:r>
      <w:r w:rsidR="00204596">
        <w:t xml:space="preserve">the </w:t>
      </w:r>
      <w:r w:rsidR="002F24EB" w:rsidRPr="00942352">
        <w:t xml:space="preserve">closing balance </w:t>
      </w:r>
      <w:r w:rsidR="00F91B8E" w:rsidRPr="00942352">
        <w:t xml:space="preserve">for the last </w:t>
      </w:r>
      <w:r w:rsidR="002F24EB" w:rsidRPr="00942352">
        <w:t>Statement of Account</w:t>
      </w:r>
      <w:r w:rsidR="00F91B8E" w:rsidRPr="00942352">
        <w:t xml:space="preserve"> was </w:t>
      </w:r>
      <w:r w:rsidR="00A43E21" w:rsidRPr="00942352">
        <w:t>$286.96</w:t>
      </w:r>
      <w:r w:rsidR="002F24EB" w:rsidRPr="00942352">
        <w:t xml:space="preserve">. </w:t>
      </w:r>
    </w:p>
    <w:p w14:paraId="27318758" w14:textId="40D28180" w:rsidR="002F24EB" w:rsidRPr="00942352" w:rsidRDefault="00155C95" w:rsidP="00155C95">
      <w:pPr>
        <w:pStyle w:val="ParaNumbering"/>
        <w:numPr>
          <w:ilvl w:val="0"/>
          <w:numId w:val="0"/>
        </w:numPr>
        <w:ind w:hanging="720"/>
      </w:pPr>
      <w:r w:rsidRPr="00942352">
        <w:rPr>
          <w:sz w:val="20"/>
        </w:rPr>
        <w:t>115</w:t>
      </w:r>
      <w:r w:rsidRPr="00942352">
        <w:rPr>
          <w:sz w:val="20"/>
        </w:rPr>
        <w:tab/>
      </w:r>
      <w:r w:rsidR="00F91B8E" w:rsidRPr="00942352">
        <w:t xml:space="preserve">A review of the </w:t>
      </w:r>
      <w:r w:rsidR="00C36267" w:rsidRPr="00942352">
        <w:t>s</w:t>
      </w:r>
      <w:r w:rsidR="00F91B8E" w:rsidRPr="00942352">
        <w:t>tatement</w:t>
      </w:r>
      <w:r w:rsidR="00204596">
        <w:t>s</w:t>
      </w:r>
      <w:r w:rsidR="00F91B8E" w:rsidRPr="00942352">
        <w:t xml:space="preserve"> of </w:t>
      </w:r>
      <w:r w:rsidR="00C36267" w:rsidRPr="00942352">
        <w:t xml:space="preserve">the Joint </w:t>
      </w:r>
      <w:r w:rsidR="00F91B8E" w:rsidRPr="00942352">
        <w:t xml:space="preserve">Account reveals that the only significant deposits and withdrawals from that account over the period between </w:t>
      </w:r>
      <w:r w:rsidR="00A43E21" w:rsidRPr="00942352">
        <w:t>22 January 2014</w:t>
      </w:r>
      <w:r w:rsidR="00A43E21" w:rsidRPr="00942352">
        <w:rPr>
          <w:b/>
        </w:rPr>
        <w:t xml:space="preserve"> </w:t>
      </w:r>
      <w:r w:rsidR="00A43E21" w:rsidRPr="00942352">
        <w:t xml:space="preserve">and 3 October 2017 </w:t>
      </w:r>
      <w:r w:rsidR="00204596">
        <w:t xml:space="preserve">were, </w:t>
      </w:r>
      <w:r w:rsidR="00204596" w:rsidRPr="00204596">
        <w:rPr>
          <w:i/>
        </w:rPr>
        <w:t>first</w:t>
      </w:r>
      <w:r w:rsidR="00204596" w:rsidRPr="00204596">
        <w:t>,</w:t>
      </w:r>
      <w:r w:rsidR="00833A9F" w:rsidRPr="00942352">
        <w:t xml:space="preserve"> </w:t>
      </w:r>
      <w:r w:rsidR="00204596">
        <w:t>the deposits</w:t>
      </w:r>
      <w:r w:rsidR="00F91B8E" w:rsidRPr="00942352">
        <w:t xml:space="preserve"> associated with the </w:t>
      </w:r>
      <w:r w:rsidR="003134D3" w:rsidRPr="00942352">
        <w:t>sale of the Boyce Road and the Anzac Parade proper</w:t>
      </w:r>
      <w:r w:rsidR="002F24EB" w:rsidRPr="00942352">
        <w:t xml:space="preserve">ties and </w:t>
      </w:r>
      <w:r w:rsidR="002F24EB" w:rsidRPr="00204596">
        <w:rPr>
          <w:i/>
        </w:rPr>
        <w:t>secondly</w:t>
      </w:r>
      <w:r w:rsidR="00204596" w:rsidRPr="00204596">
        <w:t>,</w:t>
      </w:r>
      <w:r w:rsidR="002F24EB" w:rsidRPr="00942352">
        <w:t xml:space="preserve"> the withdrawals for the purchase of the North Balgowlah property. </w:t>
      </w:r>
      <w:r w:rsidR="001959A7" w:rsidRPr="00942352">
        <w:t xml:space="preserve">I note there was a transfer of $60,000 from the Joint Account titled “Loan to </w:t>
      </w:r>
      <w:proofErr w:type="spellStart"/>
      <w:r w:rsidR="001959A7" w:rsidRPr="00942352">
        <w:t>Apscore</w:t>
      </w:r>
      <w:proofErr w:type="spellEnd"/>
      <w:r w:rsidR="001959A7" w:rsidRPr="00942352">
        <w:t xml:space="preserve">” but there was no specific evidence or submission with respect to it from either party. </w:t>
      </w:r>
    </w:p>
    <w:p w14:paraId="08662A62" w14:textId="4C890D5D" w:rsidR="002F24EB" w:rsidRPr="00942352" w:rsidRDefault="00155C95" w:rsidP="00155C95">
      <w:pPr>
        <w:pStyle w:val="ParaNumbering"/>
        <w:numPr>
          <w:ilvl w:val="0"/>
          <w:numId w:val="0"/>
        </w:numPr>
        <w:ind w:hanging="720"/>
      </w:pPr>
      <w:r w:rsidRPr="00942352">
        <w:rPr>
          <w:sz w:val="20"/>
        </w:rPr>
        <w:t>116</w:t>
      </w:r>
      <w:r w:rsidRPr="00942352">
        <w:rPr>
          <w:sz w:val="20"/>
        </w:rPr>
        <w:tab/>
      </w:r>
      <w:r w:rsidR="00D46CC3" w:rsidRPr="00942352">
        <w:t>It was agreed</w:t>
      </w:r>
      <w:r w:rsidR="002F24EB" w:rsidRPr="00942352">
        <w:t xml:space="preserve"> that on 11 </w:t>
      </w:r>
      <w:r w:rsidR="004915DE" w:rsidRPr="00942352">
        <w:t xml:space="preserve">and 14 </w:t>
      </w:r>
      <w:r w:rsidR="002F24EB" w:rsidRPr="00942352">
        <w:t xml:space="preserve">April 2014, </w:t>
      </w:r>
      <w:r w:rsidR="00833A9F" w:rsidRPr="00942352">
        <w:t xml:space="preserve">funds from the sale of the Boyce Road property </w:t>
      </w:r>
      <w:r w:rsidR="002F24EB" w:rsidRPr="00942352">
        <w:t xml:space="preserve">were deposited </w:t>
      </w:r>
      <w:r w:rsidR="00204596">
        <w:t xml:space="preserve">into the Joint Account </w:t>
      </w:r>
      <w:r w:rsidR="002F24EB" w:rsidRPr="00942352">
        <w:t xml:space="preserve">in the sum of $330,067.31 (comprising $316,211.31 </w:t>
      </w:r>
      <w:r w:rsidR="006D1096" w:rsidRPr="00942352">
        <w:t xml:space="preserve">on 11 April 2014 </w:t>
      </w:r>
      <w:r w:rsidR="002F24EB" w:rsidRPr="00942352">
        <w:t>and $13,856</w:t>
      </w:r>
      <w:r w:rsidR="006D1096" w:rsidRPr="00942352">
        <w:t xml:space="preserve"> on 14 April 2014</w:t>
      </w:r>
      <w:r w:rsidR="002F24EB" w:rsidRPr="00942352">
        <w:t xml:space="preserve">). </w:t>
      </w:r>
    </w:p>
    <w:p w14:paraId="4C6D8DE5" w14:textId="388474FE" w:rsidR="002F24EB" w:rsidRPr="00942352" w:rsidRDefault="00155C95" w:rsidP="00155C95">
      <w:pPr>
        <w:pStyle w:val="ParaNumbering"/>
        <w:numPr>
          <w:ilvl w:val="0"/>
          <w:numId w:val="0"/>
        </w:numPr>
        <w:ind w:hanging="720"/>
      </w:pPr>
      <w:r w:rsidRPr="00942352">
        <w:rPr>
          <w:sz w:val="20"/>
        </w:rPr>
        <w:t>117</w:t>
      </w:r>
      <w:r w:rsidRPr="00942352">
        <w:rPr>
          <w:sz w:val="20"/>
        </w:rPr>
        <w:tab/>
      </w:r>
      <w:r w:rsidR="00205F71" w:rsidRPr="00942352">
        <w:t>It was also agreed that</w:t>
      </w:r>
      <w:r w:rsidR="002F24EB" w:rsidRPr="00942352">
        <w:t xml:space="preserve"> on 9 </w:t>
      </w:r>
      <w:r w:rsidR="006A5AE5" w:rsidRPr="00942352">
        <w:t xml:space="preserve">and 11 </w:t>
      </w:r>
      <w:r w:rsidR="002F24EB" w:rsidRPr="00942352">
        <w:t>September 2014, funds from the sale of the Anzac Parade property were deposited</w:t>
      </w:r>
      <w:r w:rsidR="00204596" w:rsidRPr="00204596">
        <w:t xml:space="preserve"> </w:t>
      </w:r>
      <w:r w:rsidR="00204596">
        <w:t>into the Joint Account</w:t>
      </w:r>
      <w:r w:rsidR="002F24EB" w:rsidRPr="00942352">
        <w:t xml:space="preserve"> in the sum of $110,310.05 (comprising $63,393.05 </w:t>
      </w:r>
      <w:r w:rsidR="002D76A3" w:rsidRPr="00942352">
        <w:t xml:space="preserve">on 9 September 2014 </w:t>
      </w:r>
      <w:r w:rsidR="002F24EB" w:rsidRPr="00942352">
        <w:t>and $46,917</w:t>
      </w:r>
      <w:r w:rsidR="00404E08" w:rsidRPr="00942352">
        <w:t xml:space="preserve"> on 11 September 2014</w:t>
      </w:r>
      <w:r w:rsidR="002F24EB" w:rsidRPr="00942352">
        <w:t xml:space="preserve">). </w:t>
      </w:r>
    </w:p>
    <w:p w14:paraId="69C6820F" w14:textId="0FE753BF" w:rsidR="00AF3AF9" w:rsidRPr="00942352" w:rsidRDefault="00155C95" w:rsidP="00155C95">
      <w:pPr>
        <w:pStyle w:val="ParaNumbering"/>
        <w:numPr>
          <w:ilvl w:val="0"/>
          <w:numId w:val="0"/>
        </w:numPr>
        <w:ind w:hanging="720"/>
      </w:pPr>
      <w:r w:rsidRPr="00942352">
        <w:rPr>
          <w:sz w:val="20"/>
        </w:rPr>
        <w:t>118</w:t>
      </w:r>
      <w:r w:rsidRPr="00942352">
        <w:rPr>
          <w:sz w:val="20"/>
        </w:rPr>
        <w:tab/>
      </w:r>
      <w:r w:rsidR="004944CC" w:rsidRPr="00942352">
        <w:t>The parties agreed that ultimately $197,</w:t>
      </w:r>
      <w:r w:rsidR="00F70DF6" w:rsidRPr="00942352">
        <w:t>773.86</w:t>
      </w:r>
      <w:r w:rsidR="004944CC" w:rsidRPr="00942352">
        <w:t xml:space="preserve"> was contributed to the purchase of the property, which included legal fees and other </w:t>
      </w:r>
      <w:r w:rsidR="00487B52" w:rsidRPr="00942352">
        <w:t>expenses</w:t>
      </w:r>
      <w:r w:rsidR="004944CC" w:rsidRPr="00942352">
        <w:t xml:space="preserve">. </w:t>
      </w:r>
    </w:p>
    <w:p w14:paraId="510B130B" w14:textId="048F7E27" w:rsidR="00E652F1" w:rsidRPr="00942352" w:rsidRDefault="00155C95" w:rsidP="00155C95">
      <w:pPr>
        <w:pStyle w:val="ParaNumbering"/>
        <w:numPr>
          <w:ilvl w:val="0"/>
          <w:numId w:val="0"/>
        </w:numPr>
        <w:ind w:hanging="720"/>
      </w:pPr>
      <w:r w:rsidRPr="00942352">
        <w:rPr>
          <w:sz w:val="20"/>
        </w:rPr>
        <w:t>119</w:t>
      </w:r>
      <w:r w:rsidRPr="00942352">
        <w:rPr>
          <w:sz w:val="20"/>
        </w:rPr>
        <w:tab/>
      </w:r>
      <w:r w:rsidR="00E652F1" w:rsidRPr="00942352">
        <w:t>The respondent conce</w:t>
      </w:r>
      <w:r w:rsidR="00DF7DE3" w:rsidRPr="00942352">
        <w:t>d</w:t>
      </w:r>
      <w:r w:rsidR="00204596">
        <w:t>ed</w:t>
      </w:r>
      <w:r w:rsidR="00E652F1" w:rsidRPr="00942352">
        <w:t xml:space="preserve"> under cross-examination that</w:t>
      </w:r>
      <w:r w:rsidR="00B46B37" w:rsidRPr="00942352">
        <w:t xml:space="preserve"> in the lead up to the sales of the Boyce Road and the Anzac Parade properties, so between 2012 and 2014, the bankrupt’s drawings from his business comprised the majority of the marital income and funded all the mortgages of their properties. The respondent accepted that the proceeds of </w:t>
      </w:r>
      <w:r w:rsidR="00127DA0">
        <w:t xml:space="preserve">sale of </w:t>
      </w:r>
      <w:r w:rsidR="00B46B37" w:rsidRPr="00942352">
        <w:t>the Boyce Road and the Anzac Parade properties w</w:t>
      </w:r>
      <w:r w:rsidR="00204596">
        <w:t xml:space="preserve">ere paid into the Joint Account. </w:t>
      </w:r>
      <w:r w:rsidR="007C599E" w:rsidRPr="00942352">
        <w:t xml:space="preserve">Similarly, the bankrupt </w:t>
      </w:r>
      <w:r w:rsidR="007C599E" w:rsidRPr="00942352">
        <w:lastRenderedPageBreak/>
        <w:t>conceded, under cross-examination that</w:t>
      </w:r>
      <w:r w:rsidR="00E652F1" w:rsidRPr="00942352">
        <w:t xml:space="preserve"> the primary source of cash flowing into the marriage came from the bankrupt’s business </w:t>
      </w:r>
      <w:r w:rsidR="007C599E" w:rsidRPr="00942352">
        <w:t>and both their earnings went into the Joint Account</w:t>
      </w:r>
      <w:r w:rsidR="00204596">
        <w:t>.</w:t>
      </w:r>
    </w:p>
    <w:p w14:paraId="6B5EC2E3" w14:textId="451BD7A1" w:rsidR="003A5AA9" w:rsidRPr="00942352" w:rsidRDefault="00155C95" w:rsidP="00155C95">
      <w:pPr>
        <w:pStyle w:val="ParaNumbering"/>
        <w:numPr>
          <w:ilvl w:val="0"/>
          <w:numId w:val="0"/>
        </w:numPr>
        <w:ind w:hanging="720"/>
      </w:pPr>
      <w:bookmarkStart w:id="78" w:name="_Ref128652684"/>
      <w:bookmarkStart w:id="79" w:name="_Ref128748922"/>
      <w:r w:rsidRPr="00942352">
        <w:rPr>
          <w:sz w:val="20"/>
        </w:rPr>
        <w:t>120</w:t>
      </w:r>
      <w:r w:rsidRPr="00942352">
        <w:rPr>
          <w:sz w:val="20"/>
        </w:rPr>
        <w:tab/>
      </w:r>
      <w:r w:rsidR="00EA22E5" w:rsidRPr="00942352">
        <w:t xml:space="preserve">Whilst the respondent and the bankrupt held at least </w:t>
      </w:r>
      <w:r w:rsidR="00DD383C" w:rsidRPr="00942352">
        <w:t>two</w:t>
      </w:r>
      <w:r w:rsidR="00EA22E5" w:rsidRPr="00942352">
        <w:t xml:space="preserve"> other </w:t>
      </w:r>
      <w:r w:rsidR="00CE493C" w:rsidRPr="00942352">
        <w:t xml:space="preserve">savings/transactional </w:t>
      </w:r>
      <w:r w:rsidR="00EA22E5" w:rsidRPr="00942352">
        <w:t>accounts</w:t>
      </w:r>
      <w:r w:rsidR="00DD383C" w:rsidRPr="00942352">
        <w:t xml:space="preserve"> (an account with </w:t>
      </w:r>
      <w:r w:rsidR="00DC3319" w:rsidRPr="00942352">
        <w:t xml:space="preserve">the </w:t>
      </w:r>
      <w:r w:rsidR="00DD383C" w:rsidRPr="00942352">
        <w:t>NAB and a Commonwealth Bank account ending in #1660)</w:t>
      </w:r>
      <w:r w:rsidR="00EA22E5" w:rsidRPr="00942352">
        <w:t xml:space="preserve">, it was clear from the </w:t>
      </w:r>
      <w:r w:rsidR="00527669" w:rsidRPr="00942352">
        <w:t xml:space="preserve">2014 </w:t>
      </w:r>
      <w:r w:rsidR="00204596">
        <w:t>loan application</w:t>
      </w:r>
      <w:r w:rsidR="00EA22E5" w:rsidRPr="00942352">
        <w:t xml:space="preserve">, that to the extent that they held any cash assets they were as contained in the </w:t>
      </w:r>
      <w:r w:rsidR="005335BC" w:rsidRPr="00942352">
        <w:t>Joint Account</w:t>
      </w:r>
      <w:r w:rsidR="00EA22E5" w:rsidRPr="00942352">
        <w:t>. They had represented to the Commonwealth Bank</w:t>
      </w:r>
      <w:r w:rsidR="002F24EB" w:rsidRPr="00942352">
        <w:t>, around late October 2014,</w:t>
      </w:r>
      <w:r w:rsidR="00EA22E5" w:rsidRPr="00942352">
        <w:t xml:space="preserve"> as part of their application for the North Balgowlah property that their entire cash </w:t>
      </w:r>
      <w:r w:rsidR="002F24EB" w:rsidRPr="00942352">
        <w:t>asse</w:t>
      </w:r>
      <w:r w:rsidR="00EA22E5" w:rsidRPr="00942352">
        <w:t xml:space="preserve">ts were </w:t>
      </w:r>
      <w:r w:rsidR="00DD383C" w:rsidRPr="00942352">
        <w:t>$124,</w:t>
      </w:r>
      <w:r w:rsidR="00734EF6" w:rsidRPr="00942352">
        <w:t>548</w:t>
      </w:r>
      <w:r w:rsidR="002F24EB" w:rsidRPr="00942352">
        <w:t>.77</w:t>
      </w:r>
      <w:r w:rsidR="00EA22E5" w:rsidRPr="00942352">
        <w:t xml:space="preserve">, as reflected in this snapshot from </w:t>
      </w:r>
      <w:r w:rsidR="0054038A" w:rsidRPr="00942352">
        <w:t>the loan</w:t>
      </w:r>
      <w:r w:rsidR="00EA22E5" w:rsidRPr="00942352">
        <w:t xml:space="preserve"> application:</w:t>
      </w:r>
      <w:bookmarkEnd w:id="78"/>
      <w:bookmarkEnd w:id="79"/>
    </w:p>
    <w:p w14:paraId="1F9AC6D4" w14:textId="37EE0DFF" w:rsidR="003A5AA9" w:rsidRPr="00942352" w:rsidRDefault="00CE32D9" w:rsidP="001A55DB">
      <w:pPr>
        <w:pStyle w:val="Quote1"/>
        <w:ind w:left="0"/>
      </w:pPr>
      <w:r>
        <w:pict w14:anchorId="429BB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97pt">
            <v:imagedata r:id="rId22" o:title="loan app_Page_2 (2)_Redacted"/>
          </v:shape>
        </w:pict>
      </w:r>
    </w:p>
    <w:p w14:paraId="23C98CD8" w14:textId="25BFF714" w:rsidR="00EA22E5" w:rsidRPr="00942352" w:rsidRDefault="00155C95" w:rsidP="00155C95">
      <w:pPr>
        <w:pStyle w:val="ParaNumbering"/>
        <w:numPr>
          <w:ilvl w:val="0"/>
          <w:numId w:val="0"/>
        </w:numPr>
        <w:ind w:hanging="720"/>
      </w:pPr>
      <w:bookmarkStart w:id="80" w:name="_Ref128652557"/>
      <w:r w:rsidRPr="00942352">
        <w:rPr>
          <w:sz w:val="20"/>
        </w:rPr>
        <w:t>121</w:t>
      </w:r>
      <w:r w:rsidRPr="00942352">
        <w:rPr>
          <w:sz w:val="20"/>
        </w:rPr>
        <w:tab/>
      </w:r>
      <w:r w:rsidR="00EA22E5" w:rsidRPr="00942352">
        <w:t xml:space="preserve">Accordingly, I find that as at the time of them applying for the </w:t>
      </w:r>
      <w:r w:rsidR="008721C0" w:rsidRPr="00942352">
        <w:t>2014</w:t>
      </w:r>
      <w:r w:rsidR="00EA22E5" w:rsidRPr="00942352">
        <w:t xml:space="preserve"> mortgage and the completion of the purchase of </w:t>
      </w:r>
      <w:r w:rsidR="00204596">
        <w:t xml:space="preserve">the </w:t>
      </w:r>
      <w:r w:rsidR="00EA22E5" w:rsidRPr="00942352">
        <w:t xml:space="preserve">North Balgowlah </w:t>
      </w:r>
      <w:r w:rsidR="00204596">
        <w:t xml:space="preserve">property </w:t>
      </w:r>
      <w:r w:rsidR="00EA22E5" w:rsidRPr="00942352">
        <w:t xml:space="preserve">the funds came from </w:t>
      </w:r>
      <w:r w:rsidR="00823602" w:rsidRPr="00942352">
        <w:t>the Joint Account</w:t>
      </w:r>
      <w:r w:rsidR="00EA22E5" w:rsidRPr="00942352">
        <w:t xml:space="preserve"> and there were no other </w:t>
      </w:r>
      <w:r w:rsidR="00105FF3" w:rsidRPr="00942352">
        <w:t xml:space="preserve">substantial </w:t>
      </w:r>
      <w:r w:rsidR="00EA22E5" w:rsidRPr="00942352">
        <w:t>funds available in other accounts.</w:t>
      </w:r>
      <w:bookmarkEnd w:id="80"/>
      <w:r w:rsidR="00EA22E5" w:rsidRPr="00942352">
        <w:t xml:space="preserve"> </w:t>
      </w:r>
    </w:p>
    <w:p w14:paraId="082585AF" w14:textId="19998BF3" w:rsidR="00603B7C" w:rsidRPr="00942352" w:rsidRDefault="00155C95" w:rsidP="00155C95">
      <w:pPr>
        <w:pStyle w:val="ParaNumbering"/>
        <w:numPr>
          <w:ilvl w:val="0"/>
          <w:numId w:val="0"/>
        </w:numPr>
        <w:ind w:hanging="720"/>
      </w:pPr>
      <w:bookmarkStart w:id="81" w:name="_Ref127888218"/>
      <w:r w:rsidRPr="00942352">
        <w:rPr>
          <w:sz w:val="20"/>
        </w:rPr>
        <w:t>122</w:t>
      </w:r>
      <w:r w:rsidRPr="00942352">
        <w:rPr>
          <w:sz w:val="20"/>
        </w:rPr>
        <w:tab/>
      </w:r>
      <w:r w:rsidR="00CA0F97" w:rsidRPr="00942352">
        <w:t xml:space="preserve">What was telling was if </w:t>
      </w:r>
      <w:r w:rsidR="008C0CDC" w:rsidRPr="00942352">
        <w:t>one</w:t>
      </w:r>
      <w:r w:rsidR="00CA0F97" w:rsidRPr="00942352">
        <w:t xml:space="preserve"> looked back a year </w:t>
      </w:r>
      <w:r w:rsidR="00204596">
        <w:t xml:space="preserve">before </w:t>
      </w:r>
      <w:r w:rsidR="00CA0F97" w:rsidRPr="00942352">
        <w:t>to the bankrupt’s and the respondent’s “financial position”</w:t>
      </w:r>
      <w:r w:rsidR="00D135C6" w:rsidRPr="00942352">
        <w:t xml:space="preserve"> representations with respect to their </w:t>
      </w:r>
      <w:r w:rsidR="00204596">
        <w:t xml:space="preserve">2013 refinance </w:t>
      </w:r>
      <w:r w:rsidR="00D135C6" w:rsidRPr="00942352">
        <w:t>application:</w:t>
      </w:r>
      <w:bookmarkEnd w:id="81"/>
      <w:r w:rsidR="00D135C6" w:rsidRPr="00942352">
        <w:t xml:space="preserve"> </w:t>
      </w:r>
    </w:p>
    <w:p w14:paraId="2CE92AAF" w14:textId="7D87AC92" w:rsidR="00A36922" w:rsidRPr="00942352" w:rsidRDefault="00CE32D9" w:rsidP="00A52D7F">
      <w:pPr>
        <w:pStyle w:val="Quote1"/>
        <w:ind w:left="0"/>
      </w:pPr>
      <w:r>
        <w:lastRenderedPageBreak/>
        <w:pict w14:anchorId="58F455D3">
          <v:shape id="_x0000_i1026" type="#_x0000_t75" style="width:438.75pt;height:415.5pt">
            <v:imagedata r:id="rId23" o:title="2013 refinance app_Redacted2"/>
          </v:shape>
        </w:pict>
      </w:r>
    </w:p>
    <w:p w14:paraId="5FD226BA" w14:textId="63884606" w:rsidR="007640B3" w:rsidRPr="00942352" w:rsidRDefault="00155C95" w:rsidP="00155C95">
      <w:pPr>
        <w:pStyle w:val="ParaNumbering"/>
        <w:numPr>
          <w:ilvl w:val="0"/>
          <w:numId w:val="0"/>
        </w:numPr>
        <w:ind w:hanging="720"/>
      </w:pPr>
      <w:bookmarkStart w:id="82" w:name="_Ref128652700"/>
      <w:bookmarkStart w:id="83" w:name="_Ref126916193"/>
      <w:r w:rsidRPr="00942352">
        <w:rPr>
          <w:sz w:val="20"/>
        </w:rPr>
        <w:t>123</w:t>
      </w:r>
      <w:r w:rsidRPr="00942352">
        <w:rPr>
          <w:sz w:val="20"/>
        </w:rPr>
        <w:tab/>
      </w:r>
      <w:r w:rsidR="007640B3" w:rsidRPr="00942352">
        <w:t>It reveals the same, the</w:t>
      </w:r>
      <w:r w:rsidR="00B4172A" w:rsidRPr="00942352">
        <w:t xml:space="preserve"> bankrupt and the respondent</w:t>
      </w:r>
      <w:r w:rsidR="007640B3" w:rsidRPr="00942352">
        <w:t xml:space="preserve"> had minimal cash reserves</w:t>
      </w:r>
      <w:r w:rsidR="00521B27" w:rsidRPr="00942352">
        <w:t xml:space="preserve"> (and aside from the Joint Account the balance of the other two saving/transaction accounts was the same)</w:t>
      </w:r>
      <w:r w:rsidR="00204596">
        <w:t>: T</w:t>
      </w:r>
      <w:r w:rsidR="007640B3" w:rsidRPr="00942352">
        <w:t xml:space="preserve">heir combined assets comprised </w:t>
      </w:r>
      <w:r w:rsidR="00164521" w:rsidRPr="00942352">
        <w:t xml:space="preserve">the </w:t>
      </w:r>
      <w:r w:rsidR="007640B3" w:rsidRPr="00942352">
        <w:t>Boyce Road, Anzac Parade and Seaforth properties.</w:t>
      </w:r>
      <w:bookmarkEnd w:id="82"/>
    </w:p>
    <w:p w14:paraId="4FDB82C5" w14:textId="77DE275A" w:rsidR="00E53F9D" w:rsidRPr="00942352" w:rsidRDefault="00E53F9D" w:rsidP="00E53F9D">
      <w:pPr>
        <w:pStyle w:val="Heading4"/>
      </w:pPr>
      <w:bookmarkStart w:id="84" w:name="_Ref128755630"/>
      <w:r w:rsidRPr="00942352">
        <w:t>The evidence of the respondent and bankrupt regarding intention</w:t>
      </w:r>
      <w:bookmarkEnd w:id="83"/>
      <w:bookmarkEnd w:id="84"/>
    </w:p>
    <w:p w14:paraId="33C47E60" w14:textId="061060A1" w:rsidR="001A471A" w:rsidRPr="00942352" w:rsidRDefault="00155C95" w:rsidP="00155C95">
      <w:pPr>
        <w:pStyle w:val="ParaNumbering"/>
        <w:numPr>
          <w:ilvl w:val="0"/>
          <w:numId w:val="0"/>
        </w:numPr>
        <w:ind w:hanging="720"/>
      </w:pPr>
      <w:bookmarkStart w:id="85" w:name="_Ref127788116"/>
      <w:r w:rsidRPr="00942352">
        <w:rPr>
          <w:sz w:val="20"/>
        </w:rPr>
        <w:t>124</w:t>
      </w:r>
      <w:r w:rsidRPr="00942352">
        <w:rPr>
          <w:sz w:val="20"/>
        </w:rPr>
        <w:tab/>
      </w:r>
      <w:r w:rsidR="001A471A" w:rsidRPr="00942352">
        <w:t>The respondent gave the following evidence with respect to the purchase of the North Balgowlah property. The respondent gave evidence of the fact that her mother had moved into the Seaforth pr</w:t>
      </w:r>
      <w:r w:rsidR="008D254C" w:rsidRPr="00942352">
        <w:t>operty with them in 2012</w:t>
      </w:r>
      <w:r w:rsidR="001A471A" w:rsidRPr="00942352">
        <w:t>, her mother had lent the respondent and the bankrupt another $200,000 to pay for renovation works on that property; and by 2014</w:t>
      </w:r>
      <w:r w:rsidR="008D254C" w:rsidRPr="00942352">
        <w:t xml:space="preserve"> her mother</w:t>
      </w:r>
      <w:r w:rsidR="001A471A" w:rsidRPr="00942352">
        <w:t xml:space="preserve"> had found it difficult to negotiate the stairs in their house.</w:t>
      </w:r>
      <w:bookmarkEnd w:id="85"/>
      <w:r w:rsidR="001A471A" w:rsidRPr="00942352">
        <w:t xml:space="preserve"> </w:t>
      </w:r>
    </w:p>
    <w:p w14:paraId="17B74BE9" w14:textId="740BDC53" w:rsidR="00624BDD" w:rsidRPr="00942352" w:rsidRDefault="00155C95" w:rsidP="00155C95">
      <w:pPr>
        <w:pStyle w:val="ParaNumbering"/>
        <w:numPr>
          <w:ilvl w:val="0"/>
          <w:numId w:val="0"/>
        </w:numPr>
        <w:ind w:hanging="720"/>
      </w:pPr>
      <w:r w:rsidRPr="00942352">
        <w:rPr>
          <w:sz w:val="20"/>
        </w:rPr>
        <w:t>125</w:t>
      </w:r>
      <w:r w:rsidRPr="00942352">
        <w:rPr>
          <w:sz w:val="20"/>
        </w:rPr>
        <w:tab/>
      </w:r>
      <w:r w:rsidR="009C6697">
        <w:t xml:space="preserve">This is </w:t>
      </w:r>
      <w:r w:rsidR="00624BDD" w:rsidRPr="00942352">
        <w:t xml:space="preserve">consistent with the respondent’s previous conduct concerning the Fairlight and Seaforth properties, that there was an intention by both the respondent and the bankrupt that the North Balgowlah property would be solely owned by the respondent. </w:t>
      </w:r>
    </w:p>
    <w:p w14:paraId="6C66BF8E" w14:textId="55428597" w:rsidR="003E2F8A" w:rsidRPr="00942352" w:rsidRDefault="00155C95" w:rsidP="00155C95">
      <w:pPr>
        <w:pStyle w:val="ParaNumbering"/>
        <w:numPr>
          <w:ilvl w:val="0"/>
          <w:numId w:val="0"/>
        </w:numPr>
        <w:ind w:hanging="720"/>
      </w:pPr>
      <w:r w:rsidRPr="00942352">
        <w:rPr>
          <w:sz w:val="20"/>
        </w:rPr>
        <w:lastRenderedPageBreak/>
        <w:t>126</w:t>
      </w:r>
      <w:r w:rsidRPr="00942352">
        <w:rPr>
          <w:sz w:val="20"/>
        </w:rPr>
        <w:tab/>
      </w:r>
      <w:r w:rsidR="009F1663" w:rsidRPr="00942352">
        <w:t>The</w:t>
      </w:r>
      <w:r w:rsidR="001A471A" w:rsidRPr="00942352">
        <w:t xml:space="preserve"> respondent </w:t>
      </w:r>
      <w:r w:rsidR="003E2F8A" w:rsidRPr="00942352">
        <w:t>gave evidence that again</w:t>
      </w:r>
      <w:r w:rsidR="00624BDD" w:rsidRPr="00942352">
        <w:t xml:space="preserve"> (as with the Seaforth property)</w:t>
      </w:r>
      <w:r w:rsidR="003E2F8A" w:rsidRPr="00942352">
        <w:t xml:space="preserve">, it was she that identified where the contract for the purchase </w:t>
      </w:r>
      <w:r w:rsidR="00237B57" w:rsidRPr="00942352">
        <w:t>of the North Balgowlah property</w:t>
      </w:r>
      <w:r w:rsidR="003E2F8A" w:rsidRPr="00942352">
        <w:t xml:space="preserve"> was </w:t>
      </w:r>
      <w:r w:rsidR="00BC4244" w:rsidRPr="00942352">
        <w:t xml:space="preserve">incorrectly </w:t>
      </w:r>
      <w:r w:rsidR="003E2F8A" w:rsidRPr="00942352">
        <w:t>in both their names and that she told them that she “need[</w:t>
      </w:r>
      <w:proofErr w:type="spellStart"/>
      <w:r w:rsidR="003E2F8A" w:rsidRPr="00942352">
        <w:t>ed</w:t>
      </w:r>
      <w:proofErr w:type="spellEnd"/>
      <w:r w:rsidR="003E2F8A" w:rsidRPr="00942352">
        <w:t xml:space="preserve">]” the property in her name. </w:t>
      </w:r>
    </w:p>
    <w:p w14:paraId="1B6F2C96" w14:textId="359CA3BE" w:rsidR="0069737B" w:rsidRPr="00942352" w:rsidRDefault="00155C95" w:rsidP="00155C95">
      <w:pPr>
        <w:pStyle w:val="ParaNumbering"/>
        <w:numPr>
          <w:ilvl w:val="0"/>
          <w:numId w:val="0"/>
        </w:numPr>
        <w:ind w:hanging="720"/>
      </w:pPr>
      <w:r w:rsidRPr="00942352">
        <w:rPr>
          <w:sz w:val="20"/>
        </w:rPr>
        <w:t>127</w:t>
      </w:r>
      <w:r w:rsidRPr="00942352">
        <w:rPr>
          <w:sz w:val="20"/>
        </w:rPr>
        <w:tab/>
      </w:r>
      <w:r w:rsidR="003E2F8A" w:rsidRPr="00942352">
        <w:t xml:space="preserve">The respondent referred to the fact that at the time of the sale of the Seaforth </w:t>
      </w:r>
      <w:r w:rsidR="00AC3253" w:rsidRPr="00942352">
        <w:t>property</w:t>
      </w:r>
      <w:r w:rsidR="003E2F8A" w:rsidRPr="00942352">
        <w:t xml:space="preserve"> </w:t>
      </w:r>
      <w:r w:rsidR="009C6697">
        <w:t>her and the bankrupt had</w:t>
      </w:r>
      <w:r w:rsidR="003E2F8A" w:rsidRPr="00942352">
        <w:t xml:space="preserve"> paid her mother $100,000 “which [she] believed reflected the unpaid interest on the orig</w:t>
      </w:r>
      <w:r w:rsidR="00BC4244" w:rsidRPr="00942352">
        <w:t>inal and second loan</w:t>
      </w:r>
      <w:r w:rsidR="009C6697">
        <w:t>”.</w:t>
      </w:r>
    </w:p>
    <w:p w14:paraId="130E349C" w14:textId="0A74959F" w:rsidR="0069737B" w:rsidRPr="00942352" w:rsidRDefault="00155C95" w:rsidP="00155C95">
      <w:pPr>
        <w:pStyle w:val="ParaNumbering"/>
        <w:numPr>
          <w:ilvl w:val="0"/>
          <w:numId w:val="0"/>
        </w:numPr>
        <w:ind w:hanging="720"/>
      </w:pPr>
      <w:r w:rsidRPr="00942352">
        <w:rPr>
          <w:sz w:val="20"/>
        </w:rPr>
        <w:t>128</w:t>
      </w:r>
      <w:r w:rsidRPr="00942352">
        <w:rPr>
          <w:sz w:val="20"/>
        </w:rPr>
        <w:tab/>
      </w:r>
      <w:r w:rsidR="009B1551" w:rsidRPr="00942352">
        <w:t>B</w:t>
      </w:r>
      <w:r w:rsidR="00624BDD" w:rsidRPr="00942352">
        <w:t xml:space="preserve">oth the respondent and the bankrupt gave evidence of discussions which prompted </w:t>
      </w:r>
      <w:r w:rsidR="00EE3D64" w:rsidRPr="00942352">
        <w:t xml:space="preserve">the bankrupt </w:t>
      </w:r>
      <w:r w:rsidR="00624BDD" w:rsidRPr="00942352">
        <w:t>to take steps to amend the contract</w:t>
      </w:r>
      <w:r w:rsidR="00152828" w:rsidRPr="00942352">
        <w:t>. The bankrupt deposed</w:t>
      </w:r>
      <w:r w:rsidR="00624BDD" w:rsidRPr="00942352">
        <w:t xml:space="preserve"> </w:t>
      </w:r>
      <w:r w:rsidR="00BC4244" w:rsidRPr="00942352">
        <w:t>as follows:</w:t>
      </w:r>
    </w:p>
    <w:p w14:paraId="087CEEC3" w14:textId="7979B890" w:rsidR="005164CA" w:rsidRPr="00942352" w:rsidRDefault="005164CA" w:rsidP="005164CA">
      <w:pPr>
        <w:pStyle w:val="Quote1"/>
      </w:pPr>
      <w:r w:rsidRPr="00942352">
        <w:t>Lindsay Parker acted on the purchase of North Balgowlah. I recall the contract for the purchase had Mellissa and me as the purchasers. I discussed this with Melissa in words to the following effect:</w:t>
      </w:r>
    </w:p>
    <w:p w14:paraId="286DE304" w14:textId="2A6642C7" w:rsidR="005164CA" w:rsidRPr="00942352" w:rsidRDefault="005164CA" w:rsidP="005164CA">
      <w:pPr>
        <w:pStyle w:val="Quote1"/>
      </w:pPr>
      <w:r w:rsidRPr="00942352">
        <w:t>She said: “</w:t>
      </w:r>
      <w:r w:rsidRPr="00942352">
        <w:rPr>
          <w:i/>
        </w:rPr>
        <w:t>This house must be in my name. If something happens to you I do not want to have your daug</w:t>
      </w:r>
      <w:r w:rsidR="002D64C5" w:rsidRPr="00942352">
        <w:rPr>
          <w:i/>
        </w:rPr>
        <w:t>hters claiming against it I don’</w:t>
      </w:r>
      <w:r w:rsidRPr="00942352">
        <w:rPr>
          <w:i/>
        </w:rPr>
        <w:t>t trust them.</w:t>
      </w:r>
      <w:r w:rsidRPr="00942352">
        <w:t>”</w:t>
      </w:r>
    </w:p>
    <w:p w14:paraId="27392FF5" w14:textId="643BE350" w:rsidR="005164CA" w:rsidRPr="00942352" w:rsidRDefault="005164CA" w:rsidP="005164CA">
      <w:pPr>
        <w:pStyle w:val="Quote1"/>
      </w:pPr>
      <w:r w:rsidRPr="00942352">
        <w:t xml:space="preserve">I said </w:t>
      </w:r>
      <w:r w:rsidR="00EA7517" w:rsidRPr="00942352">
        <w:t>“</w:t>
      </w:r>
      <w:r w:rsidRPr="00942352">
        <w:rPr>
          <w:i/>
        </w:rPr>
        <w:t>Of course. Your mum will have her granny flat safe from any of that if it is in your name. She has put so much money in.</w:t>
      </w:r>
      <w:r w:rsidR="00EA7517" w:rsidRPr="00942352">
        <w:t>”</w:t>
      </w:r>
    </w:p>
    <w:p w14:paraId="000F602A" w14:textId="79711A6B" w:rsidR="00BC4244" w:rsidRPr="00942352" w:rsidRDefault="0030171F" w:rsidP="005164CA">
      <w:pPr>
        <w:pStyle w:val="Quote1"/>
        <w:rPr>
          <w:highlight w:val="yellow"/>
        </w:rPr>
      </w:pPr>
      <w:r w:rsidRPr="00942352">
        <w:t>She said: “</w:t>
      </w:r>
      <w:r w:rsidRPr="00942352">
        <w:rPr>
          <w:i/>
        </w:rPr>
        <w:t>Exactly.</w:t>
      </w:r>
      <w:r w:rsidRPr="00942352">
        <w:t>”</w:t>
      </w:r>
    </w:p>
    <w:p w14:paraId="7A161D87" w14:textId="27F6BE05" w:rsidR="0030171F" w:rsidRPr="00942352" w:rsidRDefault="0030171F" w:rsidP="005164CA">
      <w:pPr>
        <w:pStyle w:val="Quote1"/>
      </w:pPr>
      <w:r w:rsidRPr="00942352">
        <w:t>(Emphasis in original.)</w:t>
      </w:r>
    </w:p>
    <w:p w14:paraId="433D2A7D" w14:textId="754F9E30" w:rsidR="00BC4244" w:rsidRPr="00942352" w:rsidRDefault="00155C95" w:rsidP="00155C95">
      <w:pPr>
        <w:pStyle w:val="ParaNumbering"/>
        <w:numPr>
          <w:ilvl w:val="0"/>
          <w:numId w:val="0"/>
        </w:numPr>
        <w:ind w:hanging="720"/>
      </w:pPr>
      <w:r w:rsidRPr="00942352">
        <w:rPr>
          <w:sz w:val="20"/>
        </w:rPr>
        <w:t>129</w:t>
      </w:r>
      <w:r w:rsidRPr="00942352">
        <w:rPr>
          <w:sz w:val="20"/>
        </w:rPr>
        <w:tab/>
      </w:r>
      <w:r w:rsidR="00BC4244" w:rsidRPr="00942352">
        <w:t>The respondent gave unchallenged evidence of a discussion at the same time as follows:</w:t>
      </w:r>
      <w:r w:rsidR="005556AA" w:rsidRPr="00942352">
        <w:t xml:space="preserve"> </w:t>
      </w:r>
    </w:p>
    <w:p w14:paraId="5D26B445" w14:textId="2685A8E1" w:rsidR="00D50958" w:rsidRPr="00942352" w:rsidRDefault="00D50958" w:rsidP="00D50958">
      <w:pPr>
        <w:pStyle w:val="Quote1"/>
      </w:pPr>
      <w:r w:rsidRPr="00942352">
        <w:t xml:space="preserve">The contract for the purchase of Serpentine </w:t>
      </w:r>
      <w:proofErr w:type="spellStart"/>
      <w:r w:rsidRPr="00942352">
        <w:t>Cresent</w:t>
      </w:r>
      <w:proofErr w:type="spellEnd"/>
      <w:r w:rsidRPr="00942352">
        <w:t xml:space="preserve"> </w:t>
      </w:r>
      <w:r w:rsidR="00D77097" w:rsidRPr="00942352">
        <w:t xml:space="preserve">[sic] </w:t>
      </w:r>
      <w:r w:rsidRPr="00942352">
        <w:t>had both Ja</w:t>
      </w:r>
      <w:r w:rsidR="001427C0" w:rsidRPr="00942352">
        <w:t>mes’</w:t>
      </w:r>
      <w:r w:rsidRPr="00942352">
        <w:t xml:space="preserve"> name and my Name </w:t>
      </w:r>
      <w:r w:rsidR="004D4774" w:rsidRPr="00942352">
        <w:t>[s</w:t>
      </w:r>
      <w:r w:rsidR="003B29CF" w:rsidRPr="00942352">
        <w:t>i</w:t>
      </w:r>
      <w:r w:rsidR="004D4774" w:rsidRPr="00942352">
        <w:t xml:space="preserve">c] </w:t>
      </w:r>
      <w:r w:rsidRPr="00942352">
        <w:t>as the purchaser. James and I spoke about this in words to the following effect:</w:t>
      </w:r>
    </w:p>
    <w:p w14:paraId="30DE90C9" w14:textId="0164A70C" w:rsidR="00D50958" w:rsidRPr="00942352" w:rsidRDefault="00D50958" w:rsidP="00D50958">
      <w:pPr>
        <w:pStyle w:val="Quote1"/>
      </w:pPr>
      <w:r w:rsidRPr="00942352">
        <w:t>“</w:t>
      </w:r>
      <w:r w:rsidRPr="00942352">
        <w:rPr>
          <w:i/>
        </w:rPr>
        <w:t>James, we have done this again, I need the property in my name.</w:t>
      </w:r>
      <w:r w:rsidRPr="00942352">
        <w:t>”</w:t>
      </w:r>
    </w:p>
    <w:p w14:paraId="65654110" w14:textId="77777777" w:rsidR="00D50958" w:rsidRPr="00942352" w:rsidRDefault="00D50958" w:rsidP="00D50958">
      <w:pPr>
        <w:pStyle w:val="Quote1"/>
      </w:pPr>
      <w:r w:rsidRPr="00942352">
        <w:t>James replied in words to the effect:</w:t>
      </w:r>
    </w:p>
    <w:p w14:paraId="787DFF0A" w14:textId="0173A973" w:rsidR="00D50958" w:rsidRPr="00942352" w:rsidRDefault="00F26DF3" w:rsidP="00D50958">
      <w:pPr>
        <w:pStyle w:val="Quote1"/>
      </w:pPr>
      <w:r w:rsidRPr="00942352">
        <w:t>“</w:t>
      </w:r>
      <w:r w:rsidR="00D50958" w:rsidRPr="00942352">
        <w:rPr>
          <w:i/>
        </w:rPr>
        <w:t>Yes, you are right, we must hav</w:t>
      </w:r>
      <w:r w:rsidRPr="00942352">
        <w:rPr>
          <w:i/>
        </w:rPr>
        <w:t xml:space="preserve">e missed it, </w:t>
      </w:r>
      <w:proofErr w:type="gramStart"/>
      <w:r w:rsidRPr="00942352">
        <w:rPr>
          <w:i/>
        </w:rPr>
        <w:t>we</w:t>
      </w:r>
      <w:proofErr w:type="gramEnd"/>
      <w:r w:rsidRPr="00942352">
        <w:rPr>
          <w:i/>
        </w:rPr>
        <w:t xml:space="preserve"> must change it.</w:t>
      </w:r>
      <w:r w:rsidRPr="00942352">
        <w:t>”</w:t>
      </w:r>
    </w:p>
    <w:p w14:paraId="780205FF" w14:textId="1EC404DE" w:rsidR="00BC4244" w:rsidRPr="00942352" w:rsidRDefault="00D50958" w:rsidP="009B6439">
      <w:pPr>
        <w:pStyle w:val="Quote1"/>
        <w:rPr>
          <w:highlight w:val="yellow"/>
        </w:rPr>
      </w:pPr>
      <w:r w:rsidRPr="00942352">
        <w:t xml:space="preserve">Later James told me: </w:t>
      </w:r>
      <w:r w:rsidR="007E607D" w:rsidRPr="00942352">
        <w:t>“</w:t>
      </w:r>
      <w:r w:rsidR="007E607D" w:rsidRPr="00942352">
        <w:rPr>
          <w:i/>
        </w:rPr>
        <w:t>I</w:t>
      </w:r>
      <w:r w:rsidRPr="00942352">
        <w:rPr>
          <w:i/>
        </w:rPr>
        <w:t xml:space="preserve"> sent an email to Lindsay Parker instructing him to change the contract into your name.</w:t>
      </w:r>
      <w:r w:rsidR="007E607D" w:rsidRPr="00942352">
        <w:t>”</w:t>
      </w:r>
    </w:p>
    <w:p w14:paraId="7CA0F22C" w14:textId="1437B981" w:rsidR="00DC032A" w:rsidRPr="00942352" w:rsidRDefault="00DC032A" w:rsidP="00D50958">
      <w:pPr>
        <w:pStyle w:val="Quote1"/>
      </w:pPr>
      <w:r w:rsidRPr="00942352">
        <w:t>(Emphasis in original.)</w:t>
      </w:r>
    </w:p>
    <w:p w14:paraId="3589F77D" w14:textId="09F0C8AF" w:rsidR="00066F7C" w:rsidRPr="00942352" w:rsidRDefault="00155C95" w:rsidP="00155C95">
      <w:pPr>
        <w:pStyle w:val="ParaNumbering"/>
        <w:numPr>
          <w:ilvl w:val="0"/>
          <w:numId w:val="0"/>
        </w:numPr>
        <w:ind w:hanging="720"/>
      </w:pPr>
      <w:r w:rsidRPr="00942352">
        <w:rPr>
          <w:sz w:val="20"/>
        </w:rPr>
        <w:t>130</w:t>
      </w:r>
      <w:r w:rsidRPr="00942352">
        <w:rPr>
          <w:sz w:val="20"/>
        </w:rPr>
        <w:tab/>
      </w:r>
      <w:r w:rsidR="008F3D5D" w:rsidRPr="00942352">
        <w:t>T</w:t>
      </w:r>
      <w:r w:rsidR="00594B33" w:rsidRPr="00942352">
        <w:t xml:space="preserve">he bankrupt </w:t>
      </w:r>
      <w:r w:rsidR="00066F7C" w:rsidRPr="00942352">
        <w:t>then sent an email to his solicitor, copied to the respondent, on 3 September 2014, stating the following:</w:t>
      </w:r>
    </w:p>
    <w:p w14:paraId="24644D9D" w14:textId="6962636C" w:rsidR="00BC4244" w:rsidRPr="00942352" w:rsidRDefault="00066F7C" w:rsidP="00066F7C">
      <w:pPr>
        <w:pStyle w:val="Quote1"/>
      </w:pPr>
      <w:r w:rsidRPr="00942352">
        <w:t>…it appears that there has been a mistake made by me in the agreement to purchase the [North Balgowlah property]. It was always intended that the house would be in the name of [</w:t>
      </w:r>
      <w:r w:rsidR="00841A98" w:rsidRPr="00942352">
        <w:t>the respondent</w:t>
      </w:r>
      <w:r w:rsidRPr="00942352">
        <w:t>] alone not mine as well. Please affect the necessary documentat</w:t>
      </w:r>
      <w:r w:rsidR="009D4EE3" w:rsidRPr="00942352">
        <w:t>ion to have this matter fixed.</w:t>
      </w:r>
      <w:r w:rsidRPr="00942352">
        <w:t xml:space="preserve"> </w:t>
      </w:r>
    </w:p>
    <w:p w14:paraId="23050E67" w14:textId="40229667" w:rsidR="0069737B" w:rsidRPr="00942352" w:rsidRDefault="00155C95" w:rsidP="00155C95">
      <w:pPr>
        <w:pStyle w:val="ParaNumbering"/>
        <w:numPr>
          <w:ilvl w:val="0"/>
          <w:numId w:val="0"/>
        </w:numPr>
        <w:ind w:hanging="720"/>
      </w:pPr>
      <w:r w:rsidRPr="00942352">
        <w:rPr>
          <w:sz w:val="20"/>
        </w:rPr>
        <w:t>131</w:t>
      </w:r>
      <w:r w:rsidRPr="00942352">
        <w:rPr>
          <w:sz w:val="20"/>
        </w:rPr>
        <w:tab/>
      </w:r>
      <w:r w:rsidR="00066F7C" w:rsidRPr="00942352">
        <w:t xml:space="preserve">This email was sent almost three months before the sale completed on 28 November 2014. </w:t>
      </w:r>
    </w:p>
    <w:p w14:paraId="4D5DBB8D" w14:textId="411E3D4D" w:rsidR="00624BDD" w:rsidRPr="00942352" w:rsidRDefault="00155C95" w:rsidP="00155C95">
      <w:pPr>
        <w:pStyle w:val="ParaNumbering"/>
        <w:numPr>
          <w:ilvl w:val="0"/>
          <w:numId w:val="0"/>
        </w:numPr>
        <w:ind w:hanging="720"/>
      </w:pPr>
      <w:r w:rsidRPr="00942352">
        <w:rPr>
          <w:sz w:val="20"/>
        </w:rPr>
        <w:lastRenderedPageBreak/>
        <w:t>132</w:t>
      </w:r>
      <w:r w:rsidRPr="00942352">
        <w:rPr>
          <w:sz w:val="20"/>
        </w:rPr>
        <w:tab/>
      </w:r>
      <w:r w:rsidR="0049556A" w:rsidRPr="00942352">
        <w:t>B</w:t>
      </w:r>
      <w:r w:rsidR="00624BDD" w:rsidRPr="00942352">
        <w:t>oth t</w:t>
      </w:r>
      <w:r w:rsidR="00066F7C" w:rsidRPr="00942352">
        <w:t xml:space="preserve">he respondent </w:t>
      </w:r>
      <w:r w:rsidR="00624BDD" w:rsidRPr="00942352">
        <w:t xml:space="preserve">and the bankrupt </w:t>
      </w:r>
      <w:r w:rsidR="006570BE">
        <w:t>gave evidence</w:t>
      </w:r>
      <w:r w:rsidR="00066F7C" w:rsidRPr="00942352">
        <w:t xml:space="preserve"> that the preparation of the contract in both names and their signing of it was an oversig</w:t>
      </w:r>
      <w:r w:rsidR="00A80262" w:rsidRPr="00942352">
        <w:t>ht</w:t>
      </w:r>
      <w:r w:rsidR="00066F7C" w:rsidRPr="00942352">
        <w:t xml:space="preserve"> </w:t>
      </w:r>
      <w:r w:rsidR="00A80262" w:rsidRPr="00942352">
        <w:t>and</w:t>
      </w:r>
      <w:r w:rsidR="00066F7C" w:rsidRPr="00942352">
        <w:t xml:space="preserve"> a mistake</w:t>
      </w:r>
      <w:r w:rsidR="00A80262" w:rsidRPr="00942352">
        <w:t xml:space="preserve"> respectively</w:t>
      </w:r>
      <w:r w:rsidR="009C6697">
        <w:t>.</w:t>
      </w:r>
    </w:p>
    <w:p w14:paraId="4E85EAB3" w14:textId="2C0B1B2C" w:rsidR="00624BDD" w:rsidRPr="00942352" w:rsidRDefault="00155C95" w:rsidP="00155C95">
      <w:pPr>
        <w:pStyle w:val="ParaNumbering"/>
        <w:numPr>
          <w:ilvl w:val="0"/>
          <w:numId w:val="0"/>
        </w:numPr>
        <w:ind w:hanging="720"/>
      </w:pPr>
      <w:r w:rsidRPr="00942352">
        <w:rPr>
          <w:sz w:val="20"/>
        </w:rPr>
        <w:t>133</w:t>
      </w:r>
      <w:r w:rsidRPr="00942352">
        <w:rPr>
          <w:sz w:val="20"/>
        </w:rPr>
        <w:tab/>
      </w:r>
      <w:r w:rsidR="00624BDD" w:rsidRPr="00942352">
        <w:t xml:space="preserve">Six days after the bankrupt’s email to his solicitor, on 9 September 2014, settlement for the sale of the Anzac Parade </w:t>
      </w:r>
      <w:r w:rsidR="00AC3253" w:rsidRPr="00942352">
        <w:t>property</w:t>
      </w:r>
      <w:r w:rsidR="00624BDD" w:rsidRPr="00942352">
        <w:t xml:space="preserve"> occurred. Proceeds of sale and deposit and the balance of the deposit, totalling $110,310.05, were paid </w:t>
      </w:r>
      <w:r w:rsidR="00487B52" w:rsidRPr="00942352">
        <w:t>in</w:t>
      </w:r>
      <w:r w:rsidR="00624BDD" w:rsidRPr="00942352">
        <w:t xml:space="preserve">to the </w:t>
      </w:r>
      <w:r w:rsidR="00487B52" w:rsidRPr="00942352">
        <w:t>Joint A</w:t>
      </w:r>
      <w:r w:rsidR="00624BDD" w:rsidRPr="00942352">
        <w:t xml:space="preserve">ccount. </w:t>
      </w:r>
    </w:p>
    <w:p w14:paraId="56F714E7" w14:textId="4D3592E8" w:rsidR="008F0AB8" w:rsidRPr="00942352" w:rsidRDefault="001E10DF" w:rsidP="008F0AB8">
      <w:pPr>
        <w:pStyle w:val="Heading4"/>
      </w:pPr>
      <w:bookmarkStart w:id="86" w:name="_Ref126916194"/>
      <w:bookmarkStart w:id="87" w:name="_Ref128755631"/>
      <w:bookmarkStart w:id="88" w:name="_Ref129166469"/>
      <w:r w:rsidRPr="00942352">
        <w:t>T</w:t>
      </w:r>
      <w:r w:rsidR="00E53F9D" w:rsidRPr="00942352">
        <w:t>he beneficial ownership of the North Balgowlah propert</w:t>
      </w:r>
      <w:bookmarkStart w:id="89" w:name="_Ref126916195"/>
      <w:bookmarkEnd w:id="86"/>
      <w:r w:rsidR="009D4EE3" w:rsidRPr="00942352">
        <w:t xml:space="preserve">y: </w:t>
      </w:r>
      <w:r w:rsidR="008F0AB8" w:rsidRPr="00942352">
        <w:t>Was it a mistake?</w:t>
      </w:r>
      <w:bookmarkEnd w:id="89"/>
      <w:bookmarkEnd w:id="87"/>
      <w:bookmarkEnd w:id="88"/>
    </w:p>
    <w:p w14:paraId="0EA1D85D" w14:textId="7060510A" w:rsidR="00876F87" w:rsidRPr="00942352" w:rsidRDefault="00155C95" w:rsidP="00155C95">
      <w:pPr>
        <w:pStyle w:val="ParaNumbering"/>
        <w:numPr>
          <w:ilvl w:val="0"/>
          <w:numId w:val="0"/>
        </w:numPr>
        <w:ind w:hanging="720"/>
      </w:pPr>
      <w:bookmarkStart w:id="90" w:name="_Ref127890389"/>
      <w:r w:rsidRPr="00942352">
        <w:rPr>
          <w:sz w:val="20"/>
        </w:rPr>
        <w:t>134</w:t>
      </w:r>
      <w:r w:rsidRPr="00942352">
        <w:rPr>
          <w:sz w:val="20"/>
        </w:rPr>
        <w:tab/>
      </w:r>
      <w:r w:rsidR="00E43304" w:rsidRPr="00942352">
        <w:t xml:space="preserve">I accept that it was a mistake and that the bankrupt and the respondent intended that the </w:t>
      </w:r>
      <w:r w:rsidR="000266BE" w:rsidRPr="00942352">
        <w:t xml:space="preserve">North Balgowlah </w:t>
      </w:r>
      <w:r w:rsidR="00E43304" w:rsidRPr="00942352">
        <w:t xml:space="preserve">property be in </w:t>
      </w:r>
      <w:r w:rsidR="00521851" w:rsidRPr="00942352">
        <w:t>the respondent’s name only</w:t>
      </w:r>
      <w:r w:rsidR="00AE4B20" w:rsidRPr="00942352">
        <w:t>.</w:t>
      </w:r>
      <w:r w:rsidR="00E43304" w:rsidRPr="00942352">
        <w:t xml:space="preserve"> </w:t>
      </w:r>
    </w:p>
    <w:p w14:paraId="05E6D756" w14:textId="66DABBB7" w:rsidR="00AC7C2E" w:rsidRPr="00942352" w:rsidRDefault="00155C95" w:rsidP="00155C95">
      <w:pPr>
        <w:pStyle w:val="ParaNumbering"/>
        <w:numPr>
          <w:ilvl w:val="0"/>
          <w:numId w:val="0"/>
        </w:numPr>
        <w:ind w:hanging="720"/>
      </w:pPr>
      <w:r w:rsidRPr="00942352">
        <w:rPr>
          <w:sz w:val="20"/>
        </w:rPr>
        <w:t>135</w:t>
      </w:r>
      <w:r w:rsidRPr="00942352">
        <w:rPr>
          <w:sz w:val="20"/>
        </w:rPr>
        <w:tab/>
      </w:r>
      <w:r w:rsidR="00AC7C2E" w:rsidRPr="00942352">
        <w:t>I accept the respondent’s evidence</w:t>
      </w:r>
      <w:r w:rsidR="002A3F7D" w:rsidRPr="00942352">
        <w:t>, identified above,</w:t>
      </w:r>
      <w:r w:rsidR="00AC7C2E" w:rsidRPr="00942352">
        <w:t xml:space="preserve"> as to her intention regarding ownership of the North Balgowlah property</w:t>
      </w:r>
      <w:r w:rsidR="002A3F7D" w:rsidRPr="00942352">
        <w:t xml:space="preserve"> and that she mistakenly signed the contract in both names.</w:t>
      </w:r>
      <w:r w:rsidR="001E10DF" w:rsidRPr="00942352">
        <w:t xml:space="preserve"> I accept her evidence on the basis that her conduct was consistent with her past conduct regarding the purchase of the Fairlight and Seaforth properties. The respondent had maintained a course of conduct where she had agitated for </w:t>
      </w:r>
      <w:r w:rsidR="006570BE">
        <w:t>or</w:t>
      </w:r>
      <w:r w:rsidR="001E10DF" w:rsidRPr="00942352">
        <w:t xml:space="preserve"> obtained legal and beneficial title over the matrimonial home. </w:t>
      </w:r>
      <w:r w:rsidR="00DD2DF1" w:rsidRPr="00942352">
        <w:t xml:space="preserve">The respondent maintained under cross-examination that it was a mistake and I accept her evidence. </w:t>
      </w:r>
      <w:r w:rsidR="002A3F7D" w:rsidRPr="00942352">
        <w:t xml:space="preserve">I accept also her evidence as </w:t>
      </w:r>
      <w:r w:rsidR="008B78F0" w:rsidRPr="00942352">
        <w:t xml:space="preserve">to </w:t>
      </w:r>
      <w:r w:rsidR="002A3F7D" w:rsidRPr="00942352">
        <w:t>the reasons for why she intended the property to be in her name.</w:t>
      </w:r>
    </w:p>
    <w:p w14:paraId="1E10ABFE" w14:textId="39615A87" w:rsidR="002A3F7D" w:rsidRPr="00942352" w:rsidRDefault="00155C95" w:rsidP="00155C95">
      <w:pPr>
        <w:pStyle w:val="ParaNumbering"/>
        <w:numPr>
          <w:ilvl w:val="0"/>
          <w:numId w:val="0"/>
        </w:numPr>
        <w:ind w:hanging="720"/>
      </w:pPr>
      <w:bookmarkStart w:id="91" w:name="_Ref129270421"/>
      <w:r w:rsidRPr="00942352">
        <w:rPr>
          <w:sz w:val="20"/>
        </w:rPr>
        <w:t>136</w:t>
      </w:r>
      <w:r w:rsidRPr="00942352">
        <w:rPr>
          <w:sz w:val="20"/>
        </w:rPr>
        <w:tab/>
      </w:r>
      <w:r w:rsidR="002A3F7D" w:rsidRPr="00942352">
        <w:t xml:space="preserve">I also find that </w:t>
      </w:r>
      <w:r w:rsidR="00420FAE" w:rsidRPr="00942352">
        <w:t>it was the bankrupt’s</w:t>
      </w:r>
      <w:r w:rsidR="00E43304" w:rsidRPr="00942352">
        <w:t xml:space="preserve"> </w:t>
      </w:r>
      <w:r w:rsidR="002A3F7D" w:rsidRPr="00942352">
        <w:t xml:space="preserve">primary </w:t>
      </w:r>
      <w:r w:rsidR="00E43304" w:rsidRPr="00942352">
        <w:t xml:space="preserve">intention to place </w:t>
      </w:r>
      <w:r w:rsidR="002A3F7D" w:rsidRPr="00942352">
        <w:t xml:space="preserve">the North Balgowlah property </w:t>
      </w:r>
      <w:r w:rsidR="00E43304" w:rsidRPr="00942352">
        <w:t>in the respondent’s name</w:t>
      </w:r>
      <w:r w:rsidR="00DD2DF1" w:rsidRPr="00942352">
        <w:t xml:space="preserve"> and that it was mistake when the contract was entered into </w:t>
      </w:r>
      <w:r w:rsidR="008B78F0" w:rsidRPr="00942352">
        <w:t xml:space="preserve">in </w:t>
      </w:r>
      <w:r w:rsidR="00DD2DF1" w:rsidRPr="00942352">
        <w:t>both names. However</w:t>
      </w:r>
      <w:r w:rsidR="002A3F7D" w:rsidRPr="00942352">
        <w:t>,</w:t>
      </w:r>
      <w:r w:rsidR="00DD2DF1" w:rsidRPr="00942352">
        <w:t xml:space="preserve"> I am of the view that the bankrupt’s </w:t>
      </w:r>
      <w:r w:rsidR="006570BE">
        <w:t xml:space="preserve">motivations for </w:t>
      </w:r>
      <w:r w:rsidR="00127DA0">
        <w:t>his wife</w:t>
      </w:r>
      <w:r w:rsidR="006570BE">
        <w:t xml:space="preserve"> holding legal title</w:t>
      </w:r>
      <w:r w:rsidR="00DD2DF1" w:rsidRPr="00942352">
        <w:t xml:space="preserve"> were different to those of the respondent and were </w:t>
      </w:r>
      <w:r w:rsidR="002A3F7D" w:rsidRPr="00942352">
        <w:t xml:space="preserve">to prevent the purchase monies and those monies paid towards the Seaforth Mortgages </w:t>
      </w:r>
      <w:r w:rsidR="005D2B1C" w:rsidRPr="00942352">
        <w:t xml:space="preserve">from </w:t>
      </w:r>
      <w:r w:rsidR="002A3F7D" w:rsidRPr="00942352">
        <w:t xml:space="preserve">becoming divisible to </w:t>
      </w:r>
      <w:r w:rsidR="005D2B1C" w:rsidRPr="00942352">
        <w:t>creditors.</w:t>
      </w:r>
      <w:bookmarkEnd w:id="91"/>
      <w:r w:rsidR="002A3F7D" w:rsidRPr="00942352">
        <w:t xml:space="preserve"> </w:t>
      </w:r>
    </w:p>
    <w:p w14:paraId="6D8AB237" w14:textId="26197319" w:rsidR="002A0342" w:rsidRDefault="00155C95" w:rsidP="00155C95">
      <w:pPr>
        <w:pStyle w:val="ParaNumbering"/>
        <w:numPr>
          <w:ilvl w:val="0"/>
          <w:numId w:val="0"/>
        </w:numPr>
        <w:ind w:hanging="720"/>
      </w:pPr>
      <w:r>
        <w:rPr>
          <w:sz w:val="20"/>
        </w:rPr>
        <w:t>137</w:t>
      </w:r>
      <w:r>
        <w:rPr>
          <w:sz w:val="20"/>
        </w:rPr>
        <w:tab/>
      </w:r>
      <w:r w:rsidR="002A0342">
        <w:t>F</w:t>
      </w:r>
      <w:r w:rsidR="005D2B1C" w:rsidRPr="00942352">
        <w:t xml:space="preserve">or almost 10 years until 2014, the bankrupt had owned outright or substantially two properties in his own name. </w:t>
      </w:r>
      <w:r w:rsidR="002A0342">
        <w:t>T</w:t>
      </w:r>
      <w:r w:rsidR="005D2B1C" w:rsidRPr="00942352">
        <w:t xml:space="preserve">he bankrupt over that period had solely paid the mortgages on the Anzac Parade and Boyce Road properties. </w:t>
      </w:r>
      <w:r w:rsidR="002A0342">
        <w:t>T</w:t>
      </w:r>
      <w:r w:rsidR="005D2B1C" w:rsidRPr="00942352">
        <w:t>he bankrupt had been the sole contributor on the mortgage</w:t>
      </w:r>
      <w:r w:rsidR="0081641F" w:rsidRPr="00942352">
        <w:t>s</w:t>
      </w:r>
      <w:r w:rsidR="005D2B1C" w:rsidRPr="00942352">
        <w:t xml:space="preserve"> to the then </w:t>
      </w:r>
      <w:r w:rsidR="00D61E56" w:rsidRPr="00942352">
        <w:t>marital</w:t>
      </w:r>
      <w:r w:rsidR="005D2B1C" w:rsidRPr="00942352">
        <w:t xml:space="preserve"> home, the Seaforth property. </w:t>
      </w:r>
      <w:r w:rsidR="002A0342">
        <w:t>As</w:t>
      </w:r>
      <w:r w:rsidR="005D2B1C" w:rsidRPr="00942352">
        <w:t xml:space="preserve"> a consequence, up until the purchase of </w:t>
      </w:r>
      <w:r w:rsidR="0094409D" w:rsidRPr="00942352">
        <w:t xml:space="preserve">the </w:t>
      </w:r>
      <w:r w:rsidR="005D2B1C" w:rsidRPr="00942352">
        <w:t xml:space="preserve">North Balgowlah </w:t>
      </w:r>
      <w:r w:rsidR="0094409D" w:rsidRPr="00942352">
        <w:t xml:space="preserve">property </w:t>
      </w:r>
      <w:r w:rsidR="005D2B1C" w:rsidRPr="00942352">
        <w:t xml:space="preserve">the bankrupt had held </w:t>
      </w:r>
      <w:r w:rsidR="000908EC" w:rsidRPr="00942352">
        <w:t>two</w:t>
      </w:r>
      <w:r w:rsidR="005D2B1C" w:rsidRPr="00942352">
        <w:t xml:space="preserve"> substantial assets in his name and had contributed solely to their growth. </w:t>
      </w:r>
      <w:r w:rsidR="007034B8" w:rsidRPr="00942352">
        <w:t>In the 2013 refinanc</w:t>
      </w:r>
      <w:r w:rsidR="006570BE">
        <w:t>e</w:t>
      </w:r>
      <w:r w:rsidR="007034B8" w:rsidRPr="00942352">
        <w:t xml:space="preserve"> application, </w:t>
      </w:r>
      <w:r w:rsidR="00CC127A" w:rsidRPr="00942352">
        <w:t xml:space="preserve">as extracted at </w:t>
      </w:r>
      <w:r w:rsidR="00BF64DC" w:rsidRPr="00942352">
        <w:t>[</w:t>
      </w:r>
      <w:r w:rsidR="00BF64DC" w:rsidRPr="00942352">
        <w:fldChar w:fldCharType="begin"/>
      </w:r>
      <w:r w:rsidR="00BF64DC" w:rsidRPr="00942352">
        <w:instrText xml:space="preserve"> REF _Ref127888218 \r \h </w:instrText>
      </w:r>
      <w:r w:rsidR="00942352" w:rsidRPr="00942352">
        <w:instrText xml:space="preserve"> \* MERGEFORMAT </w:instrText>
      </w:r>
      <w:r w:rsidR="00BF64DC" w:rsidRPr="00942352">
        <w:fldChar w:fldCharType="separate"/>
      </w:r>
      <w:r w:rsidR="002B380F">
        <w:t>122</w:t>
      </w:r>
      <w:r w:rsidR="00BF64DC" w:rsidRPr="00942352">
        <w:fldChar w:fldCharType="end"/>
      </w:r>
      <w:r w:rsidR="00941B9D" w:rsidRPr="00942352">
        <w:t xml:space="preserve">] above, the bankrupt had represented </w:t>
      </w:r>
      <w:r w:rsidR="00F92B3B" w:rsidRPr="00942352">
        <w:t>the Boyce Road and Anzac Parade properties’</w:t>
      </w:r>
      <w:r w:rsidR="00941B9D" w:rsidRPr="00942352">
        <w:t xml:space="preserve"> combined worth to be </w:t>
      </w:r>
      <w:r w:rsidR="00AD788E" w:rsidRPr="00942352">
        <w:t>$940,000 and the Seaforth property being worth $1,830,000. Accordingly, the bankrupt substantially owned assets (without accounting for the mortgages in all properties</w:t>
      </w:r>
      <w:r w:rsidR="00685774" w:rsidRPr="00942352">
        <w:t xml:space="preserve">) in his own name, of not insignificant value when compared to the value of the </w:t>
      </w:r>
      <w:r w:rsidR="00685774" w:rsidRPr="00942352">
        <w:lastRenderedPageBreak/>
        <w:t>Seaforth property.</w:t>
      </w:r>
      <w:r w:rsidR="00CC127A" w:rsidRPr="00942352">
        <w:t xml:space="preserve"> </w:t>
      </w:r>
      <w:r w:rsidR="002A0342">
        <w:t>A</w:t>
      </w:r>
      <w:r w:rsidR="005D2B1C" w:rsidRPr="00942352">
        <w:t>s at</w:t>
      </w:r>
      <w:r w:rsidR="003B20A8" w:rsidRPr="00942352">
        <w:t xml:space="preserve"> 30</w:t>
      </w:r>
      <w:r w:rsidR="005D2B1C" w:rsidRPr="00942352">
        <w:t xml:space="preserve"> June 2014 the bankrupt’s business was in financial peril and he was aware of the substantial debt he owed arising from the failed class action. </w:t>
      </w:r>
      <w:r w:rsidR="002A0342">
        <w:t>B</w:t>
      </w:r>
      <w:r w:rsidR="005D2B1C" w:rsidRPr="00942352">
        <w:t>oth the bankrupt and the respondent were aware of the significant financial strain the bankrupt was under. The respondent described the bankrupt at this point as being “incredibly low”.</w:t>
      </w:r>
      <w:r w:rsidR="00E53F9D" w:rsidRPr="00942352">
        <w:t xml:space="preserve"> There was no change in circumstances between 4 August and 3 September 2014 to otherwise bring about the change. It reveals the “mistake”.</w:t>
      </w:r>
      <w:r w:rsidR="005D2B1C" w:rsidRPr="00942352">
        <w:t xml:space="preserve"> </w:t>
      </w:r>
    </w:p>
    <w:p w14:paraId="277DCA76" w14:textId="216E78B5" w:rsidR="002A0342" w:rsidRDefault="00155C95" w:rsidP="00155C95">
      <w:pPr>
        <w:pStyle w:val="ParaNumbering"/>
        <w:numPr>
          <w:ilvl w:val="0"/>
          <w:numId w:val="0"/>
        </w:numPr>
        <w:ind w:hanging="720"/>
      </w:pPr>
      <w:r>
        <w:rPr>
          <w:sz w:val="20"/>
        </w:rPr>
        <w:t>138</w:t>
      </w:r>
      <w:r>
        <w:rPr>
          <w:sz w:val="20"/>
        </w:rPr>
        <w:tab/>
      </w:r>
      <w:r w:rsidR="002A0342">
        <w:t xml:space="preserve">Furthermore, it was a “mistake’ in my view because the bankrupt intended that the relevant transfers were made by the bankrupt (including being put towards the purchase of the North Balgowlah, being intended to be in the </w:t>
      </w:r>
      <w:r w:rsidR="00127DA0">
        <w:t>respondent’s</w:t>
      </w:r>
      <w:r w:rsidR="002A0342">
        <w:t xml:space="preserve"> name) to defeat his creditors. This inference can be drawn from all of the evidence above but also because t</w:t>
      </w:r>
      <w:r w:rsidR="005D2B1C" w:rsidRPr="00942352">
        <w:t xml:space="preserve">he only contribution made to the purchase of </w:t>
      </w:r>
      <w:r w:rsidR="006570BE">
        <w:t xml:space="preserve">the </w:t>
      </w:r>
      <w:r w:rsidR="005D2B1C" w:rsidRPr="00942352">
        <w:t xml:space="preserve">North Balgowlah </w:t>
      </w:r>
      <w:r w:rsidR="006570BE">
        <w:t xml:space="preserve">property </w:t>
      </w:r>
      <w:r w:rsidR="005D2B1C" w:rsidRPr="00942352">
        <w:t xml:space="preserve">was by the bankrupt as </w:t>
      </w:r>
      <w:r w:rsidR="002A0342">
        <w:t>a</w:t>
      </w:r>
      <w:r w:rsidR="005D2B1C" w:rsidRPr="00942352">
        <w:t xml:space="preserve"> result of the sale of the two properties that were in his name</w:t>
      </w:r>
      <w:r w:rsidR="00E94B86" w:rsidRPr="00942352">
        <w:t xml:space="preserve"> or substantially in his name</w:t>
      </w:r>
      <w:r w:rsidR="006570BE">
        <w:t xml:space="preserve"> and for which he had solely contributed towards</w:t>
      </w:r>
      <w:r w:rsidR="005D2B1C" w:rsidRPr="00942352">
        <w:t xml:space="preserve">. </w:t>
      </w:r>
      <w:r w:rsidR="002A0342">
        <w:t>T</w:t>
      </w:r>
      <w:r w:rsidR="005D2B1C" w:rsidRPr="00942352">
        <w:t xml:space="preserve">his fact contrasts </w:t>
      </w:r>
      <w:r w:rsidR="0004683D" w:rsidRPr="00942352">
        <w:t xml:space="preserve">with the circumstances </w:t>
      </w:r>
      <w:r w:rsidR="0081175A" w:rsidRPr="00942352">
        <w:t>in which the</w:t>
      </w:r>
      <w:r w:rsidR="0004683D" w:rsidRPr="00942352">
        <w:t xml:space="preserve"> previous </w:t>
      </w:r>
      <w:r w:rsidR="00334EA1">
        <w:t>matrimonial homes</w:t>
      </w:r>
      <w:r w:rsidR="0081175A" w:rsidRPr="00942352">
        <w:t xml:space="preserve"> were purchased. There was no evidence that the bankrupt had made any direct contribution</w:t>
      </w:r>
      <w:r w:rsidR="00572595" w:rsidRPr="00942352">
        <w:t xml:space="preserve"> at the time of purchase</w:t>
      </w:r>
      <w:r w:rsidR="0081175A" w:rsidRPr="00942352">
        <w:t xml:space="preserve"> of a like kind previously. </w:t>
      </w:r>
    </w:p>
    <w:p w14:paraId="6414821C" w14:textId="0DDE3A47" w:rsidR="005D2B1C" w:rsidRPr="00942352" w:rsidRDefault="00155C95" w:rsidP="00155C95">
      <w:pPr>
        <w:pStyle w:val="ParaNumbering"/>
        <w:numPr>
          <w:ilvl w:val="0"/>
          <w:numId w:val="0"/>
        </w:numPr>
        <w:ind w:hanging="720"/>
      </w:pPr>
      <w:r w:rsidRPr="00942352">
        <w:rPr>
          <w:sz w:val="20"/>
        </w:rPr>
        <w:t>139</w:t>
      </w:r>
      <w:r w:rsidRPr="00942352">
        <w:rPr>
          <w:sz w:val="20"/>
        </w:rPr>
        <w:tab/>
      </w:r>
      <w:r w:rsidR="002A0342">
        <w:t>T</w:t>
      </w:r>
      <w:r w:rsidR="00B07C67" w:rsidRPr="00942352">
        <w:t xml:space="preserve">here was </w:t>
      </w:r>
      <w:r w:rsidR="002A0342">
        <w:t>also</w:t>
      </w:r>
      <w:r w:rsidR="00B07C67" w:rsidRPr="00942352">
        <w:t xml:space="preserve"> something very unusual about the conduct of the bankrupt and the respondent at this time – where despite them not having sold their current home, they would embark on a very risky exercise of purchasing another significant asset (with a mortgage of $1.7 million</w:t>
      </w:r>
      <w:r w:rsidR="002A0342">
        <w:t>, almost 9</w:t>
      </w:r>
      <w:r w:rsidR="006570BE">
        <w:t>5</w:t>
      </w:r>
      <w:r w:rsidR="002A0342">
        <w:t>% of the value of the property</w:t>
      </w:r>
      <w:r w:rsidR="00B07C67" w:rsidRPr="00942352">
        <w:t xml:space="preserve">) at a time when the bankrupt’s business was in decline, he was under significant financial stress and he was aware of demands being made on the </w:t>
      </w:r>
      <w:r w:rsidR="006570BE">
        <w:t xml:space="preserve">Bendigo Debt </w:t>
      </w:r>
      <w:r w:rsidR="00596843" w:rsidRPr="00942352">
        <w:t xml:space="preserve">from </w:t>
      </w:r>
      <w:r w:rsidR="006570BE">
        <w:t xml:space="preserve">the </w:t>
      </w:r>
      <w:r w:rsidR="00596843" w:rsidRPr="00942352">
        <w:t>Bendigo B</w:t>
      </w:r>
      <w:r w:rsidR="00B07C67" w:rsidRPr="00942352">
        <w:t>ank.</w:t>
      </w:r>
      <w:bookmarkEnd w:id="90"/>
      <w:r w:rsidR="00B07C67" w:rsidRPr="00942352">
        <w:t xml:space="preserve"> </w:t>
      </w:r>
    </w:p>
    <w:p w14:paraId="4FB775D3" w14:textId="25CB934A" w:rsidR="00DD2DF1" w:rsidRPr="00942352" w:rsidRDefault="00155C95" w:rsidP="00155C95">
      <w:pPr>
        <w:pStyle w:val="ParaNumbering"/>
        <w:numPr>
          <w:ilvl w:val="0"/>
          <w:numId w:val="0"/>
        </w:numPr>
        <w:ind w:hanging="720"/>
      </w:pPr>
      <w:r w:rsidRPr="00942352">
        <w:rPr>
          <w:sz w:val="20"/>
        </w:rPr>
        <w:t>140</w:t>
      </w:r>
      <w:r w:rsidRPr="00942352">
        <w:rPr>
          <w:sz w:val="20"/>
        </w:rPr>
        <w:tab/>
      </w:r>
      <w:r w:rsidR="00DD2DF1" w:rsidRPr="00942352">
        <w:t xml:space="preserve">I </w:t>
      </w:r>
      <w:r w:rsidR="00127DA0">
        <w:t>do</w:t>
      </w:r>
      <w:r w:rsidR="00DD2DF1" w:rsidRPr="00942352">
        <w:t xml:space="preserve"> not accept the bankrupt’s denials as to him being motivated to shield the proceeds of these substantial assets from creditors. I found the bankrupt to be an unimpressive witness for the reasons identified above. </w:t>
      </w:r>
    </w:p>
    <w:p w14:paraId="1FBA1180" w14:textId="77777777" w:rsidR="00BB04FF" w:rsidRPr="00942352" w:rsidRDefault="00BB04FF" w:rsidP="00B00EAE">
      <w:pPr>
        <w:pStyle w:val="Heading3"/>
      </w:pPr>
      <w:bookmarkStart w:id="92" w:name="_Ref129166470"/>
      <w:bookmarkStart w:id="93" w:name="_Ref126916197"/>
      <w:r w:rsidRPr="00942352">
        <w:t>The contributions made by the bankrupt to the Seaforth Mortgages in 2014</w:t>
      </w:r>
      <w:bookmarkEnd w:id="92"/>
    </w:p>
    <w:p w14:paraId="403E235B" w14:textId="04E38EEC" w:rsidR="00BB04FF" w:rsidRPr="00942352" w:rsidRDefault="00155C95" w:rsidP="00155C95">
      <w:pPr>
        <w:pStyle w:val="ParaNumbering"/>
        <w:numPr>
          <w:ilvl w:val="0"/>
          <w:numId w:val="0"/>
        </w:numPr>
        <w:ind w:hanging="720"/>
      </w:pPr>
      <w:r w:rsidRPr="00942352">
        <w:rPr>
          <w:sz w:val="20"/>
        </w:rPr>
        <w:t>141</w:t>
      </w:r>
      <w:r w:rsidRPr="00942352">
        <w:rPr>
          <w:sz w:val="20"/>
        </w:rPr>
        <w:tab/>
      </w:r>
      <w:r w:rsidR="00BB04FF" w:rsidRPr="00942352">
        <w:t>The trustee relies on the following purported amounts paid from the Joint Account to the Seaforth Mortgages between 11 April and 28 November 2014 as forming part of the bases for his voidable transaction claims (as extracted from [24(b)(ii)] of his statement of claim):</w:t>
      </w: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3"/>
        <w:gridCol w:w="1642"/>
        <w:gridCol w:w="1856"/>
        <w:gridCol w:w="1858"/>
      </w:tblGrid>
      <w:tr w:rsidR="00BB04FF" w:rsidRPr="00942352" w14:paraId="243A0DA3" w14:textId="77777777" w:rsidTr="004A5066">
        <w:trPr>
          <w:trHeight w:val="460"/>
        </w:trPr>
        <w:tc>
          <w:tcPr>
            <w:tcW w:w="7449" w:type="dxa"/>
            <w:gridSpan w:val="4"/>
            <w:shd w:val="clear" w:color="auto" w:fill="D9D9D9"/>
          </w:tcPr>
          <w:p w14:paraId="2ADF3B51" w14:textId="77777777" w:rsidR="00BB04FF" w:rsidRPr="00942352" w:rsidRDefault="00BB04FF" w:rsidP="00BB04FF">
            <w:pPr>
              <w:pStyle w:val="TableParagraph"/>
              <w:spacing w:line="225" w:lineRule="exact"/>
              <w:ind w:left="1083" w:right="1077"/>
              <w:jc w:val="center"/>
              <w:rPr>
                <w:rFonts w:ascii="Times New Roman" w:hAnsi="Times New Roman" w:cs="Times New Roman"/>
                <w:b/>
              </w:rPr>
            </w:pPr>
            <w:r w:rsidRPr="00942352">
              <w:rPr>
                <w:rFonts w:ascii="Times New Roman" w:hAnsi="Times New Roman" w:cs="Times New Roman"/>
                <w:b/>
              </w:rPr>
              <w:t>Amounts</w:t>
            </w:r>
            <w:r w:rsidRPr="00942352">
              <w:rPr>
                <w:rFonts w:ascii="Times New Roman" w:hAnsi="Times New Roman" w:cs="Times New Roman"/>
                <w:b/>
                <w:spacing w:val="-7"/>
              </w:rPr>
              <w:t xml:space="preserve"> </w:t>
            </w:r>
            <w:r w:rsidRPr="00942352">
              <w:rPr>
                <w:rFonts w:ascii="Times New Roman" w:hAnsi="Times New Roman" w:cs="Times New Roman"/>
                <w:b/>
              </w:rPr>
              <w:t>Paid</w:t>
            </w:r>
            <w:r w:rsidRPr="00942352">
              <w:rPr>
                <w:rFonts w:ascii="Times New Roman" w:hAnsi="Times New Roman" w:cs="Times New Roman"/>
                <w:b/>
                <w:spacing w:val="-7"/>
              </w:rPr>
              <w:t xml:space="preserve"> </w:t>
            </w:r>
            <w:r w:rsidRPr="00942352">
              <w:rPr>
                <w:rFonts w:ascii="Times New Roman" w:hAnsi="Times New Roman" w:cs="Times New Roman"/>
                <w:b/>
              </w:rPr>
              <w:t>from</w:t>
            </w:r>
            <w:r w:rsidRPr="00942352">
              <w:rPr>
                <w:rFonts w:ascii="Times New Roman" w:hAnsi="Times New Roman" w:cs="Times New Roman"/>
                <w:b/>
                <w:spacing w:val="-7"/>
              </w:rPr>
              <w:t xml:space="preserve"> </w:t>
            </w:r>
            <w:r w:rsidRPr="00942352">
              <w:rPr>
                <w:rFonts w:ascii="Times New Roman" w:hAnsi="Times New Roman" w:cs="Times New Roman"/>
                <w:b/>
              </w:rPr>
              <w:t>Joint</w:t>
            </w:r>
            <w:r w:rsidRPr="00942352">
              <w:rPr>
                <w:rFonts w:ascii="Times New Roman" w:hAnsi="Times New Roman" w:cs="Times New Roman"/>
                <w:b/>
                <w:spacing w:val="-5"/>
              </w:rPr>
              <w:t xml:space="preserve"> </w:t>
            </w:r>
            <w:r w:rsidRPr="00942352">
              <w:rPr>
                <w:rFonts w:ascii="Times New Roman" w:hAnsi="Times New Roman" w:cs="Times New Roman"/>
                <w:b/>
              </w:rPr>
              <w:t>Account</w:t>
            </w:r>
            <w:r w:rsidRPr="00942352">
              <w:rPr>
                <w:rFonts w:ascii="Times New Roman" w:hAnsi="Times New Roman" w:cs="Times New Roman"/>
                <w:b/>
                <w:spacing w:val="-7"/>
              </w:rPr>
              <w:t xml:space="preserve"> </w:t>
            </w:r>
            <w:r w:rsidRPr="00942352">
              <w:rPr>
                <w:rFonts w:ascii="Times New Roman" w:hAnsi="Times New Roman" w:cs="Times New Roman"/>
                <w:b/>
              </w:rPr>
              <w:t>to</w:t>
            </w:r>
            <w:r w:rsidRPr="00942352">
              <w:rPr>
                <w:rFonts w:ascii="Times New Roman" w:hAnsi="Times New Roman" w:cs="Times New Roman"/>
                <w:b/>
                <w:spacing w:val="-7"/>
              </w:rPr>
              <w:t xml:space="preserve"> </w:t>
            </w:r>
            <w:r w:rsidRPr="00942352">
              <w:rPr>
                <w:rFonts w:ascii="Times New Roman" w:hAnsi="Times New Roman" w:cs="Times New Roman"/>
                <w:b/>
              </w:rPr>
              <w:t>Seaforth</w:t>
            </w:r>
            <w:r w:rsidRPr="00942352">
              <w:rPr>
                <w:rFonts w:ascii="Times New Roman" w:hAnsi="Times New Roman" w:cs="Times New Roman"/>
                <w:b/>
                <w:spacing w:val="-7"/>
              </w:rPr>
              <w:t xml:space="preserve"> </w:t>
            </w:r>
            <w:r w:rsidRPr="00942352">
              <w:rPr>
                <w:rFonts w:ascii="Times New Roman" w:hAnsi="Times New Roman" w:cs="Times New Roman"/>
                <w:b/>
                <w:spacing w:val="-2"/>
              </w:rPr>
              <w:t>Mortgage</w:t>
            </w:r>
          </w:p>
          <w:p w14:paraId="50F3636C" w14:textId="77777777" w:rsidR="00BB04FF" w:rsidRPr="00942352" w:rsidRDefault="00BB04FF" w:rsidP="00BB04FF">
            <w:pPr>
              <w:pStyle w:val="TableParagraph"/>
              <w:spacing w:line="215" w:lineRule="exact"/>
              <w:ind w:left="1082" w:right="1077"/>
              <w:jc w:val="center"/>
              <w:rPr>
                <w:rFonts w:ascii="Times New Roman" w:hAnsi="Times New Roman" w:cs="Times New Roman"/>
                <w:b/>
              </w:rPr>
            </w:pPr>
            <w:r w:rsidRPr="00942352">
              <w:rPr>
                <w:rFonts w:ascii="Times New Roman" w:hAnsi="Times New Roman" w:cs="Times New Roman"/>
                <w:b/>
              </w:rPr>
              <w:t>11</w:t>
            </w:r>
            <w:r w:rsidRPr="00942352">
              <w:rPr>
                <w:rFonts w:ascii="Times New Roman" w:hAnsi="Times New Roman" w:cs="Times New Roman"/>
                <w:b/>
                <w:spacing w:val="-2"/>
              </w:rPr>
              <w:t xml:space="preserve"> </w:t>
            </w:r>
            <w:r w:rsidRPr="00942352">
              <w:rPr>
                <w:rFonts w:ascii="Times New Roman" w:hAnsi="Times New Roman" w:cs="Times New Roman"/>
                <w:b/>
              </w:rPr>
              <w:t>April</w:t>
            </w:r>
            <w:r w:rsidRPr="00942352">
              <w:rPr>
                <w:rFonts w:ascii="Times New Roman" w:hAnsi="Times New Roman" w:cs="Times New Roman"/>
                <w:b/>
                <w:spacing w:val="-5"/>
              </w:rPr>
              <w:t xml:space="preserve"> </w:t>
            </w:r>
            <w:r w:rsidRPr="00942352">
              <w:rPr>
                <w:rFonts w:ascii="Times New Roman" w:hAnsi="Times New Roman" w:cs="Times New Roman"/>
                <w:b/>
              </w:rPr>
              <w:t>2014</w:t>
            </w:r>
            <w:r w:rsidRPr="00942352">
              <w:rPr>
                <w:rFonts w:ascii="Times New Roman" w:hAnsi="Times New Roman" w:cs="Times New Roman"/>
                <w:b/>
                <w:spacing w:val="-6"/>
              </w:rPr>
              <w:t xml:space="preserve"> </w:t>
            </w:r>
            <w:r w:rsidRPr="00942352">
              <w:rPr>
                <w:rFonts w:ascii="Times New Roman" w:hAnsi="Times New Roman" w:cs="Times New Roman"/>
                <w:b/>
              </w:rPr>
              <w:t>to</w:t>
            </w:r>
            <w:r w:rsidRPr="00942352">
              <w:rPr>
                <w:rFonts w:ascii="Times New Roman" w:hAnsi="Times New Roman" w:cs="Times New Roman"/>
                <w:b/>
                <w:spacing w:val="-3"/>
              </w:rPr>
              <w:t xml:space="preserve"> </w:t>
            </w:r>
            <w:r w:rsidRPr="00942352">
              <w:rPr>
                <w:rFonts w:ascii="Times New Roman" w:hAnsi="Times New Roman" w:cs="Times New Roman"/>
                <w:b/>
              </w:rPr>
              <w:t>28</w:t>
            </w:r>
            <w:r w:rsidRPr="00942352">
              <w:rPr>
                <w:rFonts w:ascii="Times New Roman" w:hAnsi="Times New Roman" w:cs="Times New Roman"/>
                <w:b/>
                <w:spacing w:val="-6"/>
              </w:rPr>
              <w:t xml:space="preserve"> </w:t>
            </w:r>
            <w:r w:rsidRPr="00942352">
              <w:rPr>
                <w:rFonts w:ascii="Times New Roman" w:hAnsi="Times New Roman" w:cs="Times New Roman"/>
                <w:b/>
              </w:rPr>
              <w:t>November</w:t>
            </w:r>
            <w:r w:rsidRPr="00942352">
              <w:rPr>
                <w:rFonts w:ascii="Times New Roman" w:hAnsi="Times New Roman" w:cs="Times New Roman"/>
                <w:b/>
                <w:spacing w:val="-7"/>
              </w:rPr>
              <w:t xml:space="preserve"> </w:t>
            </w:r>
            <w:r w:rsidRPr="00942352">
              <w:rPr>
                <w:rFonts w:ascii="Times New Roman" w:hAnsi="Times New Roman" w:cs="Times New Roman"/>
                <w:b/>
                <w:spacing w:val="-4"/>
              </w:rPr>
              <w:t>2014</w:t>
            </w:r>
          </w:p>
        </w:tc>
      </w:tr>
      <w:tr w:rsidR="00BB04FF" w:rsidRPr="00942352" w14:paraId="0F562889" w14:textId="77777777" w:rsidTr="004A5066">
        <w:trPr>
          <w:trHeight w:val="230"/>
        </w:trPr>
        <w:tc>
          <w:tcPr>
            <w:tcW w:w="2093" w:type="dxa"/>
          </w:tcPr>
          <w:p w14:paraId="6229F32A" w14:textId="77777777" w:rsidR="00BB04FF" w:rsidRPr="00942352" w:rsidRDefault="00BB04FF" w:rsidP="00BB04FF">
            <w:pPr>
              <w:pStyle w:val="TableParagraph"/>
              <w:ind w:left="787" w:right="783"/>
              <w:jc w:val="center"/>
              <w:rPr>
                <w:rFonts w:ascii="Times New Roman" w:hAnsi="Times New Roman" w:cs="Times New Roman"/>
                <w:b/>
              </w:rPr>
            </w:pPr>
            <w:r w:rsidRPr="00942352">
              <w:rPr>
                <w:rFonts w:ascii="Times New Roman" w:hAnsi="Times New Roman" w:cs="Times New Roman"/>
                <w:b/>
                <w:spacing w:val="-4"/>
              </w:rPr>
              <w:t>Date</w:t>
            </w:r>
          </w:p>
        </w:tc>
        <w:tc>
          <w:tcPr>
            <w:tcW w:w="1642" w:type="dxa"/>
          </w:tcPr>
          <w:p w14:paraId="7E628100" w14:textId="77777777" w:rsidR="00BB04FF" w:rsidRPr="00942352" w:rsidRDefault="00BB04FF" w:rsidP="00BB04FF">
            <w:pPr>
              <w:pStyle w:val="TableParagraph"/>
              <w:ind w:left="153"/>
              <w:rPr>
                <w:rFonts w:ascii="Times New Roman" w:hAnsi="Times New Roman" w:cs="Times New Roman"/>
                <w:b/>
              </w:rPr>
            </w:pPr>
            <w:r w:rsidRPr="00942352">
              <w:rPr>
                <w:rFonts w:ascii="Times New Roman" w:hAnsi="Times New Roman" w:cs="Times New Roman"/>
                <w:b/>
              </w:rPr>
              <w:t>Loan</w:t>
            </w:r>
            <w:r w:rsidRPr="00942352">
              <w:rPr>
                <w:rFonts w:ascii="Times New Roman" w:hAnsi="Times New Roman" w:cs="Times New Roman"/>
                <w:b/>
                <w:spacing w:val="-4"/>
              </w:rPr>
              <w:t xml:space="preserve"> </w:t>
            </w:r>
            <w:r w:rsidRPr="00942352">
              <w:rPr>
                <w:rFonts w:ascii="Times New Roman" w:hAnsi="Times New Roman" w:cs="Times New Roman"/>
                <w:b/>
                <w:spacing w:val="-2"/>
              </w:rPr>
              <w:t>Account</w:t>
            </w:r>
          </w:p>
        </w:tc>
        <w:tc>
          <w:tcPr>
            <w:tcW w:w="1856" w:type="dxa"/>
          </w:tcPr>
          <w:p w14:paraId="23FBC8AD" w14:textId="77777777" w:rsidR="00BB04FF" w:rsidRPr="00942352" w:rsidRDefault="00BB04FF" w:rsidP="00BB04FF">
            <w:pPr>
              <w:pStyle w:val="TableParagraph"/>
              <w:ind w:left="548"/>
              <w:rPr>
                <w:rFonts w:ascii="Times New Roman" w:hAnsi="Times New Roman" w:cs="Times New Roman"/>
                <w:b/>
              </w:rPr>
            </w:pPr>
            <w:r w:rsidRPr="00942352">
              <w:rPr>
                <w:rFonts w:ascii="Times New Roman" w:hAnsi="Times New Roman" w:cs="Times New Roman"/>
                <w:b/>
                <w:spacing w:val="-2"/>
              </w:rPr>
              <w:t>Amount</w:t>
            </w:r>
          </w:p>
        </w:tc>
        <w:tc>
          <w:tcPr>
            <w:tcW w:w="1858" w:type="dxa"/>
          </w:tcPr>
          <w:p w14:paraId="0D4E4913" w14:textId="77777777" w:rsidR="00BB04FF" w:rsidRPr="00942352" w:rsidRDefault="00BB04FF" w:rsidP="00BB04FF">
            <w:pPr>
              <w:pStyle w:val="TableParagraph"/>
              <w:ind w:left="675" w:right="664"/>
              <w:jc w:val="center"/>
              <w:rPr>
                <w:rFonts w:ascii="Times New Roman" w:hAnsi="Times New Roman" w:cs="Times New Roman"/>
                <w:b/>
              </w:rPr>
            </w:pPr>
            <w:r w:rsidRPr="00942352">
              <w:rPr>
                <w:rFonts w:ascii="Times New Roman" w:hAnsi="Times New Roman" w:cs="Times New Roman"/>
                <w:b/>
                <w:spacing w:val="-2"/>
              </w:rPr>
              <w:t>Total</w:t>
            </w:r>
          </w:p>
        </w:tc>
      </w:tr>
      <w:tr w:rsidR="00BB04FF" w:rsidRPr="00942352" w14:paraId="75B6DDAD" w14:textId="77777777" w:rsidTr="004A5066">
        <w:trPr>
          <w:trHeight w:val="230"/>
        </w:trPr>
        <w:tc>
          <w:tcPr>
            <w:tcW w:w="2093" w:type="dxa"/>
          </w:tcPr>
          <w:p w14:paraId="775DBFF2"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rPr>
              <w:t>28</w:t>
            </w:r>
            <w:r w:rsidRPr="00942352">
              <w:rPr>
                <w:rFonts w:ascii="Times New Roman" w:hAnsi="Times New Roman" w:cs="Times New Roman"/>
                <w:spacing w:val="-5"/>
              </w:rPr>
              <w:t xml:space="preserve"> </w:t>
            </w:r>
            <w:r w:rsidRPr="00942352">
              <w:rPr>
                <w:rFonts w:ascii="Times New Roman" w:hAnsi="Times New Roman" w:cs="Times New Roman"/>
              </w:rPr>
              <w:t>April</w:t>
            </w:r>
            <w:r w:rsidRPr="00942352">
              <w:rPr>
                <w:rFonts w:ascii="Times New Roman" w:hAnsi="Times New Roman" w:cs="Times New Roman"/>
                <w:spacing w:val="-5"/>
              </w:rPr>
              <w:t xml:space="preserve"> </w:t>
            </w:r>
            <w:r w:rsidRPr="00942352">
              <w:rPr>
                <w:rFonts w:ascii="Times New Roman" w:hAnsi="Times New Roman" w:cs="Times New Roman"/>
                <w:spacing w:val="-4"/>
              </w:rPr>
              <w:t>2014</w:t>
            </w:r>
          </w:p>
        </w:tc>
        <w:tc>
          <w:tcPr>
            <w:tcW w:w="1642" w:type="dxa"/>
          </w:tcPr>
          <w:p w14:paraId="62999F3F"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3A7F294D"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4,869.72</w:t>
            </w:r>
          </w:p>
        </w:tc>
        <w:tc>
          <w:tcPr>
            <w:tcW w:w="1858" w:type="dxa"/>
          </w:tcPr>
          <w:p w14:paraId="3B603AA7"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69214770" w14:textId="77777777" w:rsidTr="004A5066">
        <w:trPr>
          <w:trHeight w:val="230"/>
        </w:trPr>
        <w:tc>
          <w:tcPr>
            <w:tcW w:w="2093" w:type="dxa"/>
          </w:tcPr>
          <w:p w14:paraId="03631ADB"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0C09F158"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747C6FC4"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1,070.25</w:t>
            </w:r>
          </w:p>
        </w:tc>
        <w:tc>
          <w:tcPr>
            <w:tcW w:w="1858" w:type="dxa"/>
          </w:tcPr>
          <w:p w14:paraId="64D8B83F"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6EB7832B" w14:textId="77777777" w:rsidTr="004A5066">
        <w:trPr>
          <w:trHeight w:val="230"/>
        </w:trPr>
        <w:tc>
          <w:tcPr>
            <w:tcW w:w="2093" w:type="dxa"/>
          </w:tcPr>
          <w:p w14:paraId="3CBE8BDF"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7508D156"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6E53BC96"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977.99</w:t>
            </w:r>
          </w:p>
        </w:tc>
        <w:tc>
          <w:tcPr>
            <w:tcW w:w="1858" w:type="dxa"/>
          </w:tcPr>
          <w:p w14:paraId="1D76B982"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5117977F" w14:textId="77777777" w:rsidTr="004A5066">
        <w:trPr>
          <w:trHeight w:val="230"/>
        </w:trPr>
        <w:tc>
          <w:tcPr>
            <w:tcW w:w="2093" w:type="dxa"/>
          </w:tcPr>
          <w:p w14:paraId="11300BC0"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7B3F736D"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769837208 [sic]</w:t>
            </w:r>
          </w:p>
        </w:tc>
        <w:tc>
          <w:tcPr>
            <w:tcW w:w="1856" w:type="dxa"/>
          </w:tcPr>
          <w:p w14:paraId="4C3C2305"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332.93</w:t>
            </w:r>
          </w:p>
        </w:tc>
        <w:tc>
          <w:tcPr>
            <w:tcW w:w="1858" w:type="dxa"/>
          </w:tcPr>
          <w:p w14:paraId="3A184B90" w14:textId="77777777" w:rsidR="00BB04FF" w:rsidRPr="007104DA" w:rsidRDefault="00BB04FF" w:rsidP="007104DA">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7,250.89</w:t>
            </w:r>
          </w:p>
        </w:tc>
      </w:tr>
      <w:tr w:rsidR="00BB04FF" w:rsidRPr="00942352" w14:paraId="2F833E05" w14:textId="77777777" w:rsidTr="004A5066">
        <w:trPr>
          <w:trHeight w:val="230"/>
        </w:trPr>
        <w:tc>
          <w:tcPr>
            <w:tcW w:w="2093" w:type="dxa"/>
          </w:tcPr>
          <w:p w14:paraId="111BC838"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rPr>
              <w:t>27</w:t>
            </w:r>
            <w:r w:rsidRPr="00942352">
              <w:rPr>
                <w:rFonts w:ascii="Times New Roman" w:hAnsi="Times New Roman" w:cs="Times New Roman"/>
                <w:spacing w:val="-5"/>
              </w:rPr>
              <w:t xml:space="preserve"> </w:t>
            </w:r>
            <w:r w:rsidRPr="00942352">
              <w:rPr>
                <w:rFonts w:ascii="Times New Roman" w:hAnsi="Times New Roman" w:cs="Times New Roman"/>
              </w:rPr>
              <w:t>May</w:t>
            </w:r>
            <w:r w:rsidRPr="00942352">
              <w:rPr>
                <w:rFonts w:ascii="Times New Roman" w:hAnsi="Times New Roman" w:cs="Times New Roman"/>
                <w:spacing w:val="-3"/>
              </w:rPr>
              <w:t xml:space="preserve"> </w:t>
            </w:r>
            <w:r w:rsidRPr="00942352">
              <w:rPr>
                <w:rFonts w:ascii="Times New Roman" w:hAnsi="Times New Roman" w:cs="Times New Roman"/>
                <w:spacing w:val="-4"/>
              </w:rPr>
              <w:t>2014</w:t>
            </w:r>
          </w:p>
        </w:tc>
        <w:tc>
          <w:tcPr>
            <w:tcW w:w="1642" w:type="dxa"/>
          </w:tcPr>
          <w:p w14:paraId="71DCC117"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3CE88AC3"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4,712.06</w:t>
            </w:r>
          </w:p>
        </w:tc>
        <w:tc>
          <w:tcPr>
            <w:tcW w:w="1858" w:type="dxa"/>
          </w:tcPr>
          <w:p w14:paraId="40203AF9"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02FA9A37" w14:textId="77777777" w:rsidTr="004A5066">
        <w:trPr>
          <w:trHeight w:val="230"/>
        </w:trPr>
        <w:tc>
          <w:tcPr>
            <w:tcW w:w="2093" w:type="dxa"/>
          </w:tcPr>
          <w:p w14:paraId="58EF1E4E"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686A8407"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769837400</w:t>
            </w:r>
          </w:p>
        </w:tc>
        <w:tc>
          <w:tcPr>
            <w:tcW w:w="1856" w:type="dxa"/>
          </w:tcPr>
          <w:p w14:paraId="5957FDBF"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946.44</w:t>
            </w:r>
          </w:p>
        </w:tc>
        <w:tc>
          <w:tcPr>
            <w:tcW w:w="1858" w:type="dxa"/>
          </w:tcPr>
          <w:p w14:paraId="1FAE763C"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50E12595" w14:textId="77777777" w:rsidTr="004A5066">
        <w:trPr>
          <w:trHeight w:val="230"/>
        </w:trPr>
        <w:tc>
          <w:tcPr>
            <w:tcW w:w="2093" w:type="dxa"/>
          </w:tcPr>
          <w:p w14:paraId="62FAEF38"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4FB81CE0"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65388C92"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701.37</w:t>
            </w:r>
          </w:p>
        </w:tc>
        <w:tc>
          <w:tcPr>
            <w:tcW w:w="1858" w:type="dxa"/>
          </w:tcPr>
          <w:p w14:paraId="4575BD04"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660CA2D6" w14:textId="77777777" w:rsidTr="004A5066">
        <w:trPr>
          <w:trHeight w:val="230"/>
        </w:trPr>
        <w:tc>
          <w:tcPr>
            <w:tcW w:w="2093" w:type="dxa"/>
          </w:tcPr>
          <w:p w14:paraId="686BAAE1"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05876D35"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37753A35"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322.19</w:t>
            </w:r>
          </w:p>
        </w:tc>
        <w:tc>
          <w:tcPr>
            <w:tcW w:w="1858" w:type="dxa"/>
          </w:tcPr>
          <w:p w14:paraId="2746E6B0" w14:textId="77777777" w:rsidR="00BB04FF" w:rsidRPr="007104DA" w:rsidRDefault="00BB04FF" w:rsidP="007104DA">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6,682.06</w:t>
            </w:r>
          </w:p>
        </w:tc>
      </w:tr>
      <w:tr w:rsidR="00BB04FF" w:rsidRPr="00942352" w14:paraId="1D3D134F" w14:textId="77777777" w:rsidTr="004A5066">
        <w:trPr>
          <w:trHeight w:val="230"/>
        </w:trPr>
        <w:tc>
          <w:tcPr>
            <w:tcW w:w="2093" w:type="dxa"/>
          </w:tcPr>
          <w:p w14:paraId="0DCFCEBA"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rPr>
              <w:t>27</w:t>
            </w:r>
            <w:r w:rsidRPr="00942352">
              <w:rPr>
                <w:rFonts w:ascii="Times New Roman" w:hAnsi="Times New Roman" w:cs="Times New Roman"/>
                <w:spacing w:val="-4"/>
              </w:rPr>
              <w:t xml:space="preserve"> </w:t>
            </w:r>
            <w:r w:rsidRPr="00942352">
              <w:rPr>
                <w:rFonts w:ascii="Times New Roman" w:hAnsi="Times New Roman" w:cs="Times New Roman"/>
              </w:rPr>
              <w:t>June</w:t>
            </w:r>
            <w:r w:rsidRPr="00942352">
              <w:rPr>
                <w:rFonts w:ascii="Times New Roman" w:hAnsi="Times New Roman" w:cs="Times New Roman"/>
                <w:spacing w:val="-4"/>
              </w:rPr>
              <w:t xml:space="preserve"> 2014</w:t>
            </w:r>
          </w:p>
        </w:tc>
        <w:tc>
          <w:tcPr>
            <w:tcW w:w="1642" w:type="dxa"/>
          </w:tcPr>
          <w:p w14:paraId="783A6705"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738F2685"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4,869.13</w:t>
            </w:r>
          </w:p>
        </w:tc>
        <w:tc>
          <w:tcPr>
            <w:tcW w:w="1858" w:type="dxa"/>
          </w:tcPr>
          <w:p w14:paraId="55C5B852"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7E43BB7D" w14:textId="77777777" w:rsidTr="004A5066">
        <w:trPr>
          <w:trHeight w:val="230"/>
        </w:trPr>
        <w:tc>
          <w:tcPr>
            <w:tcW w:w="2093" w:type="dxa"/>
          </w:tcPr>
          <w:p w14:paraId="4B1A784B"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5185B0BC"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10D9EDD2"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977.99</w:t>
            </w:r>
          </w:p>
        </w:tc>
        <w:tc>
          <w:tcPr>
            <w:tcW w:w="1858" w:type="dxa"/>
          </w:tcPr>
          <w:p w14:paraId="13855CBF"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22C68104" w14:textId="77777777" w:rsidTr="004A5066">
        <w:trPr>
          <w:trHeight w:val="230"/>
        </w:trPr>
        <w:tc>
          <w:tcPr>
            <w:tcW w:w="2093" w:type="dxa"/>
          </w:tcPr>
          <w:p w14:paraId="077C9BC8"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5270F463"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525C64A9"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724.75</w:t>
            </w:r>
          </w:p>
        </w:tc>
        <w:tc>
          <w:tcPr>
            <w:tcW w:w="1858" w:type="dxa"/>
          </w:tcPr>
          <w:p w14:paraId="3D8E9A69"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77269B00" w14:textId="77777777" w:rsidTr="004A5066">
        <w:trPr>
          <w:trHeight w:val="230"/>
        </w:trPr>
        <w:tc>
          <w:tcPr>
            <w:tcW w:w="2093" w:type="dxa"/>
          </w:tcPr>
          <w:p w14:paraId="34504C3F"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0789E5E8"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5045A0AA"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332.93</w:t>
            </w:r>
          </w:p>
        </w:tc>
        <w:tc>
          <w:tcPr>
            <w:tcW w:w="1858" w:type="dxa"/>
          </w:tcPr>
          <w:p w14:paraId="1A317A1E" w14:textId="77777777" w:rsidR="00BB04FF" w:rsidRPr="007104DA" w:rsidRDefault="00BB04FF" w:rsidP="00BB04FF">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6,904.8</w:t>
            </w:r>
          </w:p>
        </w:tc>
      </w:tr>
      <w:tr w:rsidR="00BB04FF" w:rsidRPr="00942352" w14:paraId="371DEFA0" w14:textId="77777777" w:rsidTr="004A5066">
        <w:trPr>
          <w:trHeight w:val="229"/>
        </w:trPr>
        <w:tc>
          <w:tcPr>
            <w:tcW w:w="2093" w:type="dxa"/>
          </w:tcPr>
          <w:p w14:paraId="1F15417E"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rPr>
              <w:t>28</w:t>
            </w:r>
            <w:r w:rsidRPr="00942352">
              <w:rPr>
                <w:rFonts w:ascii="Times New Roman" w:hAnsi="Times New Roman" w:cs="Times New Roman"/>
                <w:spacing w:val="-3"/>
              </w:rPr>
              <w:t xml:space="preserve"> </w:t>
            </w:r>
            <w:r w:rsidRPr="00942352">
              <w:rPr>
                <w:rFonts w:ascii="Times New Roman" w:hAnsi="Times New Roman" w:cs="Times New Roman"/>
              </w:rPr>
              <w:t>July</w:t>
            </w:r>
            <w:r w:rsidRPr="00942352">
              <w:rPr>
                <w:rFonts w:ascii="Times New Roman" w:hAnsi="Times New Roman" w:cs="Times New Roman"/>
                <w:spacing w:val="-4"/>
              </w:rPr>
              <w:t xml:space="preserve"> 2014</w:t>
            </w:r>
          </w:p>
        </w:tc>
        <w:tc>
          <w:tcPr>
            <w:tcW w:w="1642" w:type="dxa"/>
          </w:tcPr>
          <w:p w14:paraId="0D7E473C"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407F6EB6"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4,712.06</w:t>
            </w:r>
          </w:p>
        </w:tc>
        <w:tc>
          <w:tcPr>
            <w:tcW w:w="1858" w:type="dxa"/>
          </w:tcPr>
          <w:p w14:paraId="73C71282"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42A9B611" w14:textId="77777777" w:rsidTr="004A5066">
        <w:trPr>
          <w:trHeight w:val="230"/>
        </w:trPr>
        <w:tc>
          <w:tcPr>
            <w:tcW w:w="2093" w:type="dxa"/>
          </w:tcPr>
          <w:p w14:paraId="127EA445"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1F70A80F"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3FEC1BBE"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946.44</w:t>
            </w:r>
          </w:p>
        </w:tc>
        <w:tc>
          <w:tcPr>
            <w:tcW w:w="1858" w:type="dxa"/>
          </w:tcPr>
          <w:p w14:paraId="5FF12F20"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430CC23E" w14:textId="77777777" w:rsidTr="004A5066">
        <w:trPr>
          <w:trHeight w:val="230"/>
        </w:trPr>
        <w:tc>
          <w:tcPr>
            <w:tcW w:w="2093" w:type="dxa"/>
          </w:tcPr>
          <w:p w14:paraId="03BA830B"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254200CF"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7025C76F"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701.37</w:t>
            </w:r>
          </w:p>
        </w:tc>
        <w:tc>
          <w:tcPr>
            <w:tcW w:w="1858" w:type="dxa"/>
          </w:tcPr>
          <w:p w14:paraId="7460DD0A"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4E9CE2B9" w14:textId="77777777" w:rsidTr="004A5066">
        <w:trPr>
          <w:trHeight w:val="230"/>
        </w:trPr>
        <w:tc>
          <w:tcPr>
            <w:tcW w:w="2093" w:type="dxa"/>
          </w:tcPr>
          <w:p w14:paraId="5B8496DE"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089CB465"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7EC12FD3"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322.19</w:t>
            </w:r>
          </w:p>
        </w:tc>
        <w:tc>
          <w:tcPr>
            <w:tcW w:w="1858" w:type="dxa"/>
          </w:tcPr>
          <w:p w14:paraId="5454A724" w14:textId="77777777" w:rsidR="00BB04FF" w:rsidRPr="007104DA" w:rsidRDefault="00BB04FF" w:rsidP="007104DA">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6,682.06</w:t>
            </w:r>
          </w:p>
        </w:tc>
      </w:tr>
      <w:tr w:rsidR="00BB04FF" w:rsidRPr="00942352" w14:paraId="51106A6F" w14:textId="77777777" w:rsidTr="004A5066">
        <w:trPr>
          <w:trHeight w:val="230"/>
        </w:trPr>
        <w:tc>
          <w:tcPr>
            <w:tcW w:w="2093" w:type="dxa"/>
          </w:tcPr>
          <w:p w14:paraId="73B2BA75"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rPr>
              <w:t>27</w:t>
            </w:r>
            <w:r w:rsidRPr="00942352">
              <w:rPr>
                <w:rFonts w:ascii="Times New Roman" w:hAnsi="Times New Roman" w:cs="Times New Roman"/>
                <w:spacing w:val="-7"/>
              </w:rPr>
              <w:t xml:space="preserve"> </w:t>
            </w:r>
            <w:r w:rsidRPr="00942352">
              <w:rPr>
                <w:rFonts w:ascii="Times New Roman" w:hAnsi="Times New Roman" w:cs="Times New Roman"/>
              </w:rPr>
              <w:t>August</w:t>
            </w:r>
            <w:r w:rsidRPr="00942352">
              <w:rPr>
                <w:rFonts w:ascii="Times New Roman" w:hAnsi="Times New Roman" w:cs="Times New Roman"/>
                <w:spacing w:val="-4"/>
              </w:rPr>
              <w:t xml:space="preserve"> 2014</w:t>
            </w:r>
          </w:p>
        </w:tc>
        <w:tc>
          <w:tcPr>
            <w:tcW w:w="1642" w:type="dxa"/>
          </w:tcPr>
          <w:p w14:paraId="2AA7FFE2"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0A1051CE"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4,869.13</w:t>
            </w:r>
          </w:p>
        </w:tc>
        <w:tc>
          <w:tcPr>
            <w:tcW w:w="1858" w:type="dxa"/>
          </w:tcPr>
          <w:p w14:paraId="2F1EF100"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73A60372" w14:textId="77777777" w:rsidTr="004A5066">
        <w:trPr>
          <w:trHeight w:val="230"/>
        </w:trPr>
        <w:tc>
          <w:tcPr>
            <w:tcW w:w="2093" w:type="dxa"/>
          </w:tcPr>
          <w:p w14:paraId="7DD01191"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323EE16F"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315B3F9C"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977.99</w:t>
            </w:r>
          </w:p>
        </w:tc>
        <w:tc>
          <w:tcPr>
            <w:tcW w:w="1858" w:type="dxa"/>
          </w:tcPr>
          <w:p w14:paraId="14A406D0"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19EC8BA5" w14:textId="77777777" w:rsidTr="004A5066">
        <w:trPr>
          <w:trHeight w:val="230"/>
        </w:trPr>
        <w:tc>
          <w:tcPr>
            <w:tcW w:w="2093" w:type="dxa"/>
          </w:tcPr>
          <w:p w14:paraId="42DF1ADC"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041639E0"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63B6F295"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724.75</w:t>
            </w:r>
          </w:p>
        </w:tc>
        <w:tc>
          <w:tcPr>
            <w:tcW w:w="1858" w:type="dxa"/>
          </w:tcPr>
          <w:p w14:paraId="7C851E69"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651C6CBF" w14:textId="77777777" w:rsidTr="004A5066">
        <w:trPr>
          <w:trHeight w:val="230"/>
        </w:trPr>
        <w:tc>
          <w:tcPr>
            <w:tcW w:w="2093" w:type="dxa"/>
          </w:tcPr>
          <w:p w14:paraId="22B60931"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3C8B64E2"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4AAA01E6"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332.93</w:t>
            </w:r>
          </w:p>
        </w:tc>
        <w:tc>
          <w:tcPr>
            <w:tcW w:w="1858" w:type="dxa"/>
          </w:tcPr>
          <w:p w14:paraId="7717BF8D" w14:textId="77777777" w:rsidR="00BB04FF" w:rsidRPr="007104DA" w:rsidRDefault="00BB04FF" w:rsidP="00BB04FF">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6,904.8</w:t>
            </w:r>
          </w:p>
        </w:tc>
      </w:tr>
      <w:tr w:rsidR="00BB04FF" w:rsidRPr="00942352" w14:paraId="417EDAD9" w14:textId="77777777" w:rsidTr="004A5066">
        <w:trPr>
          <w:trHeight w:val="230"/>
        </w:trPr>
        <w:tc>
          <w:tcPr>
            <w:tcW w:w="2093" w:type="dxa"/>
          </w:tcPr>
          <w:p w14:paraId="0E84C437"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rPr>
              <w:t>29</w:t>
            </w:r>
            <w:r w:rsidRPr="00942352">
              <w:rPr>
                <w:rFonts w:ascii="Times New Roman" w:hAnsi="Times New Roman" w:cs="Times New Roman"/>
                <w:spacing w:val="-9"/>
              </w:rPr>
              <w:t xml:space="preserve"> </w:t>
            </w:r>
            <w:r w:rsidRPr="00942352">
              <w:rPr>
                <w:rFonts w:ascii="Times New Roman" w:hAnsi="Times New Roman" w:cs="Times New Roman"/>
              </w:rPr>
              <w:t>September</w:t>
            </w:r>
            <w:r w:rsidRPr="00942352">
              <w:rPr>
                <w:rFonts w:ascii="Times New Roman" w:hAnsi="Times New Roman" w:cs="Times New Roman"/>
                <w:spacing w:val="-5"/>
              </w:rPr>
              <w:t xml:space="preserve"> </w:t>
            </w:r>
            <w:r w:rsidRPr="00942352">
              <w:rPr>
                <w:rFonts w:ascii="Times New Roman" w:hAnsi="Times New Roman" w:cs="Times New Roman"/>
                <w:spacing w:val="-4"/>
              </w:rPr>
              <w:t>2014</w:t>
            </w:r>
          </w:p>
        </w:tc>
        <w:tc>
          <w:tcPr>
            <w:tcW w:w="1642" w:type="dxa"/>
          </w:tcPr>
          <w:p w14:paraId="166829E1"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351B638C"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4,869.13</w:t>
            </w:r>
          </w:p>
        </w:tc>
        <w:tc>
          <w:tcPr>
            <w:tcW w:w="1858" w:type="dxa"/>
          </w:tcPr>
          <w:p w14:paraId="76C6BE49"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39DEB865" w14:textId="77777777" w:rsidTr="004A5066">
        <w:trPr>
          <w:trHeight w:val="230"/>
        </w:trPr>
        <w:tc>
          <w:tcPr>
            <w:tcW w:w="2093" w:type="dxa"/>
          </w:tcPr>
          <w:p w14:paraId="3A9E9910"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7162D9AB"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784573AC"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977.99</w:t>
            </w:r>
          </w:p>
        </w:tc>
        <w:tc>
          <w:tcPr>
            <w:tcW w:w="1858" w:type="dxa"/>
          </w:tcPr>
          <w:p w14:paraId="1B7385BF"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6B7990F7" w14:textId="77777777" w:rsidTr="004A5066">
        <w:trPr>
          <w:trHeight w:val="230"/>
        </w:trPr>
        <w:tc>
          <w:tcPr>
            <w:tcW w:w="2093" w:type="dxa"/>
          </w:tcPr>
          <w:p w14:paraId="3054C386"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3EDDB46F"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5A5FEE79"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724.75</w:t>
            </w:r>
          </w:p>
        </w:tc>
        <w:tc>
          <w:tcPr>
            <w:tcW w:w="1858" w:type="dxa"/>
          </w:tcPr>
          <w:p w14:paraId="2D4C843B"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2CFE9B2F" w14:textId="77777777" w:rsidTr="004A5066">
        <w:trPr>
          <w:trHeight w:val="230"/>
        </w:trPr>
        <w:tc>
          <w:tcPr>
            <w:tcW w:w="2093" w:type="dxa"/>
          </w:tcPr>
          <w:p w14:paraId="31BB4326"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780BE689"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7B981EE3"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332.93</w:t>
            </w:r>
          </w:p>
        </w:tc>
        <w:tc>
          <w:tcPr>
            <w:tcW w:w="1858" w:type="dxa"/>
          </w:tcPr>
          <w:p w14:paraId="15E5D3E4" w14:textId="77777777" w:rsidR="00BB04FF" w:rsidRPr="007104DA" w:rsidRDefault="00BB04FF" w:rsidP="00BB04FF">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6,904.8</w:t>
            </w:r>
          </w:p>
        </w:tc>
      </w:tr>
      <w:tr w:rsidR="00BB04FF" w:rsidRPr="00942352" w14:paraId="6C8AF6E5" w14:textId="77777777" w:rsidTr="004A5066">
        <w:trPr>
          <w:trHeight w:val="230"/>
        </w:trPr>
        <w:tc>
          <w:tcPr>
            <w:tcW w:w="2093" w:type="dxa"/>
          </w:tcPr>
          <w:p w14:paraId="3E942D3F"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rPr>
              <w:t>27</w:t>
            </w:r>
            <w:r w:rsidRPr="00942352">
              <w:rPr>
                <w:rFonts w:ascii="Times New Roman" w:hAnsi="Times New Roman" w:cs="Times New Roman"/>
                <w:spacing w:val="-6"/>
              </w:rPr>
              <w:t xml:space="preserve"> </w:t>
            </w:r>
            <w:r w:rsidRPr="00942352">
              <w:rPr>
                <w:rFonts w:ascii="Times New Roman" w:hAnsi="Times New Roman" w:cs="Times New Roman"/>
              </w:rPr>
              <w:t>October</w:t>
            </w:r>
            <w:r w:rsidRPr="00942352">
              <w:rPr>
                <w:rFonts w:ascii="Times New Roman" w:hAnsi="Times New Roman" w:cs="Times New Roman"/>
                <w:spacing w:val="-5"/>
              </w:rPr>
              <w:t xml:space="preserve"> </w:t>
            </w:r>
            <w:r w:rsidRPr="00942352">
              <w:rPr>
                <w:rFonts w:ascii="Times New Roman" w:hAnsi="Times New Roman" w:cs="Times New Roman"/>
                <w:spacing w:val="-4"/>
              </w:rPr>
              <w:t>2014</w:t>
            </w:r>
          </w:p>
        </w:tc>
        <w:tc>
          <w:tcPr>
            <w:tcW w:w="1642" w:type="dxa"/>
          </w:tcPr>
          <w:p w14:paraId="55989530"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59A04155"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4,712.06</w:t>
            </w:r>
          </w:p>
        </w:tc>
        <w:tc>
          <w:tcPr>
            <w:tcW w:w="1858" w:type="dxa"/>
          </w:tcPr>
          <w:p w14:paraId="73F72D1F"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190086A4" w14:textId="77777777" w:rsidTr="004A5066">
        <w:trPr>
          <w:trHeight w:val="230"/>
        </w:trPr>
        <w:tc>
          <w:tcPr>
            <w:tcW w:w="2093" w:type="dxa"/>
          </w:tcPr>
          <w:p w14:paraId="2A2E9A1E"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58DB2C2A"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6B3A3B18"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946.44</w:t>
            </w:r>
          </w:p>
        </w:tc>
        <w:tc>
          <w:tcPr>
            <w:tcW w:w="1858" w:type="dxa"/>
          </w:tcPr>
          <w:p w14:paraId="33FA00E1"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2A11508B" w14:textId="77777777" w:rsidTr="004A5066">
        <w:trPr>
          <w:trHeight w:val="230"/>
        </w:trPr>
        <w:tc>
          <w:tcPr>
            <w:tcW w:w="2093" w:type="dxa"/>
          </w:tcPr>
          <w:p w14:paraId="4439FF52"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0004BA0B"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5061F5E3" w14:textId="77777777" w:rsidR="00BB04FF" w:rsidRPr="00942352" w:rsidRDefault="00BB04FF" w:rsidP="00BB04FF">
            <w:pPr>
              <w:pStyle w:val="TableParagraph"/>
              <w:ind w:right="97"/>
              <w:jc w:val="right"/>
              <w:rPr>
                <w:rFonts w:ascii="Times New Roman" w:hAnsi="Times New Roman" w:cs="Times New Roman"/>
              </w:rPr>
            </w:pPr>
            <w:r w:rsidRPr="00942352">
              <w:rPr>
                <w:rFonts w:ascii="Times New Roman" w:hAnsi="Times New Roman" w:cs="Times New Roman"/>
                <w:spacing w:val="-2"/>
              </w:rPr>
              <w:t>701.37</w:t>
            </w:r>
          </w:p>
        </w:tc>
        <w:tc>
          <w:tcPr>
            <w:tcW w:w="1858" w:type="dxa"/>
          </w:tcPr>
          <w:p w14:paraId="5922E0A7" w14:textId="77777777" w:rsidR="00BB04FF" w:rsidRPr="007104DA" w:rsidRDefault="00BB04FF" w:rsidP="007104DA">
            <w:pPr>
              <w:pStyle w:val="TableParagraph"/>
              <w:ind w:right="97"/>
              <w:jc w:val="right"/>
              <w:rPr>
                <w:rFonts w:ascii="Times New Roman" w:hAnsi="Times New Roman" w:cs="Times New Roman"/>
                <w:spacing w:val="-2"/>
              </w:rPr>
            </w:pPr>
          </w:p>
        </w:tc>
      </w:tr>
      <w:tr w:rsidR="00BB04FF" w:rsidRPr="00942352" w14:paraId="48D55D18" w14:textId="77777777" w:rsidTr="004A5066">
        <w:trPr>
          <w:trHeight w:val="230"/>
        </w:trPr>
        <w:tc>
          <w:tcPr>
            <w:tcW w:w="2093" w:type="dxa"/>
          </w:tcPr>
          <w:p w14:paraId="754BB138" w14:textId="77777777" w:rsidR="00BB04FF" w:rsidRPr="00942352" w:rsidRDefault="00BB04FF" w:rsidP="00BB04FF">
            <w:pPr>
              <w:pStyle w:val="TableParagraph"/>
              <w:spacing w:line="240" w:lineRule="auto"/>
              <w:rPr>
                <w:rFonts w:ascii="Times New Roman" w:hAnsi="Times New Roman" w:cs="Times New Roman"/>
              </w:rPr>
            </w:pPr>
          </w:p>
        </w:tc>
        <w:tc>
          <w:tcPr>
            <w:tcW w:w="1642" w:type="dxa"/>
          </w:tcPr>
          <w:p w14:paraId="73DAB18B" w14:textId="77777777" w:rsidR="00BB04FF" w:rsidRPr="00942352" w:rsidRDefault="00BB04FF" w:rsidP="00BB04FF">
            <w:pPr>
              <w:pStyle w:val="TableParagraph"/>
              <w:ind w:left="107"/>
              <w:rPr>
                <w:rFonts w:ascii="Times New Roman" w:hAnsi="Times New Roman" w:cs="Times New Roman"/>
                <w:spacing w:val="-2"/>
              </w:rPr>
            </w:pPr>
            <w:r w:rsidRPr="00942352">
              <w:rPr>
                <w:rFonts w:ascii="Times New Roman" w:hAnsi="Times New Roman" w:cs="Times New Roman"/>
                <w:spacing w:val="-2"/>
              </w:rPr>
              <w:t>769837208</w:t>
            </w:r>
          </w:p>
        </w:tc>
        <w:tc>
          <w:tcPr>
            <w:tcW w:w="1856" w:type="dxa"/>
          </w:tcPr>
          <w:p w14:paraId="27DA199C" w14:textId="77777777" w:rsidR="00BB04FF" w:rsidRPr="00942352" w:rsidRDefault="00BB04FF" w:rsidP="00BB04FF">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322.19</w:t>
            </w:r>
          </w:p>
        </w:tc>
        <w:tc>
          <w:tcPr>
            <w:tcW w:w="1858" w:type="dxa"/>
          </w:tcPr>
          <w:p w14:paraId="75152FBD" w14:textId="77777777" w:rsidR="00BB04FF" w:rsidRPr="007104DA" w:rsidRDefault="00BB04FF" w:rsidP="007104DA">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6,682.06</w:t>
            </w:r>
          </w:p>
        </w:tc>
      </w:tr>
      <w:tr w:rsidR="00BB04FF" w:rsidRPr="00942352" w14:paraId="51778928" w14:textId="77777777" w:rsidTr="004A5066">
        <w:trPr>
          <w:trHeight w:val="230"/>
        </w:trPr>
        <w:tc>
          <w:tcPr>
            <w:tcW w:w="2093" w:type="dxa"/>
          </w:tcPr>
          <w:p w14:paraId="3C61503D" w14:textId="77777777" w:rsidR="00BB04FF" w:rsidRPr="00942352" w:rsidRDefault="00BB04FF" w:rsidP="00BB04FF">
            <w:pPr>
              <w:pStyle w:val="TableParagraph"/>
              <w:ind w:left="107"/>
              <w:rPr>
                <w:rFonts w:ascii="Times New Roman" w:hAnsi="Times New Roman" w:cs="Times New Roman"/>
                <w:spacing w:val="-2"/>
              </w:rPr>
            </w:pPr>
            <w:r w:rsidRPr="00942352">
              <w:rPr>
                <w:rFonts w:ascii="Times New Roman" w:hAnsi="Times New Roman" w:cs="Times New Roman"/>
              </w:rPr>
              <w:t>27</w:t>
            </w:r>
            <w:r w:rsidRPr="00942352">
              <w:rPr>
                <w:rFonts w:ascii="Times New Roman" w:hAnsi="Times New Roman" w:cs="Times New Roman"/>
                <w:spacing w:val="-7"/>
              </w:rPr>
              <w:t xml:space="preserve"> </w:t>
            </w:r>
            <w:r w:rsidRPr="00942352">
              <w:rPr>
                <w:rFonts w:ascii="Times New Roman" w:hAnsi="Times New Roman" w:cs="Times New Roman"/>
              </w:rPr>
              <w:t>November</w:t>
            </w:r>
            <w:r w:rsidRPr="00942352">
              <w:rPr>
                <w:rFonts w:ascii="Times New Roman" w:hAnsi="Times New Roman" w:cs="Times New Roman"/>
                <w:spacing w:val="-6"/>
              </w:rPr>
              <w:t xml:space="preserve"> </w:t>
            </w:r>
            <w:r w:rsidRPr="00942352">
              <w:rPr>
                <w:rFonts w:ascii="Times New Roman" w:hAnsi="Times New Roman" w:cs="Times New Roman"/>
                <w:spacing w:val="-4"/>
              </w:rPr>
              <w:t>2014</w:t>
            </w:r>
          </w:p>
        </w:tc>
        <w:tc>
          <w:tcPr>
            <w:tcW w:w="1642" w:type="dxa"/>
          </w:tcPr>
          <w:p w14:paraId="7C500AEC" w14:textId="77777777" w:rsidR="00BB04FF" w:rsidRPr="00942352" w:rsidRDefault="00BB04FF" w:rsidP="00BB04FF">
            <w:pPr>
              <w:pStyle w:val="TableParagraph"/>
              <w:ind w:left="107"/>
              <w:rPr>
                <w:rFonts w:ascii="Times New Roman" w:hAnsi="Times New Roman" w:cs="Times New Roman"/>
                <w:spacing w:val="-2"/>
              </w:rPr>
            </w:pPr>
            <w:r w:rsidRPr="00942352">
              <w:rPr>
                <w:rFonts w:ascii="Times New Roman" w:hAnsi="Times New Roman" w:cs="Times New Roman"/>
                <w:spacing w:val="-2"/>
              </w:rPr>
              <w:t>769837408</w:t>
            </w:r>
          </w:p>
        </w:tc>
        <w:tc>
          <w:tcPr>
            <w:tcW w:w="1856" w:type="dxa"/>
          </w:tcPr>
          <w:p w14:paraId="25C00CFA" w14:textId="77777777" w:rsidR="00BB04FF" w:rsidRPr="00942352" w:rsidRDefault="00BB04FF" w:rsidP="00BB04FF">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4,869.13</w:t>
            </w:r>
          </w:p>
        </w:tc>
        <w:tc>
          <w:tcPr>
            <w:tcW w:w="1858" w:type="dxa"/>
          </w:tcPr>
          <w:p w14:paraId="53BE956E" w14:textId="77777777" w:rsidR="00BB04FF" w:rsidRPr="00942352" w:rsidRDefault="00BB04FF" w:rsidP="007104DA">
            <w:pPr>
              <w:pStyle w:val="TableParagraph"/>
              <w:ind w:right="97"/>
              <w:jc w:val="right"/>
              <w:rPr>
                <w:rFonts w:ascii="Times New Roman" w:hAnsi="Times New Roman" w:cs="Times New Roman"/>
                <w:spacing w:val="-2"/>
              </w:rPr>
            </w:pPr>
          </w:p>
        </w:tc>
      </w:tr>
      <w:tr w:rsidR="00BB04FF" w:rsidRPr="00942352" w14:paraId="76F458CC" w14:textId="77777777" w:rsidTr="004A5066">
        <w:trPr>
          <w:trHeight w:val="230"/>
        </w:trPr>
        <w:tc>
          <w:tcPr>
            <w:tcW w:w="2093" w:type="dxa"/>
          </w:tcPr>
          <w:p w14:paraId="71D5A875" w14:textId="77777777" w:rsidR="00BB04FF" w:rsidRPr="00942352" w:rsidRDefault="00BB04FF" w:rsidP="00BB04FF">
            <w:pPr>
              <w:pStyle w:val="TableParagraph"/>
              <w:ind w:left="107"/>
              <w:rPr>
                <w:rFonts w:ascii="Times New Roman" w:hAnsi="Times New Roman" w:cs="Times New Roman"/>
              </w:rPr>
            </w:pPr>
          </w:p>
        </w:tc>
        <w:tc>
          <w:tcPr>
            <w:tcW w:w="1642" w:type="dxa"/>
          </w:tcPr>
          <w:p w14:paraId="2CAC840B" w14:textId="77777777" w:rsidR="00BB04FF" w:rsidRPr="00942352" w:rsidRDefault="00BB04FF" w:rsidP="00BB04FF">
            <w:pPr>
              <w:pStyle w:val="TableParagraph"/>
              <w:ind w:left="107"/>
              <w:rPr>
                <w:rFonts w:ascii="Times New Roman" w:hAnsi="Times New Roman" w:cs="Times New Roman"/>
                <w:spacing w:val="-2"/>
              </w:rPr>
            </w:pPr>
            <w:r w:rsidRPr="00942352">
              <w:rPr>
                <w:rFonts w:ascii="Times New Roman" w:hAnsi="Times New Roman" w:cs="Times New Roman"/>
                <w:spacing w:val="-2"/>
              </w:rPr>
              <w:t>769838400</w:t>
            </w:r>
          </w:p>
        </w:tc>
        <w:tc>
          <w:tcPr>
            <w:tcW w:w="1856" w:type="dxa"/>
          </w:tcPr>
          <w:p w14:paraId="7152776E" w14:textId="77777777" w:rsidR="00BB04FF" w:rsidRPr="00942352" w:rsidRDefault="00BB04FF" w:rsidP="00BB04FF">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977.99</w:t>
            </w:r>
          </w:p>
        </w:tc>
        <w:tc>
          <w:tcPr>
            <w:tcW w:w="1858" w:type="dxa"/>
          </w:tcPr>
          <w:p w14:paraId="03BCA436" w14:textId="77777777" w:rsidR="00BB04FF" w:rsidRPr="00942352" w:rsidRDefault="00BB04FF" w:rsidP="007104DA">
            <w:pPr>
              <w:pStyle w:val="TableParagraph"/>
              <w:ind w:right="97"/>
              <w:jc w:val="right"/>
              <w:rPr>
                <w:rFonts w:ascii="Times New Roman" w:hAnsi="Times New Roman" w:cs="Times New Roman"/>
                <w:spacing w:val="-2"/>
              </w:rPr>
            </w:pPr>
          </w:p>
        </w:tc>
      </w:tr>
      <w:tr w:rsidR="00BB04FF" w:rsidRPr="00942352" w14:paraId="72C84A8F" w14:textId="77777777" w:rsidTr="004A5066">
        <w:trPr>
          <w:trHeight w:val="230"/>
        </w:trPr>
        <w:tc>
          <w:tcPr>
            <w:tcW w:w="2093" w:type="dxa"/>
          </w:tcPr>
          <w:p w14:paraId="16FF7842" w14:textId="77777777" w:rsidR="00BB04FF" w:rsidRPr="00942352" w:rsidRDefault="00BB04FF" w:rsidP="00BB04FF">
            <w:pPr>
              <w:pStyle w:val="TableParagraph"/>
              <w:ind w:left="107"/>
              <w:rPr>
                <w:rFonts w:ascii="Times New Roman" w:hAnsi="Times New Roman" w:cs="Times New Roman"/>
              </w:rPr>
            </w:pPr>
          </w:p>
        </w:tc>
        <w:tc>
          <w:tcPr>
            <w:tcW w:w="1642" w:type="dxa"/>
          </w:tcPr>
          <w:p w14:paraId="61B5300D" w14:textId="77777777" w:rsidR="00BB04FF" w:rsidRPr="00942352" w:rsidRDefault="00BB04FF" w:rsidP="00BB04FF">
            <w:pPr>
              <w:pStyle w:val="TableParagraph"/>
              <w:ind w:left="107"/>
              <w:rPr>
                <w:rFonts w:ascii="Times New Roman" w:hAnsi="Times New Roman" w:cs="Times New Roman"/>
                <w:spacing w:val="-2"/>
              </w:rPr>
            </w:pPr>
            <w:r w:rsidRPr="00942352">
              <w:rPr>
                <w:rFonts w:ascii="Times New Roman" w:hAnsi="Times New Roman" w:cs="Times New Roman"/>
                <w:spacing w:val="-2"/>
              </w:rPr>
              <w:t>769837803</w:t>
            </w:r>
          </w:p>
        </w:tc>
        <w:tc>
          <w:tcPr>
            <w:tcW w:w="1856" w:type="dxa"/>
          </w:tcPr>
          <w:p w14:paraId="7F0145C6" w14:textId="77777777" w:rsidR="00BB04FF" w:rsidRPr="00942352" w:rsidRDefault="00BB04FF" w:rsidP="00BB04FF">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724.75</w:t>
            </w:r>
          </w:p>
        </w:tc>
        <w:tc>
          <w:tcPr>
            <w:tcW w:w="1858" w:type="dxa"/>
          </w:tcPr>
          <w:p w14:paraId="6EDEC213" w14:textId="77777777" w:rsidR="00BB04FF" w:rsidRPr="00942352" w:rsidRDefault="00BB04FF" w:rsidP="007104DA">
            <w:pPr>
              <w:pStyle w:val="TableParagraph"/>
              <w:ind w:right="97"/>
              <w:jc w:val="right"/>
              <w:rPr>
                <w:rFonts w:ascii="Times New Roman" w:hAnsi="Times New Roman" w:cs="Times New Roman"/>
                <w:spacing w:val="-2"/>
              </w:rPr>
            </w:pPr>
          </w:p>
        </w:tc>
      </w:tr>
      <w:tr w:rsidR="00BB04FF" w:rsidRPr="00942352" w14:paraId="6196153D" w14:textId="77777777" w:rsidTr="004A5066">
        <w:trPr>
          <w:trHeight w:val="230"/>
        </w:trPr>
        <w:tc>
          <w:tcPr>
            <w:tcW w:w="2093" w:type="dxa"/>
          </w:tcPr>
          <w:p w14:paraId="08E1534D" w14:textId="77777777" w:rsidR="00BB04FF" w:rsidRPr="00942352" w:rsidRDefault="00BB04FF" w:rsidP="00BB04FF">
            <w:pPr>
              <w:pStyle w:val="TableParagraph"/>
              <w:ind w:left="107"/>
              <w:rPr>
                <w:rFonts w:ascii="Times New Roman" w:hAnsi="Times New Roman" w:cs="Times New Roman"/>
              </w:rPr>
            </w:pPr>
          </w:p>
        </w:tc>
        <w:tc>
          <w:tcPr>
            <w:tcW w:w="1642" w:type="dxa"/>
          </w:tcPr>
          <w:p w14:paraId="4745747C" w14:textId="77777777" w:rsidR="00BB04FF" w:rsidRPr="00942352" w:rsidRDefault="00BB04FF" w:rsidP="00BB04FF">
            <w:pPr>
              <w:pStyle w:val="TableParagraph"/>
              <w:ind w:left="107"/>
              <w:rPr>
                <w:rFonts w:ascii="Times New Roman" w:hAnsi="Times New Roman" w:cs="Times New Roman"/>
                <w:spacing w:val="-2"/>
              </w:rPr>
            </w:pPr>
            <w:r w:rsidRPr="00942352">
              <w:rPr>
                <w:rFonts w:ascii="Times New Roman" w:hAnsi="Times New Roman" w:cs="Times New Roman"/>
                <w:spacing w:val="-2"/>
              </w:rPr>
              <w:t>769837208</w:t>
            </w:r>
          </w:p>
        </w:tc>
        <w:tc>
          <w:tcPr>
            <w:tcW w:w="1856" w:type="dxa"/>
          </w:tcPr>
          <w:p w14:paraId="4E9285C6" w14:textId="77777777" w:rsidR="00BB04FF" w:rsidRPr="00942352" w:rsidRDefault="00BB04FF" w:rsidP="00BB04FF">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332.93</w:t>
            </w:r>
          </w:p>
        </w:tc>
        <w:tc>
          <w:tcPr>
            <w:tcW w:w="1858" w:type="dxa"/>
          </w:tcPr>
          <w:p w14:paraId="6622D6C4" w14:textId="77777777" w:rsidR="00BB04FF" w:rsidRPr="00942352" w:rsidRDefault="00BB04FF" w:rsidP="007104DA">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6,904.8</w:t>
            </w:r>
          </w:p>
        </w:tc>
      </w:tr>
      <w:tr w:rsidR="00BB04FF" w:rsidRPr="00942352" w14:paraId="0413117D" w14:textId="77777777" w:rsidTr="004A5066">
        <w:trPr>
          <w:trHeight w:val="230"/>
        </w:trPr>
        <w:tc>
          <w:tcPr>
            <w:tcW w:w="2093" w:type="dxa"/>
          </w:tcPr>
          <w:p w14:paraId="55B99E8C" w14:textId="77777777" w:rsidR="00BB04FF" w:rsidRPr="00942352" w:rsidRDefault="00BB04FF" w:rsidP="00BB04FF">
            <w:pPr>
              <w:pStyle w:val="TableParagraph"/>
              <w:ind w:left="107"/>
              <w:rPr>
                <w:rFonts w:ascii="Times New Roman" w:hAnsi="Times New Roman" w:cs="Times New Roman"/>
              </w:rPr>
            </w:pPr>
            <w:r w:rsidRPr="00942352">
              <w:rPr>
                <w:rFonts w:ascii="Times New Roman" w:hAnsi="Times New Roman" w:cs="Times New Roman"/>
                <w:b/>
                <w:spacing w:val="-2"/>
              </w:rPr>
              <w:t>Total</w:t>
            </w:r>
          </w:p>
        </w:tc>
        <w:tc>
          <w:tcPr>
            <w:tcW w:w="1642" w:type="dxa"/>
          </w:tcPr>
          <w:p w14:paraId="4D045573" w14:textId="77777777" w:rsidR="00BB04FF" w:rsidRPr="00942352" w:rsidRDefault="00BB04FF" w:rsidP="00BB04FF">
            <w:pPr>
              <w:pStyle w:val="TableParagraph"/>
              <w:ind w:left="107"/>
              <w:rPr>
                <w:rFonts w:ascii="Times New Roman" w:hAnsi="Times New Roman" w:cs="Times New Roman"/>
                <w:spacing w:val="-2"/>
              </w:rPr>
            </w:pPr>
          </w:p>
        </w:tc>
        <w:tc>
          <w:tcPr>
            <w:tcW w:w="1856" w:type="dxa"/>
          </w:tcPr>
          <w:p w14:paraId="3A4EE888" w14:textId="77777777" w:rsidR="00BB04FF" w:rsidRPr="00942352" w:rsidRDefault="00BB04FF" w:rsidP="007104DA">
            <w:pPr>
              <w:pStyle w:val="TableParagraph"/>
              <w:spacing w:line="240" w:lineRule="auto"/>
              <w:jc w:val="right"/>
              <w:rPr>
                <w:rFonts w:ascii="Times New Roman" w:hAnsi="Times New Roman" w:cs="Times New Roman"/>
                <w:spacing w:val="-2"/>
              </w:rPr>
            </w:pPr>
            <w:r w:rsidRPr="00942352">
              <w:rPr>
                <w:rFonts w:ascii="Times New Roman" w:hAnsi="Times New Roman" w:cs="Times New Roman"/>
                <w:b/>
                <w:spacing w:val="-2"/>
              </w:rPr>
              <w:t>$54,916.27</w:t>
            </w:r>
          </w:p>
        </w:tc>
        <w:tc>
          <w:tcPr>
            <w:tcW w:w="1858" w:type="dxa"/>
          </w:tcPr>
          <w:p w14:paraId="003B7563" w14:textId="77777777" w:rsidR="00BB04FF" w:rsidRPr="00942352" w:rsidRDefault="00BB04FF" w:rsidP="00BB04FF">
            <w:pPr>
              <w:pStyle w:val="TableParagraph"/>
              <w:spacing w:line="240" w:lineRule="auto"/>
              <w:jc w:val="right"/>
              <w:rPr>
                <w:rFonts w:ascii="Times New Roman" w:hAnsi="Times New Roman" w:cs="Times New Roman"/>
                <w:spacing w:val="-2"/>
              </w:rPr>
            </w:pPr>
            <w:r w:rsidRPr="00942352">
              <w:rPr>
                <w:rFonts w:ascii="Times New Roman" w:hAnsi="Times New Roman" w:cs="Times New Roman"/>
                <w:b/>
                <w:spacing w:val="-2"/>
              </w:rPr>
              <w:t>$54,916.27</w:t>
            </w:r>
          </w:p>
        </w:tc>
      </w:tr>
    </w:tbl>
    <w:p w14:paraId="6A929691" w14:textId="77777777" w:rsidR="00BB04FF" w:rsidRPr="00942352" w:rsidRDefault="00BB04FF" w:rsidP="00153933">
      <w:pPr>
        <w:pStyle w:val="Quote1"/>
        <w:spacing w:before="240"/>
      </w:pPr>
      <w:r w:rsidRPr="00942352">
        <w:t>(Emphasis in original.)</w:t>
      </w:r>
    </w:p>
    <w:p w14:paraId="14A71CB2" w14:textId="5F3EBCF3" w:rsidR="00BB04FF" w:rsidRPr="00942352" w:rsidRDefault="00155C95" w:rsidP="00155C95">
      <w:pPr>
        <w:pStyle w:val="ParaNumbering"/>
        <w:numPr>
          <w:ilvl w:val="0"/>
          <w:numId w:val="0"/>
        </w:numPr>
        <w:ind w:hanging="720"/>
      </w:pPr>
      <w:r w:rsidRPr="00942352">
        <w:rPr>
          <w:sz w:val="20"/>
        </w:rPr>
        <w:t>142</w:t>
      </w:r>
      <w:r w:rsidRPr="00942352">
        <w:rPr>
          <w:sz w:val="20"/>
        </w:rPr>
        <w:tab/>
      </w:r>
      <w:r w:rsidR="00BB04FF" w:rsidRPr="00942352">
        <w:t>The trustee asserts, and the respondent did not dispute, for the purposes of each of his claims, that the amounts comprise, in fact, contributions made by the bankrupt to the Seaforth Mortgages.</w:t>
      </w:r>
    </w:p>
    <w:p w14:paraId="6A048817" w14:textId="4AA60C9D" w:rsidR="00BB04FF" w:rsidRPr="00942352" w:rsidRDefault="00155C95" w:rsidP="00155C95">
      <w:pPr>
        <w:pStyle w:val="ParaNumbering"/>
        <w:numPr>
          <w:ilvl w:val="0"/>
          <w:numId w:val="0"/>
        </w:numPr>
        <w:ind w:hanging="720"/>
      </w:pPr>
      <w:r w:rsidRPr="00942352">
        <w:rPr>
          <w:sz w:val="20"/>
        </w:rPr>
        <w:t>143</w:t>
      </w:r>
      <w:r w:rsidRPr="00942352">
        <w:rPr>
          <w:sz w:val="20"/>
        </w:rPr>
        <w:tab/>
      </w:r>
      <w:r w:rsidR="00BB04FF" w:rsidRPr="00942352">
        <w:t>The evidence revealed that the claimed amounts were in fact drawn from the Joint Account to the Seaforth Mortgages.</w:t>
      </w:r>
    </w:p>
    <w:p w14:paraId="4AE5D9BC" w14:textId="3C7E0C2E" w:rsidR="00BB04FF" w:rsidRPr="00942352" w:rsidRDefault="00155C95" w:rsidP="00155C95">
      <w:pPr>
        <w:pStyle w:val="ParaNumbering"/>
        <w:numPr>
          <w:ilvl w:val="0"/>
          <w:numId w:val="0"/>
        </w:numPr>
        <w:ind w:hanging="720"/>
      </w:pPr>
      <w:r w:rsidRPr="00942352">
        <w:rPr>
          <w:sz w:val="20"/>
        </w:rPr>
        <w:t>144</w:t>
      </w:r>
      <w:r w:rsidRPr="00942352">
        <w:rPr>
          <w:sz w:val="20"/>
        </w:rPr>
        <w:tab/>
      </w:r>
      <w:r w:rsidR="00BB04FF" w:rsidRPr="00942352">
        <w:t>The respondent and the bankrupt admitted the following</w:t>
      </w:r>
      <w:r w:rsidR="006128C1">
        <w:t>, that until 2015</w:t>
      </w:r>
      <w:r w:rsidR="00BB04FF" w:rsidRPr="00942352">
        <w:t>: (a) the income from the bankrupt’s business was the primary source of the marital income; (b) the bankrupt admitted that whilst the Seaforth property was in the respondent’s name, the mortgage was paid out of the Joint Account and his income comprised the primary source of funds for paying that mortgage; (c) the respondent admitted that the Seaforth Mortgages were primarily se</w:t>
      </w:r>
      <w:r w:rsidR="006128C1">
        <w:t>rviced by the bankrupt’s income.</w:t>
      </w:r>
    </w:p>
    <w:p w14:paraId="6EDED30B" w14:textId="19A3D062" w:rsidR="00BB04FF" w:rsidRPr="00942352" w:rsidRDefault="00155C95" w:rsidP="00155C95">
      <w:pPr>
        <w:pStyle w:val="ParaNumbering"/>
        <w:numPr>
          <w:ilvl w:val="0"/>
          <w:numId w:val="0"/>
        </w:numPr>
        <w:ind w:hanging="720"/>
      </w:pPr>
      <w:r w:rsidRPr="00942352">
        <w:rPr>
          <w:sz w:val="20"/>
        </w:rPr>
        <w:lastRenderedPageBreak/>
        <w:t>145</w:t>
      </w:r>
      <w:r w:rsidRPr="00942352">
        <w:rPr>
          <w:sz w:val="20"/>
        </w:rPr>
        <w:tab/>
      </w:r>
      <w:r w:rsidR="00BB04FF" w:rsidRPr="00942352">
        <w:t>For these reasons, I find that the pleaded contributions made from the Joint Account to the Seaforth Mortgage in 2014 were contributions made by the bankrupt.</w:t>
      </w:r>
    </w:p>
    <w:p w14:paraId="540836E5" w14:textId="73C80339" w:rsidR="00F27CD4" w:rsidRPr="00942352" w:rsidRDefault="00F27CD4" w:rsidP="0069737B">
      <w:pPr>
        <w:pStyle w:val="Heading3"/>
        <w:rPr>
          <w:lang w:eastAsia="en-AU"/>
        </w:rPr>
      </w:pPr>
      <w:bookmarkStart w:id="94" w:name="_Ref129166471"/>
      <w:r w:rsidRPr="00942352">
        <w:rPr>
          <w:lang w:eastAsia="en-AU"/>
        </w:rPr>
        <w:t>The s 139DA claim</w:t>
      </w:r>
      <w:bookmarkEnd w:id="93"/>
      <w:bookmarkEnd w:id="94"/>
      <w:r w:rsidRPr="00942352">
        <w:rPr>
          <w:lang w:eastAsia="en-AU"/>
        </w:rPr>
        <w:t xml:space="preserve"> </w:t>
      </w:r>
    </w:p>
    <w:p w14:paraId="2CED84C3" w14:textId="77777777" w:rsidR="0069647A" w:rsidRPr="00942352" w:rsidRDefault="0069647A" w:rsidP="0069647A">
      <w:pPr>
        <w:pStyle w:val="Heading4"/>
        <w:rPr>
          <w:lang w:eastAsia="en-AU"/>
        </w:rPr>
      </w:pPr>
      <w:bookmarkStart w:id="95" w:name="_Ref126916176"/>
      <w:r w:rsidRPr="00942352">
        <w:rPr>
          <w:lang w:eastAsia="en-AU"/>
        </w:rPr>
        <w:t>The operation of s 139DA of the Bankruptcy Act</w:t>
      </w:r>
      <w:bookmarkEnd w:id="95"/>
      <w:r w:rsidRPr="00942352">
        <w:rPr>
          <w:lang w:eastAsia="en-AU"/>
        </w:rPr>
        <w:t xml:space="preserve"> </w:t>
      </w:r>
    </w:p>
    <w:p w14:paraId="2F0AFA9E" w14:textId="51C1FA15" w:rsidR="0069647A" w:rsidRPr="00942352" w:rsidRDefault="00155C95" w:rsidP="00155C95">
      <w:pPr>
        <w:pStyle w:val="ParaNumbering"/>
        <w:numPr>
          <w:ilvl w:val="0"/>
          <w:numId w:val="0"/>
        </w:numPr>
        <w:ind w:hanging="720"/>
        <w:rPr>
          <w:lang w:eastAsia="en-AU"/>
        </w:rPr>
      </w:pPr>
      <w:r w:rsidRPr="00942352">
        <w:rPr>
          <w:sz w:val="20"/>
          <w:lang w:eastAsia="en-AU"/>
        </w:rPr>
        <w:t>146</w:t>
      </w:r>
      <w:r w:rsidRPr="00942352">
        <w:rPr>
          <w:sz w:val="20"/>
          <w:lang w:eastAsia="en-AU"/>
        </w:rPr>
        <w:tab/>
      </w:r>
      <w:r w:rsidR="0069647A" w:rsidRPr="00942352">
        <w:rPr>
          <w:lang w:eastAsia="en-AU"/>
        </w:rPr>
        <w:t>Division 4A concerns orders which may be made with respect to property of an entity controlled by a bankrupt or from which the bankrupt derived a benefit. A trus</w:t>
      </w:r>
      <w:r w:rsidR="00F408A9" w:rsidRPr="00942352">
        <w:rPr>
          <w:lang w:eastAsia="en-AU"/>
        </w:rPr>
        <w:t>tee may, at any time within six</w:t>
      </w:r>
      <w:r w:rsidR="0069647A" w:rsidRPr="00942352">
        <w:rPr>
          <w:lang w:eastAsia="en-AU"/>
        </w:rPr>
        <w:t xml:space="preserve"> years after the date of the bankruptcy, apply to the Court for an order under this division “in relation to any entity”: s 139A. However, despite the application being “in relat</w:t>
      </w:r>
      <w:r w:rsidR="00B808B8">
        <w:rPr>
          <w:lang w:eastAsia="en-AU"/>
        </w:rPr>
        <w:t>ion to an entity”, the D</w:t>
      </w:r>
      <w:r w:rsidR="00452CBE" w:rsidRPr="00942352">
        <w:rPr>
          <w:lang w:eastAsia="en-AU"/>
        </w:rPr>
        <w:t>ivision</w:t>
      </w:r>
      <w:r w:rsidR="0069647A" w:rsidRPr="00942352">
        <w:rPr>
          <w:lang w:eastAsia="en-AU"/>
        </w:rPr>
        <w:t xml:space="preserve"> contemplates orders being made with respect to the property of an entity other than a natural person (s 139D) as well as a natural person (s 139DA).</w:t>
      </w:r>
    </w:p>
    <w:p w14:paraId="533D47B4" w14:textId="169A7D5E" w:rsidR="0069647A" w:rsidRPr="00942352" w:rsidRDefault="00155C95" w:rsidP="00155C95">
      <w:pPr>
        <w:pStyle w:val="ParaNumbering"/>
        <w:numPr>
          <w:ilvl w:val="0"/>
          <w:numId w:val="0"/>
        </w:numPr>
        <w:ind w:hanging="720"/>
        <w:rPr>
          <w:lang w:eastAsia="en-AU"/>
        </w:rPr>
      </w:pPr>
      <w:bookmarkStart w:id="96" w:name="_Ref128649512"/>
      <w:r w:rsidRPr="00942352">
        <w:rPr>
          <w:sz w:val="20"/>
          <w:lang w:eastAsia="en-AU"/>
        </w:rPr>
        <w:t>147</w:t>
      </w:r>
      <w:r w:rsidRPr="00942352">
        <w:rPr>
          <w:sz w:val="20"/>
          <w:lang w:eastAsia="en-AU"/>
        </w:rPr>
        <w:tab/>
      </w:r>
      <w:r w:rsidR="0069647A" w:rsidRPr="00942352">
        <w:rPr>
          <w:lang w:eastAsia="en-AU"/>
        </w:rPr>
        <w:t>Section 139DA provides:</w:t>
      </w:r>
      <w:bookmarkEnd w:id="96"/>
    </w:p>
    <w:p w14:paraId="70F4A917" w14:textId="77777777" w:rsidR="0069647A" w:rsidRPr="00942352" w:rsidRDefault="0069647A" w:rsidP="0069647A">
      <w:pPr>
        <w:pStyle w:val="Quote1"/>
        <w:rPr>
          <w:lang w:eastAsia="en-AU"/>
        </w:rPr>
      </w:pPr>
      <w:r w:rsidRPr="00942352">
        <w:rPr>
          <w:lang w:eastAsia="en-AU"/>
        </w:rPr>
        <w:t>If, on an application under section 139A for an order in relation to a respondent entity that is a natural person, the Court is satisfied that:</w:t>
      </w:r>
    </w:p>
    <w:p w14:paraId="7507DC5A" w14:textId="021C66A5" w:rsidR="0069647A" w:rsidRPr="00942352" w:rsidRDefault="00155C95" w:rsidP="00155C95">
      <w:pPr>
        <w:pStyle w:val="Quote1"/>
        <w:ind w:left="1097" w:hanging="360"/>
        <w:rPr>
          <w:lang w:eastAsia="en-AU"/>
        </w:rPr>
      </w:pPr>
      <w:r w:rsidRPr="00942352">
        <w:rPr>
          <w:lang w:eastAsia="en-AU"/>
        </w:rPr>
        <w:t>(a)</w:t>
      </w:r>
      <w:r w:rsidRPr="00942352">
        <w:rPr>
          <w:lang w:eastAsia="en-AU"/>
        </w:rPr>
        <w:tab/>
      </w:r>
      <w:proofErr w:type="gramStart"/>
      <w:r w:rsidR="0069647A" w:rsidRPr="00942352">
        <w:rPr>
          <w:lang w:eastAsia="en-AU"/>
        </w:rPr>
        <w:t>during</w:t>
      </w:r>
      <w:proofErr w:type="gramEnd"/>
      <w:r w:rsidR="0069647A" w:rsidRPr="00942352">
        <w:rPr>
          <w:lang w:eastAsia="en-AU"/>
        </w:rPr>
        <w:t xml:space="preserve"> the examinable period, the entity acquired an estate in particular property as a direct or indirect result of financial contributions made by the bankrupt during that period; and </w:t>
      </w:r>
    </w:p>
    <w:p w14:paraId="499D526B" w14:textId="50B9C737" w:rsidR="0069647A" w:rsidRPr="00942352" w:rsidRDefault="00155C95" w:rsidP="00155C95">
      <w:pPr>
        <w:pStyle w:val="Quote1"/>
        <w:ind w:left="1097" w:hanging="360"/>
        <w:rPr>
          <w:lang w:eastAsia="en-AU"/>
        </w:rPr>
      </w:pPr>
      <w:r w:rsidRPr="00942352">
        <w:rPr>
          <w:lang w:eastAsia="en-AU"/>
        </w:rPr>
        <w:t>(b)</w:t>
      </w:r>
      <w:r w:rsidRPr="00942352">
        <w:rPr>
          <w:lang w:eastAsia="en-AU"/>
        </w:rPr>
        <w:tab/>
      </w:r>
      <w:proofErr w:type="gramStart"/>
      <w:r w:rsidR="0069647A" w:rsidRPr="00942352">
        <w:rPr>
          <w:lang w:eastAsia="en-AU"/>
        </w:rPr>
        <w:t>the</w:t>
      </w:r>
      <w:proofErr w:type="gramEnd"/>
      <w:r w:rsidR="0069647A" w:rsidRPr="00942352">
        <w:rPr>
          <w:lang w:eastAsia="en-AU"/>
        </w:rPr>
        <w:t xml:space="preserve"> bankrupt used, or derived (whether directly or indirectly), a benefit </w:t>
      </w:r>
      <w:r w:rsidR="00B808B8">
        <w:rPr>
          <w:lang w:eastAsia="en-AU"/>
        </w:rPr>
        <w:t>f</w:t>
      </w:r>
      <w:r w:rsidR="0069647A" w:rsidRPr="00942352">
        <w:rPr>
          <w:lang w:eastAsia="en-AU"/>
        </w:rPr>
        <w:t>rom, the property at a time or times during the examinable period; and</w:t>
      </w:r>
    </w:p>
    <w:p w14:paraId="336FB81A" w14:textId="6301A23C" w:rsidR="0069647A" w:rsidRPr="00942352" w:rsidRDefault="00155C95" w:rsidP="00155C95">
      <w:pPr>
        <w:pStyle w:val="Quote1"/>
        <w:ind w:left="1097" w:hanging="360"/>
        <w:rPr>
          <w:lang w:eastAsia="en-AU"/>
        </w:rPr>
      </w:pPr>
      <w:r w:rsidRPr="00942352">
        <w:rPr>
          <w:lang w:eastAsia="en-AU"/>
        </w:rPr>
        <w:t>(c)</w:t>
      </w:r>
      <w:r w:rsidRPr="00942352">
        <w:rPr>
          <w:lang w:eastAsia="en-AU"/>
        </w:rPr>
        <w:tab/>
      </w:r>
      <w:proofErr w:type="gramStart"/>
      <w:r w:rsidR="0069647A" w:rsidRPr="00942352">
        <w:rPr>
          <w:lang w:eastAsia="en-AU"/>
        </w:rPr>
        <w:t>the</w:t>
      </w:r>
      <w:proofErr w:type="gramEnd"/>
      <w:r w:rsidR="0069647A" w:rsidRPr="00942352">
        <w:rPr>
          <w:lang w:eastAsia="en-AU"/>
        </w:rPr>
        <w:t xml:space="preserve"> entity still has the estate in the property;</w:t>
      </w:r>
    </w:p>
    <w:p w14:paraId="5FF68021" w14:textId="77777777" w:rsidR="0069647A" w:rsidRPr="00942352" w:rsidRDefault="0069647A" w:rsidP="0069647A">
      <w:pPr>
        <w:pStyle w:val="Quote1"/>
        <w:rPr>
          <w:lang w:eastAsia="en-AU"/>
        </w:rPr>
      </w:pPr>
      <w:proofErr w:type="gramStart"/>
      <w:r w:rsidRPr="00942352">
        <w:rPr>
          <w:lang w:eastAsia="en-AU"/>
        </w:rPr>
        <w:t>the</w:t>
      </w:r>
      <w:proofErr w:type="gramEnd"/>
      <w:r w:rsidRPr="00942352">
        <w:rPr>
          <w:lang w:eastAsia="en-AU"/>
        </w:rPr>
        <w:t xml:space="preserve"> Court may make an order of a kind referred to in subsections 139D(2) and (3), whether or not the bankrupt has ever had an estate in the property.</w:t>
      </w:r>
    </w:p>
    <w:p w14:paraId="0E9E6528" w14:textId="72E8AB54" w:rsidR="0069647A" w:rsidRPr="00942352" w:rsidRDefault="00155C95" w:rsidP="00155C95">
      <w:pPr>
        <w:pStyle w:val="ParaNumbering"/>
        <w:numPr>
          <w:ilvl w:val="0"/>
          <w:numId w:val="0"/>
        </w:numPr>
        <w:ind w:hanging="720"/>
        <w:rPr>
          <w:lang w:eastAsia="en-AU"/>
        </w:rPr>
      </w:pPr>
      <w:r w:rsidRPr="00942352">
        <w:rPr>
          <w:sz w:val="20"/>
          <w:lang w:eastAsia="en-AU"/>
        </w:rPr>
        <w:t>148</w:t>
      </w:r>
      <w:r w:rsidRPr="00942352">
        <w:rPr>
          <w:sz w:val="20"/>
          <w:lang w:eastAsia="en-AU"/>
        </w:rPr>
        <w:tab/>
      </w:r>
      <w:r w:rsidR="0069647A" w:rsidRPr="00942352">
        <w:rPr>
          <w:lang w:eastAsia="en-AU"/>
        </w:rPr>
        <w:t xml:space="preserve">Subsections </w:t>
      </w:r>
      <w:proofErr w:type="gramStart"/>
      <w:r w:rsidR="0069647A" w:rsidRPr="00942352">
        <w:rPr>
          <w:lang w:eastAsia="en-AU"/>
        </w:rPr>
        <w:t>139D(</w:t>
      </w:r>
      <w:proofErr w:type="gramEnd"/>
      <w:r w:rsidR="0069647A" w:rsidRPr="00942352">
        <w:rPr>
          <w:lang w:eastAsia="en-AU"/>
        </w:rPr>
        <w:t>2) and (3) provide as follows:</w:t>
      </w:r>
    </w:p>
    <w:p w14:paraId="6D9B69F9" w14:textId="77777777" w:rsidR="0069647A" w:rsidRPr="00942352" w:rsidRDefault="0069647A" w:rsidP="0069647A">
      <w:pPr>
        <w:pStyle w:val="Quote1"/>
        <w:rPr>
          <w:lang w:eastAsia="en-AU"/>
        </w:rPr>
      </w:pPr>
      <w:r w:rsidRPr="00942352">
        <w:rPr>
          <w:lang w:eastAsia="en-AU"/>
        </w:rPr>
        <w:t xml:space="preserve">(2)  </w:t>
      </w:r>
      <w:r w:rsidRPr="00942352">
        <w:rPr>
          <w:lang w:eastAsia="en-AU"/>
        </w:rPr>
        <w:tab/>
        <w:t>The Court may, by order, vest in the applicant:</w:t>
      </w:r>
    </w:p>
    <w:p w14:paraId="7E3D695E" w14:textId="77777777" w:rsidR="0069647A" w:rsidRPr="00942352" w:rsidRDefault="0069647A" w:rsidP="004A5066">
      <w:pPr>
        <w:pStyle w:val="Quote2"/>
        <w:ind w:left="2160" w:hanging="720"/>
        <w:rPr>
          <w:lang w:eastAsia="en-AU"/>
        </w:rPr>
      </w:pPr>
      <w:r w:rsidRPr="00942352">
        <w:rPr>
          <w:lang w:eastAsia="en-AU"/>
        </w:rPr>
        <w:t xml:space="preserve">(a)  </w:t>
      </w:r>
      <w:r w:rsidRPr="00942352">
        <w:rPr>
          <w:lang w:eastAsia="en-AU"/>
        </w:rPr>
        <w:tab/>
      </w:r>
      <w:proofErr w:type="gramStart"/>
      <w:r w:rsidRPr="00942352">
        <w:rPr>
          <w:lang w:eastAsia="en-AU"/>
        </w:rPr>
        <w:t>the</w:t>
      </w:r>
      <w:proofErr w:type="gramEnd"/>
      <w:r w:rsidRPr="00942352">
        <w:rPr>
          <w:lang w:eastAsia="en-AU"/>
        </w:rPr>
        <w:t xml:space="preserve"> entity’s estate in the whole, or in a specified part, of the property; or </w:t>
      </w:r>
    </w:p>
    <w:p w14:paraId="15003B5B" w14:textId="77777777" w:rsidR="0069647A" w:rsidRPr="00942352" w:rsidRDefault="0069647A" w:rsidP="004A5066">
      <w:pPr>
        <w:pStyle w:val="Quote2"/>
        <w:ind w:left="2160" w:hanging="720"/>
        <w:rPr>
          <w:lang w:eastAsia="en-AU"/>
        </w:rPr>
      </w:pPr>
      <w:r w:rsidRPr="00942352">
        <w:rPr>
          <w:lang w:eastAsia="en-AU"/>
        </w:rPr>
        <w:t xml:space="preserve">(b)  </w:t>
      </w:r>
      <w:r w:rsidRPr="00942352">
        <w:rPr>
          <w:lang w:eastAsia="en-AU"/>
        </w:rPr>
        <w:tab/>
      </w:r>
      <w:proofErr w:type="gramStart"/>
      <w:r w:rsidRPr="00942352">
        <w:rPr>
          <w:lang w:eastAsia="en-AU"/>
        </w:rPr>
        <w:t>a</w:t>
      </w:r>
      <w:proofErr w:type="gramEnd"/>
      <w:r w:rsidRPr="00942352">
        <w:rPr>
          <w:lang w:eastAsia="en-AU"/>
        </w:rPr>
        <w:t xml:space="preserve"> specified estate in the whole, or in a specified part, of the property, being an estate that could, by virtue of the entity’s estate in the property, be so vested by or on behalf of the entity.</w:t>
      </w:r>
    </w:p>
    <w:p w14:paraId="44F1BD71" w14:textId="77777777" w:rsidR="0069647A" w:rsidRPr="00942352" w:rsidRDefault="0069647A" w:rsidP="0069647A">
      <w:pPr>
        <w:pStyle w:val="Quote1"/>
        <w:rPr>
          <w:lang w:eastAsia="en-AU"/>
        </w:rPr>
      </w:pPr>
      <w:r w:rsidRPr="00942352">
        <w:rPr>
          <w:lang w:eastAsia="en-AU"/>
        </w:rPr>
        <w:t xml:space="preserve">(3)  </w:t>
      </w:r>
      <w:r w:rsidRPr="00942352">
        <w:rPr>
          <w:lang w:eastAsia="en-AU"/>
        </w:rPr>
        <w:tab/>
        <w:t>The Court may make an order directing:</w:t>
      </w:r>
    </w:p>
    <w:p w14:paraId="08FD786A" w14:textId="77777777" w:rsidR="0069647A" w:rsidRPr="00942352" w:rsidRDefault="0069647A" w:rsidP="004A5066">
      <w:pPr>
        <w:pStyle w:val="Quote2"/>
        <w:rPr>
          <w:lang w:eastAsia="en-AU"/>
        </w:rPr>
      </w:pPr>
      <w:r w:rsidRPr="00942352">
        <w:rPr>
          <w:lang w:eastAsia="en-AU"/>
        </w:rPr>
        <w:t xml:space="preserve">(a)  </w:t>
      </w:r>
      <w:r w:rsidRPr="00942352">
        <w:rPr>
          <w:lang w:eastAsia="en-AU"/>
        </w:rPr>
        <w:tab/>
      </w:r>
      <w:proofErr w:type="gramStart"/>
      <w:r w:rsidRPr="00942352">
        <w:rPr>
          <w:lang w:eastAsia="en-AU"/>
        </w:rPr>
        <w:t>the</w:t>
      </w:r>
      <w:proofErr w:type="gramEnd"/>
      <w:r w:rsidRPr="00942352">
        <w:rPr>
          <w:lang w:eastAsia="en-AU"/>
        </w:rPr>
        <w:t xml:space="preserve"> execution of an instrument;</w:t>
      </w:r>
    </w:p>
    <w:p w14:paraId="7F011E3F" w14:textId="77777777" w:rsidR="0069647A" w:rsidRPr="00942352" w:rsidRDefault="0069647A" w:rsidP="004A5066">
      <w:pPr>
        <w:pStyle w:val="Quote2"/>
        <w:rPr>
          <w:lang w:eastAsia="en-AU"/>
        </w:rPr>
      </w:pPr>
      <w:r w:rsidRPr="00942352">
        <w:rPr>
          <w:lang w:eastAsia="en-AU"/>
        </w:rPr>
        <w:t xml:space="preserve">(b)  </w:t>
      </w:r>
      <w:r w:rsidRPr="00942352">
        <w:rPr>
          <w:lang w:eastAsia="en-AU"/>
        </w:rPr>
        <w:tab/>
      </w:r>
      <w:proofErr w:type="gramStart"/>
      <w:r w:rsidRPr="00942352">
        <w:rPr>
          <w:lang w:eastAsia="en-AU"/>
        </w:rPr>
        <w:t>the</w:t>
      </w:r>
      <w:proofErr w:type="gramEnd"/>
      <w:r w:rsidRPr="00942352">
        <w:rPr>
          <w:lang w:eastAsia="en-AU"/>
        </w:rPr>
        <w:t xml:space="preserve"> production of documents of title; or </w:t>
      </w:r>
    </w:p>
    <w:p w14:paraId="68F24960" w14:textId="77777777" w:rsidR="0069647A" w:rsidRPr="00942352" w:rsidRDefault="0069647A" w:rsidP="004A5066">
      <w:pPr>
        <w:pStyle w:val="Quote2"/>
        <w:rPr>
          <w:lang w:eastAsia="en-AU"/>
        </w:rPr>
      </w:pPr>
      <w:r w:rsidRPr="00942352">
        <w:rPr>
          <w:lang w:eastAsia="en-AU"/>
        </w:rPr>
        <w:t xml:space="preserve">(c) </w:t>
      </w:r>
      <w:r w:rsidRPr="00942352">
        <w:rPr>
          <w:lang w:eastAsia="en-AU"/>
        </w:rPr>
        <w:tab/>
      </w:r>
      <w:proofErr w:type="gramStart"/>
      <w:r w:rsidRPr="00942352">
        <w:rPr>
          <w:lang w:eastAsia="en-AU"/>
        </w:rPr>
        <w:t>the</w:t>
      </w:r>
      <w:proofErr w:type="gramEnd"/>
      <w:r w:rsidRPr="00942352">
        <w:rPr>
          <w:lang w:eastAsia="en-AU"/>
        </w:rPr>
        <w:t xml:space="preserve"> doing of any other act or thing;</w:t>
      </w:r>
    </w:p>
    <w:p w14:paraId="31F5D6B2" w14:textId="77777777" w:rsidR="0069647A" w:rsidRPr="00942352" w:rsidRDefault="0069647A" w:rsidP="00444934">
      <w:pPr>
        <w:pStyle w:val="Quote1"/>
        <w:ind w:firstLine="703"/>
        <w:rPr>
          <w:lang w:eastAsia="en-AU"/>
        </w:rPr>
      </w:pPr>
      <w:proofErr w:type="gramStart"/>
      <w:r w:rsidRPr="00942352">
        <w:rPr>
          <w:lang w:eastAsia="en-AU"/>
        </w:rPr>
        <w:t>in</w:t>
      </w:r>
      <w:proofErr w:type="gramEnd"/>
      <w:r w:rsidRPr="00942352">
        <w:rPr>
          <w:lang w:eastAsia="en-AU"/>
        </w:rPr>
        <w:t xml:space="preserve"> order to give effect to an order under this section made on the application. </w:t>
      </w:r>
    </w:p>
    <w:p w14:paraId="6B6681F3" w14:textId="721035B1" w:rsidR="00D84CE9" w:rsidRPr="00942352" w:rsidRDefault="00155C95" w:rsidP="00155C95">
      <w:pPr>
        <w:pStyle w:val="ParaNumbering"/>
        <w:numPr>
          <w:ilvl w:val="0"/>
          <w:numId w:val="0"/>
        </w:numPr>
        <w:ind w:hanging="720"/>
        <w:rPr>
          <w:lang w:eastAsia="en-AU"/>
        </w:rPr>
      </w:pPr>
      <w:r w:rsidRPr="00942352">
        <w:rPr>
          <w:sz w:val="20"/>
          <w:lang w:eastAsia="en-AU"/>
        </w:rPr>
        <w:lastRenderedPageBreak/>
        <w:t>149</w:t>
      </w:r>
      <w:r w:rsidRPr="00942352">
        <w:rPr>
          <w:sz w:val="20"/>
          <w:lang w:eastAsia="en-AU"/>
        </w:rPr>
        <w:tab/>
      </w:r>
      <w:r w:rsidR="00D84CE9" w:rsidRPr="00942352">
        <w:rPr>
          <w:lang w:eastAsia="en-AU"/>
        </w:rPr>
        <w:t xml:space="preserve">The examinable period, referred to at s </w:t>
      </w:r>
      <w:proofErr w:type="gramStart"/>
      <w:r w:rsidR="00D84CE9" w:rsidRPr="00942352">
        <w:rPr>
          <w:lang w:eastAsia="en-AU"/>
        </w:rPr>
        <w:t>139DA(</w:t>
      </w:r>
      <w:proofErr w:type="gramEnd"/>
      <w:r w:rsidR="00D84CE9" w:rsidRPr="00942352">
        <w:rPr>
          <w:lang w:eastAsia="en-AU"/>
        </w:rPr>
        <w:t>a) (extracted above at [</w:t>
      </w:r>
      <w:r w:rsidR="002C3C1A" w:rsidRPr="00942352">
        <w:rPr>
          <w:lang w:eastAsia="en-AU"/>
        </w:rPr>
        <w:fldChar w:fldCharType="begin"/>
      </w:r>
      <w:r w:rsidR="002C3C1A" w:rsidRPr="00942352">
        <w:rPr>
          <w:lang w:eastAsia="en-AU"/>
        </w:rPr>
        <w:instrText xml:space="preserve"> REF _Ref128649512 \r \h </w:instrText>
      </w:r>
      <w:r w:rsidR="00942352" w:rsidRPr="00942352">
        <w:rPr>
          <w:lang w:eastAsia="en-AU"/>
        </w:rPr>
        <w:instrText xml:space="preserve"> \* MERGEFORMAT </w:instrText>
      </w:r>
      <w:r w:rsidR="002C3C1A" w:rsidRPr="00942352">
        <w:rPr>
          <w:lang w:eastAsia="en-AU"/>
        </w:rPr>
      </w:r>
      <w:r w:rsidR="002C3C1A" w:rsidRPr="00942352">
        <w:rPr>
          <w:lang w:eastAsia="en-AU"/>
        </w:rPr>
        <w:fldChar w:fldCharType="separate"/>
      </w:r>
      <w:r w:rsidR="002B380F">
        <w:rPr>
          <w:lang w:eastAsia="en-AU"/>
        </w:rPr>
        <w:t>147</w:t>
      </w:r>
      <w:r w:rsidR="002C3C1A" w:rsidRPr="00942352">
        <w:rPr>
          <w:lang w:eastAsia="en-AU"/>
        </w:rPr>
        <w:fldChar w:fldCharType="end"/>
      </w:r>
      <w:r w:rsidR="002C3C1A" w:rsidRPr="00942352">
        <w:rPr>
          <w:lang w:eastAsia="en-AU"/>
        </w:rPr>
        <w:t xml:space="preserve">]) is defined under s 139CA as: </w:t>
      </w:r>
    </w:p>
    <w:p w14:paraId="33CD0B0A" w14:textId="702369FF" w:rsidR="002C3C1A" w:rsidRPr="00942352" w:rsidRDefault="002C3C1A" w:rsidP="002C3C1A">
      <w:pPr>
        <w:pStyle w:val="Quote1"/>
        <w:rPr>
          <w:b/>
          <w:lang w:eastAsia="en-AU"/>
        </w:rPr>
      </w:pPr>
      <w:r w:rsidRPr="00942352">
        <w:rPr>
          <w:b/>
          <w:lang w:eastAsia="en-AU"/>
        </w:rPr>
        <w:t>139CA</w:t>
      </w:r>
      <w:r w:rsidRPr="00942352">
        <w:rPr>
          <w:b/>
          <w:lang w:eastAsia="en-AU"/>
        </w:rPr>
        <w:tab/>
        <w:t xml:space="preserve">Definition of examinable period </w:t>
      </w:r>
    </w:p>
    <w:p w14:paraId="5C2D5B9E" w14:textId="67F6832C" w:rsidR="002C3C1A" w:rsidRPr="00942352" w:rsidRDefault="002C3C1A" w:rsidP="002C3C1A">
      <w:pPr>
        <w:pStyle w:val="Quote1"/>
        <w:rPr>
          <w:lang w:eastAsia="en-AU"/>
        </w:rPr>
      </w:pPr>
      <w:r w:rsidRPr="00942352">
        <w:rPr>
          <w:lang w:eastAsia="en-AU"/>
        </w:rPr>
        <w:t>(1)  For the purposes of this Division, the examinable period is:</w:t>
      </w:r>
    </w:p>
    <w:p w14:paraId="2694B84A" w14:textId="74060C92" w:rsidR="002C3C1A" w:rsidRPr="00942352" w:rsidRDefault="002C3C1A" w:rsidP="002C3C1A">
      <w:pPr>
        <w:pStyle w:val="Quote2"/>
        <w:ind w:left="2160" w:hanging="720"/>
        <w:rPr>
          <w:lang w:eastAsia="en-AU"/>
        </w:rPr>
      </w:pPr>
      <w:r w:rsidRPr="00942352">
        <w:rPr>
          <w:lang w:eastAsia="en-AU"/>
        </w:rPr>
        <w:t xml:space="preserve">(a)  </w:t>
      </w:r>
      <w:r w:rsidRPr="00942352">
        <w:rPr>
          <w:lang w:eastAsia="en-AU"/>
        </w:rPr>
        <w:tab/>
      </w:r>
      <w:proofErr w:type="gramStart"/>
      <w:r w:rsidRPr="00942352">
        <w:rPr>
          <w:lang w:eastAsia="en-AU"/>
        </w:rPr>
        <w:t>in</w:t>
      </w:r>
      <w:proofErr w:type="gramEnd"/>
      <w:r w:rsidRPr="00942352">
        <w:rPr>
          <w:lang w:eastAsia="en-AU"/>
        </w:rPr>
        <w:t xml:space="preserve"> the case of an application for an order in relation to a related entity of the bankrupt—the period beginning:</w:t>
      </w:r>
    </w:p>
    <w:p w14:paraId="40C674AA" w14:textId="77777777" w:rsidR="002C3C1A" w:rsidRPr="00942352" w:rsidRDefault="002C3C1A" w:rsidP="004A5066">
      <w:pPr>
        <w:pStyle w:val="Quote3"/>
        <w:ind w:left="2880" w:hanging="720"/>
        <w:rPr>
          <w:lang w:eastAsia="en-AU"/>
        </w:rPr>
      </w:pPr>
      <w:r w:rsidRPr="00942352">
        <w:rPr>
          <w:lang w:eastAsia="en-AU"/>
        </w:rPr>
        <w:t>(</w:t>
      </w:r>
      <w:proofErr w:type="spellStart"/>
      <w:r w:rsidRPr="00942352">
        <w:rPr>
          <w:lang w:eastAsia="en-AU"/>
        </w:rPr>
        <w:t>i</w:t>
      </w:r>
      <w:proofErr w:type="spellEnd"/>
      <w:r w:rsidRPr="00942352">
        <w:rPr>
          <w:lang w:eastAsia="en-AU"/>
        </w:rPr>
        <w:t xml:space="preserve">)  </w:t>
      </w:r>
      <w:r w:rsidRPr="00942352">
        <w:rPr>
          <w:lang w:eastAsia="en-AU"/>
        </w:rPr>
        <w:tab/>
        <w:t xml:space="preserve">if, at a time or times during the period of 1 year beginning 5 years before the commencement of the bankruptcy, the bankrupt became insolvent—at that time, or at the first of those times, as the case may be; or </w:t>
      </w:r>
    </w:p>
    <w:p w14:paraId="1CE28BFF" w14:textId="77777777" w:rsidR="002436FB" w:rsidRPr="00942352" w:rsidRDefault="002C3C1A" w:rsidP="004A5066">
      <w:pPr>
        <w:pStyle w:val="Quote3"/>
        <w:ind w:left="2880" w:hanging="720"/>
        <w:rPr>
          <w:lang w:eastAsia="en-AU"/>
        </w:rPr>
      </w:pPr>
      <w:r w:rsidRPr="00942352">
        <w:rPr>
          <w:lang w:eastAsia="en-AU"/>
        </w:rPr>
        <w:t xml:space="preserve"> (ii)  </w:t>
      </w:r>
      <w:r w:rsidRPr="00942352">
        <w:rPr>
          <w:lang w:eastAsia="en-AU"/>
        </w:rPr>
        <w:tab/>
      </w:r>
      <w:proofErr w:type="gramStart"/>
      <w:r w:rsidRPr="00942352">
        <w:rPr>
          <w:lang w:eastAsia="en-AU"/>
        </w:rPr>
        <w:t>in</w:t>
      </w:r>
      <w:proofErr w:type="gramEnd"/>
      <w:r w:rsidRPr="00942352">
        <w:rPr>
          <w:lang w:eastAsia="en-AU"/>
        </w:rPr>
        <w:t xml:space="preserve"> any other case—4 years before the commencement of the bankruptcy;</w:t>
      </w:r>
    </w:p>
    <w:p w14:paraId="5B8F3332" w14:textId="77777777" w:rsidR="002436FB" w:rsidRPr="00942352" w:rsidRDefault="002C3C1A" w:rsidP="002436FB">
      <w:pPr>
        <w:pStyle w:val="Quote2"/>
        <w:ind w:firstLine="720"/>
        <w:rPr>
          <w:lang w:eastAsia="en-AU"/>
        </w:rPr>
      </w:pPr>
      <w:proofErr w:type="gramStart"/>
      <w:r w:rsidRPr="00942352">
        <w:rPr>
          <w:lang w:eastAsia="en-AU"/>
        </w:rPr>
        <w:t>and</w:t>
      </w:r>
      <w:proofErr w:type="gramEnd"/>
      <w:r w:rsidRPr="00942352">
        <w:rPr>
          <w:lang w:eastAsia="en-AU"/>
        </w:rPr>
        <w:t xml:space="preserve"> ending on the day on which the application is made; or </w:t>
      </w:r>
    </w:p>
    <w:p w14:paraId="2B7C09BA" w14:textId="6B7F45E3" w:rsidR="002C3C1A" w:rsidRPr="00942352" w:rsidRDefault="002C3C1A" w:rsidP="002436FB">
      <w:pPr>
        <w:pStyle w:val="Quote2"/>
        <w:rPr>
          <w:lang w:eastAsia="en-AU"/>
        </w:rPr>
      </w:pPr>
      <w:r w:rsidRPr="00942352">
        <w:rPr>
          <w:lang w:eastAsia="en-AU"/>
        </w:rPr>
        <w:t xml:space="preserve">(b)  </w:t>
      </w:r>
      <w:r w:rsidR="002436FB" w:rsidRPr="00942352">
        <w:rPr>
          <w:lang w:eastAsia="en-AU"/>
        </w:rPr>
        <w:tab/>
      </w:r>
      <w:proofErr w:type="gramStart"/>
      <w:r w:rsidRPr="00942352">
        <w:rPr>
          <w:lang w:eastAsia="en-AU"/>
        </w:rPr>
        <w:t>in</w:t>
      </w:r>
      <w:proofErr w:type="gramEnd"/>
      <w:r w:rsidRPr="00942352">
        <w:rPr>
          <w:lang w:eastAsia="en-AU"/>
        </w:rPr>
        <w:t xml:space="preserve"> any other case—the period beginning:</w:t>
      </w:r>
    </w:p>
    <w:p w14:paraId="26C955E9" w14:textId="3E152BDC" w:rsidR="002C3C1A" w:rsidRPr="00942352" w:rsidRDefault="002C3C1A" w:rsidP="004A5066">
      <w:pPr>
        <w:pStyle w:val="Quote3"/>
        <w:ind w:left="2880" w:hanging="720"/>
        <w:rPr>
          <w:lang w:eastAsia="en-AU"/>
        </w:rPr>
      </w:pPr>
      <w:r w:rsidRPr="00942352">
        <w:rPr>
          <w:lang w:eastAsia="en-AU"/>
        </w:rPr>
        <w:t>(</w:t>
      </w:r>
      <w:proofErr w:type="spellStart"/>
      <w:r w:rsidRPr="00942352">
        <w:rPr>
          <w:lang w:eastAsia="en-AU"/>
        </w:rPr>
        <w:t>i</w:t>
      </w:r>
      <w:proofErr w:type="spellEnd"/>
      <w:r w:rsidRPr="00942352">
        <w:rPr>
          <w:lang w:eastAsia="en-AU"/>
        </w:rPr>
        <w:t xml:space="preserve">)  </w:t>
      </w:r>
      <w:r w:rsidR="002436FB" w:rsidRPr="00942352">
        <w:rPr>
          <w:lang w:eastAsia="en-AU"/>
        </w:rPr>
        <w:tab/>
      </w:r>
      <w:r w:rsidRPr="00942352">
        <w:rPr>
          <w:lang w:eastAsia="en-AU"/>
        </w:rPr>
        <w:t xml:space="preserve">if, at a time or times during the period of 3 years beginning 5 years before the commencement of the bankruptcy, the bankrupt became insolvent—at that time, or at the first of those times, as the case may be; or </w:t>
      </w:r>
    </w:p>
    <w:p w14:paraId="14F1971A" w14:textId="5BAA56D5" w:rsidR="002C3C1A" w:rsidRPr="00942352" w:rsidRDefault="002C3C1A" w:rsidP="004A5066">
      <w:pPr>
        <w:pStyle w:val="Quote3"/>
        <w:ind w:left="2880" w:hanging="720"/>
        <w:rPr>
          <w:lang w:eastAsia="en-AU"/>
        </w:rPr>
      </w:pPr>
      <w:r w:rsidRPr="00942352">
        <w:rPr>
          <w:lang w:eastAsia="en-AU"/>
        </w:rPr>
        <w:t xml:space="preserve">(ii)  </w:t>
      </w:r>
      <w:r w:rsidR="002436FB" w:rsidRPr="00942352">
        <w:rPr>
          <w:lang w:eastAsia="en-AU"/>
        </w:rPr>
        <w:tab/>
      </w:r>
      <w:proofErr w:type="gramStart"/>
      <w:r w:rsidRPr="00942352">
        <w:rPr>
          <w:lang w:eastAsia="en-AU"/>
        </w:rPr>
        <w:t>in</w:t>
      </w:r>
      <w:proofErr w:type="gramEnd"/>
      <w:r w:rsidRPr="00942352">
        <w:rPr>
          <w:lang w:eastAsia="en-AU"/>
        </w:rPr>
        <w:t xml:space="preserve"> any other case—2 years before the commencement of the bankruptcy;</w:t>
      </w:r>
    </w:p>
    <w:p w14:paraId="5D709C39" w14:textId="717BDC97" w:rsidR="002C3C1A" w:rsidRPr="00942352" w:rsidRDefault="002C3C1A" w:rsidP="002436FB">
      <w:pPr>
        <w:pStyle w:val="Quote2"/>
        <w:ind w:firstLine="720"/>
        <w:rPr>
          <w:lang w:eastAsia="en-AU"/>
        </w:rPr>
      </w:pPr>
      <w:proofErr w:type="gramStart"/>
      <w:r w:rsidRPr="00942352">
        <w:rPr>
          <w:lang w:eastAsia="en-AU"/>
        </w:rPr>
        <w:t>and</w:t>
      </w:r>
      <w:proofErr w:type="gramEnd"/>
      <w:r w:rsidRPr="00942352">
        <w:rPr>
          <w:lang w:eastAsia="en-AU"/>
        </w:rPr>
        <w:t xml:space="preserve"> ending on the day on which the application is made.</w:t>
      </w:r>
    </w:p>
    <w:p w14:paraId="080FC617" w14:textId="4A0BB849" w:rsidR="002C3C1A" w:rsidRPr="00942352" w:rsidRDefault="002C3C1A" w:rsidP="002436FB">
      <w:pPr>
        <w:pStyle w:val="Quote1"/>
        <w:ind w:left="1440" w:hanging="703"/>
        <w:rPr>
          <w:lang w:eastAsia="en-AU"/>
        </w:rPr>
      </w:pPr>
      <w:r w:rsidRPr="00942352">
        <w:rPr>
          <w:lang w:eastAsia="en-AU"/>
        </w:rPr>
        <w:t xml:space="preserve">(2)  </w:t>
      </w:r>
      <w:r w:rsidR="002436FB" w:rsidRPr="00942352">
        <w:rPr>
          <w:lang w:eastAsia="en-AU"/>
        </w:rPr>
        <w:tab/>
      </w:r>
      <w:r w:rsidRPr="00942352">
        <w:rPr>
          <w:lang w:eastAsia="en-AU"/>
        </w:rPr>
        <w:t>For the purposes of subparagraphs (1</w:t>
      </w:r>
      <w:proofErr w:type="gramStart"/>
      <w:r w:rsidRPr="00942352">
        <w:rPr>
          <w:lang w:eastAsia="en-AU"/>
        </w:rPr>
        <w:t>)(</w:t>
      </w:r>
      <w:proofErr w:type="gramEnd"/>
      <w:r w:rsidRPr="00942352">
        <w:rPr>
          <w:lang w:eastAsia="en-AU"/>
        </w:rPr>
        <w:t>a)(</w:t>
      </w:r>
      <w:proofErr w:type="spellStart"/>
      <w:r w:rsidRPr="00942352">
        <w:rPr>
          <w:lang w:eastAsia="en-AU"/>
        </w:rPr>
        <w:t>i</w:t>
      </w:r>
      <w:proofErr w:type="spellEnd"/>
      <w:r w:rsidRPr="00942352">
        <w:rPr>
          <w:lang w:eastAsia="en-AU"/>
        </w:rPr>
        <w:t>) and (b)(</w:t>
      </w:r>
      <w:proofErr w:type="spellStart"/>
      <w:r w:rsidRPr="00942352">
        <w:rPr>
          <w:lang w:eastAsia="en-AU"/>
        </w:rPr>
        <w:t>i</w:t>
      </w:r>
      <w:proofErr w:type="spellEnd"/>
      <w:r w:rsidRPr="00942352">
        <w:rPr>
          <w:lang w:eastAsia="en-AU"/>
        </w:rPr>
        <w:t>), a rebuttable presumption arises that a bankrupt became insolvent at a time during the period referred to in the relevant subparagraph if it is established that the bankrupt:</w:t>
      </w:r>
    </w:p>
    <w:p w14:paraId="577DAA05" w14:textId="77777777" w:rsidR="002436FB" w:rsidRPr="00942352" w:rsidRDefault="002C3C1A" w:rsidP="004A5066">
      <w:pPr>
        <w:pStyle w:val="Quote2"/>
        <w:ind w:left="2160" w:hanging="720"/>
        <w:rPr>
          <w:lang w:eastAsia="en-AU"/>
        </w:rPr>
      </w:pPr>
      <w:r w:rsidRPr="00942352">
        <w:rPr>
          <w:lang w:eastAsia="en-AU"/>
        </w:rPr>
        <w:t xml:space="preserve">(a)  </w:t>
      </w:r>
      <w:r w:rsidR="002436FB" w:rsidRPr="00942352">
        <w:rPr>
          <w:lang w:eastAsia="en-AU"/>
        </w:rPr>
        <w:tab/>
      </w:r>
      <w:r w:rsidRPr="00942352">
        <w:rPr>
          <w:lang w:eastAsia="en-AU"/>
        </w:rPr>
        <w:t xml:space="preserve">had not, in respect of that time, kept such books, accounts and records as are usual and proper in relation to the business carried on by the transferor and as sufficiently disclose the transferor’s business transactions and financial position; or </w:t>
      </w:r>
    </w:p>
    <w:p w14:paraId="7919C606" w14:textId="6FF60B1E" w:rsidR="002C3C1A" w:rsidRPr="00942352" w:rsidRDefault="002C3C1A" w:rsidP="004A5066">
      <w:pPr>
        <w:pStyle w:val="Quote2"/>
        <w:ind w:left="2160" w:hanging="720"/>
        <w:rPr>
          <w:lang w:eastAsia="en-AU"/>
        </w:rPr>
      </w:pPr>
      <w:r w:rsidRPr="00942352">
        <w:rPr>
          <w:lang w:eastAsia="en-AU"/>
        </w:rPr>
        <w:t xml:space="preserve">(b)  </w:t>
      </w:r>
      <w:r w:rsidR="002436FB" w:rsidRPr="00942352">
        <w:rPr>
          <w:lang w:eastAsia="en-AU"/>
        </w:rPr>
        <w:tab/>
      </w:r>
      <w:proofErr w:type="gramStart"/>
      <w:r w:rsidRPr="00942352">
        <w:rPr>
          <w:lang w:eastAsia="en-AU"/>
        </w:rPr>
        <w:t>having</w:t>
      </w:r>
      <w:proofErr w:type="gramEnd"/>
      <w:r w:rsidRPr="00942352">
        <w:rPr>
          <w:lang w:eastAsia="en-AU"/>
        </w:rPr>
        <w:t xml:space="preserve"> kept such books, accounts and records, has not preserved them. </w:t>
      </w:r>
    </w:p>
    <w:p w14:paraId="3F3A36F1" w14:textId="592A2905" w:rsidR="0069647A" w:rsidRPr="00942352" w:rsidRDefault="00155C95" w:rsidP="00155C95">
      <w:pPr>
        <w:pStyle w:val="ParaNumbering"/>
        <w:numPr>
          <w:ilvl w:val="0"/>
          <w:numId w:val="0"/>
        </w:numPr>
        <w:ind w:hanging="720"/>
        <w:rPr>
          <w:lang w:eastAsia="en-AU"/>
        </w:rPr>
      </w:pPr>
      <w:bookmarkStart w:id="97" w:name="_Ref129331208"/>
      <w:r w:rsidRPr="00942352">
        <w:rPr>
          <w:sz w:val="20"/>
          <w:lang w:eastAsia="en-AU"/>
        </w:rPr>
        <w:t>150</w:t>
      </w:r>
      <w:r w:rsidRPr="00942352">
        <w:rPr>
          <w:sz w:val="20"/>
          <w:lang w:eastAsia="en-AU"/>
        </w:rPr>
        <w:tab/>
      </w:r>
      <w:r w:rsidR="0069647A" w:rsidRPr="00942352">
        <w:rPr>
          <w:lang w:eastAsia="en-AU"/>
        </w:rPr>
        <w:t>Accordingly, the section will apply where an application is made under s 139A for an order in relation to a respondent entity who is a natural person and the Court is satisfied that:</w:t>
      </w:r>
      <w:bookmarkEnd w:id="97"/>
    </w:p>
    <w:p w14:paraId="375A91F2" w14:textId="4658D683" w:rsidR="0069647A" w:rsidRPr="00942352" w:rsidRDefault="00155C95" w:rsidP="00155C95">
      <w:pPr>
        <w:pStyle w:val="ListNo1alt"/>
        <w:numPr>
          <w:ilvl w:val="0"/>
          <w:numId w:val="0"/>
        </w:numPr>
        <w:tabs>
          <w:tab w:val="left" w:pos="720"/>
        </w:tabs>
        <w:ind w:left="720" w:hanging="720"/>
        <w:rPr>
          <w:lang w:eastAsia="en-AU"/>
        </w:rPr>
      </w:pPr>
      <w:r w:rsidRPr="00942352">
        <w:rPr>
          <w:lang w:eastAsia="en-AU"/>
        </w:rPr>
        <w:t>(a)</w:t>
      </w:r>
      <w:r w:rsidRPr="00942352">
        <w:rPr>
          <w:lang w:eastAsia="en-AU"/>
        </w:rPr>
        <w:tab/>
      </w:r>
      <w:proofErr w:type="gramStart"/>
      <w:r w:rsidR="0069647A" w:rsidRPr="00942352">
        <w:rPr>
          <w:lang w:eastAsia="en-AU"/>
        </w:rPr>
        <w:t>during</w:t>
      </w:r>
      <w:proofErr w:type="gramEnd"/>
      <w:r w:rsidR="0069647A" w:rsidRPr="00942352">
        <w:rPr>
          <w:lang w:eastAsia="en-AU"/>
        </w:rPr>
        <w:t xml:space="preserve"> the examinable period (</w:t>
      </w:r>
      <w:r w:rsidR="00BE010B" w:rsidRPr="00942352">
        <w:rPr>
          <w:lang w:eastAsia="en-AU"/>
        </w:rPr>
        <w:t xml:space="preserve">defined </w:t>
      </w:r>
      <w:r w:rsidR="0069647A" w:rsidRPr="00942352">
        <w:rPr>
          <w:lang w:eastAsia="en-AU"/>
        </w:rPr>
        <w:t>under s 139CA), the entity acquired an estate in property;</w:t>
      </w:r>
    </w:p>
    <w:p w14:paraId="289DB4F3" w14:textId="43FFC5EC" w:rsidR="0069647A" w:rsidRPr="00942352" w:rsidRDefault="00155C95" w:rsidP="00155C95">
      <w:pPr>
        <w:pStyle w:val="ListNo1alt"/>
        <w:numPr>
          <w:ilvl w:val="0"/>
          <w:numId w:val="0"/>
        </w:numPr>
        <w:tabs>
          <w:tab w:val="left" w:pos="720"/>
        </w:tabs>
        <w:ind w:left="720" w:hanging="720"/>
        <w:rPr>
          <w:lang w:eastAsia="en-AU"/>
        </w:rPr>
      </w:pPr>
      <w:r w:rsidRPr="00942352">
        <w:rPr>
          <w:lang w:eastAsia="en-AU"/>
        </w:rPr>
        <w:t>(b)</w:t>
      </w:r>
      <w:r w:rsidRPr="00942352">
        <w:rPr>
          <w:lang w:eastAsia="en-AU"/>
        </w:rPr>
        <w:tab/>
      </w:r>
      <w:proofErr w:type="gramStart"/>
      <w:r w:rsidR="0069647A" w:rsidRPr="00942352">
        <w:rPr>
          <w:lang w:eastAsia="en-AU"/>
        </w:rPr>
        <w:t>the</w:t>
      </w:r>
      <w:proofErr w:type="gramEnd"/>
      <w:r w:rsidR="0069647A" w:rsidRPr="00942352">
        <w:rPr>
          <w:lang w:eastAsia="en-AU"/>
        </w:rPr>
        <w:t xml:space="preserve"> acquisition was a direct or indirect result of financial contributions made by the bankrupt during that period; </w:t>
      </w:r>
    </w:p>
    <w:p w14:paraId="4533A56B" w14:textId="3913B47C" w:rsidR="0069647A" w:rsidRPr="00942352" w:rsidRDefault="00155C95" w:rsidP="00155C95">
      <w:pPr>
        <w:pStyle w:val="ListNo1alt"/>
        <w:numPr>
          <w:ilvl w:val="0"/>
          <w:numId w:val="0"/>
        </w:numPr>
        <w:tabs>
          <w:tab w:val="left" w:pos="720"/>
        </w:tabs>
        <w:ind w:left="720" w:hanging="720"/>
        <w:rPr>
          <w:lang w:eastAsia="en-AU"/>
        </w:rPr>
      </w:pPr>
      <w:r w:rsidRPr="00942352">
        <w:rPr>
          <w:lang w:eastAsia="en-AU"/>
        </w:rPr>
        <w:t>(c)</w:t>
      </w:r>
      <w:r w:rsidRPr="00942352">
        <w:rPr>
          <w:lang w:eastAsia="en-AU"/>
        </w:rPr>
        <w:tab/>
      </w:r>
      <w:proofErr w:type="gramStart"/>
      <w:r w:rsidR="0069647A" w:rsidRPr="00942352">
        <w:rPr>
          <w:lang w:eastAsia="en-AU"/>
        </w:rPr>
        <w:t>the</w:t>
      </w:r>
      <w:proofErr w:type="gramEnd"/>
      <w:r w:rsidR="0069647A" w:rsidRPr="00942352">
        <w:rPr>
          <w:lang w:eastAsia="en-AU"/>
        </w:rPr>
        <w:t xml:space="preserve"> bankrupt used, or derived (whether directly or indirectly) a benefit from, the property at a time or times during the examinable period; and</w:t>
      </w:r>
    </w:p>
    <w:p w14:paraId="695DDD39" w14:textId="06D8752B" w:rsidR="0069647A" w:rsidRPr="00942352" w:rsidRDefault="00155C95" w:rsidP="00155C95">
      <w:pPr>
        <w:pStyle w:val="ListNo1alt"/>
        <w:numPr>
          <w:ilvl w:val="0"/>
          <w:numId w:val="0"/>
        </w:numPr>
        <w:tabs>
          <w:tab w:val="left" w:pos="720"/>
        </w:tabs>
        <w:ind w:left="720" w:hanging="720"/>
        <w:rPr>
          <w:lang w:eastAsia="en-AU"/>
        </w:rPr>
      </w:pPr>
      <w:r w:rsidRPr="00942352">
        <w:rPr>
          <w:lang w:eastAsia="en-AU"/>
        </w:rPr>
        <w:lastRenderedPageBreak/>
        <w:t>(d)</w:t>
      </w:r>
      <w:r w:rsidRPr="00942352">
        <w:rPr>
          <w:lang w:eastAsia="en-AU"/>
        </w:rPr>
        <w:tab/>
      </w:r>
      <w:proofErr w:type="gramStart"/>
      <w:r w:rsidR="0069647A" w:rsidRPr="00942352">
        <w:rPr>
          <w:lang w:eastAsia="en-AU"/>
        </w:rPr>
        <w:t>the</w:t>
      </w:r>
      <w:proofErr w:type="gramEnd"/>
      <w:r w:rsidR="0069647A" w:rsidRPr="00942352">
        <w:rPr>
          <w:lang w:eastAsia="en-AU"/>
        </w:rPr>
        <w:t xml:space="preserve"> </w:t>
      </w:r>
      <w:r w:rsidR="008D683F" w:rsidRPr="00942352">
        <w:rPr>
          <w:lang w:eastAsia="en-AU"/>
        </w:rPr>
        <w:t xml:space="preserve">respondent </w:t>
      </w:r>
      <w:r w:rsidR="0069647A" w:rsidRPr="00942352">
        <w:rPr>
          <w:lang w:eastAsia="en-AU"/>
        </w:rPr>
        <w:t xml:space="preserve">entity still has the estate in the property. </w:t>
      </w:r>
    </w:p>
    <w:p w14:paraId="50FCCE5D" w14:textId="6DE1B48D" w:rsidR="0069647A" w:rsidRPr="00942352" w:rsidRDefault="00155C95" w:rsidP="00155C95">
      <w:pPr>
        <w:pStyle w:val="ParaNumbering"/>
        <w:numPr>
          <w:ilvl w:val="0"/>
          <w:numId w:val="0"/>
        </w:numPr>
        <w:ind w:hanging="720"/>
        <w:rPr>
          <w:lang w:eastAsia="en-AU"/>
        </w:rPr>
      </w:pPr>
      <w:r w:rsidRPr="00942352">
        <w:rPr>
          <w:sz w:val="20"/>
          <w:lang w:eastAsia="en-AU"/>
        </w:rPr>
        <w:t>151</w:t>
      </w:r>
      <w:r w:rsidRPr="00942352">
        <w:rPr>
          <w:sz w:val="20"/>
          <w:lang w:eastAsia="en-AU"/>
        </w:rPr>
        <w:tab/>
      </w:r>
      <w:r w:rsidR="0069647A" w:rsidRPr="00942352">
        <w:rPr>
          <w:lang w:eastAsia="en-AU"/>
        </w:rPr>
        <w:t xml:space="preserve">The provision requires, as identified in the preceding sub-paragraph (c), that the bankrupt must have during the examinable period “derived” a benefit at a time or times. The benefit may be direct or indirect. Section 139D was amended in 2006 and s 139DA mirrored that amendment when it was introduced at the same time to expand the meaning of “benefit” to be “direct or indirect”: </w:t>
      </w:r>
      <w:proofErr w:type="spellStart"/>
      <w:r w:rsidR="0069647A" w:rsidRPr="00942352">
        <w:rPr>
          <w:lang w:eastAsia="en-AU"/>
        </w:rPr>
        <w:t>cf</w:t>
      </w:r>
      <w:proofErr w:type="spellEnd"/>
      <w:r w:rsidR="0069647A" w:rsidRPr="00942352">
        <w:rPr>
          <w:lang w:eastAsia="en-AU"/>
        </w:rPr>
        <w:t xml:space="preserve"> </w:t>
      </w:r>
      <w:r w:rsidR="0069647A" w:rsidRPr="00942352">
        <w:rPr>
          <w:b/>
          <w:i/>
          <w:lang w:eastAsia="en-AU"/>
        </w:rPr>
        <w:t xml:space="preserve">Birdseye v </w:t>
      </w:r>
      <w:proofErr w:type="spellStart"/>
      <w:r w:rsidR="0069647A" w:rsidRPr="00942352">
        <w:rPr>
          <w:b/>
          <w:i/>
          <w:lang w:eastAsia="en-AU"/>
        </w:rPr>
        <w:t>Sheahan</w:t>
      </w:r>
      <w:proofErr w:type="spellEnd"/>
      <w:r w:rsidR="0069647A" w:rsidRPr="00942352">
        <w:rPr>
          <w:i/>
          <w:lang w:eastAsia="en-AU"/>
        </w:rPr>
        <w:t xml:space="preserve"> </w:t>
      </w:r>
      <w:r w:rsidR="008A1457" w:rsidRPr="00942352">
        <w:rPr>
          <w:lang w:eastAsia="en-AU"/>
        </w:rPr>
        <w:t>[2002]</w:t>
      </w:r>
      <w:r w:rsidR="00007EDC" w:rsidRPr="00942352">
        <w:rPr>
          <w:lang w:eastAsia="en-AU"/>
        </w:rPr>
        <w:t xml:space="preserve"> FCA 1319;</w:t>
      </w:r>
      <w:r w:rsidR="009C74A5" w:rsidRPr="00942352">
        <w:rPr>
          <w:lang w:eastAsia="en-AU"/>
        </w:rPr>
        <w:t xml:space="preserve"> 196 ALR 598 at [60]–</w:t>
      </w:r>
      <w:r w:rsidR="0069647A" w:rsidRPr="00942352">
        <w:rPr>
          <w:lang w:eastAsia="en-AU"/>
        </w:rPr>
        <w:t xml:space="preserve">[63]. </w:t>
      </w:r>
    </w:p>
    <w:p w14:paraId="0D85ACE4" w14:textId="40AAA751" w:rsidR="0069647A" w:rsidRPr="00942352" w:rsidRDefault="00155C95" w:rsidP="00155C95">
      <w:pPr>
        <w:pStyle w:val="ParaNumbering"/>
        <w:numPr>
          <w:ilvl w:val="0"/>
          <w:numId w:val="0"/>
        </w:numPr>
        <w:ind w:hanging="720"/>
        <w:rPr>
          <w:lang w:eastAsia="en-AU"/>
        </w:rPr>
      </w:pPr>
      <w:r w:rsidRPr="00942352">
        <w:rPr>
          <w:sz w:val="20"/>
          <w:lang w:eastAsia="en-AU"/>
        </w:rPr>
        <w:t>152</w:t>
      </w:r>
      <w:r w:rsidRPr="00942352">
        <w:rPr>
          <w:sz w:val="20"/>
          <w:lang w:eastAsia="en-AU"/>
        </w:rPr>
        <w:tab/>
      </w:r>
      <w:r w:rsidR="0069647A" w:rsidRPr="00942352">
        <w:rPr>
          <w:lang w:eastAsia="en-AU"/>
        </w:rPr>
        <w:t xml:space="preserve">In considering whether or not to make an </w:t>
      </w:r>
      <w:r w:rsidR="00724ED6" w:rsidRPr="00942352">
        <w:rPr>
          <w:lang w:eastAsia="en-AU"/>
        </w:rPr>
        <w:t xml:space="preserve">order </w:t>
      </w:r>
      <w:r w:rsidR="0069647A" w:rsidRPr="00942352">
        <w:rPr>
          <w:lang w:eastAsia="en-AU"/>
        </w:rPr>
        <w:t xml:space="preserve">under s 139D or </w:t>
      </w:r>
      <w:r w:rsidR="00CF0EDB" w:rsidRPr="00942352">
        <w:rPr>
          <w:lang w:eastAsia="en-AU"/>
        </w:rPr>
        <w:t xml:space="preserve">s </w:t>
      </w:r>
      <w:r w:rsidR="0069647A" w:rsidRPr="00942352">
        <w:rPr>
          <w:lang w:eastAsia="en-AU"/>
        </w:rPr>
        <w:t>139DA, the Court is required, under s 139F to take account of:</w:t>
      </w:r>
    </w:p>
    <w:p w14:paraId="5C4657E8" w14:textId="605BE69B" w:rsidR="0069647A" w:rsidRPr="00942352" w:rsidRDefault="00155C95" w:rsidP="00155C95">
      <w:pPr>
        <w:pStyle w:val="ListNo1alt"/>
        <w:numPr>
          <w:ilvl w:val="0"/>
          <w:numId w:val="0"/>
        </w:numPr>
        <w:tabs>
          <w:tab w:val="left" w:pos="720"/>
        </w:tabs>
        <w:ind w:left="720" w:hanging="720"/>
        <w:rPr>
          <w:lang w:eastAsia="en-AU"/>
        </w:rPr>
      </w:pPr>
      <w:r w:rsidRPr="00942352">
        <w:rPr>
          <w:lang w:eastAsia="en-AU"/>
        </w:rPr>
        <w:t>(a)</w:t>
      </w:r>
      <w:r w:rsidRPr="00942352">
        <w:rPr>
          <w:lang w:eastAsia="en-AU"/>
        </w:rPr>
        <w:tab/>
      </w:r>
      <w:proofErr w:type="gramStart"/>
      <w:r w:rsidR="0069647A" w:rsidRPr="00942352">
        <w:rPr>
          <w:lang w:eastAsia="en-AU"/>
        </w:rPr>
        <w:t>the</w:t>
      </w:r>
      <w:proofErr w:type="gramEnd"/>
      <w:r w:rsidR="0069647A" w:rsidRPr="00942352">
        <w:rPr>
          <w:lang w:eastAsia="en-AU"/>
        </w:rPr>
        <w:t xml:space="preserve"> nature and extent of any estate that any other person or entity has in the property and any hardship that the order might cause that other person or entity; and</w:t>
      </w:r>
    </w:p>
    <w:p w14:paraId="11A73826" w14:textId="4A19F1BE" w:rsidR="0069647A" w:rsidRPr="00942352" w:rsidRDefault="00155C95" w:rsidP="00155C95">
      <w:pPr>
        <w:pStyle w:val="ListNo1alt"/>
        <w:numPr>
          <w:ilvl w:val="0"/>
          <w:numId w:val="0"/>
        </w:numPr>
        <w:tabs>
          <w:tab w:val="left" w:pos="720"/>
        </w:tabs>
        <w:ind w:left="720" w:hanging="720"/>
        <w:rPr>
          <w:lang w:eastAsia="en-AU"/>
        </w:rPr>
      </w:pPr>
      <w:r w:rsidRPr="00942352">
        <w:rPr>
          <w:lang w:eastAsia="en-AU"/>
        </w:rPr>
        <w:t>(b)</w:t>
      </w:r>
      <w:r w:rsidRPr="00942352">
        <w:rPr>
          <w:lang w:eastAsia="en-AU"/>
        </w:rPr>
        <w:tab/>
      </w:r>
      <w:proofErr w:type="gramStart"/>
      <w:r w:rsidR="0069647A" w:rsidRPr="00942352">
        <w:rPr>
          <w:lang w:eastAsia="en-AU"/>
        </w:rPr>
        <w:t>the</w:t>
      </w:r>
      <w:proofErr w:type="gramEnd"/>
      <w:r w:rsidR="0069647A" w:rsidRPr="00942352">
        <w:rPr>
          <w:lang w:eastAsia="en-AU"/>
        </w:rPr>
        <w:t xml:space="preserve"> respondent entity’s current net worth and any hardship the order might cause the respondent entity’s creditors. </w:t>
      </w:r>
    </w:p>
    <w:p w14:paraId="5721CD9D" w14:textId="0996F838" w:rsidR="0069647A" w:rsidRPr="00942352" w:rsidRDefault="00155C95" w:rsidP="00155C95">
      <w:pPr>
        <w:pStyle w:val="ParaNumbering"/>
        <w:numPr>
          <w:ilvl w:val="0"/>
          <w:numId w:val="0"/>
        </w:numPr>
        <w:ind w:hanging="720"/>
        <w:rPr>
          <w:lang w:eastAsia="en-AU"/>
        </w:rPr>
      </w:pPr>
      <w:bookmarkStart w:id="98" w:name="_Ref129071611"/>
      <w:r w:rsidRPr="00942352">
        <w:rPr>
          <w:sz w:val="20"/>
          <w:lang w:eastAsia="en-AU"/>
        </w:rPr>
        <w:t>153</w:t>
      </w:r>
      <w:r w:rsidRPr="00942352">
        <w:rPr>
          <w:sz w:val="20"/>
          <w:lang w:eastAsia="en-AU"/>
        </w:rPr>
        <w:tab/>
      </w:r>
      <w:r w:rsidR="0069647A" w:rsidRPr="00942352">
        <w:rPr>
          <w:lang w:eastAsia="en-AU"/>
        </w:rPr>
        <w:t>There has been very limited judicial consideration of</w:t>
      </w:r>
      <w:r w:rsidR="00B808B8">
        <w:rPr>
          <w:lang w:eastAsia="en-AU"/>
        </w:rPr>
        <w:t xml:space="preserve"> </w:t>
      </w:r>
      <w:proofErr w:type="spellStart"/>
      <w:r w:rsidR="00334EA1" w:rsidRPr="00942352">
        <w:rPr>
          <w:lang w:eastAsia="en-AU"/>
        </w:rPr>
        <w:t>Div</w:t>
      </w:r>
      <w:proofErr w:type="spellEnd"/>
      <w:r w:rsidR="00334EA1">
        <w:rPr>
          <w:lang w:eastAsia="en-AU"/>
        </w:rPr>
        <w:t xml:space="preserve"> 4A, </w:t>
      </w:r>
      <w:r w:rsidR="00B808B8">
        <w:rPr>
          <w:lang w:eastAsia="en-AU"/>
        </w:rPr>
        <w:t>Pt VI</w:t>
      </w:r>
      <w:r w:rsidR="0069647A" w:rsidRPr="00942352">
        <w:rPr>
          <w:lang w:eastAsia="en-AU"/>
        </w:rPr>
        <w:t xml:space="preserve">: </w:t>
      </w:r>
      <w:r w:rsidR="0069647A" w:rsidRPr="00942352">
        <w:rPr>
          <w:i/>
          <w:lang w:eastAsia="en-AU"/>
        </w:rPr>
        <w:t xml:space="preserve">Dwyer v Ross </w:t>
      </w:r>
      <w:r w:rsidR="009A446D" w:rsidRPr="00942352">
        <w:rPr>
          <w:lang w:eastAsia="en-AU"/>
        </w:rPr>
        <w:t>[</w:t>
      </w:r>
      <w:r w:rsidR="0069647A" w:rsidRPr="00942352">
        <w:rPr>
          <w:lang w:eastAsia="en-AU"/>
        </w:rPr>
        <w:t>1992</w:t>
      </w:r>
      <w:r w:rsidR="009A446D" w:rsidRPr="00942352">
        <w:rPr>
          <w:lang w:eastAsia="en-AU"/>
        </w:rPr>
        <w:t>] FCA 20;</w:t>
      </w:r>
      <w:r w:rsidR="0069647A" w:rsidRPr="00942352">
        <w:rPr>
          <w:lang w:eastAsia="en-AU"/>
        </w:rPr>
        <w:t xml:space="preserve"> 34 FCR 463 at 468</w:t>
      </w:r>
      <w:r w:rsidR="009A446D" w:rsidRPr="00942352">
        <w:rPr>
          <w:lang w:eastAsia="en-AU"/>
        </w:rPr>
        <w:t>–</w:t>
      </w:r>
      <w:r w:rsidR="0069647A" w:rsidRPr="00942352">
        <w:rPr>
          <w:lang w:eastAsia="en-AU"/>
        </w:rPr>
        <w:t xml:space="preserve">469 per Davies J (in the context of an application </w:t>
      </w:r>
      <w:r w:rsidR="006216C7" w:rsidRPr="00942352">
        <w:rPr>
          <w:lang w:eastAsia="en-AU"/>
        </w:rPr>
        <w:t xml:space="preserve">for </w:t>
      </w:r>
      <w:r w:rsidR="0069647A" w:rsidRPr="00942352">
        <w:rPr>
          <w:lang w:eastAsia="en-AU"/>
        </w:rPr>
        <w:t xml:space="preserve">interlocutory restraining orders); </w:t>
      </w:r>
      <w:proofErr w:type="spellStart"/>
      <w:r w:rsidR="0069647A" w:rsidRPr="00942352">
        <w:rPr>
          <w:i/>
          <w:lang w:eastAsia="en-AU"/>
        </w:rPr>
        <w:t>Sheahan</w:t>
      </w:r>
      <w:proofErr w:type="spellEnd"/>
      <w:r w:rsidR="0069647A" w:rsidRPr="00942352">
        <w:rPr>
          <w:i/>
          <w:lang w:eastAsia="en-AU"/>
        </w:rPr>
        <w:t xml:space="preserve"> v </w:t>
      </w:r>
      <w:proofErr w:type="spellStart"/>
      <w:r w:rsidR="0069647A" w:rsidRPr="00942352">
        <w:rPr>
          <w:i/>
          <w:lang w:eastAsia="en-AU"/>
        </w:rPr>
        <w:t>Birdeye</w:t>
      </w:r>
      <w:proofErr w:type="spellEnd"/>
      <w:r w:rsidR="0069647A" w:rsidRPr="00942352">
        <w:rPr>
          <w:i/>
          <w:lang w:eastAsia="en-AU"/>
        </w:rPr>
        <w:t xml:space="preserve"> </w:t>
      </w:r>
      <w:r w:rsidR="0069647A" w:rsidRPr="00942352">
        <w:rPr>
          <w:lang w:eastAsia="en-AU"/>
        </w:rPr>
        <w:t xml:space="preserve">[2002] FMCA 41 reversed on appeal in </w:t>
      </w:r>
      <w:r w:rsidR="0069647A" w:rsidRPr="00942352">
        <w:rPr>
          <w:i/>
          <w:lang w:eastAsia="en-AU"/>
        </w:rPr>
        <w:t xml:space="preserve">Birdseye v </w:t>
      </w:r>
      <w:proofErr w:type="spellStart"/>
      <w:r w:rsidR="0069647A" w:rsidRPr="00942352">
        <w:rPr>
          <w:i/>
          <w:lang w:eastAsia="en-AU"/>
        </w:rPr>
        <w:t>Sheahan</w:t>
      </w:r>
      <w:proofErr w:type="spellEnd"/>
      <w:r w:rsidR="0069647A" w:rsidRPr="00942352">
        <w:rPr>
          <w:lang w:eastAsia="en-AU"/>
        </w:rPr>
        <w:t xml:space="preserve"> per </w:t>
      </w:r>
      <w:proofErr w:type="spellStart"/>
      <w:r w:rsidR="0069647A" w:rsidRPr="00942352">
        <w:rPr>
          <w:lang w:eastAsia="en-AU"/>
        </w:rPr>
        <w:t>Carr</w:t>
      </w:r>
      <w:proofErr w:type="spellEnd"/>
      <w:r w:rsidR="0069647A" w:rsidRPr="00942352">
        <w:rPr>
          <w:lang w:eastAsia="en-AU"/>
        </w:rPr>
        <w:t xml:space="preserve"> J (regarding s 139D</w:t>
      </w:r>
      <w:r w:rsidR="009A446D" w:rsidRPr="00942352">
        <w:rPr>
          <w:lang w:eastAsia="en-AU"/>
        </w:rPr>
        <w:t>)</w:t>
      </w:r>
      <w:r w:rsidR="0069647A" w:rsidRPr="00942352">
        <w:rPr>
          <w:lang w:eastAsia="en-AU"/>
        </w:rPr>
        <w:t xml:space="preserve">; </w:t>
      </w:r>
      <w:r w:rsidR="0069647A" w:rsidRPr="00942352">
        <w:rPr>
          <w:b/>
          <w:i/>
          <w:lang w:eastAsia="en-AU"/>
        </w:rPr>
        <w:t>Griffin</w:t>
      </w:r>
      <w:r w:rsidR="0069647A" w:rsidRPr="00942352">
        <w:rPr>
          <w:i/>
          <w:lang w:eastAsia="en-AU"/>
        </w:rPr>
        <w:t xml:space="preserve"> &amp; Khatri v Milne &amp; Anor </w:t>
      </w:r>
      <w:r w:rsidR="0069647A" w:rsidRPr="00942352">
        <w:rPr>
          <w:lang w:eastAsia="en-AU"/>
        </w:rPr>
        <w:t xml:space="preserve">[2009] FMCA 680 (regarding s 139DA) and </w:t>
      </w:r>
      <w:r w:rsidR="0069647A" w:rsidRPr="00942352">
        <w:rPr>
          <w:i/>
          <w:lang w:eastAsia="en-AU"/>
        </w:rPr>
        <w:t xml:space="preserve">Jess (Trustee), in the matter of </w:t>
      </w:r>
      <w:proofErr w:type="spellStart"/>
      <w:r w:rsidR="0069647A" w:rsidRPr="00942352">
        <w:rPr>
          <w:b/>
          <w:i/>
          <w:lang w:eastAsia="en-AU"/>
        </w:rPr>
        <w:t>Lostitch</w:t>
      </w:r>
      <w:proofErr w:type="spellEnd"/>
      <w:r w:rsidR="0069647A" w:rsidRPr="00942352">
        <w:rPr>
          <w:i/>
          <w:lang w:eastAsia="en-AU"/>
        </w:rPr>
        <w:t xml:space="preserve"> (Bankrupt) v </w:t>
      </w:r>
      <w:proofErr w:type="spellStart"/>
      <w:r w:rsidR="0069647A" w:rsidRPr="00942352">
        <w:rPr>
          <w:i/>
          <w:lang w:eastAsia="en-AU"/>
        </w:rPr>
        <w:t>Lostitch</w:t>
      </w:r>
      <w:proofErr w:type="spellEnd"/>
      <w:r w:rsidR="0069647A" w:rsidRPr="00942352">
        <w:rPr>
          <w:i/>
          <w:lang w:eastAsia="en-AU"/>
        </w:rPr>
        <w:t xml:space="preserve"> </w:t>
      </w:r>
      <w:r w:rsidR="0069647A" w:rsidRPr="00942352">
        <w:rPr>
          <w:lang w:eastAsia="en-AU"/>
        </w:rPr>
        <w:t>[2022] FedCFamC2G 342 (regarding s 139DA and where the “benefit” derived by the bankrupts was their ability to reside at the house</w:t>
      </w:r>
      <w:r w:rsidR="005C752D" w:rsidRPr="00942352">
        <w:rPr>
          <w:lang w:eastAsia="en-AU"/>
        </w:rPr>
        <w:t>:</w:t>
      </w:r>
      <w:r w:rsidR="0069647A" w:rsidRPr="00942352">
        <w:rPr>
          <w:lang w:eastAsia="en-AU"/>
        </w:rPr>
        <w:t xml:space="preserve"> </w:t>
      </w:r>
      <w:r w:rsidR="005C752D" w:rsidRPr="00942352">
        <w:rPr>
          <w:lang w:eastAsia="en-AU"/>
        </w:rPr>
        <w:t>at</w:t>
      </w:r>
      <w:r w:rsidR="0069647A" w:rsidRPr="00942352">
        <w:rPr>
          <w:lang w:eastAsia="en-AU"/>
        </w:rPr>
        <w:t xml:space="preserve"> [101] and [104]).</w:t>
      </w:r>
      <w:bookmarkEnd w:id="98"/>
      <w:r w:rsidR="0069647A" w:rsidRPr="00942352">
        <w:rPr>
          <w:lang w:eastAsia="en-AU"/>
        </w:rPr>
        <w:t xml:space="preserve"> </w:t>
      </w:r>
    </w:p>
    <w:p w14:paraId="46D9E8A3" w14:textId="1CE8186A" w:rsidR="0069647A" w:rsidRPr="00942352" w:rsidRDefault="00155C95" w:rsidP="00155C95">
      <w:pPr>
        <w:pStyle w:val="ParaNumbering"/>
        <w:numPr>
          <w:ilvl w:val="0"/>
          <w:numId w:val="0"/>
        </w:numPr>
        <w:ind w:hanging="720"/>
        <w:rPr>
          <w:lang w:eastAsia="en-AU"/>
        </w:rPr>
      </w:pPr>
      <w:bookmarkStart w:id="99" w:name="_Ref128658814"/>
      <w:r w:rsidRPr="00942352">
        <w:rPr>
          <w:sz w:val="20"/>
          <w:lang w:eastAsia="en-AU"/>
        </w:rPr>
        <w:t>154</w:t>
      </w:r>
      <w:r w:rsidRPr="00942352">
        <w:rPr>
          <w:sz w:val="20"/>
          <w:lang w:eastAsia="en-AU"/>
        </w:rPr>
        <w:tab/>
      </w:r>
      <w:r w:rsidR="0069647A" w:rsidRPr="00942352">
        <w:rPr>
          <w:lang w:eastAsia="en-AU"/>
        </w:rPr>
        <w:t xml:space="preserve">The purpose of </w:t>
      </w:r>
      <w:proofErr w:type="spellStart"/>
      <w:r w:rsidR="0069647A" w:rsidRPr="00942352">
        <w:rPr>
          <w:lang w:eastAsia="en-AU"/>
        </w:rPr>
        <w:t>Div</w:t>
      </w:r>
      <w:proofErr w:type="spellEnd"/>
      <w:r w:rsidR="0069647A" w:rsidRPr="00942352">
        <w:rPr>
          <w:lang w:eastAsia="en-AU"/>
        </w:rPr>
        <w:t xml:space="preserve"> 4A is to prevent bankrupts from being able to structure their affairs in such a way as to have assets owned by third parties such that they are shielded from creditors but still practically enjoyed by the bankrupt. In that respect, the </w:t>
      </w:r>
      <w:r w:rsidR="0069647A" w:rsidRPr="00942352">
        <w:rPr>
          <w:b/>
          <w:lang w:eastAsia="en-AU"/>
        </w:rPr>
        <w:t xml:space="preserve">Explanatory Memorandum </w:t>
      </w:r>
      <w:r w:rsidR="0069647A" w:rsidRPr="00942352">
        <w:rPr>
          <w:lang w:eastAsia="en-AU"/>
        </w:rPr>
        <w:t xml:space="preserve">concerning the Bankruptcy Amendment </w:t>
      </w:r>
      <w:r w:rsidR="000A7B70" w:rsidRPr="00942352">
        <w:rPr>
          <w:lang w:eastAsia="en-AU"/>
        </w:rPr>
        <w:t xml:space="preserve">Bill </w:t>
      </w:r>
      <w:r w:rsidR="0069647A" w:rsidRPr="00942352">
        <w:rPr>
          <w:b/>
          <w:lang w:eastAsia="en-AU"/>
        </w:rPr>
        <w:t>1987</w:t>
      </w:r>
      <w:r w:rsidR="000A7B70" w:rsidRPr="00942352">
        <w:rPr>
          <w:lang w:eastAsia="en-AU"/>
        </w:rPr>
        <w:t xml:space="preserve"> (</w:t>
      </w:r>
      <w:proofErr w:type="spellStart"/>
      <w:r w:rsidR="000A7B70" w:rsidRPr="00942352">
        <w:rPr>
          <w:lang w:eastAsia="en-AU"/>
        </w:rPr>
        <w:t>Cth</w:t>
      </w:r>
      <w:proofErr w:type="spellEnd"/>
      <w:r w:rsidR="000A7B70" w:rsidRPr="00942352">
        <w:rPr>
          <w:lang w:eastAsia="en-AU"/>
        </w:rPr>
        <w:t>)</w:t>
      </w:r>
      <w:r w:rsidR="0069647A" w:rsidRPr="00942352">
        <w:rPr>
          <w:lang w:eastAsia="en-AU"/>
        </w:rPr>
        <w:t xml:space="preserve"> explained the problem to be solved when </w:t>
      </w:r>
      <w:proofErr w:type="spellStart"/>
      <w:r w:rsidR="0069647A" w:rsidRPr="00942352">
        <w:rPr>
          <w:lang w:eastAsia="en-AU"/>
        </w:rPr>
        <w:t>Div</w:t>
      </w:r>
      <w:proofErr w:type="spellEnd"/>
      <w:r w:rsidR="0069647A" w:rsidRPr="00942352">
        <w:rPr>
          <w:lang w:eastAsia="en-AU"/>
        </w:rPr>
        <w:t xml:space="preserve"> 4A was first introduced as follows, at [305]:</w:t>
      </w:r>
      <w:bookmarkEnd w:id="99"/>
    </w:p>
    <w:p w14:paraId="30BE7E92" w14:textId="31CBDA59" w:rsidR="0069647A" w:rsidRPr="00942352" w:rsidRDefault="0069647A" w:rsidP="0069647A">
      <w:pPr>
        <w:pStyle w:val="Quote1"/>
        <w:rPr>
          <w:lang w:eastAsia="en-AU"/>
        </w:rPr>
      </w:pPr>
      <w:r w:rsidRPr="00942352">
        <w:rPr>
          <w:lang w:eastAsia="en-AU"/>
        </w:rPr>
        <w:t>The proposed Division 4A will permit to be treated as part of the bankrupt estate property, to the acquisition of which by a third party the bankrupt has materially contributed, directly or indirectly, but which is in the hands of a company, partnership, trust, or another person with whom the bankrupt is associated. The proposed Division will address the problem posed by persons who become bankrupt (and who will eventually obtain a</w:t>
      </w:r>
      <w:r w:rsidR="00B70CB9" w:rsidRPr="00942352">
        <w:rPr>
          <w:lang w:eastAsia="en-AU"/>
        </w:rPr>
        <w:t xml:space="preserve"> release from their debts) whilst</w:t>
      </w:r>
      <w:r w:rsidRPr="00942352">
        <w:rPr>
          <w:lang w:eastAsia="en-AU"/>
        </w:rPr>
        <w:t xml:space="preserve"> enjoying all the trappings of wealth. </w:t>
      </w:r>
      <w:r w:rsidR="00CB2335" w:rsidRPr="00942352">
        <w:rPr>
          <w:lang w:eastAsia="en-AU"/>
        </w:rPr>
        <w:t>…</w:t>
      </w:r>
    </w:p>
    <w:p w14:paraId="170A7A36" w14:textId="2353A7EF" w:rsidR="0069647A" w:rsidRPr="00942352" w:rsidRDefault="0069647A" w:rsidP="0069647A">
      <w:pPr>
        <w:pStyle w:val="Quote1"/>
        <w:rPr>
          <w:lang w:eastAsia="en-AU"/>
        </w:rPr>
      </w:pPr>
      <w:r w:rsidRPr="00942352">
        <w:rPr>
          <w:lang w:eastAsia="en-AU"/>
        </w:rPr>
        <w:t xml:space="preserve">Frequently the bankrupt will have extensive assets at his or her disposal, notwithstanding the fact that he or she is a bankrupt. Commonly, the property will be made available to the bankrupt by a company, a trust, a partnership </w:t>
      </w:r>
      <w:r w:rsidRPr="00942352">
        <w:rPr>
          <w:i/>
          <w:lang w:eastAsia="en-AU"/>
        </w:rPr>
        <w:t xml:space="preserve">or some other </w:t>
      </w:r>
      <w:r w:rsidRPr="00942352">
        <w:rPr>
          <w:i/>
          <w:lang w:eastAsia="en-AU"/>
        </w:rPr>
        <w:lastRenderedPageBreak/>
        <w:t xml:space="preserve">person, </w:t>
      </w:r>
      <w:r w:rsidRPr="00942352">
        <w:rPr>
          <w:lang w:eastAsia="en-AU"/>
        </w:rPr>
        <w:t xml:space="preserve">which, although having an independent existence in law, </w:t>
      </w:r>
      <w:r w:rsidRPr="00942352">
        <w:rPr>
          <w:i/>
          <w:lang w:eastAsia="en-AU"/>
        </w:rPr>
        <w:t xml:space="preserve">is in fact the </w:t>
      </w:r>
      <w:proofErr w:type="spellStart"/>
      <w:r w:rsidRPr="00942352">
        <w:rPr>
          <w:i/>
          <w:lang w:eastAsia="en-AU"/>
        </w:rPr>
        <w:t>alterego</w:t>
      </w:r>
      <w:proofErr w:type="spellEnd"/>
      <w:r w:rsidR="009B4B19" w:rsidRPr="00942352">
        <w:rPr>
          <w:lang w:eastAsia="en-AU"/>
        </w:rPr>
        <w:t xml:space="preserve"> [sic]</w:t>
      </w:r>
      <w:r w:rsidRPr="00942352">
        <w:rPr>
          <w:i/>
          <w:lang w:eastAsia="en-AU"/>
        </w:rPr>
        <w:t xml:space="preserve"> of the bankrupt</w:t>
      </w:r>
      <w:r w:rsidRPr="00942352">
        <w:rPr>
          <w:lang w:eastAsia="en-AU"/>
        </w:rPr>
        <w:t xml:space="preserve">. The entity acts in effect at the dictation of the bankrupt. The asset position or wealth of the entity has come about because of the physical or mental exertion of </w:t>
      </w:r>
      <w:r w:rsidR="00F2281B" w:rsidRPr="00942352">
        <w:rPr>
          <w:lang w:eastAsia="en-AU"/>
        </w:rPr>
        <w:t xml:space="preserve">the bankrupt. The bankrupt may </w:t>
      </w:r>
      <w:r w:rsidRPr="00942352">
        <w:rPr>
          <w:lang w:eastAsia="en-AU"/>
        </w:rPr>
        <w:t xml:space="preserve">or may not at any time have owned the property which the entity owns. The bankrupt may or may not have some formal legal relationship with the entity as an employee, a director, a shareholder, a partner, a beneficiary under a trust, or in some other capacity. </w:t>
      </w:r>
    </w:p>
    <w:p w14:paraId="14A79BCE" w14:textId="1882095A" w:rsidR="00B70CB9" w:rsidRPr="00942352" w:rsidRDefault="00B70CB9" w:rsidP="0069647A">
      <w:pPr>
        <w:pStyle w:val="Quote1"/>
        <w:rPr>
          <w:lang w:eastAsia="en-AU"/>
        </w:rPr>
      </w:pPr>
      <w:r w:rsidRPr="00942352">
        <w:rPr>
          <w:lang w:eastAsia="en-AU"/>
        </w:rPr>
        <w:t>(Emphasis added.)</w:t>
      </w:r>
    </w:p>
    <w:p w14:paraId="07FF34ED" w14:textId="7082AA78" w:rsidR="0069647A" w:rsidRPr="00942352" w:rsidRDefault="00155C95" w:rsidP="00155C95">
      <w:pPr>
        <w:pStyle w:val="ParaNumbering"/>
        <w:numPr>
          <w:ilvl w:val="0"/>
          <w:numId w:val="0"/>
        </w:numPr>
        <w:ind w:hanging="720"/>
        <w:rPr>
          <w:lang w:eastAsia="en-AU"/>
        </w:rPr>
      </w:pPr>
      <w:bookmarkStart w:id="100" w:name="_Ref129331566"/>
      <w:r w:rsidRPr="00942352">
        <w:rPr>
          <w:sz w:val="20"/>
          <w:lang w:eastAsia="en-AU"/>
        </w:rPr>
        <w:t>155</w:t>
      </w:r>
      <w:r w:rsidRPr="00942352">
        <w:rPr>
          <w:sz w:val="20"/>
          <w:lang w:eastAsia="en-AU"/>
        </w:rPr>
        <w:tab/>
      </w:r>
      <w:r w:rsidR="0069647A" w:rsidRPr="00942352">
        <w:rPr>
          <w:lang w:eastAsia="en-AU"/>
        </w:rPr>
        <w:t xml:space="preserve">The </w:t>
      </w:r>
      <w:r w:rsidR="00991B68" w:rsidRPr="00942352">
        <w:rPr>
          <w:lang w:eastAsia="en-AU"/>
        </w:rPr>
        <w:t>Explanatory</w:t>
      </w:r>
      <w:r w:rsidR="00EB6C37" w:rsidRPr="00942352">
        <w:rPr>
          <w:lang w:eastAsia="en-AU"/>
        </w:rPr>
        <w:t xml:space="preserve"> </w:t>
      </w:r>
      <w:r w:rsidR="0069647A" w:rsidRPr="00942352">
        <w:rPr>
          <w:lang w:eastAsia="en-AU"/>
        </w:rPr>
        <w:t xml:space="preserve">Memorandum </w:t>
      </w:r>
      <w:r w:rsidR="006216C7" w:rsidRPr="00942352">
        <w:rPr>
          <w:lang w:eastAsia="en-AU"/>
        </w:rPr>
        <w:t xml:space="preserve">1987 </w:t>
      </w:r>
      <w:r w:rsidR="0069647A" w:rsidRPr="00942352">
        <w:rPr>
          <w:lang w:eastAsia="en-AU"/>
        </w:rPr>
        <w:t xml:space="preserve">identifies the “situations” which the proposed </w:t>
      </w:r>
      <w:proofErr w:type="spellStart"/>
      <w:r w:rsidR="0069647A" w:rsidRPr="00942352">
        <w:rPr>
          <w:lang w:eastAsia="en-AU"/>
        </w:rPr>
        <w:t>Div</w:t>
      </w:r>
      <w:proofErr w:type="spellEnd"/>
      <w:r w:rsidR="00B808B8">
        <w:rPr>
          <w:lang w:eastAsia="en-AU"/>
        </w:rPr>
        <w:t xml:space="preserve"> </w:t>
      </w:r>
      <w:r w:rsidR="009F1B2E" w:rsidRPr="00942352">
        <w:rPr>
          <w:lang w:eastAsia="en-AU"/>
        </w:rPr>
        <w:t>4A</w:t>
      </w:r>
      <w:r w:rsidR="0069647A" w:rsidRPr="00942352">
        <w:rPr>
          <w:lang w:eastAsia="en-AU"/>
        </w:rPr>
        <w:t xml:space="preserve"> was “to be used to attack” as, at [306]–[30</w:t>
      </w:r>
      <w:r w:rsidR="00B808B8">
        <w:rPr>
          <w:lang w:eastAsia="en-AU"/>
        </w:rPr>
        <w:t>8</w:t>
      </w:r>
      <w:r w:rsidR="0069647A" w:rsidRPr="00942352">
        <w:rPr>
          <w:lang w:eastAsia="en-AU"/>
        </w:rPr>
        <w:t>]:</w:t>
      </w:r>
      <w:bookmarkEnd w:id="100"/>
    </w:p>
    <w:p w14:paraId="2A67DA52" w14:textId="2C5C7D86" w:rsidR="00B808B8" w:rsidRDefault="00B808B8" w:rsidP="00B808B8">
      <w:pPr>
        <w:pStyle w:val="Quote1"/>
        <w:ind w:firstLine="703"/>
        <w:rPr>
          <w:lang w:eastAsia="en-AU"/>
        </w:rPr>
      </w:pPr>
      <w:r>
        <w:rPr>
          <w:lang w:eastAsia="en-AU"/>
        </w:rPr>
        <w:t>…</w:t>
      </w:r>
    </w:p>
    <w:p w14:paraId="649E0A43" w14:textId="7E592E56" w:rsidR="0069647A" w:rsidRPr="00942352" w:rsidRDefault="0069647A" w:rsidP="004A5066">
      <w:pPr>
        <w:pStyle w:val="Quote1Bullet"/>
        <w:rPr>
          <w:lang w:eastAsia="en-AU"/>
        </w:rPr>
      </w:pPr>
      <w:r w:rsidRPr="00942352">
        <w:rPr>
          <w:lang w:eastAsia="en-AU"/>
        </w:rPr>
        <w:t>an entity has property which has been acquired, either directly or indirectly, by the physical or mental exertion of the bankrupt;</w:t>
      </w:r>
    </w:p>
    <w:p w14:paraId="1DFCA5F3" w14:textId="5492286E" w:rsidR="0069647A" w:rsidRPr="00942352" w:rsidRDefault="0069647A" w:rsidP="004A5066">
      <w:pPr>
        <w:pStyle w:val="Quote1Bullet"/>
        <w:rPr>
          <w:lang w:eastAsia="en-AU"/>
        </w:rPr>
      </w:pPr>
      <w:r w:rsidRPr="00942352">
        <w:rPr>
          <w:lang w:eastAsia="en-AU"/>
        </w:rPr>
        <w:t>the entity is an alter ego of the bankrupt;</w:t>
      </w:r>
    </w:p>
    <w:p w14:paraId="00772D8E" w14:textId="0A85CD72" w:rsidR="0069647A" w:rsidRPr="00942352" w:rsidRDefault="0069647A" w:rsidP="004A5066">
      <w:pPr>
        <w:pStyle w:val="Quote1Bullet"/>
        <w:rPr>
          <w:lang w:eastAsia="en-AU"/>
        </w:rPr>
      </w:pPr>
      <w:proofErr w:type="gramStart"/>
      <w:r w:rsidRPr="00942352">
        <w:rPr>
          <w:lang w:eastAsia="en-AU"/>
        </w:rPr>
        <w:t>the</w:t>
      </w:r>
      <w:proofErr w:type="gramEnd"/>
      <w:r w:rsidRPr="00942352">
        <w:rPr>
          <w:lang w:eastAsia="en-AU"/>
        </w:rPr>
        <w:t xml:space="preserve"> entity makes available, or may at some future time at the instance of the bankrupt make available, property to the bankrupt. Thus whilst the bankrupt may hold little or no property whatever in his or her own name, he or she has contributed to it and has the use or potential use of it as if it were his or her own property.</w:t>
      </w:r>
    </w:p>
    <w:p w14:paraId="771B3EA1" w14:textId="69141EF4" w:rsidR="0069647A" w:rsidRPr="00942352" w:rsidRDefault="0069647A" w:rsidP="0069647A">
      <w:pPr>
        <w:pStyle w:val="Quote1"/>
        <w:ind w:left="1440" w:hanging="703"/>
        <w:rPr>
          <w:lang w:eastAsia="en-AU"/>
        </w:rPr>
      </w:pPr>
      <w:r w:rsidRPr="00942352">
        <w:rPr>
          <w:lang w:eastAsia="en-AU"/>
        </w:rPr>
        <w:t>307</w:t>
      </w:r>
      <w:r w:rsidR="00CB2335" w:rsidRPr="00942352">
        <w:rPr>
          <w:lang w:eastAsia="en-AU"/>
        </w:rPr>
        <w:t>.</w:t>
      </w:r>
      <w:r w:rsidRPr="00942352">
        <w:rPr>
          <w:lang w:eastAsia="en-AU"/>
        </w:rPr>
        <w:tab/>
      </w:r>
      <w:r w:rsidRPr="00942352">
        <w:rPr>
          <w:b/>
          <w:lang w:eastAsia="en-AU"/>
        </w:rPr>
        <w:t xml:space="preserve">It has become increasingly common to encounter insolvent individuals who have access to (but not necessarily any legal or equitable interest in) property which is sheltered in a private company or family trust, </w:t>
      </w:r>
      <w:r w:rsidRPr="00942352">
        <w:rPr>
          <w:b/>
          <w:i/>
          <w:lang w:eastAsia="en-AU"/>
        </w:rPr>
        <w:t>or in the name of another person</w:t>
      </w:r>
      <w:r w:rsidRPr="00942352">
        <w:rPr>
          <w:b/>
          <w:lang w:eastAsia="en-AU"/>
        </w:rPr>
        <w:t>. Usually such arrangements are established with a view to tax minimisation, or for family, matrimonial or succession reasons. However such arrangements are equally useful in the event of insolvency…</w:t>
      </w:r>
    </w:p>
    <w:p w14:paraId="6B3EA078" w14:textId="463D02BE" w:rsidR="0069647A" w:rsidRPr="00942352" w:rsidRDefault="0069647A" w:rsidP="0069647A">
      <w:pPr>
        <w:pStyle w:val="Quote1"/>
        <w:ind w:left="1440" w:hanging="703"/>
        <w:rPr>
          <w:lang w:eastAsia="en-AU"/>
        </w:rPr>
      </w:pPr>
      <w:r w:rsidRPr="00942352">
        <w:rPr>
          <w:lang w:eastAsia="en-AU"/>
        </w:rPr>
        <w:t>308</w:t>
      </w:r>
      <w:r w:rsidR="00CB2335" w:rsidRPr="00942352">
        <w:rPr>
          <w:lang w:eastAsia="en-AU"/>
        </w:rPr>
        <w:t>.</w:t>
      </w:r>
      <w:r w:rsidRPr="00942352">
        <w:rPr>
          <w:lang w:eastAsia="en-AU"/>
        </w:rPr>
        <w:t xml:space="preserve"> </w:t>
      </w:r>
      <w:r w:rsidRPr="00942352">
        <w:rPr>
          <w:lang w:eastAsia="en-AU"/>
        </w:rPr>
        <w:tab/>
        <w:t xml:space="preserve">The facility with which income or capital may be disguised as the income or capital of, say, a trust, whilst an individual may still enjoy unfettered use of the income or capital, lends itself to abuse in the event of a bankruptcy. It is not uncommon for an individual to employ the bankruptcy process, not as a shield against his or her importunate creditors, but as a sword to strike them down through the stay on civil action that is available under section 58 and the release from debts that arises upon discharge from bankruptcy pursuant to section 153. At the same time the individual is able to preserve intact assets, which have the guise of being property of a family trust, company or other third party, but the use of which is enjoyed by the bankrupt. </w:t>
      </w:r>
    </w:p>
    <w:p w14:paraId="153302A1" w14:textId="456E8171" w:rsidR="001D5782" w:rsidRPr="00942352" w:rsidRDefault="001D5782" w:rsidP="0069647A">
      <w:pPr>
        <w:pStyle w:val="Quote1"/>
        <w:ind w:left="1440" w:hanging="703"/>
        <w:rPr>
          <w:lang w:eastAsia="en-AU"/>
        </w:rPr>
      </w:pPr>
      <w:r w:rsidRPr="00942352">
        <w:rPr>
          <w:lang w:eastAsia="en-AU"/>
        </w:rPr>
        <w:t>(Emphasis added</w:t>
      </w:r>
      <w:r w:rsidR="00FD7B44" w:rsidRPr="00942352">
        <w:rPr>
          <w:lang w:eastAsia="en-AU"/>
        </w:rPr>
        <w:t>.)</w:t>
      </w:r>
      <w:r w:rsidRPr="00942352">
        <w:rPr>
          <w:lang w:eastAsia="en-AU"/>
        </w:rPr>
        <w:t xml:space="preserve"> </w:t>
      </w:r>
    </w:p>
    <w:p w14:paraId="5C9F1C3F" w14:textId="755A5650" w:rsidR="0069647A" w:rsidRPr="00942352" w:rsidRDefault="00155C95" w:rsidP="00155C95">
      <w:pPr>
        <w:pStyle w:val="ParaNumbering"/>
        <w:numPr>
          <w:ilvl w:val="0"/>
          <w:numId w:val="0"/>
        </w:numPr>
        <w:ind w:hanging="720"/>
        <w:rPr>
          <w:lang w:eastAsia="en-AU"/>
        </w:rPr>
      </w:pPr>
      <w:bookmarkStart w:id="101" w:name="_Ref127876368"/>
      <w:r w:rsidRPr="00942352">
        <w:rPr>
          <w:sz w:val="20"/>
          <w:lang w:eastAsia="en-AU"/>
        </w:rPr>
        <w:t>156</w:t>
      </w:r>
      <w:r w:rsidRPr="00942352">
        <w:rPr>
          <w:sz w:val="20"/>
          <w:lang w:eastAsia="en-AU"/>
        </w:rPr>
        <w:tab/>
      </w:r>
      <w:r w:rsidR="0069647A" w:rsidRPr="00942352">
        <w:rPr>
          <w:lang w:eastAsia="en-AU"/>
        </w:rPr>
        <w:t xml:space="preserve">However, the original </w:t>
      </w:r>
      <w:proofErr w:type="spellStart"/>
      <w:r w:rsidR="0069647A" w:rsidRPr="00942352">
        <w:rPr>
          <w:lang w:eastAsia="en-AU"/>
        </w:rPr>
        <w:t>Div</w:t>
      </w:r>
      <w:proofErr w:type="spellEnd"/>
      <w:r w:rsidR="00B808B8">
        <w:rPr>
          <w:lang w:eastAsia="en-AU"/>
        </w:rPr>
        <w:t xml:space="preserve"> </w:t>
      </w:r>
      <w:r w:rsidR="00976320" w:rsidRPr="00942352">
        <w:rPr>
          <w:lang w:eastAsia="en-AU"/>
        </w:rPr>
        <w:t>4A</w:t>
      </w:r>
      <w:r w:rsidR="0069647A" w:rsidRPr="00942352">
        <w:rPr>
          <w:lang w:eastAsia="en-AU"/>
        </w:rPr>
        <w:t xml:space="preserve"> did not include a specific section regarding orders “relating to the property of a natural person</w:t>
      </w:r>
      <w:r w:rsidR="00B808B8">
        <w:rPr>
          <w:lang w:eastAsia="en-AU"/>
        </w:rPr>
        <w:t>”</w:t>
      </w:r>
      <w:r w:rsidR="0069647A" w:rsidRPr="00942352">
        <w:rPr>
          <w:lang w:eastAsia="en-AU"/>
        </w:rPr>
        <w:t xml:space="preserve"> (as contained now in s 139DA). The</w:t>
      </w:r>
      <w:r w:rsidR="00B808B8">
        <w:rPr>
          <w:lang w:eastAsia="en-AU"/>
        </w:rPr>
        <w:t xml:space="preserve"> Bankruptcy</w:t>
      </w:r>
      <w:r w:rsidR="0069647A" w:rsidRPr="00942352">
        <w:rPr>
          <w:lang w:eastAsia="en-AU"/>
        </w:rPr>
        <w:t xml:space="preserve"> Act was amended in 2006 to include this provision: </w:t>
      </w:r>
      <w:r w:rsidR="0069647A" w:rsidRPr="00942352">
        <w:rPr>
          <w:i/>
          <w:lang w:eastAsia="en-AU"/>
        </w:rPr>
        <w:t xml:space="preserve">Bankruptcy Legislation Amendment (Anti-avoidance) Act 2006 </w:t>
      </w:r>
      <w:r w:rsidR="0069647A" w:rsidRPr="00942352">
        <w:rPr>
          <w:lang w:eastAsia="en-AU"/>
        </w:rPr>
        <w:t>(</w:t>
      </w:r>
      <w:proofErr w:type="spellStart"/>
      <w:r w:rsidR="0069647A" w:rsidRPr="00942352">
        <w:rPr>
          <w:lang w:eastAsia="en-AU"/>
        </w:rPr>
        <w:t>Cth</w:t>
      </w:r>
      <w:proofErr w:type="spellEnd"/>
      <w:r w:rsidR="0069647A" w:rsidRPr="00942352">
        <w:rPr>
          <w:lang w:eastAsia="en-AU"/>
        </w:rPr>
        <w:t xml:space="preserve">), </w:t>
      </w:r>
      <w:proofErr w:type="spellStart"/>
      <w:r w:rsidR="0069647A" w:rsidRPr="00942352">
        <w:rPr>
          <w:lang w:eastAsia="en-AU"/>
        </w:rPr>
        <w:t>Sch</w:t>
      </w:r>
      <w:proofErr w:type="spellEnd"/>
      <w:r w:rsidR="0069647A" w:rsidRPr="00942352">
        <w:rPr>
          <w:lang w:eastAsia="en-AU"/>
        </w:rPr>
        <w:t xml:space="preserve"> 1, item</w:t>
      </w:r>
      <w:r w:rsidR="0018406C" w:rsidRPr="00942352">
        <w:rPr>
          <w:lang w:eastAsia="en-AU"/>
        </w:rPr>
        <w:t xml:space="preserve"> 20. The</w:t>
      </w:r>
      <w:r w:rsidR="0018406C" w:rsidRPr="00942352">
        <w:rPr>
          <w:b/>
          <w:lang w:eastAsia="en-AU"/>
        </w:rPr>
        <w:t xml:space="preserve"> Explanatory Memorandum</w:t>
      </w:r>
      <w:r w:rsidR="006216C7" w:rsidRPr="00942352">
        <w:rPr>
          <w:lang w:eastAsia="en-AU"/>
        </w:rPr>
        <w:t xml:space="preserve"> to the</w:t>
      </w:r>
      <w:r w:rsidR="0018406C" w:rsidRPr="00942352">
        <w:rPr>
          <w:lang w:eastAsia="en-AU"/>
        </w:rPr>
        <w:t xml:space="preserve"> </w:t>
      </w:r>
      <w:r w:rsidR="0069647A" w:rsidRPr="00942352">
        <w:rPr>
          <w:lang w:eastAsia="en-AU"/>
        </w:rPr>
        <w:t>Bankruptcy Legisl</w:t>
      </w:r>
      <w:r w:rsidR="00B97ECB" w:rsidRPr="00942352">
        <w:rPr>
          <w:lang w:eastAsia="en-AU"/>
        </w:rPr>
        <w:t>ation Amendment (Anti-Avoidance</w:t>
      </w:r>
      <w:r w:rsidR="0069647A" w:rsidRPr="00942352">
        <w:rPr>
          <w:lang w:eastAsia="en-AU"/>
        </w:rPr>
        <w:t xml:space="preserve">) Bill </w:t>
      </w:r>
      <w:r w:rsidR="0069647A" w:rsidRPr="00942352">
        <w:rPr>
          <w:b/>
          <w:lang w:eastAsia="en-AU"/>
        </w:rPr>
        <w:t>2005</w:t>
      </w:r>
      <w:r w:rsidR="0018406C" w:rsidRPr="00942352">
        <w:rPr>
          <w:lang w:eastAsia="en-AU"/>
        </w:rPr>
        <w:t xml:space="preserve"> (</w:t>
      </w:r>
      <w:proofErr w:type="spellStart"/>
      <w:r w:rsidR="0018406C" w:rsidRPr="00942352">
        <w:rPr>
          <w:lang w:eastAsia="en-AU"/>
        </w:rPr>
        <w:t>Cth</w:t>
      </w:r>
      <w:proofErr w:type="spellEnd"/>
      <w:r w:rsidR="0018406C" w:rsidRPr="00942352">
        <w:rPr>
          <w:lang w:eastAsia="en-AU"/>
        </w:rPr>
        <w:t>)</w:t>
      </w:r>
      <w:r w:rsidR="0069647A" w:rsidRPr="00942352">
        <w:rPr>
          <w:i/>
          <w:lang w:eastAsia="en-AU"/>
        </w:rPr>
        <w:t xml:space="preserve">, </w:t>
      </w:r>
      <w:r w:rsidR="0069647A" w:rsidRPr="00942352">
        <w:rPr>
          <w:lang w:eastAsia="en-AU"/>
        </w:rPr>
        <w:t>described the pu</w:t>
      </w:r>
      <w:r w:rsidR="00B808B8">
        <w:rPr>
          <w:lang w:eastAsia="en-AU"/>
        </w:rPr>
        <w:t xml:space="preserve">rpose of extending </w:t>
      </w:r>
      <w:proofErr w:type="spellStart"/>
      <w:r w:rsidR="00B808B8">
        <w:rPr>
          <w:lang w:eastAsia="en-AU"/>
        </w:rPr>
        <w:t>Div</w:t>
      </w:r>
      <w:proofErr w:type="spellEnd"/>
      <w:r w:rsidR="00B808B8">
        <w:rPr>
          <w:lang w:eastAsia="en-AU"/>
        </w:rPr>
        <w:t xml:space="preserve"> 4A of P</w:t>
      </w:r>
      <w:r w:rsidR="0069647A" w:rsidRPr="00942352">
        <w:rPr>
          <w:lang w:eastAsia="en-AU"/>
        </w:rPr>
        <w:t>t VI to “natural person</w:t>
      </w:r>
      <w:r w:rsidR="00C22077" w:rsidRPr="00942352">
        <w:rPr>
          <w:lang w:eastAsia="en-AU"/>
        </w:rPr>
        <w:t>s</w:t>
      </w:r>
      <w:r w:rsidR="0069647A" w:rsidRPr="00942352">
        <w:rPr>
          <w:lang w:eastAsia="en-AU"/>
        </w:rPr>
        <w:t>” as follows:</w:t>
      </w:r>
      <w:bookmarkEnd w:id="101"/>
    </w:p>
    <w:p w14:paraId="5F0B7214" w14:textId="5785FD19" w:rsidR="0069647A" w:rsidRPr="00942352" w:rsidRDefault="00B97ECB" w:rsidP="0069647A">
      <w:pPr>
        <w:pStyle w:val="Quote1"/>
        <w:ind w:left="1440" w:hanging="703"/>
        <w:rPr>
          <w:lang w:eastAsia="en-AU"/>
        </w:rPr>
      </w:pPr>
      <w:r w:rsidRPr="00942352">
        <w:rPr>
          <w:lang w:eastAsia="en-AU"/>
        </w:rPr>
        <w:lastRenderedPageBreak/>
        <w:t>12.</w:t>
      </w:r>
      <w:r w:rsidRPr="00942352">
        <w:rPr>
          <w:lang w:eastAsia="en-AU"/>
        </w:rPr>
        <w:tab/>
      </w:r>
      <w:r w:rsidR="0069647A" w:rsidRPr="00942352">
        <w:rPr>
          <w:lang w:eastAsia="en-AU"/>
        </w:rPr>
        <w:t>Division 4A of Part VI of the Act allows the trustee to obtain property in certain circumstances from an ‘entity’ that, during the ‘examinable period’, was ‘controlled’ by the bankrupt and benefited from his or her personal services. The purpose of the provision is to allow the trustee to recover a bankrupt’s property in the situation where that property is disguised as an asset of a trust, company or the like.</w:t>
      </w:r>
    </w:p>
    <w:p w14:paraId="55245742" w14:textId="77777777" w:rsidR="0069647A" w:rsidRPr="00942352" w:rsidRDefault="0069647A" w:rsidP="0069647A">
      <w:pPr>
        <w:pStyle w:val="Quote1"/>
        <w:ind w:left="1440" w:hanging="703"/>
        <w:rPr>
          <w:lang w:eastAsia="en-AU"/>
        </w:rPr>
      </w:pPr>
      <w:r w:rsidRPr="00942352">
        <w:rPr>
          <w:lang w:eastAsia="en-AU"/>
        </w:rPr>
        <w:t xml:space="preserve">13. </w:t>
      </w:r>
      <w:r w:rsidRPr="00942352">
        <w:rPr>
          <w:lang w:eastAsia="en-AU"/>
        </w:rPr>
        <w:tab/>
        <w:t xml:space="preserve">The current definition of ‘entity’ in the Act would theoretically allow these provisions to apply to natural persons. However, the provisions could not logically operate in that way. </w:t>
      </w:r>
      <w:r w:rsidRPr="00942352">
        <w:rPr>
          <w:b/>
          <w:lang w:eastAsia="en-AU"/>
        </w:rPr>
        <w:t>For example, the provisions could not apply to the situation where the non-bankrupt spouse acquires an estate in property, (or the value of the non-bankrupt spouse’s interest in property increases) as a result of the bankrupt’s financial contributions and the bankrupt uses or derives a benefit from that property.</w:t>
      </w:r>
      <w:r w:rsidRPr="00942352">
        <w:rPr>
          <w:lang w:eastAsia="en-AU"/>
        </w:rPr>
        <w:t xml:space="preserve"> This is because the bankrupt does not provide ‘personal services’ to, does not ‘control’, and does not receive any remuneration from, the non-bankrupt spouse.</w:t>
      </w:r>
    </w:p>
    <w:p w14:paraId="6E3471B0" w14:textId="442B8AE4" w:rsidR="0069647A" w:rsidRPr="00942352" w:rsidRDefault="0069647A" w:rsidP="0069647A">
      <w:pPr>
        <w:pStyle w:val="Quote1"/>
        <w:ind w:left="1440" w:hanging="703"/>
        <w:rPr>
          <w:lang w:eastAsia="en-AU"/>
        </w:rPr>
      </w:pPr>
      <w:r w:rsidRPr="00942352">
        <w:rPr>
          <w:lang w:eastAsia="en-AU"/>
        </w:rPr>
        <w:t xml:space="preserve">14. </w:t>
      </w:r>
      <w:r w:rsidRPr="00942352">
        <w:rPr>
          <w:lang w:eastAsia="en-AU"/>
        </w:rPr>
        <w:tab/>
        <w:t xml:space="preserve">The amendments proposed by this Bill will extend these provisions to natural persons. The policy underlying these amendments is that just as a person can hide their own assets in a trust or company, they can do so by placing them with a spouse or other relative or associate. </w:t>
      </w:r>
    </w:p>
    <w:p w14:paraId="557C33DB" w14:textId="7CB367E8" w:rsidR="005530E0" w:rsidRPr="00942352" w:rsidRDefault="005530E0" w:rsidP="0069647A">
      <w:pPr>
        <w:pStyle w:val="Quote1"/>
        <w:ind w:left="1440" w:hanging="703"/>
        <w:rPr>
          <w:lang w:eastAsia="en-AU"/>
        </w:rPr>
      </w:pPr>
      <w:r w:rsidRPr="00942352">
        <w:rPr>
          <w:lang w:eastAsia="en-AU"/>
        </w:rPr>
        <w:t>(Emphasis added</w:t>
      </w:r>
      <w:r w:rsidR="00C22077" w:rsidRPr="00942352">
        <w:rPr>
          <w:lang w:eastAsia="en-AU"/>
        </w:rPr>
        <w:t>.)</w:t>
      </w:r>
      <w:r w:rsidRPr="00942352">
        <w:rPr>
          <w:lang w:eastAsia="en-AU"/>
        </w:rPr>
        <w:t xml:space="preserve"> </w:t>
      </w:r>
    </w:p>
    <w:p w14:paraId="4DA600E7" w14:textId="182DD472" w:rsidR="00AD248F" w:rsidRPr="00942352" w:rsidRDefault="00AD248F" w:rsidP="00AD248F">
      <w:pPr>
        <w:pStyle w:val="Heading4"/>
      </w:pPr>
      <w:bookmarkStart w:id="102" w:name="_Ref126935784"/>
      <w:r w:rsidRPr="00942352">
        <w:t>The claim</w:t>
      </w:r>
      <w:bookmarkEnd w:id="102"/>
    </w:p>
    <w:p w14:paraId="072D01F8" w14:textId="78A537CB" w:rsidR="0091152A" w:rsidRPr="00942352" w:rsidRDefault="00155C95" w:rsidP="00155C95">
      <w:pPr>
        <w:pStyle w:val="ParaNumbering"/>
        <w:numPr>
          <w:ilvl w:val="0"/>
          <w:numId w:val="0"/>
        </w:numPr>
        <w:ind w:hanging="720"/>
      </w:pPr>
      <w:r w:rsidRPr="00942352">
        <w:rPr>
          <w:sz w:val="20"/>
        </w:rPr>
        <w:t>157</w:t>
      </w:r>
      <w:r w:rsidRPr="00942352">
        <w:rPr>
          <w:sz w:val="20"/>
        </w:rPr>
        <w:tab/>
      </w:r>
      <w:r w:rsidR="0091152A" w:rsidRPr="00942352">
        <w:t xml:space="preserve">The </w:t>
      </w:r>
      <w:r w:rsidR="0072486F" w:rsidRPr="00942352">
        <w:t>trustee</w:t>
      </w:r>
      <w:r w:rsidR="0091152A" w:rsidRPr="00942352">
        <w:t xml:space="preserve"> contends tha</w:t>
      </w:r>
      <w:r w:rsidR="008E773A" w:rsidRPr="00942352">
        <w:t>t the C</w:t>
      </w:r>
      <w:r w:rsidR="0091152A" w:rsidRPr="00942352">
        <w:t xml:space="preserve">ourt should exercise its discretion and make an order pursuant to </w:t>
      </w:r>
      <w:proofErr w:type="spellStart"/>
      <w:r w:rsidR="0091152A" w:rsidRPr="00942352">
        <w:t>ss</w:t>
      </w:r>
      <w:proofErr w:type="spellEnd"/>
      <w:r w:rsidR="0091152A" w:rsidRPr="00942352">
        <w:t xml:space="preserve"> 139A and/or 139DA of the Bankruptcy Act </w:t>
      </w:r>
      <w:r w:rsidR="00AE0B6A" w:rsidRPr="00942352">
        <w:t xml:space="preserve">(contained within </w:t>
      </w:r>
      <w:proofErr w:type="spellStart"/>
      <w:r w:rsidR="00AE0B6A" w:rsidRPr="00942352">
        <w:t>Div</w:t>
      </w:r>
      <w:proofErr w:type="spellEnd"/>
      <w:r w:rsidR="00AE0B6A" w:rsidRPr="00942352">
        <w:t xml:space="preserve"> 4A)</w:t>
      </w:r>
      <w:r w:rsidR="00D656BD" w:rsidRPr="00942352">
        <w:t xml:space="preserve"> </w:t>
      </w:r>
      <w:r w:rsidR="0091152A" w:rsidRPr="00942352">
        <w:t xml:space="preserve">and order that the respondent transfer to the </w:t>
      </w:r>
      <w:r w:rsidR="0072486F" w:rsidRPr="00942352">
        <w:t>trustee</w:t>
      </w:r>
      <w:r w:rsidR="0091152A" w:rsidRPr="00942352">
        <w:t xml:space="preserve"> 50% of the </w:t>
      </w:r>
      <w:r w:rsidR="003B56A0" w:rsidRPr="00942352">
        <w:t xml:space="preserve">interest in the </w:t>
      </w:r>
      <w:r w:rsidR="0091152A" w:rsidRPr="00942352">
        <w:t xml:space="preserve">North Balgowlah property </w:t>
      </w:r>
      <w:r w:rsidR="00AE0B6A" w:rsidRPr="00942352">
        <w:t>or, alternatively,</w:t>
      </w:r>
      <w:r w:rsidR="007D71D5" w:rsidRPr="00942352">
        <w:t xml:space="preserve"> the respondent transfer the portion of the North Balgowlah property determined by the Court to be held on trust for the </w:t>
      </w:r>
      <w:r w:rsidR="0072486F" w:rsidRPr="00942352">
        <w:t>trustee</w:t>
      </w:r>
      <w:r w:rsidR="007D71D5" w:rsidRPr="00942352">
        <w:t>.</w:t>
      </w:r>
      <w:r w:rsidR="0091152A" w:rsidRPr="00942352">
        <w:t xml:space="preserve"> </w:t>
      </w:r>
    </w:p>
    <w:p w14:paraId="6C2E5229" w14:textId="19C012FD" w:rsidR="00423323" w:rsidRPr="00942352" w:rsidRDefault="00155C95" w:rsidP="00155C95">
      <w:pPr>
        <w:pStyle w:val="ParaNumbering"/>
        <w:numPr>
          <w:ilvl w:val="0"/>
          <w:numId w:val="0"/>
        </w:numPr>
        <w:ind w:hanging="720"/>
      </w:pPr>
      <w:r w:rsidRPr="00942352">
        <w:rPr>
          <w:sz w:val="20"/>
        </w:rPr>
        <w:t>158</w:t>
      </w:r>
      <w:r w:rsidRPr="00942352">
        <w:rPr>
          <w:sz w:val="20"/>
        </w:rPr>
        <w:tab/>
      </w:r>
      <w:r w:rsidR="00423323" w:rsidRPr="00942352">
        <w:t>As set out when dealing with the relevant principles concerning the operation of s 139DA above</w:t>
      </w:r>
      <w:r w:rsidR="006224C3" w:rsidRPr="00942352">
        <w:t xml:space="preserve"> at [</w:t>
      </w:r>
      <w:r w:rsidR="00127DA0">
        <w:fldChar w:fldCharType="begin"/>
      </w:r>
      <w:r w:rsidR="00127DA0">
        <w:instrText xml:space="preserve"> REF _Ref129331208 \r \h </w:instrText>
      </w:r>
      <w:r w:rsidR="00127DA0">
        <w:fldChar w:fldCharType="separate"/>
      </w:r>
      <w:r w:rsidR="002B380F">
        <w:t>150</w:t>
      </w:r>
      <w:r w:rsidR="00127DA0">
        <w:fldChar w:fldCharType="end"/>
      </w:r>
      <w:r w:rsidR="006224C3" w:rsidRPr="00942352">
        <w:t>]</w:t>
      </w:r>
      <w:r w:rsidR="00423323" w:rsidRPr="00942352">
        <w:t>, the trustee must satisfy the following elements:</w:t>
      </w:r>
    </w:p>
    <w:p w14:paraId="2382610A" w14:textId="401C539A" w:rsidR="00423323" w:rsidRPr="00942352" w:rsidRDefault="00155C95" w:rsidP="00155C95">
      <w:pPr>
        <w:pStyle w:val="ListNo1alt"/>
        <w:numPr>
          <w:ilvl w:val="0"/>
          <w:numId w:val="0"/>
        </w:numPr>
        <w:tabs>
          <w:tab w:val="left" w:pos="720"/>
        </w:tabs>
        <w:ind w:left="720" w:hanging="720"/>
        <w:rPr>
          <w:lang w:eastAsia="en-AU"/>
        </w:rPr>
      </w:pPr>
      <w:r w:rsidRPr="00942352">
        <w:rPr>
          <w:lang w:eastAsia="en-AU"/>
        </w:rPr>
        <w:t>(a)</w:t>
      </w:r>
      <w:r w:rsidRPr="00942352">
        <w:rPr>
          <w:lang w:eastAsia="en-AU"/>
        </w:rPr>
        <w:tab/>
      </w:r>
      <w:proofErr w:type="gramStart"/>
      <w:r w:rsidR="00423323" w:rsidRPr="00942352">
        <w:rPr>
          <w:lang w:eastAsia="en-AU"/>
        </w:rPr>
        <w:t>during</w:t>
      </w:r>
      <w:proofErr w:type="gramEnd"/>
      <w:r w:rsidR="00423323" w:rsidRPr="00942352">
        <w:rPr>
          <w:lang w:eastAsia="en-AU"/>
        </w:rPr>
        <w:t xml:space="preserve"> the examinable period (under s 139CA), the entity (here the respondent) acquired an estate in property;</w:t>
      </w:r>
    </w:p>
    <w:p w14:paraId="5BD181CA" w14:textId="3E3CDDF8" w:rsidR="00423323" w:rsidRPr="00942352" w:rsidRDefault="00155C95" w:rsidP="00155C95">
      <w:pPr>
        <w:pStyle w:val="ListNo1alt"/>
        <w:numPr>
          <w:ilvl w:val="0"/>
          <w:numId w:val="0"/>
        </w:numPr>
        <w:tabs>
          <w:tab w:val="left" w:pos="720"/>
        </w:tabs>
        <w:ind w:left="720" w:hanging="720"/>
        <w:rPr>
          <w:lang w:eastAsia="en-AU"/>
        </w:rPr>
      </w:pPr>
      <w:r w:rsidRPr="00942352">
        <w:rPr>
          <w:lang w:eastAsia="en-AU"/>
        </w:rPr>
        <w:t>(b)</w:t>
      </w:r>
      <w:r w:rsidRPr="00942352">
        <w:rPr>
          <w:lang w:eastAsia="en-AU"/>
        </w:rPr>
        <w:tab/>
      </w:r>
      <w:proofErr w:type="gramStart"/>
      <w:r w:rsidR="00423323" w:rsidRPr="00942352">
        <w:rPr>
          <w:lang w:eastAsia="en-AU"/>
        </w:rPr>
        <w:t>the</w:t>
      </w:r>
      <w:proofErr w:type="gramEnd"/>
      <w:r w:rsidR="00423323" w:rsidRPr="00942352">
        <w:rPr>
          <w:lang w:eastAsia="en-AU"/>
        </w:rPr>
        <w:t xml:space="preserve"> acquisition was a direct or indirect result of financial contributions made by the bankrupt during that period; </w:t>
      </w:r>
    </w:p>
    <w:p w14:paraId="0F6D1553" w14:textId="26F5C96B" w:rsidR="00423323" w:rsidRPr="00942352" w:rsidRDefault="00155C95" w:rsidP="00155C95">
      <w:pPr>
        <w:pStyle w:val="ListNo1alt"/>
        <w:numPr>
          <w:ilvl w:val="0"/>
          <w:numId w:val="0"/>
        </w:numPr>
        <w:tabs>
          <w:tab w:val="left" w:pos="720"/>
        </w:tabs>
        <w:ind w:left="720" w:hanging="720"/>
        <w:rPr>
          <w:lang w:eastAsia="en-AU"/>
        </w:rPr>
      </w:pPr>
      <w:r w:rsidRPr="00942352">
        <w:rPr>
          <w:lang w:eastAsia="en-AU"/>
        </w:rPr>
        <w:t>(c)</w:t>
      </w:r>
      <w:r w:rsidRPr="00942352">
        <w:rPr>
          <w:lang w:eastAsia="en-AU"/>
        </w:rPr>
        <w:tab/>
      </w:r>
      <w:proofErr w:type="gramStart"/>
      <w:r w:rsidR="00423323" w:rsidRPr="00942352">
        <w:rPr>
          <w:lang w:eastAsia="en-AU"/>
        </w:rPr>
        <w:t>the</w:t>
      </w:r>
      <w:proofErr w:type="gramEnd"/>
      <w:r w:rsidR="00423323" w:rsidRPr="00942352">
        <w:rPr>
          <w:lang w:eastAsia="en-AU"/>
        </w:rPr>
        <w:t xml:space="preserve"> bankrupt used, or derived (whether directly or indirectly) a benefit from, the property at a time or times during the examinable period; and</w:t>
      </w:r>
    </w:p>
    <w:p w14:paraId="66D7DD0D" w14:textId="2763490A" w:rsidR="00423323" w:rsidRPr="00942352" w:rsidRDefault="00155C95" w:rsidP="00155C95">
      <w:pPr>
        <w:pStyle w:val="ListNo1alt"/>
        <w:numPr>
          <w:ilvl w:val="0"/>
          <w:numId w:val="0"/>
        </w:numPr>
        <w:tabs>
          <w:tab w:val="left" w:pos="720"/>
        </w:tabs>
        <w:ind w:left="720" w:hanging="720"/>
        <w:rPr>
          <w:lang w:eastAsia="en-AU"/>
        </w:rPr>
      </w:pPr>
      <w:r w:rsidRPr="00942352">
        <w:rPr>
          <w:lang w:eastAsia="en-AU"/>
        </w:rPr>
        <w:t>(d)</w:t>
      </w:r>
      <w:r w:rsidRPr="00942352">
        <w:rPr>
          <w:lang w:eastAsia="en-AU"/>
        </w:rPr>
        <w:tab/>
      </w:r>
      <w:proofErr w:type="gramStart"/>
      <w:r w:rsidR="00423323" w:rsidRPr="00942352">
        <w:rPr>
          <w:lang w:eastAsia="en-AU"/>
        </w:rPr>
        <w:t>the</w:t>
      </w:r>
      <w:proofErr w:type="gramEnd"/>
      <w:r w:rsidR="00423323" w:rsidRPr="00942352">
        <w:rPr>
          <w:lang w:eastAsia="en-AU"/>
        </w:rPr>
        <w:t xml:space="preserve"> entity (here the respondent) still has the estate in the property. </w:t>
      </w:r>
    </w:p>
    <w:p w14:paraId="3C740BA0" w14:textId="115C9240" w:rsidR="00F27CD4" w:rsidRPr="00942352" w:rsidRDefault="00155C95" w:rsidP="00155C95">
      <w:pPr>
        <w:pStyle w:val="ParaNumbering"/>
        <w:numPr>
          <w:ilvl w:val="0"/>
          <w:numId w:val="0"/>
        </w:numPr>
        <w:ind w:hanging="720"/>
      </w:pPr>
      <w:r w:rsidRPr="00942352">
        <w:rPr>
          <w:sz w:val="20"/>
        </w:rPr>
        <w:t>159</w:t>
      </w:r>
      <w:r w:rsidRPr="00942352">
        <w:rPr>
          <w:sz w:val="20"/>
        </w:rPr>
        <w:tab/>
      </w:r>
      <w:r w:rsidR="00F27CD4" w:rsidRPr="00942352">
        <w:rPr>
          <w:lang w:eastAsia="en-AU"/>
        </w:rPr>
        <w:t xml:space="preserve">The </w:t>
      </w:r>
      <w:r w:rsidR="0072486F" w:rsidRPr="00942352">
        <w:rPr>
          <w:lang w:eastAsia="en-AU"/>
        </w:rPr>
        <w:t>trustee</w:t>
      </w:r>
      <w:r w:rsidR="00F27CD4" w:rsidRPr="00942352">
        <w:rPr>
          <w:lang w:eastAsia="en-AU"/>
        </w:rPr>
        <w:t xml:space="preserve"> contends that all the requirements of s 139DA of the</w:t>
      </w:r>
      <w:r w:rsidR="0056726E" w:rsidRPr="00942352">
        <w:rPr>
          <w:lang w:eastAsia="en-AU"/>
        </w:rPr>
        <w:t xml:space="preserve"> Bankruptcy</w:t>
      </w:r>
      <w:r w:rsidR="00F27CD4" w:rsidRPr="00942352">
        <w:rPr>
          <w:lang w:eastAsia="en-AU"/>
        </w:rPr>
        <w:t xml:space="preserve"> Act are met in respect of the North Balgowlah </w:t>
      </w:r>
      <w:r w:rsidR="00AC3253" w:rsidRPr="00942352">
        <w:rPr>
          <w:lang w:eastAsia="en-AU"/>
        </w:rPr>
        <w:t>property</w:t>
      </w:r>
      <w:r w:rsidR="00C9637B" w:rsidRPr="00942352">
        <w:rPr>
          <w:lang w:eastAsia="en-AU"/>
        </w:rPr>
        <w:t xml:space="preserve"> </w:t>
      </w:r>
      <w:r w:rsidR="00F27CD4" w:rsidRPr="00942352">
        <w:rPr>
          <w:lang w:eastAsia="en-AU"/>
        </w:rPr>
        <w:t xml:space="preserve">given that: </w:t>
      </w:r>
    </w:p>
    <w:p w14:paraId="4AEED30A" w14:textId="633207A8" w:rsidR="00F27CD4" w:rsidRPr="00942352" w:rsidRDefault="00155C95" w:rsidP="00155C95">
      <w:pPr>
        <w:pStyle w:val="ListNo1alt"/>
        <w:numPr>
          <w:ilvl w:val="0"/>
          <w:numId w:val="0"/>
        </w:numPr>
        <w:tabs>
          <w:tab w:val="left" w:pos="720"/>
        </w:tabs>
        <w:ind w:left="720" w:hanging="720"/>
      </w:pPr>
      <w:r w:rsidRPr="00942352">
        <w:lastRenderedPageBreak/>
        <w:t>(a)</w:t>
      </w:r>
      <w:r w:rsidRPr="00942352">
        <w:tab/>
      </w:r>
      <w:proofErr w:type="gramStart"/>
      <w:r w:rsidR="00F27CD4" w:rsidRPr="00942352">
        <w:t>the</w:t>
      </w:r>
      <w:proofErr w:type="gramEnd"/>
      <w:r w:rsidR="00F27CD4" w:rsidRPr="00942352">
        <w:t xml:space="preserve"> respondent acquired her estate in the North Balgowlah </w:t>
      </w:r>
      <w:r w:rsidR="00AC3253" w:rsidRPr="00942352">
        <w:t>property</w:t>
      </w:r>
      <w:r w:rsidR="00F27CD4" w:rsidRPr="00942352">
        <w:t xml:space="preserve"> approximately</w:t>
      </w:r>
      <w:r w:rsidR="00F27CD4" w:rsidRPr="00942352">
        <w:rPr>
          <w:spacing w:val="-3"/>
        </w:rPr>
        <w:t xml:space="preserve"> </w:t>
      </w:r>
      <w:r w:rsidR="00D107B5" w:rsidRPr="00942352">
        <w:t>three</w:t>
      </w:r>
      <w:r w:rsidR="00F27CD4" w:rsidRPr="00942352">
        <w:rPr>
          <w:spacing w:val="-5"/>
        </w:rPr>
        <w:t xml:space="preserve"> </w:t>
      </w:r>
      <w:r w:rsidR="00F27CD4" w:rsidRPr="00942352">
        <w:t>years</w:t>
      </w:r>
      <w:r w:rsidR="00F27CD4" w:rsidRPr="00942352">
        <w:rPr>
          <w:spacing w:val="-5"/>
        </w:rPr>
        <w:t xml:space="preserve"> </w:t>
      </w:r>
      <w:r w:rsidR="00F27CD4" w:rsidRPr="00942352">
        <w:t>before</w:t>
      </w:r>
      <w:r w:rsidR="00F27CD4" w:rsidRPr="00942352">
        <w:rPr>
          <w:spacing w:val="-7"/>
        </w:rPr>
        <w:t xml:space="preserve"> </w:t>
      </w:r>
      <w:r w:rsidR="00F27CD4" w:rsidRPr="00942352">
        <w:t>the</w:t>
      </w:r>
      <w:r w:rsidR="00F27CD4" w:rsidRPr="00942352">
        <w:rPr>
          <w:spacing w:val="-5"/>
        </w:rPr>
        <w:t xml:space="preserve"> </w:t>
      </w:r>
      <w:r w:rsidR="00F27CD4" w:rsidRPr="00942352">
        <w:t>commencement</w:t>
      </w:r>
      <w:r w:rsidR="00F27CD4" w:rsidRPr="00942352">
        <w:rPr>
          <w:spacing w:val="-1"/>
        </w:rPr>
        <w:t xml:space="preserve"> </w:t>
      </w:r>
      <w:r w:rsidR="00F27CD4" w:rsidRPr="00942352">
        <w:t>of</w:t>
      </w:r>
      <w:r w:rsidR="00F27CD4" w:rsidRPr="00942352">
        <w:rPr>
          <w:spacing w:val="-2"/>
        </w:rPr>
        <w:t xml:space="preserve"> </w:t>
      </w:r>
      <w:r w:rsidR="00F27CD4" w:rsidRPr="00942352">
        <w:t>the</w:t>
      </w:r>
      <w:r w:rsidR="00F27CD4" w:rsidRPr="00942352">
        <w:rPr>
          <w:spacing w:val="-3"/>
        </w:rPr>
        <w:t xml:space="preserve"> </w:t>
      </w:r>
      <w:r w:rsidR="00763C84" w:rsidRPr="00942352">
        <w:rPr>
          <w:spacing w:val="-3"/>
        </w:rPr>
        <w:t>b</w:t>
      </w:r>
      <w:r w:rsidR="00F27CD4" w:rsidRPr="00942352">
        <w:t>ankrupt’s</w:t>
      </w:r>
      <w:r w:rsidR="00F27CD4" w:rsidRPr="00942352">
        <w:rPr>
          <w:spacing w:val="-5"/>
        </w:rPr>
        <w:t xml:space="preserve"> </w:t>
      </w:r>
      <w:r w:rsidR="00F27CD4" w:rsidRPr="00942352">
        <w:t>bankruptcy</w:t>
      </w:r>
      <w:r w:rsidR="00151037" w:rsidRPr="00942352">
        <w:t xml:space="preserve"> (from 25 September 2013</w:t>
      </w:r>
      <w:r w:rsidR="00EB3135" w:rsidRPr="00942352">
        <w:t>)</w:t>
      </w:r>
      <w:r w:rsidR="00F27CD4" w:rsidRPr="00942352">
        <w:t xml:space="preserve">, such that it was within the relevant “examinable period”; </w:t>
      </w:r>
    </w:p>
    <w:p w14:paraId="4722FF46" w14:textId="54809070" w:rsidR="00F27CD4" w:rsidRPr="00942352" w:rsidRDefault="00155C95" w:rsidP="00155C95">
      <w:pPr>
        <w:pStyle w:val="ListNo1alt"/>
        <w:numPr>
          <w:ilvl w:val="0"/>
          <w:numId w:val="0"/>
        </w:numPr>
        <w:tabs>
          <w:tab w:val="left" w:pos="720"/>
        </w:tabs>
        <w:ind w:left="720" w:hanging="720"/>
      </w:pPr>
      <w:r w:rsidRPr="00942352">
        <w:t>(b)</w:t>
      </w:r>
      <w:r w:rsidRPr="00942352">
        <w:tab/>
      </w:r>
      <w:proofErr w:type="gramStart"/>
      <w:r w:rsidR="00F27CD4" w:rsidRPr="00942352">
        <w:t>the</w:t>
      </w:r>
      <w:proofErr w:type="gramEnd"/>
      <w:r w:rsidR="00F27CD4" w:rsidRPr="00942352">
        <w:rPr>
          <w:spacing w:val="-1"/>
        </w:rPr>
        <w:t xml:space="preserve"> </w:t>
      </w:r>
      <w:r w:rsidR="00F27CD4" w:rsidRPr="00942352">
        <w:t>respondent</w:t>
      </w:r>
      <w:r w:rsidR="00F27CD4" w:rsidRPr="00942352">
        <w:rPr>
          <w:spacing w:val="-2"/>
        </w:rPr>
        <w:t xml:space="preserve"> </w:t>
      </w:r>
      <w:r w:rsidR="00F27CD4" w:rsidRPr="00942352">
        <w:t>acquired</w:t>
      </w:r>
      <w:r w:rsidR="00F27CD4" w:rsidRPr="00942352">
        <w:rPr>
          <w:spacing w:val="-2"/>
        </w:rPr>
        <w:t xml:space="preserve"> </w:t>
      </w:r>
      <w:r w:rsidR="00F27CD4" w:rsidRPr="00942352">
        <w:t>that</w:t>
      </w:r>
      <w:r w:rsidR="00F27CD4" w:rsidRPr="00942352">
        <w:rPr>
          <w:spacing w:val="-1"/>
        </w:rPr>
        <w:t xml:space="preserve"> </w:t>
      </w:r>
      <w:r w:rsidR="00F27CD4" w:rsidRPr="00942352">
        <w:t>estate</w:t>
      </w:r>
      <w:r w:rsidR="00F27CD4" w:rsidRPr="00942352">
        <w:rPr>
          <w:spacing w:val="-5"/>
        </w:rPr>
        <w:t xml:space="preserve"> </w:t>
      </w:r>
      <w:r w:rsidR="00F27CD4" w:rsidRPr="00942352">
        <w:t>as</w:t>
      </w:r>
      <w:r w:rsidR="00F27CD4" w:rsidRPr="00942352">
        <w:rPr>
          <w:spacing w:val="-5"/>
        </w:rPr>
        <w:t xml:space="preserve"> </w:t>
      </w:r>
      <w:r w:rsidR="00F27CD4" w:rsidRPr="00942352">
        <w:t>a</w:t>
      </w:r>
      <w:r w:rsidR="00F27CD4" w:rsidRPr="00942352">
        <w:rPr>
          <w:spacing w:val="-3"/>
        </w:rPr>
        <w:t xml:space="preserve"> </w:t>
      </w:r>
      <w:r w:rsidR="00F27CD4" w:rsidRPr="00942352">
        <w:t>result</w:t>
      </w:r>
      <w:r w:rsidR="00F27CD4" w:rsidRPr="00942352">
        <w:rPr>
          <w:spacing w:val="-7"/>
        </w:rPr>
        <w:t xml:space="preserve"> </w:t>
      </w:r>
      <w:r w:rsidR="00F27CD4" w:rsidRPr="00942352">
        <w:t>of</w:t>
      </w:r>
      <w:r w:rsidR="00F27CD4" w:rsidRPr="00942352">
        <w:rPr>
          <w:spacing w:val="-3"/>
        </w:rPr>
        <w:t xml:space="preserve"> </w:t>
      </w:r>
      <w:r w:rsidR="00F27CD4" w:rsidRPr="00942352">
        <w:t>financial</w:t>
      </w:r>
      <w:r w:rsidR="00F27CD4" w:rsidRPr="00942352">
        <w:rPr>
          <w:spacing w:val="-3"/>
        </w:rPr>
        <w:t xml:space="preserve"> </w:t>
      </w:r>
      <w:r w:rsidR="00F27CD4" w:rsidRPr="00942352">
        <w:t>contributions</w:t>
      </w:r>
      <w:r w:rsidR="00F27CD4" w:rsidRPr="00942352">
        <w:rPr>
          <w:spacing w:val="-3"/>
        </w:rPr>
        <w:t xml:space="preserve"> </w:t>
      </w:r>
      <w:r w:rsidR="00F27CD4" w:rsidRPr="00942352">
        <w:t xml:space="preserve">made by the </w:t>
      </w:r>
      <w:r w:rsidR="00352127" w:rsidRPr="00942352">
        <w:t>b</w:t>
      </w:r>
      <w:r w:rsidR="00F27CD4" w:rsidRPr="00942352">
        <w:t xml:space="preserve">ankrupt during the </w:t>
      </w:r>
      <w:r w:rsidR="00CB655D" w:rsidRPr="00942352">
        <w:t>relevant</w:t>
      </w:r>
      <w:r w:rsidR="00F27CD4" w:rsidRPr="00942352">
        <w:t xml:space="preserve"> examinable period, being: </w:t>
      </w:r>
    </w:p>
    <w:p w14:paraId="24A7F5B3" w14:textId="2CE7D26E" w:rsidR="00F27CD4" w:rsidRPr="00942352" w:rsidRDefault="00155C95" w:rsidP="00155C95">
      <w:pPr>
        <w:pStyle w:val="ListNo2alt"/>
        <w:numPr>
          <w:ilvl w:val="0"/>
          <w:numId w:val="0"/>
        </w:numPr>
        <w:tabs>
          <w:tab w:val="left" w:pos="1440"/>
        </w:tabs>
        <w:ind w:left="1440" w:hanging="720"/>
      </w:pPr>
      <w:r w:rsidRPr="00942352">
        <w:t>(</w:t>
      </w:r>
      <w:proofErr w:type="spellStart"/>
      <w:r w:rsidRPr="00942352">
        <w:t>i</w:t>
      </w:r>
      <w:proofErr w:type="spellEnd"/>
      <w:r w:rsidRPr="00942352">
        <w:t>)</w:t>
      </w:r>
      <w:r w:rsidRPr="00942352">
        <w:tab/>
      </w:r>
      <w:proofErr w:type="gramStart"/>
      <w:r w:rsidR="00F27CD4" w:rsidRPr="00942352">
        <w:t>the</w:t>
      </w:r>
      <w:proofErr w:type="gramEnd"/>
      <w:r w:rsidR="00F27CD4" w:rsidRPr="00942352">
        <w:rPr>
          <w:spacing w:val="-2"/>
        </w:rPr>
        <w:t xml:space="preserve"> </w:t>
      </w:r>
      <w:r w:rsidR="00F27CD4" w:rsidRPr="00942352">
        <w:t>contribution</w:t>
      </w:r>
      <w:r w:rsidR="00F27CD4" w:rsidRPr="00942352">
        <w:rPr>
          <w:spacing w:val="-4"/>
        </w:rPr>
        <w:t xml:space="preserve"> </w:t>
      </w:r>
      <w:r w:rsidR="00235A65" w:rsidRPr="00942352">
        <w:rPr>
          <w:spacing w:val="-4"/>
        </w:rPr>
        <w:t xml:space="preserve">from the Joint Account </w:t>
      </w:r>
      <w:r w:rsidR="00F27CD4" w:rsidRPr="00942352">
        <w:t>to</w:t>
      </w:r>
      <w:r w:rsidR="00F27CD4" w:rsidRPr="00942352">
        <w:rPr>
          <w:spacing w:val="-5"/>
        </w:rPr>
        <w:t xml:space="preserve"> </w:t>
      </w:r>
      <w:r w:rsidR="00F27CD4" w:rsidRPr="00942352">
        <w:t>the</w:t>
      </w:r>
      <w:r w:rsidR="00F27CD4" w:rsidRPr="00942352">
        <w:rPr>
          <w:spacing w:val="-1"/>
        </w:rPr>
        <w:t xml:space="preserve"> </w:t>
      </w:r>
      <w:r w:rsidR="00F27CD4" w:rsidRPr="00942352">
        <w:t>cash</w:t>
      </w:r>
      <w:r w:rsidR="00F27CD4" w:rsidRPr="00942352">
        <w:rPr>
          <w:spacing w:val="-2"/>
        </w:rPr>
        <w:t xml:space="preserve"> </w:t>
      </w:r>
      <w:r w:rsidR="00F27CD4" w:rsidRPr="00942352">
        <w:t>component</w:t>
      </w:r>
      <w:r w:rsidR="00F27CD4" w:rsidRPr="00942352">
        <w:rPr>
          <w:spacing w:val="-4"/>
        </w:rPr>
        <w:t xml:space="preserve"> </w:t>
      </w:r>
      <w:r w:rsidR="00F27CD4" w:rsidRPr="00942352">
        <w:t>of</w:t>
      </w:r>
      <w:r w:rsidR="00F27CD4" w:rsidRPr="00942352">
        <w:rPr>
          <w:spacing w:val="-2"/>
        </w:rPr>
        <w:t xml:space="preserve"> </w:t>
      </w:r>
      <w:r w:rsidR="00F27CD4" w:rsidRPr="00942352">
        <w:t>the</w:t>
      </w:r>
      <w:r w:rsidR="00F27CD4" w:rsidRPr="00942352">
        <w:rPr>
          <w:spacing w:val="-3"/>
        </w:rPr>
        <w:t xml:space="preserve"> </w:t>
      </w:r>
      <w:r w:rsidR="00F27CD4" w:rsidRPr="00942352">
        <w:t>property’s</w:t>
      </w:r>
      <w:r w:rsidR="00F27CD4" w:rsidRPr="00942352">
        <w:rPr>
          <w:spacing w:val="-4"/>
        </w:rPr>
        <w:t xml:space="preserve"> </w:t>
      </w:r>
      <w:r w:rsidR="00F27CD4" w:rsidRPr="00942352">
        <w:t>purchase</w:t>
      </w:r>
      <w:r w:rsidR="00F27CD4" w:rsidRPr="00942352">
        <w:rPr>
          <w:spacing w:val="-4"/>
        </w:rPr>
        <w:t xml:space="preserve"> </w:t>
      </w:r>
      <w:r w:rsidR="00F27CD4" w:rsidRPr="00942352">
        <w:t xml:space="preserve">price and associated expenses; and </w:t>
      </w:r>
    </w:p>
    <w:p w14:paraId="7E638EC5" w14:textId="6126E9E5" w:rsidR="00AB2CCF" w:rsidRPr="00942352" w:rsidRDefault="00155C95" w:rsidP="00155C95">
      <w:pPr>
        <w:pStyle w:val="ListNo2alt"/>
        <w:numPr>
          <w:ilvl w:val="0"/>
          <w:numId w:val="0"/>
        </w:numPr>
        <w:tabs>
          <w:tab w:val="left" w:pos="1440"/>
        </w:tabs>
        <w:ind w:left="1440" w:hanging="720"/>
      </w:pPr>
      <w:r w:rsidRPr="00942352">
        <w:t>(ii)</w:t>
      </w:r>
      <w:r w:rsidRPr="00942352">
        <w:tab/>
      </w:r>
      <w:proofErr w:type="gramStart"/>
      <w:r w:rsidR="00F27CD4" w:rsidRPr="00942352">
        <w:t>the</w:t>
      </w:r>
      <w:proofErr w:type="gramEnd"/>
      <w:r w:rsidR="00F27CD4" w:rsidRPr="00942352">
        <w:t xml:space="preserve"> bankrupt’s contribution</w:t>
      </w:r>
      <w:r w:rsidR="00F27CD4" w:rsidRPr="00942352">
        <w:rPr>
          <w:spacing w:val="-2"/>
        </w:rPr>
        <w:t xml:space="preserve"> </w:t>
      </w:r>
      <w:r w:rsidR="00F27CD4" w:rsidRPr="00942352">
        <w:t>as</w:t>
      </w:r>
      <w:r w:rsidR="00E370EF" w:rsidRPr="00942352">
        <w:t xml:space="preserve"> a</w:t>
      </w:r>
      <w:r w:rsidR="00F27CD4" w:rsidRPr="00942352">
        <w:t xml:space="preserve"> </w:t>
      </w:r>
      <w:r w:rsidR="00DF56D6" w:rsidRPr="00942352">
        <w:t xml:space="preserve">joint </w:t>
      </w:r>
      <w:r w:rsidR="00F27CD4" w:rsidRPr="00942352">
        <w:t>borrower</w:t>
      </w:r>
      <w:r w:rsidR="00F27CD4" w:rsidRPr="00942352">
        <w:rPr>
          <w:spacing w:val="-1"/>
        </w:rPr>
        <w:t xml:space="preserve"> </w:t>
      </w:r>
      <w:r w:rsidR="00F27CD4" w:rsidRPr="00942352">
        <w:t>on</w:t>
      </w:r>
      <w:r w:rsidR="00F27CD4" w:rsidRPr="00942352">
        <w:rPr>
          <w:spacing w:val="-4"/>
        </w:rPr>
        <w:t xml:space="preserve"> </w:t>
      </w:r>
      <w:r w:rsidR="00F27CD4" w:rsidRPr="00942352">
        <w:t>the</w:t>
      </w:r>
      <w:r w:rsidR="00F27CD4" w:rsidRPr="00942352">
        <w:rPr>
          <w:spacing w:val="-2"/>
        </w:rPr>
        <w:t xml:space="preserve"> </w:t>
      </w:r>
      <w:r w:rsidR="00F27CD4" w:rsidRPr="00942352">
        <w:t>loan</w:t>
      </w:r>
      <w:r w:rsidR="00DF56D6" w:rsidRPr="00942352">
        <w:t xml:space="preserve"> of $1.7 million</w:t>
      </w:r>
      <w:r w:rsidR="00F27CD4" w:rsidRPr="00942352">
        <w:rPr>
          <w:spacing w:val="-4"/>
        </w:rPr>
        <w:t xml:space="preserve"> </w:t>
      </w:r>
      <w:r w:rsidR="00F27CD4" w:rsidRPr="00942352">
        <w:t>used</w:t>
      </w:r>
      <w:r w:rsidR="00F27CD4" w:rsidRPr="00942352">
        <w:rPr>
          <w:spacing w:val="-4"/>
        </w:rPr>
        <w:t xml:space="preserve"> </w:t>
      </w:r>
      <w:r w:rsidR="00F27CD4" w:rsidRPr="00942352">
        <w:t>to</w:t>
      </w:r>
      <w:r w:rsidR="00F27CD4" w:rsidRPr="00942352">
        <w:rPr>
          <w:spacing w:val="-5"/>
        </w:rPr>
        <w:t xml:space="preserve"> </w:t>
      </w:r>
      <w:r w:rsidR="00F27CD4" w:rsidRPr="00942352">
        <w:t>fund</w:t>
      </w:r>
      <w:r w:rsidR="00F27CD4" w:rsidRPr="00942352">
        <w:rPr>
          <w:spacing w:val="-1"/>
        </w:rPr>
        <w:t xml:space="preserve"> </w:t>
      </w:r>
      <w:r w:rsidR="00F27CD4" w:rsidRPr="00942352">
        <w:t>the</w:t>
      </w:r>
      <w:r w:rsidR="00F27CD4" w:rsidRPr="00942352">
        <w:rPr>
          <w:spacing w:val="-3"/>
        </w:rPr>
        <w:t xml:space="preserve"> </w:t>
      </w:r>
      <w:r w:rsidR="00F27CD4" w:rsidRPr="00942352">
        <w:t>balance</w:t>
      </w:r>
      <w:r w:rsidR="00F27CD4" w:rsidRPr="00942352">
        <w:rPr>
          <w:spacing w:val="-2"/>
        </w:rPr>
        <w:t xml:space="preserve"> </w:t>
      </w:r>
      <w:r w:rsidR="00F27CD4" w:rsidRPr="00942352">
        <w:t>of</w:t>
      </w:r>
      <w:r w:rsidR="00F27CD4" w:rsidRPr="00942352">
        <w:rPr>
          <w:spacing w:val="-4"/>
        </w:rPr>
        <w:t xml:space="preserve"> </w:t>
      </w:r>
      <w:r w:rsidR="00F27CD4" w:rsidRPr="00942352">
        <w:t>the purchase price;</w:t>
      </w:r>
    </w:p>
    <w:p w14:paraId="6D30C2B7" w14:textId="780B3616" w:rsidR="00F27CD4" w:rsidRPr="00942352" w:rsidRDefault="00155C95" w:rsidP="00155C95">
      <w:pPr>
        <w:pStyle w:val="ListNo1alt"/>
        <w:numPr>
          <w:ilvl w:val="0"/>
          <w:numId w:val="0"/>
        </w:numPr>
        <w:tabs>
          <w:tab w:val="left" w:pos="720"/>
        </w:tabs>
        <w:ind w:left="720" w:hanging="720"/>
      </w:pPr>
      <w:r w:rsidRPr="00942352">
        <w:t>(c)</w:t>
      </w:r>
      <w:r w:rsidRPr="00942352">
        <w:tab/>
      </w:r>
      <w:proofErr w:type="gramStart"/>
      <w:r w:rsidR="00F27CD4" w:rsidRPr="00942352">
        <w:t>it</w:t>
      </w:r>
      <w:proofErr w:type="gramEnd"/>
      <w:r w:rsidR="00F27CD4" w:rsidRPr="00942352">
        <w:t xml:space="preserve"> is admitted that the bankrupt used or derived a benefit from the North Balgowlah</w:t>
      </w:r>
      <w:r w:rsidR="00F27CD4" w:rsidRPr="00942352">
        <w:rPr>
          <w:spacing w:val="-3"/>
        </w:rPr>
        <w:t xml:space="preserve"> </w:t>
      </w:r>
      <w:r w:rsidR="00AC3253" w:rsidRPr="00942352">
        <w:t>property</w:t>
      </w:r>
      <w:r w:rsidR="00F27CD4" w:rsidRPr="00942352">
        <w:rPr>
          <w:spacing w:val="-4"/>
        </w:rPr>
        <w:t xml:space="preserve"> </w:t>
      </w:r>
      <w:r w:rsidR="00F27CD4" w:rsidRPr="00942352">
        <w:t>during</w:t>
      </w:r>
      <w:r w:rsidR="00F27CD4" w:rsidRPr="00942352">
        <w:rPr>
          <w:spacing w:val="-4"/>
        </w:rPr>
        <w:t xml:space="preserve"> </w:t>
      </w:r>
      <w:r w:rsidR="00F27CD4" w:rsidRPr="00942352">
        <w:t>the</w:t>
      </w:r>
      <w:r w:rsidR="00F27CD4" w:rsidRPr="00942352">
        <w:rPr>
          <w:spacing w:val="-5"/>
        </w:rPr>
        <w:t xml:space="preserve"> </w:t>
      </w:r>
      <w:r w:rsidR="00F27CD4" w:rsidRPr="00942352">
        <w:t>examinable</w:t>
      </w:r>
      <w:r w:rsidR="00F27CD4" w:rsidRPr="00942352">
        <w:rPr>
          <w:spacing w:val="-3"/>
        </w:rPr>
        <w:t xml:space="preserve"> </w:t>
      </w:r>
      <w:r w:rsidR="00F27CD4" w:rsidRPr="00942352">
        <w:t>period</w:t>
      </w:r>
      <w:r w:rsidR="00F27CD4" w:rsidRPr="00942352">
        <w:rPr>
          <w:spacing w:val="-5"/>
        </w:rPr>
        <w:t xml:space="preserve"> </w:t>
      </w:r>
      <w:r w:rsidR="00F27CD4" w:rsidRPr="00942352">
        <w:t>(it</w:t>
      </w:r>
      <w:r w:rsidR="00F27CD4" w:rsidRPr="00942352">
        <w:rPr>
          <w:spacing w:val="-6"/>
        </w:rPr>
        <w:t xml:space="preserve"> </w:t>
      </w:r>
      <w:r w:rsidR="00F27CD4" w:rsidRPr="00942352">
        <w:t>becoming,</w:t>
      </w:r>
      <w:r w:rsidR="00F27CD4" w:rsidRPr="00942352">
        <w:rPr>
          <w:spacing w:val="-2"/>
        </w:rPr>
        <w:t xml:space="preserve"> </w:t>
      </w:r>
      <w:r w:rsidR="00F27CD4" w:rsidRPr="00942352">
        <w:t>and</w:t>
      </w:r>
      <w:r w:rsidR="00F27CD4" w:rsidRPr="00942352">
        <w:rPr>
          <w:spacing w:val="-6"/>
        </w:rPr>
        <w:t xml:space="preserve"> </w:t>
      </w:r>
      <w:r w:rsidR="00F27CD4" w:rsidRPr="00942352">
        <w:t>remaining to this day, his home); and</w:t>
      </w:r>
    </w:p>
    <w:p w14:paraId="02AAEA95" w14:textId="55855B44" w:rsidR="00F27CD4" w:rsidRPr="00942352" w:rsidRDefault="00155C95" w:rsidP="00155C95">
      <w:pPr>
        <w:pStyle w:val="ListNo1alt"/>
        <w:numPr>
          <w:ilvl w:val="0"/>
          <w:numId w:val="0"/>
        </w:numPr>
        <w:tabs>
          <w:tab w:val="left" w:pos="720"/>
        </w:tabs>
        <w:ind w:left="720" w:hanging="720"/>
      </w:pPr>
      <w:r w:rsidRPr="00942352">
        <w:t>(d)</w:t>
      </w:r>
      <w:r w:rsidRPr="00942352">
        <w:tab/>
      </w:r>
      <w:proofErr w:type="gramStart"/>
      <w:r w:rsidR="00F27CD4" w:rsidRPr="00942352">
        <w:t>the</w:t>
      </w:r>
      <w:proofErr w:type="gramEnd"/>
      <w:r w:rsidR="00F27CD4" w:rsidRPr="00942352">
        <w:rPr>
          <w:spacing w:val="-5"/>
        </w:rPr>
        <w:t xml:space="preserve"> </w:t>
      </w:r>
      <w:r w:rsidR="0077665E" w:rsidRPr="00942352">
        <w:rPr>
          <w:spacing w:val="-5"/>
        </w:rPr>
        <w:t>r</w:t>
      </w:r>
      <w:r w:rsidR="00F27CD4" w:rsidRPr="00942352">
        <w:t>espondent</w:t>
      </w:r>
      <w:r w:rsidR="00F27CD4" w:rsidRPr="00942352">
        <w:rPr>
          <w:spacing w:val="-3"/>
        </w:rPr>
        <w:t xml:space="preserve"> </w:t>
      </w:r>
      <w:r w:rsidR="00F27CD4" w:rsidRPr="00942352">
        <w:t>still</w:t>
      </w:r>
      <w:r w:rsidR="00F27CD4" w:rsidRPr="00942352">
        <w:rPr>
          <w:spacing w:val="-4"/>
        </w:rPr>
        <w:t xml:space="preserve"> </w:t>
      </w:r>
      <w:r w:rsidR="00F27CD4" w:rsidRPr="00942352">
        <w:t>owns</w:t>
      </w:r>
      <w:r w:rsidR="00F27CD4" w:rsidRPr="00942352">
        <w:rPr>
          <w:spacing w:val="-2"/>
        </w:rPr>
        <w:t xml:space="preserve"> </w:t>
      </w:r>
      <w:r w:rsidR="00F27CD4" w:rsidRPr="00942352">
        <w:t>the</w:t>
      </w:r>
      <w:r w:rsidR="00F27CD4" w:rsidRPr="00942352">
        <w:rPr>
          <w:spacing w:val="-6"/>
        </w:rPr>
        <w:t xml:space="preserve"> </w:t>
      </w:r>
      <w:r w:rsidR="00F27CD4" w:rsidRPr="00942352">
        <w:t>North</w:t>
      </w:r>
      <w:r w:rsidR="00F27CD4" w:rsidRPr="00942352">
        <w:rPr>
          <w:spacing w:val="-4"/>
        </w:rPr>
        <w:t xml:space="preserve"> </w:t>
      </w:r>
      <w:r w:rsidR="00F27CD4" w:rsidRPr="00942352">
        <w:t>Balgowlah</w:t>
      </w:r>
      <w:r w:rsidR="00F27CD4" w:rsidRPr="00942352">
        <w:rPr>
          <w:spacing w:val="-6"/>
        </w:rPr>
        <w:t xml:space="preserve"> </w:t>
      </w:r>
      <w:r w:rsidR="00AC3253" w:rsidRPr="00942352">
        <w:rPr>
          <w:spacing w:val="-2"/>
        </w:rPr>
        <w:t>property</w:t>
      </w:r>
      <w:r w:rsidR="00F27CD4" w:rsidRPr="00942352">
        <w:rPr>
          <w:spacing w:val="-2"/>
        </w:rPr>
        <w:t>.</w:t>
      </w:r>
    </w:p>
    <w:p w14:paraId="71F61298" w14:textId="5040D29F" w:rsidR="00F27CD4" w:rsidRPr="00942352" w:rsidRDefault="00155C95" w:rsidP="00155C95">
      <w:pPr>
        <w:pStyle w:val="ParaNumbering"/>
        <w:numPr>
          <w:ilvl w:val="0"/>
          <w:numId w:val="0"/>
        </w:numPr>
        <w:ind w:hanging="720"/>
      </w:pPr>
      <w:bookmarkStart w:id="103" w:name="_Ref128650847"/>
      <w:r w:rsidRPr="00942352">
        <w:rPr>
          <w:sz w:val="20"/>
        </w:rPr>
        <w:t>160</w:t>
      </w:r>
      <w:r w:rsidRPr="00942352">
        <w:rPr>
          <w:sz w:val="20"/>
        </w:rPr>
        <w:tab/>
      </w:r>
      <w:r w:rsidR="00F27CD4" w:rsidRPr="00942352">
        <w:t xml:space="preserve">Accordingly, according to the </w:t>
      </w:r>
      <w:r w:rsidR="0072486F" w:rsidRPr="00942352">
        <w:t>trustee</w:t>
      </w:r>
      <w:r w:rsidR="00F27CD4" w:rsidRPr="00942352">
        <w:t>,</w:t>
      </w:r>
      <w:r w:rsidR="00F27CD4" w:rsidRPr="00942352">
        <w:rPr>
          <w:spacing w:val="-2"/>
        </w:rPr>
        <w:t xml:space="preserve"> </w:t>
      </w:r>
      <w:r w:rsidR="00F27CD4" w:rsidRPr="00942352">
        <w:t>the</w:t>
      </w:r>
      <w:r w:rsidR="00F27CD4" w:rsidRPr="00942352">
        <w:rPr>
          <w:spacing w:val="-2"/>
        </w:rPr>
        <w:t xml:space="preserve"> </w:t>
      </w:r>
      <w:r w:rsidR="00F27CD4" w:rsidRPr="00942352">
        <w:t>only</w:t>
      </w:r>
      <w:r w:rsidR="00F27CD4" w:rsidRPr="00942352">
        <w:rPr>
          <w:spacing w:val="-4"/>
        </w:rPr>
        <w:t xml:space="preserve"> </w:t>
      </w:r>
      <w:r w:rsidR="00F27CD4" w:rsidRPr="00942352">
        <w:t>real</w:t>
      </w:r>
      <w:r w:rsidR="00F27CD4" w:rsidRPr="00942352">
        <w:rPr>
          <w:spacing w:val="-2"/>
        </w:rPr>
        <w:t xml:space="preserve"> </w:t>
      </w:r>
      <w:r w:rsidR="00F27CD4" w:rsidRPr="00942352">
        <w:t>question</w:t>
      </w:r>
      <w:r w:rsidR="00F27CD4" w:rsidRPr="00942352">
        <w:rPr>
          <w:spacing w:val="-2"/>
        </w:rPr>
        <w:t xml:space="preserve"> </w:t>
      </w:r>
      <w:r w:rsidR="00F27CD4" w:rsidRPr="00942352">
        <w:t>is</w:t>
      </w:r>
      <w:r w:rsidR="00F27CD4" w:rsidRPr="00942352">
        <w:rPr>
          <w:spacing w:val="-2"/>
        </w:rPr>
        <w:t xml:space="preserve"> </w:t>
      </w:r>
      <w:r w:rsidR="00F27CD4" w:rsidRPr="00942352">
        <w:t>what</w:t>
      </w:r>
      <w:r w:rsidR="00F27CD4" w:rsidRPr="00942352">
        <w:rPr>
          <w:spacing w:val="-4"/>
        </w:rPr>
        <w:t xml:space="preserve"> </w:t>
      </w:r>
      <w:r w:rsidR="00F27CD4" w:rsidRPr="00942352">
        <w:t>(if</w:t>
      </w:r>
      <w:r w:rsidR="00F27CD4" w:rsidRPr="00942352">
        <w:rPr>
          <w:spacing w:val="-2"/>
        </w:rPr>
        <w:t xml:space="preserve"> </w:t>
      </w:r>
      <w:r w:rsidR="00F27CD4" w:rsidRPr="00942352">
        <w:t>any)</w:t>
      </w:r>
      <w:r w:rsidR="00F27CD4" w:rsidRPr="00942352">
        <w:rPr>
          <w:spacing w:val="-2"/>
        </w:rPr>
        <w:t xml:space="preserve"> </w:t>
      </w:r>
      <w:r w:rsidR="00F27CD4" w:rsidRPr="00942352">
        <w:t>order</w:t>
      </w:r>
      <w:r w:rsidR="00F27CD4" w:rsidRPr="00942352">
        <w:rPr>
          <w:spacing w:val="-2"/>
        </w:rPr>
        <w:t xml:space="preserve"> </w:t>
      </w:r>
      <w:r w:rsidR="00F27CD4" w:rsidRPr="00942352">
        <w:t>the</w:t>
      </w:r>
      <w:r w:rsidR="00F27CD4" w:rsidRPr="00942352">
        <w:rPr>
          <w:spacing w:val="-1"/>
        </w:rPr>
        <w:t xml:space="preserve"> </w:t>
      </w:r>
      <w:r w:rsidR="00F27CD4" w:rsidRPr="00942352">
        <w:t>Court</w:t>
      </w:r>
      <w:r w:rsidR="00F27CD4" w:rsidRPr="00942352">
        <w:rPr>
          <w:spacing w:val="-4"/>
        </w:rPr>
        <w:t xml:space="preserve"> </w:t>
      </w:r>
      <w:r w:rsidR="00F27CD4" w:rsidRPr="00942352">
        <w:t>should</w:t>
      </w:r>
      <w:r w:rsidR="00F27CD4" w:rsidRPr="00942352">
        <w:rPr>
          <w:spacing w:val="-5"/>
        </w:rPr>
        <w:t xml:space="preserve"> </w:t>
      </w:r>
      <w:r w:rsidR="00F27CD4" w:rsidRPr="00942352">
        <w:t>make</w:t>
      </w:r>
      <w:r w:rsidR="00F27CD4" w:rsidRPr="00942352">
        <w:rPr>
          <w:spacing w:val="-2"/>
        </w:rPr>
        <w:t xml:space="preserve"> </w:t>
      </w:r>
      <w:r w:rsidR="00F27CD4" w:rsidRPr="00942352">
        <w:t xml:space="preserve">in exercise of its discretion pursuant to </w:t>
      </w:r>
      <w:r w:rsidR="00E65424" w:rsidRPr="00942352">
        <w:t>s 139DA</w:t>
      </w:r>
      <w:r w:rsidR="00F27CD4" w:rsidRPr="00942352">
        <w:t>.</w:t>
      </w:r>
      <w:bookmarkEnd w:id="103"/>
      <w:r w:rsidR="009514E2" w:rsidRPr="00942352">
        <w:t xml:space="preserve"> </w:t>
      </w:r>
    </w:p>
    <w:p w14:paraId="04B2AAC8" w14:textId="43AC9E47" w:rsidR="00423323" w:rsidRPr="00942352" w:rsidRDefault="00155C95" w:rsidP="00155C95">
      <w:pPr>
        <w:pStyle w:val="ParaNumbering"/>
        <w:numPr>
          <w:ilvl w:val="0"/>
          <w:numId w:val="0"/>
        </w:numPr>
        <w:ind w:hanging="720"/>
        <w:rPr>
          <w:lang w:eastAsia="en-AU"/>
        </w:rPr>
      </w:pPr>
      <w:r w:rsidRPr="00942352">
        <w:rPr>
          <w:sz w:val="20"/>
          <w:lang w:eastAsia="en-AU"/>
        </w:rPr>
        <w:t>161</w:t>
      </w:r>
      <w:r w:rsidRPr="00942352">
        <w:rPr>
          <w:sz w:val="20"/>
          <w:lang w:eastAsia="en-AU"/>
        </w:rPr>
        <w:tab/>
      </w:r>
      <w:r w:rsidR="00423323" w:rsidRPr="00942352">
        <w:rPr>
          <w:lang w:eastAsia="en-AU"/>
        </w:rPr>
        <w:t xml:space="preserve">The relevant </w:t>
      </w:r>
      <w:r w:rsidR="00AD248F" w:rsidRPr="00942352">
        <w:rPr>
          <w:lang w:eastAsia="en-AU"/>
        </w:rPr>
        <w:t xml:space="preserve">pleaded </w:t>
      </w:r>
      <w:r w:rsidR="00423323" w:rsidRPr="00942352">
        <w:rPr>
          <w:lang w:eastAsia="en-AU"/>
        </w:rPr>
        <w:t xml:space="preserve">“contribution” for the purpose of s </w:t>
      </w:r>
      <w:proofErr w:type="gramStart"/>
      <w:r w:rsidR="00423323" w:rsidRPr="00942352">
        <w:rPr>
          <w:lang w:eastAsia="en-AU"/>
        </w:rPr>
        <w:t>139DA(</w:t>
      </w:r>
      <w:proofErr w:type="gramEnd"/>
      <w:r w:rsidR="00423323" w:rsidRPr="00942352">
        <w:rPr>
          <w:lang w:eastAsia="en-AU"/>
        </w:rPr>
        <w:t xml:space="preserve">a), </w:t>
      </w:r>
      <w:r w:rsidR="00AD248F" w:rsidRPr="00942352">
        <w:rPr>
          <w:lang w:eastAsia="en-AU"/>
        </w:rPr>
        <w:t>comprises</w:t>
      </w:r>
      <w:r w:rsidR="00423323" w:rsidRPr="00942352">
        <w:rPr>
          <w:lang w:eastAsia="en-AU"/>
        </w:rPr>
        <w:t>:</w:t>
      </w:r>
    </w:p>
    <w:p w14:paraId="6EC084B7" w14:textId="47074890" w:rsidR="00821FEB" w:rsidRPr="00942352" w:rsidRDefault="00821FEB" w:rsidP="00821FEB">
      <w:pPr>
        <w:pStyle w:val="Quote1"/>
        <w:rPr>
          <w:lang w:eastAsia="en-AU"/>
        </w:rPr>
      </w:pPr>
      <w:r w:rsidRPr="00942352">
        <w:rPr>
          <w:lang w:eastAsia="en-AU"/>
        </w:rPr>
        <w:t>The monies required for the purchase of the North Balgowlah Property were provided:</w:t>
      </w:r>
    </w:p>
    <w:p w14:paraId="05BEB8CD" w14:textId="1C44EF5F" w:rsidR="00821FEB" w:rsidRPr="00942352" w:rsidRDefault="00821FEB" w:rsidP="00821FEB">
      <w:pPr>
        <w:pStyle w:val="Quote1"/>
        <w:ind w:left="1440" w:hanging="703"/>
        <w:rPr>
          <w:lang w:eastAsia="en-AU"/>
        </w:rPr>
      </w:pPr>
      <w:r w:rsidRPr="00942352">
        <w:rPr>
          <w:lang w:eastAsia="en-AU"/>
        </w:rPr>
        <w:t xml:space="preserve">(a) </w:t>
      </w:r>
      <w:r w:rsidRPr="00942352">
        <w:rPr>
          <w:lang w:eastAsia="en-AU"/>
        </w:rPr>
        <w:tab/>
        <w:t>By a sum of $90,000 (“</w:t>
      </w:r>
      <w:r w:rsidRPr="00942352">
        <w:rPr>
          <w:b/>
          <w:bCs/>
          <w:lang w:eastAsia="en-AU"/>
        </w:rPr>
        <w:t>the Deposit</w:t>
      </w:r>
      <w:r w:rsidRPr="00942352">
        <w:rPr>
          <w:lang w:eastAsia="en-AU"/>
        </w:rPr>
        <w:t>”) paid on 28 July 2014 as a deposit from funds held in a joint account in the name of the Bankrupt and Ms Murray with the Commonwealth Bank of Australia, being account ending in #777 (“</w:t>
      </w:r>
      <w:r w:rsidRPr="00942352">
        <w:rPr>
          <w:b/>
          <w:bCs/>
          <w:lang w:eastAsia="en-AU"/>
        </w:rPr>
        <w:t>the Joint</w:t>
      </w:r>
      <w:r w:rsidRPr="00942352">
        <w:rPr>
          <w:lang w:eastAsia="en-AU"/>
        </w:rPr>
        <w:t xml:space="preserve"> </w:t>
      </w:r>
      <w:r w:rsidRPr="00942352">
        <w:rPr>
          <w:b/>
          <w:bCs/>
          <w:lang w:eastAsia="en-AU"/>
        </w:rPr>
        <w:t>Account</w:t>
      </w:r>
      <w:r w:rsidRPr="00942352">
        <w:rPr>
          <w:lang w:eastAsia="en-AU"/>
        </w:rPr>
        <w:t>”);</w:t>
      </w:r>
    </w:p>
    <w:p w14:paraId="063E5E22" w14:textId="2B1178E5" w:rsidR="00821FEB" w:rsidRPr="00942352" w:rsidRDefault="00821FEB" w:rsidP="00821FEB">
      <w:pPr>
        <w:pStyle w:val="Quote1"/>
        <w:ind w:left="1440" w:hanging="703"/>
        <w:rPr>
          <w:lang w:eastAsia="en-AU"/>
        </w:rPr>
      </w:pPr>
      <w:r w:rsidRPr="00942352">
        <w:rPr>
          <w:lang w:eastAsia="en-AU"/>
        </w:rPr>
        <w:t xml:space="preserve">(b) </w:t>
      </w:r>
      <w:r w:rsidRPr="00942352">
        <w:rPr>
          <w:lang w:eastAsia="en-AU"/>
        </w:rPr>
        <w:tab/>
        <w:t>By a further sum of $100,000 (“</w:t>
      </w:r>
      <w:r w:rsidRPr="00942352">
        <w:rPr>
          <w:b/>
          <w:bCs/>
          <w:lang w:eastAsia="en-AU"/>
        </w:rPr>
        <w:t>the Settlement Sum</w:t>
      </w:r>
      <w:r w:rsidRPr="00942352">
        <w:rPr>
          <w:lang w:eastAsia="en-AU"/>
        </w:rPr>
        <w:t>”) paid on 28 November 2014 at settlement from the Joint Account;</w:t>
      </w:r>
    </w:p>
    <w:p w14:paraId="275FE37E" w14:textId="03791A78" w:rsidR="00821FEB" w:rsidRPr="00942352" w:rsidRDefault="00821FEB" w:rsidP="00821FEB">
      <w:pPr>
        <w:pStyle w:val="Quote1"/>
        <w:ind w:left="1440" w:hanging="703"/>
        <w:rPr>
          <w:lang w:eastAsia="en-AU"/>
        </w:rPr>
      </w:pPr>
      <w:r w:rsidRPr="00942352">
        <w:rPr>
          <w:lang w:eastAsia="en-AU"/>
        </w:rPr>
        <w:t xml:space="preserve">(c) </w:t>
      </w:r>
      <w:r w:rsidRPr="00942352">
        <w:rPr>
          <w:lang w:eastAsia="en-AU"/>
        </w:rPr>
        <w:tab/>
        <w:t>By legal fees in the sum of $4,473.86 (“</w:t>
      </w:r>
      <w:r w:rsidRPr="00942352">
        <w:rPr>
          <w:b/>
          <w:bCs/>
          <w:lang w:eastAsia="en-AU"/>
        </w:rPr>
        <w:t>the Legal Fees</w:t>
      </w:r>
      <w:r w:rsidR="00683A46" w:rsidRPr="00942352">
        <w:rPr>
          <w:bCs/>
          <w:lang w:eastAsia="en-AU"/>
        </w:rPr>
        <w:t>”</w:t>
      </w:r>
      <w:r w:rsidRPr="00942352">
        <w:rPr>
          <w:lang w:eastAsia="en-AU"/>
        </w:rPr>
        <w:t>) paid from the Joint Account;</w:t>
      </w:r>
    </w:p>
    <w:p w14:paraId="1700CDDC" w14:textId="22D495FF" w:rsidR="00821FEB" w:rsidRPr="00942352" w:rsidRDefault="00821FEB" w:rsidP="00821FEB">
      <w:pPr>
        <w:pStyle w:val="Quote1"/>
        <w:ind w:left="1440" w:hanging="703"/>
        <w:rPr>
          <w:lang w:eastAsia="en-AU"/>
        </w:rPr>
      </w:pPr>
      <w:r w:rsidRPr="00942352">
        <w:rPr>
          <w:lang w:eastAsia="en-AU"/>
        </w:rPr>
        <w:t xml:space="preserve">(d) </w:t>
      </w:r>
      <w:r w:rsidRPr="00942352">
        <w:rPr>
          <w:lang w:eastAsia="en-AU"/>
        </w:rPr>
        <w:tab/>
        <w:t>By funds borrowed jointly by the Bankrupt and Ms Murray from the Commonwealth Bank of Australia (“</w:t>
      </w:r>
      <w:r w:rsidRPr="00942352">
        <w:rPr>
          <w:b/>
          <w:bCs/>
          <w:lang w:eastAsia="en-AU"/>
        </w:rPr>
        <w:t>CBA</w:t>
      </w:r>
      <w:r w:rsidRPr="00942352">
        <w:rPr>
          <w:lang w:eastAsia="en-AU"/>
        </w:rPr>
        <w:t>”) in the sum of $1,699,850 (“</w:t>
      </w:r>
      <w:r w:rsidRPr="00942352">
        <w:rPr>
          <w:b/>
          <w:bCs/>
          <w:lang w:eastAsia="en-AU"/>
        </w:rPr>
        <w:t>the CBA</w:t>
      </w:r>
      <w:r w:rsidRPr="00942352">
        <w:rPr>
          <w:lang w:eastAsia="en-AU"/>
        </w:rPr>
        <w:t xml:space="preserve"> </w:t>
      </w:r>
      <w:r w:rsidRPr="00942352">
        <w:rPr>
          <w:b/>
          <w:bCs/>
          <w:lang w:eastAsia="en-AU"/>
        </w:rPr>
        <w:t>Loan</w:t>
      </w:r>
      <w:r w:rsidRPr="00942352">
        <w:rPr>
          <w:lang w:eastAsia="en-AU"/>
        </w:rPr>
        <w:t>”).</w:t>
      </w:r>
    </w:p>
    <w:p w14:paraId="41A22485" w14:textId="5CFE48CA" w:rsidR="00683A46" w:rsidRPr="00942352" w:rsidRDefault="00683A46" w:rsidP="00821FEB">
      <w:pPr>
        <w:pStyle w:val="Quote1"/>
        <w:ind w:left="1440" w:hanging="703"/>
        <w:rPr>
          <w:lang w:eastAsia="en-AU"/>
        </w:rPr>
      </w:pPr>
      <w:r w:rsidRPr="00942352">
        <w:rPr>
          <w:lang w:eastAsia="en-AU"/>
        </w:rPr>
        <w:t>(Emphasis in original</w:t>
      </w:r>
      <w:r w:rsidR="00685698" w:rsidRPr="00942352">
        <w:rPr>
          <w:lang w:eastAsia="en-AU"/>
        </w:rPr>
        <w:t>.)</w:t>
      </w:r>
    </w:p>
    <w:p w14:paraId="28F23CBE" w14:textId="0E96A109" w:rsidR="00423323" w:rsidRPr="00942352" w:rsidRDefault="00155C95" w:rsidP="00155C95">
      <w:pPr>
        <w:pStyle w:val="ParaNumbering"/>
        <w:numPr>
          <w:ilvl w:val="0"/>
          <w:numId w:val="0"/>
        </w:numPr>
        <w:ind w:hanging="720"/>
        <w:rPr>
          <w:lang w:eastAsia="en-AU"/>
        </w:rPr>
      </w:pPr>
      <w:r w:rsidRPr="00942352">
        <w:rPr>
          <w:sz w:val="20"/>
          <w:lang w:eastAsia="en-AU"/>
        </w:rPr>
        <w:t>162</w:t>
      </w:r>
      <w:r w:rsidRPr="00942352">
        <w:rPr>
          <w:sz w:val="20"/>
          <w:lang w:eastAsia="en-AU"/>
        </w:rPr>
        <w:tab/>
      </w:r>
      <w:r w:rsidR="00423323" w:rsidRPr="00942352">
        <w:rPr>
          <w:lang w:eastAsia="en-AU"/>
        </w:rPr>
        <w:t xml:space="preserve">In the agreed chronology, the parties agreed that the total sum comprised </w:t>
      </w:r>
      <w:r w:rsidR="00683A46" w:rsidRPr="00942352">
        <w:rPr>
          <w:lang w:eastAsia="en-AU"/>
        </w:rPr>
        <w:t>$197,773.86.</w:t>
      </w:r>
      <w:r w:rsidR="00683A46" w:rsidRPr="00942352">
        <w:rPr>
          <w:b/>
          <w:lang w:eastAsia="en-AU"/>
        </w:rPr>
        <w:t xml:space="preserve"> </w:t>
      </w:r>
    </w:p>
    <w:p w14:paraId="315FC162" w14:textId="695575D7" w:rsidR="00423323" w:rsidRPr="00942352" w:rsidRDefault="00155C95" w:rsidP="00155C95">
      <w:pPr>
        <w:pStyle w:val="ParaNumbering"/>
        <w:numPr>
          <w:ilvl w:val="0"/>
          <w:numId w:val="0"/>
        </w:numPr>
        <w:ind w:hanging="720"/>
        <w:rPr>
          <w:lang w:eastAsia="en-AU"/>
        </w:rPr>
      </w:pPr>
      <w:r w:rsidRPr="00942352">
        <w:rPr>
          <w:sz w:val="20"/>
          <w:lang w:eastAsia="en-AU"/>
        </w:rPr>
        <w:t>163</w:t>
      </w:r>
      <w:r w:rsidRPr="00942352">
        <w:rPr>
          <w:sz w:val="20"/>
          <w:lang w:eastAsia="en-AU"/>
        </w:rPr>
        <w:tab/>
      </w:r>
      <w:r w:rsidR="008E773A" w:rsidRPr="00942352">
        <w:rPr>
          <w:lang w:eastAsia="en-AU"/>
        </w:rPr>
        <w:t>Accordingly, for the purpose of satisfying the elements of s 139DA, putting aside the issue of discretion, t</w:t>
      </w:r>
      <w:r w:rsidR="00423323" w:rsidRPr="00942352">
        <w:rPr>
          <w:lang w:eastAsia="en-AU"/>
        </w:rPr>
        <w:t xml:space="preserve">he </w:t>
      </w:r>
      <w:r w:rsidR="008E773A" w:rsidRPr="00942352">
        <w:rPr>
          <w:lang w:eastAsia="en-AU"/>
        </w:rPr>
        <w:t xml:space="preserve">only </w:t>
      </w:r>
      <w:r w:rsidR="00AD248F" w:rsidRPr="00942352">
        <w:rPr>
          <w:lang w:eastAsia="en-AU"/>
        </w:rPr>
        <w:t>factual</w:t>
      </w:r>
      <w:r w:rsidR="008E773A" w:rsidRPr="00942352">
        <w:rPr>
          <w:lang w:eastAsia="en-AU"/>
        </w:rPr>
        <w:t xml:space="preserve"> </w:t>
      </w:r>
      <w:r w:rsidR="00423323" w:rsidRPr="00942352">
        <w:rPr>
          <w:lang w:eastAsia="en-AU"/>
        </w:rPr>
        <w:t>dispute</w:t>
      </w:r>
      <w:r w:rsidR="00F94F0B" w:rsidRPr="00942352">
        <w:rPr>
          <w:lang w:eastAsia="en-AU"/>
        </w:rPr>
        <w:t xml:space="preserve"> between the parties </w:t>
      </w:r>
      <w:r w:rsidR="00AD248F" w:rsidRPr="00942352">
        <w:rPr>
          <w:lang w:eastAsia="en-AU"/>
        </w:rPr>
        <w:t>concerns</w:t>
      </w:r>
      <w:r w:rsidR="00F94F0B" w:rsidRPr="00942352">
        <w:rPr>
          <w:lang w:eastAsia="en-AU"/>
        </w:rPr>
        <w:t xml:space="preserve"> the second element, namely </w:t>
      </w:r>
      <w:r w:rsidR="008E773A" w:rsidRPr="00942352">
        <w:rPr>
          <w:lang w:eastAsia="en-AU"/>
        </w:rPr>
        <w:t>whether</w:t>
      </w:r>
      <w:r w:rsidR="00F94F0B" w:rsidRPr="00942352">
        <w:rPr>
          <w:lang w:eastAsia="en-AU"/>
        </w:rPr>
        <w:t xml:space="preserve"> the acquisition of North Balgowlah was a direct or indirect result of financial contributions made by the bankrupt during that period.</w:t>
      </w:r>
    </w:p>
    <w:p w14:paraId="0C9F4C3D" w14:textId="09743180" w:rsidR="008E773A" w:rsidRPr="00942352" w:rsidRDefault="008E773A" w:rsidP="008E773A">
      <w:pPr>
        <w:pStyle w:val="Heading4"/>
        <w:rPr>
          <w:lang w:eastAsia="en-AU"/>
        </w:rPr>
      </w:pPr>
      <w:bookmarkStart w:id="104" w:name="_Ref126935785"/>
      <w:r w:rsidRPr="00942352">
        <w:rPr>
          <w:lang w:eastAsia="en-AU"/>
        </w:rPr>
        <w:lastRenderedPageBreak/>
        <w:t>Whether the respondent acquired the estate as a direct or indirect result of the bankrupt’s contribution</w:t>
      </w:r>
      <w:bookmarkEnd w:id="104"/>
    </w:p>
    <w:p w14:paraId="26D8D679" w14:textId="01D1D142" w:rsidR="007B087E" w:rsidRPr="00942352" w:rsidRDefault="00155C95" w:rsidP="00155C95">
      <w:pPr>
        <w:pStyle w:val="ParaNumbering"/>
        <w:numPr>
          <w:ilvl w:val="0"/>
          <w:numId w:val="0"/>
        </w:numPr>
        <w:ind w:hanging="720"/>
      </w:pPr>
      <w:r w:rsidRPr="00942352">
        <w:rPr>
          <w:sz w:val="20"/>
        </w:rPr>
        <w:t>164</w:t>
      </w:r>
      <w:r w:rsidRPr="00942352">
        <w:rPr>
          <w:sz w:val="20"/>
        </w:rPr>
        <w:tab/>
      </w:r>
      <w:r w:rsidR="007B087E" w:rsidRPr="00942352">
        <w:rPr>
          <w:lang w:eastAsia="en-AU"/>
        </w:rPr>
        <w:t xml:space="preserve">The trustee gave evidence that he undertook </w:t>
      </w:r>
      <w:r w:rsidR="007B087E" w:rsidRPr="00942352">
        <w:t xml:space="preserve">an analysis of the Joint Account during the period of the above-mentioned property transactions, which is extracted as follows: </w:t>
      </w:r>
    </w:p>
    <w:p w14:paraId="67A8B72C" w14:textId="77777777" w:rsidR="007B087E" w:rsidRPr="00942352" w:rsidRDefault="007B087E" w:rsidP="007B087E">
      <w:pPr>
        <w:pStyle w:val="Quote1"/>
        <w:ind w:left="1440" w:hanging="703"/>
      </w:pPr>
      <w:r w:rsidRPr="00942352">
        <w:t xml:space="preserve">56. </w:t>
      </w:r>
      <w:r w:rsidRPr="00942352">
        <w:tab/>
        <w:t xml:space="preserve">From my Investigations, the following table summarises the source and application of funds deposited to the Joint Account during the period 11 April 2014 to 28 November 2014: </w:t>
      </w:r>
    </w:p>
    <w:tbl>
      <w:tblPr>
        <w:tblStyle w:val="TableGrid"/>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6"/>
        <w:gridCol w:w="1321"/>
        <w:gridCol w:w="1890"/>
        <w:gridCol w:w="1894"/>
      </w:tblGrid>
      <w:tr w:rsidR="007B087E" w:rsidRPr="00942352" w14:paraId="7B57A054" w14:textId="77777777" w:rsidTr="004A5066">
        <w:tc>
          <w:tcPr>
            <w:tcW w:w="7577" w:type="dxa"/>
            <w:gridSpan w:val="4"/>
            <w:shd w:val="clear" w:color="auto" w:fill="F2F2F2" w:themeFill="background1" w:themeFillShade="F2"/>
            <w:vAlign w:val="center"/>
          </w:tcPr>
          <w:p w14:paraId="4E87FD4F" w14:textId="77777777" w:rsidR="007B087E" w:rsidRPr="00942352" w:rsidRDefault="007B087E" w:rsidP="00C54C52">
            <w:pPr>
              <w:pStyle w:val="Small-TableswithinQuotes"/>
              <w:jc w:val="center"/>
              <w:rPr>
                <w:b/>
              </w:rPr>
            </w:pPr>
            <w:r w:rsidRPr="00942352">
              <w:tab/>
            </w:r>
            <w:r w:rsidRPr="00942352">
              <w:rPr>
                <w:b/>
              </w:rPr>
              <w:t>Bankrupt Estate of James Edward Murray</w:t>
            </w:r>
          </w:p>
          <w:p w14:paraId="520D8FDF" w14:textId="77777777" w:rsidR="007B087E" w:rsidRPr="00942352" w:rsidRDefault="007B087E" w:rsidP="00C54C52">
            <w:pPr>
              <w:pStyle w:val="Small-TableswithinQuotes"/>
              <w:jc w:val="center"/>
              <w:rPr>
                <w:b/>
              </w:rPr>
            </w:pPr>
            <w:r w:rsidRPr="00942352">
              <w:rPr>
                <w:b/>
              </w:rPr>
              <w:t>Source and Application of Funds in CBA Joint Account</w:t>
            </w:r>
          </w:p>
          <w:p w14:paraId="6D55457C" w14:textId="77777777" w:rsidR="007B087E" w:rsidRPr="00942352" w:rsidRDefault="007B087E" w:rsidP="00C54C52">
            <w:pPr>
              <w:pStyle w:val="Small-TableswithinQuotes"/>
              <w:jc w:val="center"/>
              <w:rPr>
                <w:b/>
              </w:rPr>
            </w:pPr>
            <w:r w:rsidRPr="00942352">
              <w:rPr>
                <w:b/>
              </w:rPr>
              <w:t>11 April 2014 to 28 November 2014</w:t>
            </w:r>
          </w:p>
        </w:tc>
      </w:tr>
      <w:tr w:rsidR="007B087E" w:rsidRPr="00942352" w14:paraId="451BF2BD" w14:textId="77777777" w:rsidTr="004A5066">
        <w:tc>
          <w:tcPr>
            <w:tcW w:w="2467" w:type="dxa"/>
          </w:tcPr>
          <w:p w14:paraId="6BAEA123" w14:textId="77777777" w:rsidR="007B087E" w:rsidRPr="00942352" w:rsidRDefault="007B087E" w:rsidP="00C54C52">
            <w:pPr>
              <w:pStyle w:val="Small-TableswithinQuotes"/>
            </w:pPr>
            <w:r w:rsidRPr="00942352">
              <w:t>Opening Balance 11 April 2014</w:t>
            </w:r>
          </w:p>
        </w:tc>
        <w:tc>
          <w:tcPr>
            <w:tcW w:w="1321" w:type="dxa"/>
          </w:tcPr>
          <w:p w14:paraId="2568A7D7" w14:textId="77777777" w:rsidR="007B087E" w:rsidRPr="00942352" w:rsidRDefault="007B087E" w:rsidP="00C54C52">
            <w:pPr>
              <w:pStyle w:val="Small-TableswithinQuotes"/>
            </w:pPr>
          </w:p>
        </w:tc>
        <w:tc>
          <w:tcPr>
            <w:tcW w:w="1894" w:type="dxa"/>
          </w:tcPr>
          <w:p w14:paraId="3AFB9AC7" w14:textId="77777777" w:rsidR="007B087E" w:rsidRPr="00942352" w:rsidRDefault="007B087E" w:rsidP="00C54C52">
            <w:pPr>
              <w:pStyle w:val="Small-TableswithinQuotes"/>
            </w:pPr>
          </w:p>
        </w:tc>
        <w:tc>
          <w:tcPr>
            <w:tcW w:w="1895" w:type="dxa"/>
          </w:tcPr>
          <w:p w14:paraId="616D9C8F" w14:textId="77777777" w:rsidR="007B087E" w:rsidRPr="00942352" w:rsidRDefault="007B087E" w:rsidP="00C54C52">
            <w:pPr>
              <w:pStyle w:val="Small-TableswithinQuotes"/>
              <w:jc w:val="right"/>
              <w:rPr>
                <w:b/>
              </w:rPr>
            </w:pPr>
            <w:r w:rsidRPr="00942352">
              <w:rPr>
                <w:b/>
              </w:rPr>
              <w:t>$7,900.75</w:t>
            </w:r>
          </w:p>
        </w:tc>
      </w:tr>
      <w:tr w:rsidR="007B087E" w:rsidRPr="00942352" w14:paraId="66F95652" w14:textId="77777777" w:rsidTr="004A5066">
        <w:tc>
          <w:tcPr>
            <w:tcW w:w="2467" w:type="dxa"/>
          </w:tcPr>
          <w:p w14:paraId="5C3C1FDD" w14:textId="77777777" w:rsidR="007B087E" w:rsidRPr="00942352" w:rsidRDefault="007B087E" w:rsidP="00C54C52">
            <w:pPr>
              <w:pStyle w:val="Small-TableswithinQuotes"/>
              <w:rPr>
                <w:b/>
              </w:rPr>
            </w:pPr>
            <w:r w:rsidRPr="00942352">
              <w:rPr>
                <w:b/>
              </w:rPr>
              <w:t>Deposits</w:t>
            </w:r>
          </w:p>
        </w:tc>
        <w:tc>
          <w:tcPr>
            <w:tcW w:w="1321" w:type="dxa"/>
          </w:tcPr>
          <w:p w14:paraId="099F4E02" w14:textId="77777777" w:rsidR="007B087E" w:rsidRPr="00942352" w:rsidRDefault="007B087E" w:rsidP="00C54C52">
            <w:pPr>
              <w:pStyle w:val="Small-TableswithinQuotes"/>
            </w:pPr>
          </w:p>
        </w:tc>
        <w:tc>
          <w:tcPr>
            <w:tcW w:w="1894" w:type="dxa"/>
          </w:tcPr>
          <w:p w14:paraId="3F806BB5" w14:textId="77777777" w:rsidR="007B087E" w:rsidRPr="00942352" w:rsidRDefault="007B087E" w:rsidP="00C54C52">
            <w:pPr>
              <w:pStyle w:val="Small-TableswithinQuotes"/>
            </w:pPr>
          </w:p>
        </w:tc>
        <w:tc>
          <w:tcPr>
            <w:tcW w:w="1895" w:type="dxa"/>
          </w:tcPr>
          <w:p w14:paraId="3CB0D572" w14:textId="77777777" w:rsidR="007B087E" w:rsidRPr="00942352" w:rsidRDefault="007B087E" w:rsidP="00C54C52">
            <w:pPr>
              <w:pStyle w:val="Small-TableswithinQuotes"/>
              <w:jc w:val="right"/>
            </w:pPr>
          </w:p>
        </w:tc>
      </w:tr>
      <w:tr w:rsidR="007B087E" w:rsidRPr="00942352" w14:paraId="3EA4289A" w14:textId="77777777" w:rsidTr="004A5066">
        <w:tc>
          <w:tcPr>
            <w:tcW w:w="2467" w:type="dxa"/>
          </w:tcPr>
          <w:p w14:paraId="067174D0" w14:textId="77777777" w:rsidR="007B087E" w:rsidRPr="00942352" w:rsidRDefault="007B087E" w:rsidP="00C54C52">
            <w:pPr>
              <w:pStyle w:val="Small-TableswithinQuotes"/>
            </w:pPr>
            <w:r w:rsidRPr="00942352">
              <w:t>Settlement Proceeds of Boyce Road Property (100% Bankrupt)</w:t>
            </w:r>
          </w:p>
        </w:tc>
        <w:tc>
          <w:tcPr>
            <w:tcW w:w="1321" w:type="dxa"/>
          </w:tcPr>
          <w:p w14:paraId="499B0E0D" w14:textId="77777777" w:rsidR="007B087E" w:rsidRPr="00942352" w:rsidRDefault="007B087E" w:rsidP="00C54C52">
            <w:pPr>
              <w:pStyle w:val="Small-TableswithinQuotes"/>
            </w:pPr>
          </w:p>
        </w:tc>
        <w:tc>
          <w:tcPr>
            <w:tcW w:w="1894" w:type="dxa"/>
          </w:tcPr>
          <w:p w14:paraId="5C76F54B" w14:textId="77777777" w:rsidR="007B087E" w:rsidRPr="00942352" w:rsidRDefault="007B087E" w:rsidP="00C54C52">
            <w:pPr>
              <w:pStyle w:val="Small-TableswithinQuotes"/>
            </w:pPr>
          </w:p>
        </w:tc>
        <w:tc>
          <w:tcPr>
            <w:tcW w:w="1895" w:type="dxa"/>
          </w:tcPr>
          <w:p w14:paraId="5AAD1FA7" w14:textId="77777777" w:rsidR="007B087E" w:rsidRPr="00942352" w:rsidRDefault="007B087E" w:rsidP="00C54C52">
            <w:pPr>
              <w:pStyle w:val="Small-TableswithinQuotes"/>
              <w:jc w:val="right"/>
            </w:pPr>
            <w:r w:rsidRPr="00942352">
              <w:t>$330,067.31</w:t>
            </w:r>
          </w:p>
        </w:tc>
      </w:tr>
      <w:tr w:rsidR="007B087E" w:rsidRPr="00942352" w14:paraId="44EA11FF" w14:textId="77777777" w:rsidTr="004A5066">
        <w:tc>
          <w:tcPr>
            <w:tcW w:w="2467" w:type="dxa"/>
          </w:tcPr>
          <w:p w14:paraId="3AB67B1B" w14:textId="77777777" w:rsidR="007B087E" w:rsidRPr="00942352" w:rsidRDefault="007B087E" w:rsidP="00C54C52">
            <w:pPr>
              <w:pStyle w:val="Small-TableswithinQuotes"/>
            </w:pPr>
            <w:r w:rsidRPr="00942352">
              <w:t>Settlement Proceeds of Anzac Parade Property</w:t>
            </w:r>
          </w:p>
        </w:tc>
        <w:tc>
          <w:tcPr>
            <w:tcW w:w="1321" w:type="dxa"/>
          </w:tcPr>
          <w:p w14:paraId="059D8883" w14:textId="77777777" w:rsidR="007B087E" w:rsidRPr="00942352" w:rsidRDefault="007B087E" w:rsidP="00C54C52">
            <w:pPr>
              <w:pStyle w:val="Small-TableswithinQuotes"/>
            </w:pPr>
          </w:p>
        </w:tc>
        <w:tc>
          <w:tcPr>
            <w:tcW w:w="1894" w:type="dxa"/>
          </w:tcPr>
          <w:p w14:paraId="078ACAEE" w14:textId="77777777" w:rsidR="007B087E" w:rsidRPr="00942352" w:rsidRDefault="007B087E" w:rsidP="00C54C52">
            <w:pPr>
              <w:pStyle w:val="Small-TableswithinQuotes"/>
            </w:pPr>
          </w:p>
        </w:tc>
        <w:tc>
          <w:tcPr>
            <w:tcW w:w="1895" w:type="dxa"/>
          </w:tcPr>
          <w:p w14:paraId="7297CEEB" w14:textId="77777777" w:rsidR="007B087E" w:rsidRPr="00942352" w:rsidRDefault="007B087E" w:rsidP="00C54C52">
            <w:pPr>
              <w:pStyle w:val="Small-TableswithinQuotes"/>
              <w:jc w:val="right"/>
            </w:pPr>
            <w:r w:rsidRPr="00942352">
              <w:t>$110,310.05</w:t>
            </w:r>
          </w:p>
        </w:tc>
      </w:tr>
      <w:tr w:rsidR="007B087E" w:rsidRPr="00942352" w14:paraId="55BF9450" w14:textId="77777777" w:rsidTr="004A5066">
        <w:tc>
          <w:tcPr>
            <w:tcW w:w="2467" w:type="dxa"/>
          </w:tcPr>
          <w:p w14:paraId="62C12A98" w14:textId="662A5A29" w:rsidR="007B087E" w:rsidRPr="00942352" w:rsidRDefault="00155C95" w:rsidP="00155C95">
            <w:pPr>
              <w:pStyle w:val="Small-TableswithinQuotes"/>
              <w:ind w:left="720" w:hanging="360"/>
            </w:pPr>
            <w:r w:rsidRPr="00942352">
              <w:t>-</w:t>
            </w:r>
            <w:r w:rsidRPr="00942352">
              <w:tab/>
            </w:r>
            <w:r w:rsidR="007B087E" w:rsidRPr="00942352">
              <w:t>Bankrupt (99%)</w:t>
            </w:r>
          </w:p>
        </w:tc>
        <w:tc>
          <w:tcPr>
            <w:tcW w:w="1321" w:type="dxa"/>
          </w:tcPr>
          <w:p w14:paraId="278BE396" w14:textId="77777777" w:rsidR="007B087E" w:rsidRPr="00942352" w:rsidRDefault="007B087E" w:rsidP="00C54C52">
            <w:pPr>
              <w:pStyle w:val="Small-TableswithinQuotes"/>
              <w:jc w:val="right"/>
            </w:pPr>
            <w:r w:rsidRPr="00942352">
              <w:t>$109,206.95</w:t>
            </w:r>
          </w:p>
        </w:tc>
        <w:tc>
          <w:tcPr>
            <w:tcW w:w="1894" w:type="dxa"/>
          </w:tcPr>
          <w:p w14:paraId="3CA6A737" w14:textId="77777777" w:rsidR="007B087E" w:rsidRPr="00942352" w:rsidRDefault="007B087E" w:rsidP="00C54C52">
            <w:pPr>
              <w:pStyle w:val="Small-TableswithinQuotes"/>
            </w:pPr>
          </w:p>
        </w:tc>
        <w:tc>
          <w:tcPr>
            <w:tcW w:w="1895" w:type="dxa"/>
          </w:tcPr>
          <w:p w14:paraId="6069CBE2" w14:textId="77777777" w:rsidR="007B087E" w:rsidRPr="00942352" w:rsidRDefault="007B087E" w:rsidP="00C54C52">
            <w:pPr>
              <w:pStyle w:val="Small-TableswithinQuotes"/>
              <w:jc w:val="right"/>
            </w:pPr>
          </w:p>
        </w:tc>
      </w:tr>
      <w:tr w:rsidR="007B087E" w:rsidRPr="00942352" w14:paraId="405A8185" w14:textId="77777777" w:rsidTr="004A5066">
        <w:tc>
          <w:tcPr>
            <w:tcW w:w="2467" w:type="dxa"/>
          </w:tcPr>
          <w:p w14:paraId="31A99A87" w14:textId="4F0AA35F" w:rsidR="007B087E" w:rsidRPr="00942352" w:rsidRDefault="00155C95" w:rsidP="00155C95">
            <w:pPr>
              <w:pStyle w:val="Small-TableswithinQuotes"/>
              <w:ind w:left="720" w:hanging="360"/>
            </w:pPr>
            <w:r w:rsidRPr="00942352">
              <w:t>-</w:t>
            </w:r>
            <w:r w:rsidRPr="00942352">
              <w:tab/>
            </w:r>
            <w:r w:rsidR="007B087E" w:rsidRPr="00942352">
              <w:t>Ms Murray (1%)</w:t>
            </w:r>
          </w:p>
        </w:tc>
        <w:tc>
          <w:tcPr>
            <w:tcW w:w="1321" w:type="dxa"/>
          </w:tcPr>
          <w:p w14:paraId="529A023C" w14:textId="77777777" w:rsidR="007B087E" w:rsidRPr="00942352" w:rsidRDefault="007B087E" w:rsidP="00C54C52">
            <w:pPr>
              <w:pStyle w:val="Small-TableswithinQuotes"/>
              <w:jc w:val="right"/>
            </w:pPr>
            <w:r w:rsidRPr="00942352">
              <w:t>$1,103.10</w:t>
            </w:r>
          </w:p>
        </w:tc>
        <w:tc>
          <w:tcPr>
            <w:tcW w:w="1894" w:type="dxa"/>
          </w:tcPr>
          <w:p w14:paraId="7954A5CA" w14:textId="77777777" w:rsidR="007B087E" w:rsidRPr="00942352" w:rsidRDefault="007B087E" w:rsidP="00C54C52">
            <w:pPr>
              <w:pStyle w:val="Small-TableswithinQuotes"/>
            </w:pPr>
          </w:p>
        </w:tc>
        <w:tc>
          <w:tcPr>
            <w:tcW w:w="1895" w:type="dxa"/>
          </w:tcPr>
          <w:p w14:paraId="3F692919" w14:textId="77777777" w:rsidR="007B087E" w:rsidRPr="00942352" w:rsidRDefault="007B087E" w:rsidP="00C54C52">
            <w:pPr>
              <w:pStyle w:val="Small-TableswithinQuotes"/>
              <w:jc w:val="right"/>
            </w:pPr>
          </w:p>
        </w:tc>
      </w:tr>
      <w:tr w:rsidR="007B087E" w:rsidRPr="00942352" w14:paraId="6976CDE3" w14:textId="77777777" w:rsidTr="004A5066">
        <w:tc>
          <w:tcPr>
            <w:tcW w:w="2467" w:type="dxa"/>
          </w:tcPr>
          <w:p w14:paraId="6B279232" w14:textId="77777777" w:rsidR="007B087E" w:rsidRPr="00942352" w:rsidRDefault="007B087E" w:rsidP="00C54C52">
            <w:pPr>
              <w:pStyle w:val="Small-TableswithinQuotes"/>
            </w:pPr>
            <w:r w:rsidRPr="00942352">
              <w:t>Deposits from Ms Murray</w:t>
            </w:r>
          </w:p>
        </w:tc>
        <w:tc>
          <w:tcPr>
            <w:tcW w:w="1321" w:type="dxa"/>
          </w:tcPr>
          <w:p w14:paraId="682081EC" w14:textId="77777777" w:rsidR="007B087E" w:rsidRPr="00942352" w:rsidRDefault="007B087E" w:rsidP="00C54C52">
            <w:pPr>
              <w:pStyle w:val="Small-TableswithinQuotes"/>
            </w:pPr>
          </w:p>
        </w:tc>
        <w:tc>
          <w:tcPr>
            <w:tcW w:w="1894" w:type="dxa"/>
          </w:tcPr>
          <w:p w14:paraId="42251B04" w14:textId="77777777" w:rsidR="007B087E" w:rsidRPr="00942352" w:rsidRDefault="007B087E" w:rsidP="00C54C52">
            <w:pPr>
              <w:pStyle w:val="Small-TableswithinQuotes"/>
            </w:pPr>
          </w:p>
        </w:tc>
        <w:tc>
          <w:tcPr>
            <w:tcW w:w="1895" w:type="dxa"/>
          </w:tcPr>
          <w:p w14:paraId="248A51F4" w14:textId="77777777" w:rsidR="007B087E" w:rsidRPr="00942352" w:rsidRDefault="007B087E" w:rsidP="00C54C52">
            <w:pPr>
              <w:pStyle w:val="Small-TableswithinQuotes"/>
              <w:jc w:val="right"/>
            </w:pPr>
            <w:r w:rsidRPr="00942352">
              <w:t>$19,097.70</w:t>
            </w:r>
          </w:p>
        </w:tc>
      </w:tr>
      <w:tr w:rsidR="007B087E" w:rsidRPr="00942352" w14:paraId="441851ED" w14:textId="77777777" w:rsidTr="004A5066">
        <w:tc>
          <w:tcPr>
            <w:tcW w:w="2467" w:type="dxa"/>
          </w:tcPr>
          <w:p w14:paraId="0DC56BEA" w14:textId="77777777" w:rsidR="007B087E" w:rsidRPr="00942352" w:rsidRDefault="007B087E" w:rsidP="00C54C52">
            <w:pPr>
              <w:pStyle w:val="Small-TableswithinQuotes"/>
            </w:pPr>
            <w:r w:rsidRPr="00942352">
              <w:t xml:space="preserve">Deposits from </w:t>
            </w:r>
            <w:proofErr w:type="spellStart"/>
            <w:r w:rsidRPr="00942352">
              <w:t>Apscore</w:t>
            </w:r>
            <w:proofErr w:type="spellEnd"/>
            <w:r w:rsidRPr="00942352">
              <w:t xml:space="preserve"> International Pty Limited</w:t>
            </w:r>
          </w:p>
        </w:tc>
        <w:tc>
          <w:tcPr>
            <w:tcW w:w="1321" w:type="dxa"/>
          </w:tcPr>
          <w:p w14:paraId="69C99971" w14:textId="77777777" w:rsidR="007B087E" w:rsidRPr="00942352" w:rsidRDefault="007B087E" w:rsidP="00C54C52">
            <w:pPr>
              <w:pStyle w:val="Small-TableswithinQuotes"/>
            </w:pPr>
          </w:p>
        </w:tc>
        <w:tc>
          <w:tcPr>
            <w:tcW w:w="1894" w:type="dxa"/>
          </w:tcPr>
          <w:p w14:paraId="76106F0C" w14:textId="77777777" w:rsidR="007B087E" w:rsidRPr="00942352" w:rsidRDefault="007B087E" w:rsidP="00C54C52">
            <w:pPr>
              <w:pStyle w:val="Small-TableswithinQuotes"/>
            </w:pPr>
          </w:p>
        </w:tc>
        <w:tc>
          <w:tcPr>
            <w:tcW w:w="1895" w:type="dxa"/>
          </w:tcPr>
          <w:p w14:paraId="6F8107E2" w14:textId="77777777" w:rsidR="007B087E" w:rsidRPr="00942352" w:rsidRDefault="007B087E" w:rsidP="00C54C52">
            <w:pPr>
              <w:pStyle w:val="Small-TableswithinQuotes"/>
              <w:jc w:val="right"/>
            </w:pPr>
            <w:r w:rsidRPr="00942352">
              <w:t>$72,000.00</w:t>
            </w:r>
          </w:p>
        </w:tc>
      </w:tr>
      <w:tr w:rsidR="007B087E" w:rsidRPr="00942352" w14:paraId="5CDADA8E" w14:textId="77777777" w:rsidTr="004A5066">
        <w:tc>
          <w:tcPr>
            <w:tcW w:w="2467" w:type="dxa"/>
          </w:tcPr>
          <w:p w14:paraId="740BCF6E" w14:textId="77777777" w:rsidR="007B087E" w:rsidRPr="00942352" w:rsidRDefault="007B087E" w:rsidP="00C54C52">
            <w:pPr>
              <w:pStyle w:val="Small-TableswithinQuotes"/>
            </w:pPr>
            <w:r w:rsidRPr="00942352">
              <w:rPr>
                <w:b/>
              </w:rPr>
              <w:t>TOTAL DEPOSITS</w:t>
            </w:r>
          </w:p>
        </w:tc>
        <w:tc>
          <w:tcPr>
            <w:tcW w:w="1321" w:type="dxa"/>
          </w:tcPr>
          <w:p w14:paraId="0421A31B" w14:textId="77777777" w:rsidR="007B087E" w:rsidRPr="00942352" w:rsidRDefault="007B087E" w:rsidP="00C54C52">
            <w:pPr>
              <w:pStyle w:val="Small-TableswithinQuotes"/>
            </w:pPr>
          </w:p>
        </w:tc>
        <w:tc>
          <w:tcPr>
            <w:tcW w:w="1894" w:type="dxa"/>
          </w:tcPr>
          <w:p w14:paraId="197AE4E7" w14:textId="77777777" w:rsidR="007B087E" w:rsidRPr="00942352" w:rsidRDefault="007B087E" w:rsidP="00C54C52">
            <w:pPr>
              <w:pStyle w:val="Small-TableswithinQuotes"/>
            </w:pPr>
          </w:p>
        </w:tc>
        <w:tc>
          <w:tcPr>
            <w:tcW w:w="1895" w:type="dxa"/>
          </w:tcPr>
          <w:p w14:paraId="1AAC3E33" w14:textId="77777777" w:rsidR="007B087E" w:rsidRPr="00942352" w:rsidRDefault="007B087E" w:rsidP="00C54C52">
            <w:pPr>
              <w:pStyle w:val="Small-TableswithinQuotes"/>
              <w:jc w:val="right"/>
            </w:pPr>
            <w:r w:rsidRPr="00942352">
              <w:rPr>
                <w:b/>
              </w:rPr>
              <w:t>$531,474.56</w:t>
            </w:r>
          </w:p>
        </w:tc>
      </w:tr>
      <w:tr w:rsidR="007B087E" w:rsidRPr="00942352" w14:paraId="3252323C" w14:textId="77777777" w:rsidTr="004A5066">
        <w:tc>
          <w:tcPr>
            <w:tcW w:w="2467" w:type="dxa"/>
          </w:tcPr>
          <w:p w14:paraId="52FF63FC" w14:textId="77777777" w:rsidR="007B087E" w:rsidRPr="00942352" w:rsidRDefault="007B087E" w:rsidP="00C54C52">
            <w:pPr>
              <w:pStyle w:val="Small-TableswithinQuotes"/>
              <w:rPr>
                <w:b/>
              </w:rPr>
            </w:pPr>
          </w:p>
        </w:tc>
        <w:tc>
          <w:tcPr>
            <w:tcW w:w="1321" w:type="dxa"/>
          </w:tcPr>
          <w:p w14:paraId="2AAB91B1" w14:textId="77777777" w:rsidR="007B087E" w:rsidRPr="00942352" w:rsidRDefault="007B087E" w:rsidP="00C54C52">
            <w:pPr>
              <w:pStyle w:val="Small-TableswithinQuotes"/>
            </w:pPr>
          </w:p>
        </w:tc>
        <w:tc>
          <w:tcPr>
            <w:tcW w:w="1894" w:type="dxa"/>
          </w:tcPr>
          <w:p w14:paraId="1300F04C" w14:textId="77777777" w:rsidR="007B087E" w:rsidRPr="00942352" w:rsidRDefault="007B087E" w:rsidP="00C54C52">
            <w:pPr>
              <w:pStyle w:val="Small-TableswithinQuotes"/>
            </w:pPr>
          </w:p>
        </w:tc>
        <w:tc>
          <w:tcPr>
            <w:tcW w:w="1895" w:type="dxa"/>
          </w:tcPr>
          <w:p w14:paraId="260F418B" w14:textId="77777777" w:rsidR="007B087E" w:rsidRPr="00942352" w:rsidRDefault="007B087E" w:rsidP="00C54C52">
            <w:pPr>
              <w:pStyle w:val="Small-TableswithinQuotes"/>
              <w:jc w:val="right"/>
              <w:rPr>
                <w:b/>
              </w:rPr>
            </w:pPr>
          </w:p>
        </w:tc>
      </w:tr>
      <w:tr w:rsidR="007B087E" w:rsidRPr="00942352" w14:paraId="2F814DF7" w14:textId="77777777" w:rsidTr="004A5066">
        <w:tc>
          <w:tcPr>
            <w:tcW w:w="2467" w:type="dxa"/>
          </w:tcPr>
          <w:p w14:paraId="165DFF3E" w14:textId="77777777" w:rsidR="007B087E" w:rsidRPr="00942352" w:rsidRDefault="007B087E" w:rsidP="00C54C52">
            <w:pPr>
              <w:pStyle w:val="Small-TableswithinQuotes"/>
              <w:rPr>
                <w:b/>
              </w:rPr>
            </w:pPr>
            <w:r w:rsidRPr="00942352">
              <w:rPr>
                <w:b/>
              </w:rPr>
              <w:t>Withdrawals</w:t>
            </w:r>
          </w:p>
        </w:tc>
        <w:tc>
          <w:tcPr>
            <w:tcW w:w="1321" w:type="dxa"/>
          </w:tcPr>
          <w:p w14:paraId="2F15A007" w14:textId="77777777" w:rsidR="007B087E" w:rsidRPr="00942352" w:rsidRDefault="007B087E" w:rsidP="00C54C52">
            <w:pPr>
              <w:pStyle w:val="Small-TableswithinQuotes"/>
            </w:pPr>
          </w:p>
        </w:tc>
        <w:tc>
          <w:tcPr>
            <w:tcW w:w="1894" w:type="dxa"/>
          </w:tcPr>
          <w:p w14:paraId="6BA8F05A" w14:textId="77777777" w:rsidR="007B087E" w:rsidRPr="00942352" w:rsidRDefault="007B087E" w:rsidP="00C54C52">
            <w:pPr>
              <w:pStyle w:val="Small-TableswithinQuotes"/>
            </w:pPr>
          </w:p>
        </w:tc>
        <w:tc>
          <w:tcPr>
            <w:tcW w:w="1895" w:type="dxa"/>
          </w:tcPr>
          <w:p w14:paraId="4B19954B" w14:textId="77777777" w:rsidR="007B087E" w:rsidRPr="00942352" w:rsidRDefault="007B087E" w:rsidP="00C54C52">
            <w:pPr>
              <w:pStyle w:val="Small-TableswithinQuotes"/>
              <w:jc w:val="right"/>
              <w:rPr>
                <w:b/>
              </w:rPr>
            </w:pPr>
          </w:p>
        </w:tc>
      </w:tr>
      <w:tr w:rsidR="007B087E" w:rsidRPr="00942352" w14:paraId="06C55A0E" w14:textId="77777777" w:rsidTr="004A5066">
        <w:tc>
          <w:tcPr>
            <w:tcW w:w="2467" w:type="dxa"/>
          </w:tcPr>
          <w:p w14:paraId="0E98CFE7" w14:textId="77777777" w:rsidR="007B087E" w:rsidRPr="00942352" w:rsidRDefault="007B087E" w:rsidP="00C54C52">
            <w:pPr>
              <w:pStyle w:val="Small-TableswithinQuotes"/>
            </w:pPr>
            <w:r w:rsidRPr="00942352">
              <w:t xml:space="preserve">North Balgowlah Property in respect of deposit; settlement proceeds, </w:t>
            </w:r>
            <w:proofErr w:type="spellStart"/>
            <w:r w:rsidRPr="00942352">
              <w:t>legals</w:t>
            </w:r>
            <w:proofErr w:type="spellEnd"/>
            <w:r w:rsidRPr="00942352">
              <w:t xml:space="preserve"> and tiles</w:t>
            </w:r>
          </w:p>
        </w:tc>
        <w:tc>
          <w:tcPr>
            <w:tcW w:w="1321" w:type="dxa"/>
          </w:tcPr>
          <w:p w14:paraId="176C9C39" w14:textId="77777777" w:rsidR="007B087E" w:rsidRPr="00942352" w:rsidRDefault="007B087E" w:rsidP="00C54C52">
            <w:pPr>
              <w:pStyle w:val="Small-TableswithinQuotes"/>
            </w:pPr>
          </w:p>
        </w:tc>
        <w:tc>
          <w:tcPr>
            <w:tcW w:w="1894" w:type="dxa"/>
          </w:tcPr>
          <w:p w14:paraId="3CB1FF3D" w14:textId="77777777" w:rsidR="007B087E" w:rsidRPr="00942352" w:rsidRDefault="007B087E" w:rsidP="00C54C52">
            <w:pPr>
              <w:pStyle w:val="Small-TableswithinQuotes"/>
            </w:pPr>
          </w:p>
        </w:tc>
        <w:tc>
          <w:tcPr>
            <w:tcW w:w="1895" w:type="dxa"/>
          </w:tcPr>
          <w:p w14:paraId="13999A69" w14:textId="77777777" w:rsidR="007B087E" w:rsidRPr="00942352" w:rsidRDefault="007B087E" w:rsidP="00C54C52">
            <w:pPr>
              <w:pStyle w:val="Small-TableswithinQuotes"/>
              <w:jc w:val="right"/>
            </w:pPr>
            <w:r w:rsidRPr="00942352">
              <w:t>$197,473.86</w:t>
            </w:r>
          </w:p>
        </w:tc>
      </w:tr>
      <w:tr w:rsidR="007B087E" w:rsidRPr="00942352" w14:paraId="3E81B3A7" w14:textId="77777777" w:rsidTr="004A5066">
        <w:tc>
          <w:tcPr>
            <w:tcW w:w="2467" w:type="dxa"/>
          </w:tcPr>
          <w:p w14:paraId="5C1C8F7E" w14:textId="77777777" w:rsidR="007B087E" w:rsidRPr="00942352" w:rsidRDefault="007B087E" w:rsidP="00C54C52">
            <w:pPr>
              <w:pStyle w:val="Small-TableswithinQuotes"/>
            </w:pPr>
            <w:r w:rsidRPr="00942352">
              <w:t>Mortgage payments in respect of the Seaforth Property</w:t>
            </w:r>
          </w:p>
        </w:tc>
        <w:tc>
          <w:tcPr>
            <w:tcW w:w="1321" w:type="dxa"/>
          </w:tcPr>
          <w:p w14:paraId="4EB9CEC2" w14:textId="77777777" w:rsidR="007B087E" w:rsidRPr="00942352" w:rsidRDefault="007B087E" w:rsidP="00C54C52">
            <w:pPr>
              <w:pStyle w:val="Small-TableswithinQuotes"/>
            </w:pPr>
          </w:p>
        </w:tc>
        <w:tc>
          <w:tcPr>
            <w:tcW w:w="1894" w:type="dxa"/>
          </w:tcPr>
          <w:p w14:paraId="493DB73A" w14:textId="77777777" w:rsidR="007B087E" w:rsidRPr="00942352" w:rsidRDefault="007B087E" w:rsidP="00C54C52">
            <w:pPr>
              <w:pStyle w:val="Small-TableswithinQuotes"/>
            </w:pPr>
          </w:p>
        </w:tc>
        <w:tc>
          <w:tcPr>
            <w:tcW w:w="1895" w:type="dxa"/>
          </w:tcPr>
          <w:p w14:paraId="5FAB023C" w14:textId="77777777" w:rsidR="007B087E" w:rsidRPr="00942352" w:rsidRDefault="007B087E" w:rsidP="00C54C52">
            <w:pPr>
              <w:pStyle w:val="Small-TableswithinQuotes"/>
              <w:jc w:val="right"/>
            </w:pPr>
            <w:r w:rsidRPr="00942352">
              <w:t>$54,916.27</w:t>
            </w:r>
          </w:p>
        </w:tc>
      </w:tr>
      <w:tr w:rsidR="007B087E" w:rsidRPr="00942352" w14:paraId="276DE42D" w14:textId="77777777" w:rsidTr="004A5066">
        <w:tc>
          <w:tcPr>
            <w:tcW w:w="2467" w:type="dxa"/>
          </w:tcPr>
          <w:p w14:paraId="10D5F12D" w14:textId="77777777" w:rsidR="007B087E" w:rsidRPr="00942352" w:rsidRDefault="007B087E" w:rsidP="00C54C52">
            <w:pPr>
              <w:pStyle w:val="Small-TableswithinQuotes"/>
            </w:pPr>
            <w:r w:rsidRPr="00942352">
              <w:t>Mortgage payments in respect of the Anzac Parade Property</w:t>
            </w:r>
          </w:p>
        </w:tc>
        <w:tc>
          <w:tcPr>
            <w:tcW w:w="1321" w:type="dxa"/>
          </w:tcPr>
          <w:p w14:paraId="7A920736" w14:textId="77777777" w:rsidR="007B087E" w:rsidRPr="00942352" w:rsidRDefault="007B087E" w:rsidP="00C54C52">
            <w:pPr>
              <w:pStyle w:val="Small-TableswithinQuotes"/>
            </w:pPr>
          </w:p>
        </w:tc>
        <w:tc>
          <w:tcPr>
            <w:tcW w:w="1894" w:type="dxa"/>
          </w:tcPr>
          <w:p w14:paraId="4F2BA7D7" w14:textId="77777777" w:rsidR="007B087E" w:rsidRPr="00942352" w:rsidRDefault="007B087E" w:rsidP="00C54C52">
            <w:pPr>
              <w:pStyle w:val="Small-TableswithinQuotes"/>
            </w:pPr>
          </w:p>
        </w:tc>
        <w:tc>
          <w:tcPr>
            <w:tcW w:w="1895" w:type="dxa"/>
          </w:tcPr>
          <w:p w14:paraId="58D2BB72" w14:textId="77777777" w:rsidR="007B087E" w:rsidRPr="00942352" w:rsidRDefault="007B087E" w:rsidP="00C54C52">
            <w:pPr>
              <w:pStyle w:val="Small-TableswithinQuotes"/>
              <w:jc w:val="right"/>
            </w:pPr>
            <w:r w:rsidRPr="00942352">
              <w:t>$9,448.28</w:t>
            </w:r>
          </w:p>
        </w:tc>
      </w:tr>
      <w:tr w:rsidR="007B087E" w:rsidRPr="00942352" w14:paraId="760718C9" w14:textId="77777777" w:rsidTr="004A5066">
        <w:tc>
          <w:tcPr>
            <w:tcW w:w="2467" w:type="dxa"/>
          </w:tcPr>
          <w:p w14:paraId="3DD74B12" w14:textId="77777777" w:rsidR="007B087E" w:rsidRPr="00942352" w:rsidRDefault="007B087E" w:rsidP="00C54C52">
            <w:pPr>
              <w:pStyle w:val="Small-TableswithinQuotes"/>
            </w:pPr>
            <w:r w:rsidRPr="00942352">
              <w:t xml:space="preserve">Transfers to </w:t>
            </w:r>
            <w:proofErr w:type="spellStart"/>
            <w:r w:rsidRPr="00942352">
              <w:t>Apscore</w:t>
            </w:r>
            <w:proofErr w:type="spellEnd"/>
          </w:p>
        </w:tc>
        <w:tc>
          <w:tcPr>
            <w:tcW w:w="1321" w:type="dxa"/>
          </w:tcPr>
          <w:p w14:paraId="0767B846" w14:textId="77777777" w:rsidR="007B087E" w:rsidRPr="00942352" w:rsidRDefault="007B087E" w:rsidP="00C54C52">
            <w:pPr>
              <w:pStyle w:val="Small-TableswithinQuotes"/>
            </w:pPr>
          </w:p>
        </w:tc>
        <w:tc>
          <w:tcPr>
            <w:tcW w:w="1894" w:type="dxa"/>
          </w:tcPr>
          <w:p w14:paraId="31151AE4" w14:textId="77777777" w:rsidR="007B087E" w:rsidRPr="00942352" w:rsidRDefault="007B087E" w:rsidP="00C54C52">
            <w:pPr>
              <w:pStyle w:val="Small-TableswithinQuotes"/>
            </w:pPr>
          </w:p>
        </w:tc>
        <w:tc>
          <w:tcPr>
            <w:tcW w:w="1895" w:type="dxa"/>
          </w:tcPr>
          <w:p w14:paraId="11B55EEB" w14:textId="77777777" w:rsidR="007B087E" w:rsidRPr="00942352" w:rsidRDefault="007B087E" w:rsidP="00C54C52">
            <w:pPr>
              <w:pStyle w:val="Small-TableswithinQuotes"/>
              <w:jc w:val="right"/>
            </w:pPr>
            <w:r w:rsidRPr="00942352">
              <w:t>$81,000</w:t>
            </w:r>
          </w:p>
        </w:tc>
      </w:tr>
      <w:tr w:rsidR="007B087E" w:rsidRPr="00942352" w14:paraId="591B9DFB" w14:textId="77777777" w:rsidTr="004A5066">
        <w:tc>
          <w:tcPr>
            <w:tcW w:w="2467" w:type="dxa"/>
          </w:tcPr>
          <w:p w14:paraId="094ED8CD" w14:textId="77777777" w:rsidR="007B087E" w:rsidRPr="00942352" w:rsidRDefault="007B087E" w:rsidP="00C54C52">
            <w:pPr>
              <w:pStyle w:val="Small-TableswithinQuotes"/>
            </w:pPr>
            <w:r w:rsidRPr="00942352">
              <w:t>Other expenditure of the Bankrupt and Ms Murray</w:t>
            </w:r>
          </w:p>
        </w:tc>
        <w:tc>
          <w:tcPr>
            <w:tcW w:w="1321" w:type="dxa"/>
          </w:tcPr>
          <w:p w14:paraId="30DFD4AA" w14:textId="77777777" w:rsidR="007B087E" w:rsidRPr="00942352" w:rsidRDefault="007B087E" w:rsidP="00C54C52">
            <w:pPr>
              <w:pStyle w:val="Small-TableswithinQuotes"/>
            </w:pPr>
          </w:p>
        </w:tc>
        <w:tc>
          <w:tcPr>
            <w:tcW w:w="1894" w:type="dxa"/>
          </w:tcPr>
          <w:p w14:paraId="15EE4D56" w14:textId="77777777" w:rsidR="007B087E" w:rsidRPr="00942352" w:rsidRDefault="007B087E" w:rsidP="00C54C52">
            <w:pPr>
              <w:pStyle w:val="Small-TableswithinQuotes"/>
            </w:pPr>
          </w:p>
        </w:tc>
        <w:tc>
          <w:tcPr>
            <w:tcW w:w="1895" w:type="dxa"/>
          </w:tcPr>
          <w:p w14:paraId="72198BF8" w14:textId="77777777" w:rsidR="007B087E" w:rsidRPr="00942352" w:rsidRDefault="007B087E" w:rsidP="00C54C52">
            <w:pPr>
              <w:pStyle w:val="Small-TableswithinQuotes"/>
              <w:jc w:val="right"/>
              <w:rPr>
                <w:b/>
              </w:rPr>
            </w:pPr>
            <w:r w:rsidRPr="00942352">
              <w:rPr>
                <w:b/>
              </w:rPr>
              <w:t>$181,845.26</w:t>
            </w:r>
          </w:p>
        </w:tc>
      </w:tr>
      <w:tr w:rsidR="007B087E" w:rsidRPr="00942352" w14:paraId="55A4E95C" w14:textId="77777777" w:rsidTr="004A5066">
        <w:tc>
          <w:tcPr>
            <w:tcW w:w="2467" w:type="dxa"/>
          </w:tcPr>
          <w:p w14:paraId="13888DD0" w14:textId="77777777" w:rsidR="007B087E" w:rsidRPr="00942352" w:rsidRDefault="007B087E" w:rsidP="00C54C52">
            <w:pPr>
              <w:pStyle w:val="Small-TableswithinQuotes"/>
            </w:pPr>
            <w:r w:rsidRPr="00942352">
              <w:t>Balance of Joint Account as at 28 November 2014</w:t>
            </w:r>
          </w:p>
        </w:tc>
        <w:tc>
          <w:tcPr>
            <w:tcW w:w="1321" w:type="dxa"/>
          </w:tcPr>
          <w:p w14:paraId="78B5200D" w14:textId="77777777" w:rsidR="007B087E" w:rsidRPr="00942352" w:rsidRDefault="007B087E" w:rsidP="00C54C52">
            <w:pPr>
              <w:pStyle w:val="Small-TableswithinQuotes"/>
            </w:pPr>
          </w:p>
        </w:tc>
        <w:tc>
          <w:tcPr>
            <w:tcW w:w="1894" w:type="dxa"/>
          </w:tcPr>
          <w:p w14:paraId="579B9B77" w14:textId="77777777" w:rsidR="007B087E" w:rsidRPr="00942352" w:rsidRDefault="007B087E" w:rsidP="00C54C52">
            <w:pPr>
              <w:pStyle w:val="Small-TableswithinQuotes"/>
            </w:pPr>
          </w:p>
        </w:tc>
        <w:tc>
          <w:tcPr>
            <w:tcW w:w="1895" w:type="dxa"/>
          </w:tcPr>
          <w:p w14:paraId="07A8111B" w14:textId="77777777" w:rsidR="007B087E" w:rsidRPr="00942352" w:rsidRDefault="007B087E" w:rsidP="00C54C52">
            <w:pPr>
              <w:pStyle w:val="Small-TableswithinQuotes"/>
              <w:jc w:val="right"/>
              <w:rPr>
                <w:b/>
              </w:rPr>
            </w:pPr>
            <w:r w:rsidRPr="00942352">
              <w:rPr>
                <w:b/>
              </w:rPr>
              <w:t>$14,827.14</w:t>
            </w:r>
          </w:p>
        </w:tc>
      </w:tr>
    </w:tbl>
    <w:p w14:paraId="3299633C" w14:textId="77777777" w:rsidR="007B087E" w:rsidRPr="00942352" w:rsidRDefault="007B087E" w:rsidP="007B087E">
      <w:pPr>
        <w:pStyle w:val="Quote1"/>
        <w:ind w:left="1440" w:hanging="703"/>
      </w:pPr>
    </w:p>
    <w:p w14:paraId="4180D574" w14:textId="453D0D29" w:rsidR="007B087E" w:rsidRPr="00942352" w:rsidRDefault="007B087E" w:rsidP="007B087E">
      <w:pPr>
        <w:pStyle w:val="Quote1"/>
        <w:ind w:left="1440" w:hanging="703"/>
      </w:pPr>
      <w:r w:rsidRPr="00942352">
        <w:t>57.</w:t>
      </w:r>
      <w:r w:rsidRPr="00942352">
        <w:tab/>
        <w:t>The total amounts deposited to the Joint Account during the Joint Account [sic] during the period 11 April 2014 to 28 November 2014 were therefore $531,474.56. This included all funds used to purchase the North Balgowlah Property and pay the Seaforth Mortgage during this period, both of which properti</w:t>
      </w:r>
      <w:r w:rsidR="002F19A4">
        <w:t>es were registered in Ms Murray’</w:t>
      </w:r>
      <w:r w:rsidRPr="00942352">
        <w:t>s sole name. Of this sum:</w:t>
      </w:r>
    </w:p>
    <w:p w14:paraId="0689A91F" w14:textId="77777777" w:rsidR="007B087E" w:rsidRPr="00942352" w:rsidRDefault="007B087E" w:rsidP="007B087E">
      <w:pPr>
        <w:pStyle w:val="Quote2"/>
        <w:ind w:left="2160" w:hanging="720"/>
      </w:pPr>
      <w:r w:rsidRPr="00942352">
        <w:t>(a)</w:t>
      </w:r>
      <w:r w:rsidRPr="00942352">
        <w:tab/>
        <w:t xml:space="preserve">$511,274.26 (96.2%) came from the Bankrupt, from his income and </w:t>
      </w:r>
      <w:r w:rsidRPr="00942352">
        <w:lastRenderedPageBreak/>
        <w:t xml:space="preserve">the sale of his interests in the Boyce Road Property (100%) and Anzac Parade Property (99%); </w:t>
      </w:r>
    </w:p>
    <w:p w14:paraId="6A29C5E7" w14:textId="77777777" w:rsidR="007B087E" w:rsidRPr="00942352" w:rsidRDefault="007B087E" w:rsidP="007B087E">
      <w:pPr>
        <w:pStyle w:val="Quote2"/>
        <w:ind w:left="2160" w:hanging="720"/>
      </w:pPr>
      <w:r w:rsidRPr="00942352">
        <w:t xml:space="preserve">(b) </w:t>
      </w:r>
      <w:r w:rsidRPr="00942352">
        <w:tab/>
        <w:t>$20,200.80 (3.8%) came from Ms Murray, in respect of her income ($19,097.70) and 1% interest in the Anzac Parade Property ($1,103.10).</w:t>
      </w:r>
    </w:p>
    <w:p w14:paraId="5F9A1F3C" w14:textId="77777777" w:rsidR="007B087E" w:rsidRPr="00942352" w:rsidRDefault="007B087E" w:rsidP="007B087E">
      <w:pPr>
        <w:pStyle w:val="Quote1"/>
        <w:ind w:left="1440" w:hanging="703"/>
      </w:pPr>
      <w:r w:rsidRPr="00942352">
        <w:t xml:space="preserve">58. </w:t>
      </w:r>
      <w:r w:rsidRPr="00942352">
        <w:tab/>
        <w:t xml:space="preserve">From my Investigations and review of the bank statements in respect of the Joint Account, during the period 11 April 2014 to 28 November 2014, other than for an amount of $20,200.80 from Ms Murray’s income, and her share of the funds from the Anzac Parade Property, it was the Bankrupt’s funds that were used to meet the initial costs for the purchase of the North Balgowlah Property, and also to continue to service the mortgage to the Seaforth Property. </w:t>
      </w:r>
    </w:p>
    <w:p w14:paraId="71FA7817" w14:textId="0743CC8B" w:rsidR="007B087E" w:rsidRPr="00942352" w:rsidRDefault="00155C95" w:rsidP="00155C95">
      <w:pPr>
        <w:pStyle w:val="ParaNumbering"/>
        <w:numPr>
          <w:ilvl w:val="0"/>
          <w:numId w:val="0"/>
        </w:numPr>
        <w:ind w:hanging="720"/>
      </w:pPr>
      <w:r w:rsidRPr="00942352">
        <w:rPr>
          <w:sz w:val="20"/>
        </w:rPr>
        <w:t>165</w:t>
      </w:r>
      <w:r w:rsidRPr="00942352">
        <w:rPr>
          <w:sz w:val="20"/>
        </w:rPr>
        <w:tab/>
      </w:r>
      <w:r w:rsidR="007B087E" w:rsidRPr="00942352">
        <w:rPr>
          <w:lang w:eastAsia="en-AU"/>
        </w:rPr>
        <w:t xml:space="preserve">The trustee submitted that, in short, his analysis revealed that virtually all of the funds in the Joint Account </w:t>
      </w:r>
      <w:r w:rsidR="007B087E" w:rsidRPr="00942352">
        <w:t>between the deposit of the Boyce</w:t>
      </w:r>
      <w:r w:rsidR="007B087E" w:rsidRPr="00942352">
        <w:rPr>
          <w:spacing w:val="-3"/>
        </w:rPr>
        <w:t xml:space="preserve"> </w:t>
      </w:r>
      <w:r w:rsidR="007B087E" w:rsidRPr="00942352">
        <w:t>Road</w:t>
      </w:r>
      <w:r w:rsidR="007B087E" w:rsidRPr="00942352">
        <w:rPr>
          <w:spacing w:val="-3"/>
        </w:rPr>
        <w:t xml:space="preserve"> </w:t>
      </w:r>
      <w:r w:rsidR="007B087E" w:rsidRPr="00942352">
        <w:t>property</w:t>
      </w:r>
      <w:r w:rsidR="007B087E" w:rsidRPr="00942352">
        <w:rPr>
          <w:spacing w:val="-1"/>
        </w:rPr>
        <w:t xml:space="preserve"> </w:t>
      </w:r>
      <w:r w:rsidR="007B087E" w:rsidRPr="00942352">
        <w:t>proceeds</w:t>
      </w:r>
      <w:r w:rsidR="007B087E" w:rsidRPr="00942352">
        <w:rPr>
          <w:spacing w:val="-1"/>
        </w:rPr>
        <w:t xml:space="preserve"> </w:t>
      </w:r>
      <w:r w:rsidR="007B087E" w:rsidRPr="00942352">
        <w:t>and</w:t>
      </w:r>
      <w:r w:rsidR="007B087E" w:rsidRPr="00942352">
        <w:rPr>
          <w:spacing w:val="-5"/>
        </w:rPr>
        <w:t xml:space="preserve"> </w:t>
      </w:r>
      <w:r w:rsidR="007B087E" w:rsidRPr="00942352">
        <w:t>the</w:t>
      </w:r>
      <w:r w:rsidR="007B087E" w:rsidRPr="00942352">
        <w:rPr>
          <w:spacing w:val="-5"/>
        </w:rPr>
        <w:t xml:space="preserve"> </w:t>
      </w:r>
      <w:r w:rsidR="007B087E" w:rsidRPr="00942352">
        <w:t>last</w:t>
      </w:r>
      <w:r w:rsidR="007B087E" w:rsidRPr="00942352">
        <w:rPr>
          <w:spacing w:val="-1"/>
        </w:rPr>
        <w:t xml:space="preserve"> </w:t>
      </w:r>
      <w:r w:rsidR="007B087E" w:rsidRPr="00942352">
        <w:t>withdrawal</w:t>
      </w:r>
      <w:r w:rsidR="007B087E" w:rsidRPr="00942352">
        <w:rPr>
          <w:spacing w:val="-3"/>
        </w:rPr>
        <w:t xml:space="preserve"> </w:t>
      </w:r>
      <w:r w:rsidR="007B087E" w:rsidRPr="00942352">
        <w:t>for</w:t>
      </w:r>
      <w:r w:rsidR="007B087E" w:rsidRPr="00942352">
        <w:rPr>
          <w:spacing w:val="-7"/>
        </w:rPr>
        <w:t xml:space="preserve"> </w:t>
      </w:r>
      <w:r w:rsidR="007B087E" w:rsidRPr="00942352">
        <w:t>the</w:t>
      </w:r>
      <w:r w:rsidR="007B087E" w:rsidRPr="00942352">
        <w:rPr>
          <w:spacing w:val="-3"/>
        </w:rPr>
        <w:t xml:space="preserve"> </w:t>
      </w:r>
      <w:r w:rsidR="007B087E" w:rsidRPr="00942352">
        <w:t>North</w:t>
      </w:r>
      <w:r w:rsidR="007B087E" w:rsidRPr="00942352">
        <w:rPr>
          <w:spacing w:val="-3"/>
        </w:rPr>
        <w:t xml:space="preserve"> </w:t>
      </w:r>
      <w:r w:rsidR="007B087E" w:rsidRPr="00942352">
        <w:t>Balgowlah</w:t>
      </w:r>
      <w:r w:rsidR="007B087E" w:rsidRPr="00942352">
        <w:rPr>
          <w:spacing w:val="-3"/>
        </w:rPr>
        <w:t xml:space="preserve"> </w:t>
      </w:r>
      <w:r w:rsidR="007B087E" w:rsidRPr="00942352">
        <w:t>property purchase were sourced from the bankrupt, being either:</w:t>
      </w:r>
    </w:p>
    <w:p w14:paraId="30DE058A" w14:textId="71A5F8B9" w:rsidR="007B087E"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7B087E" w:rsidRPr="00942352">
        <w:t>proceeds</w:t>
      </w:r>
      <w:proofErr w:type="gramEnd"/>
      <w:r w:rsidR="007B087E" w:rsidRPr="00942352">
        <w:rPr>
          <w:spacing w:val="-3"/>
        </w:rPr>
        <w:t xml:space="preserve"> </w:t>
      </w:r>
      <w:r w:rsidR="007B087E" w:rsidRPr="00942352">
        <w:t>of</w:t>
      </w:r>
      <w:r w:rsidR="007B087E" w:rsidRPr="00942352">
        <w:rPr>
          <w:spacing w:val="-1"/>
        </w:rPr>
        <w:t xml:space="preserve"> </w:t>
      </w:r>
      <w:r w:rsidR="007B087E" w:rsidRPr="00942352">
        <w:t>sale</w:t>
      </w:r>
      <w:r w:rsidR="007B087E" w:rsidRPr="00942352">
        <w:rPr>
          <w:spacing w:val="-7"/>
        </w:rPr>
        <w:t xml:space="preserve"> </w:t>
      </w:r>
      <w:r w:rsidR="007B087E" w:rsidRPr="00942352">
        <w:t>of</w:t>
      </w:r>
      <w:r w:rsidR="007B087E" w:rsidRPr="00942352">
        <w:rPr>
          <w:spacing w:val="-1"/>
        </w:rPr>
        <w:t xml:space="preserve"> </w:t>
      </w:r>
      <w:r w:rsidR="007B087E" w:rsidRPr="00942352">
        <w:t>the</w:t>
      </w:r>
      <w:r w:rsidR="007B087E" w:rsidRPr="00942352">
        <w:rPr>
          <w:spacing w:val="-9"/>
        </w:rPr>
        <w:t xml:space="preserve"> </w:t>
      </w:r>
      <w:r w:rsidR="007B087E" w:rsidRPr="00942352">
        <w:t>Boyce</w:t>
      </w:r>
      <w:r w:rsidR="007B087E" w:rsidRPr="00942352">
        <w:rPr>
          <w:spacing w:val="-2"/>
        </w:rPr>
        <w:t xml:space="preserve"> </w:t>
      </w:r>
      <w:r w:rsidR="007B087E" w:rsidRPr="00942352">
        <w:t>Road</w:t>
      </w:r>
      <w:r w:rsidR="007B087E" w:rsidRPr="00942352">
        <w:rPr>
          <w:spacing w:val="-1"/>
        </w:rPr>
        <w:t xml:space="preserve"> </w:t>
      </w:r>
      <w:r w:rsidR="007B087E" w:rsidRPr="00942352">
        <w:t>or</w:t>
      </w:r>
      <w:r w:rsidR="007B087E" w:rsidRPr="00942352">
        <w:rPr>
          <w:spacing w:val="-2"/>
        </w:rPr>
        <w:t xml:space="preserve"> </w:t>
      </w:r>
      <w:r w:rsidR="007B087E" w:rsidRPr="00942352">
        <w:t>Anzac</w:t>
      </w:r>
      <w:r w:rsidR="007B087E" w:rsidRPr="00942352">
        <w:rPr>
          <w:spacing w:val="-5"/>
        </w:rPr>
        <w:t xml:space="preserve"> </w:t>
      </w:r>
      <w:r w:rsidR="007B087E" w:rsidRPr="00942352">
        <w:t>Parade</w:t>
      </w:r>
      <w:r w:rsidR="007B087E" w:rsidRPr="00942352">
        <w:rPr>
          <w:spacing w:val="-3"/>
        </w:rPr>
        <w:t xml:space="preserve"> </w:t>
      </w:r>
      <w:r w:rsidR="007B087E" w:rsidRPr="00942352">
        <w:t xml:space="preserve">properties; </w:t>
      </w:r>
      <w:r w:rsidR="007B087E" w:rsidRPr="00942352">
        <w:rPr>
          <w:spacing w:val="-5"/>
        </w:rPr>
        <w:t>or</w:t>
      </w:r>
    </w:p>
    <w:p w14:paraId="50874A49" w14:textId="59ECEF52" w:rsidR="007B087E" w:rsidRPr="00942352" w:rsidRDefault="00155C95" w:rsidP="00155C95">
      <w:pPr>
        <w:pStyle w:val="ListNo1alt"/>
        <w:numPr>
          <w:ilvl w:val="0"/>
          <w:numId w:val="0"/>
        </w:numPr>
        <w:tabs>
          <w:tab w:val="left" w:pos="720"/>
        </w:tabs>
        <w:ind w:left="720" w:hanging="720"/>
      </w:pPr>
      <w:r w:rsidRPr="00942352">
        <w:t>(b)</w:t>
      </w:r>
      <w:r w:rsidRPr="00942352">
        <w:tab/>
      </w:r>
      <w:proofErr w:type="gramStart"/>
      <w:r w:rsidR="007B087E" w:rsidRPr="00942352">
        <w:t>borrowings</w:t>
      </w:r>
      <w:proofErr w:type="gramEnd"/>
      <w:r w:rsidR="007B087E" w:rsidRPr="00942352">
        <w:rPr>
          <w:spacing w:val="-5"/>
        </w:rPr>
        <w:t xml:space="preserve"> </w:t>
      </w:r>
      <w:r w:rsidR="007B087E" w:rsidRPr="00942352">
        <w:t>from</w:t>
      </w:r>
      <w:r w:rsidR="007B087E" w:rsidRPr="00942352">
        <w:rPr>
          <w:spacing w:val="-5"/>
        </w:rPr>
        <w:t xml:space="preserve"> </w:t>
      </w:r>
      <w:r w:rsidR="007B087E" w:rsidRPr="00942352">
        <w:t>the</w:t>
      </w:r>
      <w:r w:rsidR="007B087E" w:rsidRPr="00942352">
        <w:rPr>
          <w:spacing w:val="-3"/>
        </w:rPr>
        <w:t xml:space="preserve"> b</w:t>
      </w:r>
      <w:r w:rsidR="007B087E" w:rsidRPr="00942352">
        <w:t>ankrupt’s</w:t>
      </w:r>
      <w:r w:rsidR="007B087E" w:rsidRPr="00942352">
        <w:rPr>
          <w:spacing w:val="-3"/>
        </w:rPr>
        <w:t xml:space="preserve"> </w:t>
      </w:r>
      <w:r w:rsidR="007B087E" w:rsidRPr="00942352">
        <w:t>company,</w:t>
      </w:r>
      <w:r w:rsidR="007B087E" w:rsidRPr="00942352">
        <w:rPr>
          <w:spacing w:val="-3"/>
        </w:rPr>
        <w:t xml:space="preserve"> </w:t>
      </w:r>
      <w:proofErr w:type="spellStart"/>
      <w:r w:rsidR="007B087E" w:rsidRPr="00942352">
        <w:t>Apscore</w:t>
      </w:r>
      <w:proofErr w:type="spellEnd"/>
      <w:r w:rsidR="007B087E" w:rsidRPr="00942352">
        <w:rPr>
          <w:spacing w:val="-5"/>
        </w:rPr>
        <w:t xml:space="preserve"> </w:t>
      </w:r>
      <w:r w:rsidR="007B087E" w:rsidRPr="00942352">
        <w:t>(though in practice these drawings were cancelled out by repayments to that company such that they are of limited real significance).</w:t>
      </w:r>
    </w:p>
    <w:p w14:paraId="5A614352" w14:textId="6C38CBBC" w:rsidR="007B087E" w:rsidRPr="00942352" w:rsidRDefault="00155C95" w:rsidP="00155C95">
      <w:pPr>
        <w:pStyle w:val="ParaNumbering"/>
        <w:numPr>
          <w:ilvl w:val="0"/>
          <w:numId w:val="0"/>
        </w:numPr>
        <w:ind w:hanging="720"/>
      </w:pPr>
      <w:r w:rsidRPr="00942352">
        <w:rPr>
          <w:sz w:val="20"/>
        </w:rPr>
        <w:t>166</w:t>
      </w:r>
      <w:r w:rsidRPr="00942352">
        <w:rPr>
          <w:sz w:val="20"/>
        </w:rPr>
        <w:tab/>
      </w:r>
      <w:r w:rsidR="007B087E" w:rsidRPr="00942352">
        <w:t xml:space="preserve">I accept this </w:t>
      </w:r>
      <w:r w:rsidR="00D238BE" w:rsidRPr="00942352">
        <w:t xml:space="preserve">as </w:t>
      </w:r>
      <w:r w:rsidR="007B087E" w:rsidRPr="00942352">
        <w:t xml:space="preserve">an accurate description of the evidence and find as such. </w:t>
      </w:r>
    </w:p>
    <w:p w14:paraId="4DA72ACF" w14:textId="463EA47B" w:rsidR="007B087E" w:rsidRPr="00942352" w:rsidRDefault="00155C95" w:rsidP="00155C95">
      <w:pPr>
        <w:pStyle w:val="ParaNumbering"/>
        <w:numPr>
          <w:ilvl w:val="0"/>
          <w:numId w:val="0"/>
        </w:numPr>
        <w:ind w:hanging="720"/>
      </w:pPr>
      <w:r w:rsidRPr="00942352">
        <w:rPr>
          <w:sz w:val="20"/>
        </w:rPr>
        <w:t>167</w:t>
      </w:r>
      <w:r w:rsidRPr="00942352">
        <w:rPr>
          <w:sz w:val="20"/>
        </w:rPr>
        <w:tab/>
      </w:r>
      <w:r w:rsidR="007B087E" w:rsidRPr="00942352">
        <w:t>In addition, the evidence established,</w:t>
      </w:r>
      <w:r w:rsidR="007B087E" w:rsidRPr="00942352">
        <w:rPr>
          <w:spacing w:val="-5"/>
        </w:rPr>
        <w:t xml:space="preserve"> </w:t>
      </w:r>
      <w:r w:rsidR="007B087E" w:rsidRPr="00942352">
        <w:t>in</w:t>
      </w:r>
      <w:r w:rsidR="007B087E" w:rsidRPr="00942352">
        <w:rPr>
          <w:spacing w:val="-2"/>
        </w:rPr>
        <w:t xml:space="preserve"> </w:t>
      </w:r>
      <w:r w:rsidR="007B087E" w:rsidRPr="00942352">
        <w:t>essence,</w:t>
      </w:r>
      <w:r w:rsidR="007B087E" w:rsidRPr="00942352">
        <w:rPr>
          <w:spacing w:val="-2"/>
        </w:rPr>
        <w:t xml:space="preserve"> </w:t>
      </w:r>
      <w:r w:rsidR="007B087E" w:rsidRPr="00942352">
        <w:t>all</w:t>
      </w:r>
      <w:r w:rsidR="007B087E" w:rsidRPr="00942352">
        <w:rPr>
          <w:spacing w:val="-3"/>
        </w:rPr>
        <w:t xml:space="preserve"> </w:t>
      </w:r>
      <w:r w:rsidR="007B087E" w:rsidRPr="00942352">
        <w:t>or</w:t>
      </w:r>
      <w:r w:rsidR="007B087E" w:rsidRPr="00942352">
        <w:rPr>
          <w:spacing w:val="-3"/>
        </w:rPr>
        <w:t xml:space="preserve"> </w:t>
      </w:r>
      <w:r w:rsidR="007B087E" w:rsidRPr="00942352">
        <w:t>virtually</w:t>
      </w:r>
      <w:r w:rsidR="007B087E" w:rsidRPr="00942352">
        <w:rPr>
          <w:spacing w:val="-3"/>
        </w:rPr>
        <w:t xml:space="preserve"> </w:t>
      </w:r>
      <w:r w:rsidR="007B087E" w:rsidRPr="00942352">
        <w:t>all</w:t>
      </w:r>
      <w:r w:rsidR="007B087E" w:rsidRPr="00942352">
        <w:rPr>
          <w:spacing w:val="-5"/>
        </w:rPr>
        <w:t xml:space="preserve"> </w:t>
      </w:r>
      <w:r w:rsidR="007B087E" w:rsidRPr="00942352">
        <w:t>(depending</w:t>
      </w:r>
      <w:r w:rsidR="007B087E" w:rsidRPr="00942352">
        <w:rPr>
          <w:spacing w:val="-3"/>
        </w:rPr>
        <w:t xml:space="preserve"> </w:t>
      </w:r>
      <w:r w:rsidR="007B087E" w:rsidRPr="00942352">
        <w:t>upon</w:t>
      </w:r>
      <w:r w:rsidR="007B087E" w:rsidRPr="00942352">
        <w:rPr>
          <w:spacing w:val="-3"/>
        </w:rPr>
        <w:t xml:space="preserve"> </w:t>
      </w:r>
      <w:r w:rsidR="007B087E" w:rsidRPr="00942352">
        <w:t>how</w:t>
      </w:r>
      <w:r w:rsidR="007B087E" w:rsidRPr="00942352">
        <w:rPr>
          <w:spacing w:val="-3"/>
        </w:rPr>
        <w:t xml:space="preserve"> </w:t>
      </w:r>
      <w:r w:rsidR="007B087E" w:rsidRPr="00942352">
        <w:t>one</w:t>
      </w:r>
      <w:r w:rsidR="007B087E" w:rsidRPr="00942352">
        <w:rPr>
          <w:spacing w:val="-5"/>
        </w:rPr>
        <w:t xml:space="preserve"> </w:t>
      </w:r>
      <w:r w:rsidR="007B087E" w:rsidRPr="00942352">
        <w:t>accounts</w:t>
      </w:r>
      <w:r w:rsidR="007B087E" w:rsidRPr="00942352">
        <w:rPr>
          <w:spacing w:val="-5"/>
        </w:rPr>
        <w:t xml:space="preserve"> </w:t>
      </w:r>
      <w:r w:rsidR="007B087E" w:rsidRPr="00942352">
        <w:t>for</w:t>
      </w:r>
      <w:r w:rsidR="007B087E" w:rsidRPr="00942352">
        <w:rPr>
          <w:spacing w:val="-2"/>
        </w:rPr>
        <w:t xml:space="preserve"> </w:t>
      </w:r>
      <w:r w:rsidR="007B087E" w:rsidRPr="00942352">
        <w:t>drawings from the Joint Account) of the cash contribution to the North Balgowlah property’s purchase was sourced from the sale of the bankrupt’s properties.</w:t>
      </w:r>
      <w:r w:rsidR="007B087E" w:rsidRPr="00942352">
        <w:rPr>
          <w:spacing w:val="40"/>
        </w:rPr>
        <w:t xml:space="preserve"> </w:t>
      </w:r>
      <w:r w:rsidR="007B087E" w:rsidRPr="00942352">
        <w:t>Also, a further $54,916.27</w:t>
      </w:r>
      <w:r w:rsidR="007B087E" w:rsidRPr="00942352">
        <w:rPr>
          <w:spacing w:val="-5"/>
        </w:rPr>
        <w:t xml:space="preserve"> </w:t>
      </w:r>
      <w:r w:rsidR="007B087E" w:rsidRPr="00942352">
        <w:t>was</w:t>
      </w:r>
      <w:r w:rsidR="007B087E" w:rsidRPr="00942352">
        <w:rPr>
          <w:spacing w:val="-3"/>
        </w:rPr>
        <w:t xml:space="preserve"> </w:t>
      </w:r>
      <w:r w:rsidR="007B087E" w:rsidRPr="00942352">
        <w:t>applied</w:t>
      </w:r>
      <w:r w:rsidR="007B087E" w:rsidRPr="00942352">
        <w:rPr>
          <w:spacing w:val="-3"/>
        </w:rPr>
        <w:t xml:space="preserve"> </w:t>
      </w:r>
      <w:r w:rsidR="007B087E" w:rsidRPr="00942352">
        <w:t>in</w:t>
      </w:r>
      <w:r w:rsidR="007B087E" w:rsidRPr="00942352">
        <w:rPr>
          <w:spacing w:val="-2"/>
        </w:rPr>
        <w:t xml:space="preserve"> </w:t>
      </w:r>
      <w:r w:rsidR="007B087E" w:rsidRPr="00942352">
        <w:t>payment</w:t>
      </w:r>
      <w:r w:rsidR="007B087E" w:rsidRPr="00942352">
        <w:rPr>
          <w:spacing w:val="-1"/>
        </w:rPr>
        <w:t xml:space="preserve"> </w:t>
      </w:r>
      <w:r w:rsidR="007B087E" w:rsidRPr="00942352">
        <w:t>of</w:t>
      </w:r>
      <w:r w:rsidR="007B087E" w:rsidRPr="00942352">
        <w:rPr>
          <w:spacing w:val="-5"/>
        </w:rPr>
        <w:t xml:space="preserve"> </w:t>
      </w:r>
      <w:r w:rsidR="007B087E" w:rsidRPr="00942352">
        <w:t>the</w:t>
      </w:r>
      <w:r w:rsidR="007B087E" w:rsidRPr="00942352">
        <w:rPr>
          <w:spacing w:val="-5"/>
        </w:rPr>
        <w:t xml:space="preserve"> </w:t>
      </w:r>
      <w:r w:rsidR="007B087E" w:rsidRPr="00942352">
        <w:t>Seaforth</w:t>
      </w:r>
      <w:r w:rsidR="007B087E" w:rsidRPr="00942352">
        <w:rPr>
          <w:spacing w:val="-2"/>
        </w:rPr>
        <w:t xml:space="preserve"> </w:t>
      </w:r>
      <w:r w:rsidR="007B087E" w:rsidRPr="00942352">
        <w:t>Mortgages</w:t>
      </w:r>
      <w:r w:rsidR="007B087E" w:rsidRPr="00942352">
        <w:rPr>
          <w:spacing w:val="-4"/>
        </w:rPr>
        <w:t xml:space="preserve"> </w:t>
      </w:r>
      <w:r w:rsidR="007B087E" w:rsidRPr="00942352">
        <w:t>(that</w:t>
      </w:r>
      <w:r w:rsidR="007B087E" w:rsidRPr="00942352">
        <w:rPr>
          <w:spacing w:val="-1"/>
        </w:rPr>
        <w:t xml:space="preserve"> </w:t>
      </w:r>
      <w:r w:rsidR="007B087E" w:rsidRPr="00942352">
        <w:t>is,</w:t>
      </w:r>
      <w:r w:rsidR="007B087E" w:rsidRPr="00942352">
        <w:rPr>
          <w:spacing w:val="-3"/>
        </w:rPr>
        <w:t xml:space="preserve"> </w:t>
      </w:r>
      <w:r w:rsidR="007B087E" w:rsidRPr="00942352">
        <w:t>solely so as to benefit the respondent). After</w:t>
      </w:r>
      <w:r w:rsidR="007B087E" w:rsidRPr="00942352">
        <w:rPr>
          <w:spacing w:val="-3"/>
        </w:rPr>
        <w:t xml:space="preserve"> </w:t>
      </w:r>
      <w:r w:rsidR="007B087E" w:rsidRPr="00942352">
        <w:t>those</w:t>
      </w:r>
      <w:r w:rsidR="007B087E" w:rsidRPr="00942352">
        <w:rPr>
          <w:spacing w:val="-5"/>
        </w:rPr>
        <w:t xml:space="preserve"> </w:t>
      </w:r>
      <w:r w:rsidR="007B087E" w:rsidRPr="00942352">
        <w:t>drawings,</w:t>
      </w:r>
      <w:r w:rsidR="007B087E" w:rsidRPr="00942352">
        <w:rPr>
          <w:spacing w:val="-3"/>
        </w:rPr>
        <w:t xml:space="preserve"> </w:t>
      </w:r>
      <w:r w:rsidR="007B087E" w:rsidRPr="00942352">
        <w:t>the</w:t>
      </w:r>
      <w:r w:rsidR="007B087E" w:rsidRPr="00942352">
        <w:rPr>
          <w:spacing w:val="-4"/>
        </w:rPr>
        <w:t xml:space="preserve"> </w:t>
      </w:r>
      <w:r w:rsidR="007B087E" w:rsidRPr="00942352">
        <w:t>Joint</w:t>
      </w:r>
      <w:r w:rsidR="007B087E" w:rsidRPr="00942352">
        <w:rPr>
          <w:spacing w:val="-1"/>
        </w:rPr>
        <w:t xml:space="preserve"> </w:t>
      </w:r>
      <w:r w:rsidR="007B087E" w:rsidRPr="00942352">
        <w:t>Account</w:t>
      </w:r>
      <w:r w:rsidR="007B087E" w:rsidRPr="00942352">
        <w:rPr>
          <w:spacing w:val="-2"/>
        </w:rPr>
        <w:t xml:space="preserve"> </w:t>
      </w:r>
      <w:r w:rsidR="007B087E" w:rsidRPr="00942352">
        <w:t>was</w:t>
      </w:r>
      <w:r w:rsidR="007B087E" w:rsidRPr="00942352">
        <w:rPr>
          <w:spacing w:val="-3"/>
        </w:rPr>
        <w:t xml:space="preserve"> </w:t>
      </w:r>
      <w:r w:rsidR="007B087E" w:rsidRPr="00942352">
        <w:t>essentially</w:t>
      </w:r>
      <w:r w:rsidR="007B087E" w:rsidRPr="00942352">
        <w:rPr>
          <w:spacing w:val="-3"/>
        </w:rPr>
        <w:t xml:space="preserve"> </w:t>
      </w:r>
      <w:r w:rsidR="007B087E" w:rsidRPr="00942352">
        <w:t>exhausted</w:t>
      </w:r>
      <w:r w:rsidR="007B087E" w:rsidRPr="00942352">
        <w:rPr>
          <w:spacing w:val="-5"/>
        </w:rPr>
        <w:t xml:space="preserve"> </w:t>
      </w:r>
      <w:r w:rsidR="007B087E" w:rsidRPr="00942352">
        <w:t>and</w:t>
      </w:r>
      <w:r w:rsidR="007B087E" w:rsidRPr="00942352">
        <w:rPr>
          <w:spacing w:val="-5"/>
        </w:rPr>
        <w:t xml:space="preserve"> </w:t>
      </w:r>
      <w:r w:rsidR="007B087E" w:rsidRPr="00942352">
        <w:t>the</w:t>
      </w:r>
      <w:r w:rsidR="007B087E" w:rsidRPr="00942352">
        <w:rPr>
          <w:spacing w:val="-4"/>
        </w:rPr>
        <w:t xml:space="preserve"> b</w:t>
      </w:r>
      <w:r w:rsidR="007B087E" w:rsidRPr="00942352">
        <w:t>ankrupt</w:t>
      </w:r>
      <w:r w:rsidR="007B087E" w:rsidRPr="00942352">
        <w:rPr>
          <w:spacing w:val="-3"/>
        </w:rPr>
        <w:t xml:space="preserve"> </w:t>
      </w:r>
      <w:r w:rsidR="007B087E" w:rsidRPr="00942352">
        <w:t>had been denuded of his assets.</w:t>
      </w:r>
    </w:p>
    <w:p w14:paraId="3F8E2213" w14:textId="4CE34799" w:rsidR="007B087E" w:rsidRPr="00942352" w:rsidRDefault="00155C95" w:rsidP="00155C95">
      <w:pPr>
        <w:pStyle w:val="ParaNumbering"/>
        <w:numPr>
          <w:ilvl w:val="0"/>
          <w:numId w:val="0"/>
        </w:numPr>
        <w:ind w:hanging="720"/>
      </w:pPr>
      <w:r w:rsidRPr="00942352">
        <w:rPr>
          <w:sz w:val="20"/>
        </w:rPr>
        <w:t>168</w:t>
      </w:r>
      <w:r w:rsidRPr="00942352">
        <w:rPr>
          <w:sz w:val="20"/>
        </w:rPr>
        <w:tab/>
      </w:r>
      <w:r w:rsidR="007B087E" w:rsidRPr="00942352">
        <w:t>With respect to the trustee’s analysis, the respondent submitted that this was “artificial” and does not “present anything like the full pictur</w:t>
      </w:r>
      <w:r w:rsidR="000617A3">
        <w:t>e”</w:t>
      </w:r>
      <w:r w:rsidR="007B087E" w:rsidRPr="00942352">
        <w:t xml:space="preserve">. The respondent also criticised the trustee attempting to put on a “running balance style analysis for a marriage”. The respondent relied upon </w:t>
      </w:r>
      <w:r w:rsidR="007B087E" w:rsidRPr="00942352">
        <w:rPr>
          <w:b/>
          <w:i/>
        </w:rPr>
        <w:t>Silvia</w:t>
      </w:r>
      <w:r w:rsidR="007B087E" w:rsidRPr="00942352">
        <w:rPr>
          <w:i/>
        </w:rPr>
        <w:t xml:space="preserve"> (Trustee) </w:t>
      </w:r>
      <w:r w:rsidR="007B087E" w:rsidRPr="00942352">
        <w:rPr>
          <w:b/>
          <w:i/>
        </w:rPr>
        <w:t>v Williams</w:t>
      </w:r>
      <w:r w:rsidR="007B087E" w:rsidRPr="00942352">
        <w:rPr>
          <w:i/>
        </w:rPr>
        <w:t>, in the matter of Williams (Bankrupt)</w:t>
      </w:r>
      <w:r w:rsidR="007B087E" w:rsidRPr="00942352">
        <w:t xml:space="preserve"> [2018] FCA 189, in which there were at least five accounts and money was moving between each of those accounts. In this decision, the respondent submits it was “impossible to work out what had gone on and who was more favourable than the other”. The respondent submits that the same problem arises in this case.  </w:t>
      </w:r>
    </w:p>
    <w:p w14:paraId="0BD69B5A" w14:textId="3FD0EB65" w:rsidR="0026434B" w:rsidRPr="00942352" w:rsidRDefault="00155C95" w:rsidP="00155C95">
      <w:pPr>
        <w:pStyle w:val="ParaNumbering"/>
        <w:numPr>
          <w:ilvl w:val="0"/>
          <w:numId w:val="0"/>
        </w:numPr>
        <w:ind w:hanging="720"/>
        <w:rPr>
          <w:lang w:eastAsia="en-AU"/>
        </w:rPr>
      </w:pPr>
      <w:r w:rsidRPr="00942352">
        <w:rPr>
          <w:sz w:val="20"/>
          <w:lang w:eastAsia="en-AU"/>
        </w:rPr>
        <w:lastRenderedPageBreak/>
        <w:t>169</w:t>
      </w:r>
      <w:r w:rsidRPr="00942352">
        <w:rPr>
          <w:sz w:val="20"/>
          <w:lang w:eastAsia="en-AU"/>
        </w:rPr>
        <w:tab/>
      </w:r>
      <w:r w:rsidR="00F94F0B" w:rsidRPr="00942352">
        <w:rPr>
          <w:lang w:eastAsia="en-AU"/>
        </w:rPr>
        <w:t>T</w:t>
      </w:r>
      <w:r w:rsidR="0026434B" w:rsidRPr="00942352">
        <w:rPr>
          <w:lang w:eastAsia="en-AU"/>
        </w:rPr>
        <w:t>he respondent contends that the claim under s 139DA must fail where no financial contribution by the bankrupt has been adequately identified (given it is claimed to have been made from a long standing joint account)</w:t>
      </w:r>
      <w:r w:rsidR="007E7B53" w:rsidRPr="00942352">
        <w:rPr>
          <w:lang w:eastAsia="en-AU"/>
        </w:rPr>
        <w:t xml:space="preserve">. </w:t>
      </w:r>
    </w:p>
    <w:p w14:paraId="333DBB7B" w14:textId="59E1A056" w:rsidR="00A01023" w:rsidRPr="00942352" w:rsidRDefault="00155C95" w:rsidP="00155C95">
      <w:pPr>
        <w:pStyle w:val="ParaNumbering"/>
        <w:numPr>
          <w:ilvl w:val="0"/>
          <w:numId w:val="0"/>
        </w:numPr>
        <w:ind w:hanging="720"/>
        <w:rPr>
          <w:lang w:eastAsia="en-AU"/>
        </w:rPr>
      </w:pPr>
      <w:r w:rsidRPr="00942352">
        <w:rPr>
          <w:sz w:val="20"/>
          <w:lang w:eastAsia="en-AU"/>
        </w:rPr>
        <w:t>170</w:t>
      </w:r>
      <w:r w:rsidRPr="00942352">
        <w:rPr>
          <w:sz w:val="20"/>
          <w:lang w:eastAsia="en-AU"/>
        </w:rPr>
        <w:tab/>
      </w:r>
      <w:r w:rsidR="005D7C37" w:rsidRPr="00942352">
        <w:rPr>
          <w:lang w:eastAsia="en-AU"/>
        </w:rPr>
        <w:t xml:space="preserve">The </w:t>
      </w:r>
      <w:r w:rsidR="00C37092" w:rsidRPr="00942352">
        <w:rPr>
          <w:lang w:eastAsia="en-AU"/>
        </w:rPr>
        <w:t xml:space="preserve">respondent </w:t>
      </w:r>
      <w:r w:rsidR="00F94F0B" w:rsidRPr="00942352">
        <w:rPr>
          <w:lang w:eastAsia="en-AU"/>
        </w:rPr>
        <w:t>concedes</w:t>
      </w:r>
      <w:r w:rsidR="00C37092" w:rsidRPr="00942352">
        <w:rPr>
          <w:lang w:eastAsia="en-AU"/>
        </w:rPr>
        <w:t xml:space="preserve"> that the cash portion of the purchase price of the North Balgowlah property was </w:t>
      </w:r>
      <w:r w:rsidR="00D60DC9" w:rsidRPr="00942352">
        <w:rPr>
          <w:lang w:eastAsia="en-AU"/>
        </w:rPr>
        <w:t>$197,7</w:t>
      </w:r>
      <w:r w:rsidR="00C37092" w:rsidRPr="00942352">
        <w:rPr>
          <w:lang w:eastAsia="en-AU"/>
        </w:rPr>
        <w:t xml:space="preserve">73.86 paid from the Joint Account. </w:t>
      </w:r>
      <w:r w:rsidR="00912216" w:rsidRPr="00942352">
        <w:rPr>
          <w:lang w:eastAsia="en-AU"/>
        </w:rPr>
        <w:t>The respondent does not dispute that the funds in the Joint Account were jointly held,</w:t>
      </w:r>
      <w:r w:rsidR="00F94F0B" w:rsidRPr="00942352">
        <w:rPr>
          <w:lang w:eastAsia="en-AU"/>
        </w:rPr>
        <w:t xml:space="preserve"> but claims that by reason of the funds coming from </w:t>
      </w:r>
      <w:r w:rsidR="00912216" w:rsidRPr="00942352">
        <w:rPr>
          <w:lang w:eastAsia="en-AU"/>
        </w:rPr>
        <w:t>that account</w:t>
      </w:r>
      <w:r w:rsidR="00F94F0B" w:rsidRPr="00942352">
        <w:rPr>
          <w:lang w:eastAsia="en-AU"/>
        </w:rPr>
        <w:t>, the contributions were</w:t>
      </w:r>
      <w:r w:rsidR="00912216" w:rsidRPr="00942352">
        <w:rPr>
          <w:lang w:eastAsia="en-AU"/>
        </w:rPr>
        <w:t xml:space="preserve"> a payment in equal parts by the bankrupt and the </w:t>
      </w:r>
      <w:r w:rsidR="000617A3">
        <w:rPr>
          <w:lang w:eastAsia="en-AU"/>
        </w:rPr>
        <w:t>respondent</w:t>
      </w:r>
      <w:r w:rsidR="00912216" w:rsidRPr="00942352">
        <w:rPr>
          <w:lang w:eastAsia="en-AU"/>
        </w:rPr>
        <w:t xml:space="preserve">. </w:t>
      </w:r>
      <w:r w:rsidR="004D4CC2" w:rsidRPr="00942352">
        <w:rPr>
          <w:lang w:eastAsia="en-AU"/>
        </w:rPr>
        <w:t xml:space="preserve">The balance of the purchase funds was obtained by way of a joint borrowing of $1.7 million from the </w:t>
      </w:r>
      <w:r w:rsidR="00D65E5D" w:rsidRPr="00942352">
        <w:rPr>
          <w:lang w:eastAsia="en-AU"/>
        </w:rPr>
        <w:t>Commonwealth Bank</w:t>
      </w:r>
      <w:r w:rsidR="004D4CC2" w:rsidRPr="00942352">
        <w:rPr>
          <w:lang w:eastAsia="en-AU"/>
        </w:rPr>
        <w:t xml:space="preserve"> </w:t>
      </w:r>
      <w:r w:rsidR="00D057F7" w:rsidRPr="00942352">
        <w:rPr>
          <w:lang w:eastAsia="en-AU"/>
        </w:rPr>
        <w:t>(see above at [</w:t>
      </w:r>
      <w:r w:rsidR="00D057F7" w:rsidRPr="00942352">
        <w:rPr>
          <w:lang w:eastAsia="en-AU"/>
        </w:rPr>
        <w:fldChar w:fldCharType="begin"/>
      </w:r>
      <w:r w:rsidR="00D057F7" w:rsidRPr="00942352">
        <w:rPr>
          <w:lang w:eastAsia="en-AU"/>
        </w:rPr>
        <w:instrText xml:space="preserve"> REF _Ref128651686 \r \h </w:instrText>
      </w:r>
      <w:r w:rsidR="00942352" w:rsidRPr="00942352">
        <w:rPr>
          <w:lang w:eastAsia="en-AU"/>
        </w:rPr>
        <w:instrText xml:space="preserve"> \* MERGEFORMAT </w:instrText>
      </w:r>
      <w:r w:rsidR="00D057F7" w:rsidRPr="00942352">
        <w:rPr>
          <w:lang w:eastAsia="en-AU"/>
        </w:rPr>
      </w:r>
      <w:r w:rsidR="00D057F7" w:rsidRPr="00942352">
        <w:rPr>
          <w:lang w:eastAsia="en-AU"/>
        </w:rPr>
        <w:fldChar w:fldCharType="separate"/>
      </w:r>
      <w:r w:rsidR="002B380F">
        <w:rPr>
          <w:lang w:eastAsia="en-AU"/>
        </w:rPr>
        <w:t>16</w:t>
      </w:r>
      <w:r w:rsidR="00D057F7" w:rsidRPr="00942352">
        <w:rPr>
          <w:lang w:eastAsia="en-AU"/>
        </w:rPr>
        <w:fldChar w:fldCharType="end"/>
      </w:r>
      <w:r w:rsidR="00D057F7" w:rsidRPr="00942352">
        <w:rPr>
          <w:lang w:eastAsia="en-AU"/>
        </w:rPr>
        <w:t>])</w:t>
      </w:r>
      <w:r w:rsidR="004D4CC2" w:rsidRPr="00942352">
        <w:rPr>
          <w:lang w:eastAsia="en-AU"/>
        </w:rPr>
        <w:t xml:space="preserve">. </w:t>
      </w:r>
      <w:r w:rsidR="00106B16" w:rsidRPr="00942352">
        <w:rPr>
          <w:lang w:eastAsia="en-AU"/>
        </w:rPr>
        <w:t>The respondent submits</w:t>
      </w:r>
      <w:r w:rsidR="00F94F0B" w:rsidRPr="00942352">
        <w:rPr>
          <w:lang w:eastAsia="en-AU"/>
        </w:rPr>
        <w:t xml:space="preserve"> the </w:t>
      </w:r>
      <w:r w:rsidR="0072486F" w:rsidRPr="00942352">
        <w:rPr>
          <w:lang w:eastAsia="en-AU"/>
        </w:rPr>
        <w:t>trustee</w:t>
      </w:r>
      <w:r w:rsidR="00F94F0B" w:rsidRPr="00942352">
        <w:rPr>
          <w:lang w:eastAsia="en-AU"/>
        </w:rPr>
        <w:t>’s failure</w:t>
      </w:r>
      <w:r w:rsidR="00106B16" w:rsidRPr="00942352">
        <w:rPr>
          <w:lang w:eastAsia="en-AU"/>
        </w:rPr>
        <w:t xml:space="preserve"> </w:t>
      </w:r>
      <w:r w:rsidR="001D7856" w:rsidRPr="00942352">
        <w:rPr>
          <w:lang w:eastAsia="en-AU"/>
        </w:rPr>
        <w:t>to</w:t>
      </w:r>
      <w:r w:rsidR="00106B16" w:rsidRPr="00942352">
        <w:rPr>
          <w:lang w:eastAsia="en-AU"/>
        </w:rPr>
        <w:t xml:space="preserve"> </w:t>
      </w:r>
      <w:r w:rsidR="001D7856" w:rsidRPr="00942352">
        <w:rPr>
          <w:lang w:eastAsia="en-AU"/>
        </w:rPr>
        <w:t xml:space="preserve">identify </w:t>
      </w:r>
      <w:r w:rsidR="00106B16" w:rsidRPr="00942352">
        <w:rPr>
          <w:lang w:eastAsia="en-AU"/>
        </w:rPr>
        <w:t xml:space="preserve">the relevant “financial contribution” by the bankrupt </w:t>
      </w:r>
      <w:r w:rsidR="00DF006D" w:rsidRPr="00942352">
        <w:rPr>
          <w:lang w:eastAsia="en-AU"/>
        </w:rPr>
        <w:t xml:space="preserve">for </w:t>
      </w:r>
      <w:r w:rsidR="00D057F7" w:rsidRPr="00942352">
        <w:rPr>
          <w:lang w:eastAsia="en-AU"/>
        </w:rPr>
        <w:t>the purpose of s 139DA(a)</w:t>
      </w:r>
      <w:r w:rsidR="00DF006D" w:rsidRPr="00942352">
        <w:rPr>
          <w:lang w:eastAsia="en-AU"/>
        </w:rPr>
        <w:t xml:space="preserve"> </w:t>
      </w:r>
      <w:r w:rsidR="00F94F0B" w:rsidRPr="00942352">
        <w:rPr>
          <w:lang w:eastAsia="en-AU"/>
        </w:rPr>
        <w:t>arises from it</w:t>
      </w:r>
      <w:r w:rsidR="00CA51E0" w:rsidRPr="00942352">
        <w:rPr>
          <w:lang w:eastAsia="en-AU"/>
        </w:rPr>
        <w:t xml:space="preserve"> selectively focusing on </w:t>
      </w:r>
      <w:r w:rsidR="00A64F24" w:rsidRPr="00942352">
        <w:rPr>
          <w:lang w:eastAsia="en-AU"/>
        </w:rPr>
        <w:t>eight</w:t>
      </w:r>
      <w:r w:rsidR="00CA51E0" w:rsidRPr="00942352">
        <w:rPr>
          <w:lang w:eastAsia="en-AU"/>
        </w:rPr>
        <w:t xml:space="preserve"> months of transactions from one joint account </w:t>
      </w:r>
      <w:r w:rsidR="000617A3">
        <w:rPr>
          <w:lang w:eastAsia="en-AU"/>
        </w:rPr>
        <w:t xml:space="preserve">(namely the Joint Account). </w:t>
      </w:r>
      <w:r w:rsidR="006A5432" w:rsidRPr="00942352">
        <w:rPr>
          <w:lang w:eastAsia="en-AU"/>
        </w:rPr>
        <w:t>On the respondent’s submission, the correct approach is for the trustee to adduce evidence of all joint accounts over all periods and identify all deposits and all expenses, and which party deposited funds and which party benefited from</w:t>
      </w:r>
      <w:r w:rsidR="000617A3">
        <w:rPr>
          <w:lang w:eastAsia="en-AU"/>
        </w:rPr>
        <w:t xml:space="preserve"> any payments from the account. </w:t>
      </w:r>
      <w:r w:rsidR="00C1373A" w:rsidRPr="00942352">
        <w:rPr>
          <w:lang w:eastAsia="en-AU"/>
        </w:rPr>
        <w:t>Thus, the respondent submits</w:t>
      </w:r>
      <w:r w:rsidR="00A01023" w:rsidRPr="00942352">
        <w:rPr>
          <w:lang w:eastAsia="en-AU"/>
        </w:rPr>
        <w:t xml:space="preserve"> in order to determine who obtained a greater benefit from the joint accounts, it would be necessary to review the entire history of credits and debits to those accounts as a single transaction, with an ultimate calculation as to who received more benefit. </w:t>
      </w:r>
    </w:p>
    <w:p w14:paraId="27BFDC42" w14:textId="28C2F299" w:rsidR="00F9321A" w:rsidRPr="00942352" w:rsidRDefault="00155C95" w:rsidP="00155C95">
      <w:pPr>
        <w:pStyle w:val="ParaNumbering"/>
        <w:numPr>
          <w:ilvl w:val="0"/>
          <w:numId w:val="0"/>
        </w:numPr>
        <w:ind w:hanging="720"/>
        <w:rPr>
          <w:lang w:eastAsia="en-AU"/>
        </w:rPr>
      </w:pPr>
      <w:r w:rsidRPr="00942352">
        <w:rPr>
          <w:sz w:val="20"/>
          <w:lang w:eastAsia="en-AU"/>
        </w:rPr>
        <w:t>171</w:t>
      </w:r>
      <w:r w:rsidRPr="00942352">
        <w:rPr>
          <w:sz w:val="20"/>
          <w:lang w:eastAsia="en-AU"/>
        </w:rPr>
        <w:tab/>
      </w:r>
      <w:r w:rsidR="00F9321A" w:rsidRPr="00942352">
        <w:rPr>
          <w:lang w:eastAsia="en-AU"/>
        </w:rPr>
        <w:t>The respondent identified several joint accounts (apart from the Joint Account) that were purportedly ignored by the trustee</w:t>
      </w:r>
      <w:r w:rsidR="00A32F10" w:rsidRPr="00942352">
        <w:rPr>
          <w:lang w:eastAsia="en-AU"/>
        </w:rPr>
        <w:t xml:space="preserve">, despite being in the trustee’s evidence. </w:t>
      </w:r>
      <w:r w:rsidR="00194EFB" w:rsidRPr="00942352">
        <w:rPr>
          <w:lang w:eastAsia="en-AU"/>
        </w:rPr>
        <w:t>The trustee</w:t>
      </w:r>
      <w:r w:rsidR="003B7BB1" w:rsidRPr="00942352">
        <w:rPr>
          <w:lang w:eastAsia="en-AU"/>
        </w:rPr>
        <w:t xml:space="preserve"> conceded in cross-examination that he</w:t>
      </w:r>
      <w:r w:rsidR="00194EFB" w:rsidRPr="00942352">
        <w:rPr>
          <w:lang w:eastAsia="en-AU"/>
        </w:rPr>
        <w:t xml:space="preserve"> did not request documents from the </w:t>
      </w:r>
      <w:r w:rsidR="003B7BB1" w:rsidRPr="00942352">
        <w:rPr>
          <w:lang w:eastAsia="en-AU"/>
        </w:rPr>
        <w:t>NAB</w:t>
      </w:r>
      <w:r w:rsidR="00194EFB" w:rsidRPr="00942352">
        <w:rPr>
          <w:lang w:eastAsia="en-AU"/>
        </w:rPr>
        <w:t>, despite knowing that the bankrupt</w:t>
      </w:r>
      <w:r w:rsidR="00001F2B" w:rsidRPr="00942352">
        <w:rPr>
          <w:lang w:eastAsia="en-AU"/>
        </w:rPr>
        <w:t xml:space="preserve"> had</w:t>
      </w:r>
      <w:r w:rsidR="00194EFB" w:rsidRPr="00942352">
        <w:rPr>
          <w:lang w:eastAsia="en-AU"/>
        </w:rPr>
        <w:t xml:space="preserve"> banked with the NAB</w:t>
      </w:r>
      <w:r w:rsidR="00050A80" w:rsidRPr="00942352">
        <w:rPr>
          <w:lang w:eastAsia="en-AU"/>
        </w:rPr>
        <w:t xml:space="preserve"> and that the NAB funded the purchase of the investment properties</w:t>
      </w:r>
      <w:r w:rsidR="008346A5" w:rsidRPr="00942352">
        <w:rPr>
          <w:lang w:eastAsia="en-AU"/>
        </w:rPr>
        <w:t xml:space="preserve"> and the Seaforth property before the 2013 </w:t>
      </w:r>
      <w:r w:rsidR="000617A3">
        <w:rPr>
          <w:lang w:eastAsia="en-AU"/>
        </w:rPr>
        <w:t>re</w:t>
      </w:r>
      <w:r w:rsidR="008346A5" w:rsidRPr="00942352">
        <w:rPr>
          <w:lang w:eastAsia="en-AU"/>
        </w:rPr>
        <w:t>finance with the Commonwealth Bank</w:t>
      </w:r>
      <w:r w:rsidR="00050A80" w:rsidRPr="00942352">
        <w:rPr>
          <w:lang w:eastAsia="en-AU"/>
        </w:rPr>
        <w:t xml:space="preserve">. </w:t>
      </w:r>
      <w:r w:rsidR="00805DAF" w:rsidRPr="00942352">
        <w:rPr>
          <w:lang w:eastAsia="en-AU"/>
        </w:rPr>
        <w:t xml:space="preserve">The accounts to which the respondent refers were those </w:t>
      </w:r>
      <w:r w:rsidR="00601775" w:rsidRPr="00942352">
        <w:rPr>
          <w:lang w:eastAsia="en-AU"/>
        </w:rPr>
        <w:t>listed on</w:t>
      </w:r>
      <w:r w:rsidR="00805DAF" w:rsidRPr="00942352">
        <w:rPr>
          <w:lang w:eastAsia="en-AU"/>
        </w:rPr>
        <w:t xml:space="preserve"> the first page of the annexure to the </w:t>
      </w:r>
      <w:r w:rsidR="0072486F" w:rsidRPr="00942352">
        <w:rPr>
          <w:lang w:eastAsia="en-AU"/>
        </w:rPr>
        <w:t>trustee</w:t>
      </w:r>
      <w:r w:rsidR="00805DAF" w:rsidRPr="00942352">
        <w:rPr>
          <w:lang w:eastAsia="en-AU"/>
        </w:rPr>
        <w:t>’s affidavit</w:t>
      </w:r>
      <w:r w:rsidR="00601775" w:rsidRPr="00942352">
        <w:rPr>
          <w:lang w:eastAsia="en-AU"/>
        </w:rPr>
        <w:t xml:space="preserve"> (extracted below)</w:t>
      </w:r>
      <w:r w:rsidR="00805DAF" w:rsidRPr="00942352">
        <w:rPr>
          <w:lang w:eastAsia="en-AU"/>
        </w:rPr>
        <w:t xml:space="preserve"> containing the bundle of bank statements </w:t>
      </w:r>
      <w:r w:rsidR="00601775" w:rsidRPr="00942352">
        <w:rPr>
          <w:lang w:eastAsia="en-AU"/>
        </w:rPr>
        <w:t>for</w:t>
      </w:r>
      <w:r w:rsidR="00805DAF" w:rsidRPr="00942352">
        <w:rPr>
          <w:lang w:eastAsia="en-AU"/>
        </w:rPr>
        <w:t xml:space="preserve"> accounts operated by the bankrupt and the respondent </w:t>
      </w:r>
      <w:r w:rsidR="00AC42DF" w:rsidRPr="00942352">
        <w:rPr>
          <w:lang w:eastAsia="en-AU"/>
        </w:rPr>
        <w:t>from January</w:t>
      </w:r>
      <w:r w:rsidR="00601775" w:rsidRPr="00942352">
        <w:rPr>
          <w:lang w:eastAsia="en-AU"/>
        </w:rPr>
        <w:t xml:space="preserve"> </w:t>
      </w:r>
      <w:r w:rsidR="00805DAF" w:rsidRPr="00942352">
        <w:rPr>
          <w:lang w:eastAsia="en-AU"/>
        </w:rPr>
        <w:t xml:space="preserve">2014 </w:t>
      </w:r>
      <w:r w:rsidR="00AC42DF" w:rsidRPr="00942352">
        <w:rPr>
          <w:lang w:eastAsia="en-AU"/>
        </w:rPr>
        <w:t>to October 2017</w:t>
      </w:r>
      <w:r w:rsidR="00805DAF" w:rsidRPr="00942352">
        <w:rPr>
          <w:lang w:eastAsia="en-AU"/>
        </w:rPr>
        <w:t xml:space="preserve">. </w:t>
      </w:r>
      <w:r w:rsidR="00601775" w:rsidRPr="00942352">
        <w:rPr>
          <w:lang w:eastAsia="en-AU"/>
        </w:rPr>
        <w:t>T</w:t>
      </w:r>
      <w:r w:rsidR="00805DAF" w:rsidRPr="00942352">
        <w:rPr>
          <w:lang w:eastAsia="en-AU"/>
        </w:rPr>
        <w:t xml:space="preserve">he majority of these accounts were home loan accounts. The only other transactional account is the account ending in #1998 </w:t>
      </w:r>
      <w:r w:rsidR="00FA6B7E" w:rsidRPr="00942352">
        <w:rPr>
          <w:lang w:eastAsia="en-AU"/>
        </w:rPr>
        <w:t>(</w:t>
      </w:r>
      <w:r w:rsidR="00FA6B7E" w:rsidRPr="000617A3">
        <w:rPr>
          <w:b/>
          <w:lang w:eastAsia="en-AU"/>
        </w:rPr>
        <w:t>#</w:t>
      </w:r>
      <w:r w:rsidR="00FA6B7E" w:rsidRPr="00942352">
        <w:rPr>
          <w:b/>
          <w:lang w:eastAsia="en-AU"/>
        </w:rPr>
        <w:t>1998 Joint Account</w:t>
      </w:r>
      <w:r w:rsidR="00FA6B7E" w:rsidRPr="00942352">
        <w:rPr>
          <w:lang w:eastAsia="en-AU"/>
        </w:rPr>
        <w:t>)</w:t>
      </w:r>
      <w:r w:rsidR="00FA6B7E" w:rsidRPr="00942352">
        <w:rPr>
          <w:b/>
          <w:lang w:eastAsia="en-AU"/>
        </w:rPr>
        <w:t xml:space="preserve"> </w:t>
      </w:r>
      <w:r w:rsidR="00805DAF" w:rsidRPr="00942352">
        <w:rPr>
          <w:lang w:eastAsia="en-AU"/>
        </w:rPr>
        <w:t xml:space="preserve">which was the offset account for the North Balgowlah property, and into which </w:t>
      </w:r>
      <w:r w:rsidR="00B17DB7" w:rsidRPr="00942352">
        <w:rPr>
          <w:lang w:eastAsia="en-AU"/>
        </w:rPr>
        <w:t xml:space="preserve">the trustee conceded that </w:t>
      </w:r>
      <w:r w:rsidR="00805DAF" w:rsidRPr="00942352">
        <w:rPr>
          <w:lang w:eastAsia="en-AU"/>
        </w:rPr>
        <w:t>the respondent deposited the surplus proceeds from the sale of the Seaforth property in April 2016.</w:t>
      </w:r>
      <w:r w:rsidR="00DC3319" w:rsidRPr="00942352">
        <w:rPr>
          <w:lang w:eastAsia="en-AU"/>
        </w:rPr>
        <w:t xml:space="preserve"> </w:t>
      </w:r>
    </w:p>
    <w:p w14:paraId="5FAC1375" w14:textId="16531BE1" w:rsidR="00805DAF" w:rsidRPr="00942352" w:rsidRDefault="00CE32D9" w:rsidP="00805DAF">
      <w:pPr>
        <w:pStyle w:val="Quote1"/>
        <w:ind w:left="0"/>
        <w:rPr>
          <w:lang w:eastAsia="en-AU"/>
        </w:rPr>
      </w:pPr>
      <w:r>
        <w:rPr>
          <w:lang w:eastAsia="en-AU"/>
        </w:rPr>
        <w:lastRenderedPageBreak/>
        <w:pict w14:anchorId="3BC150C5">
          <v:shape id="_x0000_i1027" type="#_x0000_t75" style="width:450.75pt;height:116.25pt">
            <v:imagedata r:id="rId24" o:title="table of accounts CB659_Redacted"/>
          </v:shape>
        </w:pict>
      </w:r>
    </w:p>
    <w:p w14:paraId="7936D6EA" w14:textId="7F7E3BA4" w:rsidR="00F94F0B" w:rsidRPr="00942352" w:rsidRDefault="00155C95" w:rsidP="00155C95">
      <w:pPr>
        <w:pStyle w:val="ParaNumbering"/>
        <w:numPr>
          <w:ilvl w:val="0"/>
          <w:numId w:val="0"/>
        </w:numPr>
        <w:ind w:hanging="720"/>
        <w:rPr>
          <w:lang w:eastAsia="en-AU"/>
        </w:rPr>
      </w:pPr>
      <w:r w:rsidRPr="00942352">
        <w:rPr>
          <w:sz w:val="20"/>
          <w:lang w:eastAsia="en-AU"/>
        </w:rPr>
        <w:t>172</w:t>
      </w:r>
      <w:r w:rsidRPr="00942352">
        <w:rPr>
          <w:sz w:val="20"/>
          <w:lang w:eastAsia="en-AU"/>
        </w:rPr>
        <w:tab/>
      </w:r>
      <w:r w:rsidR="00F94F0B" w:rsidRPr="00942352">
        <w:rPr>
          <w:lang w:eastAsia="en-AU"/>
        </w:rPr>
        <w:t xml:space="preserve">For the following reasons, I reject the respondent’s submission. </w:t>
      </w:r>
    </w:p>
    <w:p w14:paraId="638781BF" w14:textId="104538E8" w:rsidR="008E773A" w:rsidRPr="00942352" w:rsidRDefault="00155C95" w:rsidP="00155C95">
      <w:pPr>
        <w:pStyle w:val="ParaNumbering"/>
        <w:numPr>
          <w:ilvl w:val="0"/>
          <w:numId w:val="0"/>
        </w:numPr>
        <w:ind w:hanging="720"/>
        <w:rPr>
          <w:lang w:eastAsia="en-AU"/>
        </w:rPr>
      </w:pPr>
      <w:bookmarkStart w:id="105" w:name="_Ref127783358"/>
      <w:r w:rsidRPr="00942352">
        <w:rPr>
          <w:sz w:val="20"/>
          <w:lang w:eastAsia="en-AU"/>
        </w:rPr>
        <w:t>173</w:t>
      </w:r>
      <w:r w:rsidRPr="00942352">
        <w:rPr>
          <w:sz w:val="20"/>
          <w:lang w:eastAsia="en-AU"/>
        </w:rPr>
        <w:tab/>
      </w:r>
      <w:r w:rsidR="008E773A" w:rsidRPr="00942352">
        <w:rPr>
          <w:i/>
          <w:lang w:eastAsia="en-AU"/>
        </w:rPr>
        <w:t>First</w:t>
      </w:r>
      <w:r w:rsidR="008E773A" w:rsidRPr="000617A3">
        <w:rPr>
          <w:lang w:eastAsia="en-AU"/>
        </w:rPr>
        <w:t>,</w:t>
      </w:r>
      <w:r w:rsidR="008E773A" w:rsidRPr="00942352">
        <w:rPr>
          <w:i/>
          <w:lang w:eastAsia="en-AU"/>
        </w:rPr>
        <w:t xml:space="preserve"> </w:t>
      </w:r>
      <w:r w:rsidR="008E773A" w:rsidRPr="00942352">
        <w:rPr>
          <w:lang w:eastAsia="en-AU"/>
        </w:rPr>
        <w:t>for the reasons articulated above, I have found that:</w:t>
      </w:r>
      <w:bookmarkEnd w:id="105"/>
      <w:r w:rsidR="008E773A" w:rsidRPr="00942352">
        <w:rPr>
          <w:lang w:eastAsia="en-AU"/>
        </w:rPr>
        <w:t xml:space="preserve"> </w:t>
      </w:r>
    </w:p>
    <w:p w14:paraId="5E94FF28" w14:textId="72A3C839" w:rsidR="008E773A" w:rsidRPr="00942352" w:rsidRDefault="00155C95" w:rsidP="00155C95">
      <w:pPr>
        <w:pStyle w:val="ListNo1alt"/>
        <w:numPr>
          <w:ilvl w:val="0"/>
          <w:numId w:val="0"/>
        </w:numPr>
        <w:tabs>
          <w:tab w:val="left" w:pos="720"/>
        </w:tabs>
        <w:ind w:left="720" w:hanging="720"/>
        <w:rPr>
          <w:lang w:eastAsia="en-AU"/>
        </w:rPr>
      </w:pPr>
      <w:r w:rsidRPr="00942352">
        <w:rPr>
          <w:lang w:eastAsia="en-AU"/>
        </w:rPr>
        <w:t>(a)</w:t>
      </w:r>
      <w:r w:rsidRPr="00942352">
        <w:rPr>
          <w:lang w:eastAsia="en-AU"/>
        </w:rPr>
        <w:tab/>
      </w:r>
      <w:r w:rsidR="008E773A" w:rsidRPr="00942352">
        <w:rPr>
          <w:lang w:eastAsia="en-AU"/>
        </w:rPr>
        <w:t xml:space="preserve">to the extent that is necessary, the Boyce Road and Anzac Parade properties were beneficially owned in accordance with their legal title; </w:t>
      </w:r>
    </w:p>
    <w:p w14:paraId="04FFF952" w14:textId="33377C2E" w:rsidR="008E773A" w:rsidRPr="00942352" w:rsidRDefault="00155C95" w:rsidP="00155C95">
      <w:pPr>
        <w:pStyle w:val="ListNo1alt"/>
        <w:numPr>
          <w:ilvl w:val="0"/>
          <w:numId w:val="0"/>
        </w:numPr>
        <w:tabs>
          <w:tab w:val="left" w:pos="720"/>
        </w:tabs>
        <w:ind w:left="720" w:hanging="720"/>
        <w:rPr>
          <w:lang w:eastAsia="en-AU"/>
        </w:rPr>
      </w:pPr>
      <w:r w:rsidRPr="00942352">
        <w:rPr>
          <w:lang w:eastAsia="en-AU"/>
        </w:rPr>
        <w:t>(b)</w:t>
      </w:r>
      <w:r w:rsidRPr="00942352">
        <w:rPr>
          <w:lang w:eastAsia="en-AU"/>
        </w:rPr>
        <w:tab/>
      </w:r>
      <w:proofErr w:type="gramStart"/>
      <w:r w:rsidR="008E773A" w:rsidRPr="00942352">
        <w:rPr>
          <w:lang w:eastAsia="en-AU"/>
        </w:rPr>
        <w:t>the</w:t>
      </w:r>
      <w:proofErr w:type="gramEnd"/>
      <w:r w:rsidR="008E773A" w:rsidRPr="00942352">
        <w:rPr>
          <w:lang w:eastAsia="en-AU"/>
        </w:rPr>
        <w:t xml:space="preserve"> proceeds of both properties were paid into the Joint Account; </w:t>
      </w:r>
      <w:r w:rsidR="00DF56D6" w:rsidRPr="00942352">
        <w:rPr>
          <w:lang w:eastAsia="en-AU"/>
        </w:rPr>
        <w:t>and</w:t>
      </w:r>
    </w:p>
    <w:p w14:paraId="5EB53063" w14:textId="0930E114" w:rsidR="008E773A" w:rsidRPr="00942352" w:rsidRDefault="00155C95" w:rsidP="00155C95">
      <w:pPr>
        <w:pStyle w:val="ListNo1alt"/>
        <w:numPr>
          <w:ilvl w:val="0"/>
          <w:numId w:val="0"/>
        </w:numPr>
        <w:tabs>
          <w:tab w:val="left" w:pos="720"/>
        </w:tabs>
        <w:ind w:left="720" w:hanging="720"/>
        <w:rPr>
          <w:lang w:eastAsia="en-AU"/>
        </w:rPr>
      </w:pPr>
      <w:r w:rsidRPr="00942352">
        <w:rPr>
          <w:lang w:eastAsia="en-AU"/>
        </w:rPr>
        <w:t>(c)</w:t>
      </w:r>
      <w:r w:rsidRPr="00942352">
        <w:rPr>
          <w:lang w:eastAsia="en-AU"/>
        </w:rPr>
        <w:tab/>
      </w:r>
      <w:proofErr w:type="gramStart"/>
      <w:r w:rsidR="008E773A" w:rsidRPr="00942352">
        <w:rPr>
          <w:lang w:eastAsia="en-AU"/>
        </w:rPr>
        <w:t>the</w:t>
      </w:r>
      <w:proofErr w:type="gramEnd"/>
      <w:r w:rsidR="008E773A" w:rsidRPr="00942352">
        <w:rPr>
          <w:lang w:eastAsia="en-AU"/>
        </w:rPr>
        <w:t xml:space="preserve"> proceeds of both properties comprised monies which were used to purchase the North Balgowlah property</w:t>
      </w:r>
      <w:r w:rsidR="00DF56D6" w:rsidRPr="00942352">
        <w:rPr>
          <w:lang w:eastAsia="en-AU"/>
        </w:rPr>
        <w:t>.</w:t>
      </w:r>
    </w:p>
    <w:p w14:paraId="5A868D80" w14:textId="18838924" w:rsidR="009C1791" w:rsidRPr="00942352" w:rsidRDefault="00155C95" w:rsidP="00155C95">
      <w:pPr>
        <w:pStyle w:val="ParaNumbering"/>
        <w:numPr>
          <w:ilvl w:val="0"/>
          <w:numId w:val="0"/>
        </w:numPr>
        <w:ind w:hanging="720"/>
        <w:rPr>
          <w:lang w:eastAsia="en-AU"/>
        </w:rPr>
      </w:pPr>
      <w:r w:rsidRPr="00942352">
        <w:rPr>
          <w:sz w:val="20"/>
          <w:lang w:eastAsia="en-AU"/>
        </w:rPr>
        <w:t>174</w:t>
      </w:r>
      <w:r w:rsidRPr="00942352">
        <w:rPr>
          <w:sz w:val="20"/>
          <w:lang w:eastAsia="en-AU"/>
        </w:rPr>
        <w:tab/>
      </w:r>
      <w:r w:rsidR="008E773A" w:rsidRPr="00942352">
        <w:rPr>
          <w:i/>
          <w:lang w:eastAsia="en-AU"/>
        </w:rPr>
        <w:t>Secondly</w:t>
      </w:r>
      <w:r w:rsidR="00F94F0B" w:rsidRPr="000617A3">
        <w:rPr>
          <w:lang w:eastAsia="en-AU"/>
        </w:rPr>
        <w:t>,</w:t>
      </w:r>
      <w:r w:rsidR="00F94F0B" w:rsidRPr="00942352">
        <w:rPr>
          <w:i/>
          <w:lang w:eastAsia="en-AU"/>
        </w:rPr>
        <w:t xml:space="preserve"> </w:t>
      </w:r>
      <w:r w:rsidR="00AD248F" w:rsidRPr="00942352">
        <w:rPr>
          <w:lang w:eastAsia="en-AU"/>
        </w:rPr>
        <w:t xml:space="preserve">when considering the respondent’s claims regarding the absence of proof of contribution by the bankrupt (noting the contribution may be direct or </w:t>
      </w:r>
      <w:r w:rsidR="00AD248F" w:rsidRPr="00942352">
        <w:rPr>
          <w:i/>
          <w:lang w:eastAsia="en-AU"/>
        </w:rPr>
        <w:t>indirect</w:t>
      </w:r>
      <w:r w:rsidR="00AD248F" w:rsidRPr="00942352">
        <w:rPr>
          <w:lang w:eastAsia="en-AU"/>
        </w:rPr>
        <w:t xml:space="preserve">), </w:t>
      </w:r>
      <w:r w:rsidR="00F94F0B" w:rsidRPr="00942352">
        <w:rPr>
          <w:lang w:eastAsia="en-AU"/>
        </w:rPr>
        <w:t>the evidence identified above reveals that the respondent and the bankrupt had very limited cash reserves</w:t>
      </w:r>
      <w:r w:rsidR="007C485C" w:rsidRPr="00942352">
        <w:rPr>
          <w:lang w:eastAsia="en-AU"/>
        </w:rPr>
        <w:t xml:space="preserve"> (see above </w:t>
      </w:r>
      <w:r w:rsidR="000617A3">
        <w:rPr>
          <w:lang w:eastAsia="en-AU"/>
        </w:rPr>
        <w:t>at</w:t>
      </w:r>
      <w:r w:rsidR="007C485C" w:rsidRPr="00942352">
        <w:rPr>
          <w:lang w:eastAsia="en-AU"/>
        </w:rPr>
        <w:t xml:space="preserve"> [</w:t>
      </w:r>
      <w:r w:rsidR="007C485C" w:rsidRPr="00942352">
        <w:rPr>
          <w:lang w:eastAsia="en-AU"/>
        </w:rPr>
        <w:fldChar w:fldCharType="begin"/>
      </w:r>
      <w:r w:rsidR="007C485C" w:rsidRPr="00942352">
        <w:rPr>
          <w:lang w:eastAsia="en-AU"/>
        </w:rPr>
        <w:instrText xml:space="preserve"> REF _Ref128652684 \r \h </w:instrText>
      </w:r>
      <w:r w:rsidR="00942352" w:rsidRPr="00942352">
        <w:rPr>
          <w:lang w:eastAsia="en-AU"/>
        </w:rPr>
        <w:instrText xml:space="preserve"> \* MERGEFORMAT </w:instrText>
      </w:r>
      <w:r w:rsidR="007C485C" w:rsidRPr="00942352">
        <w:rPr>
          <w:lang w:eastAsia="en-AU"/>
        </w:rPr>
      </w:r>
      <w:r w:rsidR="007C485C" w:rsidRPr="00942352">
        <w:rPr>
          <w:lang w:eastAsia="en-AU"/>
        </w:rPr>
        <w:fldChar w:fldCharType="separate"/>
      </w:r>
      <w:r w:rsidR="002B380F">
        <w:rPr>
          <w:lang w:eastAsia="en-AU"/>
        </w:rPr>
        <w:t>120</w:t>
      </w:r>
      <w:r w:rsidR="007C485C" w:rsidRPr="00942352">
        <w:rPr>
          <w:lang w:eastAsia="en-AU"/>
        </w:rPr>
        <w:fldChar w:fldCharType="end"/>
      </w:r>
      <w:r w:rsidR="007C485C" w:rsidRPr="00942352">
        <w:rPr>
          <w:lang w:eastAsia="en-AU"/>
        </w:rPr>
        <w:t>]–[</w:t>
      </w:r>
      <w:r w:rsidR="007C485C" w:rsidRPr="00942352">
        <w:rPr>
          <w:lang w:eastAsia="en-AU"/>
        </w:rPr>
        <w:fldChar w:fldCharType="begin"/>
      </w:r>
      <w:r w:rsidR="007C485C" w:rsidRPr="00942352">
        <w:rPr>
          <w:lang w:eastAsia="en-AU"/>
        </w:rPr>
        <w:instrText xml:space="preserve"> REF _Ref128652700 \r \h </w:instrText>
      </w:r>
      <w:r w:rsidR="00942352" w:rsidRPr="00942352">
        <w:rPr>
          <w:lang w:eastAsia="en-AU"/>
        </w:rPr>
        <w:instrText xml:space="preserve"> \* MERGEFORMAT </w:instrText>
      </w:r>
      <w:r w:rsidR="007C485C" w:rsidRPr="00942352">
        <w:rPr>
          <w:lang w:eastAsia="en-AU"/>
        </w:rPr>
      </w:r>
      <w:r w:rsidR="007C485C" w:rsidRPr="00942352">
        <w:rPr>
          <w:lang w:eastAsia="en-AU"/>
        </w:rPr>
        <w:fldChar w:fldCharType="separate"/>
      </w:r>
      <w:r w:rsidR="002B380F">
        <w:rPr>
          <w:lang w:eastAsia="en-AU"/>
        </w:rPr>
        <w:t>123</w:t>
      </w:r>
      <w:r w:rsidR="007C485C" w:rsidRPr="00942352">
        <w:rPr>
          <w:lang w:eastAsia="en-AU"/>
        </w:rPr>
        <w:fldChar w:fldCharType="end"/>
      </w:r>
      <w:r w:rsidR="007C485C" w:rsidRPr="00942352">
        <w:rPr>
          <w:lang w:eastAsia="en-AU"/>
        </w:rPr>
        <w:t>])</w:t>
      </w:r>
      <w:r w:rsidR="00F94F0B" w:rsidRPr="00942352">
        <w:rPr>
          <w:lang w:eastAsia="en-AU"/>
        </w:rPr>
        <w:t xml:space="preserve">. Until </w:t>
      </w:r>
      <w:r w:rsidR="000B3001" w:rsidRPr="00942352">
        <w:rPr>
          <w:lang w:eastAsia="en-AU"/>
        </w:rPr>
        <w:t>2015</w:t>
      </w:r>
      <w:r w:rsidR="00F94F0B" w:rsidRPr="00942352">
        <w:rPr>
          <w:lang w:eastAsia="en-AU"/>
        </w:rPr>
        <w:t xml:space="preserve">, their </w:t>
      </w:r>
      <w:r w:rsidR="000B3001" w:rsidRPr="00942352">
        <w:rPr>
          <w:lang w:eastAsia="en-AU"/>
        </w:rPr>
        <w:t xml:space="preserve">marital </w:t>
      </w:r>
      <w:r w:rsidR="00F94F0B" w:rsidRPr="00942352">
        <w:rPr>
          <w:lang w:eastAsia="en-AU"/>
        </w:rPr>
        <w:t>income was sourced primarily from the bankrupt’s income. To the extent that the respondent’s attack is articulated as a</w:t>
      </w:r>
      <w:r w:rsidR="005E09B0" w:rsidRPr="00942352">
        <w:rPr>
          <w:lang w:eastAsia="en-AU"/>
        </w:rPr>
        <w:t xml:space="preserve"> </w:t>
      </w:r>
      <w:r w:rsidR="00F94F0B" w:rsidRPr="00942352">
        <w:rPr>
          <w:lang w:eastAsia="en-AU"/>
        </w:rPr>
        <w:t>criticism of the</w:t>
      </w:r>
      <w:r w:rsidR="005E09B0" w:rsidRPr="00942352">
        <w:rPr>
          <w:lang w:eastAsia="en-AU"/>
        </w:rPr>
        <w:t xml:space="preserve"> trustee not </w:t>
      </w:r>
      <w:r w:rsidR="009C1791" w:rsidRPr="00942352">
        <w:rPr>
          <w:lang w:eastAsia="en-AU"/>
        </w:rPr>
        <w:t>“</w:t>
      </w:r>
      <w:r w:rsidR="005E09B0" w:rsidRPr="00942352">
        <w:rPr>
          <w:lang w:eastAsia="en-AU"/>
        </w:rPr>
        <w:t>attempt</w:t>
      </w:r>
      <w:r w:rsidR="009C1791" w:rsidRPr="00942352">
        <w:rPr>
          <w:lang w:eastAsia="en-AU"/>
        </w:rPr>
        <w:t>[</w:t>
      </w:r>
      <w:proofErr w:type="spellStart"/>
      <w:r w:rsidR="009C1791" w:rsidRPr="00942352">
        <w:rPr>
          <w:lang w:eastAsia="en-AU"/>
        </w:rPr>
        <w:t>ing</w:t>
      </w:r>
      <w:proofErr w:type="spellEnd"/>
      <w:r w:rsidR="009C1791" w:rsidRPr="00942352">
        <w:rPr>
          <w:lang w:eastAsia="en-AU"/>
        </w:rPr>
        <w:t>]</w:t>
      </w:r>
      <w:r w:rsidR="005E09B0" w:rsidRPr="00942352">
        <w:rPr>
          <w:lang w:eastAsia="en-AU"/>
        </w:rPr>
        <w:t xml:space="preserve"> to explain why he limited his analysis </w:t>
      </w:r>
      <w:r w:rsidR="001654EC" w:rsidRPr="00942352">
        <w:rPr>
          <w:lang w:eastAsia="en-AU"/>
        </w:rPr>
        <w:t>of [</w:t>
      </w:r>
      <w:r w:rsidR="00C525D4" w:rsidRPr="00942352">
        <w:rPr>
          <w:lang w:eastAsia="en-AU"/>
        </w:rPr>
        <w:t xml:space="preserve">the bankrupt’s and </w:t>
      </w:r>
      <w:r w:rsidR="001654EC" w:rsidRPr="00942352">
        <w:rPr>
          <w:lang w:eastAsia="en-AU"/>
        </w:rPr>
        <w:t>respondent’s]</w:t>
      </w:r>
      <w:r w:rsidR="00C525D4" w:rsidRPr="00942352">
        <w:rPr>
          <w:lang w:eastAsia="en-AU"/>
        </w:rPr>
        <w:t xml:space="preserve"> joint accounts </w:t>
      </w:r>
      <w:r w:rsidR="005E09B0" w:rsidRPr="00942352">
        <w:rPr>
          <w:lang w:eastAsia="en-AU"/>
        </w:rPr>
        <w:t xml:space="preserve">to one </w:t>
      </w:r>
      <w:r w:rsidR="00C525D4" w:rsidRPr="00942352">
        <w:rPr>
          <w:lang w:eastAsia="en-AU"/>
        </w:rPr>
        <w:t xml:space="preserve">single </w:t>
      </w:r>
      <w:r w:rsidR="005E09B0" w:rsidRPr="00942352">
        <w:rPr>
          <w:lang w:eastAsia="en-AU"/>
        </w:rPr>
        <w:t xml:space="preserve">account for a period of 8 months </w:t>
      </w:r>
      <w:r w:rsidR="00A146C2" w:rsidRPr="00942352">
        <w:rPr>
          <w:lang w:eastAsia="en-AU"/>
        </w:rPr>
        <w:t>where he is</w:t>
      </w:r>
      <w:r w:rsidR="005E09B0" w:rsidRPr="00942352">
        <w:rPr>
          <w:lang w:eastAsia="en-AU"/>
        </w:rPr>
        <w:t xml:space="preserve"> aware of at least </w:t>
      </w:r>
      <w:r w:rsidR="00360EE0" w:rsidRPr="00942352">
        <w:rPr>
          <w:lang w:eastAsia="en-AU"/>
        </w:rPr>
        <w:t>8</w:t>
      </w:r>
      <w:r w:rsidR="005E09B0" w:rsidRPr="00942352">
        <w:rPr>
          <w:lang w:eastAsia="en-AU"/>
        </w:rPr>
        <w:t xml:space="preserve"> joint ac</w:t>
      </w:r>
      <w:r w:rsidR="00DE0F51" w:rsidRPr="00942352">
        <w:rPr>
          <w:lang w:eastAsia="en-AU"/>
        </w:rPr>
        <w:t>counts…</w:t>
      </w:r>
      <w:r w:rsidR="00360EE0" w:rsidRPr="00942352">
        <w:rPr>
          <w:lang w:eastAsia="en-AU"/>
        </w:rPr>
        <w:t>having been</w:t>
      </w:r>
      <w:r w:rsidR="005E09B0" w:rsidRPr="00942352">
        <w:rPr>
          <w:lang w:eastAsia="en-AU"/>
        </w:rPr>
        <w:t xml:space="preserve"> used by </w:t>
      </w:r>
      <w:r w:rsidR="00DE0F51" w:rsidRPr="00942352">
        <w:rPr>
          <w:lang w:eastAsia="en-AU"/>
        </w:rPr>
        <w:t>[</w:t>
      </w:r>
      <w:r w:rsidR="005E09B0" w:rsidRPr="00942352">
        <w:rPr>
          <w:lang w:eastAsia="en-AU"/>
        </w:rPr>
        <w:t>the bankrupt and the respondent</w:t>
      </w:r>
      <w:r w:rsidR="00DE0F51" w:rsidRPr="00942352">
        <w:rPr>
          <w:lang w:eastAsia="en-AU"/>
        </w:rPr>
        <w:t>]</w:t>
      </w:r>
      <w:r w:rsidR="00133031" w:rsidRPr="00942352">
        <w:rPr>
          <w:lang w:eastAsia="en-AU"/>
        </w:rPr>
        <w:t xml:space="preserve"> for more than 20 years</w:t>
      </w:r>
      <w:r w:rsidR="009C1791" w:rsidRPr="00942352">
        <w:rPr>
          <w:lang w:eastAsia="en-AU"/>
        </w:rPr>
        <w:t xml:space="preserve">”, such an attack appears to be a smoke screen. The evidence revealed that </w:t>
      </w:r>
      <w:r w:rsidR="00D76437" w:rsidRPr="00942352">
        <w:rPr>
          <w:lang w:eastAsia="en-AU"/>
        </w:rPr>
        <w:t>the</w:t>
      </w:r>
      <w:r w:rsidR="00C24552" w:rsidRPr="00942352">
        <w:rPr>
          <w:lang w:eastAsia="en-AU"/>
        </w:rPr>
        <w:t xml:space="preserve"> relevant Joint Account was the only ac</w:t>
      </w:r>
      <w:r w:rsidR="00064AB1" w:rsidRPr="00942352">
        <w:rPr>
          <w:lang w:eastAsia="en-AU"/>
        </w:rPr>
        <w:t xml:space="preserve">count that contained any </w:t>
      </w:r>
      <w:r w:rsidR="00D76437" w:rsidRPr="00942352">
        <w:rPr>
          <w:lang w:eastAsia="en-AU"/>
        </w:rPr>
        <w:t>substantive assets. The loan application and 2013 refinance application</w:t>
      </w:r>
      <w:r w:rsidR="00A01023" w:rsidRPr="00942352">
        <w:rPr>
          <w:lang w:eastAsia="en-AU"/>
        </w:rPr>
        <w:t xml:space="preserve"> </w:t>
      </w:r>
      <w:r w:rsidR="00064AB1" w:rsidRPr="00942352">
        <w:rPr>
          <w:lang w:eastAsia="en-AU"/>
        </w:rPr>
        <w:t xml:space="preserve">revealed the same. The only significant injection of funds into their pool of assets was from the sale of the </w:t>
      </w:r>
      <w:r w:rsidR="0034555D" w:rsidRPr="00942352">
        <w:rPr>
          <w:lang w:eastAsia="en-AU"/>
        </w:rPr>
        <w:t>Boyce Road and Anzac Parade</w:t>
      </w:r>
      <w:r w:rsidR="00064AB1" w:rsidRPr="00942352">
        <w:rPr>
          <w:lang w:eastAsia="en-AU"/>
        </w:rPr>
        <w:t xml:space="preserve"> properties. The only significant withdrawal out of that account was for the North Balgowlah </w:t>
      </w:r>
      <w:r w:rsidR="000617A3">
        <w:rPr>
          <w:lang w:eastAsia="en-AU"/>
        </w:rPr>
        <w:t xml:space="preserve">property </w:t>
      </w:r>
      <w:r w:rsidR="00064AB1" w:rsidRPr="00942352">
        <w:rPr>
          <w:lang w:eastAsia="en-AU"/>
        </w:rPr>
        <w:t xml:space="preserve">purchase. </w:t>
      </w:r>
    </w:p>
    <w:p w14:paraId="3D4A4D57" w14:textId="2B45315D" w:rsidR="00976DED" w:rsidRPr="00942352" w:rsidRDefault="00155C95" w:rsidP="00155C95">
      <w:pPr>
        <w:pStyle w:val="ParaNumbering"/>
        <w:numPr>
          <w:ilvl w:val="0"/>
          <w:numId w:val="0"/>
        </w:numPr>
        <w:ind w:hanging="720"/>
      </w:pPr>
      <w:r w:rsidRPr="00942352">
        <w:rPr>
          <w:sz w:val="20"/>
        </w:rPr>
        <w:t>175</w:t>
      </w:r>
      <w:r w:rsidRPr="00942352">
        <w:rPr>
          <w:sz w:val="20"/>
        </w:rPr>
        <w:tab/>
      </w:r>
      <w:r w:rsidR="008E773A" w:rsidRPr="00942352">
        <w:rPr>
          <w:i/>
          <w:lang w:eastAsia="en-AU"/>
        </w:rPr>
        <w:t>Thirdly</w:t>
      </w:r>
      <w:r w:rsidR="00064AB1" w:rsidRPr="000617A3">
        <w:rPr>
          <w:lang w:eastAsia="en-AU"/>
        </w:rPr>
        <w:t>,</w:t>
      </w:r>
      <w:r w:rsidR="00064AB1" w:rsidRPr="00942352">
        <w:rPr>
          <w:i/>
          <w:lang w:eastAsia="en-AU"/>
        </w:rPr>
        <w:t xml:space="preserve"> </w:t>
      </w:r>
      <w:r w:rsidR="00064AB1" w:rsidRPr="00942352">
        <w:rPr>
          <w:lang w:eastAsia="en-AU"/>
        </w:rPr>
        <w:t xml:space="preserve">the respondent’s reference to the existence of the other joint accounts </w:t>
      </w:r>
      <w:r w:rsidR="00AD248F" w:rsidRPr="00942352">
        <w:rPr>
          <w:lang w:eastAsia="en-AU"/>
        </w:rPr>
        <w:t xml:space="preserve">is distracting but not compelling. </w:t>
      </w:r>
      <w:r w:rsidR="00976DED" w:rsidRPr="00942352">
        <w:t>T</w:t>
      </w:r>
      <w:r w:rsidR="00976DED" w:rsidRPr="00942352">
        <w:rPr>
          <w:lang w:eastAsia="en-AU"/>
        </w:rPr>
        <w:t xml:space="preserve">hese accounts consisted of home loan accounts and otherwise </w:t>
      </w:r>
      <w:r w:rsidR="008C6E7F" w:rsidRPr="00942352">
        <w:rPr>
          <w:lang w:eastAsia="en-AU"/>
        </w:rPr>
        <w:t>the #1998 Joint Account</w:t>
      </w:r>
      <w:r w:rsidR="00976DED" w:rsidRPr="00942352">
        <w:rPr>
          <w:lang w:eastAsia="en-AU"/>
        </w:rPr>
        <w:t xml:space="preserve"> which was the offset account for the North Balgowlah property. </w:t>
      </w:r>
      <w:r w:rsidR="00A01023" w:rsidRPr="00942352">
        <w:rPr>
          <w:lang w:eastAsia="en-AU"/>
        </w:rPr>
        <w:t>A</w:t>
      </w:r>
      <w:r w:rsidR="00AD248F" w:rsidRPr="00942352">
        <w:rPr>
          <w:lang w:eastAsia="en-AU"/>
        </w:rPr>
        <w:t>s I have found</w:t>
      </w:r>
      <w:r w:rsidR="00976DED" w:rsidRPr="00942352">
        <w:rPr>
          <w:lang w:eastAsia="en-AU"/>
        </w:rPr>
        <w:t xml:space="preserve"> above</w:t>
      </w:r>
      <w:r w:rsidR="001654EC" w:rsidRPr="00942352">
        <w:rPr>
          <w:lang w:eastAsia="en-AU"/>
        </w:rPr>
        <w:t xml:space="preserve"> (at [</w:t>
      </w:r>
      <w:r w:rsidR="001654EC" w:rsidRPr="00942352">
        <w:rPr>
          <w:lang w:eastAsia="en-AU"/>
        </w:rPr>
        <w:fldChar w:fldCharType="begin"/>
      </w:r>
      <w:r w:rsidR="001654EC" w:rsidRPr="00942352">
        <w:rPr>
          <w:lang w:eastAsia="en-AU"/>
        </w:rPr>
        <w:instrText xml:space="preserve"> REF _Ref128748891 \r \h </w:instrText>
      </w:r>
      <w:r w:rsidR="00942352" w:rsidRPr="00942352">
        <w:rPr>
          <w:lang w:eastAsia="en-AU"/>
        </w:rPr>
        <w:instrText xml:space="preserve"> \* MERGEFORMAT </w:instrText>
      </w:r>
      <w:r w:rsidR="001654EC" w:rsidRPr="00942352">
        <w:rPr>
          <w:lang w:eastAsia="en-AU"/>
        </w:rPr>
      </w:r>
      <w:r w:rsidR="001654EC" w:rsidRPr="00942352">
        <w:rPr>
          <w:lang w:eastAsia="en-AU"/>
        </w:rPr>
        <w:fldChar w:fldCharType="separate"/>
      </w:r>
      <w:r w:rsidR="002B380F">
        <w:rPr>
          <w:lang w:eastAsia="en-AU"/>
        </w:rPr>
        <w:t>108</w:t>
      </w:r>
      <w:r w:rsidR="001654EC" w:rsidRPr="00942352">
        <w:rPr>
          <w:lang w:eastAsia="en-AU"/>
        </w:rPr>
        <w:fldChar w:fldCharType="end"/>
      </w:r>
      <w:r w:rsidR="001654EC" w:rsidRPr="00942352">
        <w:rPr>
          <w:lang w:eastAsia="en-AU"/>
        </w:rPr>
        <w:t>] and [</w:t>
      </w:r>
      <w:r w:rsidR="001654EC" w:rsidRPr="00942352">
        <w:rPr>
          <w:lang w:eastAsia="en-AU"/>
        </w:rPr>
        <w:fldChar w:fldCharType="begin"/>
      </w:r>
      <w:r w:rsidR="001654EC" w:rsidRPr="00942352">
        <w:rPr>
          <w:lang w:eastAsia="en-AU"/>
        </w:rPr>
        <w:instrText xml:space="preserve"> REF _Ref128748922 \r \h </w:instrText>
      </w:r>
      <w:r w:rsidR="00942352" w:rsidRPr="00942352">
        <w:rPr>
          <w:lang w:eastAsia="en-AU"/>
        </w:rPr>
        <w:instrText xml:space="preserve"> \* MERGEFORMAT </w:instrText>
      </w:r>
      <w:r w:rsidR="001654EC" w:rsidRPr="00942352">
        <w:rPr>
          <w:lang w:eastAsia="en-AU"/>
        </w:rPr>
      </w:r>
      <w:r w:rsidR="001654EC" w:rsidRPr="00942352">
        <w:rPr>
          <w:lang w:eastAsia="en-AU"/>
        </w:rPr>
        <w:fldChar w:fldCharType="separate"/>
      </w:r>
      <w:r w:rsidR="002B380F">
        <w:rPr>
          <w:lang w:eastAsia="en-AU"/>
        </w:rPr>
        <w:t>120</w:t>
      </w:r>
      <w:r w:rsidR="001654EC" w:rsidRPr="00942352">
        <w:rPr>
          <w:lang w:eastAsia="en-AU"/>
        </w:rPr>
        <w:fldChar w:fldCharType="end"/>
      </w:r>
      <w:r w:rsidR="001654EC" w:rsidRPr="00942352">
        <w:rPr>
          <w:lang w:eastAsia="en-AU"/>
        </w:rPr>
        <w:t>])</w:t>
      </w:r>
      <w:r w:rsidR="00AD248F" w:rsidRPr="00942352">
        <w:rPr>
          <w:lang w:eastAsia="en-AU"/>
        </w:rPr>
        <w:t xml:space="preserve">, </w:t>
      </w:r>
      <w:r w:rsidR="00976DED" w:rsidRPr="00942352">
        <w:rPr>
          <w:lang w:eastAsia="en-AU"/>
        </w:rPr>
        <w:t xml:space="preserve">the respondent and bankrupt represented to the Commonwealth Bank as </w:t>
      </w:r>
      <w:r w:rsidR="00976DED" w:rsidRPr="00942352">
        <w:rPr>
          <w:lang w:eastAsia="en-AU"/>
        </w:rPr>
        <w:lastRenderedPageBreak/>
        <w:t xml:space="preserve">part of their loan application, in the </w:t>
      </w:r>
      <w:r w:rsidR="00976DED" w:rsidRPr="00942352">
        <w:t>period between 29 October 2014 and 5 November 2014 that there were only three accounts comprising the bankrupt and the respondent’s savings listed</w:t>
      </w:r>
      <w:r w:rsidR="008E3BA1" w:rsidRPr="00942352">
        <w:t xml:space="preserve"> and where the Joint Account comprised the bulk of their savings.</w:t>
      </w:r>
      <w:r w:rsidR="00976DED" w:rsidRPr="00942352">
        <w:t xml:space="preserve"> </w:t>
      </w:r>
      <w:r w:rsidR="00B93FB8" w:rsidRPr="00942352">
        <w:t>This picture was entirely consistent with their financial position from the previous year, as set out in their 2013 refinanc</w:t>
      </w:r>
      <w:r w:rsidR="000617A3">
        <w:t xml:space="preserve">e </w:t>
      </w:r>
      <w:r w:rsidR="00B93FB8" w:rsidRPr="00942352">
        <w:t>application</w:t>
      </w:r>
      <w:r w:rsidR="00B61C85" w:rsidRPr="00942352">
        <w:t xml:space="preserve"> where they had limited cash savings and the bulk of the assets were listed as the Seaforth, Boyce Road and Anzac Parade properties</w:t>
      </w:r>
      <w:r w:rsidR="00B93FB8" w:rsidRPr="00942352">
        <w:t xml:space="preserve">. </w:t>
      </w:r>
    </w:p>
    <w:p w14:paraId="01583CA9" w14:textId="479E9EF6" w:rsidR="00064AB1" w:rsidRPr="00942352" w:rsidRDefault="00155C95" w:rsidP="00155C95">
      <w:pPr>
        <w:pStyle w:val="ParaNumbering"/>
        <w:numPr>
          <w:ilvl w:val="0"/>
          <w:numId w:val="0"/>
        </w:numPr>
        <w:ind w:hanging="720"/>
        <w:rPr>
          <w:lang w:eastAsia="en-AU"/>
        </w:rPr>
      </w:pPr>
      <w:r w:rsidRPr="00942352">
        <w:rPr>
          <w:sz w:val="20"/>
          <w:lang w:eastAsia="en-AU"/>
        </w:rPr>
        <w:t>176</w:t>
      </w:r>
      <w:r w:rsidRPr="00942352">
        <w:rPr>
          <w:sz w:val="20"/>
          <w:lang w:eastAsia="en-AU"/>
        </w:rPr>
        <w:tab/>
      </w:r>
      <w:r w:rsidR="008E773A" w:rsidRPr="00942352">
        <w:rPr>
          <w:i/>
          <w:lang w:eastAsia="en-AU"/>
        </w:rPr>
        <w:t>Fourthly</w:t>
      </w:r>
      <w:r w:rsidR="00064AB1" w:rsidRPr="000617A3">
        <w:rPr>
          <w:lang w:eastAsia="en-AU"/>
        </w:rPr>
        <w:t>,</w:t>
      </w:r>
      <w:r w:rsidR="00064AB1" w:rsidRPr="00942352">
        <w:rPr>
          <w:i/>
          <w:lang w:eastAsia="en-AU"/>
        </w:rPr>
        <w:t xml:space="preserve"> </w:t>
      </w:r>
      <w:r w:rsidR="00064AB1" w:rsidRPr="00942352">
        <w:rPr>
          <w:lang w:eastAsia="en-AU"/>
        </w:rPr>
        <w:t xml:space="preserve">the respondent did not assist me by reference to authorities or the evidence as to why, in the context of the operation of s 139DA, the trustee </w:t>
      </w:r>
      <w:r w:rsidR="00A01023" w:rsidRPr="00942352">
        <w:rPr>
          <w:lang w:eastAsia="en-AU"/>
        </w:rPr>
        <w:t>has the purported obligation to conduct such a burdensome historical exercise in a case like this</w:t>
      </w:r>
      <w:r w:rsidR="00064AB1" w:rsidRPr="00942352">
        <w:rPr>
          <w:lang w:eastAsia="en-AU"/>
        </w:rPr>
        <w:t>.</w:t>
      </w:r>
    </w:p>
    <w:p w14:paraId="4A5B4972" w14:textId="37DA2A89" w:rsidR="00A01023" w:rsidRPr="00942352" w:rsidRDefault="00155C95" w:rsidP="00155C95">
      <w:pPr>
        <w:pStyle w:val="ParaNumbering"/>
        <w:numPr>
          <w:ilvl w:val="0"/>
          <w:numId w:val="0"/>
        </w:numPr>
        <w:ind w:hanging="720"/>
        <w:rPr>
          <w:lang w:eastAsia="en-AU"/>
        </w:rPr>
      </w:pPr>
      <w:r w:rsidRPr="00942352">
        <w:rPr>
          <w:sz w:val="20"/>
          <w:lang w:eastAsia="en-AU"/>
        </w:rPr>
        <w:t>177</w:t>
      </w:r>
      <w:r w:rsidRPr="00942352">
        <w:rPr>
          <w:sz w:val="20"/>
          <w:lang w:eastAsia="en-AU"/>
        </w:rPr>
        <w:tab/>
      </w:r>
      <w:r w:rsidR="00064AB1" w:rsidRPr="00942352">
        <w:rPr>
          <w:lang w:eastAsia="en-AU"/>
        </w:rPr>
        <w:t>Reference was made</w:t>
      </w:r>
      <w:r w:rsidR="00D77E64" w:rsidRPr="00942352">
        <w:rPr>
          <w:lang w:eastAsia="en-AU"/>
        </w:rPr>
        <w:t xml:space="preserve"> by the respondent</w:t>
      </w:r>
      <w:r w:rsidR="00064AB1" w:rsidRPr="00942352">
        <w:rPr>
          <w:lang w:eastAsia="en-AU"/>
        </w:rPr>
        <w:t xml:space="preserve"> to </w:t>
      </w:r>
      <w:r w:rsidR="00064AB1" w:rsidRPr="00942352">
        <w:rPr>
          <w:b/>
          <w:i/>
          <w:lang w:eastAsia="en-AU"/>
        </w:rPr>
        <w:t>Richardson</w:t>
      </w:r>
      <w:r w:rsidR="00064AB1" w:rsidRPr="00942352">
        <w:rPr>
          <w:i/>
          <w:lang w:eastAsia="en-AU"/>
        </w:rPr>
        <w:t xml:space="preserve"> v The Commercial Banking Company of Sydney Limited</w:t>
      </w:r>
      <w:r w:rsidR="007E17D4" w:rsidRPr="00942352">
        <w:rPr>
          <w:lang w:eastAsia="en-AU"/>
        </w:rPr>
        <w:t xml:space="preserve"> [</w:t>
      </w:r>
      <w:r w:rsidR="00064AB1" w:rsidRPr="00942352">
        <w:rPr>
          <w:lang w:eastAsia="en-AU"/>
        </w:rPr>
        <w:t>1952</w:t>
      </w:r>
      <w:r w:rsidR="007E17D4" w:rsidRPr="00942352">
        <w:rPr>
          <w:lang w:eastAsia="en-AU"/>
        </w:rPr>
        <w:t>] HCA 8;</w:t>
      </w:r>
      <w:r w:rsidR="00064AB1" w:rsidRPr="00942352">
        <w:rPr>
          <w:lang w:eastAsia="en-AU"/>
        </w:rPr>
        <w:t xml:space="preserve"> 85 CLR 110, in which the High Court considered the issue of running accounts in the context of a preference claim under s 95 of the </w:t>
      </w:r>
      <w:r w:rsidR="00064AB1" w:rsidRPr="00942352">
        <w:rPr>
          <w:i/>
          <w:lang w:eastAsia="en-AU"/>
        </w:rPr>
        <w:t>Bankruptcy Act 1924</w:t>
      </w:r>
      <w:r w:rsidR="00064AB1" w:rsidRPr="00942352">
        <w:rPr>
          <w:lang w:eastAsia="en-AU"/>
        </w:rPr>
        <w:t xml:space="preserve"> (</w:t>
      </w:r>
      <w:proofErr w:type="spellStart"/>
      <w:r w:rsidR="00064AB1" w:rsidRPr="00942352">
        <w:rPr>
          <w:lang w:eastAsia="en-AU"/>
        </w:rPr>
        <w:t>Cth</w:t>
      </w:r>
      <w:proofErr w:type="spellEnd"/>
      <w:r w:rsidR="00064AB1" w:rsidRPr="00942352">
        <w:rPr>
          <w:lang w:eastAsia="en-AU"/>
        </w:rPr>
        <w:t xml:space="preserve">) (now </w:t>
      </w:r>
      <w:r w:rsidR="005B2AD9" w:rsidRPr="00942352">
        <w:rPr>
          <w:lang w:eastAsia="en-AU"/>
        </w:rPr>
        <w:t xml:space="preserve">reflected in </w:t>
      </w:r>
      <w:r w:rsidR="00064AB1" w:rsidRPr="00942352">
        <w:rPr>
          <w:lang w:eastAsia="en-AU"/>
        </w:rPr>
        <w:t xml:space="preserve">s 122 of the Bankruptcy Act) and the need to consider all deposits and withdrawals as being part of a single transaction. </w:t>
      </w:r>
    </w:p>
    <w:p w14:paraId="5F6542F0" w14:textId="664D2039" w:rsidR="00A90EB4" w:rsidRPr="00942352" w:rsidRDefault="00155C95" w:rsidP="00155C95">
      <w:pPr>
        <w:pStyle w:val="ParaNumbering"/>
        <w:numPr>
          <w:ilvl w:val="0"/>
          <w:numId w:val="0"/>
        </w:numPr>
        <w:ind w:hanging="720"/>
        <w:rPr>
          <w:lang w:eastAsia="en-AU"/>
        </w:rPr>
      </w:pPr>
      <w:r w:rsidRPr="00942352">
        <w:rPr>
          <w:sz w:val="20"/>
          <w:lang w:eastAsia="en-AU"/>
        </w:rPr>
        <w:t>178</w:t>
      </w:r>
      <w:r w:rsidRPr="00942352">
        <w:rPr>
          <w:sz w:val="20"/>
          <w:lang w:eastAsia="en-AU"/>
        </w:rPr>
        <w:tab/>
      </w:r>
      <w:r w:rsidR="00A90EB4" w:rsidRPr="00942352">
        <w:rPr>
          <w:lang w:eastAsia="en-AU"/>
        </w:rPr>
        <w:t xml:space="preserve">However, the respondent did not take the Court to any authority that applied the principles in </w:t>
      </w:r>
      <w:r w:rsidR="00A90EB4" w:rsidRPr="00942352">
        <w:rPr>
          <w:i/>
          <w:lang w:eastAsia="en-AU"/>
        </w:rPr>
        <w:t xml:space="preserve">Richardson </w:t>
      </w:r>
      <w:r w:rsidR="00A90EB4" w:rsidRPr="00942352">
        <w:rPr>
          <w:lang w:eastAsia="en-AU"/>
        </w:rPr>
        <w:t xml:space="preserve">to a case akin to the present case and it was not apparent as to why it was applicable in these circumstances. </w:t>
      </w:r>
      <w:r w:rsidR="00A90EB4" w:rsidRPr="00942352">
        <w:t xml:space="preserve">The context in which the High Court (in both </w:t>
      </w:r>
      <w:r w:rsidR="00A90EB4" w:rsidRPr="00942352">
        <w:rPr>
          <w:i/>
        </w:rPr>
        <w:t>Richardson</w:t>
      </w:r>
      <w:r w:rsidR="00A90EB4" w:rsidRPr="00942352">
        <w:t xml:space="preserve"> and the like case </w:t>
      </w:r>
      <w:proofErr w:type="spellStart"/>
      <w:r w:rsidR="00A01023" w:rsidRPr="00942352">
        <w:rPr>
          <w:b/>
          <w:i/>
        </w:rPr>
        <w:t>Airservices</w:t>
      </w:r>
      <w:proofErr w:type="spellEnd"/>
      <w:r w:rsidR="00430ED7" w:rsidRPr="00942352">
        <w:rPr>
          <w:i/>
        </w:rPr>
        <w:t xml:space="preserve"> Australia v Ferrier</w:t>
      </w:r>
      <w:r w:rsidR="00430ED7" w:rsidRPr="00942352">
        <w:t xml:space="preserve"> </w:t>
      </w:r>
      <w:r w:rsidR="00210DBC" w:rsidRPr="00942352">
        <w:t>[1996] HCA 54;</w:t>
      </w:r>
      <w:r w:rsidR="00430ED7" w:rsidRPr="00942352">
        <w:t xml:space="preserve"> 185 CLR </w:t>
      </w:r>
      <w:r w:rsidR="00A90EB4" w:rsidRPr="00942352">
        <w:t xml:space="preserve">483) refers to the necessity of reviewing the history of transactions was for the purpose of not limiting the analysis to the immediate effect of individual payments where there is a running account between </w:t>
      </w:r>
      <w:r w:rsidR="000617A3">
        <w:t>an</w:t>
      </w:r>
      <w:r w:rsidR="00A90EB4" w:rsidRPr="00942352">
        <w:t xml:space="preserve"> insolvent party and a goods and</w:t>
      </w:r>
      <w:r w:rsidR="000617A3">
        <w:t xml:space="preserve"> service provider (such as the b</w:t>
      </w:r>
      <w:r w:rsidR="00A90EB4" w:rsidRPr="00942352">
        <w:t xml:space="preserve">ank in </w:t>
      </w:r>
      <w:r w:rsidR="00A90EB4" w:rsidRPr="00942352">
        <w:rPr>
          <w:i/>
        </w:rPr>
        <w:t>Richardson</w:t>
      </w:r>
      <w:r w:rsidR="00A90EB4" w:rsidRPr="00942352">
        <w:t xml:space="preserve"> and the Civil Aviation Authority in </w:t>
      </w:r>
      <w:proofErr w:type="spellStart"/>
      <w:r w:rsidR="00A90EB4" w:rsidRPr="00942352">
        <w:rPr>
          <w:i/>
        </w:rPr>
        <w:t>Airservices</w:t>
      </w:r>
      <w:proofErr w:type="spellEnd"/>
      <w:r w:rsidR="00A90EB4" w:rsidRPr="00942352">
        <w:t xml:space="preserve">): see </w:t>
      </w:r>
      <w:r w:rsidR="00A90EB4" w:rsidRPr="00942352">
        <w:rPr>
          <w:i/>
        </w:rPr>
        <w:t>Richardson</w:t>
      </w:r>
      <w:r w:rsidR="00A90EB4" w:rsidRPr="00942352">
        <w:t xml:space="preserve"> at 133, </w:t>
      </w:r>
      <w:proofErr w:type="spellStart"/>
      <w:r w:rsidR="00A90EB4" w:rsidRPr="00942352">
        <w:rPr>
          <w:i/>
        </w:rPr>
        <w:t>Airservices</w:t>
      </w:r>
      <w:proofErr w:type="spellEnd"/>
      <w:r w:rsidR="00A90EB4" w:rsidRPr="00942352">
        <w:t xml:space="preserve"> at 502, 504–505. I do not accept that the reasoning is applicable in a case of this kind.</w:t>
      </w:r>
    </w:p>
    <w:p w14:paraId="451AD45B" w14:textId="4053B4D5" w:rsidR="00A01023" w:rsidRPr="00942352" w:rsidRDefault="00155C95" w:rsidP="00155C95">
      <w:pPr>
        <w:pStyle w:val="ParaNumbering"/>
        <w:numPr>
          <w:ilvl w:val="0"/>
          <w:numId w:val="0"/>
        </w:numPr>
        <w:ind w:hanging="720"/>
        <w:rPr>
          <w:lang w:eastAsia="en-AU"/>
        </w:rPr>
      </w:pPr>
      <w:r w:rsidRPr="00942352">
        <w:rPr>
          <w:sz w:val="20"/>
          <w:lang w:eastAsia="en-AU"/>
        </w:rPr>
        <w:t>179</w:t>
      </w:r>
      <w:r w:rsidRPr="00942352">
        <w:rPr>
          <w:sz w:val="20"/>
          <w:lang w:eastAsia="en-AU"/>
        </w:rPr>
        <w:tab/>
      </w:r>
      <w:r w:rsidR="00A01023" w:rsidRPr="00942352">
        <w:rPr>
          <w:lang w:eastAsia="en-AU"/>
        </w:rPr>
        <w:t xml:space="preserve">Further, the respondent </w:t>
      </w:r>
      <w:r w:rsidR="005530E0" w:rsidRPr="00942352">
        <w:rPr>
          <w:lang w:eastAsia="en-AU"/>
        </w:rPr>
        <w:t xml:space="preserve">submitted </w:t>
      </w:r>
      <w:r w:rsidR="00A01023" w:rsidRPr="00942352">
        <w:rPr>
          <w:lang w:eastAsia="en-AU"/>
        </w:rPr>
        <w:t>that a</w:t>
      </w:r>
      <w:r w:rsidR="000617A3">
        <w:rPr>
          <w:lang w:eastAsia="en-AU"/>
        </w:rPr>
        <w:t xml:space="preserve"> purported</w:t>
      </w:r>
      <w:r w:rsidR="00A01023" w:rsidRPr="00942352">
        <w:rPr>
          <w:lang w:eastAsia="en-AU"/>
        </w:rPr>
        <w:t xml:space="preserve"> useful analogy comprised how transactions in running accounts are considered under s </w:t>
      </w:r>
      <w:proofErr w:type="gramStart"/>
      <w:r w:rsidR="00A01023" w:rsidRPr="00942352">
        <w:rPr>
          <w:lang w:eastAsia="en-AU"/>
        </w:rPr>
        <w:t>588FA(</w:t>
      </w:r>
      <w:proofErr w:type="gramEnd"/>
      <w:r w:rsidR="00A01023" w:rsidRPr="00942352">
        <w:rPr>
          <w:lang w:eastAsia="en-AU"/>
        </w:rPr>
        <w:t xml:space="preserve">3) </w:t>
      </w:r>
      <w:r w:rsidR="00E32299" w:rsidRPr="00942352">
        <w:rPr>
          <w:lang w:eastAsia="en-AU"/>
        </w:rPr>
        <w:t xml:space="preserve">(“unfair preferences”) </w:t>
      </w:r>
      <w:r w:rsidR="00A01023" w:rsidRPr="00942352">
        <w:rPr>
          <w:lang w:eastAsia="en-AU"/>
        </w:rPr>
        <w:t xml:space="preserve">of the </w:t>
      </w:r>
      <w:r w:rsidR="00A01023" w:rsidRPr="00942352">
        <w:rPr>
          <w:b/>
          <w:i/>
          <w:lang w:eastAsia="en-AU"/>
        </w:rPr>
        <w:t>Corporations Act</w:t>
      </w:r>
      <w:r w:rsidR="00A01023" w:rsidRPr="00942352">
        <w:rPr>
          <w:i/>
          <w:lang w:eastAsia="en-AU"/>
        </w:rPr>
        <w:t xml:space="preserve"> 2001</w:t>
      </w:r>
      <w:r w:rsidR="000617A3">
        <w:rPr>
          <w:lang w:eastAsia="en-AU"/>
        </w:rPr>
        <w:t xml:space="preserve"> (</w:t>
      </w:r>
      <w:proofErr w:type="spellStart"/>
      <w:r w:rsidR="000617A3">
        <w:rPr>
          <w:lang w:eastAsia="en-AU"/>
        </w:rPr>
        <w:t>Cth</w:t>
      </w:r>
      <w:proofErr w:type="spellEnd"/>
      <w:r w:rsidR="000617A3">
        <w:rPr>
          <w:lang w:eastAsia="en-AU"/>
        </w:rPr>
        <w:t>)</w:t>
      </w:r>
      <w:r w:rsidR="00A01023" w:rsidRPr="00942352">
        <w:rPr>
          <w:lang w:eastAsia="en-AU"/>
        </w:rPr>
        <w:t xml:space="preserve">. </w:t>
      </w:r>
      <w:r w:rsidR="0048588B" w:rsidRPr="00942352">
        <w:rPr>
          <w:lang w:eastAsia="en-AU"/>
        </w:rPr>
        <w:t xml:space="preserve">This provision was recently considered by </w:t>
      </w:r>
      <w:proofErr w:type="spellStart"/>
      <w:r w:rsidR="0048588B" w:rsidRPr="00942352">
        <w:rPr>
          <w:lang w:eastAsia="en-AU"/>
        </w:rPr>
        <w:t>Jagot</w:t>
      </w:r>
      <w:proofErr w:type="spellEnd"/>
      <w:r w:rsidR="0048588B" w:rsidRPr="00942352">
        <w:rPr>
          <w:lang w:eastAsia="en-AU"/>
        </w:rPr>
        <w:t xml:space="preserve"> J in </w:t>
      </w:r>
      <w:r w:rsidR="0048588B" w:rsidRPr="00942352">
        <w:rPr>
          <w:i/>
          <w:lang w:eastAsia="en-AU"/>
        </w:rPr>
        <w:t>Bryant v Badenoch Integrated Logging Pty Ltd</w:t>
      </w:r>
      <w:r w:rsidR="0048588B" w:rsidRPr="00942352">
        <w:rPr>
          <w:lang w:eastAsia="en-AU"/>
        </w:rPr>
        <w:t xml:space="preserve"> [2023] HCA 2, where at [7] her Honour refers to </w:t>
      </w:r>
      <w:proofErr w:type="spellStart"/>
      <w:r w:rsidR="0048588B" w:rsidRPr="00942352">
        <w:rPr>
          <w:i/>
          <w:lang w:eastAsia="en-AU"/>
        </w:rPr>
        <w:t>Airservices</w:t>
      </w:r>
      <w:proofErr w:type="spellEnd"/>
      <w:r w:rsidR="0048588B" w:rsidRPr="00942352">
        <w:rPr>
          <w:lang w:eastAsia="en-AU"/>
        </w:rPr>
        <w:t xml:space="preserve"> in describing s 588FA(3) as “a statutory embodiment of the “running account principle” which has long been part of insolvency law in Australia”</w:t>
      </w:r>
      <w:r w:rsidR="000D7324" w:rsidRPr="00942352">
        <w:rPr>
          <w:lang w:eastAsia="en-AU"/>
        </w:rPr>
        <w:t>.</w:t>
      </w:r>
      <w:r w:rsidR="002E39B5" w:rsidRPr="00942352">
        <w:rPr>
          <w:lang w:eastAsia="en-AU"/>
        </w:rPr>
        <w:t xml:space="preserve"> However, </w:t>
      </w:r>
      <w:r w:rsidR="009205E7" w:rsidRPr="00942352">
        <w:rPr>
          <w:lang w:eastAsia="en-AU"/>
        </w:rPr>
        <w:t xml:space="preserve">consistent with the above conclusion regarding the respondent’s reliance on </w:t>
      </w:r>
      <w:r w:rsidR="009205E7" w:rsidRPr="00942352">
        <w:rPr>
          <w:i/>
          <w:lang w:eastAsia="en-AU"/>
        </w:rPr>
        <w:t>Richardson</w:t>
      </w:r>
      <w:r w:rsidR="009205E7" w:rsidRPr="00942352">
        <w:rPr>
          <w:lang w:eastAsia="en-AU"/>
        </w:rPr>
        <w:t>,</w:t>
      </w:r>
      <w:r w:rsidR="009205E7" w:rsidRPr="00942352">
        <w:rPr>
          <w:i/>
          <w:lang w:eastAsia="en-AU"/>
        </w:rPr>
        <w:t xml:space="preserve"> </w:t>
      </w:r>
      <w:r w:rsidR="00B93FB8" w:rsidRPr="00942352">
        <w:rPr>
          <w:lang w:eastAsia="en-AU"/>
        </w:rPr>
        <w:t xml:space="preserve">I was not persuaded that this is a useful analogy at all. </w:t>
      </w:r>
      <w:r w:rsidR="00A01023" w:rsidRPr="00942352">
        <w:rPr>
          <w:lang w:eastAsia="en-AU"/>
        </w:rPr>
        <w:t xml:space="preserve">I accept the submission of the </w:t>
      </w:r>
      <w:r w:rsidR="0072486F" w:rsidRPr="00942352">
        <w:rPr>
          <w:lang w:eastAsia="en-AU"/>
        </w:rPr>
        <w:t>trustee</w:t>
      </w:r>
      <w:r w:rsidR="00A01023" w:rsidRPr="00942352">
        <w:rPr>
          <w:lang w:eastAsia="en-AU"/>
        </w:rPr>
        <w:t xml:space="preserve">, that if there were such </w:t>
      </w:r>
      <w:r w:rsidR="00127DA0">
        <w:rPr>
          <w:lang w:eastAsia="en-AU"/>
        </w:rPr>
        <w:t xml:space="preserve">a </w:t>
      </w:r>
      <w:r w:rsidR="00A01023" w:rsidRPr="00942352">
        <w:rPr>
          <w:lang w:eastAsia="en-AU"/>
        </w:rPr>
        <w:t xml:space="preserve">requirement, any married couple who pooled their resources would be able to avoid a voidable </w:t>
      </w:r>
      <w:r w:rsidR="00A01023" w:rsidRPr="00942352">
        <w:rPr>
          <w:lang w:eastAsia="en-AU"/>
        </w:rPr>
        <w:lastRenderedPageBreak/>
        <w:t>transaction claim</w:t>
      </w:r>
      <w:r w:rsidR="00736BB0" w:rsidRPr="00942352">
        <w:rPr>
          <w:lang w:eastAsia="en-AU"/>
        </w:rPr>
        <w:t xml:space="preserve"> and I am of the view</w:t>
      </w:r>
      <w:r w:rsidR="000617A3">
        <w:rPr>
          <w:lang w:eastAsia="en-AU"/>
        </w:rPr>
        <w:t xml:space="preserve"> that</w:t>
      </w:r>
      <w:r w:rsidR="00736BB0" w:rsidRPr="00942352">
        <w:rPr>
          <w:lang w:eastAsia="en-AU"/>
        </w:rPr>
        <w:t xml:space="preserve"> the same would apply to </w:t>
      </w:r>
      <w:proofErr w:type="gramStart"/>
      <w:r w:rsidR="00736BB0" w:rsidRPr="00942352">
        <w:rPr>
          <w:lang w:eastAsia="en-AU"/>
        </w:rPr>
        <w:t>a</w:t>
      </w:r>
      <w:proofErr w:type="gramEnd"/>
      <w:r w:rsidR="00736BB0" w:rsidRPr="00942352">
        <w:rPr>
          <w:lang w:eastAsia="en-AU"/>
        </w:rPr>
        <w:t xml:space="preserve"> s 139DA claim</w:t>
      </w:r>
      <w:r w:rsidR="00A01023" w:rsidRPr="00942352">
        <w:rPr>
          <w:lang w:eastAsia="en-AU"/>
        </w:rPr>
        <w:t>. Further, there was not in fact any keeping of accounts.</w:t>
      </w:r>
      <w:r w:rsidR="00D74565" w:rsidRPr="00942352">
        <w:rPr>
          <w:lang w:eastAsia="en-AU"/>
        </w:rPr>
        <w:t xml:space="preserve"> The respondent </w:t>
      </w:r>
      <w:r w:rsidR="000617A3">
        <w:rPr>
          <w:lang w:eastAsia="en-AU"/>
        </w:rPr>
        <w:t xml:space="preserve">accepted the same in evidence: </w:t>
      </w:r>
      <w:r w:rsidR="00A01023" w:rsidRPr="00942352">
        <w:rPr>
          <w:lang w:eastAsia="en-AU"/>
        </w:rPr>
        <w:t xml:space="preserve">There was no evidence of any intention to create a debt and therefore no balancing of accounts in the relevant legal sense. </w:t>
      </w:r>
    </w:p>
    <w:p w14:paraId="0DBB1640" w14:textId="284D80D2" w:rsidR="00D74565" w:rsidRPr="00942352" w:rsidRDefault="00155C95" w:rsidP="00155C95">
      <w:pPr>
        <w:pStyle w:val="ParaNumbering"/>
        <w:numPr>
          <w:ilvl w:val="0"/>
          <w:numId w:val="0"/>
        </w:numPr>
        <w:ind w:hanging="720"/>
        <w:rPr>
          <w:lang w:eastAsia="en-AU"/>
        </w:rPr>
      </w:pPr>
      <w:r w:rsidRPr="00942352">
        <w:rPr>
          <w:sz w:val="20"/>
          <w:lang w:eastAsia="en-AU"/>
        </w:rPr>
        <w:t>180</w:t>
      </w:r>
      <w:r w:rsidRPr="00942352">
        <w:rPr>
          <w:sz w:val="20"/>
          <w:lang w:eastAsia="en-AU"/>
        </w:rPr>
        <w:tab/>
      </w:r>
      <w:r w:rsidR="00D74565" w:rsidRPr="00942352">
        <w:rPr>
          <w:lang w:eastAsia="en-AU"/>
        </w:rPr>
        <w:t xml:space="preserve">Further, even if I am wrong and such an account was required, I am satisfied, by reason of the findings above that, on the balance of probabilities, that the balance of account was in favour of the bankrupt for the reasons set out at </w:t>
      </w:r>
      <w:r w:rsidR="00960809" w:rsidRPr="00942352">
        <w:rPr>
          <w:lang w:eastAsia="en-AU"/>
        </w:rPr>
        <w:t>[</w:t>
      </w:r>
      <w:r w:rsidR="00960809" w:rsidRPr="00942352">
        <w:rPr>
          <w:b/>
          <w:lang w:eastAsia="en-AU"/>
        </w:rPr>
        <w:fldChar w:fldCharType="begin"/>
      </w:r>
      <w:r w:rsidR="00960809" w:rsidRPr="00942352">
        <w:rPr>
          <w:lang w:eastAsia="en-AU"/>
        </w:rPr>
        <w:instrText xml:space="preserve"> REF _Ref127783251 \r \h </w:instrText>
      </w:r>
      <w:r w:rsidR="00942352" w:rsidRPr="00942352">
        <w:rPr>
          <w:b/>
          <w:lang w:eastAsia="en-AU"/>
        </w:rPr>
        <w:instrText xml:space="preserve"> \* MERGEFORMAT </w:instrText>
      </w:r>
      <w:r w:rsidR="00960809" w:rsidRPr="00942352">
        <w:rPr>
          <w:b/>
          <w:lang w:eastAsia="en-AU"/>
        </w:rPr>
      </w:r>
      <w:r w:rsidR="00960809" w:rsidRPr="00942352">
        <w:rPr>
          <w:b/>
          <w:lang w:eastAsia="en-AU"/>
        </w:rPr>
        <w:fldChar w:fldCharType="separate"/>
      </w:r>
      <w:r w:rsidR="002B380F">
        <w:rPr>
          <w:lang w:eastAsia="en-AU"/>
        </w:rPr>
        <w:t>244</w:t>
      </w:r>
      <w:r w:rsidR="00960809" w:rsidRPr="00942352">
        <w:rPr>
          <w:b/>
          <w:lang w:eastAsia="en-AU"/>
        </w:rPr>
        <w:fldChar w:fldCharType="end"/>
      </w:r>
      <w:r w:rsidR="00960809" w:rsidRPr="00942352">
        <w:rPr>
          <w:lang w:eastAsia="en-AU"/>
        </w:rPr>
        <w:t>]</w:t>
      </w:r>
      <w:r w:rsidR="00960809" w:rsidRPr="00942352">
        <w:rPr>
          <w:b/>
          <w:lang w:eastAsia="en-AU"/>
        </w:rPr>
        <w:t xml:space="preserve"> </w:t>
      </w:r>
      <w:r w:rsidR="00960809" w:rsidRPr="00942352">
        <w:rPr>
          <w:lang w:eastAsia="en-AU"/>
        </w:rPr>
        <w:t>below</w:t>
      </w:r>
      <w:r w:rsidR="00D74565" w:rsidRPr="00942352">
        <w:rPr>
          <w:lang w:eastAsia="en-AU"/>
        </w:rPr>
        <w:t>.</w:t>
      </w:r>
    </w:p>
    <w:p w14:paraId="38CA972E" w14:textId="666E15F7" w:rsidR="007B5E0B" w:rsidRPr="00942352" w:rsidRDefault="00155C95" w:rsidP="00155C95">
      <w:pPr>
        <w:pStyle w:val="ParaNumbering"/>
        <w:numPr>
          <w:ilvl w:val="0"/>
          <w:numId w:val="0"/>
        </w:numPr>
        <w:ind w:hanging="720"/>
        <w:rPr>
          <w:lang w:eastAsia="en-AU"/>
        </w:rPr>
      </w:pPr>
      <w:r w:rsidRPr="00942352">
        <w:rPr>
          <w:sz w:val="20"/>
          <w:lang w:eastAsia="en-AU"/>
        </w:rPr>
        <w:t>181</w:t>
      </w:r>
      <w:r w:rsidRPr="00942352">
        <w:rPr>
          <w:sz w:val="20"/>
          <w:lang w:eastAsia="en-AU"/>
        </w:rPr>
        <w:tab/>
      </w:r>
      <w:r w:rsidR="00A01023" w:rsidRPr="00942352">
        <w:rPr>
          <w:lang w:eastAsia="en-AU"/>
        </w:rPr>
        <w:t>This is particularly so given t</w:t>
      </w:r>
      <w:r w:rsidR="00064AB1" w:rsidRPr="00942352">
        <w:rPr>
          <w:lang w:eastAsia="en-AU"/>
        </w:rPr>
        <w:t xml:space="preserve">he respondent provided no examples of other transactions to evince the conclusion that the trustee’s picture was inaccurate. Without evidence to the contrary, I do not accept that the trustee has failed to satisfy the requirements of s </w:t>
      </w:r>
      <w:proofErr w:type="gramStart"/>
      <w:r w:rsidR="00064AB1" w:rsidRPr="00942352">
        <w:rPr>
          <w:lang w:eastAsia="en-AU"/>
        </w:rPr>
        <w:t>139DA(</w:t>
      </w:r>
      <w:proofErr w:type="gramEnd"/>
      <w:r w:rsidR="00064AB1" w:rsidRPr="00942352">
        <w:rPr>
          <w:lang w:eastAsia="en-AU"/>
        </w:rPr>
        <w:t xml:space="preserve">a). </w:t>
      </w:r>
    </w:p>
    <w:p w14:paraId="5E82EA93" w14:textId="64DBFC62" w:rsidR="007C7EFC" w:rsidRPr="00942352" w:rsidRDefault="00155C95" w:rsidP="00155C95">
      <w:pPr>
        <w:pStyle w:val="ParaNumbering"/>
        <w:numPr>
          <w:ilvl w:val="0"/>
          <w:numId w:val="0"/>
        </w:numPr>
        <w:ind w:hanging="720"/>
        <w:rPr>
          <w:lang w:eastAsia="en-AU"/>
        </w:rPr>
      </w:pPr>
      <w:r w:rsidRPr="00942352">
        <w:rPr>
          <w:sz w:val="20"/>
          <w:lang w:eastAsia="en-AU"/>
        </w:rPr>
        <w:t>182</w:t>
      </w:r>
      <w:r w:rsidRPr="00942352">
        <w:rPr>
          <w:sz w:val="20"/>
          <w:lang w:eastAsia="en-AU"/>
        </w:rPr>
        <w:tab/>
      </w:r>
      <w:r w:rsidR="00064AB1" w:rsidRPr="00942352">
        <w:rPr>
          <w:lang w:eastAsia="en-AU"/>
        </w:rPr>
        <w:t>There is nothing within the legislation stipulating such a broad ranging historical inquiry being required of the trustee. It would appear antithetical to the purpose of the provision for a respondent (who possesses the knowledge) to be able to sit on his or her hands and provide no evidentiary basis contesting the soundness of the trustee’s account and requiring a trustee to undertake such an onerous historical account. If the respondent had identified for me specific transactions which revealed inadequacy in the trustee’s account that might have given rise to a questioning of the evidence. However, this did not happen.</w:t>
      </w:r>
    </w:p>
    <w:p w14:paraId="38E857A9" w14:textId="503A3A50" w:rsidR="00064AB1" w:rsidRPr="00942352" w:rsidRDefault="00155C95" w:rsidP="00155C95">
      <w:pPr>
        <w:pStyle w:val="ParaNumbering"/>
        <w:numPr>
          <w:ilvl w:val="0"/>
          <w:numId w:val="0"/>
        </w:numPr>
        <w:ind w:hanging="720"/>
        <w:rPr>
          <w:lang w:eastAsia="en-AU"/>
        </w:rPr>
      </w:pPr>
      <w:r w:rsidRPr="00942352">
        <w:rPr>
          <w:sz w:val="20"/>
          <w:lang w:eastAsia="en-AU"/>
        </w:rPr>
        <w:t>183</w:t>
      </w:r>
      <w:r w:rsidRPr="00942352">
        <w:rPr>
          <w:sz w:val="20"/>
          <w:lang w:eastAsia="en-AU"/>
        </w:rPr>
        <w:tab/>
      </w:r>
      <w:r w:rsidR="008E01BF" w:rsidRPr="00942352">
        <w:rPr>
          <w:i/>
          <w:lang w:eastAsia="en-AU"/>
        </w:rPr>
        <w:t>Fourthly</w:t>
      </w:r>
      <w:r w:rsidR="008E01BF" w:rsidRPr="000617A3">
        <w:rPr>
          <w:lang w:eastAsia="en-AU"/>
        </w:rPr>
        <w:t>,</w:t>
      </w:r>
      <w:r w:rsidR="008E01BF" w:rsidRPr="00942352">
        <w:rPr>
          <w:i/>
          <w:lang w:eastAsia="en-AU"/>
        </w:rPr>
        <w:t xml:space="preserve"> </w:t>
      </w:r>
      <w:r w:rsidR="008E01BF" w:rsidRPr="00942352">
        <w:rPr>
          <w:lang w:eastAsia="en-AU"/>
        </w:rPr>
        <w:t>t</w:t>
      </w:r>
      <w:r w:rsidR="007C7EFC" w:rsidRPr="00942352">
        <w:rPr>
          <w:lang w:eastAsia="en-AU"/>
        </w:rPr>
        <w:t xml:space="preserve">o the extent that the respondent points to anything, it is the allegation that the trustee ignored the respondent’s unspecified contributions over time including the sale of the Seaforth property (two years after the purchase of </w:t>
      </w:r>
      <w:r w:rsidR="000617A3">
        <w:rPr>
          <w:lang w:eastAsia="en-AU"/>
        </w:rPr>
        <w:t xml:space="preserve">the </w:t>
      </w:r>
      <w:r w:rsidR="007C7EFC" w:rsidRPr="00942352">
        <w:rPr>
          <w:lang w:eastAsia="en-AU"/>
        </w:rPr>
        <w:t>North Balgowlah</w:t>
      </w:r>
      <w:r w:rsidR="000617A3">
        <w:rPr>
          <w:lang w:eastAsia="en-AU"/>
        </w:rPr>
        <w:t xml:space="preserve"> property</w:t>
      </w:r>
      <w:r w:rsidR="007C7EFC" w:rsidRPr="00942352">
        <w:rPr>
          <w:lang w:eastAsia="en-AU"/>
        </w:rPr>
        <w:t>).</w:t>
      </w:r>
      <w:r w:rsidR="00FE76CB" w:rsidRPr="00942352">
        <w:rPr>
          <w:lang w:eastAsia="en-AU"/>
        </w:rPr>
        <w:t xml:space="preserve"> The respondent sought to rely, without particularity</w:t>
      </w:r>
      <w:r w:rsidR="000617A3">
        <w:rPr>
          <w:lang w:eastAsia="en-AU"/>
        </w:rPr>
        <w:t>,</w:t>
      </w:r>
      <w:r w:rsidR="00FE76CB" w:rsidRPr="00942352">
        <w:rPr>
          <w:lang w:eastAsia="en-AU"/>
        </w:rPr>
        <w:t xml:space="preserve"> to </w:t>
      </w:r>
      <w:r w:rsidR="00064AB1" w:rsidRPr="00942352">
        <w:rPr>
          <w:i/>
          <w:lang w:eastAsia="en-AU"/>
        </w:rPr>
        <w:t>Silvia v Williams</w:t>
      </w:r>
      <w:r w:rsidR="00064AB1" w:rsidRPr="00942352">
        <w:rPr>
          <w:lang w:eastAsia="en-AU"/>
        </w:rPr>
        <w:t xml:space="preserve"> per </w:t>
      </w:r>
      <w:proofErr w:type="spellStart"/>
      <w:r w:rsidR="00064AB1" w:rsidRPr="00942352">
        <w:rPr>
          <w:lang w:eastAsia="en-AU"/>
        </w:rPr>
        <w:t>Wigney</w:t>
      </w:r>
      <w:proofErr w:type="spellEnd"/>
      <w:r w:rsidR="00064AB1" w:rsidRPr="00942352">
        <w:rPr>
          <w:lang w:eastAsia="en-AU"/>
        </w:rPr>
        <w:t xml:space="preserve"> J</w:t>
      </w:r>
      <w:r w:rsidR="008E01BF" w:rsidRPr="00942352">
        <w:rPr>
          <w:lang w:eastAsia="en-AU"/>
        </w:rPr>
        <w:t>. However, the circumstances of that case are very different from here. It did not involve a claim under s 139DA. The relevant reasoning (noting I was not taken specifically to any part of the reasoning) appeared to arise in the cont</w:t>
      </w:r>
      <w:r w:rsidR="00AF32B5" w:rsidRPr="00942352">
        <w:rPr>
          <w:lang w:eastAsia="en-AU"/>
        </w:rPr>
        <w:t>ext of a claim under s 120. The</w:t>
      </w:r>
      <w:r w:rsidR="008E01BF" w:rsidRPr="00942352">
        <w:rPr>
          <w:lang w:eastAsia="en-AU"/>
        </w:rPr>
        <w:t xml:space="preserve"> case involved the husband and wife </w:t>
      </w:r>
      <w:r w:rsidR="00DD6889" w:rsidRPr="00942352">
        <w:rPr>
          <w:lang w:eastAsia="en-AU"/>
        </w:rPr>
        <w:t>using</w:t>
      </w:r>
      <w:r w:rsidR="008E01BF" w:rsidRPr="00942352">
        <w:rPr>
          <w:lang w:eastAsia="en-AU"/>
        </w:rPr>
        <w:t xml:space="preserve"> </w:t>
      </w:r>
      <w:r w:rsidR="00064AB1" w:rsidRPr="00942352">
        <w:rPr>
          <w:lang w:eastAsia="en-AU"/>
        </w:rPr>
        <w:t>separate bank acc</w:t>
      </w:r>
      <w:r w:rsidR="008E01BF" w:rsidRPr="00942352">
        <w:rPr>
          <w:lang w:eastAsia="en-AU"/>
        </w:rPr>
        <w:t xml:space="preserve">ounts, not only pooled finances. </w:t>
      </w:r>
      <w:r w:rsidR="00863FF7" w:rsidRPr="00942352">
        <w:rPr>
          <w:lang w:eastAsia="en-AU"/>
        </w:rPr>
        <w:t>Here, by contrast, it is clear that there was a clear nexus between the proceeds of the sale</w:t>
      </w:r>
      <w:r w:rsidR="000617A3">
        <w:rPr>
          <w:lang w:eastAsia="en-AU"/>
        </w:rPr>
        <w:t xml:space="preserve"> of the Boyce Road and Anzac Parade properties</w:t>
      </w:r>
      <w:r w:rsidR="00863FF7" w:rsidRPr="00942352">
        <w:rPr>
          <w:lang w:eastAsia="en-AU"/>
        </w:rPr>
        <w:t xml:space="preserve"> and the purchase of </w:t>
      </w:r>
      <w:r w:rsidR="000617A3">
        <w:rPr>
          <w:lang w:eastAsia="en-AU"/>
        </w:rPr>
        <w:t xml:space="preserve">the </w:t>
      </w:r>
      <w:r w:rsidR="00863FF7" w:rsidRPr="00942352">
        <w:rPr>
          <w:lang w:eastAsia="en-AU"/>
        </w:rPr>
        <w:t>North Balgowlah</w:t>
      </w:r>
      <w:r w:rsidR="000617A3">
        <w:rPr>
          <w:lang w:eastAsia="en-AU"/>
        </w:rPr>
        <w:t xml:space="preserve"> property</w:t>
      </w:r>
      <w:r w:rsidR="00863FF7" w:rsidRPr="00942352">
        <w:rPr>
          <w:lang w:eastAsia="en-AU"/>
        </w:rPr>
        <w:t xml:space="preserve">, given their size, the proximity in time between the receipt of those monies and the purchase of </w:t>
      </w:r>
      <w:r w:rsidR="000617A3">
        <w:rPr>
          <w:lang w:eastAsia="en-AU"/>
        </w:rPr>
        <w:t xml:space="preserve">the </w:t>
      </w:r>
      <w:r w:rsidR="00863FF7" w:rsidRPr="00942352">
        <w:rPr>
          <w:lang w:eastAsia="en-AU"/>
        </w:rPr>
        <w:t xml:space="preserve">North Balgowlah </w:t>
      </w:r>
      <w:r w:rsidR="000617A3">
        <w:rPr>
          <w:lang w:eastAsia="en-AU"/>
        </w:rPr>
        <w:t xml:space="preserve">property </w:t>
      </w:r>
      <w:r w:rsidR="00863FF7" w:rsidRPr="00942352">
        <w:rPr>
          <w:lang w:eastAsia="en-AU"/>
        </w:rPr>
        <w:t xml:space="preserve">and the fact that the monies were deposited into and transferred out of the one account. </w:t>
      </w:r>
      <w:r w:rsidR="00064AB1" w:rsidRPr="00942352">
        <w:rPr>
          <w:b/>
          <w:lang w:eastAsia="en-AU"/>
        </w:rPr>
        <w:t xml:space="preserve"> </w:t>
      </w:r>
    </w:p>
    <w:p w14:paraId="13EF14C1" w14:textId="45831144" w:rsidR="00F17C24" w:rsidRPr="00942352" w:rsidRDefault="00155C95" w:rsidP="00155C95">
      <w:pPr>
        <w:pStyle w:val="ParaNumbering"/>
        <w:numPr>
          <w:ilvl w:val="0"/>
          <w:numId w:val="0"/>
        </w:numPr>
        <w:ind w:hanging="720"/>
        <w:rPr>
          <w:lang w:eastAsia="en-AU"/>
        </w:rPr>
      </w:pPr>
      <w:r w:rsidRPr="00942352">
        <w:rPr>
          <w:sz w:val="20"/>
          <w:lang w:eastAsia="en-AU"/>
        </w:rPr>
        <w:t>184</w:t>
      </w:r>
      <w:r w:rsidRPr="00942352">
        <w:rPr>
          <w:sz w:val="20"/>
          <w:lang w:eastAsia="en-AU"/>
        </w:rPr>
        <w:tab/>
      </w:r>
      <w:r w:rsidR="00991DE8" w:rsidRPr="00942352">
        <w:rPr>
          <w:lang w:eastAsia="en-AU"/>
        </w:rPr>
        <w:t>Th</w:t>
      </w:r>
      <w:r w:rsidR="008E01BF" w:rsidRPr="00942352">
        <w:rPr>
          <w:lang w:eastAsia="en-AU"/>
        </w:rPr>
        <w:t xml:space="preserve">is failure to account for the Seaforth property, </w:t>
      </w:r>
      <w:r w:rsidR="00AB5CF7" w:rsidRPr="00942352">
        <w:rPr>
          <w:lang w:eastAsia="en-AU"/>
        </w:rPr>
        <w:t xml:space="preserve">the respondent contends, </w:t>
      </w:r>
      <w:r w:rsidR="008E01BF" w:rsidRPr="00942352">
        <w:rPr>
          <w:lang w:eastAsia="en-AU"/>
        </w:rPr>
        <w:t>meant there was a failure</w:t>
      </w:r>
      <w:r w:rsidR="00AB5CF7" w:rsidRPr="00942352">
        <w:rPr>
          <w:lang w:eastAsia="en-AU"/>
        </w:rPr>
        <w:t xml:space="preserve"> to acknowledge that prior to the bankrupt’s bankruptcy, </w:t>
      </w:r>
      <w:r w:rsidR="009A7322" w:rsidRPr="00942352">
        <w:rPr>
          <w:lang w:eastAsia="en-AU"/>
        </w:rPr>
        <w:t>the respo</w:t>
      </w:r>
      <w:r w:rsidR="00E25E6B" w:rsidRPr="00942352">
        <w:rPr>
          <w:lang w:eastAsia="en-AU"/>
        </w:rPr>
        <w:t xml:space="preserve">ndent sold a property </w:t>
      </w:r>
      <w:r w:rsidR="00E25E6B" w:rsidRPr="00942352">
        <w:rPr>
          <w:lang w:eastAsia="en-AU"/>
        </w:rPr>
        <w:lastRenderedPageBreak/>
        <w:t>for which</w:t>
      </w:r>
      <w:r w:rsidR="00B12F49" w:rsidRPr="00942352">
        <w:rPr>
          <w:lang w:eastAsia="en-AU"/>
        </w:rPr>
        <w:t>,</w:t>
      </w:r>
      <w:r w:rsidR="00E25E6B" w:rsidRPr="00942352">
        <w:rPr>
          <w:lang w:eastAsia="en-AU"/>
        </w:rPr>
        <w:t xml:space="preserve"> on the respondent’s contention</w:t>
      </w:r>
      <w:r w:rsidR="00B12F49" w:rsidRPr="00942352">
        <w:rPr>
          <w:lang w:eastAsia="en-AU"/>
        </w:rPr>
        <w:t>,</w:t>
      </w:r>
      <w:r w:rsidR="00E25E6B" w:rsidRPr="00942352">
        <w:rPr>
          <w:lang w:eastAsia="en-AU"/>
        </w:rPr>
        <w:t xml:space="preserve"> </w:t>
      </w:r>
      <w:r w:rsidR="009A7322" w:rsidRPr="00942352">
        <w:rPr>
          <w:lang w:eastAsia="en-AU"/>
        </w:rPr>
        <w:t xml:space="preserve">she was the undisputed sole beneficial and legal owner, and then deposited all of the proceeds of the sale (minus sale costs) into joint accounts held by the bankrupt and the respondent. </w:t>
      </w:r>
    </w:p>
    <w:p w14:paraId="05B8D390" w14:textId="4CB48C9C" w:rsidR="00BF2C62" w:rsidRPr="00942352" w:rsidRDefault="00155C95" w:rsidP="00155C95">
      <w:pPr>
        <w:pStyle w:val="ParaNumbering"/>
        <w:numPr>
          <w:ilvl w:val="0"/>
          <w:numId w:val="0"/>
        </w:numPr>
        <w:ind w:hanging="720"/>
        <w:rPr>
          <w:lang w:eastAsia="en-AU"/>
        </w:rPr>
      </w:pPr>
      <w:r w:rsidRPr="00942352">
        <w:rPr>
          <w:sz w:val="20"/>
          <w:lang w:eastAsia="en-AU"/>
        </w:rPr>
        <w:t>185</w:t>
      </w:r>
      <w:r w:rsidRPr="00942352">
        <w:rPr>
          <w:sz w:val="20"/>
          <w:lang w:eastAsia="en-AU"/>
        </w:rPr>
        <w:tab/>
      </w:r>
      <w:r w:rsidR="00863FF7" w:rsidRPr="00942352">
        <w:rPr>
          <w:lang w:eastAsia="en-AU"/>
        </w:rPr>
        <w:t xml:space="preserve">I </w:t>
      </w:r>
      <w:r w:rsidR="000B6CB7" w:rsidRPr="00942352">
        <w:rPr>
          <w:lang w:eastAsia="en-AU"/>
        </w:rPr>
        <w:t>am of the view</w:t>
      </w:r>
      <w:r w:rsidR="00863FF7" w:rsidRPr="00942352">
        <w:rPr>
          <w:lang w:eastAsia="en-AU"/>
        </w:rPr>
        <w:t xml:space="preserve"> that what occurred </w:t>
      </w:r>
      <w:r w:rsidR="00BF2C62" w:rsidRPr="00942352">
        <w:rPr>
          <w:lang w:eastAsia="en-AU"/>
        </w:rPr>
        <w:t>with the sale proceeds of the Seaforth property</w:t>
      </w:r>
      <w:r w:rsidR="00863FF7" w:rsidRPr="00942352">
        <w:rPr>
          <w:lang w:eastAsia="en-AU"/>
        </w:rPr>
        <w:t xml:space="preserve"> two years later</w:t>
      </w:r>
      <w:r w:rsidR="00BF2C62" w:rsidRPr="00942352">
        <w:rPr>
          <w:lang w:eastAsia="en-AU"/>
        </w:rPr>
        <w:t xml:space="preserve"> </w:t>
      </w:r>
      <w:r w:rsidR="00AF34A4" w:rsidRPr="00942352">
        <w:rPr>
          <w:lang w:eastAsia="en-AU"/>
        </w:rPr>
        <w:t>cannot be taken into account in this case</w:t>
      </w:r>
      <w:r w:rsidR="00550BAA" w:rsidRPr="00942352">
        <w:rPr>
          <w:lang w:eastAsia="en-AU"/>
        </w:rPr>
        <w:t xml:space="preserve"> because it occurs </w:t>
      </w:r>
      <w:r w:rsidR="000628DC" w:rsidRPr="00942352">
        <w:rPr>
          <w:lang w:eastAsia="en-AU"/>
        </w:rPr>
        <w:t>a significant time after</w:t>
      </w:r>
      <w:r w:rsidR="00550BAA" w:rsidRPr="00942352">
        <w:rPr>
          <w:lang w:eastAsia="en-AU"/>
        </w:rPr>
        <w:t xml:space="preserve"> the acquisition of the North Balgowlah property</w:t>
      </w:r>
      <w:r w:rsidR="000617A3">
        <w:rPr>
          <w:lang w:eastAsia="en-AU"/>
        </w:rPr>
        <w:t>.</w:t>
      </w:r>
      <w:r w:rsidR="00C6051F" w:rsidRPr="00942352">
        <w:rPr>
          <w:lang w:eastAsia="en-AU"/>
        </w:rPr>
        <w:t xml:space="preserve"> The proceeds</w:t>
      </w:r>
      <w:r w:rsidR="00550BAA" w:rsidRPr="00942352">
        <w:rPr>
          <w:lang w:eastAsia="en-AU"/>
        </w:rPr>
        <w:t xml:space="preserve"> did not form part of the purchase price</w:t>
      </w:r>
      <w:r w:rsidR="000617A3">
        <w:rPr>
          <w:lang w:eastAsia="en-AU"/>
        </w:rPr>
        <w:t>. Further, t</w:t>
      </w:r>
      <w:r w:rsidR="00863FF7" w:rsidRPr="00942352">
        <w:rPr>
          <w:lang w:eastAsia="en-AU"/>
        </w:rPr>
        <w:t xml:space="preserve">he respondent and the bankrupt led no evidence as to there being any </w:t>
      </w:r>
      <w:r w:rsidR="00F17C24" w:rsidRPr="00942352">
        <w:rPr>
          <w:lang w:eastAsia="en-AU"/>
        </w:rPr>
        <w:t xml:space="preserve">nexus between the purchase of </w:t>
      </w:r>
      <w:r w:rsidR="006F54EB" w:rsidRPr="00942352">
        <w:rPr>
          <w:lang w:eastAsia="en-AU"/>
        </w:rPr>
        <w:t xml:space="preserve">the </w:t>
      </w:r>
      <w:r w:rsidR="00F17C24" w:rsidRPr="00942352">
        <w:rPr>
          <w:lang w:eastAsia="en-AU"/>
        </w:rPr>
        <w:t xml:space="preserve">North Balgowlah </w:t>
      </w:r>
      <w:r w:rsidR="006F54EB" w:rsidRPr="00942352">
        <w:rPr>
          <w:lang w:eastAsia="en-AU"/>
        </w:rPr>
        <w:t xml:space="preserve">property </w:t>
      </w:r>
      <w:r w:rsidR="00F17C24" w:rsidRPr="00942352">
        <w:rPr>
          <w:lang w:eastAsia="en-AU"/>
        </w:rPr>
        <w:t xml:space="preserve">and the sale of </w:t>
      </w:r>
      <w:r w:rsidR="006F54EB" w:rsidRPr="00942352">
        <w:rPr>
          <w:lang w:eastAsia="en-AU"/>
        </w:rPr>
        <w:t xml:space="preserve">the </w:t>
      </w:r>
      <w:r w:rsidR="00F17C24" w:rsidRPr="00942352">
        <w:rPr>
          <w:lang w:eastAsia="en-AU"/>
        </w:rPr>
        <w:t>Seaforth</w:t>
      </w:r>
      <w:r w:rsidR="006F54EB" w:rsidRPr="00942352">
        <w:rPr>
          <w:lang w:eastAsia="en-AU"/>
        </w:rPr>
        <w:t xml:space="preserve"> property</w:t>
      </w:r>
      <w:r w:rsidR="00F17C24" w:rsidRPr="00942352">
        <w:rPr>
          <w:lang w:eastAsia="en-AU"/>
        </w:rPr>
        <w:t xml:space="preserve">. There was no evidence of any intention, </w:t>
      </w:r>
      <w:r w:rsidR="00863FF7" w:rsidRPr="00942352">
        <w:rPr>
          <w:lang w:eastAsia="en-AU"/>
        </w:rPr>
        <w:t xml:space="preserve">arrangement, promise or agreement that the proceeds of </w:t>
      </w:r>
      <w:r w:rsidR="006F54EB" w:rsidRPr="00942352">
        <w:rPr>
          <w:lang w:eastAsia="en-AU"/>
        </w:rPr>
        <w:t xml:space="preserve">the </w:t>
      </w:r>
      <w:r w:rsidR="00863FF7" w:rsidRPr="00942352">
        <w:rPr>
          <w:lang w:eastAsia="en-AU"/>
        </w:rPr>
        <w:t>Seaforth</w:t>
      </w:r>
      <w:r w:rsidR="006F54EB" w:rsidRPr="00942352">
        <w:rPr>
          <w:lang w:eastAsia="en-AU"/>
        </w:rPr>
        <w:t xml:space="preserve"> property</w:t>
      </w:r>
      <w:r w:rsidR="00F17C24" w:rsidRPr="00942352">
        <w:rPr>
          <w:lang w:eastAsia="en-AU"/>
        </w:rPr>
        <w:t xml:space="preserve">, two years after the purchase of </w:t>
      </w:r>
      <w:r w:rsidR="006F54EB" w:rsidRPr="00942352">
        <w:rPr>
          <w:lang w:eastAsia="en-AU"/>
        </w:rPr>
        <w:t xml:space="preserve">the </w:t>
      </w:r>
      <w:r w:rsidR="00F17C24" w:rsidRPr="00942352">
        <w:rPr>
          <w:lang w:eastAsia="en-AU"/>
        </w:rPr>
        <w:t>North Balgowlah</w:t>
      </w:r>
      <w:r w:rsidR="006F54EB" w:rsidRPr="00942352">
        <w:rPr>
          <w:lang w:eastAsia="en-AU"/>
        </w:rPr>
        <w:t xml:space="preserve"> property</w:t>
      </w:r>
      <w:r w:rsidR="00F17C24" w:rsidRPr="00942352">
        <w:rPr>
          <w:lang w:eastAsia="en-AU"/>
        </w:rPr>
        <w:t>,</w:t>
      </w:r>
      <w:r w:rsidR="00BF2C62" w:rsidRPr="00942352">
        <w:rPr>
          <w:lang w:eastAsia="en-AU"/>
        </w:rPr>
        <w:t xml:space="preserve"> </w:t>
      </w:r>
      <w:r w:rsidR="00F17C24" w:rsidRPr="00942352">
        <w:rPr>
          <w:lang w:eastAsia="en-AU"/>
        </w:rPr>
        <w:t>were in effect to offset any benefit the respondent had derived from the sale proceeds of</w:t>
      </w:r>
      <w:r w:rsidR="00B12F49" w:rsidRPr="00942352">
        <w:rPr>
          <w:lang w:eastAsia="en-AU"/>
        </w:rPr>
        <w:t xml:space="preserve"> the</w:t>
      </w:r>
      <w:r w:rsidR="00F17C24" w:rsidRPr="00942352">
        <w:rPr>
          <w:lang w:eastAsia="en-AU"/>
        </w:rPr>
        <w:t xml:space="preserve"> Boyce Road and Anzac Parade</w:t>
      </w:r>
      <w:r w:rsidR="00B12F49" w:rsidRPr="00942352">
        <w:rPr>
          <w:lang w:eastAsia="en-AU"/>
        </w:rPr>
        <w:t xml:space="preserve"> properties</w:t>
      </w:r>
      <w:r w:rsidR="00550BAA" w:rsidRPr="00942352">
        <w:rPr>
          <w:lang w:eastAsia="en-AU"/>
        </w:rPr>
        <w:t xml:space="preserve">. </w:t>
      </w:r>
      <w:r w:rsidR="00A94995" w:rsidRPr="00942352">
        <w:rPr>
          <w:lang w:eastAsia="en-AU"/>
        </w:rPr>
        <w:t xml:space="preserve">There was limited and conflicting evidence from the bankrupt and the respondent as to the </w:t>
      </w:r>
      <w:r w:rsidR="003B2AF0" w:rsidRPr="00942352">
        <w:rPr>
          <w:lang w:eastAsia="en-AU"/>
        </w:rPr>
        <w:t xml:space="preserve">reasoning for the </w:t>
      </w:r>
      <w:r w:rsidR="00A94995" w:rsidRPr="00942352">
        <w:rPr>
          <w:lang w:eastAsia="en-AU"/>
        </w:rPr>
        <w:t xml:space="preserve">lacunae between the purchase of the North Balgowlah property and the sale of </w:t>
      </w:r>
      <w:r w:rsidR="004F032D" w:rsidRPr="00942352">
        <w:rPr>
          <w:lang w:eastAsia="en-AU"/>
        </w:rPr>
        <w:t xml:space="preserve">the Seaforth property: </w:t>
      </w:r>
      <w:r w:rsidR="00D2610F" w:rsidRPr="00942352">
        <w:rPr>
          <w:lang w:eastAsia="en-AU"/>
        </w:rPr>
        <w:t>The bankrupt deposed</w:t>
      </w:r>
      <w:r w:rsidR="004F032D" w:rsidRPr="00942352">
        <w:rPr>
          <w:lang w:eastAsia="en-AU"/>
        </w:rPr>
        <w:t xml:space="preserve"> that the</w:t>
      </w:r>
      <w:r w:rsidR="00D2610F" w:rsidRPr="00942352">
        <w:rPr>
          <w:lang w:eastAsia="en-AU"/>
        </w:rPr>
        <w:t xml:space="preserve"> Seaforth </w:t>
      </w:r>
      <w:r w:rsidR="004F032D" w:rsidRPr="00942352">
        <w:rPr>
          <w:lang w:eastAsia="en-AU"/>
        </w:rPr>
        <w:t xml:space="preserve">property </w:t>
      </w:r>
      <w:r w:rsidR="00D2610F" w:rsidRPr="00942352">
        <w:rPr>
          <w:lang w:eastAsia="en-AU"/>
        </w:rPr>
        <w:t xml:space="preserve">had been difficult to sell </w:t>
      </w:r>
      <w:r w:rsidR="0014266C" w:rsidRPr="00942352">
        <w:rPr>
          <w:lang w:eastAsia="en-AU"/>
        </w:rPr>
        <w:t xml:space="preserve">while the respondent </w:t>
      </w:r>
      <w:r w:rsidR="004F032D" w:rsidRPr="00942352">
        <w:rPr>
          <w:lang w:eastAsia="en-AU"/>
        </w:rPr>
        <w:t>deposed that the</w:t>
      </w:r>
      <w:r w:rsidR="0014266C" w:rsidRPr="00942352">
        <w:rPr>
          <w:lang w:eastAsia="en-AU"/>
        </w:rPr>
        <w:t xml:space="preserve"> </w:t>
      </w:r>
      <w:r w:rsidR="004F032D" w:rsidRPr="00942352">
        <w:rPr>
          <w:lang w:eastAsia="en-AU"/>
        </w:rPr>
        <w:t>“real estate market had g</w:t>
      </w:r>
      <w:r w:rsidR="00353845" w:rsidRPr="00942352">
        <w:rPr>
          <w:lang w:eastAsia="en-AU"/>
        </w:rPr>
        <w:t xml:space="preserve">one off and so [she] </w:t>
      </w:r>
      <w:r w:rsidR="004F032D" w:rsidRPr="00942352">
        <w:rPr>
          <w:lang w:eastAsia="en-AU"/>
        </w:rPr>
        <w:t>waited to maximise the</w:t>
      </w:r>
      <w:r w:rsidR="00353845" w:rsidRPr="00942352">
        <w:rPr>
          <w:lang w:eastAsia="en-AU"/>
        </w:rPr>
        <w:t xml:space="preserve"> </w:t>
      </w:r>
      <w:r w:rsidR="004F032D" w:rsidRPr="00942352">
        <w:rPr>
          <w:lang w:eastAsia="en-AU"/>
        </w:rPr>
        <w:t>sale price</w:t>
      </w:r>
      <w:r w:rsidR="00353845" w:rsidRPr="00942352">
        <w:rPr>
          <w:lang w:eastAsia="en-AU"/>
        </w:rPr>
        <w:t>”</w:t>
      </w:r>
      <w:r w:rsidR="004F032D" w:rsidRPr="00942352">
        <w:rPr>
          <w:lang w:eastAsia="en-AU"/>
        </w:rPr>
        <w:t>.</w:t>
      </w:r>
      <w:r w:rsidR="00550BAA" w:rsidRPr="00942352">
        <w:rPr>
          <w:lang w:eastAsia="en-AU"/>
        </w:rPr>
        <w:t xml:space="preserve"> </w:t>
      </w:r>
      <w:r w:rsidR="00A94995" w:rsidRPr="00942352">
        <w:rPr>
          <w:lang w:eastAsia="en-AU"/>
        </w:rPr>
        <w:t xml:space="preserve">In any event, this evidence was insufficient in the face of what occurred at the time of the purchase. </w:t>
      </w:r>
    </w:p>
    <w:p w14:paraId="78E1E04D" w14:textId="245ADBF2" w:rsidR="00FE5434" w:rsidRPr="00942352" w:rsidRDefault="00155C95" w:rsidP="00155C95">
      <w:pPr>
        <w:pStyle w:val="ParaNumbering"/>
        <w:numPr>
          <w:ilvl w:val="0"/>
          <w:numId w:val="0"/>
        </w:numPr>
        <w:ind w:hanging="720"/>
        <w:rPr>
          <w:lang w:eastAsia="en-AU"/>
        </w:rPr>
      </w:pPr>
      <w:r w:rsidRPr="00942352">
        <w:rPr>
          <w:sz w:val="20"/>
          <w:lang w:eastAsia="en-AU"/>
        </w:rPr>
        <w:t>186</w:t>
      </w:r>
      <w:r w:rsidRPr="00942352">
        <w:rPr>
          <w:sz w:val="20"/>
          <w:lang w:eastAsia="en-AU"/>
        </w:rPr>
        <w:tab/>
      </w:r>
      <w:r w:rsidR="006035D3" w:rsidRPr="00942352">
        <w:rPr>
          <w:lang w:eastAsia="en-AU"/>
        </w:rPr>
        <w:t>Accordingly</w:t>
      </w:r>
      <w:r w:rsidR="00FE5434" w:rsidRPr="00942352">
        <w:rPr>
          <w:i/>
          <w:lang w:eastAsia="en-AU"/>
        </w:rPr>
        <w:t xml:space="preserve">, </w:t>
      </w:r>
      <w:r w:rsidR="00FE5434" w:rsidRPr="00942352">
        <w:rPr>
          <w:lang w:eastAsia="en-AU"/>
        </w:rPr>
        <w:t>it is my view</w:t>
      </w:r>
      <w:r w:rsidR="002050B0" w:rsidRPr="00942352">
        <w:rPr>
          <w:lang w:eastAsia="en-AU"/>
        </w:rPr>
        <w:t xml:space="preserve"> that</w:t>
      </w:r>
      <w:r w:rsidR="00FE5434" w:rsidRPr="00942352">
        <w:rPr>
          <w:lang w:eastAsia="en-AU"/>
        </w:rPr>
        <w:t xml:space="preserve"> the evidence establishes that the respondent acquired the North Balgowlah property as a direct or indirect result of financial contributions made by the bankrupt</w:t>
      </w:r>
      <w:r w:rsidR="009C4867" w:rsidRPr="00942352">
        <w:rPr>
          <w:lang w:eastAsia="en-AU"/>
        </w:rPr>
        <w:t>.</w:t>
      </w:r>
    </w:p>
    <w:p w14:paraId="6FF616C4" w14:textId="65C7281D" w:rsidR="00A214F1" w:rsidRPr="00942352" w:rsidRDefault="00155C95" w:rsidP="00155C95">
      <w:pPr>
        <w:pStyle w:val="ParaNumbering"/>
        <w:numPr>
          <w:ilvl w:val="0"/>
          <w:numId w:val="0"/>
        </w:numPr>
        <w:ind w:hanging="720"/>
        <w:rPr>
          <w:lang w:eastAsia="en-AU"/>
        </w:rPr>
      </w:pPr>
      <w:r w:rsidRPr="00942352">
        <w:rPr>
          <w:sz w:val="20"/>
          <w:lang w:eastAsia="en-AU"/>
        </w:rPr>
        <w:t>187</w:t>
      </w:r>
      <w:r w:rsidRPr="00942352">
        <w:rPr>
          <w:sz w:val="20"/>
          <w:lang w:eastAsia="en-AU"/>
        </w:rPr>
        <w:tab/>
      </w:r>
      <w:r w:rsidR="008800F9" w:rsidRPr="00942352">
        <w:rPr>
          <w:lang w:eastAsia="en-AU"/>
        </w:rPr>
        <w:t xml:space="preserve">The next question is </w:t>
      </w:r>
      <w:r w:rsidR="00B12F49" w:rsidRPr="00942352">
        <w:rPr>
          <w:lang w:eastAsia="en-AU"/>
        </w:rPr>
        <w:t>then whether I should exercise m</w:t>
      </w:r>
      <w:r w:rsidR="008800F9" w:rsidRPr="00942352">
        <w:rPr>
          <w:lang w:eastAsia="en-AU"/>
        </w:rPr>
        <w:t xml:space="preserve">y discretion and make an order under s 139DA. In order to determine whether I should do this, it is necessary to first determine the nature of the discretion. </w:t>
      </w:r>
    </w:p>
    <w:p w14:paraId="29E8608A" w14:textId="6A203C13" w:rsidR="00456A09" w:rsidRPr="00942352" w:rsidRDefault="00456A09" w:rsidP="00456A09">
      <w:pPr>
        <w:pStyle w:val="Heading4"/>
        <w:rPr>
          <w:lang w:eastAsia="en-AU"/>
        </w:rPr>
      </w:pPr>
      <w:bookmarkStart w:id="106" w:name="_Ref126916199"/>
      <w:r w:rsidRPr="00942352">
        <w:rPr>
          <w:lang w:eastAsia="en-AU"/>
        </w:rPr>
        <w:t>The nature of the discretion</w:t>
      </w:r>
      <w:bookmarkEnd w:id="106"/>
    </w:p>
    <w:p w14:paraId="332B0582" w14:textId="59A68EF5" w:rsidR="002E1194" w:rsidRPr="00942352" w:rsidRDefault="00155C95" w:rsidP="00155C95">
      <w:pPr>
        <w:pStyle w:val="ParaNumbering"/>
        <w:numPr>
          <w:ilvl w:val="0"/>
          <w:numId w:val="0"/>
        </w:numPr>
        <w:ind w:hanging="720"/>
        <w:rPr>
          <w:lang w:eastAsia="en-AU"/>
        </w:rPr>
      </w:pPr>
      <w:r w:rsidRPr="00942352">
        <w:rPr>
          <w:sz w:val="20"/>
          <w:lang w:eastAsia="en-AU"/>
        </w:rPr>
        <w:t>188</w:t>
      </w:r>
      <w:r w:rsidRPr="00942352">
        <w:rPr>
          <w:sz w:val="20"/>
          <w:lang w:eastAsia="en-AU"/>
        </w:rPr>
        <w:tab/>
      </w:r>
      <w:r w:rsidR="002E1194" w:rsidRPr="00942352">
        <w:rPr>
          <w:lang w:eastAsia="en-AU"/>
        </w:rPr>
        <w:t xml:space="preserve">Since the inception of </w:t>
      </w:r>
      <w:proofErr w:type="spellStart"/>
      <w:r w:rsidR="002E1194" w:rsidRPr="00942352">
        <w:rPr>
          <w:lang w:eastAsia="en-AU"/>
        </w:rPr>
        <w:t>Div</w:t>
      </w:r>
      <w:proofErr w:type="spellEnd"/>
      <w:r w:rsidR="00B808B8">
        <w:rPr>
          <w:lang w:eastAsia="en-AU"/>
        </w:rPr>
        <w:t xml:space="preserve"> </w:t>
      </w:r>
      <w:r w:rsidR="002E1194" w:rsidRPr="00942352">
        <w:rPr>
          <w:lang w:eastAsia="en-AU"/>
        </w:rPr>
        <w:t xml:space="preserve">4A, and prior to the inclusion of s 139DA, the Division has contained s 139F which requires that the Court </w:t>
      </w:r>
      <w:r w:rsidR="00C07629" w:rsidRPr="00942352">
        <w:rPr>
          <w:lang w:eastAsia="en-AU"/>
        </w:rPr>
        <w:t>“shall”</w:t>
      </w:r>
      <w:r w:rsidR="002E1194" w:rsidRPr="00942352">
        <w:rPr>
          <w:lang w:eastAsia="en-AU"/>
        </w:rPr>
        <w:t xml:space="preserve"> take into account the interests of </w:t>
      </w:r>
      <w:r w:rsidR="00DB2326">
        <w:rPr>
          <w:lang w:eastAsia="en-AU"/>
        </w:rPr>
        <w:t xml:space="preserve">third </w:t>
      </w:r>
      <w:r w:rsidR="00C07629" w:rsidRPr="00942352">
        <w:rPr>
          <w:lang w:eastAsia="en-AU"/>
        </w:rPr>
        <w:t>parties</w:t>
      </w:r>
      <w:r w:rsidR="008A3BB2" w:rsidRPr="00942352">
        <w:rPr>
          <w:lang w:eastAsia="en-AU"/>
        </w:rPr>
        <w:t xml:space="preserve"> (that have (a) an “estate” in the property and/or (b) are a creditor of the respondent entity)</w:t>
      </w:r>
      <w:r w:rsidR="002E1194" w:rsidRPr="00942352">
        <w:rPr>
          <w:lang w:eastAsia="en-AU"/>
        </w:rPr>
        <w:t xml:space="preserve"> when considering whether to exercise its discretion. </w:t>
      </w:r>
    </w:p>
    <w:p w14:paraId="3772AF3B" w14:textId="5277D155" w:rsidR="002E1194" w:rsidRPr="00942352" w:rsidRDefault="00155C95" w:rsidP="00155C95">
      <w:pPr>
        <w:pStyle w:val="ParaNumbering"/>
        <w:numPr>
          <w:ilvl w:val="0"/>
          <w:numId w:val="0"/>
        </w:numPr>
        <w:ind w:hanging="720"/>
        <w:rPr>
          <w:lang w:eastAsia="en-AU"/>
        </w:rPr>
      </w:pPr>
      <w:r w:rsidRPr="00942352">
        <w:rPr>
          <w:sz w:val="20"/>
          <w:lang w:eastAsia="en-AU"/>
        </w:rPr>
        <w:t>189</w:t>
      </w:r>
      <w:r w:rsidRPr="00942352">
        <w:rPr>
          <w:sz w:val="20"/>
          <w:lang w:eastAsia="en-AU"/>
        </w:rPr>
        <w:tab/>
      </w:r>
      <w:r w:rsidR="002E1194" w:rsidRPr="00942352">
        <w:rPr>
          <w:lang w:eastAsia="en-AU"/>
        </w:rPr>
        <w:t xml:space="preserve">When </w:t>
      </w:r>
      <w:proofErr w:type="spellStart"/>
      <w:r w:rsidR="002E1194" w:rsidRPr="00942352">
        <w:rPr>
          <w:lang w:eastAsia="en-AU"/>
        </w:rPr>
        <w:t>Div</w:t>
      </w:r>
      <w:proofErr w:type="spellEnd"/>
      <w:r w:rsidR="002E1194" w:rsidRPr="00942352">
        <w:rPr>
          <w:lang w:eastAsia="en-AU"/>
        </w:rPr>
        <w:t xml:space="preserve"> 4A was first proposed, the Explanatory Memorandum</w:t>
      </w:r>
      <w:r w:rsidR="00B12F49" w:rsidRPr="00942352">
        <w:rPr>
          <w:lang w:eastAsia="en-AU"/>
        </w:rPr>
        <w:t xml:space="preserve"> 1987</w:t>
      </w:r>
      <w:r w:rsidR="002E1194" w:rsidRPr="00942352">
        <w:rPr>
          <w:lang w:eastAsia="en-AU"/>
        </w:rPr>
        <w:t xml:space="preserve"> explained its purpose i</w:t>
      </w:r>
      <w:r w:rsidR="00D36740" w:rsidRPr="00942352">
        <w:rPr>
          <w:lang w:eastAsia="en-AU"/>
        </w:rPr>
        <w:t>n this way:</w:t>
      </w:r>
    </w:p>
    <w:p w14:paraId="394E07C8" w14:textId="6905373E" w:rsidR="00D36740" w:rsidRPr="00942352" w:rsidRDefault="00D36740" w:rsidP="00D36740">
      <w:pPr>
        <w:pStyle w:val="Quote1"/>
        <w:rPr>
          <w:lang w:eastAsia="en-AU"/>
        </w:rPr>
      </w:pPr>
      <w:r w:rsidRPr="00942352">
        <w:rPr>
          <w:lang w:eastAsia="en-AU"/>
        </w:rPr>
        <w:t>Proposed section 139F – Court to take account of interests of other persons</w:t>
      </w:r>
    </w:p>
    <w:p w14:paraId="3BBE87B2" w14:textId="1DC74939" w:rsidR="00D36740" w:rsidRPr="00942352" w:rsidRDefault="00D36740" w:rsidP="00D36740">
      <w:pPr>
        <w:pStyle w:val="Quote1"/>
        <w:ind w:left="1440" w:hanging="703"/>
        <w:rPr>
          <w:lang w:eastAsia="en-AU"/>
        </w:rPr>
      </w:pPr>
      <w:r w:rsidRPr="00942352">
        <w:rPr>
          <w:lang w:eastAsia="en-AU"/>
        </w:rPr>
        <w:lastRenderedPageBreak/>
        <w:t>324</w:t>
      </w:r>
      <w:r w:rsidR="00CB2335" w:rsidRPr="00942352">
        <w:rPr>
          <w:lang w:eastAsia="en-AU"/>
        </w:rPr>
        <w:t>.</w:t>
      </w:r>
      <w:r w:rsidRPr="00942352">
        <w:rPr>
          <w:lang w:eastAsia="en-AU"/>
        </w:rPr>
        <w:t xml:space="preserve"> </w:t>
      </w:r>
      <w:r w:rsidRPr="00942352">
        <w:rPr>
          <w:lang w:eastAsia="en-AU"/>
        </w:rPr>
        <w:tab/>
        <w:t>Proposed section 139F will ensure that the making of an order under section 139D (expropriating an associated entity of particular property) or under section 139E (diverting to the trustee part or all of the net worth of the associated entity) occurs only where undue hardship is not occasioned thereby to third party interests.</w:t>
      </w:r>
    </w:p>
    <w:p w14:paraId="0020E884" w14:textId="24EDBA8E" w:rsidR="00D36740" w:rsidRPr="00942352" w:rsidRDefault="00D36740" w:rsidP="00D36740">
      <w:pPr>
        <w:pStyle w:val="Quote1"/>
        <w:ind w:left="1440" w:hanging="703"/>
        <w:rPr>
          <w:lang w:eastAsia="en-AU"/>
        </w:rPr>
      </w:pPr>
      <w:r w:rsidRPr="00942352">
        <w:rPr>
          <w:lang w:eastAsia="en-AU"/>
        </w:rPr>
        <w:t>325</w:t>
      </w:r>
      <w:r w:rsidR="00CB2335" w:rsidRPr="00942352">
        <w:rPr>
          <w:lang w:eastAsia="en-AU"/>
        </w:rPr>
        <w:t>.</w:t>
      </w:r>
      <w:r w:rsidRPr="00942352">
        <w:rPr>
          <w:lang w:eastAsia="en-AU"/>
        </w:rPr>
        <w:t xml:space="preserve"> </w:t>
      </w:r>
      <w:r w:rsidRPr="00942352">
        <w:rPr>
          <w:lang w:eastAsia="en-AU"/>
        </w:rPr>
        <w:tab/>
        <w:t xml:space="preserve">Proposed subsection </w:t>
      </w:r>
      <w:proofErr w:type="gramStart"/>
      <w:r w:rsidRPr="00942352">
        <w:rPr>
          <w:lang w:eastAsia="en-AU"/>
        </w:rPr>
        <w:t>139F(</w:t>
      </w:r>
      <w:proofErr w:type="gramEnd"/>
      <w:r w:rsidRPr="00942352">
        <w:rPr>
          <w:lang w:eastAsia="en-AU"/>
        </w:rPr>
        <w:t>1) provides that the Court, in considering whether or not to make an order under section 139D (‘Order relating to property of entity’) shall take account of any other proprietorial interests in the subject property and any hardship that may be caused to the holder of such an interest as a result of the making of an order under section 139D (paragraph 139F(1)(a)). The Court shall also consider the net worth of the entity and any hardship that the making of the order might cause to the creditors of the entity. Thus if the result of the expropriation order was to make the entity insolvent (in terms of a deficiency of other assets over genuine liabilities) then the Court may decline to make an order under section 139D and might, instead, make a money order under section 139E the result of which would be to leave the entity solvent.</w:t>
      </w:r>
    </w:p>
    <w:p w14:paraId="55E1626E" w14:textId="4E2308D7" w:rsidR="00293C7A" w:rsidRPr="00942352" w:rsidRDefault="00D36740" w:rsidP="00D36740">
      <w:pPr>
        <w:pStyle w:val="Quote1"/>
        <w:ind w:left="1440" w:hanging="703"/>
        <w:rPr>
          <w:lang w:eastAsia="en-AU"/>
        </w:rPr>
      </w:pPr>
      <w:r w:rsidRPr="00942352">
        <w:rPr>
          <w:lang w:eastAsia="en-AU"/>
        </w:rPr>
        <w:t>326</w:t>
      </w:r>
      <w:r w:rsidR="00CB2335" w:rsidRPr="00942352">
        <w:rPr>
          <w:lang w:eastAsia="en-AU"/>
        </w:rPr>
        <w:t>.</w:t>
      </w:r>
      <w:r w:rsidRPr="00942352">
        <w:rPr>
          <w:lang w:eastAsia="en-AU"/>
        </w:rPr>
        <w:t xml:space="preserve"> </w:t>
      </w:r>
      <w:r w:rsidRPr="00942352">
        <w:rPr>
          <w:lang w:eastAsia="en-AU"/>
        </w:rPr>
        <w:tab/>
        <w:t xml:space="preserve">Proposed subsection </w:t>
      </w:r>
      <w:proofErr w:type="gramStart"/>
      <w:r w:rsidRPr="00942352">
        <w:rPr>
          <w:lang w:eastAsia="en-AU"/>
        </w:rPr>
        <w:t>139F(</w:t>
      </w:r>
      <w:proofErr w:type="gramEnd"/>
      <w:r w:rsidRPr="00942352">
        <w:rPr>
          <w:lang w:eastAsia="en-AU"/>
        </w:rPr>
        <w:t>2) will apply where the order sought is pursuant to section 139E (‘Order relating to entity’s net worth’). In such an event the Court shall take account of the entity’s current net worth and whether the making of the order (thereby reducing the entity’s net worth) would cause hardship to the entity’s creditors.</w:t>
      </w:r>
    </w:p>
    <w:p w14:paraId="4A633AAD" w14:textId="5433635D" w:rsidR="002E1194" w:rsidRPr="00942352" w:rsidRDefault="00155C95" w:rsidP="00155C95">
      <w:pPr>
        <w:pStyle w:val="ParaNumbering"/>
        <w:numPr>
          <w:ilvl w:val="0"/>
          <w:numId w:val="0"/>
        </w:numPr>
        <w:ind w:hanging="720"/>
        <w:rPr>
          <w:lang w:eastAsia="en-AU"/>
        </w:rPr>
      </w:pPr>
      <w:r w:rsidRPr="00942352">
        <w:rPr>
          <w:sz w:val="20"/>
          <w:lang w:eastAsia="en-AU"/>
        </w:rPr>
        <w:t>190</w:t>
      </w:r>
      <w:r w:rsidRPr="00942352">
        <w:rPr>
          <w:sz w:val="20"/>
          <w:lang w:eastAsia="en-AU"/>
        </w:rPr>
        <w:tab/>
      </w:r>
      <w:r w:rsidR="002E1194" w:rsidRPr="00942352">
        <w:rPr>
          <w:lang w:eastAsia="en-AU"/>
        </w:rPr>
        <w:t xml:space="preserve">There has been no amendment to s 139F since </w:t>
      </w:r>
      <w:r w:rsidR="00DB2326">
        <w:rPr>
          <w:lang w:eastAsia="en-AU"/>
        </w:rPr>
        <w:t xml:space="preserve">its </w:t>
      </w:r>
      <w:r w:rsidR="002E1194" w:rsidRPr="00942352">
        <w:rPr>
          <w:lang w:eastAsia="en-AU"/>
        </w:rPr>
        <w:t xml:space="preserve">inception, save to ensure its application to applications under </w:t>
      </w:r>
      <w:proofErr w:type="spellStart"/>
      <w:r w:rsidR="007152C9" w:rsidRPr="00942352">
        <w:rPr>
          <w:lang w:eastAsia="en-AU"/>
        </w:rPr>
        <w:t>s</w:t>
      </w:r>
      <w:r w:rsidR="002E1194" w:rsidRPr="00942352">
        <w:rPr>
          <w:lang w:eastAsia="en-AU"/>
        </w:rPr>
        <w:t>s</w:t>
      </w:r>
      <w:proofErr w:type="spellEnd"/>
      <w:r w:rsidR="002E1194" w:rsidRPr="00942352">
        <w:rPr>
          <w:lang w:eastAsia="en-AU"/>
        </w:rPr>
        <w:t xml:space="preserve"> 139DA </w:t>
      </w:r>
      <w:r w:rsidR="007152C9" w:rsidRPr="00942352">
        <w:rPr>
          <w:lang w:eastAsia="en-AU"/>
        </w:rPr>
        <w:t xml:space="preserve">and 139EA </w:t>
      </w:r>
      <w:r w:rsidR="002E1194" w:rsidRPr="00942352">
        <w:rPr>
          <w:lang w:eastAsia="en-AU"/>
        </w:rPr>
        <w:t xml:space="preserve">when </w:t>
      </w:r>
      <w:r w:rsidR="007152C9" w:rsidRPr="00942352">
        <w:rPr>
          <w:lang w:eastAsia="en-AU"/>
        </w:rPr>
        <w:t xml:space="preserve">those </w:t>
      </w:r>
      <w:r w:rsidR="002E1194" w:rsidRPr="00942352">
        <w:rPr>
          <w:lang w:eastAsia="en-AU"/>
        </w:rPr>
        <w:t>provision</w:t>
      </w:r>
      <w:r w:rsidR="007152C9" w:rsidRPr="00942352">
        <w:rPr>
          <w:lang w:eastAsia="en-AU"/>
        </w:rPr>
        <w:t>s were</w:t>
      </w:r>
      <w:r w:rsidR="002E1194" w:rsidRPr="00942352">
        <w:rPr>
          <w:lang w:eastAsia="en-AU"/>
        </w:rPr>
        <w:t xml:space="preserve"> introduced</w:t>
      </w:r>
      <w:r w:rsidR="008141A0" w:rsidRPr="00942352">
        <w:rPr>
          <w:lang w:eastAsia="en-AU"/>
        </w:rPr>
        <w:t xml:space="preserve"> in 2006</w:t>
      </w:r>
      <w:r w:rsidR="002E1194" w:rsidRPr="00942352">
        <w:rPr>
          <w:lang w:eastAsia="en-AU"/>
        </w:rPr>
        <w:t xml:space="preserve">. </w:t>
      </w:r>
    </w:p>
    <w:p w14:paraId="57C04088" w14:textId="61C4C12A" w:rsidR="00F27CD4" w:rsidRPr="00942352" w:rsidRDefault="00155C95" w:rsidP="00155C95">
      <w:pPr>
        <w:pStyle w:val="ParaNumbering"/>
        <w:numPr>
          <w:ilvl w:val="0"/>
          <w:numId w:val="0"/>
        </w:numPr>
        <w:ind w:hanging="720"/>
        <w:rPr>
          <w:lang w:eastAsia="en-AU"/>
        </w:rPr>
      </w:pPr>
      <w:r w:rsidRPr="00942352">
        <w:rPr>
          <w:sz w:val="20"/>
          <w:lang w:eastAsia="en-AU"/>
        </w:rPr>
        <w:t>191</w:t>
      </w:r>
      <w:r w:rsidRPr="00942352">
        <w:rPr>
          <w:sz w:val="20"/>
          <w:lang w:eastAsia="en-AU"/>
        </w:rPr>
        <w:tab/>
      </w:r>
      <w:r w:rsidR="002E1194" w:rsidRPr="00942352">
        <w:rPr>
          <w:lang w:eastAsia="en-AU"/>
        </w:rPr>
        <w:t xml:space="preserve">Contrary to the </w:t>
      </w:r>
      <w:r w:rsidR="0072486F" w:rsidRPr="00942352">
        <w:rPr>
          <w:lang w:eastAsia="en-AU"/>
        </w:rPr>
        <w:t>trustee</w:t>
      </w:r>
      <w:r w:rsidR="002E1194" w:rsidRPr="00942352">
        <w:rPr>
          <w:lang w:eastAsia="en-AU"/>
        </w:rPr>
        <w:t xml:space="preserve">’s urging, the </w:t>
      </w:r>
      <w:r w:rsidR="0093275C" w:rsidRPr="00942352">
        <w:rPr>
          <w:lang w:eastAsia="en-AU"/>
        </w:rPr>
        <w:t xml:space="preserve">combined </w:t>
      </w:r>
      <w:r w:rsidR="002E1194" w:rsidRPr="00942352">
        <w:rPr>
          <w:lang w:eastAsia="en-AU"/>
        </w:rPr>
        <w:t xml:space="preserve">effect of </w:t>
      </w:r>
      <w:proofErr w:type="spellStart"/>
      <w:r w:rsidR="002E1194" w:rsidRPr="00942352">
        <w:rPr>
          <w:lang w:eastAsia="en-AU"/>
        </w:rPr>
        <w:t>ss</w:t>
      </w:r>
      <w:proofErr w:type="spellEnd"/>
      <w:r w:rsidR="002E1194" w:rsidRPr="00942352">
        <w:rPr>
          <w:lang w:eastAsia="en-AU"/>
        </w:rPr>
        <w:t xml:space="preserve"> 139DA and 139F, </w:t>
      </w:r>
      <w:r w:rsidR="0093275C" w:rsidRPr="00942352">
        <w:rPr>
          <w:lang w:eastAsia="en-AU"/>
        </w:rPr>
        <w:t xml:space="preserve">reveals that </w:t>
      </w:r>
      <w:r w:rsidR="002E1194" w:rsidRPr="00942352">
        <w:rPr>
          <w:lang w:eastAsia="en-AU"/>
        </w:rPr>
        <w:t>the Court has</w:t>
      </w:r>
      <w:r w:rsidR="0093275C" w:rsidRPr="00942352">
        <w:rPr>
          <w:lang w:eastAsia="en-AU"/>
        </w:rPr>
        <w:t xml:space="preserve"> been bestowed</w:t>
      </w:r>
      <w:r w:rsidR="002E1194" w:rsidRPr="00942352">
        <w:rPr>
          <w:lang w:eastAsia="en-AU"/>
        </w:rPr>
        <w:t xml:space="preserve"> a broad discretion</w:t>
      </w:r>
      <w:r w:rsidR="000B593F" w:rsidRPr="00942352">
        <w:rPr>
          <w:lang w:eastAsia="en-AU"/>
        </w:rPr>
        <w:t xml:space="preserve"> to make an order</w:t>
      </w:r>
      <w:r w:rsidR="002E1194" w:rsidRPr="00942352">
        <w:rPr>
          <w:lang w:eastAsia="en-AU"/>
        </w:rPr>
        <w:t xml:space="preserve">, but where its exercise </w:t>
      </w:r>
      <w:r w:rsidR="005530E0" w:rsidRPr="00942352">
        <w:rPr>
          <w:lang w:eastAsia="en-AU"/>
        </w:rPr>
        <w:t>must be</w:t>
      </w:r>
      <w:r w:rsidR="002E1194" w:rsidRPr="00942352">
        <w:rPr>
          <w:lang w:eastAsia="en-AU"/>
        </w:rPr>
        <w:t xml:space="preserve"> consistent with the object and purpose of the Division and the Bankruptcy Act</w:t>
      </w:r>
      <w:r w:rsidR="008E3052" w:rsidRPr="00942352">
        <w:rPr>
          <w:lang w:eastAsia="en-AU"/>
        </w:rPr>
        <w:t xml:space="preserve"> as a whole including </w:t>
      </w:r>
      <w:r w:rsidR="00B12F49" w:rsidRPr="00942352">
        <w:rPr>
          <w:lang w:eastAsia="en-AU"/>
        </w:rPr>
        <w:t xml:space="preserve">that </w:t>
      </w:r>
      <w:r w:rsidR="002E1194" w:rsidRPr="00942352">
        <w:rPr>
          <w:lang w:eastAsia="en-AU"/>
        </w:rPr>
        <w:t>the Court must (but is not confined to only) take into account:</w:t>
      </w:r>
    </w:p>
    <w:p w14:paraId="05787422" w14:textId="7C158CBA" w:rsidR="00F27CD4" w:rsidRPr="00942352" w:rsidRDefault="00155C95" w:rsidP="00155C95">
      <w:pPr>
        <w:pStyle w:val="ListNo1alt"/>
        <w:numPr>
          <w:ilvl w:val="0"/>
          <w:numId w:val="0"/>
        </w:numPr>
        <w:tabs>
          <w:tab w:val="left" w:pos="720"/>
        </w:tabs>
        <w:ind w:left="720" w:hanging="720"/>
        <w:rPr>
          <w:lang w:eastAsia="en-AU"/>
        </w:rPr>
      </w:pPr>
      <w:r w:rsidRPr="00942352">
        <w:rPr>
          <w:lang w:eastAsia="en-AU"/>
        </w:rPr>
        <w:t>(a)</w:t>
      </w:r>
      <w:r w:rsidRPr="00942352">
        <w:rPr>
          <w:lang w:eastAsia="en-AU"/>
        </w:rPr>
        <w:tab/>
      </w:r>
      <w:proofErr w:type="gramStart"/>
      <w:r w:rsidR="00F27CD4" w:rsidRPr="00942352">
        <w:rPr>
          <w:lang w:eastAsia="en-AU"/>
        </w:rPr>
        <w:t>the</w:t>
      </w:r>
      <w:proofErr w:type="gramEnd"/>
      <w:r w:rsidR="00F27CD4" w:rsidRPr="00942352">
        <w:rPr>
          <w:lang w:eastAsia="en-AU"/>
        </w:rPr>
        <w:t xml:space="preserve"> nature and extent of any estate that any other person or entity has in the property and any hardship that the order might cause that other person or entity; and</w:t>
      </w:r>
    </w:p>
    <w:p w14:paraId="02E19AD1" w14:textId="62CD612B" w:rsidR="00F27CD4" w:rsidRPr="00942352" w:rsidRDefault="00155C95" w:rsidP="00155C95">
      <w:pPr>
        <w:pStyle w:val="ListNo1alt"/>
        <w:numPr>
          <w:ilvl w:val="0"/>
          <w:numId w:val="0"/>
        </w:numPr>
        <w:tabs>
          <w:tab w:val="left" w:pos="720"/>
        </w:tabs>
        <w:ind w:left="720" w:hanging="720"/>
        <w:rPr>
          <w:lang w:eastAsia="en-AU"/>
        </w:rPr>
      </w:pPr>
      <w:r w:rsidRPr="00942352">
        <w:rPr>
          <w:lang w:eastAsia="en-AU"/>
        </w:rPr>
        <w:t>(b)</w:t>
      </w:r>
      <w:r w:rsidRPr="00942352">
        <w:rPr>
          <w:lang w:eastAsia="en-AU"/>
        </w:rPr>
        <w:tab/>
      </w:r>
      <w:proofErr w:type="gramStart"/>
      <w:r w:rsidR="00F27CD4" w:rsidRPr="00942352">
        <w:rPr>
          <w:lang w:eastAsia="en-AU"/>
        </w:rPr>
        <w:t>the</w:t>
      </w:r>
      <w:proofErr w:type="gramEnd"/>
      <w:r w:rsidR="00F27CD4" w:rsidRPr="00942352">
        <w:rPr>
          <w:lang w:eastAsia="en-AU"/>
        </w:rPr>
        <w:t xml:space="preserve"> respondent entity’s current net worth and any hardship the order might cause the respondent entity’s creditors</w:t>
      </w:r>
      <w:r w:rsidR="005A07E4" w:rsidRPr="00942352">
        <w:rPr>
          <w:lang w:eastAsia="en-AU"/>
        </w:rPr>
        <w:t>.</w:t>
      </w:r>
    </w:p>
    <w:p w14:paraId="4126973D" w14:textId="5A1B425A" w:rsidR="002C58D9" w:rsidRPr="00942352" w:rsidRDefault="00155C95" w:rsidP="00155C95">
      <w:pPr>
        <w:pStyle w:val="ParaNumbering"/>
        <w:numPr>
          <w:ilvl w:val="0"/>
          <w:numId w:val="0"/>
        </w:numPr>
        <w:ind w:hanging="720"/>
        <w:rPr>
          <w:lang w:eastAsia="en-AU"/>
        </w:rPr>
      </w:pPr>
      <w:r w:rsidRPr="00942352">
        <w:rPr>
          <w:sz w:val="20"/>
          <w:lang w:eastAsia="en-AU"/>
        </w:rPr>
        <w:t>192</w:t>
      </w:r>
      <w:r w:rsidRPr="00942352">
        <w:rPr>
          <w:sz w:val="20"/>
          <w:lang w:eastAsia="en-AU"/>
        </w:rPr>
        <w:tab/>
      </w:r>
      <w:r w:rsidR="00947695" w:rsidRPr="00942352">
        <w:rPr>
          <w:lang w:eastAsia="en-AU"/>
        </w:rPr>
        <w:t>The</w:t>
      </w:r>
      <w:r w:rsidR="002C58D9" w:rsidRPr="00942352">
        <w:rPr>
          <w:lang w:eastAsia="en-AU"/>
        </w:rPr>
        <w:t xml:space="preserve"> </w:t>
      </w:r>
      <w:r w:rsidR="0072486F" w:rsidRPr="00942352">
        <w:rPr>
          <w:lang w:eastAsia="en-AU"/>
        </w:rPr>
        <w:t>trustee</w:t>
      </w:r>
      <w:r w:rsidR="002C58D9" w:rsidRPr="00942352">
        <w:rPr>
          <w:lang w:eastAsia="en-AU"/>
        </w:rPr>
        <w:t xml:space="preserve"> submitted that, properly construed, the provisions in </w:t>
      </w:r>
      <w:proofErr w:type="spellStart"/>
      <w:r w:rsidR="002C58D9" w:rsidRPr="00942352">
        <w:rPr>
          <w:lang w:eastAsia="en-AU"/>
        </w:rPr>
        <w:t>Div</w:t>
      </w:r>
      <w:proofErr w:type="spellEnd"/>
      <w:r w:rsidR="002C58D9" w:rsidRPr="00942352">
        <w:rPr>
          <w:lang w:eastAsia="en-AU"/>
        </w:rPr>
        <w:t xml:space="preserve"> 4A contemplate that the Court “will” make an order once the criteria of s 139DA of the Bankruptcy Act are met, subject to the interests of third parties or whether it would be unconscionable for the </w:t>
      </w:r>
      <w:r w:rsidR="0072486F" w:rsidRPr="00942352">
        <w:rPr>
          <w:lang w:eastAsia="en-AU"/>
        </w:rPr>
        <w:t>trustee</w:t>
      </w:r>
      <w:r w:rsidR="002C58D9" w:rsidRPr="00942352">
        <w:rPr>
          <w:lang w:eastAsia="en-AU"/>
        </w:rPr>
        <w:t xml:space="preserve"> to bring his claim (based on</w:t>
      </w:r>
      <w:r w:rsidR="00DB2326">
        <w:rPr>
          <w:lang w:eastAsia="en-AU"/>
        </w:rPr>
        <w:t xml:space="preserve"> ordinary principles of equity). </w:t>
      </w:r>
      <w:r w:rsidR="002C58D9" w:rsidRPr="00942352">
        <w:rPr>
          <w:lang w:eastAsia="en-AU"/>
        </w:rPr>
        <w:t xml:space="preserve">If the </w:t>
      </w:r>
      <w:r w:rsidR="0072486F" w:rsidRPr="00942352">
        <w:rPr>
          <w:lang w:eastAsia="en-AU"/>
        </w:rPr>
        <w:t>trustee</w:t>
      </w:r>
      <w:r w:rsidR="002C58D9" w:rsidRPr="00942352">
        <w:rPr>
          <w:lang w:eastAsia="en-AU"/>
        </w:rPr>
        <w:t xml:space="preserve">’s submission is correct, the practical question for the Court to determine is </w:t>
      </w:r>
      <w:r w:rsidR="002C58D9" w:rsidRPr="00942352">
        <w:rPr>
          <w:i/>
          <w:lang w:eastAsia="en-AU"/>
        </w:rPr>
        <w:t>what</w:t>
      </w:r>
      <w:r w:rsidR="002C58D9" w:rsidRPr="00942352">
        <w:rPr>
          <w:lang w:eastAsia="en-AU"/>
        </w:rPr>
        <w:t xml:space="preserve"> order to make, rather than </w:t>
      </w:r>
      <w:r w:rsidR="002C58D9" w:rsidRPr="00942352">
        <w:rPr>
          <w:i/>
          <w:lang w:eastAsia="en-AU"/>
        </w:rPr>
        <w:t xml:space="preserve">whether </w:t>
      </w:r>
      <w:r w:rsidR="002C58D9" w:rsidRPr="00942352">
        <w:rPr>
          <w:lang w:eastAsia="en-AU"/>
        </w:rPr>
        <w:t>it sho</w:t>
      </w:r>
      <w:r w:rsidR="00DB2326">
        <w:rPr>
          <w:lang w:eastAsia="en-AU"/>
        </w:rPr>
        <w:t xml:space="preserve">uld make an order. </w:t>
      </w:r>
      <w:r w:rsidR="002C58D9" w:rsidRPr="00942352">
        <w:rPr>
          <w:lang w:eastAsia="en-AU"/>
        </w:rPr>
        <w:t xml:space="preserve">The </w:t>
      </w:r>
      <w:r w:rsidR="0072486F" w:rsidRPr="00942352">
        <w:rPr>
          <w:lang w:eastAsia="en-AU"/>
        </w:rPr>
        <w:t>trustee</w:t>
      </w:r>
      <w:r w:rsidR="002C58D9" w:rsidRPr="00942352">
        <w:rPr>
          <w:lang w:eastAsia="en-AU"/>
        </w:rPr>
        <w:t xml:space="preserve"> says this is so for the following </w:t>
      </w:r>
      <w:r w:rsidR="00947695" w:rsidRPr="00942352">
        <w:rPr>
          <w:lang w:eastAsia="en-AU"/>
        </w:rPr>
        <w:t xml:space="preserve">four </w:t>
      </w:r>
      <w:r w:rsidR="002C58D9" w:rsidRPr="00942352">
        <w:rPr>
          <w:lang w:eastAsia="en-AU"/>
        </w:rPr>
        <w:t>reasons.</w:t>
      </w:r>
    </w:p>
    <w:p w14:paraId="0084E298" w14:textId="7136B06D" w:rsidR="002C58D9" w:rsidRPr="00942352" w:rsidRDefault="00155C95" w:rsidP="00155C95">
      <w:pPr>
        <w:pStyle w:val="ParaNumbering"/>
        <w:numPr>
          <w:ilvl w:val="0"/>
          <w:numId w:val="0"/>
        </w:numPr>
        <w:ind w:hanging="720"/>
        <w:rPr>
          <w:lang w:eastAsia="en-AU"/>
        </w:rPr>
      </w:pPr>
      <w:r w:rsidRPr="00942352">
        <w:rPr>
          <w:sz w:val="20"/>
          <w:lang w:eastAsia="en-AU"/>
        </w:rPr>
        <w:lastRenderedPageBreak/>
        <w:t>193</w:t>
      </w:r>
      <w:r w:rsidRPr="00942352">
        <w:rPr>
          <w:sz w:val="20"/>
          <w:lang w:eastAsia="en-AU"/>
        </w:rPr>
        <w:tab/>
      </w:r>
      <w:r w:rsidR="002C58D9" w:rsidRPr="00942352">
        <w:rPr>
          <w:i/>
          <w:lang w:eastAsia="en-AU"/>
        </w:rPr>
        <w:t>First</w:t>
      </w:r>
      <w:r w:rsidR="002C58D9" w:rsidRPr="00942352">
        <w:rPr>
          <w:lang w:eastAsia="en-AU"/>
        </w:rPr>
        <w:t xml:space="preserve">, the wording of the Bankruptcy Act itself </w:t>
      </w:r>
      <w:r w:rsidR="00DB2326">
        <w:rPr>
          <w:lang w:eastAsia="en-AU"/>
        </w:rPr>
        <w:t xml:space="preserve">purportedly </w:t>
      </w:r>
      <w:r w:rsidR="002C58D9" w:rsidRPr="00942352">
        <w:rPr>
          <w:lang w:eastAsia="en-AU"/>
        </w:rPr>
        <w:t xml:space="preserve">supports the </w:t>
      </w:r>
      <w:r w:rsidR="0072486F" w:rsidRPr="00942352">
        <w:rPr>
          <w:lang w:eastAsia="en-AU"/>
        </w:rPr>
        <w:t>trustee</w:t>
      </w:r>
      <w:r w:rsidR="00DB2326">
        <w:rPr>
          <w:lang w:eastAsia="en-AU"/>
        </w:rPr>
        <w:t>’s submission</w:t>
      </w:r>
      <w:r w:rsidR="002C58D9" w:rsidRPr="00942352">
        <w:rPr>
          <w:lang w:eastAsia="en-AU"/>
        </w:rPr>
        <w:t xml:space="preserve">. Aside from the essential criteria in s 139DA, the only other considerations are contained in s 139F. Section 139F, the </w:t>
      </w:r>
      <w:r w:rsidR="0072486F" w:rsidRPr="00942352">
        <w:rPr>
          <w:lang w:eastAsia="en-AU"/>
        </w:rPr>
        <w:t>trustee</w:t>
      </w:r>
      <w:r w:rsidR="002C58D9" w:rsidRPr="00942352">
        <w:rPr>
          <w:lang w:eastAsia="en-AU"/>
        </w:rPr>
        <w:t xml:space="preserve"> contends, is focused solely on the potential impact of an order on third parties, not the respondent entity. Neither s 139F, nor any other provision in the Bankruptcy Act, invites a general consideration of the “subjective justice” of making an order, or any other wide-ranging inquiry in the dealings between the bankrupt and the respondent entity. Had the legislature intended for such broad considerations to be a necessary part of making an order, it could and would have said so, rather than expect the Court to proceed unguided. For example, the legislature could have added to the considerations contained within s 139F “such other considerations as the Court sees fit”, or words to that </w:t>
      </w:r>
      <w:r w:rsidR="00DB2326">
        <w:rPr>
          <w:lang w:eastAsia="en-AU"/>
        </w:rPr>
        <w:t>effect.</w:t>
      </w:r>
    </w:p>
    <w:p w14:paraId="23759E0E" w14:textId="4B540453" w:rsidR="002C58D9" w:rsidRPr="00942352" w:rsidRDefault="00155C95" w:rsidP="00155C95">
      <w:pPr>
        <w:pStyle w:val="ParaNumbering"/>
        <w:numPr>
          <w:ilvl w:val="0"/>
          <w:numId w:val="0"/>
        </w:numPr>
        <w:ind w:hanging="720"/>
        <w:rPr>
          <w:lang w:eastAsia="en-AU"/>
        </w:rPr>
      </w:pPr>
      <w:r w:rsidRPr="00942352">
        <w:rPr>
          <w:sz w:val="20"/>
          <w:lang w:eastAsia="en-AU"/>
        </w:rPr>
        <w:t>194</w:t>
      </w:r>
      <w:r w:rsidRPr="00942352">
        <w:rPr>
          <w:sz w:val="20"/>
          <w:lang w:eastAsia="en-AU"/>
        </w:rPr>
        <w:tab/>
      </w:r>
      <w:r w:rsidR="002C58D9" w:rsidRPr="00942352">
        <w:rPr>
          <w:i/>
          <w:lang w:eastAsia="en-AU"/>
        </w:rPr>
        <w:t>Secondly</w:t>
      </w:r>
      <w:r w:rsidR="002C58D9" w:rsidRPr="00942352">
        <w:rPr>
          <w:lang w:eastAsia="en-AU"/>
        </w:rPr>
        <w:t>, the interpretation of other anti-avoidance insolvency provisions contained in other pieces of legislation</w:t>
      </w:r>
      <w:r w:rsidR="00DB2326">
        <w:rPr>
          <w:lang w:eastAsia="en-AU"/>
        </w:rPr>
        <w:t xml:space="preserve"> purportedly</w:t>
      </w:r>
      <w:r w:rsidR="002C58D9" w:rsidRPr="00942352">
        <w:rPr>
          <w:lang w:eastAsia="en-AU"/>
        </w:rPr>
        <w:t xml:space="preserve"> support the </w:t>
      </w:r>
      <w:r w:rsidR="0072486F" w:rsidRPr="00942352">
        <w:rPr>
          <w:lang w:eastAsia="en-AU"/>
        </w:rPr>
        <w:t>trustee</w:t>
      </w:r>
      <w:r w:rsidR="002C58D9" w:rsidRPr="00942352">
        <w:rPr>
          <w:lang w:eastAsia="en-AU"/>
        </w:rPr>
        <w:t xml:space="preserve">’s construction. The </w:t>
      </w:r>
      <w:r w:rsidR="0072486F" w:rsidRPr="00942352">
        <w:rPr>
          <w:lang w:eastAsia="en-AU"/>
        </w:rPr>
        <w:t>trustee</w:t>
      </w:r>
      <w:r w:rsidR="002C58D9" w:rsidRPr="00942352">
        <w:rPr>
          <w:lang w:eastAsia="en-AU"/>
        </w:rPr>
        <w:t xml:space="preserve"> used s 588FF of the Corporations Act as an example.</w:t>
      </w:r>
      <w:r w:rsidR="00812F47" w:rsidRPr="00942352">
        <w:rPr>
          <w:lang w:eastAsia="en-AU"/>
        </w:rPr>
        <w:t xml:space="preserve"> According to the trustee, s </w:t>
      </w:r>
      <w:r w:rsidR="002C58D9" w:rsidRPr="00942352">
        <w:rPr>
          <w:lang w:eastAsia="en-AU"/>
        </w:rPr>
        <w:t>588F provides, similar to s 139DA, that the Court “may” make a number of alternative orders upon being satisfied of preconditions.</w:t>
      </w:r>
      <w:r w:rsidR="002D7E17" w:rsidRPr="00942352">
        <w:rPr>
          <w:lang w:eastAsia="en-AU"/>
        </w:rPr>
        <w:t xml:space="preserve"> </w:t>
      </w:r>
      <w:r w:rsidR="002C58D9" w:rsidRPr="00942352">
        <w:rPr>
          <w:i/>
          <w:lang w:eastAsia="en-AU"/>
        </w:rPr>
        <w:t>Thirdly</w:t>
      </w:r>
      <w:r w:rsidR="002C58D9" w:rsidRPr="00942352">
        <w:rPr>
          <w:lang w:eastAsia="en-AU"/>
        </w:rPr>
        <w:t xml:space="preserve">, the fact that the exercise of powers under </w:t>
      </w:r>
      <w:proofErr w:type="spellStart"/>
      <w:r w:rsidR="002C58D9" w:rsidRPr="00942352">
        <w:rPr>
          <w:lang w:eastAsia="en-AU"/>
        </w:rPr>
        <w:t>Div</w:t>
      </w:r>
      <w:proofErr w:type="spellEnd"/>
      <w:r w:rsidR="002C58D9" w:rsidRPr="00942352">
        <w:rPr>
          <w:lang w:eastAsia="en-AU"/>
        </w:rPr>
        <w:t xml:space="preserve"> 4A is conditioned upon narrow and specific grounds suggests that those grounds must be established for an order to be made</w:t>
      </w:r>
      <w:r w:rsidR="002D7E17" w:rsidRPr="00942352">
        <w:rPr>
          <w:lang w:eastAsia="en-AU"/>
        </w:rPr>
        <w:t xml:space="preserve">. </w:t>
      </w:r>
      <w:r w:rsidR="002C58D9" w:rsidRPr="00942352">
        <w:rPr>
          <w:i/>
          <w:lang w:eastAsia="en-AU"/>
        </w:rPr>
        <w:t>Fourthly</w:t>
      </w:r>
      <w:r w:rsidR="002C58D9" w:rsidRPr="00942352">
        <w:rPr>
          <w:lang w:eastAsia="en-AU"/>
        </w:rPr>
        <w:t xml:space="preserve">, the purported legislative purpose of </w:t>
      </w:r>
      <w:proofErr w:type="spellStart"/>
      <w:r w:rsidR="002C58D9" w:rsidRPr="00942352">
        <w:rPr>
          <w:lang w:eastAsia="en-AU"/>
        </w:rPr>
        <w:t>Div</w:t>
      </w:r>
      <w:proofErr w:type="spellEnd"/>
      <w:r w:rsidR="002C58D9" w:rsidRPr="00942352">
        <w:rPr>
          <w:lang w:eastAsia="en-AU"/>
        </w:rPr>
        <w:t xml:space="preserve"> 4A </w:t>
      </w:r>
      <w:r w:rsidR="00A207E3" w:rsidRPr="00942352">
        <w:rPr>
          <w:lang w:eastAsia="en-AU"/>
        </w:rPr>
        <w:t>is submitted to support</w:t>
      </w:r>
      <w:r w:rsidR="002C58D9" w:rsidRPr="00942352">
        <w:rPr>
          <w:lang w:eastAsia="en-AU"/>
        </w:rPr>
        <w:t xml:space="preserve"> the </w:t>
      </w:r>
      <w:r w:rsidR="0072486F" w:rsidRPr="00942352">
        <w:rPr>
          <w:lang w:eastAsia="en-AU"/>
        </w:rPr>
        <w:t>trustee</w:t>
      </w:r>
      <w:r w:rsidR="002C58D9" w:rsidRPr="00942352">
        <w:rPr>
          <w:lang w:eastAsia="en-AU"/>
        </w:rPr>
        <w:t xml:space="preserve">’s construction. On the </w:t>
      </w:r>
      <w:r w:rsidR="0072486F" w:rsidRPr="00942352">
        <w:rPr>
          <w:lang w:eastAsia="en-AU"/>
        </w:rPr>
        <w:t>trustee</w:t>
      </w:r>
      <w:r w:rsidR="002C58D9" w:rsidRPr="00942352">
        <w:rPr>
          <w:lang w:eastAsia="en-AU"/>
        </w:rPr>
        <w:t xml:space="preserve">’s submission, the purpose of </w:t>
      </w:r>
      <w:proofErr w:type="spellStart"/>
      <w:r w:rsidR="002C58D9" w:rsidRPr="00942352">
        <w:rPr>
          <w:lang w:eastAsia="en-AU"/>
        </w:rPr>
        <w:t>Div</w:t>
      </w:r>
      <w:proofErr w:type="spellEnd"/>
      <w:r w:rsidR="002C58D9" w:rsidRPr="00942352">
        <w:rPr>
          <w:lang w:eastAsia="en-AU"/>
        </w:rPr>
        <w:t xml:space="preserve"> 4A is to benefit trustees </w:t>
      </w:r>
      <w:r w:rsidR="00581EF9" w:rsidRPr="00942352">
        <w:rPr>
          <w:lang w:eastAsia="en-AU"/>
        </w:rPr>
        <w:t xml:space="preserve">in bankruptcy </w:t>
      </w:r>
      <w:r w:rsidR="002C58D9" w:rsidRPr="00942352">
        <w:rPr>
          <w:lang w:eastAsia="en-AU"/>
        </w:rPr>
        <w:t xml:space="preserve">to resolve </w:t>
      </w:r>
      <w:r w:rsidR="00581EF9" w:rsidRPr="00942352">
        <w:rPr>
          <w:lang w:eastAsia="en-AU"/>
        </w:rPr>
        <w:t xml:space="preserve">what was </w:t>
      </w:r>
      <w:r w:rsidR="008D7502" w:rsidRPr="00942352">
        <w:rPr>
          <w:lang w:eastAsia="en-AU"/>
        </w:rPr>
        <w:t xml:space="preserve">as a matter of policy seen to be </w:t>
      </w:r>
      <w:r w:rsidR="002C58D9" w:rsidRPr="00942352">
        <w:rPr>
          <w:lang w:eastAsia="en-AU"/>
        </w:rPr>
        <w:t>an unsatisfactory state of affairs. Division 4A could not achieve that goal if it were read to include an open-ended discretion without any relevan</w:t>
      </w:r>
      <w:r w:rsidR="00DB2326">
        <w:rPr>
          <w:lang w:eastAsia="en-AU"/>
        </w:rPr>
        <w:t>t considerations beyond s 139F</w:t>
      </w:r>
      <w:r w:rsidR="002C58D9" w:rsidRPr="00942352">
        <w:rPr>
          <w:lang w:eastAsia="en-AU"/>
        </w:rPr>
        <w:t xml:space="preserve">. </w:t>
      </w:r>
    </w:p>
    <w:p w14:paraId="7FA5E78C" w14:textId="4AF8F175" w:rsidR="004E28DE" w:rsidRPr="00942352" w:rsidRDefault="00155C95" w:rsidP="00155C95">
      <w:pPr>
        <w:pStyle w:val="ParaNumbering"/>
        <w:numPr>
          <w:ilvl w:val="0"/>
          <w:numId w:val="0"/>
        </w:numPr>
        <w:ind w:hanging="720"/>
        <w:rPr>
          <w:lang w:eastAsia="en-AU"/>
        </w:rPr>
      </w:pPr>
      <w:r w:rsidRPr="00942352">
        <w:rPr>
          <w:sz w:val="20"/>
          <w:lang w:eastAsia="en-AU"/>
        </w:rPr>
        <w:t>195</w:t>
      </w:r>
      <w:r w:rsidRPr="00942352">
        <w:rPr>
          <w:sz w:val="20"/>
          <w:lang w:eastAsia="en-AU"/>
        </w:rPr>
        <w:tab/>
      </w:r>
      <w:r w:rsidR="002E7123" w:rsidRPr="00942352">
        <w:rPr>
          <w:lang w:eastAsia="en-AU"/>
        </w:rPr>
        <w:t xml:space="preserve">Contrary to the </w:t>
      </w:r>
      <w:r w:rsidR="0072486F" w:rsidRPr="00942352">
        <w:rPr>
          <w:lang w:eastAsia="en-AU"/>
        </w:rPr>
        <w:t>trustee</w:t>
      </w:r>
      <w:r w:rsidR="002E7123" w:rsidRPr="00942352">
        <w:rPr>
          <w:lang w:eastAsia="en-AU"/>
        </w:rPr>
        <w:t>’s submission, a</w:t>
      </w:r>
      <w:r w:rsidR="009362C8" w:rsidRPr="00942352">
        <w:rPr>
          <w:lang w:eastAsia="en-AU"/>
        </w:rPr>
        <w:t xml:space="preserve"> review of the entirety of </w:t>
      </w:r>
      <w:proofErr w:type="spellStart"/>
      <w:r w:rsidR="009362C8" w:rsidRPr="00942352">
        <w:rPr>
          <w:lang w:eastAsia="en-AU"/>
        </w:rPr>
        <w:t>Div</w:t>
      </w:r>
      <w:proofErr w:type="spellEnd"/>
      <w:r w:rsidR="009362C8" w:rsidRPr="00942352">
        <w:rPr>
          <w:lang w:eastAsia="en-AU"/>
        </w:rPr>
        <w:t xml:space="preserve"> 4A reveals the following regarding the discretion: </w:t>
      </w:r>
      <w:r w:rsidR="00EE7BC5" w:rsidRPr="00942352">
        <w:rPr>
          <w:lang w:eastAsia="en-AU"/>
        </w:rPr>
        <w:t>I</w:t>
      </w:r>
      <w:r w:rsidR="009362C8" w:rsidRPr="00942352">
        <w:rPr>
          <w:lang w:eastAsia="en-AU"/>
        </w:rPr>
        <w:t>t is a broad discretion that must be exercised judicially to the extent that it achieves the purpose of the provision.</w:t>
      </w:r>
      <w:r w:rsidR="00EE7BC5" w:rsidRPr="00942352">
        <w:rPr>
          <w:lang w:eastAsia="en-AU"/>
        </w:rPr>
        <w:t xml:space="preserve"> Sections 139DA and 139F do not operate in such a way that once the elements of s 139DA are satisfied the Court “must” make an order of the kind referred to in </w:t>
      </w:r>
      <w:proofErr w:type="spellStart"/>
      <w:r w:rsidR="00DB2326">
        <w:rPr>
          <w:lang w:eastAsia="en-AU"/>
        </w:rPr>
        <w:t>ss</w:t>
      </w:r>
      <w:proofErr w:type="spellEnd"/>
      <w:r w:rsidR="00EE7BC5" w:rsidRPr="00942352">
        <w:rPr>
          <w:lang w:eastAsia="en-AU"/>
        </w:rPr>
        <w:t xml:space="preserve"> 139D(2) and </w:t>
      </w:r>
      <w:r w:rsidR="00DB2326">
        <w:rPr>
          <w:lang w:eastAsia="en-AU"/>
        </w:rPr>
        <w:t>139D</w:t>
      </w:r>
      <w:r w:rsidR="00EE7BC5" w:rsidRPr="00942352">
        <w:rPr>
          <w:lang w:eastAsia="en-AU"/>
        </w:rPr>
        <w:t xml:space="preserve">(3). It is clear from </w:t>
      </w:r>
      <w:r w:rsidR="00325EC4" w:rsidRPr="00942352">
        <w:rPr>
          <w:lang w:eastAsia="en-AU"/>
        </w:rPr>
        <w:t>the use of the word “</w:t>
      </w:r>
      <w:proofErr w:type="gramStart"/>
      <w:r w:rsidR="00325EC4" w:rsidRPr="00942352">
        <w:rPr>
          <w:lang w:eastAsia="en-AU"/>
        </w:rPr>
        <w:t>may</w:t>
      </w:r>
      <w:proofErr w:type="gramEnd"/>
      <w:r w:rsidR="00325EC4" w:rsidRPr="00942352">
        <w:rPr>
          <w:lang w:eastAsia="en-AU"/>
        </w:rPr>
        <w:t xml:space="preserve">” in </w:t>
      </w:r>
      <w:r w:rsidR="00EE7BC5" w:rsidRPr="00942352">
        <w:rPr>
          <w:lang w:eastAsia="en-AU"/>
        </w:rPr>
        <w:t xml:space="preserve">s 139DA that it is intended to confer a discretion. Both </w:t>
      </w:r>
      <w:proofErr w:type="spellStart"/>
      <w:r w:rsidR="00EE7BC5" w:rsidRPr="00942352">
        <w:rPr>
          <w:lang w:eastAsia="en-AU"/>
        </w:rPr>
        <w:t>ss</w:t>
      </w:r>
      <w:proofErr w:type="spellEnd"/>
      <w:r w:rsidR="00EE7BC5" w:rsidRPr="00942352">
        <w:rPr>
          <w:lang w:eastAsia="en-AU"/>
        </w:rPr>
        <w:t xml:space="preserve"> 139D and 139DA operate in parallel depending on whether the order relates to the property of </w:t>
      </w:r>
      <w:r w:rsidR="0029605F" w:rsidRPr="00942352">
        <w:rPr>
          <w:lang w:eastAsia="en-AU"/>
        </w:rPr>
        <w:t xml:space="preserve">an </w:t>
      </w:r>
      <w:r w:rsidR="00EE7BC5" w:rsidRPr="00942352">
        <w:rPr>
          <w:lang w:eastAsia="en-AU"/>
        </w:rPr>
        <w:t xml:space="preserve">entity or a natural person. Under s </w:t>
      </w:r>
      <w:proofErr w:type="gramStart"/>
      <w:r w:rsidR="00EE7BC5" w:rsidRPr="00942352">
        <w:rPr>
          <w:lang w:eastAsia="en-AU"/>
        </w:rPr>
        <w:t>139D(</w:t>
      </w:r>
      <w:proofErr w:type="gramEnd"/>
      <w:r w:rsidR="00EE7BC5" w:rsidRPr="00942352">
        <w:rPr>
          <w:lang w:eastAsia="en-AU"/>
        </w:rPr>
        <w:t>2) the Court “may” make orders that the</w:t>
      </w:r>
      <w:r w:rsidR="004729A2" w:rsidRPr="00942352">
        <w:rPr>
          <w:lang w:eastAsia="en-AU"/>
        </w:rPr>
        <w:t xml:space="preserve"> entity’s estate in</w:t>
      </w:r>
      <w:r w:rsidR="008A729A" w:rsidRPr="00942352">
        <w:rPr>
          <w:lang w:eastAsia="en-AU"/>
        </w:rPr>
        <w:t>,</w:t>
      </w:r>
      <w:r w:rsidR="00EE7BC5" w:rsidRPr="00942352">
        <w:rPr>
          <w:lang w:eastAsia="en-AU"/>
        </w:rPr>
        <w:t xml:space="preserve"> or a specified </w:t>
      </w:r>
      <w:r w:rsidR="004729A2" w:rsidRPr="00942352">
        <w:rPr>
          <w:lang w:eastAsia="en-AU"/>
        </w:rPr>
        <w:t>part of</w:t>
      </w:r>
      <w:r w:rsidR="008A729A" w:rsidRPr="00942352">
        <w:rPr>
          <w:lang w:eastAsia="en-AU"/>
        </w:rPr>
        <w:t>,</w:t>
      </w:r>
      <w:r w:rsidR="004729A2" w:rsidRPr="00942352">
        <w:rPr>
          <w:lang w:eastAsia="en-AU"/>
        </w:rPr>
        <w:t xml:space="preserve"> the property </w:t>
      </w:r>
      <w:r w:rsidR="00EE7BC5" w:rsidRPr="00942352">
        <w:rPr>
          <w:lang w:eastAsia="en-AU"/>
        </w:rPr>
        <w:t xml:space="preserve">vest in the </w:t>
      </w:r>
      <w:r w:rsidR="0072486F" w:rsidRPr="00942352">
        <w:rPr>
          <w:lang w:eastAsia="en-AU"/>
        </w:rPr>
        <w:t>trustee</w:t>
      </w:r>
      <w:r w:rsidR="00EE7BC5" w:rsidRPr="00942352">
        <w:rPr>
          <w:lang w:eastAsia="en-AU"/>
        </w:rPr>
        <w:t>. The Court “may” also make orders directing the execution of an instrument, the production of documents of title or the doing of any other act or thing</w:t>
      </w:r>
      <w:r w:rsidR="004E28DE" w:rsidRPr="00942352">
        <w:rPr>
          <w:lang w:eastAsia="en-AU"/>
        </w:rPr>
        <w:t xml:space="preserve"> to give effect to an order </w:t>
      </w:r>
      <w:r w:rsidR="004729A2" w:rsidRPr="00942352">
        <w:rPr>
          <w:lang w:eastAsia="en-AU"/>
        </w:rPr>
        <w:t xml:space="preserve">under </w:t>
      </w:r>
      <w:r w:rsidR="004E28DE" w:rsidRPr="00942352">
        <w:rPr>
          <w:lang w:eastAsia="en-AU"/>
        </w:rPr>
        <w:t>the section</w:t>
      </w:r>
      <w:r w:rsidR="00EE7BC5" w:rsidRPr="00942352">
        <w:rPr>
          <w:lang w:eastAsia="en-AU"/>
        </w:rPr>
        <w:t xml:space="preserve">: s 139D(3). </w:t>
      </w:r>
      <w:r w:rsidR="004E28DE" w:rsidRPr="00942352">
        <w:rPr>
          <w:lang w:eastAsia="en-AU"/>
        </w:rPr>
        <w:t xml:space="preserve">There is nothing in the words of s 139DA nor within </w:t>
      </w:r>
      <w:proofErr w:type="spellStart"/>
      <w:r w:rsidR="004E28DE" w:rsidRPr="00942352">
        <w:rPr>
          <w:lang w:eastAsia="en-AU"/>
        </w:rPr>
        <w:t>Div</w:t>
      </w:r>
      <w:proofErr w:type="spellEnd"/>
      <w:r w:rsidR="004E28DE" w:rsidRPr="00942352">
        <w:rPr>
          <w:lang w:eastAsia="en-AU"/>
        </w:rPr>
        <w:t xml:space="preserve"> </w:t>
      </w:r>
      <w:r w:rsidR="004729A2" w:rsidRPr="00942352">
        <w:rPr>
          <w:lang w:eastAsia="en-AU"/>
        </w:rPr>
        <w:t xml:space="preserve">4A </w:t>
      </w:r>
      <w:r w:rsidR="004E28DE" w:rsidRPr="00942352">
        <w:rPr>
          <w:lang w:eastAsia="en-AU"/>
        </w:rPr>
        <w:t xml:space="preserve">to suggest that the word “may” takes on a different meaning other a discretion </w:t>
      </w:r>
      <w:r w:rsidR="004E28DE" w:rsidRPr="00942352">
        <w:rPr>
          <w:lang w:eastAsia="en-AU"/>
        </w:rPr>
        <w:lastRenderedPageBreak/>
        <w:t xml:space="preserve">to make or not make orders of the kind referred to in </w:t>
      </w:r>
      <w:proofErr w:type="spellStart"/>
      <w:r w:rsidR="004E28DE" w:rsidRPr="00942352">
        <w:rPr>
          <w:lang w:eastAsia="en-AU"/>
        </w:rPr>
        <w:t>ss</w:t>
      </w:r>
      <w:proofErr w:type="spellEnd"/>
      <w:r w:rsidR="004E28DE" w:rsidRPr="00942352">
        <w:rPr>
          <w:lang w:eastAsia="en-AU"/>
        </w:rPr>
        <w:t xml:space="preserve"> 139D(2) and 139D(3). Indeed, the fact that s 139F(1) commences with the phrase “[</w:t>
      </w:r>
      <w:proofErr w:type="spellStart"/>
      <w:r w:rsidR="004E28DE" w:rsidRPr="00942352">
        <w:rPr>
          <w:lang w:eastAsia="en-AU"/>
        </w:rPr>
        <w:t>i</w:t>
      </w:r>
      <w:proofErr w:type="spellEnd"/>
      <w:r w:rsidR="004E28DE" w:rsidRPr="00942352">
        <w:rPr>
          <w:lang w:eastAsia="en-AU"/>
        </w:rPr>
        <w:t>]n considering whether or not to make” an order under s 139D or s 139DA bespeaks this broad discretion, save that in considering whether or not to do so account must be taken of</w:t>
      </w:r>
      <w:r w:rsidR="009362C8" w:rsidRPr="00942352">
        <w:rPr>
          <w:lang w:eastAsia="en-AU"/>
        </w:rPr>
        <w:t xml:space="preserve"> the factors identified in s 139F. </w:t>
      </w:r>
    </w:p>
    <w:p w14:paraId="338C7D62" w14:textId="17EF1B59" w:rsidR="002E7123" w:rsidRPr="00942352" w:rsidRDefault="00155C95" w:rsidP="00155C95">
      <w:pPr>
        <w:pStyle w:val="ParaNumbering"/>
        <w:numPr>
          <w:ilvl w:val="0"/>
          <w:numId w:val="0"/>
        </w:numPr>
        <w:ind w:hanging="720"/>
        <w:rPr>
          <w:lang w:eastAsia="en-AU"/>
        </w:rPr>
      </w:pPr>
      <w:r w:rsidRPr="00942352">
        <w:rPr>
          <w:sz w:val="20"/>
          <w:lang w:eastAsia="en-AU"/>
        </w:rPr>
        <w:t>196</w:t>
      </w:r>
      <w:r w:rsidRPr="00942352">
        <w:rPr>
          <w:sz w:val="20"/>
          <w:lang w:eastAsia="en-AU"/>
        </w:rPr>
        <w:tab/>
      </w:r>
      <w:r w:rsidR="004E28DE" w:rsidRPr="00942352">
        <w:rPr>
          <w:lang w:eastAsia="en-AU"/>
        </w:rPr>
        <w:t xml:space="preserve">To the extent that the trustee relied upon authorities </w:t>
      </w:r>
      <w:r w:rsidR="003D09E8" w:rsidRPr="00942352">
        <w:rPr>
          <w:lang w:eastAsia="en-AU"/>
        </w:rPr>
        <w:t>construing the ambit of the discretion under</w:t>
      </w:r>
      <w:r w:rsidR="004E28DE" w:rsidRPr="00942352">
        <w:rPr>
          <w:lang w:eastAsia="en-AU"/>
        </w:rPr>
        <w:t xml:space="preserve"> s 588FF, I do not accept that this is an analogous provision and in any event</w:t>
      </w:r>
      <w:r w:rsidR="002E7123" w:rsidRPr="00942352">
        <w:rPr>
          <w:i/>
          <w:lang w:eastAsia="en-AU"/>
        </w:rPr>
        <w:t xml:space="preserve"> </w:t>
      </w:r>
      <w:r w:rsidR="002E7123" w:rsidRPr="00942352">
        <w:rPr>
          <w:lang w:eastAsia="en-AU"/>
        </w:rPr>
        <w:t>there are a number of authorities which take a different view</w:t>
      </w:r>
      <w:r w:rsidR="00442381" w:rsidRPr="00942352">
        <w:rPr>
          <w:lang w:eastAsia="en-AU"/>
        </w:rPr>
        <w:t xml:space="preserve"> </w:t>
      </w:r>
      <w:r w:rsidR="002E7123" w:rsidRPr="00942352">
        <w:rPr>
          <w:lang w:eastAsia="en-AU"/>
        </w:rPr>
        <w:t xml:space="preserve">from those </w:t>
      </w:r>
      <w:r w:rsidR="004E28DE" w:rsidRPr="00942352">
        <w:rPr>
          <w:lang w:eastAsia="en-AU"/>
        </w:rPr>
        <w:t xml:space="preserve">relied upon </w:t>
      </w:r>
      <w:r w:rsidR="002E7123" w:rsidRPr="00942352">
        <w:rPr>
          <w:lang w:eastAsia="en-AU"/>
        </w:rPr>
        <w:t xml:space="preserve">by the </w:t>
      </w:r>
      <w:r w:rsidR="0072486F" w:rsidRPr="00942352">
        <w:rPr>
          <w:lang w:eastAsia="en-AU"/>
        </w:rPr>
        <w:t>trustee</w:t>
      </w:r>
      <w:r w:rsidR="002E7123" w:rsidRPr="00942352">
        <w:rPr>
          <w:lang w:eastAsia="en-AU"/>
        </w:rPr>
        <w:t xml:space="preserve">, as to whether s 588F(1) confers a discretion, or, rather, a jurisdiction: </w:t>
      </w:r>
      <w:r w:rsidR="002E7123" w:rsidRPr="00942352">
        <w:rPr>
          <w:i/>
          <w:lang w:eastAsia="en-AU"/>
        </w:rPr>
        <w:t xml:space="preserve">Great Investments Ltd and Others v Warner and </w:t>
      </w:r>
      <w:r w:rsidR="004F261D" w:rsidRPr="00942352">
        <w:rPr>
          <w:i/>
          <w:lang w:eastAsia="en-AU"/>
        </w:rPr>
        <w:t>Others</w:t>
      </w:r>
      <w:r w:rsidR="002E7123" w:rsidRPr="00942352">
        <w:rPr>
          <w:i/>
          <w:lang w:eastAsia="en-AU"/>
        </w:rPr>
        <w:t xml:space="preserve"> </w:t>
      </w:r>
      <w:r w:rsidR="004F261D" w:rsidRPr="00942352">
        <w:rPr>
          <w:lang w:eastAsia="en-AU"/>
        </w:rPr>
        <w:t>[</w:t>
      </w:r>
      <w:r w:rsidR="002E7123" w:rsidRPr="00942352">
        <w:rPr>
          <w:lang w:eastAsia="en-AU"/>
        </w:rPr>
        <w:t>2016</w:t>
      </w:r>
      <w:r w:rsidR="004F261D" w:rsidRPr="00942352">
        <w:rPr>
          <w:lang w:eastAsia="en-AU"/>
        </w:rPr>
        <w:t>] FCA</w:t>
      </w:r>
      <w:r w:rsidR="008A729A" w:rsidRPr="00942352">
        <w:rPr>
          <w:lang w:eastAsia="en-AU"/>
        </w:rPr>
        <w:t>FC</w:t>
      </w:r>
      <w:r w:rsidR="004F261D" w:rsidRPr="00942352">
        <w:rPr>
          <w:lang w:eastAsia="en-AU"/>
        </w:rPr>
        <w:t xml:space="preserve"> 85;</w:t>
      </w:r>
      <w:r w:rsidR="002E7123" w:rsidRPr="00942352">
        <w:rPr>
          <w:lang w:eastAsia="en-AU"/>
        </w:rPr>
        <w:t xml:space="preserve"> 243 FCR 516 at [141] (whilst noting that ultimately they did not consider it necessary to decide the issue); </w:t>
      </w:r>
      <w:r w:rsidR="002E7123" w:rsidRPr="00942352">
        <w:rPr>
          <w:i/>
          <w:lang w:eastAsia="en-AU"/>
        </w:rPr>
        <w:t xml:space="preserve">Bryant (in their capacities as joint and several liquidators of </w:t>
      </w:r>
      <w:proofErr w:type="spellStart"/>
      <w:r w:rsidR="002E7123" w:rsidRPr="00942352">
        <w:rPr>
          <w:i/>
          <w:lang w:eastAsia="en-AU"/>
        </w:rPr>
        <w:t>Gunns</w:t>
      </w:r>
      <w:proofErr w:type="spellEnd"/>
      <w:r w:rsidR="002E7123" w:rsidRPr="00942352">
        <w:rPr>
          <w:i/>
          <w:lang w:eastAsia="en-AU"/>
        </w:rPr>
        <w:t xml:space="preserve"> Ltd (</w:t>
      </w:r>
      <w:r w:rsidR="004F261D" w:rsidRPr="00942352">
        <w:rPr>
          <w:i/>
          <w:lang w:eastAsia="en-AU"/>
        </w:rPr>
        <w:t>i</w:t>
      </w:r>
      <w:r w:rsidR="002E7123" w:rsidRPr="00942352">
        <w:rPr>
          <w:i/>
          <w:lang w:eastAsia="en-AU"/>
        </w:rPr>
        <w:t xml:space="preserve">n </w:t>
      </w:r>
      <w:proofErr w:type="spellStart"/>
      <w:r w:rsidR="004F261D" w:rsidRPr="00942352">
        <w:rPr>
          <w:i/>
          <w:lang w:eastAsia="en-AU"/>
        </w:rPr>
        <w:t>l</w:t>
      </w:r>
      <w:r w:rsidR="002E7123" w:rsidRPr="00942352">
        <w:rPr>
          <w:i/>
          <w:lang w:eastAsia="en-AU"/>
        </w:rPr>
        <w:t>iq</w:t>
      </w:r>
      <w:proofErr w:type="spellEnd"/>
      <w:r w:rsidR="002E7123" w:rsidRPr="00942352">
        <w:rPr>
          <w:i/>
          <w:lang w:eastAsia="en-AU"/>
        </w:rPr>
        <w:t>) (</w:t>
      </w:r>
      <w:r w:rsidR="004F261D" w:rsidRPr="00942352">
        <w:rPr>
          <w:i/>
          <w:lang w:eastAsia="en-AU"/>
        </w:rPr>
        <w:t>r</w:t>
      </w:r>
      <w:r w:rsidR="002E7123" w:rsidRPr="00942352">
        <w:rPr>
          <w:i/>
          <w:lang w:eastAsia="en-AU"/>
        </w:rPr>
        <w:t xml:space="preserve">ecs and </w:t>
      </w:r>
      <w:proofErr w:type="spellStart"/>
      <w:r w:rsidR="004F261D" w:rsidRPr="00942352">
        <w:rPr>
          <w:i/>
          <w:lang w:eastAsia="en-AU"/>
        </w:rPr>
        <w:t>m</w:t>
      </w:r>
      <w:r w:rsidR="002E7123" w:rsidRPr="00942352">
        <w:rPr>
          <w:i/>
          <w:lang w:eastAsia="en-AU"/>
        </w:rPr>
        <w:t>grs</w:t>
      </w:r>
      <w:proofErr w:type="spellEnd"/>
      <w:r w:rsidR="002E7123" w:rsidRPr="00942352">
        <w:rPr>
          <w:i/>
          <w:lang w:eastAsia="en-AU"/>
        </w:rPr>
        <w:t xml:space="preserve"> </w:t>
      </w:r>
      <w:proofErr w:type="spellStart"/>
      <w:r w:rsidR="004F261D" w:rsidRPr="00942352">
        <w:rPr>
          <w:i/>
          <w:lang w:eastAsia="en-AU"/>
        </w:rPr>
        <w:t>a</w:t>
      </w:r>
      <w:r w:rsidR="002E7123" w:rsidRPr="00942352">
        <w:rPr>
          <w:i/>
          <w:lang w:eastAsia="en-AU"/>
        </w:rPr>
        <w:t>pptd</w:t>
      </w:r>
      <w:proofErr w:type="spellEnd"/>
      <w:r w:rsidR="002E7123" w:rsidRPr="00942352">
        <w:rPr>
          <w:i/>
          <w:lang w:eastAsia="en-AU"/>
        </w:rPr>
        <w:t xml:space="preserve">) </w:t>
      </w:r>
      <w:r w:rsidR="00165610" w:rsidRPr="00942352">
        <w:rPr>
          <w:i/>
          <w:lang w:eastAsia="en-AU"/>
        </w:rPr>
        <w:t xml:space="preserve">(ACN 009 478 148) </w:t>
      </w:r>
      <w:r w:rsidR="002E7123" w:rsidRPr="00942352">
        <w:rPr>
          <w:i/>
          <w:lang w:eastAsia="en-AU"/>
        </w:rPr>
        <w:t xml:space="preserve">v </w:t>
      </w:r>
      <w:proofErr w:type="spellStart"/>
      <w:r w:rsidR="002E7123" w:rsidRPr="00942352">
        <w:rPr>
          <w:i/>
          <w:lang w:eastAsia="en-AU"/>
        </w:rPr>
        <w:t>Edenborn</w:t>
      </w:r>
      <w:proofErr w:type="spellEnd"/>
      <w:r w:rsidR="002E7123" w:rsidRPr="00942352">
        <w:rPr>
          <w:i/>
          <w:lang w:eastAsia="en-AU"/>
        </w:rPr>
        <w:t xml:space="preserve"> Pty Ltd </w:t>
      </w:r>
      <w:r w:rsidR="00012B63" w:rsidRPr="00942352">
        <w:rPr>
          <w:lang w:eastAsia="en-AU"/>
        </w:rPr>
        <w:t>[</w:t>
      </w:r>
      <w:r w:rsidR="002E7123" w:rsidRPr="00942352">
        <w:rPr>
          <w:lang w:eastAsia="en-AU"/>
        </w:rPr>
        <w:t>2020</w:t>
      </w:r>
      <w:r w:rsidR="00012B63" w:rsidRPr="00942352">
        <w:rPr>
          <w:lang w:eastAsia="en-AU"/>
        </w:rPr>
        <w:t>] FCA 715;</w:t>
      </w:r>
      <w:r w:rsidR="002E7123" w:rsidRPr="00942352">
        <w:rPr>
          <w:lang w:eastAsia="en-AU"/>
        </w:rPr>
        <w:t xml:space="preserve"> 381 ALR 190 at [204]</w:t>
      </w:r>
      <w:r w:rsidR="006A6EE7" w:rsidRPr="00942352">
        <w:rPr>
          <w:lang w:eastAsia="en-AU"/>
        </w:rPr>
        <w:t>–</w:t>
      </w:r>
      <w:r w:rsidR="002E7123" w:rsidRPr="00942352">
        <w:rPr>
          <w:lang w:eastAsia="en-AU"/>
        </w:rPr>
        <w:t>[207]</w:t>
      </w:r>
      <w:r w:rsidR="006A6EE7" w:rsidRPr="00942352">
        <w:rPr>
          <w:lang w:eastAsia="en-AU"/>
        </w:rPr>
        <w:t xml:space="preserve">; </w:t>
      </w:r>
      <w:r w:rsidR="002D7E17" w:rsidRPr="00942352">
        <w:rPr>
          <w:i/>
          <w:szCs w:val="24"/>
        </w:rPr>
        <w:t xml:space="preserve">D Pty Ltd (in </w:t>
      </w:r>
      <w:proofErr w:type="spellStart"/>
      <w:r w:rsidR="002D7E17" w:rsidRPr="00942352">
        <w:rPr>
          <w:i/>
          <w:szCs w:val="24"/>
        </w:rPr>
        <w:t>liq</w:t>
      </w:r>
      <w:proofErr w:type="spellEnd"/>
      <w:r w:rsidR="002D7E17" w:rsidRPr="00942352">
        <w:rPr>
          <w:i/>
          <w:szCs w:val="24"/>
        </w:rPr>
        <w:t xml:space="preserve">) v </w:t>
      </w:r>
      <w:proofErr w:type="spellStart"/>
      <w:r w:rsidR="002D7E17" w:rsidRPr="00DB2326">
        <w:rPr>
          <w:i/>
          <w:szCs w:val="24"/>
        </w:rPr>
        <w:t>Calas</w:t>
      </w:r>
      <w:proofErr w:type="spellEnd"/>
      <w:r w:rsidR="002D7E17" w:rsidRPr="00942352">
        <w:rPr>
          <w:szCs w:val="24"/>
        </w:rPr>
        <w:t xml:space="preserve"> [2016] FCA 1409; 12 BFRA 151 </w:t>
      </w:r>
      <w:r w:rsidR="006A6EE7" w:rsidRPr="00942352">
        <w:rPr>
          <w:lang w:eastAsia="en-AU"/>
        </w:rPr>
        <w:t>at [68] (noting the authorities cited therein)</w:t>
      </w:r>
      <w:r w:rsidR="002E7123" w:rsidRPr="00942352">
        <w:rPr>
          <w:lang w:eastAsia="en-AU"/>
        </w:rPr>
        <w:t>.</w:t>
      </w:r>
    </w:p>
    <w:p w14:paraId="6C186C91" w14:textId="66384655" w:rsidR="009362C8" w:rsidRPr="00942352" w:rsidRDefault="00155C95" w:rsidP="00155C95">
      <w:pPr>
        <w:pStyle w:val="ParaNumbering"/>
        <w:numPr>
          <w:ilvl w:val="0"/>
          <w:numId w:val="0"/>
        </w:numPr>
        <w:ind w:hanging="720"/>
        <w:rPr>
          <w:lang w:eastAsia="en-AU"/>
        </w:rPr>
      </w:pPr>
      <w:r w:rsidRPr="00942352">
        <w:rPr>
          <w:sz w:val="20"/>
          <w:lang w:eastAsia="en-AU"/>
        </w:rPr>
        <w:t>197</w:t>
      </w:r>
      <w:r w:rsidRPr="00942352">
        <w:rPr>
          <w:sz w:val="20"/>
          <w:lang w:eastAsia="en-AU"/>
        </w:rPr>
        <w:tab/>
      </w:r>
      <w:r w:rsidR="00442381" w:rsidRPr="00942352">
        <w:rPr>
          <w:lang w:eastAsia="en-AU"/>
        </w:rPr>
        <w:t xml:space="preserve">Further, </w:t>
      </w:r>
      <w:r w:rsidR="004072A0" w:rsidRPr="00942352">
        <w:rPr>
          <w:lang w:eastAsia="en-AU"/>
        </w:rPr>
        <w:t xml:space="preserve">the respondent appeared to </w:t>
      </w:r>
      <w:r w:rsidR="008A729A" w:rsidRPr="00942352">
        <w:rPr>
          <w:lang w:eastAsia="en-AU"/>
        </w:rPr>
        <w:t>submit</w:t>
      </w:r>
      <w:r w:rsidR="004072A0" w:rsidRPr="00942352">
        <w:rPr>
          <w:lang w:eastAsia="en-AU"/>
        </w:rPr>
        <w:t xml:space="preserve">, that as part of the Court’s broad discretion (not limited to the matters under s 139F) that the Court could take into account matters relevant to the respondent, including her purported contribution to the North Balgowlah property and the effect of any vesting of the estate on her debt obligations. This in effect was a submission that the Court should take into account any effect of any order on her and the potential hardship </w:t>
      </w:r>
      <w:r w:rsidR="004072A0" w:rsidRPr="00942352">
        <w:rPr>
          <w:i/>
          <w:lang w:eastAsia="en-AU"/>
        </w:rPr>
        <w:t>she</w:t>
      </w:r>
      <w:r w:rsidR="004072A0" w:rsidRPr="00942352">
        <w:rPr>
          <w:lang w:eastAsia="en-AU"/>
        </w:rPr>
        <w:t xml:space="preserve"> may suffer. </w:t>
      </w:r>
      <w:r w:rsidR="009362C8" w:rsidRPr="00942352">
        <w:rPr>
          <w:lang w:eastAsia="en-AU"/>
        </w:rPr>
        <w:t xml:space="preserve">I do not accept, </w:t>
      </w:r>
      <w:r w:rsidR="002E7123" w:rsidRPr="00942352">
        <w:rPr>
          <w:lang w:eastAsia="en-AU"/>
        </w:rPr>
        <w:t xml:space="preserve">within the </w:t>
      </w:r>
      <w:r w:rsidR="00442381" w:rsidRPr="00942352">
        <w:rPr>
          <w:lang w:eastAsia="en-AU"/>
        </w:rPr>
        <w:t xml:space="preserve">operation of </w:t>
      </w:r>
      <w:r w:rsidR="00DB2326">
        <w:rPr>
          <w:lang w:eastAsia="en-AU"/>
        </w:rPr>
        <w:t xml:space="preserve">the </w:t>
      </w:r>
      <w:r w:rsidR="002E7123" w:rsidRPr="00942352">
        <w:rPr>
          <w:lang w:eastAsia="en-AU"/>
        </w:rPr>
        <w:t xml:space="preserve">legislative scheme, </w:t>
      </w:r>
      <w:r w:rsidR="009362C8" w:rsidRPr="00942352">
        <w:rPr>
          <w:lang w:eastAsia="en-AU"/>
        </w:rPr>
        <w:t>that</w:t>
      </w:r>
      <w:r w:rsidR="002E7123" w:rsidRPr="00942352">
        <w:rPr>
          <w:lang w:eastAsia="en-AU"/>
        </w:rPr>
        <w:t xml:space="preserve"> the discretion</w:t>
      </w:r>
      <w:r w:rsidR="009362C8" w:rsidRPr="00942352">
        <w:rPr>
          <w:lang w:eastAsia="en-AU"/>
        </w:rPr>
        <w:t xml:space="preserve"> includes any consideration of the respondent’s interest and/or hardship. </w:t>
      </w:r>
      <w:r w:rsidR="00CB5CF2" w:rsidRPr="00942352">
        <w:rPr>
          <w:lang w:eastAsia="en-AU"/>
        </w:rPr>
        <w:t xml:space="preserve"> Neither party cited any authority for the proposition that the respondent’s interest and/or hardship should be taken into account nor why within the context of the legislative scheme it would be relevant. </w:t>
      </w:r>
      <w:r w:rsidR="001E7720" w:rsidRPr="00942352">
        <w:rPr>
          <w:lang w:eastAsia="en-AU"/>
        </w:rPr>
        <w:t>To the extent that the two Federal Circuit and Family Court of Australia authorities</w:t>
      </w:r>
      <w:r w:rsidR="00CB5CF2" w:rsidRPr="00942352">
        <w:rPr>
          <w:lang w:eastAsia="en-AU"/>
        </w:rPr>
        <w:t xml:space="preserve"> </w:t>
      </w:r>
      <w:r w:rsidR="00CB5CF2" w:rsidRPr="00942352">
        <w:rPr>
          <w:i/>
          <w:lang w:eastAsia="en-AU"/>
        </w:rPr>
        <w:t xml:space="preserve">Griffin </w:t>
      </w:r>
      <w:r w:rsidR="00CB5CF2" w:rsidRPr="00942352">
        <w:rPr>
          <w:lang w:eastAsia="en-AU"/>
        </w:rPr>
        <w:t xml:space="preserve">and </w:t>
      </w:r>
      <w:proofErr w:type="spellStart"/>
      <w:r w:rsidR="00D44B57" w:rsidRPr="00942352">
        <w:rPr>
          <w:i/>
          <w:lang w:eastAsia="en-AU"/>
        </w:rPr>
        <w:t>Lo</w:t>
      </w:r>
      <w:r w:rsidR="00CB5CF2" w:rsidRPr="00942352">
        <w:rPr>
          <w:i/>
          <w:lang w:eastAsia="en-AU"/>
        </w:rPr>
        <w:t>stitch</w:t>
      </w:r>
      <w:proofErr w:type="spellEnd"/>
      <w:r w:rsidR="004B458B" w:rsidRPr="00942352">
        <w:rPr>
          <w:lang w:eastAsia="en-AU"/>
        </w:rPr>
        <w:t xml:space="preserve"> are relied upon, I am of the view that they are incorrect. It</w:t>
      </w:r>
      <w:r w:rsidR="00CB5CF2" w:rsidRPr="00942352">
        <w:rPr>
          <w:i/>
          <w:lang w:eastAsia="en-AU"/>
        </w:rPr>
        <w:t xml:space="preserve"> </w:t>
      </w:r>
      <w:r w:rsidR="00CB5CF2" w:rsidRPr="00942352">
        <w:rPr>
          <w:lang w:eastAsia="en-AU"/>
        </w:rPr>
        <w:t xml:space="preserve">does not appear </w:t>
      </w:r>
      <w:r w:rsidR="008A729A" w:rsidRPr="00942352">
        <w:rPr>
          <w:lang w:eastAsia="en-AU"/>
        </w:rPr>
        <w:t>that in either case that C</w:t>
      </w:r>
      <w:r w:rsidR="004B458B" w:rsidRPr="00942352">
        <w:rPr>
          <w:lang w:eastAsia="en-AU"/>
        </w:rPr>
        <w:t xml:space="preserve">ourt was </w:t>
      </w:r>
      <w:r w:rsidR="00CB5CF2" w:rsidRPr="00942352">
        <w:rPr>
          <w:lang w:eastAsia="en-AU"/>
        </w:rPr>
        <w:t>assisted by any detailed submissions</w:t>
      </w:r>
      <w:r w:rsidR="009B3897" w:rsidRPr="00942352">
        <w:rPr>
          <w:lang w:eastAsia="en-AU"/>
        </w:rPr>
        <w:t xml:space="preserve"> as to the</w:t>
      </w:r>
      <w:r w:rsidR="002E7123" w:rsidRPr="00942352">
        <w:rPr>
          <w:lang w:eastAsia="en-AU"/>
        </w:rPr>
        <w:t xml:space="preserve"> scope of their</w:t>
      </w:r>
      <w:r w:rsidR="00CB5CF2" w:rsidRPr="00942352">
        <w:rPr>
          <w:lang w:eastAsia="en-AU"/>
        </w:rPr>
        <w:t xml:space="preserve"> </w:t>
      </w:r>
      <w:r w:rsidR="009B3897" w:rsidRPr="00942352">
        <w:rPr>
          <w:lang w:eastAsia="en-AU"/>
        </w:rPr>
        <w:t xml:space="preserve">Honours’ </w:t>
      </w:r>
      <w:r w:rsidR="00CB5CF2" w:rsidRPr="00942352">
        <w:rPr>
          <w:lang w:eastAsia="en-AU"/>
        </w:rPr>
        <w:t>discretion</w:t>
      </w:r>
      <w:r w:rsidR="00C14F0B" w:rsidRPr="00942352">
        <w:rPr>
          <w:lang w:eastAsia="en-AU"/>
        </w:rPr>
        <w:t>,</w:t>
      </w:r>
      <w:r w:rsidR="002E7123" w:rsidRPr="00942352">
        <w:rPr>
          <w:lang w:eastAsia="en-AU"/>
        </w:rPr>
        <w:t xml:space="preserve"> taking into account the legislative purpose</w:t>
      </w:r>
      <w:r w:rsidR="00CB5CF2" w:rsidRPr="00942352">
        <w:rPr>
          <w:lang w:eastAsia="en-AU"/>
        </w:rPr>
        <w:t xml:space="preserve">. </w:t>
      </w:r>
      <w:r w:rsidR="009362C8" w:rsidRPr="00942352">
        <w:rPr>
          <w:lang w:eastAsia="en-AU"/>
        </w:rPr>
        <w:t xml:space="preserve">It is clear that the factors in s 139F apply equally to orders made against entities under s 139D as to natural persons under s 139DA. I do not accept the hardship faced by a commercial entity who has benefitted from a bankrupt’s contribution is relevant to the exercise of the discretion. In the same way, I do not accept that an individual respondent’s interest as opposed to the </w:t>
      </w:r>
      <w:r w:rsidR="009A48CF" w:rsidRPr="00942352">
        <w:rPr>
          <w:lang w:eastAsia="en-AU"/>
        </w:rPr>
        <w:t xml:space="preserve">interest of the </w:t>
      </w:r>
      <w:r w:rsidR="009362C8" w:rsidRPr="00942352">
        <w:rPr>
          <w:lang w:eastAsia="en-AU"/>
        </w:rPr>
        <w:t xml:space="preserve">respondent’s creditors is relevant. </w:t>
      </w:r>
    </w:p>
    <w:p w14:paraId="2E29BCF0" w14:textId="60C39951" w:rsidR="00456A09" w:rsidRPr="00942352" w:rsidRDefault="00456A09" w:rsidP="00456A09">
      <w:pPr>
        <w:pStyle w:val="Heading4"/>
        <w:rPr>
          <w:lang w:eastAsia="en-AU"/>
        </w:rPr>
      </w:pPr>
      <w:bookmarkStart w:id="107" w:name="_Ref126916200"/>
      <w:r w:rsidRPr="00942352">
        <w:rPr>
          <w:lang w:eastAsia="en-AU"/>
        </w:rPr>
        <w:lastRenderedPageBreak/>
        <w:t>Should the discretion be exercised in this case?</w:t>
      </w:r>
      <w:bookmarkEnd w:id="107"/>
    </w:p>
    <w:p w14:paraId="15975376" w14:textId="73217952" w:rsidR="005B4AAE" w:rsidRPr="00942352" w:rsidRDefault="00155C95" w:rsidP="00155C95">
      <w:pPr>
        <w:pStyle w:val="ParaNumbering"/>
        <w:numPr>
          <w:ilvl w:val="0"/>
          <w:numId w:val="0"/>
        </w:numPr>
        <w:ind w:hanging="720"/>
        <w:rPr>
          <w:lang w:eastAsia="en-AU"/>
        </w:rPr>
      </w:pPr>
      <w:r w:rsidRPr="00942352">
        <w:rPr>
          <w:sz w:val="20"/>
          <w:lang w:eastAsia="en-AU"/>
        </w:rPr>
        <w:t>198</w:t>
      </w:r>
      <w:r w:rsidRPr="00942352">
        <w:rPr>
          <w:sz w:val="20"/>
          <w:lang w:eastAsia="en-AU"/>
        </w:rPr>
        <w:tab/>
      </w:r>
      <w:r w:rsidR="005B4AAE" w:rsidRPr="00942352">
        <w:rPr>
          <w:lang w:eastAsia="en-AU"/>
        </w:rPr>
        <w:t xml:space="preserve">For the following reasons, I am of the view that </w:t>
      </w:r>
      <w:r w:rsidR="001251D0" w:rsidRPr="00942352">
        <w:rPr>
          <w:lang w:eastAsia="en-AU"/>
        </w:rPr>
        <w:t>the Court’s</w:t>
      </w:r>
      <w:r w:rsidR="005B4AAE" w:rsidRPr="00942352">
        <w:rPr>
          <w:lang w:eastAsia="en-AU"/>
        </w:rPr>
        <w:t xml:space="preserve"> discretion should be exercised to make an order under s 139DA. </w:t>
      </w:r>
    </w:p>
    <w:p w14:paraId="4D1FCF80" w14:textId="68507EE8" w:rsidR="005B4AAE" w:rsidRPr="00942352" w:rsidRDefault="00155C95" w:rsidP="00155C95">
      <w:pPr>
        <w:pStyle w:val="ParaNumbering"/>
        <w:numPr>
          <w:ilvl w:val="0"/>
          <w:numId w:val="0"/>
        </w:numPr>
        <w:ind w:hanging="720"/>
        <w:rPr>
          <w:lang w:eastAsia="en-AU"/>
        </w:rPr>
      </w:pPr>
      <w:r w:rsidRPr="00942352">
        <w:rPr>
          <w:sz w:val="20"/>
          <w:lang w:eastAsia="en-AU"/>
        </w:rPr>
        <w:t>199</w:t>
      </w:r>
      <w:r w:rsidRPr="00942352">
        <w:rPr>
          <w:sz w:val="20"/>
          <w:lang w:eastAsia="en-AU"/>
        </w:rPr>
        <w:tab/>
      </w:r>
      <w:r w:rsidR="005B4AAE" w:rsidRPr="00942352">
        <w:rPr>
          <w:i/>
          <w:lang w:eastAsia="en-AU"/>
        </w:rPr>
        <w:t>First</w:t>
      </w:r>
      <w:r w:rsidR="005B4AAE" w:rsidRPr="00DB2326">
        <w:rPr>
          <w:lang w:eastAsia="en-AU"/>
        </w:rPr>
        <w:t xml:space="preserve">, </w:t>
      </w:r>
      <w:r w:rsidR="005B4AAE" w:rsidRPr="00942352">
        <w:rPr>
          <w:lang w:eastAsia="en-AU"/>
        </w:rPr>
        <w:t xml:space="preserve">the discretion should be exercised, given the evident purpose of </w:t>
      </w:r>
      <w:proofErr w:type="spellStart"/>
      <w:r w:rsidR="005B4AAE" w:rsidRPr="00942352">
        <w:rPr>
          <w:lang w:eastAsia="en-AU"/>
        </w:rPr>
        <w:t>Div</w:t>
      </w:r>
      <w:proofErr w:type="spellEnd"/>
      <w:r w:rsidR="005B4AAE" w:rsidRPr="00942352">
        <w:rPr>
          <w:lang w:eastAsia="en-AU"/>
        </w:rPr>
        <w:t xml:space="preserve"> 4A is to achieve exactly what has occurred in this case. The Division’s purpose is to provide another way, other than by operation of </w:t>
      </w:r>
      <w:proofErr w:type="spellStart"/>
      <w:r w:rsidR="005B4AAE" w:rsidRPr="00942352">
        <w:rPr>
          <w:lang w:eastAsia="en-AU"/>
        </w:rPr>
        <w:t>ss</w:t>
      </w:r>
      <w:proofErr w:type="spellEnd"/>
      <w:r w:rsidR="005B4AAE" w:rsidRPr="00942352">
        <w:rPr>
          <w:lang w:eastAsia="en-AU"/>
        </w:rPr>
        <w:t xml:space="preserve"> 120 and 121, to prevent bankrupts from being able to structure their affairs in such a way</w:t>
      </w:r>
      <w:r w:rsidR="001C5108" w:rsidRPr="00942352">
        <w:rPr>
          <w:lang w:eastAsia="en-AU"/>
        </w:rPr>
        <w:t xml:space="preserve"> so</w:t>
      </w:r>
      <w:r w:rsidR="005B4AAE" w:rsidRPr="00942352">
        <w:rPr>
          <w:lang w:eastAsia="en-AU"/>
        </w:rPr>
        <w:t xml:space="preserve"> as to materially contribute (directly or indirectly) to the acquisition of assets by third parties such that they are shielded from creditors but are still practi</w:t>
      </w:r>
      <w:r w:rsidR="00DB2326">
        <w:rPr>
          <w:lang w:eastAsia="en-AU"/>
        </w:rPr>
        <w:t>cally enjoyed by the bankrupt.</w:t>
      </w:r>
    </w:p>
    <w:p w14:paraId="33ECB0EE" w14:textId="46669435" w:rsidR="005B4AAE" w:rsidRPr="00942352" w:rsidRDefault="00155C95" w:rsidP="00155C95">
      <w:pPr>
        <w:pStyle w:val="ParaNumbering"/>
        <w:numPr>
          <w:ilvl w:val="0"/>
          <w:numId w:val="0"/>
        </w:numPr>
        <w:ind w:hanging="720"/>
        <w:rPr>
          <w:lang w:eastAsia="en-AU"/>
        </w:rPr>
      </w:pPr>
      <w:r w:rsidRPr="00942352">
        <w:rPr>
          <w:sz w:val="20"/>
          <w:lang w:eastAsia="en-AU"/>
        </w:rPr>
        <w:t>200</w:t>
      </w:r>
      <w:r w:rsidRPr="00942352">
        <w:rPr>
          <w:sz w:val="20"/>
          <w:lang w:eastAsia="en-AU"/>
        </w:rPr>
        <w:tab/>
      </w:r>
      <w:r w:rsidR="005B4AAE" w:rsidRPr="00942352">
        <w:rPr>
          <w:lang w:eastAsia="en-AU"/>
        </w:rPr>
        <w:t xml:space="preserve">To the extent that the respondent relies on the fact that the North Balgowlah </w:t>
      </w:r>
      <w:r w:rsidR="00AC3253" w:rsidRPr="00942352">
        <w:rPr>
          <w:lang w:eastAsia="en-AU"/>
        </w:rPr>
        <w:t>property</w:t>
      </w:r>
      <w:r w:rsidR="005B4AAE" w:rsidRPr="00942352">
        <w:rPr>
          <w:lang w:eastAsia="en-AU"/>
        </w:rPr>
        <w:t xml:space="preserve"> came to be registered in her sole name for reasons of succession planning rather than to defeat creditors, even if that were accepted, it would not take the arrangement outside of what </w:t>
      </w:r>
      <w:proofErr w:type="spellStart"/>
      <w:r w:rsidR="005B4AAE" w:rsidRPr="00942352">
        <w:rPr>
          <w:lang w:eastAsia="en-AU"/>
        </w:rPr>
        <w:t>Div</w:t>
      </w:r>
      <w:proofErr w:type="spellEnd"/>
      <w:r w:rsidR="00B808B8">
        <w:rPr>
          <w:lang w:eastAsia="en-AU"/>
        </w:rPr>
        <w:t xml:space="preserve"> </w:t>
      </w:r>
      <w:r w:rsidR="005B4AAE" w:rsidRPr="00942352">
        <w:rPr>
          <w:lang w:eastAsia="en-AU"/>
        </w:rPr>
        <w:t xml:space="preserve">4A </w:t>
      </w:r>
      <w:r w:rsidR="00DB2326">
        <w:rPr>
          <w:lang w:eastAsia="en-AU"/>
        </w:rPr>
        <w:t>was</w:t>
      </w:r>
      <w:r w:rsidR="005B4AAE" w:rsidRPr="00942352">
        <w:rPr>
          <w:lang w:eastAsia="en-AU"/>
        </w:rPr>
        <w:t xml:space="preserve"> designed to capture. </w:t>
      </w:r>
      <w:r w:rsidR="004C4750" w:rsidRPr="00942352">
        <w:rPr>
          <w:lang w:eastAsia="en-AU"/>
        </w:rPr>
        <w:t xml:space="preserve">As addressed above at </w:t>
      </w:r>
      <w:r w:rsidR="000A591B" w:rsidRPr="00942352">
        <w:rPr>
          <w:lang w:eastAsia="en-AU"/>
        </w:rPr>
        <w:t>[</w:t>
      </w:r>
      <w:r w:rsidR="004A2D60">
        <w:rPr>
          <w:lang w:eastAsia="en-AU"/>
        </w:rPr>
        <w:fldChar w:fldCharType="begin"/>
      </w:r>
      <w:r w:rsidR="004A2D60">
        <w:rPr>
          <w:lang w:eastAsia="en-AU"/>
        </w:rPr>
        <w:instrText xml:space="preserve"> REF _Ref129331566 \r \h </w:instrText>
      </w:r>
      <w:r w:rsidR="004A2D60">
        <w:rPr>
          <w:lang w:eastAsia="en-AU"/>
        </w:rPr>
      </w:r>
      <w:r w:rsidR="004A2D60">
        <w:rPr>
          <w:lang w:eastAsia="en-AU"/>
        </w:rPr>
        <w:fldChar w:fldCharType="separate"/>
      </w:r>
      <w:r w:rsidR="002B380F">
        <w:rPr>
          <w:lang w:eastAsia="en-AU"/>
        </w:rPr>
        <w:t>155</w:t>
      </w:r>
      <w:r w:rsidR="004A2D60">
        <w:rPr>
          <w:lang w:eastAsia="en-AU"/>
        </w:rPr>
        <w:fldChar w:fldCharType="end"/>
      </w:r>
      <w:r w:rsidR="000A591B" w:rsidRPr="00942352">
        <w:rPr>
          <w:lang w:eastAsia="en-AU"/>
        </w:rPr>
        <w:t xml:space="preserve">], </w:t>
      </w:r>
      <w:r w:rsidR="00614DD2" w:rsidRPr="00942352">
        <w:rPr>
          <w:lang w:eastAsia="en-AU"/>
        </w:rPr>
        <w:t>the Explanatory Memorandum 1987</w:t>
      </w:r>
      <w:r w:rsidR="005B4AAE" w:rsidRPr="00942352">
        <w:rPr>
          <w:lang w:eastAsia="en-AU"/>
        </w:rPr>
        <w:t xml:space="preserve"> specifically identified arrangements which could be unwound by this provision </w:t>
      </w:r>
      <w:r w:rsidR="00614DD2" w:rsidRPr="00942352">
        <w:rPr>
          <w:lang w:eastAsia="en-AU"/>
        </w:rPr>
        <w:t>including</w:t>
      </w:r>
      <w:r w:rsidR="005B4AAE" w:rsidRPr="00942352">
        <w:rPr>
          <w:lang w:eastAsia="en-AU"/>
        </w:rPr>
        <w:t xml:space="preserve"> those “established with a view to tax minimisation, or for family, matrimonial or succession reasons”. The intention of </w:t>
      </w:r>
      <w:proofErr w:type="spellStart"/>
      <w:r w:rsidR="005B4AAE" w:rsidRPr="00942352">
        <w:rPr>
          <w:lang w:eastAsia="en-AU"/>
        </w:rPr>
        <w:t>Div</w:t>
      </w:r>
      <w:proofErr w:type="spellEnd"/>
      <w:r w:rsidR="005B4AAE" w:rsidRPr="00942352">
        <w:rPr>
          <w:lang w:eastAsia="en-AU"/>
        </w:rPr>
        <w:t xml:space="preserve"> 4A </w:t>
      </w:r>
      <w:r w:rsidR="00DB2326">
        <w:rPr>
          <w:lang w:eastAsia="en-AU"/>
        </w:rPr>
        <w:t>being</w:t>
      </w:r>
      <w:r w:rsidR="005B4AAE" w:rsidRPr="00942352">
        <w:rPr>
          <w:lang w:eastAsia="en-AU"/>
        </w:rPr>
        <w:t xml:space="preserve"> to include the capture </w:t>
      </w:r>
      <w:r w:rsidR="003265D2" w:rsidRPr="00942352">
        <w:rPr>
          <w:lang w:eastAsia="en-AU"/>
        </w:rPr>
        <w:t xml:space="preserve">of </w:t>
      </w:r>
      <w:r w:rsidR="005B4AAE" w:rsidRPr="00942352">
        <w:rPr>
          <w:lang w:eastAsia="en-AU"/>
        </w:rPr>
        <w:t xml:space="preserve">property placed in the name of a non-bankrupt spouse, </w:t>
      </w:r>
      <w:r w:rsidR="008D670D" w:rsidRPr="00942352">
        <w:rPr>
          <w:lang w:eastAsia="en-AU"/>
        </w:rPr>
        <w:t xml:space="preserve">was reinforced by </w:t>
      </w:r>
      <w:r w:rsidR="005B4AAE" w:rsidRPr="00942352">
        <w:rPr>
          <w:lang w:eastAsia="en-AU"/>
        </w:rPr>
        <w:t xml:space="preserve">the Explanatory Memorandum 2005, which added the current section 139DA to the Act, and specifically identified one of the purposes of that section to be to ensure that </w:t>
      </w:r>
      <w:proofErr w:type="spellStart"/>
      <w:r w:rsidR="005B4AAE" w:rsidRPr="00942352">
        <w:rPr>
          <w:lang w:eastAsia="en-AU"/>
        </w:rPr>
        <w:t>Div</w:t>
      </w:r>
      <w:proofErr w:type="spellEnd"/>
      <w:r w:rsidR="005B4AAE" w:rsidRPr="00942352">
        <w:rPr>
          <w:lang w:eastAsia="en-AU"/>
        </w:rPr>
        <w:t xml:space="preserve"> 4A could be applied to property held by non-bankrupt spouses (there being concerns that </w:t>
      </w:r>
      <w:proofErr w:type="spellStart"/>
      <w:r w:rsidR="005B4AAE" w:rsidRPr="00942352">
        <w:rPr>
          <w:lang w:eastAsia="en-AU"/>
        </w:rPr>
        <w:t>Div</w:t>
      </w:r>
      <w:proofErr w:type="spellEnd"/>
      <w:r w:rsidR="005B4AAE" w:rsidRPr="00942352">
        <w:rPr>
          <w:lang w:eastAsia="en-AU"/>
        </w:rPr>
        <w:t xml:space="preserve"> 4A’s previous drafting was not well suited to that purpose)</w:t>
      </w:r>
      <w:r w:rsidR="00A91BFE" w:rsidRPr="00942352">
        <w:rPr>
          <w:lang w:eastAsia="en-AU"/>
        </w:rPr>
        <w:t xml:space="preserve"> (see above at [</w:t>
      </w:r>
      <w:r w:rsidR="00A91BFE" w:rsidRPr="00942352">
        <w:rPr>
          <w:lang w:eastAsia="en-AU"/>
        </w:rPr>
        <w:fldChar w:fldCharType="begin"/>
      </w:r>
      <w:r w:rsidR="00A91BFE" w:rsidRPr="00942352">
        <w:rPr>
          <w:lang w:eastAsia="en-AU"/>
        </w:rPr>
        <w:instrText xml:space="preserve"> REF _Ref127876368 \r \h </w:instrText>
      </w:r>
      <w:r w:rsidR="00942352" w:rsidRPr="00942352">
        <w:rPr>
          <w:lang w:eastAsia="en-AU"/>
        </w:rPr>
        <w:instrText xml:space="preserve"> \* MERGEFORMAT </w:instrText>
      </w:r>
      <w:r w:rsidR="00A91BFE" w:rsidRPr="00942352">
        <w:rPr>
          <w:lang w:eastAsia="en-AU"/>
        </w:rPr>
      </w:r>
      <w:r w:rsidR="00A91BFE" w:rsidRPr="00942352">
        <w:rPr>
          <w:lang w:eastAsia="en-AU"/>
        </w:rPr>
        <w:fldChar w:fldCharType="separate"/>
      </w:r>
      <w:r w:rsidR="002B380F">
        <w:rPr>
          <w:lang w:eastAsia="en-AU"/>
        </w:rPr>
        <w:t>156</w:t>
      </w:r>
      <w:r w:rsidR="00A91BFE" w:rsidRPr="00942352">
        <w:rPr>
          <w:lang w:eastAsia="en-AU"/>
        </w:rPr>
        <w:fldChar w:fldCharType="end"/>
      </w:r>
      <w:r w:rsidR="00A91BFE" w:rsidRPr="00942352">
        <w:rPr>
          <w:lang w:eastAsia="en-AU"/>
        </w:rPr>
        <w:t>])</w:t>
      </w:r>
      <w:r w:rsidR="005B4AAE" w:rsidRPr="00942352">
        <w:rPr>
          <w:lang w:eastAsia="en-AU"/>
        </w:rPr>
        <w:t>.</w:t>
      </w:r>
    </w:p>
    <w:p w14:paraId="1A4C71C1" w14:textId="06D8CE14" w:rsidR="005B4AAE" w:rsidRPr="00942352" w:rsidRDefault="00155C95" w:rsidP="00155C95">
      <w:pPr>
        <w:pStyle w:val="ParaNumbering"/>
        <w:numPr>
          <w:ilvl w:val="0"/>
          <w:numId w:val="0"/>
        </w:numPr>
        <w:ind w:hanging="720"/>
        <w:rPr>
          <w:lang w:eastAsia="en-AU"/>
        </w:rPr>
      </w:pPr>
      <w:r w:rsidRPr="00942352">
        <w:rPr>
          <w:sz w:val="20"/>
          <w:lang w:eastAsia="en-AU"/>
        </w:rPr>
        <w:t>201</w:t>
      </w:r>
      <w:r w:rsidRPr="00942352">
        <w:rPr>
          <w:sz w:val="20"/>
          <w:lang w:eastAsia="en-AU"/>
        </w:rPr>
        <w:tab/>
      </w:r>
      <w:r w:rsidR="005B4AAE" w:rsidRPr="00942352">
        <w:rPr>
          <w:lang w:eastAsia="en-AU"/>
        </w:rPr>
        <w:t xml:space="preserve">The purpose of </w:t>
      </w:r>
      <w:proofErr w:type="spellStart"/>
      <w:r w:rsidR="005B4AAE" w:rsidRPr="00942352">
        <w:rPr>
          <w:lang w:eastAsia="en-AU"/>
        </w:rPr>
        <w:t>Div</w:t>
      </w:r>
      <w:proofErr w:type="spellEnd"/>
      <w:r w:rsidR="005B4AAE" w:rsidRPr="00942352">
        <w:rPr>
          <w:lang w:eastAsia="en-AU"/>
        </w:rPr>
        <w:t xml:space="preserve"> 4A is to target precisely what has occurred in this case: The bankrupt, in the lead-up to his bankruptcy, structured his affairs (for whatever subjective reason) in such a way as to fund the accumulation of an asset in the name of the respondent and where he has used or derived a benefit (direct or indirect) from the property at a time or times during the examinable period. </w:t>
      </w:r>
    </w:p>
    <w:p w14:paraId="4BBEC8E9" w14:textId="55B11E00" w:rsidR="005B4AAE" w:rsidRPr="00942352" w:rsidRDefault="00155C95" w:rsidP="00155C95">
      <w:pPr>
        <w:pStyle w:val="ParaNumbering"/>
        <w:numPr>
          <w:ilvl w:val="0"/>
          <w:numId w:val="0"/>
        </w:numPr>
        <w:ind w:hanging="720"/>
        <w:rPr>
          <w:lang w:eastAsia="en-AU"/>
        </w:rPr>
      </w:pPr>
      <w:r w:rsidRPr="00942352">
        <w:rPr>
          <w:sz w:val="20"/>
          <w:lang w:eastAsia="en-AU"/>
        </w:rPr>
        <w:t>202</w:t>
      </w:r>
      <w:r w:rsidRPr="00942352">
        <w:rPr>
          <w:sz w:val="20"/>
          <w:lang w:eastAsia="en-AU"/>
        </w:rPr>
        <w:tab/>
      </w:r>
      <w:r w:rsidR="005B4AAE" w:rsidRPr="00942352">
        <w:rPr>
          <w:i/>
          <w:lang w:eastAsia="en-AU"/>
        </w:rPr>
        <w:t>Secondly</w:t>
      </w:r>
      <w:r w:rsidR="005B4AAE" w:rsidRPr="00DB2326">
        <w:rPr>
          <w:lang w:eastAsia="en-AU"/>
        </w:rPr>
        <w:t>,</w:t>
      </w:r>
      <w:r w:rsidR="005B4AAE" w:rsidRPr="00942352">
        <w:rPr>
          <w:i/>
          <w:lang w:eastAsia="en-AU"/>
        </w:rPr>
        <w:t xml:space="preserve"> </w:t>
      </w:r>
      <w:r w:rsidR="005B4AAE" w:rsidRPr="00942352">
        <w:rPr>
          <w:lang w:eastAsia="en-AU"/>
        </w:rPr>
        <w:t xml:space="preserve">the respondent has led no evidence to satisfy me that the circumstances under s 139F arise in this case. The respondent made no submission, nor called any evidence, that either of those factors was present in this case. There is no suggestion that any other person has any estate in the North Balgowlah </w:t>
      </w:r>
      <w:r w:rsidR="00AC3253" w:rsidRPr="00942352">
        <w:rPr>
          <w:lang w:eastAsia="en-AU"/>
        </w:rPr>
        <w:t>property</w:t>
      </w:r>
      <w:r w:rsidR="005B4AAE" w:rsidRPr="00942352">
        <w:rPr>
          <w:lang w:eastAsia="en-AU"/>
        </w:rPr>
        <w:t xml:space="preserve">, there was no evidence of the respondent’s net worth and there is similarly no suggestion that granting the trustee an interest in the North Balgowlah </w:t>
      </w:r>
      <w:r w:rsidR="00AC3253" w:rsidRPr="00942352">
        <w:rPr>
          <w:lang w:eastAsia="en-AU"/>
        </w:rPr>
        <w:t>property</w:t>
      </w:r>
      <w:r w:rsidR="005B4AAE" w:rsidRPr="00942352">
        <w:rPr>
          <w:lang w:eastAsia="en-AU"/>
        </w:rPr>
        <w:t xml:space="preserve"> would cause any hardship to the respondent’s creditors. </w:t>
      </w:r>
    </w:p>
    <w:p w14:paraId="53079370" w14:textId="3312075C" w:rsidR="005238DB" w:rsidRPr="00942352" w:rsidRDefault="00155C95" w:rsidP="00155C95">
      <w:pPr>
        <w:pStyle w:val="ParaNumbering"/>
        <w:numPr>
          <w:ilvl w:val="0"/>
          <w:numId w:val="0"/>
        </w:numPr>
        <w:ind w:hanging="720"/>
        <w:rPr>
          <w:lang w:eastAsia="en-AU"/>
        </w:rPr>
      </w:pPr>
      <w:r w:rsidRPr="00942352">
        <w:rPr>
          <w:sz w:val="20"/>
          <w:lang w:eastAsia="en-AU"/>
        </w:rPr>
        <w:lastRenderedPageBreak/>
        <w:t>203</w:t>
      </w:r>
      <w:r w:rsidRPr="00942352">
        <w:rPr>
          <w:sz w:val="20"/>
          <w:lang w:eastAsia="en-AU"/>
        </w:rPr>
        <w:tab/>
      </w:r>
      <w:r w:rsidR="005B4AAE" w:rsidRPr="00942352">
        <w:rPr>
          <w:i/>
          <w:lang w:eastAsia="en-AU"/>
        </w:rPr>
        <w:t>Thirdly</w:t>
      </w:r>
      <w:r w:rsidR="005B4AAE" w:rsidRPr="00DB2326">
        <w:rPr>
          <w:lang w:eastAsia="en-AU"/>
        </w:rPr>
        <w:t>,</w:t>
      </w:r>
      <w:r w:rsidR="005B4AAE" w:rsidRPr="00942352">
        <w:rPr>
          <w:i/>
          <w:lang w:eastAsia="en-AU"/>
        </w:rPr>
        <w:t xml:space="preserve"> </w:t>
      </w:r>
      <w:r w:rsidR="005B4AAE" w:rsidRPr="00942352">
        <w:rPr>
          <w:lang w:eastAsia="en-AU"/>
        </w:rPr>
        <w:t xml:space="preserve">I do not accept, for the reasons identified above that the respondent’s interest and/or </w:t>
      </w:r>
      <w:r w:rsidR="005238DB" w:rsidRPr="00942352">
        <w:rPr>
          <w:lang w:eastAsia="en-AU"/>
        </w:rPr>
        <w:t xml:space="preserve">any purported </w:t>
      </w:r>
      <w:r w:rsidR="005B4AAE" w:rsidRPr="00942352">
        <w:rPr>
          <w:lang w:eastAsia="en-AU"/>
        </w:rPr>
        <w:t xml:space="preserve">hardship </w:t>
      </w:r>
      <w:r w:rsidR="005238DB" w:rsidRPr="00942352">
        <w:rPr>
          <w:lang w:eastAsia="en-AU"/>
        </w:rPr>
        <w:t>are relevant factors to be taken into account in the exercise of the Court’s discretion. In any event</w:t>
      </w:r>
      <w:r w:rsidR="005B4AAE" w:rsidRPr="00942352">
        <w:rPr>
          <w:lang w:eastAsia="en-AU"/>
        </w:rPr>
        <w:t xml:space="preserve">, the respondent led no evidence of any hardship she would suffer should any order under s 139DA be made. </w:t>
      </w:r>
      <w:r w:rsidR="005238DB" w:rsidRPr="00942352">
        <w:rPr>
          <w:lang w:eastAsia="en-AU"/>
        </w:rPr>
        <w:t>There was no evidence of the respondent’s financial circumstances, the extent to which there was any mortgage outstanding on</w:t>
      </w:r>
      <w:r w:rsidR="00DB2326">
        <w:rPr>
          <w:lang w:eastAsia="en-AU"/>
        </w:rPr>
        <w:t xml:space="preserve"> the</w:t>
      </w:r>
      <w:r w:rsidR="005238DB" w:rsidRPr="00942352">
        <w:rPr>
          <w:lang w:eastAsia="en-AU"/>
        </w:rPr>
        <w:t xml:space="preserve"> North Balgowlah </w:t>
      </w:r>
      <w:r w:rsidR="00DB2326">
        <w:rPr>
          <w:lang w:eastAsia="en-AU"/>
        </w:rPr>
        <w:t xml:space="preserve">property </w:t>
      </w:r>
      <w:r w:rsidR="005238DB" w:rsidRPr="00942352">
        <w:rPr>
          <w:lang w:eastAsia="en-AU"/>
        </w:rPr>
        <w:t xml:space="preserve">nor what effect, if any, any of the numerous </w:t>
      </w:r>
      <w:r w:rsidR="004072A0" w:rsidRPr="00942352">
        <w:rPr>
          <w:lang w:eastAsia="en-AU"/>
        </w:rPr>
        <w:t xml:space="preserve">possible </w:t>
      </w:r>
      <w:r w:rsidR="005238DB" w:rsidRPr="00942352">
        <w:rPr>
          <w:lang w:eastAsia="en-AU"/>
        </w:rPr>
        <w:t xml:space="preserve">orders that could be made by the </w:t>
      </w:r>
      <w:r w:rsidR="004A1AB7" w:rsidRPr="00942352">
        <w:rPr>
          <w:lang w:eastAsia="en-AU"/>
        </w:rPr>
        <w:t>C</w:t>
      </w:r>
      <w:r w:rsidR="005238DB" w:rsidRPr="00942352">
        <w:rPr>
          <w:lang w:eastAsia="en-AU"/>
        </w:rPr>
        <w:t xml:space="preserve">ourt would have on her circumstances. </w:t>
      </w:r>
    </w:p>
    <w:p w14:paraId="5A3E0D28" w14:textId="4073BC77" w:rsidR="005B4AAE" w:rsidRPr="00942352" w:rsidRDefault="00155C95" w:rsidP="00155C95">
      <w:pPr>
        <w:pStyle w:val="ParaNumbering"/>
        <w:numPr>
          <w:ilvl w:val="0"/>
          <w:numId w:val="0"/>
        </w:numPr>
        <w:ind w:hanging="720"/>
        <w:rPr>
          <w:lang w:eastAsia="en-AU"/>
        </w:rPr>
      </w:pPr>
      <w:r w:rsidRPr="00942352">
        <w:rPr>
          <w:sz w:val="20"/>
          <w:lang w:eastAsia="en-AU"/>
        </w:rPr>
        <w:t>204</w:t>
      </w:r>
      <w:r w:rsidRPr="00942352">
        <w:rPr>
          <w:sz w:val="20"/>
          <w:lang w:eastAsia="en-AU"/>
        </w:rPr>
        <w:tab/>
      </w:r>
      <w:r w:rsidR="005B4AAE" w:rsidRPr="00942352">
        <w:rPr>
          <w:i/>
          <w:lang w:eastAsia="en-AU"/>
        </w:rPr>
        <w:t>Fourthly</w:t>
      </w:r>
      <w:r w:rsidR="005B4AAE" w:rsidRPr="00DB2326">
        <w:rPr>
          <w:lang w:eastAsia="en-AU"/>
        </w:rPr>
        <w:t>,</w:t>
      </w:r>
      <w:r w:rsidR="005B4AAE" w:rsidRPr="00942352">
        <w:rPr>
          <w:i/>
          <w:lang w:eastAsia="en-AU"/>
        </w:rPr>
        <w:t xml:space="preserve"> </w:t>
      </w:r>
      <w:r w:rsidR="005B4AAE" w:rsidRPr="00942352">
        <w:rPr>
          <w:lang w:eastAsia="en-AU"/>
        </w:rPr>
        <w:t xml:space="preserve">to the extent that the respondent made submissions regarding the “utility” in making any vesting order with respect to the portion of the North Balgowlah property referrable to that contribution, given the mortgage, the respondent led no evidence as to the contributions of the respondent or the bankrupt to the mortgage since 2014 nor the status of the current mortgage. </w:t>
      </w:r>
    </w:p>
    <w:p w14:paraId="198B9EB6" w14:textId="2B74F1FA" w:rsidR="005B4AAE" w:rsidRPr="00942352" w:rsidRDefault="00155C95" w:rsidP="00155C95">
      <w:pPr>
        <w:pStyle w:val="ParaNumbering"/>
        <w:numPr>
          <w:ilvl w:val="0"/>
          <w:numId w:val="0"/>
        </w:numPr>
        <w:ind w:hanging="720"/>
        <w:rPr>
          <w:lang w:eastAsia="en-AU"/>
        </w:rPr>
      </w:pPr>
      <w:r w:rsidRPr="00942352">
        <w:rPr>
          <w:sz w:val="20"/>
          <w:lang w:eastAsia="en-AU"/>
        </w:rPr>
        <w:t>205</w:t>
      </w:r>
      <w:r w:rsidRPr="00942352">
        <w:rPr>
          <w:sz w:val="20"/>
          <w:lang w:eastAsia="en-AU"/>
        </w:rPr>
        <w:tab/>
      </w:r>
      <w:r w:rsidR="005B4AAE" w:rsidRPr="00942352">
        <w:rPr>
          <w:i/>
          <w:lang w:eastAsia="en-AU"/>
        </w:rPr>
        <w:t>Fifthly</w:t>
      </w:r>
      <w:r w:rsidR="005B4AAE" w:rsidRPr="00DB2326">
        <w:rPr>
          <w:lang w:eastAsia="en-AU"/>
        </w:rPr>
        <w:t>,</w:t>
      </w:r>
      <w:r w:rsidR="005B4AAE" w:rsidRPr="00942352">
        <w:rPr>
          <w:i/>
          <w:lang w:eastAsia="en-AU"/>
        </w:rPr>
        <w:t xml:space="preserve"> </w:t>
      </w:r>
      <w:r w:rsidR="005B4AAE" w:rsidRPr="00942352">
        <w:rPr>
          <w:lang w:eastAsia="en-AU"/>
        </w:rPr>
        <w:t xml:space="preserve">I would exercise my discretion to make the order regardless of any finding regarding whether the contribution made by the </w:t>
      </w:r>
      <w:r w:rsidR="00D37B44" w:rsidRPr="00942352">
        <w:rPr>
          <w:lang w:eastAsia="en-AU"/>
        </w:rPr>
        <w:t>bankrupt</w:t>
      </w:r>
      <w:r w:rsidR="005B4AAE" w:rsidRPr="00942352">
        <w:rPr>
          <w:lang w:eastAsia="en-AU"/>
        </w:rPr>
        <w:t xml:space="preserve"> to the purchase of the North Balgowlah property was an attempt to shield the bankrupt’s assets from creditors or not. However, given my finding that it was such an attempt this is an additional factor which may be taken into account. </w:t>
      </w:r>
    </w:p>
    <w:p w14:paraId="1C54642B" w14:textId="4C3B0BAD" w:rsidR="005B4AAE" w:rsidRPr="00942352" w:rsidRDefault="00155C95" w:rsidP="00155C95">
      <w:pPr>
        <w:pStyle w:val="ParaNumbering"/>
        <w:numPr>
          <w:ilvl w:val="0"/>
          <w:numId w:val="0"/>
        </w:numPr>
        <w:ind w:hanging="720"/>
        <w:rPr>
          <w:lang w:eastAsia="en-AU"/>
        </w:rPr>
      </w:pPr>
      <w:bookmarkStart w:id="108" w:name="_Ref127783366"/>
      <w:r w:rsidRPr="00942352">
        <w:rPr>
          <w:sz w:val="20"/>
          <w:lang w:eastAsia="en-AU"/>
        </w:rPr>
        <w:t>206</w:t>
      </w:r>
      <w:r w:rsidRPr="00942352">
        <w:rPr>
          <w:sz w:val="20"/>
          <w:lang w:eastAsia="en-AU"/>
        </w:rPr>
        <w:tab/>
      </w:r>
      <w:r w:rsidR="005B4AAE" w:rsidRPr="00942352">
        <w:rPr>
          <w:i/>
          <w:lang w:eastAsia="en-AU"/>
        </w:rPr>
        <w:t>Sixthly</w:t>
      </w:r>
      <w:r w:rsidR="005B4AAE" w:rsidRPr="00DB2326">
        <w:rPr>
          <w:lang w:eastAsia="en-AU"/>
        </w:rPr>
        <w:t>,</w:t>
      </w:r>
      <w:r w:rsidR="005B4AAE" w:rsidRPr="00942352">
        <w:rPr>
          <w:i/>
          <w:lang w:eastAsia="en-AU"/>
        </w:rPr>
        <w:t xml:space="preserve"> </w:t>
      </w:r>
      <w:r w:rsidR="005B4AAE" w:rsidRPr="00942352">
        <w:rPr>
          <w:lang w:eastAsia="en-AU"/>
        </w:rPr>
        <w:t xml:space="preserve">to the extent that the respondent contends that the </w:t>
      </w:r>
      <w:r w:rsidR="0072486F" w:rsidRPr="00942352">
        <w:rPr>
          <w:lang w:eastAsia="en-AU"/>
        </w:rPr>
        <w:t>trustee</w:t>
      </w:r>
      <w:r w:rsidR="005B4AAE" w:rsidRPr="00942352">
        <w:rPr>
          <w:lang w:eastAsia="en-AU"/>
        </w:rPr>
        <w:t xml:space="preserve"> is seeking a better outcome for unsecured creditors than would have been the case if the North Balgowlah property had not been purchased at all</w:t>
      </w:r>
      <w:r w:rsidR="002D7E17" w:rsidRPr="00942352">
        <w:rPr>
          <w:lang w:eastAsia="en-AU"/>
        </w:rPr>
        <w:t>,</w:t>
      </w:r>
      <w:r w:rsidR="005B4AAE" w:rsidRPr="00942352">
        <w:rPr>
          <w:lang w:eastAsia="en-AU"/>
        </w:rPr>
        <w:t xml:space="preserve"> </w:t>
      </w:r>
      <w:r w:rsidR="002D7E17" w:rsidRPr="00942352">
        <w:rPr>
          <w:lang w:eastAsia="en-AU"/>
        </w:rPr>
        <w:t xml:space="preserve">given the increase in the value of the property, </w:t>
      </w:r>
      <w:r w:rsidR="005238DB" w:rsidRPr="00942352">
        <w:rPr>
          <w:lang w:eastAsia="en-AU"/>
        </w:rPr>
        <w:t xml:space="preserve">the respondent led no expert or other evidence to make good this bald submission. </w:t>
      </w:r>
      <w:r w:rsidR="005B4AAE" w:rsidRPr="00942352">
        <w:rPr>
          <w:lang w:eastAsia="en-AU"/>
        </w:rPr>
        <w:t>In any event, creditors do, through interest or recognition of the capital appreciation, obtain the benefit. Further, there was no valuation report or other evidence as to what the increase has been.</w:t>
      </w:r>
      <w:bookmarkEnd w:id="108"/>
      <w:r w:rsidR="005B4AAE" w:rsidRPr="00942352">
        <w:rPr>
          <w:lang w:eastAsia="en-AU"/>
        </w:rPr>
        <w:t xml:space="preserve">  </w:t>
      </w:r>
    </w:p>
    <w:p w14:paraId="069DB631" w14:textId="735E2F8F" w:rsidR="003A7BF9" w:rsidRPr="00942352" w:rsidRDefault="003A7BF9" w:rsidP="003A7BF9">
      <w:pPr>
        <w:pStyle w:val="Heading4"/>
        <w:rPr>
          <w:lang w:eastAsia="en-AU"/>
        </w:rPr>
      </w:pPr>
      <w:bookmarkStart w:id="109" w:name="_Ref126916201"/>
      <w:r w:rsidRPr="00942352">
        <w:rPr>
          <w:lang w:eastAsia="en-AU"/>
        </w:rPr>
        <w:t>Appropriate orders</w:t>
      </w:r>
      <w:bookmarkEnd w:id="109"/>
      <w:r w:rsidRPr="00942352">
        <w:rPr>
          <w:lang w:eastAsia="en-AU"/>
        </w:rPr>
        <w:t xml:space="preserve"> </w:t>
      </w:r>
    </w:p>
    <w:p w14:paraId="63D1D02C" w14:textId="5534234C" w:rsidR="003A7BF9" w:rsidRPr="00942352" w:rsidRDefault="00155C95" w:rsidP="00155C95">
      <w:pPr>
        <w:pStyle w:val="ParaNumbering"/>
        <w:numPr>
          <w:ilvl w:val="0"/>
          <w:numId w:val="0"/>
        </w:numPr>
        <w:ind w:hanging="720"/>
        <w:rPr>
          <w:lang w:eastAsia="en-AU"/>
        </w:rPr>
      </w:pPr>
      <w:r w:rsidRPr="00942352">
        <w:rPr>
          <w:sz w:val="20"/>
          <w:lang w:eastAsia="en-AU"/>
        </w:rPr>
        <w:t>207</w:t>
      </w:r>
      <w:r w:rsidRPr="00942352">
        <w:rPr>
          <w:sz w:val="20"/>
          <w:lang w:eastAsia="en-AU"/>
        </w:rPr>
        <w:tab/>
      </w:r>
      <w:r w:rsidR="003A7BF9" w:rsidRPr="00942352">
        <w:rPr>
          <w:lang w:eastAsia="en-AU"/>
        </w:rPr>
        <w:t xml:space="preserve">The </w:t>
      </w:r>
      <w:r w:rsidR="0072486F" w:rsidRPr="00942352">
        <w:rPr>
          <w:lang w:eastAsia="en-AU"/>
        </w:rPr>
        <w:t>trustee</w:t>
      </w:r>
      <w:r w:rsidR="003A7BF9" w:rsidRPr="00942352">
        <w:rPr>
          <w:lang w:eastAsia="en-AU"/>
        </w:rPr>
        <w:t xml:space="preserve"> claimed, while an argument could be made for vesting the entirety (or at least the majority) of the </w:t>
      </w:r>
      <w:r w:rsidR="00CE490F" w:rsidRPr="00942352">
        <w:rPr>
          <w:lang w:eastAsia="en-AU"/>
        </w:rPr>
        <w:t>bankrupt’s</w:t>
      </w:r>
      <w:r w:rsidR="003A7BF9" w:rsidRPr="00942352">
        <w:rPr>
          <w:lang w:eastAsia="en-AU"/>
        </w:rPr>
        <w:t xml:space="preserve"> interest in the North Balgowlah property in the trustee, it sought an order vesting 50% of the </w:t>
      </w:r>
      <w:r w:rsidR="004C3148" w:rsidRPr="00942352">
        <w:rPr>
          <w:lang w:eastAsia="en-AU"/>
        </w:rPr>
        <w:t>bankrupt’s</w:t>
      </w:r>
      <w:r w:rsidR="003A7BF9" w:rsidRPr="00942352">
        <w:rPr>
          <w:lang w:eastAsia="en-AU"/>
        </w:rPr>
        <w:t xml:space="preserve"> interest pursuant to s 139DA. Given that the respondent’s estate is subject to the property’s mortgage, the practical effect of that order would give the trustee 50% of the “equity” in the property, with </w:t>
      </w:r>
      <w:r w:rsidR="00284231" w:rsidRPr="00942352">
        <w:rPr>
          <w:lang w:eastAsia="en-AU"/>
        </w:rPr>
        <w:t>the</w:t>
      </w:r>
      <w:r w:rsidR="003A7BF9" w:rsidRPr="00942352">
        <w:rPr>
          <w:lang w:eastAsia="en-AU"/>
        </w:rPr>
        <w:t xml:space="preserve"> </w:t>
      </w:r>
      <w:r w:rsidR="00284231" w:rsidRPr="00942352">
        <w:rPr>
          <w:lang w:eastAsia="en-AU"/>
        </w:rPr>
        <w:t xml:space="preserve">mortgage to </w:t>
      </w:r>
      <w:r w:rsidR="00155346" w:rsidRPr="00942352">
        <w:rPr>
          <w:lang w:eastAsia="en-AU"/>
        </w:rPr>
        <w:t xml:space="preserve">the </w:t>
      </w:r>
      <w:r w:rsidR="00284231" w:rsidRPr="00942352">
        <w:rPr>
          <w:lang w:eastAsia="en-AU"/>
        </w:rPr>
        <w:t>Commonwealth Bank</w:t>
      </w:r>
      <w:r w:rsidR="003A7BF9" w:rsidRPr="00942352">
        <w:rPr>
          <w:lang w:eastAsia="en-AU"/>
        </w:rPr>
        <w:t xml:space="preserve"> to be repaid (and so the respondent freed o</w:t>
      </w:r>
      <w:r w:rsidR="00C915CD" w:rsidRPr="00942352">
        <w:rPr>
          <w:lang w:eastAsia="en-AU"/>
        </w:rPr>
        <w:t>f</w:t>
      </w:r>
      <w:r w:rsidR="003A7BF9" w:rsidRPr="00942352">
        <w:rPr>
          <w:lang w:eastAsia="en-AU"/>
        </w:rPr>
        <w:t xml:space="preserve"> the mortgage debt) as first priority should the property need to be sold.</w:t>
      </w:r>
    </w:p>
    <w:p w14:paraId="37517645" w14:textId="7B53B42D" w:rsidR="003A7BF9" w:rsidRPr="00942352" w:rsidRDefault="00155C95" w:rsidP="00155C95">
      <w:pPr>
        <w:pStyle w:val="ParaNumbering"/>
        <w:numPr>
          <w:ilvl w:val="0"/>
          <w:numId w:val="0"/>
        </w:numPr>
        <w:ind w:hanging="720"/>
        <w:rPr>
          <w:lang w:eastAsia="en-AU"/>
        </w:rPr>
      </w:pPr>
      <w:r w:rsidRPr="00942352">
        <w:rPr>
          <w:sz w:val="20"/>
          <w:lang w:eastAsia="en-AU"/>
        </w:rPr>
        <w:t>208</w:t>
      </w:r>
      <w:r w:rsidRPr="00942352">
        <w:rPr>
          <w:sz w:val="20"/>
          <w:lang w:eastAsia="en-AU"/>
        </w:rPr>
        <w:tab/>
      </w:r>
      <w:r w:rsidR="003A7BF9" w:rsidRPr="00942352">
        <w:rPr>
          <w:lang w:eastAsia="en-AU"/>
        </w:rPr>
        <w:t xml:space="preserve">I do not accept the </w:t>
      </w:r>
      <w:r w:rsidR="0072486F" w:rsidRPr="00942352">
        <w:rPr>
          <w:lang w:eastAsia="en-AU"/>
        </w:rPr>
        <w:t>trustee</w:t>
      </w:r>
      <w:r w:rsidR="003A7BF9" w:rsidRPr="00942352">
        <w:rPr>
          <w:lang w:eastAsia="en-AU"/>
        </w:rPr>
        <w:t xml:space="preserve">’s claim that he would be entitled to vesting </w:t>
      </w:r>
      <w:r w:rsidR="003B424E" w:rsidRPr="00942352">
        <w:rPr>
          <w:lang w:eastAsia="en-AU"/>
        </w:rPr>
        <w:t xml:space="preserve">of </w:t>
      </w:r>
      <w:r w:rsidR="003A7BF9" w:rsidRPr="00942352">
        <w:rPr>
          <w:lang w:eastAsia="en-AU"/>
        </w:rPr>
        <w:t xml:space="preserve">the entirety nor 50% of the respondent’s interest. </w:t>
      </w:r>
      <w:r w:rsidR="00757995" w:rsidRPr="00942352">
        <w:rPr>
          <w:lang w:eastAsia="en-AU"/>
        </w:rPr>
        <w:t>The trustee co</w:t>
      </w:r>
      <w:r w:rsidR="00155346" w:rsidRPr="00942352">
        <w:rPr>
          <w:lang w:eastAsia="en-AU"/>
        </w:rPr>
        <w:t>ntended that this 50% interest w</w:t>
      </w:r>
      <w:r w:rsidR="00757995" w:rsidRPr="00942352">
        <w:rPr>
          <w:lang w:eastAsia="en-AU"/>
        </w:rPr>
        <w:t xml:space="preserve">as justified by reason </w:t>
      </w:r>
      <w:r w:rsidR="00C157E2" w:rsidRPr="00942352">
        <w:rPr>
          <w:lang w:eastAsia="en-AU"/>
        </w:rPr>
        <w:lastRenderedPageBreak/>
        <w:t>of the bankrupt’s contribution to the cash component of the North Balgowlah property’s purchase price and associated expenses</w:t>
      </w:r>
      <w:r w:rsidR="004A0900" w:rsidRPr="00942352">
        <w:rPr>
          <w:lang w:eastAsia="en-AU"/>
        </w:rPr>
        <w:t>,</w:t>
      </w:r>
      <w:r w:rsidR="00C157E2" w:rsidRPr="00942352">
        <w:rPr>
          <w:lang w:eastAsia="en-AU"/>
        </w:rPr>
        <w:t xml:space="preserve"> his contribution as a borrower on the loan used to fund the balance of the purchase price</w:t>
      </w:r>
      <w:r w:rsidR="00EE6E49" w:rsidRPr="00942352">
        <w:rPr>
          <w:lang w:eastAsia="en-AU"/>
        </w:rPr>
        <w:t xml:space="preserve"> and</w:t>
      </w:r>
      <w:r w:rsidR="00155346" w:rsidRPr="00942352">
        <w:rPr>
          <w:lang w:eastAsia="en-AU"/>
        </w:rPr>
        <w:t xml:space="preserve"> the benefit the bankrupt de</w:t>
      </w:r>
      <w:r w:rsidR="00C157E2" w:rsidRPr="00942352">
        <w:rPr>
          <w:lang w:eastAsia="en-AU"/>
        </w:rPr>
        <w:t>rived from his use during the examinable period of it</w:t>
      </w:r>
      <w:r w:rsidR="00155346" w:rsidRPr="00942352">
        <w:rPr>
          <w:lang w:eastAsia="en-AU"/>
        </w:rPr>
        <w:t>:</w:t>
      </w:r>
      <w:r w:rsidR="00C157E2" w:rsidRPr="00942352">
        <w:rPr>
          <w:lang w:eastAsia="en-AU"/>
        </w:rPr>
        <w:t xml:space="preserve"> It becoming and remaining his home. </w:t>
      </w:r>
    </w:p>
    <w:p w14:paraId="0906EACD" w14:textId="42420F59" w:rsidR="00C157E2" w:rsidRPr="00942352" w:rsidRDefault="00155C95" w:rsidP="00155C95">
      <w:pPr>
        <w:pStyle w:val="ParaNumbering"/>
        <w:numPr>
          <w:ilvl w:val="0"/>
          <w:numId w:val="0"/>
        </w:numPr>
        <w:ind w:hanging="720"/>
        <w:rPr>
          <w:lang w:eastAsia="en-AU"/>
        </w:rPr>
      </w:pPr>
      <w:r w:rsidRPr="00942352">
        <w:rPr>
          <w:sz w:val="20"/>
          <w:lang w:eastAsia="en-AU"/>
        </w:rPr>
        <w:t>209</w:t>
      </w:r>
      <w:r w:rsidRPr="00942352">
        <w:rPr>
          <w:sz w:val="20"/>
          <w:lang w:eastAsia="en-AU"/>
        </w:rPr>
        <w:tab/>
      </w:r>
      <w:r w:rsidR="00C157E2" w:rsidRPr="00942352">
        <w:rPr>
          <w:lang w:eastAsia="en-AU"/>
        </w:rPr>
        <w:t xml:space="preserve">Turning firstly to the bankrupt’s contribution of the North Balgowlah property’s purchase price, </w:t>
      </w:r>
      <w:bookmarkStart w:id="110" w:name="_Ref127783526"/>
      <w:r w:rsidR="002C0317" w:rsidRPr="00942352">
        <w:rPr>
          <w:lang w:eastAsia="en-AU"/>
        </w:rPr>
        <w:t xml:space="preserve">I note, by reason of my findings at </w:t>
      </w:r>
      <w:r w:rsidR="00960809" w:rsidRPr="00942352">
        <w:rPr>
          <w:lang w:eastAsia="en-AU"/>
        </w:rPr>
        <w:t>[</w:t>
      </w:r>
      <w:r w:rsidR="00960809" w:rsidRPr="00942352">
        <w:rPr>
          <w:lang w:eastAsia="en-AU"/>
        </w:rPr>
        <w:fldChar w:fldCharType="begin"/>
      </w:r>
      <w:r w:rsidR="00960809" w:rsidRPr="00942352">
        <w:rPr>
          <w:lang w:eastAsia="en-AU"/>
        </w:rPr>
        <w:instrText xml:space="preserve"> REF _Ref127783358 \r \h  \* MERGEFORMAT </w:instrText>
      </w:r>
      <w:r w:rsidR="00960809" w:rsidRPr="00942352">
        <w:rPr>
          <w:lang w:eastAsia="en-AU"/>
        </w:rPr>
      </w:r>
      <w:r w:rsidR="00960809" w:rsidRPr="00942352">
        <w:rPr>
          <w:lang w:eastAsia="en-AU"/>
        </w:rPr>
        <w:fldChar w:fldCharType="separate"/>
      </w:r>
      <w:r w:rsidR="002B380F">
        <w:rPr>
          <w:lang w:eastAsia="en-AU"/>
        </w:rPr>
        <w:t>173</w:t>
      </w:r>
      <w:r w:rsidR="00960809" w:rsidRPr="00942352">
        <w:rPr>
          <w:lang w:eastAsia="en-AU"/>
        </w:rPr>
        <w:fldChar w:fldCharType="end"/>
      </w:r>
      <w:r w:rsidR="00960809" w:rsidRPr="00942352">
        <w:rPr>
          <w:lang w:eastAsia="en-AU"/>
        </w:rPr>
        <w:t>]–[</w:t>
      </w:r>
      <w:r w:rsidR="00960809" w:rsidRPr="00942352">
        <w:rPr>
          <w:lang w:eastAsia="en-AU"/>
        </w:rPr>
        <w:fldChar w:fldCharType="begin"/>
      </w:r>
      <w:r w:rsidR="00960809" w:rsidRPr="00942352">
        <w:rPr>
          <w:lang w:eastAsia="en-AU"/>
        </w:rPr>
        <w:instrText xml:space="preserve"> REF _Ref127783366 \r \h  \* MERGEFORMAT </w:instrText>
      </w:r>
      <w:r w:rsidR="00960809" w:rsidRPr="00942352">
        <w:rPr>
          <w:lang w:eastAsia="en-AU"/>
        </w:rPr>
      </w:r>
      <w:r w:rsidR="00960809" w:rsidRPr="00942352">
        <w:rPr>
          <w:lang w:eastAsia="en-AU"/>
        </w:rPr>
        <w:fldChar w:fldCharType="separate"/>
      </w:r>
      <w:r w:rsidR="002B380F">
        <w:rPr>
          <w:lang w:eastAsia="en-AU"/>
        </w:rPr>
        <w:t>206</w:t>
      </w:r>
      <w:r w:rsidR="00960809" w:rsidRPr="00942352">
        <w:rPr>
          <w:lang w:eastAsia="en-AU"/>
        </w:rPr>
        <w:fldChar w:fldCharType="end"/>
      </w:r>
      <w:r w:rsidR="00960809" w:rsidRPr="00942352">
        <w:rPr>
          <w:lang w:eastAsia="en-AU"/>
        </w:rPr>
        <w:t>]</w:t>
      </w:r>
      <w:r w:rsidR="003A7BF9" w:rsidRPr="00942352">
        <w:rPr>
          <w:lang w:eastAsia="en-AU"/>
        </w:rPr>
        <w:t xml:space="preserve"> that the bankrupt contributed </w:t>
      </w:r>
      <w:r w:rsidR="007136C4" w:rsidRPr="00942352">
        <w:rPr>
          <w:lang w:eastAsia="en-AU"/>
        </w:rPr>
        <w:t>$197,773.86</w:t>
      </w:r>
      <w:r w:rsidR="007136C4" w:rsidRPr="00942352">
        <w:rPr>
          <w:b/>
          <w:lang w:eastAsia="en-AU"/>
        </w:rPr>
        <w:t xml:space="preserve"> </w:t>
      </w:r>
      <w:r w:rsidR="003A7BF9" w:rsidRPr="00942352">
        <w:rPr>
          <w:lang w:eastAsia="en-AU"/>
        </w:rPr>
        <w:t>of the $1</w:t>
      </w:r>
      <w:r w:rsidR="00DB2326">
        <w:rPr>
          <w:lang w:eastAsia="en-AU"/>
        </w:rPr>
        <w:t>.8 million</w:t>
      </w:r>
      <w:r w:rsidR="003A7BF9" w:rsidRPr="00942352">
        <w:rPr>
          <w:lang w:eastAsia="en-AU"/>
        </w:rPr>
        <w:t xml:space="preserve"> purchase price</w:t>
      </w:r>
      <w:bookmarkEnd w:id="110"/>
      <w:r w:rsidR="009A3E86" w:rsidRPr="00942352">
        <w:rPr>
          <w:lang w:eastAsia="en-AU"/>
        </w:rPr>
        <w:t>, comprising approximately 11% of the purchase</w:t>
      </w:r>
      <w:r w:rsidR="005530E0" w:rsidRPr="00942352">
        <w:rPr>
          <w:lang w:eastAsia="en-AU"/>
        </w:rPr>
        <w:t xml:space="preserve">. </w:t>
      </w:r>
    </w:p>
    <w:p w14:paraId="2A7822C3" w14:textId="496BA913" w:rsidR="00555756" w:rsidRPr="00942352" w:rsidRDefault="00155C95" w:rsidP="00155C95">
      <w:pPr>
        <w:pStyle w:val="ParaNumbering"/>
        <w:numPr>
          <w:ilvl w:val="0"/>
          <w:numId w:val="0"/>
        </w:numPr>
        <w:ind w:hanging="720"/>
        <w:rPr>
          <w:lang w:eastAsia="en-AU"/>
        </w:rPr>
      </w:pPr>
      <w:r w:rsidRPr="00942352">
        <w:rPr>
          <w:sz w:val="20"/>
          <w:lang w:eastAsia="en-AU"/>
        </w:rPr>
        <w:t>210</w:t>
      </w:r>
      <w:r w:rsidRPr="00942352">
        <w:rPr>
          <w:sz w:val="20"/>
          <w:lang w:eastAsia="en-AU"/>
        </w:rPr>
        <w:tab/>
      </w:r>
      <w:r w:rsidR="00EE6E49" w:rsidRPr="00942352">
        <w:rPr>
          <w:lang w:eastAsia="en-AU"/>
        </w:rPr>
        <w:t>T</w:t>
      </w:r>
      <w:r w:rsidR="00555756" w:rsidRPr="00942352">
        <w:rPr>
          <w:lang w:eastAsia="en-AU"/>
        </w:rPr>
        <w:t>he trustee has not proved his case as to why the bankrupt’s interest should be increased by reason of the bankrupt being a borrower on the loan to fund the purchase of the North Balgowlah property. As I have already noted, the trustee provided no evidence of the extent, if any, of the bankrupt’s contribution to the North Balgowlah</w:t>
      </w:r>
      <w:r w:rsidR="00DB2326">
        <w:rPr>
          <w:lang w:eastAsia="en-AU"/>
        </w:rPr>
        <w:t xml:space="preserve"> property’s</w:t>
      </w:r>
      <w:r w:rsidR="00555756" w:rsidRPr="00942352">
        <w:rPr>
          <w:lang w:eastAsia="en-AU"/>
        </w:rPr>
        <w:t xml:space="preserve"> mortgage.</w:t>
      </w:r>
    </w:p>
    <w:p w14:paraId="0D2F471C" w14:textId="67E14D9F" w:rsidR="004A0900" w:rsidRPr="00942352" w:rsidRDefault="00155C95" w:rsidP="00155C95">
      <w:pPr>
        <w:pStyle w:val="ParaNumbering"/>
        <w:numPr>
          <w:ilvl w:val="0"/>
          <w:numId w:val="0"/>
        </w:numPr>
        <w:ind w:hanging="720"/>
        <w:rPr>
          <w:lang w:eastAsia="en-AU"/>
        </w:rPr>
      </w:pPr>
      <w:r w:rsidRPr="00942352">
        <w:rPr>
          <w:sz w:val="20"/>
          <w:lang w:eastAsia="en-AU"/>
        </w:rPr>
        <w:t>211</w:t>
      </w:r>
      <w:r w:rsidRPr="00942352">
        <w:rPr>
          <w:sz w:val="20"/>
          <w:lang w:eastAsia="en-AU"/>
        </w:rPr>
        <w:tab/>
      </w:r>
      <w:r w:rsidR="00555756" w:rsidRPr="00942352">
        <w:rPr>
          <w:lang w:eastAsia="en-AU"/>
        </w:rPr>
        <w:t xml:space="preserve">Lastly, to the extent that the trustee relies </w:t>
      </w:r>
      <w:r w:rsidR="00433FC9" w:rsidRPr="00942352">
        <w:rPr>
          <w:lang w:eastAsia="en-AU"/>
        </w:rPr>
        <w:t>o</w:t>
      </w:r>
      <w:r w:rsidR="00555756" w:rsidRPr="00942352">
        <w:rPr>
          <w:lang w:eastAsia="en-AU"/>
        </w:rPr>
        <w:t>n</w:t>
      </w:r>
      <w:r w:rsidR="00433FC9" w:rsidRPr="00942352">
        <w:rPr>
          <w:lang w:eastAsia="en-AU"/>
        </w:rPr>
        <w:t xml:space="preserve"> </w:t>
      </w:r>
      <w:r w:rsidR="00555756" w:rsidRPr="00942352">
        <w:rPr>
          <w:lang w:eastAsia="en-AU"/>
        </w:rPr>
        <w:t>the fa</w:t>
      </w:r>
      <w:r w:rsidR="00862A4A" w:rsidRPr="00942352">
        <w:rPr>
          <w:lang w:eastAsia="en-AU"/>
        </w:rPr>
        <w:t>c</w:t>
      </w:r>
      <w:r w:rsidR="00555756" w:rsidRPr="00942352">
        <w:rPr>
          <w:lang w:eastAsia="en-AU"/>
        </w:rPr>
        <w:t>t of the North Balgowlah property being in the bankrupt’s na</w:t>
      </w:r>
      <w:r w:rsidR="004D4A1F" w:rsidRPr="00942352">
        <w:rPr>
          <w:lang w:eastAsia="en-AU"/>
        </w:rPr>
        <w:t>me during the examinable period,</w:t>
      </w:r>
      <w:r w:rsidR="0034558E" w:rsidRPr="00942352">
        <w:rPr>
          <w:lang w:eastAsia="en-AU"/>
        </w:rPr>
        <w:t xml:space="preserve"> it was not in dispute that the relevant examinable period was from 25 September 2013 (four years before the commencement of the bankruptcy) to 25 September 201</w:t>
      </w:r>
      <w:r w:rsidR="008B3D5B">
        <w:rPr>
          <w:lang w:eastAsia="en-AU"/>
        </w:rPr>
        <w:t xml:space="preserve">7 (the date of the bankruptcy), </w:t>
      </w:r>
      <w:r w:rsidR="0034558E" w:rsidRPr="00942352">
        <w:rPr>
          <w:lang w:eastAsia="en-AU"/>
        </w:rPr>
        <w:t>this being the minimum examinable period.</w:t>
      </w:r>
      <w:r w:rsidR="00EE6E49" w:rsidRPr="00942352">
        <w:rPr>
          <w:lang w:eastAsia="en-AU"/>
        </w:rPr>
        <w:t xml:space="preserve"> T</w:t>
      </w:r>
      <w:r w:rsidR="004D4A1F" w:rsidRPr="00942352">
        <w:rPr>
          <w:lang w:eastAsia="en-AU"/>
        </w:rPr>
        <w:t>he evidence established that the bankrupt and the respondent moved into the North Balgow</w:t>
      </w:r>
      <w:r w:rsidR="00A54D9B" w:rsidRPr="00942352">
        <w:rPr>
          <w:lang w:eastAsia="en-AU"/>
        </w:rPr>
        <w:t>lah property six months after the sale of the Seaforth property (when the tenants had moved out) roughly after the last rental payment was made on 28 September 2016.</w:t>
      </w:r>
      <w:r w:rsidR="008B3D5B">
        <w:rPr>
          <w:lang w:eastAsia="en-AU"/>
        </w:rPr>
        <w:t xml:space="preserve"> </w:t>
      </w:r>
      <w:r w:rsidR="004A0900" w:rsidRPr="00942352">
        <w:rPr>
          <w:lang w:eastAsia="en-AU"/>
        </w:rPr>
        <w:t xml:space="preserve">Accordingly, at most, the bankrupt resided in the property for a year prior to the bankruptcy. I remain of the view, that despite this benefit, the vesting of 11% of the North Balgowlah property in the trustee remains appropriate. </w:t>
      </w:r>
    </w:p>
    <w:p w14:paraId="6541EB57" w14:textId="0B521AF8" w:rsidR="00BC67DE" w:rsidRPr="00942352" w:rsidRDefault="00155C95" w:rsidP="00155C95">
      <w:pPr>
        <w:pStyle w:val="ParaNumbering"/>
        <w:numPr>
          <w:ilvl w:val="0"/>
          <w:numId w:val="0"/>
        </w:numPr>
        <w:ind w:hanging="720"/>
        <w:rPr>
          <w:lang w:eastAsia="en-AU"/>
        </w:rPr>
      </w:pPr>
      <w:r w:rsidRPr="00942352">
        <w:rPr>
          <w:sz w:val="20"/>
          <w:lang w:eastAsia="en-AU"/>
        </w:rPr>
        <w:t>212</w:t>
      </w:r>
      <w:r w:rsidRPr="00942352">
        <w:rPr>
          <w:sz w:val="20"/>
          <w:lang w:eastAsia="en-AU"/>
        </w:rPr>
        <w:tab/>
      </w:r>
      <w:r w:rsidR="00433FC9" w:rsidRPr="00942352">
        <w:rPr>
          <w:lang w:eastAsia="en-AU"/>
        </w:rPr>
        <w:t>As a consequence</w:t>
      </w:r>
      <w:r w:rsidR="00750730" w:rsidRPr="00942352">
        <w:rPr>
          <w:lang w:eastAsia="en-AU"/>
        </w:rPr>
        <w:t xml:space="preserve">, I accept the alternative submission of the respondent that </w:t>
      </w:r>
      <w:r w:rsidR="0050779E" w:rsidRPr="00942352">
        <w:rPr>
          <w:lang w:eastAsia="en-AU"/>
        </w:rPr>
        <w:t xml:space="preserve">the appropriate order would be to make part of the North Balgowlah property vest in the trustee, which was referrable to the bankrupt’s cash contribution. </w:t>
      </w:r>
      <w:r w:rsidR="00750730" w:rsidRPr="00942352">
        <w:rPr>
          <w:lang w:eastAsia="en-AU"/>
        </w:rPr>
        <w:t>Whilst I note the respondent’s submission that no cash contribution has been established</w:t>
      </w:r>
      <w:r w:rsidR="00F76F41" w:rsidRPr="00942352">
        <w:rPr>
          <w:lang w:eastAsia="en-AU"/>
        </w:rPr>
        <w:t xml:space="preserve"> due to the lack of sufficient running account evidence</w:t>
      </w:r>
      <w:r w:rsidR="00750730" w:rsidRPr="00942352">
        <w:rPr>
          <w:lang w:eastAsia="en-AU"/>
        </w:rPr>
        <w:t xml:space="preserve">, for the reasons outlined above, I am satisfied that a cash contribution has been established and </w:t>
      </w:r>
      <w:r w:rsidR="00B93FB8" w:rsidRPr="00942352">
        <w:rPr>
          <w:lang w:eastAsia="en-AU"/>
        </w:rPr>
        <w:t xml:space="preserve">in the circumstances, in the exercise of my discretion, </w:t>
      </w:r>
      <w:r w:rsidR="00750730" w:rsidRPr="00942352">
        <w:rPr>
          <w:lang w:eastAsia="en-AU"/>
        </w:rPr>
        <w:t xml:space="preserve">the order be that </w:t>
      </w:r>
      <w:r w:rsidR="00133CA6" w:rsidRPr="00942352">
        <w:rPr>
          <w:lang w:eastAsia="en-AU"/>
        </w:rPr>
        <w:t>11</w:t>
      </w:r>
      <w:r w:rsidR="00394AFA" w:rsidRPr="00942352">
        <w:rPr>
          <w:lang w:eastAsia="en-AU"/>
        </w:rPr>
        <w:t>%</w:t>
      </w:r>
      <w:r w:rsidR="00750730" w:rsidRPr="00942352">
        <w:rPr>
          <w:lang w:eastAsia="en-AU"/>
        </w:rPr>
        <w:t xml:space="preserve"> of the North Balgowlah property vest in the trustee</w:t>
      </w:r>
      <w:r w:rsidR="00E50FE4" w:rsidRPr="00942352">
        <w:rPr>
          <w:lang w:eastAsia="en-AU"/>
        </w:rPr>
        <w:t xml:space="preserve">. </w:t>
      </w:r>
    </w:p>
    <w:p w14:paraId="60D65946" w14:textId="2A4ADA69" w:rsidR="00EB4E8C" w:rsidRPr="00942352" w:rsidRDefault="00EB4E8C" w:rsidP="00EB4E8C">
      <w:pPr>
        <w:pStyle w:val="Heading3"/>
        <w:rPr>
          <w:lang w:eastAsia="en-AU"/>
        </w:rPr>
      </w:pPr>
      <w:bookmarkStart w:id="111" w:name="_Ref126916202"/>
      <w:r w:rsidRPr="00942352">
        <w:rPr>
          <w:lang w:eastAsia="en-AU"/>
        </w:rPr>
        <w:lastRenderedPageBreak/>
        <w:t>The resulting trust/presumption of advancement claim</w:t>
      </w:r>
      <w:bookmarkEnd w:id="111"/>
    </w:p>
    <w:p w14:paraId="5D3EF8E0" w14:textId="463389D5" w:rsidR="0069647A" w:rsidRPr="00942352" w:rsidRDefault="0069647A" w:rsidP="0069647A">
      <w:pPr>
        <w:pStyle w:val="Heading4"/>
        <w:rPr>
          <w:lang w:eastAsia="en-AU"/>
        </w:rPr>
      </w:pPr>
      <w:bookmarkStart w:id="112" w:name="_Ref126916177"/>
      <w:r w:rsidRPr="00942352">
        <w:rPr>
          <w:lang w:eastAsia="en-AU"/>
        </w:rPr>
        <w:t>Operation of resulting trusts and the presumption of advancement</w:t>
      </w:r>
      <w:bookmarkEnd w:id="112"/>
      <w:r w:rsidRPr="00942352">
        <w:rPr>
          <w:lang w:eastAsia="en-AU"/>
        </w:rPr>
        <w:t xml:space="preserve"> </w:t>
      </w:r>
    </w:p>
    <w:p w14:paraId="2C84F613" w14:textId="3F39111B" w:rsidR="002C5134" w:rsidRPr="00942352" w:rsidRDefault="00155C95" w:rsidP="00155C95">
      <w:pPr>
        <w:pStyle w:val="ParaNumbering"/>
        <w:numPr>
          <w:ilvl w:val="0"/>
          <w:numId w:val="0"/>
        </w:numPr>
        <w:ind w:hanging="720"/>
        <w:rPr>
          <w:lang w:eastAsia="en-AU"/>
        </w:rPr>
      </w:pPr>
      <w:r w:rsidRPr="00942352">
        <w:rPr>
          <w:sz w:val="20"/>
          <w:lang w:eastAsia="en-AU"/>
        </w:rPr>
        <w:t>213</w:t>
      </w:r>
      <w:r w:rsidRPr="00942352">
        <w:rPr>
          <w:sz w:val="20"/>
          <w:lang w:eastAsia="en-AU"/>
        </w:rPr>
        <w:tab/>
      </w:r>
      <w:r w:rsidR="00E5034A" w:rsidRPr="00942352">
        <w:rPr>
          <w:lang w:eastAsia="en-AU"/>
        </w:rPr>
        <w:t xml:space="preserve">There was no dispute between the parties as to the relevant principles to be applied when approaching the claim of a resulting trust: Where one person funds all or part of the purchase of a property (funder) but enables registration in another’s name (registered owner), the property is presumed to be held on trust for the funder (to the extent of their proportionate contribution to the purchase price): </w:t>
      </w:r>
      <w:r w:rsidR="00E5034A" w:rsidRPr="00942352">
        <w:rPr>
          <w:b/>
          <w:i/>
          <w:lang w:eastAsia="en-AU"/>
        </w:rPr>
        <w:t>Calverley v Green</w:t>
      </w:r>
      <w:r w:rsidR="00E5034A" w:rsidRPr="00942352">
        <w:rPr>
          <w:i/>
          <w:lang w:eastAsia="en-AU"/>
        </w:rPr>
        <w:t xml:space="preserve"> </w:t>
      </w:r>
      <w:r w:rsidR="00DA5991" w:rsidRPr="00942352">
        <w:rPr>
          <w:lang w:eastAsia="en-AU"/>
        </w:rPr>
        <w:t>[1984] HCA 81;</w:t>
      </w:r>
      <w:r w:rsidR="00E5034A" w:rsidRPr="00942352">
        <w:rPr>
          <w:lang w:eastAsia="en-AU"/>
        </w:rPr>
        <w:t xml:space="preserve"> 155 CLR 242</w:t>
      </w:r>
      <w:r w:rsidR="00133B09" w:rsidRPr="00942352">
        <w:rPr>
          <w:lang w:eastAsia="en-AU"/>
        </w:rPr>
        <w:t xml:space="preserve"> at 246–</w:t>
      </w:r>
      <w:r w:rsidR="00E5034A" w:rsidRPr="00942352">
        <w:rPr>
          <w:lang w:eastAsia="en-AU"/>
        </w:rPr>
        <w:t xml:space="preserve">247. This principle was expressed recently by the High Court in this way, “[a] trust of a legal estate in property taken in the name of another is taken to “result” to the person who advances the purchase money”: </w:t>
      </w:r>
      <w:proofErr w:type="spellStart"/>
      <w:r w:rsidR="00E5034A" w:rsidRPr="00942352">
        <w:rPr>
          <w:b/>
          <w:i/>
          <w:lang w:eastAsia="en-AU"/>
        </w:rPr>
        <w:t>Bosanac</w:t>
      </w:r>
      <w:proofErr w:type="spellEnd"/>
      <w:r w:rsidR="00E5034A" w:rsidRPr="00942352">
        <w:rPr>
          <w:i/>
          <w:lang w:eastAsia="en-AU"/>
        </w:rPr>
        <w:t xml:space="preserve"> v Commissioner of Taxation</w:t>
      </w:r>
      <w:r w:rsidR="00E5034A" w:rsidRPr="00942352">
        <w:rPr>
          <w:lang w:eastAsia="en-AU"/>
        </w:rPr>
        <w:t xml:space="preserve"> [2022] HCA 34</w:t>
      </w:r>
      <w:r w:rsidR="0092207D" w:rsidRPr="00942352">
        <w:rPr>
          <w:lang w:eastAsia="en-AU"/>
        </w:rPr>
        <w:t>; 96 ALJR 976</w:t>
      </w:r>
      <w:r w:rsidR="00E5034A" w:rsidRPr="00942352">
        <w:rPr>
          <w:lang w:eastAsia="en-AU"/>
        </w:rPr>
        <w:t xml:space="preserve"> at [12] (per </w:t>
      </w:r>
      <w:proofErr w:type="spellStart"/>
      <w:r w:rsidR="00E5034A" w:rsidRPr="00942352">
        <w:rPr>
          <w:lang w:eastAsia="en-AU"/>
        </w:rPr>
        <w:t>Kiefel</w:t>
      </w:r>
      <w:proofErr w:type="spellEnd"/>
      <w:r w:rsidR="00E5034A" w:rsidRPr="00942352">
        <w:rPr>
          <w:lang w:eastAsia="en-AU"/>
        </w:rPr>
        <w:t xml:space="preserve"> CJ and Gleeson J). </w:t>
      </w:r>
      <w:r w:rsidR="002C5134" w:rsidRPr="00942352">
        <w:rPr>
          <w:lang w:eastAsia="en-AU"/>
        </w:rPr>
        <w:t xml:space="preserve">Further, it is presumed that where there are two borrowers of a loan which contributes to the purchase price, each are taken to have contributed half the borrowed funds: </w:t>
      </w:r>
      <w:r w:rsidR="002C5134" w:rsidRPr="00942352">
        <w:rPr>
          <w:i/>
          <w:lang w:eastAsia="en-AU"/>
        </w:rPr>
        <w:t>Calverley v Green</w:t>
      </w:r>
      <w:r w:rsidR="002C5134" w:rsidRPr="00942352">
        <w:rPr>
          <w:lang w:eastAsia="en-AU"/>
        </w:rPr>
        <w:t xml:space="preserve"> at 251 (</w:t>
      </w:r>
      <w:r w:rsidR="007F11AD" w:rsidRPr="00942352">
        <w:rPr>
          <w:lang w:eastAsia="en-AU"/>
        </w:rPr>
        <w:t>per Gibbs CJ), 257–</w:t>
      </w:r>
      <w:r w:rsidR="002C5134" w:rsidRPr="00942352">
        <w:rPr>
          <w:lang w:eastAsia="en-AU"/>
        </w:rPr>
        <w:t>258 (</w:t>
      </w:r>
      <w:r w:rsidR="007F11AD" w:rsidRPr="00942352">
        <w:rPr>
          <w:lang w:eastAsia="en-AU"/>
        </w:rPr>
        <w:t>per Mason and Brennan JJ), 267–</w:t>
      </w:r>
      <w:r w:rsidR="002C5134" w:rsidRPr="00942352">
        <w:rPr>
          <w:lang w:eastAsia="en-AU"/>
        </w:rPr>
        <w:t>268 (</w:t>
      </w:r>
      <w:r w:rsidR="007F11AD" w:rsidRPr="00942352">
        <w:rPr>
          <w:lang w:eastAsia="en-AU"/>
        </w:rPr>
        <w:t xml:space="preserve">per </w:t>
      </w:r>
      <w:r w:rsidR="002C5134" w:rsidRPr="00942352">
        <w:rPr>
          <w:lang w:eastAsia="en-AU"/>
        </w:rPr>
        <w:t>Deane J).</w:t>
      </w:r>
    </w:p>
    <w:p w14:paraId="1483653E" w14:textId="20D5A574" w:rsidR="00E5034A" w:rsidRPr="00942352" w:rsidRDefault="00155C95" w:rsidP="00155C95">
      <w:pPr>
        <w:pStyle w:val="ParaNumbering"/>
        <w:numPr>
          <w:ilvl w:val="0"/>
          <w:numId w:val="0"/>
        </w:numPr>
        <w:ind w:hanging="720"/>
        <w:rPr>
          <w:lang w:eastAsia="en-AU"/>
        </w:rPr>
      </w:pPr>
      <w:r w:rsidRPr="00942352">
        <w:rPr>
          <w:sz w:val="20"/>
          <w:lang w:eastAsia="en-AU"/>
        </w:rPr>
        <w:t>214</w:t>
      </w:r>
      <w:r w:rsidRPr="00942352">
        <w:rPr>
          <w:sz w:val="20"/>
          <w:lang w:eastAsia="en-AU"/>
        </w:rPr>
        <w:tab/>
      </w:r>
      <w:r w:rsidR="00E5034A" w:rsidRPr="00942352">
        <w:rPr>
          <w:lang w:eastAsia="en-AU"/>
        </w:rPr>
        <w:t>The presumption may be rebutted by evidence from which it may</w:t>
      </w:r>
      <w:r w:rsidR="002C5134" w:rsidRPr="00942352">
        <w:rPr>
          <w:lang w:eastAsia="en-AU"/>
        </w:rPr>
        <w:t xml:space="preserve"> </w:t>
      </w:r>
      <w:r w:rsidR="00E5034A" w:rsidRPr="00942352">
        <w:rPr>
          <w:lang w:eastAsia="en-AU"/>
        </w:rPr>
        <w:t xml:space="preserve">be inferred that there was </w:t>
      </w:r>
      <w:r w:rsidR="00E5034A" w:rsidRPr="00942352">
        <w:rPr>
          <w:i/>
          <w:lang w:eastAsia="en-AU"/>
        </w:rPr>
        <w:t>no</w:t>
      </w:r>
      <w:r w:rsidR="00E5034A" w:rsidRPr="00942352">
        <w:rPr>
          <w:lang w:eastAsia="en-AU"/>
        </w:rPr>
        <w:t xml:space="preserve"> intention on the part of the person providing the money to have such interest in the property held on trust for him or her: </w:t>
      </w:r>
      <w:proofErr w:type="spellStart"/>
      <w:r w:rsidR="00E5034A" w:rsidRPr="00942352">
        <w:rPr>
          <w:i/>
          <w:lang w:eastAsia="en-AU"/>
        </w:rPr>
        <w:t>Bosanac</w:t>
      </w:r>
      <w:proofErr w:type="spellEnd"/>
      <w:r w:rsidR="00E5034A" w:rsidRPr="00942352">
        <w:rPr>
          <w:lang w:eastAsia="en-AU"/>
        </w:rPr>
        <w:t xml:space="preserve"> at [13] (per </w:t>
      </w:r>
      <w:proofErr w:type="spellStart"/>
      <w:r w:rsidR="00E5034A" w:rsidRPr="00942352">
        <w:rPr>
          <w:lang w:eastAsia="en-AU"/>
        </w:rPr>
        <w:t>Kiefel</w:t>
      </w:r>
      <w:proofErr w:type="spellEnd"/>
      <w:r w:rsidR="00E5034A" w:rsidRPr="00942352">
        <w:rPr>
          <w:lang w:eastAsia="en-AU"/>
        </w:rPr>
        <w:t xml:space="preserve"> CJ and Gleeson J). Such a presumption cannot prevail over actual intention as established by the overall evidence</w:t>
      </w:r>
      <w:r w:rsidR="007F11AD" w:rsidRPr="00942352">
        <w:rPr>
          <w:lang w:eastAsia="en-AU"/>
        </w:rPr>
        <w:t>,</w:t>
      </w:r>
      <w:r w:rsidR="00E5034A" w:rsidRPr="00942352">
        <w:rPr>
          <w:lang w:eastAsia="en-AU"/>
        </w:rPr>
        <w:t xml:space="preserve"> including </w:t>
      </w:r>
      <w:r w:rsidR="007F11AD" w:rsidRPr="00942352">
        <w:rPr>
          <w:lang w:eastAsia="en-AU"/>
        </w:rPr>
        <w:t xml:space="preserve">evidence of the </w:t>
      </w:r>
      <w:r w:rsidR="00E5034A" w:rsidRPr="00942352">
        <w:rPr>
          <w:lang w:eastAsia="en-AU"/>
        </w:rPr>
        <w:t xml:space="preserve">intention of each party: </w:t>
      </w:r>
      <w:proofErr w:type="spellStart"/>
      <w:r w:rsidR="00E5034A" w:rsidRPr="00942352">
        <w:rPr>
          <w:i/>
          <w:lang w:eastAsia="en-AU"/>
        </w:rPr>
        <w:t>Bosanac</w:t>
      </w:r>
      <w:proofErr w:type="spellEnd"/>
      <w:r w:rsidR="00E5034A" w:rsidRPr="00942352">
        <w:rPr>
          <w:lang w:eastAsia="en-AU"/>
        </w:rPr>
        <w:t xml:space="preserve"> at [13] (per </w:t>
      </w:r>
      <w:proofErr w:type="spellStart"/>
      <w:r w:rsidR="00E5034A" w:rsidRPr="00942352">
        <w:rPr>
          <w:lang w:eastAsia="en-AU"/>
        </w:rPr>
        <w:t>Kiefel</w:t>
      </w:r>
      <w:proofErr w:type="spellEnd"/>
      <w:r w:rsidR="00E5034A" w:rsidRPr="00942352">
        <w:rPr>
          <w:lang w:eastAsia="en-AU"/>
        </w:rPr>
        <w:t xml:space="preserve"> CJ and Gleeson J). The presumption of advancement allows an inference as to the intention drawn from the fact of certain recognised relationships and the direction of the transfer – </w:t>
      </w:r>
      <w:r w:rsidR="000A3E57" w:rsidRPr="00942352">
        <w:rPr>
          <w:lang w:eastAsia="en-AU"/>
        </w:rPr>
        <w:t xml:space="preserve">such as </w:t>
      </w:r>
      <w:r w:rsidR="00E5034A" w:rsidRPr="00942352">
        <w:rPr>
          <w:lang w:eastAsia="en-AU"/>
        </w:rPr>
        <w:t xml:space="preserve">husband to wife, parent to child: </w:t>
      </w:r>
      <w:proofErr w:type="spellStart"/>
      <w:r w:rsidR="00E5034A" w:rsidRPr="00942352">
        <w:rPr>
          <w:i/>
          <w:lang w:eastAsia="en-AU"/>
        </w:rPr>
        <w:t>Bosanac</w:t>
      </w:r>
      <w:proofErr w:type="spellEnd"/>
      <w:r w:rsidR="00E5034A" w:rsidRPr="00942352">
        <w:rPr>
          <w:lang w:eastAsia="en-AU"/>
        </w:rPr>
        <w:t xml:space="preserve"> at [14] (per </w:t>
      </w:r>
      <w:proofErr w:type="spellStart"/>
      <w:r w:rsidR="00E5034A" w:rsidRPr="00942352">
        <w:rPr>
          <w:lang w:eastAsia="en-AU"/>
        </w:rPr>
        <w:t>Kiefel</w:t>
      </w:r>
      <w:proofErr w:type="spellEnd"/>
      <w:r w:rsidR="00E5034A" w:rsidRPr="00942352">
        <w:rPr>
          <w:lang w:eastAsia="en-AU"/>
        </w:rPr>
        <w:t xml:space="preserve"> CJ and Gleeson J). </w:t>
      </w:r>
    </w:p>
    <w:p w14:paraId="6C3A3A2B" w14:textId="79ADEFCE" w:rsidR="003A6BC0" w:rsidRPr="00942352" w:rsidRDefault="00155C95" w:rsidP="00155C95">
      <w:pPr>
        <w:pStyle w:val="ParaNumbering"/>
        <w:numPr>
          <w:ilvl w:val="0"/>
          <w:numId w:val="0"/>
        </w:numPr>
        <w:ind w:hanging="720"/>
        <w:rPr>
          <w:lang w:eastAsia="en-AU"/>
        </w:rPr>
      </w:pPr>
      <w:r w:rsidRPr="00942352">
        <w:rPr>
          <w:sz w:val="20"/>
          <w:lang w:eastAsia="en-AU"/>
        </w:rPr>
        <w:t>215</w:t>
      </w:r>
      <w:r w:rsidRPr="00942352">
        <w:rPr>
          <w:sz w:val="20"/>
          <w:lang w:eastAsia="en-AU"/>
        </w:rPr>
        <w:tab/>
      </w:r>
      <w:r w:rsidR="0069647A" w:rsidRPr="00942352">
        <w:rPr>
          <w:lang w:eastAsia="en-AU"/>
        </w:rPr>
        <w:t xml:space="preserve">As to the question of intention, it is entirely one of fact manifested by the person or persons who contributed funds towards the purchase of the property: </w:t>
      </w:r>
      <w:proofErr w:type="spellStart"/>
      <w:r w:rsidR="0069647A" w:rsidRPr="00942352">
        <w:rPr>
          <w:i/>
          <w:lang w:eastAsia="en-AU"/>
        </w:rPr>
        <w:t>Bosanac</w:t>
      </w:r>
      <w:proofErr w:type="spellEnd"/>
      <w:r w:rsidR="0069647A" w:rsidRPr="00942352">
        <w:rPr>
          <w:lang w:eastAsia="en-AU"/>
        </w:rPr>
        <w:t xml:space="preserve"> at [32] (per </w:t>
      </w:r>
      <w:proofErr w:type="spellStart"/>
      <w:r w:rsidR="0069647A" w:rsidRPr="00942352">
        <w:rPr>
          <w:lang w:eastAsia="en-AU"/>
        </w:rPr>
        <w:t>Kiefel</w:t>
      </w:r>
      <w:proofErr w:type="spellEnd"/>
      <w:r w:rsidR="0069647A" w:rsidRPr="00942352">
        <w:rPr>
          <w:lang w:eastAsia="en-AU"/>
        </w:rPr>
        <w:t xml:space="preserve"> CJ and Gleeson J). </w:t>
      </w:r>
    </w:p>
    <w:p w14:paraId="113B173E" w14:textId="761AB566" w:rsidR="0069647A" w:rsidRPr="00942352" w:rsidRDefault="00155C95" w:rsidP="00155C95">
      <w:pPr>
        <w:pStyle w:val="ParaNumbering"/>
        <w:numPr>
          <w:ilvl w:val="0"/>
          <w:numId w:val="0"/>
        </w:numPr>
        <w:ind w:hanging="720"/>
        <w:rPr>
          <w:lang w:eastAsia="en-AU"/>
        </w:rPr>
      </w:pPr>
      <w:r w:rsidRPr="00942352">
        <w:rPr>
          <w:sz w:val="20"/>
          <w:lang w:eastAsia="en-AU"/>
        </w:rPr>
        <w:t>216</w:t>
      </w:r>
      <w:r w:rsidRPr="00942352">
        <w:rPr>
          <w:sz w:val="20"/>
          <w:lang w:eastAsia="en-AU"/>
        </w:rPr>
        <w:tab/>
      </w:r>
      <w:r w:rsidR="003A6BC0" w:rsidRPr="00942352">
        <w:rPr>
          <w:lang w:eastAsia="en-AU"/>
        </w:rPr>
        <w:t>T</w:t>
      </w:r>
      <w:r w:rsidR="0069647A" w:rsidRPr="00942352">
        <w:rPr>
          <w:lang w:eastAsia="en-AU"/>
        </w:rPr>
        <w:t>he presumption of a resulting trust is a presumption of fact,</w:t>
      </w:r>
      <w:r w:rsidR="003A6BC0" w:rsidRPr="00942352">
        <w:rPr>
          <w:lang w:eastAsia="en-AU"/>
        </w:rPr>
        <w:t xml:space="preserve"> described by </w:t>
      </w:r>
      <w:proofErr w:type="spellStart"/>
      <w:r w:rsidR="003A6BC0" w:rsidRPr="00942352">
        <w:rPr>
          <w:lang w:eastAsia="en-AU"/>
        </w:rPr>
        <w:t>Gageler</w:t>
      </w:r>
      <w:proofErr w:type="spellEnd"/>
      <w:r w:rsidR="003A6BC0" w:rsidRPr="00942352">
        <w:rPr>
          <w:lang w:eastAsia="en-AU"/>
        </w:rPr>
        <w:t xml:space="preserve"> J, as</w:t>
      </w:r>
      <w:r w:rsidR="0069647A" w:rsidRPr="00942352">
        <w:rPr>
          <w:lang w:eastAsia="en-AU"/>
        </w:rPr>
        <w:t xml:space="preserve"> functionally akin to a civil onus of proof which will (</w:t>
      </w:r>
      <w:proofErr w:type="spellStart"/>
      <w:r w:rsidR="004A2D60">
        <w:rPr>
          <w:i/>
          <w:lang w:eastAsia="en-AU"/>
        </w:rPr>
        <w:t>Bosanac</w:t>
      </w:r>
      <w:proofErr w:type="spellEnd"/>
      <w:r w:rsidR="004A2D60">
        <w:rPr>
          <w:i/>
          <w:lang w:eastAsia="en-AU"/>
        </w:rPr>
        <w:t xml:space="preserve"> </w:t>
      </w:r>
      <w:r w:rsidR="0069647A" w:rsidRPr="00942352">
        <w:rPr>
          <w:lang w:eastAsia="en-AU"/>
        </w:rPr>
        <w:t xml:space="preserve">at [64]): </w:t>
      </w:r>
    </w:p>
    <w:p w14:paraId="22F7704E" w14:textId="18F15FBA" w:rsidR="0069647A" w:rsidRPr="00942352" w:rsidRDefault="008B3D5B" w:rsidP="0069647A">
      <w:pPr>
        <w:pStyle w:val="Quote1"/>
      </w:pPr>
      <w:r>
        <w:t xml:space="preserve">… </w:t>
      </w:r>
      <w:proofErr w:type="gramStart"/>
      <w:r>
        <w:t>y</w:t>
      </w:r>
      <w:r w:rsidR="0069647A" w:rsidRPr="00942352">
        <w:t>ield</w:t>
      </w:r>
      <w:proofErr w:type="gramEnd"/>
      <w:r w:rsidR="0069647A" w:rsidRPr="00942352">
        <w:t xml:space="preserve"> to an actual intention to the contrary found on the balance of probabilities as an inference drawn from the totality of the evidence. The weight to be given to the fact of a contribution having been made to the purchase price in drawing an inference as to actual intention will vary according to the totality of the circumstances of the case. </w:t>
      </w:r>
    </w:p>
    <w:p w14:paraId="14A9C032" w14:textId="4064CD09" w:rsidR="0069647A" w:rsidRPr="00942352" w:rsidRDefault="00155C95" w:rsidP="00155C95">
      <w:pPr>
        <w:pStyle w:val="ParaNumbering"/>
        <w:numPr>
          <w:ilvl w:val="0"/>
          <w:numId w:val="0"/>
        </w:numPr>
        <w:ind w:hanging="720"/>
        <w:rPr>
          <w:lang w:eastAsia="en-AU"/>
        </w:rPr>
      </w:pPr>
      <w:r w:rsidRPr="00942352">
        <w:rPr>
          <w:sz w:val="20"/>
          <w:lang w:eastAsia="en-AU"/>
        </w:rPr>
        <w:t>217</w:t>
      </w:r>
      <w:r w:rsidRPr="00942352">
        <w:rPr>
          <w:sz w:val="20"/>
          <w:lang w:eastAsia="en-AU"/>
        </w:rPr>
        <w:tab/>
      </w:r>
      <w:r w:rsidR="006C4493" w:rsidRPr="00942352">
        <w:rPr>
          <w:lang w:eastAsia="en-AU"/>
        </w:rPr>
        <w:t>T</w:t>
      </w:r>
      <w:r w:rsidR="0069647A" w:rsidRPr="00942352">
        <w:rPr>
          <w:lang w:eastAsia="en-AU"/>
        </w:rPr>
        <w:t xml:space="preserve">here are no special rules governing the proof of intention nor predetermined weight to be given to any factor: </w:t>
      </w:r>
      <w:proofErr w:type="spellStart"/>
      <w:r w:rsidR="0069647A" w:rsidRPr="00942352">
        <w:rPr>
          <w:i/>
          <w:lang w:eastAsia="en-AU"/>
        </w:rPr>
        <w:t>Bosanac</w:t>
      </w:r>
      <w:proofErr w:type="spellEnd"/>
      <w:r w:rsidR="0069647A" w:rsidRPr="00942352">
        <w:rPr>
          <w:lang w:eastAsia="en-AU"/>
        </w:rPr>
        <w:t xml:space="preserve"> at [66] (per </w:t>
      </w:r>
      <w:proofErr w:type="spellStart"/>
      <w:r w:rsidR="0069647A" w:rsidRPr="00942352">
        <w:rPr>
          <w:lang w:eastAsia="en-AU"/>
        </w:rPr>
        <w:t>Gageler</w:t>
      </w:r>
      <w:proofErr w:type="spellEnd"/>
      <w:r w:rsidR="0069647A" w:rsidRPr="00942352">
        <w:rPr>
          <w:lang w:eastAsia="en-AU"/>
        </w:rPr>
        <w:t xml:space="preserve"> J). </w:t>
      </w:r>
    </w:p>
    <w:p w14:paraId="0E841820" w14:textId="7D12416C" w:rsidR="003A6BC0" w:rsidRPr="00942352" w:rsidRDefault="00155C95" w:rsidP="00155C95">
      <w:pPr>
        <w:pStyle w:val="ParaNumbering"/>
        <w:numPr>
          <w:ilvl w:val="0"/>
          <w:numId w:val="0"/>
        </w:numPr>
        <w:ind w:hanging="720"/>
        <w:rPr>
          <w:lang w:eastAsia="en-AU"/>
        </w:rPr>
      </w:pPr>
      <w:r w:rsidRPr="00942352">
        <w:rPr>
          <w:sz w:val="20"/>
          <w:lang w:eastAsia="en-AU"/>
        </w:rPr>
        <w:lastRenderedPageBreak/>
        <w:t>218</w:t>
      </w:r>
      <w:r w:rsidRPr="00942352">
        <w:rPr>
          <w:sz w:val="20"/>
          <w:lang w:eastAsia="en-AU"/>
        </w:rPr>
        <w:tab/>
      </w:r>
      <w:r w:rsidR="00FB7F0D" w:rsidRPr="00942352">
        <w:rPr>
          <w:lang w:eastAsia="en-AU"/>
        </w:rPr>
        <w:t>Justices Gordon and Edelman</w:t>
      </w:r>
      <w:r w:rsidR="003A6BC0" w:rsidRPr="00942352">
        <w:rPr>
          <w:lang w:eastAsia="en-AU"/>
        </w:rPr>
        <w:t xml:space="preserve"> described the presumption of a resulting trust as arising where there is a </w:t>
      </w:r>
      <w:r w:rsidR="00081AE0" w:rsidRPr="00942352">
        <w:rPr>
          <w:lang w:eastAsia="en-AU"/>
        </w:rPr>
        <w:t>“</w:t>
      </w:r>
      <w:r w:rsidR="003A6BC0" w:rsidRPr="00942352">
        <w:rPr>
          <w:lang w:eastAsia="en-AU"/>
        </w:rPr>
        <w:t>paucity of evidence as to an intention to declare a trust</w:t>
      </w:r>
      <w:r w:rsidR="00081AE0" w:rsidRPr="00942352">
        <w:rPr>
          <w:lang w:eastAsia="en-AU"/>
        </w:rPr>
        <w:t>”</w:t>
      </w:r>
      <w:r w:rsidR="003A6BC0" w:rsidRPr="00942352">
        <w:rPr>
          <w:lang w:eastAsia="en-AU"/>
        </w:rPr>
        <w:t xml:space="preserve"> (</w:t>
      </w:r>
      <w:proofErr w:type="spellStart"/>
      <w:r w:rsidR="008B3D5B">
        <w:rPr>
          <w:i/>
          <w:lang w:eastAsia="en-AU"/>
        </w:rPr>
        <w:t>Bosanac</w:t>
      </w:r>
      <w:proofErr w:type="spellEnd"/>
      <w:r w:rsidR="008B3D5B">
        <w:rPr>
          <w:i/>
          <w:lang w:eastAsia="en-AU"/>
        </w:rPr>
        <w:t xml:space="preserve"> </w:t>
      </w:r>
      <w:r w:rsidR="003A6BC0" w:rsidRPr="00942352">
        <w:rPr>
          <w:lang w:eastAsia="en-AU"/>
        </w:rPr>
        <w:t>at [105]</w:t>
      </w:r>
      <w:r w:rsidR="004F05DC" w:rsidRPr="00942352">
        <w:rPr>
          <w:lang w:eastAsia="en-AU"/>
        </w:rPr>
        <w:t>)</w:t>
      </w:r>
      <w:r w:rsidR="00581331" w:rsidRPr="00942352">
        <w:rPr>
          <w:lang w:eastAsia="en-AU"/>
        </w:rPr>
        <w:t>,</w:t>
      </w:r>
      <w:r w:rsidR="004F05DC" w:rsidRPr="00942352">
        <w:rPr>
          <w:lang w:eastAsia="en-AU"/>
        </w:rPr>
        <w:t xml:space="preserve"> which cannot prevail over “actual intention”, being the objective manifestation of intention, established by the overall evidence (</w:t>
      </w:r>
      <w:proofErr w:type="spellStart"/>
      <w:r w:rsidR="008B3D5B">
        <w:rPr>
          <w:i/>
          <w:lang w:eastAsia="en-AU"/>
        </w:rPr>
        <w:t>Bosanac</w:t>
      </w:r>
      <w:proofErr w:type="spellEnd"/>
      <w:r w:rsidR="008B3D5B">
        <w:rPr>
          <w:i/>
          <w:lang w:eastAsia="en-AU"/>
        </w:rPr>
        <w:t xml:space="preserve"> </w:t>
      </w:r>
      <w:r w:rsidR="004F05DC" w:rsidRPr="00942352">
        <w:rPr>
          <w:lang w:eastAsia="en-AU"/>
        </w:rPr>
        <w:t>at [111]</w:t>
      </w:r>
      <w:r w:rsidR="008C60EC" w:rsidRPr="00942352">
        <w:rPr>
          <w:lang w:eastAsia="en-AU"/>
        </w:rPr>
        <w:t xml:space="preserve">, quoting </w:t>
      </w:r>
      <w:proofErr w:type="spellStart"/>
      <w:r w:rsidR="008C60EC" w:rsidRPr="00942352">
        <w:rPr>
          <w:i/>
          <w:lang w:eastAsia="en-AU"/>
        </w:rPr>
        <w:t>Pettitt</w:t>
      </w:r>
      <w:proofErr w:type="spellEnd"/>
      <w:r w:rsidR="008C60EC" w:rsidRPr="00942352">
        <w:rPr>
          <w:i/>
          <w:lang w:eastAsia="en-AU"/>
        </w:rPr>
        <w:t xml:space="preserve"> v </w:t>
      </w:r>
      <w:proofErr w:type="spellStart"/>
      <w:r w:rsidR="008C60EC" w:rsidRPr="00942352">
        <w:rPr>
          <w:i/>
          <w:lang w:eastAsia="en-AU"/>
        </w:rPr>
        <w:t>Pettitt</w:t>
      </w:r>
      <w:proofErr w:type="spellEnd"/>
      <w:r w:rsidR="008C60EC" w:rsidRPr="00942352">
        <w:rPr>
          <w:i/>
          <w:lang w:eastAsia="en-AU"/>
        </w:rPr>
        <w:t xml:space="preserve"> </w:t>
      </w:r>
      <w:r w:rsidR="008C60EC" w:rsidRPr="00942352">
        <w:rPr>
          <w:lang w:eastAsia="en-AU"/>
        </w:rPr>
        <w:t>[1970] AC 777 a</w:t>
      </w:r>
      <w:r w:rsidR="00856950" w:rsidRPr="00942352">
        <w:rPr>
          <w:lang w:eastAsia="en-AU"/>
        </w:rPr>
        <w:t>t</w:t>
      </w:r>
      <w:r w:rsidR="008C60EC" w:rsidRPr="00942352">
        <w:rPr>
          <w:lang w:eastAsia="en-AU"/>
        </w:rPr>
        <w:t xml:space="preserve"> 823 per Lord </w:t>
      </w:r>
      <w:proofErr w:type="spellStart"/>
      <w:r w:rsidR="008C60EC" w:rsidRPr="00942352">
        <w:rPr>
          <w:lang w:eastAsia="en-AU"/>
        </w:rPr>
        <w:t>Diplock</w:t>
      </w:r>
      <w:proofErr w:type="spellEnd"/>
      <w:r w:rsidR="004F05DC" w:rsidRPr="00942352">
        <w:rPr>
          <w:lang w:eastAsia="en-AU"/>
        </w:rPr>
        <w:t>).</w:t>
      </w:r>
    </w:p>
    <w:p w14:paraId="4DDD5C11" w14:textId="7245DBE8" w:rsidR="004F05DC" w:rsidRPr="00942352" w:rsidRDefault="00155C95" w:rsidP="00155C95">
      <w:pPr>
        <w:pStyle w:val="ParaNumbering"/>
        <w:numPr>
          <w:ilvl w:val="0"/>
          <w:numId w:val="0"/>
        </w:numPr>
        <w:ind w:hanging="720"/>
        <w:rPr>
          <w:lang w:eastAsia="en-AU"/>
        </w:rPr>
      </w:pPr>
      <w:r w:rsidRPr="00942352">
        <w:rPr>
          <w:sz w:val="20"/>
          <w:lang w:eastAsia="en-AU"/>
        </w:rPr>
        <w:t>219</w:t>
      </w:r>
      <w:r w:rsidRPr="00942352">
        <w:rPr>
          <w:sz w:val="20"/>
          <w:lang w:eastAsia="en-AU"/>
        </w:rPr>
        <w:tab/>
      </w:r>
      <w:r w:rsidR="004F05DC" w:rsidRPr="00942352">
        <w:rPr>
          <w:lang w:eastAsia="en-AU"/>
        </w:rPr>
        <w:t xml:space="preserve">The presumption of advancement is not strictly a presumption, but is better understood as providing “the absence of any reason for assuming that a trust arose” and where it too may be rebutted by evidence of actual intention: </w:t>
      </w:r>
      <w:proofErr w:type="spellStart"/>
      <w:r w:rsidR="004F05DC" w:rsidRPr="00942352">
        <w:rPr>
          <w:i/>
          <w:lang w:eastAsia="en-AU"/>
        </w:rPr>
        <w:t>Bosanac</w:t>
      </w:r>
      <w:proofErr w:type="spellEnd"/>
      <w:r w:rsidR="004F05DC" w:rsidRPr="00942352">
        <w:rPr>
          <w:lang w:eastAsia="en-AU"/>
        </w:rPr>
        <w:t xml:space="preserve"> at [15] (per </w:t>
      </w:r>
      <w:proofErr w:type="spellStart"/>
      <w:r w:rsidR="004F05DC" w:rsidRPr="00942352">
        <w:rPr>
          <w:lang w:eastAsia="en-AU"/>
        </w:rPr>
        <w:t>Kiefel</w:t>
      </w:r>
      <w:proofErr w:type="spellEnd"/>
      <w:r w:rsidR="004F05DC" w:rsidRPr="00942352">
        <w:rPr>
          <w:lang w:eastAsia="en-AU"/>
        </w:rPr>
        <w:t xml:space="preserve"> CJ and Gleeson J), [65] (per </w:t>
      </w:r>
      <w:proofErr w:type="spellStart"/>
      <w:r w:rsidR="004F05DC" w:rsidRPr="00942352">
        <w:rPr>
          <w:lang w:eastAsia="en-AU"/>
        </w:rPr>
        <w:t>Gageler</w:t>
      </w:r>
      <w:proofErr w:type="spellEnd"/>
      <w:r w:rsidR="004F05DC" w:rsidRPr="00942352">
        <w:rPr>
          <w:lang w:eastAsia="en-AU"/>
        </w:rPr>
        <w:t xml:space="preserve"> J), [115] (per Gordon and Edelman JJ). </w:t>
      </w:r>
    </w:p>
    <w:p w14:paraId="4021D0D1" w14:textId="368A4A01" w:rsidR="004F05DC" w:rsidRPr="00942352" w:rsidRDefault="00155C95" w:rsidP="00155C95">
      <w:pPr>
        <w:pStyle w:val="ParaNumbering"/>
        <w:numPr>
          <w:ilvl w:val="0"/>
          <w:numId w:val="0"/>
        </w:numPr>
        <w:ind w:hanging="720"/>
        <w:rPr>
          <w:lang w:eastAsia="en-AU"/>
        </w:rPr>
      </w:pPr>
      <w:r w:rsidRPr="00942352">
        <w:rPr>
          <w:sz w:val="20"/>
          <w:lang w:eastAsia="en-AU"/>
        </w:rPr>
        <w:t>220</w:t>
      </w:r>
      <w:r w:rsidRPr="00942352">
        <w:rPr>
          <w:sz w:val="20"/>
          <w:lang w:eastAsia="en-AU"/>
        </w:rPr>
        <w:tab/>
      </w:r>
      <w:r w:rsidR="004F05DC" w:rsidRPr="00942352">
        <w:rPr>
          <w:lang w:eastAsia="en-AU"/>
        </w:rPr>
        <w:t xml:space="preserve">In response to modern day criticism of the presumption, </w:t>
      </w:r>
      <w:proofErr w:type="spellStart"/>
      <w:r w:rsidR="004F05DC" w:rsidRPr="00942352">
        <w:rPr>
          <w:lang w:eastAsia="en-AU"/>
        </w:rPr>
        <w:t>Kiefel</w:t>
      </w:r>
      <w:proofErr w:type="spellEnd"/>
      <w:r w:rsidR="004F05DC" w:rsidRPr="00942352">
        <w:rPr>
          <w:lang w:eastAsia="en-AU"/>
        </w:rPr>
        <w:t xml:space="preserve"> CJ and Gleeson J observe (</w:t>
      </w:r>
      <w:proofErr w:type="spellStart"/>
      <w:r w:rsidR="008B3D5B">
        <w:rPr>
          <w:i/>
          <w:lang w:eastAsia="en-AU"/>
        </w:rPr>
        <w:t>Bosanac</w:t>
      </w:r>
      <w:proofErr w:type="spellEnd"/>
      <w:r w:rsidR="008B3D5B">
        <w:rPr>
          <w:i/>
          <w:lang w:eastAsia="en-AU"/>
        </w:rPr>
        <w:t xml:space="preserve"> </w:t>
      </w:r>
      <w:r w:rsidR="004F05DC" w:rsidRPr="00942352">
        <w:rPr>
          <w:lang w:eastAsia="en-AU"/>
        </w:rPr>
        <w:t xml:space="preserve">at [21]–[22]): </w:t>
      </w:r>
    </w:p>
    <w:p w14:paraId="0904C7C4" w14:textId="693243BE" w:rsidR="004F05DC" w:rsidRPr="00942352" w:rsidRDefault="004F05DC" w:rsidP="00906AFB">
      <w:pPr>
        <w:pStyle w:val="Quote1"/>
        <w:ind w:left="1440" w:hanging="703"/>
        <w:rPr>
          <w:lang w:eastAsia="en-AU"/>
        </w:rPr>
      </w:pPr>
      <w:r w:rsidRPr="00942352">
        <w:rPr>
          <w:lang w:eastAsia="en-AU"/>
        </w:rPr>
        <w:t>20</w:t>
      </w:r>
      <w:r w:rsidR="009F6605" w:rsidRPr="00942352">
        <w:rPr>
          <w:lang w:eastAsia="en-AU"/>
        </w:rPr>
        <w:t>.</w:t>
      </w:r>
      <w:r w:rsidRPr="00942352">
        <w:rPr>
          <w:lang w:eastAsia="en-AU"/>
        </w:rPr>
        <w:tab/>
        <w:t>It is the concern of the courts to determine what was intended when property was purchased or transferred. It may once have been the case that evidence capable of rebutting the presumptions was not available. That is unlikely to be so today, especially in the context of dealings as between spouses where the relationship has been of sufficient length to permit a court to observe how the spouses have dealt with property as between themselves and managed their affairs. This evidence may take many forms, but it has always been understood that the strength of the presumptions will vary from case to case depending on the evidence.</w:t>
      </w:r>
    </w:p>
    <w:p w14:paraId="17707283" w14:textId="3746A6F3" w:rsidR="004F05DC" w:rsidRPr="00942352" w:rsidRDefault="004F05DC" w:rsidP="004F05DC">
      <w:pPr>
        <w:pStyle w:val="Quote1"/>
        <w:ind w:left="1440" w:hanging="703"/>
      </w:pPr>
      <w:r w:rsidRPr="00942352">
        <w:t>21</w:t>
      </w:r>
      <w:r w:rsidR="009F6605" w:rsidRPr="00942352">
        <w:t>.</w:t>
      </w:r>
      <w:r w:rsidRPr="00942352">
        <w:tab/>
        <w:t xml:space="preserve">The presumption of advancement, understandably, is especially weak today. In </w:t>
      </w:r>
      <w:proofErr w:type="spellStart"/>
      <w:r w:rsidRPr="00942352">
        <w:rPr>
          <w:i/>
          <w:iCs/>
        </w:rPr>
        <w:t>Pettitt</w:t>
      </w:r>
      <w:proofErr w:type="spellEnd"/>
      <w:r w:rsidRPr="00942352">
        <w:t xml:space="preserve">, Lord </w:t>
      </w:r>
      <w:proofErr w:type="spellStart"/>
      <w:r w:rsidRPr="00942352">
        <w:t>Hodson</w:t>
      </w:r>
      <w:proofErr w:type="spellEnd"/>
      <w:r w:rsidRPr="00942352">
        <w:rPr>
          <w:b/>
          <w:bCs/>
          <w:sz w:val="16"/>
          <w:szCs w:val="16"/>
        </w:rPr>
        <w:t xml:space="preserve"> </w:t>
      </w:r>
      <w:r w:rsidRPr="00942352">
        <w:t>considered that when evidence is given it will not often happen that the presumption will have any decisive effect. In the same matter, Lord Upjohn considered that given both presumptions are but a mere circumstance of evidence, they may readily be rebutted by comparatively slight evidence.</w:t>
      </w:r>
    </w:p>
    <w:p w14:paraId="4FE5C9EE" w14:textId="01791269" w:rsidR="004F05DC" w:rsidRPr="00942352" w:rsidRDefault="004F05DC" w:rsidP="004F05DC">
      <w:pPr>
        <w:pStyle w:val="Quote1"/>
      </w:pPr>
      <w:r w:rsidRPr="00942352">
        <w:t>(Footnotes omitted</w:t>
      </w:r>
      <w:r w:rsidR="00E62388" w:rsidRPr="00942352">
        <w:t>.</w:t>
      </w:r>
      <w:r w:rsidRPr="00942352">
        <w:t xml:space="preserve">) </w:t>
      </w:r>
    </w:p>
    <w:p w14:paraId="1EF19F60" w14:textId="748F3FAA" w:rsidR="002C5134" w:rsidRPr="00942352" w:rsidRDefault="00155C95" w:rsidP="00155C95">
      <w:pPr>
        <w:pStyle w:val="ParaNumbering"/>
        <w:numPr>
          <w:ilvl w:val="0"/>
          <w:numId w:val="0"/>
        </w:numPr>
        <w:ind w:hanging="720"/>
        <w:rPr>
          <w:lang w:eastAsia="en-AU"/>
        </w:rPr>
      </w:pPr>
      <w:r w:rsidRPr="00942352">
        <w:rPr>
          <w:sz w:val="20"/>
          <w:lang w:eastAsia="en-AU"/>
        </w:rPr>
        <w:t>221</w:t>
      </w:r>
      <w:r w:rsidRPr="00942352">
        <w:rPr>
          <w:sz w:val="20"/>
          <w:lang w:eastAsia="en-AU"/>
        </w:rPr>
        <w:tab/>
      </w:r>
      <w:r w:rsidR="004F05DC" w:rsidRPr="00942352">
        <w:rPr>
          <w:lang w:eastAsia="en-AU"/>
        </w:rPr>
        <w:t>What is very clear from the High Court’s reasoning is that, despite the continued recognition of the</w:t>
      </w:r>
      <w:r w:rsidR="00A44B96" w:rsidRPr="00942352">
        <w:rPr>
          <w:lang w:eastAsia="en-AU"/>
        </w:rPr>
        <w:t>se</w:t>
      </w:r>
      <w:r w:rsidR="004F05DC" w:rsidRPr="00942352">
        <w:rPr>
          <w:lang w:eastAsia="en-AU"/>
        </w:rPr>
        <w:t xml:space="preserve"> presumptions, they may not carry much weight given the numerous ways spouses now deal with property such that inferences contrary to the presumptions may be readily drawn: </w:t>
      </w:r>
      <w:proofErr w:type="spellStart"/>
      <w:r w:rsidR="004F05DC" w:rsidRPr="00942352">
        <w:rPr>
          <w:i/>
          <w:lang w:eastAsia="en-AU"/>
        </w:rPr>
        <w:t>Bosanac</w:t>
      </w:r>
      <w:proofErr w:type="spellEnd"/>
      <w:r w:rsidR="004F05DC" w:rsidRPr="00942352">
        <w:rPr>
          <w:lang w:eastAsia="en-AU"/>
        </w:rPr>
        <w:t xml:space="preserve"> at [31] (per </w:t>
      </w:r>
      <w:proofErr w:type="spellStart"/>
      <w:r w:rsidR="004F05DC" w:rsidRPr="00942352">
        <w:rPr>
          <w:lang w:eastAsia="en-AU"/>
        </w:rPr>
        <w:t>Kiefel</w:t>
      </w:r>
      <w:proofErr w:type="spellEnd"/>
      <w:r w:rsidR="004F05DC" w:rsidRPr="00942352">
        <w:rPr>
          <w:lang w:eastAsia="en-AU"/>
        </w:rPr>
        <w:t xml:space="preserve"> CJ and Gleeson J). </w:t>
      </w:r>
      <w:r w:rsidR="002C5134" w:rsidRPr="00942352">
        <w:rPr>
          <w:lang w:eastAsia="en-AU"/>
        </w:rPr>
        <w:t xml:space="preserve">Such presumptions are weak presumptions, able to be rebutted by slight evidence: </w:t>
      </w:r>
      <w:proofErr w:type="spellStart"/>
      <w:r w:rsidR="002C5134" w:rsidRPr="00942352">
        <w:rPr>
          <w:i/>
          <w:lang w:eastAsia="en-AU"/>
        </w:rPr>
        <w:t>Bosanac</w:t>
      </w:r>
      <w:proofErr w:type="spellEnd"/>
      <w:r w:rsidR="002C5134" w:rsidRPr="00942352">
        <w:rPr>
          <w:i/>
          <w:lang w:eastAsia="en-AU"/>
        </w:rPr>
        <w:t xml:space="preserve"> </w:t>
      </w:r>
      <w:r w:rsidR="002C5134" w:rsidRPr="00942352">
        <w:rPr>
          <w:lang w:eastAsia="en-AU"/>
        </w:rPr>
        <w:t xml:space="preserve">at [22] </w:t>
      </w:r>
      <w:r w:rsidR="00A44B96" w:rsidRPr="00942352">
        <w:rPr>
          <w:lang w:eastAsia="en-AU"/>
        </w:rPr>
        <w:t>(</w:t>
      </w:r>
      <w:r w:rsidR="002C5134" w:rsidRPr="00942352">
        <w:rPr>
          <w:lang w:eastAsia="en-AU"/>
        </w:rPr>
        <w:t xml:space="preserve">per </w:t>
      </w:r>
      <w:proofErr w:type="spellStart"/>
      <w:r w:rsidR="002C5134" w:rsidRPr="00942352">
        <w:rPr>
          <w:lang w:eastAsia="en-AU"/>
        </w:rPr>
        <w:t>Kiefel</w:t>
      </w:r>
      <w:proofErr w:type="spellEnd"/>
      <w:r w:rsidR="002C5134" w:rsidRPr="00942352">
        <w:rPr>
          <w:lang w:eastAsia="en-AU"/>
        </w:rPr>
        <w:t xml:space="preserve"> CJ and Gleeson J</w:t>
      </w:r>
      <w:r w:rsidR="00A44B96" w:rsidRPr="00942352">
        <w:rPr>
          <w:lang w:eastAsia="en-AU"/>
        </w:rPr>
        <w:t>)</w:t>
      </w:r>
      <w:r w:rsidR="002C5134" w:rsidRPr="00942352">
        <w:rPr>
          <w:lang w:eastAsia="en-AU"/>
        </w:rPr>
        <w:t xml:space="preserve"> and [102]</w:t>
      </w:r>
      <w:r w:rsidR="00A44B96" w:rsidRPr="00942352">
        <w:rPr>
          <w:lang w:eastAsia="en-AU"/>
        </w:rPr>
        <w:t>–</w:t>
      </w:r>
      <w:r w:rsidR="002C5134" w:rsidRPr="00942352">
        <w:rPr>
          <w:lang w:eastAsia="en-AU"/>
        </w:rPr>
        <w:t xml:space="preserve">[110] </w:t>
      </w:r>
      <w:r w:rsidR="00A44B96" w:rsidRPr="00942352">
        <w:rPr>
          <w:lang w:eastAsia="en-AU"/>
        </w:rPr>
        <w:t>(</w:t>
      </w:r>
      <w:r w:rsidR="002C5134" w:rsidRPr="00942352">
        <w:rPr>
          <w:lang w:eastAsia="en-AU"/>
        </w:rPr>
        <w:t>per Gordon and Edelman JJ</w:t>
      </w:r>
      <w:r w:rsidR="00A44B96" w:rsidRPr="00942352">
        <w:rPr>
          <w:lang w:eastAsia="en-AU"/>
        </w:rPr>
        <w:t>)</w:t>
      </w:r>
      <w:r w:rsidR="002C5134" w:rsidRPr="00942352">
        <w:rPr>
          <w:lang w:eastAsia="en-AU"/>
        </w:rPr>
        <w:t>.</w:t>
      </w:r>
    </w:p>
    <w:p w14:paraId="1D443E70" w14:textId="66CD1157" w:rsidR="0069647A" w:rsidRPr="00942352" w:rsidRDefault="0069647A" w:rsidP="0069647A">
      <w:pPr>
        <w:pStyle w:val="Heading4"/>
        <w:rPr>
          <w:lang w:eastAsia="en-AU"/>
        </w:rPr>
      </w:pPr>
      <w:bookmarkStart w:id="113" w:name="_Ref126916986"/>
      <w:r w:rsidRPr="00942352">
        <w:rPr>
          <w:lang w:eastAsia="en-AU"/>
        </w:rPr>
        <w:t>The resulting trust claim</w:t>
      </w:r>
      <w:bookmarkEnd w:id="113"/>
    </w:p>
    <w:p w14:paraId="7363894D" w14:textId="2F6FF177" w:rsidR="005715FA" w:rsidRPr="00942352" w:rsidRDefault="00155C95" w:rsidP="00155C95">
      <w:pPr>
        <w:pStyle w:val="ParaNumbering"/>
        <w:numPr>
          <w:ilvl w:val="0"/>
          <w:numId w:val="0"/>
        </w:numPr>
        <w:ind w:hanging="720"/>
        <w:rPr>
          <w:lang w:eastAsia="en-AU"/>
        </w:rPr>
      </w:pPr>
      <w:r w:rsidRPr="00942352">
        <w:rPr>
          <w:sz w:val="20"/>
          <w:lang w:eastAsia="en-AU"/>
        </w:rPr>
        <w:t>222</w:t>
      </w:r>
      <w:r w:rsidRPr="00942352">
        <w:rPr>
          <w:sz w:val="20"/>
          <w:lang w:eastAsia="en-AU"/>
        </w:rPr>
        <w:tab/>
      </w:r>
      <w:r w:rsidR="009053DB" w:rsidRPr="00942352">
        <w:rPr>
          <w:lang w:eastAsia="en-AU"/>
        </w:rPr>
        <w:t>I do not</w:t>
      </w:r>
      <w:r w:rsidR="005311FF" w:rsidRPr="00942352">
        <w:rPr>
          <w:lang w:eastAsia="en-AU"/>
        </w:rPr>
        <w:t xml:space="preserve"> accept the </w:t>
      </w:r>
      <w:r w:rsidR="00D321B0" w:rsidRPr="00942352">
        <w:rPr>
          <w:lang w:eastAsia="en-AU"/>
        </w:rPr>
        <w:t>trustee’s</w:t>
      </w:r>
      <w:r w:rsidR="005311FF" w:rsidRPr="00942352">
        <w:rPr>
          <w:lang w:eastAsia="en-AU"/>
        </w:rPr>
        <w:t xml:space="preserve"> claim of a</w:t>
      </w:r>
      <w:r w:rsidR="00B46892" w:rsidRPr="00942352">
        <w:rPr>
          <w:lang w:eastAsia="en-AU"/>
        </w:rPr>
        <w:t xml:space="preserve"> beneficial interest in the North Balgowlah property by reason of there being a purported</w:t>
      </w:r>
      <w:r w:rsidR="005311FF" w:rsidRPr="00942352">
        <w:rPr>
          <w:lang w:eastAsia="en-AU"/>
        </w:rPr>
        <w:t xml:space="preserve"> resulting trust</w:t>
      </w:r>
      <w:r w:rsidR="009053DB" w:rsidRPr="00942352">
        <w:rPr>
          <w:lang w:eastAsia="en-AU"/>
        </w:rPr>
        <w:t xml:space="preserve">. Whilst I accept that </w:t>
      </w:r>
      <w:r w:rsidR="005311FF" w:rsidRPr="00942352">
        <w:rPr>
          <w:lang w:eastAsia="en-AU"/>
        </w:rPr>
        <w:t>a</w:t>
      </w:r>
      <w:r w:rsidR="009053DB" w:rsidRPr="00942352">
        <w:rPr>
          <w:lang w:eastAsia="en-AU"/>
        </w:rPr>
        <w:t xml:space="preserve"> presumption may arise </w:t>
      </w:r>
      <w:r w:rsidR="009053DB" w:rsidRPr="00942352">
        <w:rPr>
          <w:lang w:eastAsia="en-AU"/>
        </w:rPr>
        <w:lastRenderedPageBreak/>
        <w:t xml:space="preserve">by reason of the bankrupt’s contribution to the purchase of the North Balgowlah property, </w:t>
      </w:r>
      <w:r w:rsidR="00C5088A" w:rsidRPr="00942352">
        <w:rPr>
          <w:lang w:eastAsia="en-AU"/>
        </w:rPr>
        <w:t xml:space="preserve">and by him being a joint borrower on the loan contributing to its purchase, </w:t>
      </w:r>
      <w:r w:rsidR="009053DB" w:rsidRPr="00942352">
        <w:rPr>
          <w:lang w:eastAsia="en-AU"/>
        </w:rPr>
        <w:t xml:space="preserve">I </w:t>
      </w:r>
      <w:r w:rsidR="005311FF" w:rsidRPr="00942352">
        <w:rPr>
          <w:lang w:eastAsia="en-AU"/>
        </w:rPr>
        <w:t xml:space="preserve">am satisfied that this </w:t>
      </w:r>
      <w:r w:rsidR="009B5D49" w:rsidRPr="00942352">
        <w:rPr>
          <w:lang w:eastAsia="en-AU"/>
        </w:rPr>
        <w:t xml:space="preserve">was not the actual intention of the bankrupt and the respondent: </w:t>
      </w:r>
      <w:r w:rsidR="00193072" w:rsidRPr="00942352">
        <w:rPr>
          <w:lang w:eastAsia="en-AU"/>
        </w:rPr>
        <w:t xml:space="preserve">It is my view that the bankrupt and the respondent </w:t>
      </w:r>
      <w:r w:rsidR="002C468B" w:rsidRPr="00942352">
        <w:rPr>
          <w:lang w:eastAsia="en-AU"/>
        </w:rPr>
        <w:t xml:space="preserve">intended that the respondent </w:t>
      </w:r>
      <w:r w:rsidR="00E46DD2" w:rsidRPr="00942352">
        <w:rPr>
          <w:lang w:eastAsia="en-AU"/>
        </w:rPr>
        <w:t xml:space="preserve">be the sole owner of the North Balgowlah property. </w:t>
      </w:r>
      <w:r w:rsidR="00C07268" w:rsidRPr="00942352">
        <w:rPr>
          <w:lang w:eastAsia="en-AU"/>
        </w:rPr>
        <w:t>I rely on my earlier reasoning with respect to the bankrupt’s</w:t>
      </w:r>
      <w:r w:rsidR="001914E7" w:rsidRPr="00942352">
        <w:rPr>
          <w:lang w:eastAsia="en-AU"/>
        </w:rPr>
        <w:t xml:space="preserve"> intention</w:t>
      </w:r>
      <w:r w:rsidR="00BE1DAB" w:rsidRPr="00942352">
        <w:rPr>
          <w:lang w:eastAsia="en-AU"/>
        </w:rPr>
        <w:t xml:space="preserve"> for the transactions</w:t>
      </w:r>
      <w:r w:rsidR="001914E7" w:rsidRPr="00942352">
        <w:rPr>
          <w:lang w:eastAsia="en-AU"/>
        </w:rPr>
        <w:t>, his</w:t>
      </w:r>
      <w:r w:rsidR="00C07268" w:rsidRPr="00942352">
        <w:rPr>
          <w:lang w:eastAsia="en-AU"/>
        </w:rPr>
        <w:t xml:space="preserve"> credibility, the entire circumstances leading to the purchase of and sale of the Anzac Parade and Boyce Road properties, the class action, the status of the bankrupt’s and his business’ financial position in 2014, the circumstances of the purchase of </w:t>
      </w:r>
      <w:r w:rsidR="001B0207" w:rsidRPr="00942352">
        <w:rPr>
          <w:lang w:eastAsia="en-AU"/>
        </w:rPr>
        <w:t xml:space="preserve">the </w:t>
      </w:r>
      <w:r w:rsidR="00C07268" w:rsidRPr="00942352">
        <w:rPr>
          <w:lang w:eastAsia="en-AU"/>
        </w:rPr>
        <w:t>North Balgowlah</w:t>
      </w:r>
      <w:r w:rsidR="001B0207" w:rsidRPr="00942352">
        <w:rPr>
          <w:lang w:eastAsia="en-AU"/>
        </w:rPr>
        <w:t xml:space="preserve"> property</w:t>
      </w:r>
      <w:r w:rsidR="00C07268" w:rsidRPr="00942352">
        <w:rPr>
          <w:lang w:eastAsia="en-AU"/>
        </w:rPr>
        <w:t xml:space="preserve">, the monies used for its purchase and the timing of its purchase. </w:t>
      </w:r>
    </w:p>
    <w:p w14:paraId="771015D9" w14:textId="42937EB0" w:rsidR="00C07268" w:rsidRPr="00942352" w:rsidRDefault="00155C95" w:rsidP="00155C95">
      <w:pPr>
        <w:pStyle w:val="ParaNumbering"/>
        <w:numPr>
          <w:ilvl w:val="0"/>
          <w:numId w:val="0"/>
        </w:numPr>
        <w:ind w:hanging="720"/>
        <w:rPr>
          <w:lang w:eastAsia="en-AU"/>
        </w:rPr>
      </w:pPr>
      <w:r w:rsidRPr="00942352">
        <w:rPr>
          <w:sz w:val="20"/>
          <w:lang w:eastAsia="en-AU"/>
        </w:rPr>
        <w:t>223</w:t>
      </w:r>
      <w:r w:rsidRPr="00942352">
        <w:rPr>
          <w:sz w:val="20"/>
          <w:lang w:eastAsia="en-AU"/>
        </w:rPr>
        <w:tab/>
      </w:r>
      <w:r w:rsidR="001914E7" w:rsidRPr="00942352">
        <w:rPr>
          <w:lang w:eastAsia="en-AU"/>
        </w:rPr>
        <w:t xml:space="preserve">It </w:t>
      </w:r>
      <w:r w:rsidR="005715FA" w:rsidRPr="00942352">
        <w:rPr>
          <w:lang w:eastAsia="en-AU"/>
        </w:rPr>
        <w:t xml:space="preserve">is my view </w:t>
      </w:r>
      <w:r w:rsidR="001914E7" w:rsidRPr="00942352">
        <w:rPr>
          <w:lang w:eastAsia="en-AU"/>
        </w:rPr>
        <w:t xml:space="preserve">that it is clear on the evidence that the bankrupt intended </w:t>
      </w:r>
      <w:r w:rsidR="005715FA" w:rsidRPr="00942352">
        <w:rPr>
          <w:lang w:eastAsia="en-AU"/>
        </w:rPr>
        <w:t xml:space="preserve">to provide the payments towards the purchase price of </w:t>
      </w:r>
      <w:r w:rsidR="00FA0596">
        <w:rPr>
          <w:lang w:eastAsia="en-AU"/>
        </w:rPr>
        <w:t xml:space="preserve">the </w:t>
      </w:r>
      <w:r w:rsidR="005715FA" w:rsidRPr="00942352">
        <w:rPr>
          <w:lang w:eastAsia="en-AU"/>
        </w:rPr>
        <w:t xml:space="preserve">North Balgowlah </w:t>
      </w:r>
      <w:r w:rsidR="00FA0596">
        <w:rPr>
          <w:lang w:eastAsia="en-AU"/>
        </w:rPr>
        <w:t xml:space="preserve">property </w:t>
      </w:r>
      <w:r w:rsidR="005715FA" w:rsidRPr="00942352">
        <w:rPr>
          <w:lang w:eastAsia="en-AU"/>
        </w:rPr>
        <w:t xml:space="preserve">and towards the Seaforth Mortgages </w:t>
      </w:r>
      <w:r w:rsidR="00385ECC" w:rsidRPr="00942352">
        <w:rPr>
          <w:lang w:eastAsia="en-AU"/>
        </w:rPr>
        <w:t xml:space="preserve">because of his desire to prevent that transferred property from becoming divisible among his creditors. </w:t>
      </w:r>
      <w:r w:rsidR="001914E7" w:rsidRPr="00942352">
        <w:rPr>
          <w:lang w:eastAsia="en-AU"/>
        </w:rPr>
        <w:t>The fact that</w:t>
      </w:r>
      <w:r w:rsidR="005715FA" w:rsidRPr="00942352">
        <w:rPr>
          <w:lang w:eastAsia="en-AU"/>
        </w:rPr>
        <w:t xml:space="preserve"> he intended </w:t>
      </w:r>
      <w:r w:rsidR="00FA0596">
        <w:rPr>
          <w:lang w:eastAsia="en-AU"/>
        </w:rPr>
        <w:t xml:space="preserve">the </w:t>
      </w:r>
      <w:r w:rsidR="00FA0596" w:rsidRPr="00942352">
        <w:rPr>
          <w:lang w:eastAsia="en-AU"/>
        </w:rPr>
        <w:t xml:space="preserve">North Balgowlah </w:t>
      </w:r>
      <w:r w:rsidR="00FA0596">
        <w:rPr>
          <w:lang w:eastAsia="en-AU"/>
        </w:rPr>
        <w:t xml:space="preserve">property </w:t>
      </w:r>
      <w:r w:rsidR="005715FA" w:rsidRPr="00942352">
        <w:rPr>
          <w:lang w:eastAsia="en-AU"/>
        </w:rPr>
        <w:t xml:space="preserve">to be placed in the respondent’s name to preserve it from creditors does not mean that he did not intend for </w:t>
      </w:r>
      <w:r w:rsidR="001E10DF" w:rsidRPr="00942352">
        <w:rPr>
          <w:lang w:eastAsia="en-AU"/>
        </w:rPr>
        <w:t>her to be the legal and beneficial owner</w:t>
      </w:r>
      <w:r w:rsidR="005715FA" w:rsidRPr="00942352">
        <w:rPr>
          <w:lang w:eastAsia="en-AU"/>
        </w:rPr>
        <w:t xml:space="preserve">. </w:t>
      </w:r>
      <w:r w:rsidR="001914E7" w:rsidRPr="00942352">
        <w:rPr>
          <w:lang w:eastAsia="en-AU"/>
        </w:rPr>
        <w:t xml:space="preserve"> </w:t>
      </w:r>
    </w:p>
    <w:p w14:paraId="3B27BCBD" w14:textId="0A74EC22" w:rsidR="009053DB" w:rsidRPr="00942352" w:rsidRDefault="00155C95" w:rsidP="00155C95">
      <w:pPr>
        <w:pStyle w:val="ParaNumbering"/>
        <w:numPr>
          <w:ilvl w:val="0"/>
          <w:numId w:val="0"/>
        </w:numPr>
        <w:ind w:hanging="720"/>
        <w:rPr>
          <w:lang w:eastAsia="en-AU"/>
        </w:rPr>
      </w:pPr>
      <w:r w:rsidRPr="00942352">
        <w:rPr>
          <w:sz w:val="20"/>
          <w:lang w:eastAsia="en-AU"/>
        </w:rPr>
        <w:t>224</w:t>
      </w:r>
      <w:r w:rsidRPr="00942352">
        <w:rPr>
          <w:sz w:val="20"/>
          <w:lang w:eastAsia="en-AU"/>
        </w:rPr>
        <w:tab/>
      </w:r>
      <w:r w:rsidR="005311FF" w:rsidRPr="00942352">
        <w:rPr>
          <w:lang w:eastAsia="en-AU"/>
        </w:rPr>
        <w:t>I accept the respondent’s submission in part</w:t>
      </w:r>
      <w:r w:rsidR="00C07268" w:rsidRPr="00942352">
        <w:rPr>
          <w:lang w:eastAsia="en-AU"/>
        </w:rPr>
        <w:t>,</w:t>
      </w:r>
      <w:r w:rsidR="005311FF" w:rsidRPr="00942352">
        <w:rPr>
          <w:lang w:eastAsia="en-AU"/>
        </w:rPr>
        <w:t xml:space="preserve"> that in addition to the bankrupt seeking by the purchase to protect the proceeds of sale of his two investment properties</w:t>
      </w:r>
      <w:r w:rsidR="00C07268" w:rsidRPr="00942352">
        <w:rPr>
          <w:lang w:eastAsia="en-AU"/>
        </w:rPr>
        <w:t xml:space="preserve"> </w:t>
      </w:r>
      <w:r w:rsidR="00187AFA" w:rsidRPr="00942352">
        <w:rPr>
          <w:lang w:eastAsia="en-AU"/>
        </w:rPr>
        <w:t>(the Boyce Road and Anzac Parade</w:t>
      </w:r>
      <w:r w:rsidR="009E5C23" w:rsidRPr="00942352">
        <w:rPr>
          <w:lang w:eastAsia="en-AU"/>
        </w:rPr>
        <w:t xml:space="preserve"> properties)</w:t>
      </w:r>
      <w:r w:rsidR="00187AFA" w:rsidRPr="00942352">
        <w:rPr>
          <w:lang w:eastAsia="en-AU"/>
        </w:rPr>
        <w:t xml:space="preserve"> </w:t>
      </w:r>
      <w:r w:rsidR="00C07268" w:rsidRPr="00942352">
        <w:rPr>
          <w:lang w:eastAsia="en-AU"/>
        </w:rPr>
        <w:t>(which was disputed by the respondent)</w:t>
      </w:r>
      <w:r w:rsidR="005311FF" w:rsidRPr="00942352">
        <w:rPr>
          <w:lang w:eastAsia="en-AU"/>
        </w:rPr>
        <w:t>, the bankrupt also maintained a recent course of conduct</w:t>
      </w:r>
      <w:r w:rsidR="00073AF4" w:rsidRPr="00942352">
        <w:rPr>
          <w:lang w:eastAsia="en-AU"/>
        </w:rPr>
        <w:t xml:space="preserve"> (though for different reasons)</w:t>
      </w:r>
      <w:r w:rsidR="005311FF" w:rsidRPr="00942352">
        <w:rPr>
          <w:lang w:eastAsia="en-AU"/>
        </w:rPr>
        <w:t xml:space="preserve">, agreed with </w:t>
      </w:r>
      <w:r w:rsidR="005E6AA3" w:rsidRPr="00942352">
        <w:rPr>
          <w:lang w:eastAsia="en-AU"/>
        </w:rPr>
        <w:t>the</w:t>
      </w:r>
      <w:r w:rsidR="005311FF" w:rsidRPr="00942352">
        <w:rPr>
          <w:lang w:eastAsia="en-AU"/>
        </w:rPr>
        <w:t xml:space="preserve"> </w:t>
      </w:r>
      <w:r w:rsidR="005E6AA3" w:rsidRPr="00942352">
        <w:rPr>
          <w:lang w:eastAsia="en-AU"/>
        </w:rPr>
        <w:t>respondent</w:t>
      </w:r>
      <w:r w:rsidR="005311FF" w:rsidRPr="00942352">
        <w:rPr>
          <w:lang w:eastAsia="en-AU"/>
        </w:rPr>
        <w:t xml:space="preserve">, </w:t>
      </w:r>
      <w:r w:rsidR="009053DB" w:rsidRPr="00942352">
        <w:rPr>
          <w:lang w:eastAsia="en-AU"/>
        </w:rPr>
        <w:t xml:space="preserve">as can be seen from the purchase of </w:t>
      </w:r>
      <w:r w:rsidR="005311FF" w:rsidRPr="00942352">
        <w:rPr>
          <w:lang w:eastAsia="en-AU"/>
        </w:rPr>
        <w:t xml:space="preserve">the prior </w:t>
      </w:r>
      <w:r w:rsidR="00743FC7" w:rsidRPr="00942352">
        <w:rPr>
          <w:lang w:eastAsia="en-AU"/>
        </w:rPr>
        <w:t>marital</w:t>
      </w:r>
      <w:r w:rsidR="005311FF" w:rsidRPr="00942352">
        <w:rPr>
          <w:lang w:eastAsia="en-AU"/>
        </w:rPr>
        <w:t xml:space="preserve"> home at Seaforth, that </w:t>
      </w:r>
      <w:r w:rsidR="00C955FC" w:rsidRPr="00942352">
        <w:rPr>
          <w:lang w:eastAsia="en-AU"/>
        </w:rPr>
        <w:t xml:space="preserve">the </w:t>
      </w:r>
      <w:r w:rsidR="009053DB" w:rsidRPr="00942352">
        <w:rPr>
          <w:lang w:eastAsia="en-AU"/>
        </w:rPr>
        <w:t>respondent was to be the beneficial</w:t>
      </w:r>
      <w:r w:rsidR="005311FF" w:rsidRPr="00942352">
        <w:rPr>
          <w:lang w:eastAsia="en-AU"/>
        </w:rPr>
        <w:t xml:space="preserve"> owner</w:t>
      </w:r>
      <w:r w:rsidR="00214531" w:rsidRPr="00942352">
        <w:rPr>
          <w:lang w:eastAsia="en-AU"/>
        </w:rPr>
        <w:t xml:space="preserve"> of the North Balgowlah property</w:t>
      </w:r>
      <w:r w:rsidR="005311FF" w:rsidRPr="00942352">
        <w:rPr>
          <w:lang w:eastAsia="en-AU"/>
        </w:rPr>
        <w:t xml:space="preserve">, as reflected from the </w:t>
      </w:r>
      <w:r w:rsidR="009053DB" w:rsidRPr="00942352">
        <w:rPr>
          <w:lang w:eastAsia="en-AU"/>
        </w:rPr>
        <w:t>legal title</w:t>
      </w:r>
      <w:r w:rsidR="00214531" w:rsidRPr="00942352">
        <w:rPr>
          <w:lang w:eastAsia="en-AU"/>
        </w:rPr>
        <w:t>,</w:t>
      </w:r>
      <w:r w:rsidR="002C0317" w:rsidRPr="00942352">
        <w:rPr>
          <w:lang w:eastAsia="en-AU"/>
        </w:rPr>
        <w:t xml:space="preserve"> which was for succession planning reasons and by reason of </w:t>
      </w:r>
      <w:r w:rsidR="004A2D60">
        <w:rPr>
          <w:lang w:eastAsia="en-AU"/>
        </w:rPr>
        <w:t>Ms Dew</w:t>
      </w:r>
      <w:r w:rsidR="002C0317" w:rsidRPr="00942352">
        <w:rPr>
          <w:lang w:eastAsia="en-AU"/>
        </w:rPr>
        <w:t xml:space="preserve"> making contributions to the purchase of </w:t>
      </w:r>
      <w:r w:rsidR="00EA5A41" w:rsidRPr="00942352">
        <w:rPr>
          <w:lang w:eastAsia="en-AU"/>
        </w:rPr>
        <w:t>the Fairlight property (</w:t>
      </w:r>
      <w:r w:rsidR="002C0317" w:rsidRPr="00942352">
        <w:rPr>
          <w:lang w:eastAsia="en-AU"/>
        </w:rPr>
        <w:t>the initial matrimonial home</w:t>
      </w:r>
      <w:r w:rsidR="00EA5A41" w:rsidRPr="00942352">
        <w:rPr>
          <w:lang w:eastAsia="en-AU"/>
        </w:rPr>
        <w:t>)</w:t>
      </w:r>
      <w:r w:rsidR="002C0317" w:rsidRPr="00942352">
        <w:rPr>
          <w:lang w:eastAsia="en-AU"/>
        </w:rPr>
        <w:t xml:space="preserve"> and subsequently making another contribution</w:t>
      </w:r>
      <w:r w:rsidR="00753AB7" w:rsidRPr="00942352">
        <w:rPr>
          <w:lang w:eastAsia="en-AU"/>
        </w:rPr>
        <w:t xml:space="preserve"> to the renovations of the Seaforth property</w:t>
      </w:r>
      <w:r w:rsidR="009053DB" w:rsidRPr="00942352">
        <w:rPr>
          <w:lang w:eastAsia="en-AU"/>
        </w:rPr>
        <w:t xml:space="preserve">. </w:t>
      </w:r>
    </w:p>
    <w:p w14:paraId="082FD357" w14:textId="3E4C26AF" w:rsidR="00C54C52" w:rsidRPr="00942352" w:rsidRDefault="00155C95" w:rsidP="00155C95">
      <w:pPr>
        <w:pStyle w:val="ParaNumbering"/>
        <w:numPr>
          <w:ilvl w:val="0"/>
          <w:numId w:val="0"/>
        </w:numPr>
        <w:ind w:hanging="720"/>
        <w:rPr>
          <w:lang w:eastAsia="en-AU"/>
        </w:rPr>
      </w:pPr>
      <w:r w:rsidRPr="00942352">
        <w:rPr>
          <w:sz w:val="20"/>
          <w:lang w:eastAsia="en-AU"/>
        </w:rPr>
        <w:t>225</w:t>
      </w:r>
      <w:r w:rsidRPr="00942352">
        <w:rPr>
          <w:sz w:val="20"/>
          <w:lang w:eastAsia="en-AU"/>
        </w:rPr>
        <w:tab/>
      </w:r>
      <w:r w:rsidR="00C54C52" w:rsidRPr="00942352">
        <w:rPr>
          <w:lang w:eastAsia="en-AU"/>
        </w:rPr>
        <w:t xml:space="preserve">I am also of the view that the trustee has not proved, through the use of the respondent’s evidence, that the bankrupt’s and respondent’s intention was otherwise. </w:t>
      </w:r>
      <w:r w:rsidR="008D1485">
        <w:rPr>
          <w:lang w:eastAsia="en-AU"/>
        </w:rPr>
        <w:t>For the reasons set out above, i</w:t>
      </w:r>
      <w:r w:rsidR="00C54C52" w:rsidRPr="00942352">
        <w:rPr>
          <w:lang w:eastAsia="en-AU"/>
        </w:rPr>
        <w:t xml:space="preserve">t is my view that </w:t>
      </w:r>
      <w:r w:rsidR="00BE1DAB" w:rsidRPr="00942352">
        <w:rPr>
          <w:lang w:eastAsia="en-AU"/>
        </w:rPr>
        <w:t>the respondent’s</w:t>
      </w:r>
      <w:r w:rsidR="00C54C52" w:rsidRPr="00942352">
        <w:rPr>
          <w:lang w:eastAsia="en-AU"/>
        </w:rPr>
        <w:t xml:space="preserve"> evidence establishes that </w:t>
      </w:r>
      <w:r w:rsidR="00BE1DAB" w:rsidRPr="00942352">
        <w:rPr>
          <w:lang w:eastAsia="en-AU"/>
        </w:rPr>
        <w:t>her</w:t>
      </w:r>
      <w:r w:rsidR="00C54C52" w:rsidRPr="00942352">
        <w:rPr>
          <w:lang w:eastAsia="en-AU"/>
        </w:rPr>
        <w:t xml:space="preserve"> intention</w:t>
      </w:r>
      <w:r w:rsidR="00BE1DAB" w:rsidRPr="00942352">
        <w:rPr>
          <w:lang w:eastAsia="en-AU"/>
        </w:rPr>
        <w:t xml:space="preserve"> was</w:t>
      </w:r>
      <w:r w:rsidR="00C54C52" w:rsidRPr="00942352">
        <w:rPr>
          <w:lang w:eastAsia="en-AU"/>
        </w:rPr>
        <w:t xml:space="preserve"> that the bankrupt’s provision of contributions to the purchase of </w:t>
      </w:r>
      <w:r w:rsidR="00D238BE" w:rsidRPr="00942352">
        <w:rPr>
          <w:lang w:eastAsia="en-AU"/>
        </w:rPr>
        <w:t xml:space="preserve">the </w:t>
      </w:r>
      <w:r w:rsidR="00C54C52" w:rsidRPr="00942352">
        <w:rPr>
          <w:lang w:eastAsia="en-AU"/>
        </w:rPr>
        <w:t>North Balgowlah</w:t>
      </w:r>
      <w:r w:rsidR="00D238BE" w:rsidRPr="00942352">
        <w:rPr>
          <w:lang w:eastAsia="en-AU"/>
        </w:rPr>
        <w:t xml:space="preserve"> property</w:t>
      </w:r>
      <w:r w:rsidR="00C54C52" w:rsidRPr="00942352">
        <w:rPr>
          <w:lang w:eastAsia="en-AU"/>
        </w:rPr>
        <w:t xml:space="preserve"> and the Seaforth </w:t>
      </w:r>
      <w:r w:rsidR="00D238BE" w:rsidRPr="00942352">
        <w:rPr>
          <w:lang w:eastAsia="en-AU"/>
        </w:rPr>
        <w:t>M</w:t>
      </w:r>
      <w:r w:rsidR="00C54C52" w:rsidRPr="00942352">
        <w:rPr>
          <w:lang w:eastAsia="en-AU"/>
        </w:rPr>
        <w:t xml:space="preserve">ortgages was </w:t>
      </w:r>
      <w:r w:rsidR="00BE1DAB" w:rsidRPr="00942352">
        <w:rPr>
          <w:lang w:eastAsia="en-AU"/>
        </w:rPr>
        <w:t xml:space="preserve">to assist her as </w:t>
      </w:r>
      <w:r w:rsidR="00C54C52" w:rsidRPr="00942352">
        <w:rPr>
          <w:lang w:eastAsia="en-AU"/>
        </w:rPr>
        <w:t xml:space="preserve">the legal and beneficial owner of both of those properties. </w:t>
      </w:r>
    </w:p>
    <w:p w14:paraId="6A921D5D" w14:textId="3273125D" w:rsidR="00C07268" w:rsidRPr="00942352" w:rsidRDefault="00155C95" w:rsidP="00155C95">
      <w:pPr>
        <w:pStyle w:val="ParaNumbering"/>
        <w:numPr>
          <w:ilvl w:val="0"/>
          <w:numId w:val="0"/>
        </w:numPr>
        <w:tabs>
          <w:tab w:val="left" w:pos="720"/>
        </w:tabs>
        <w:ind w:hanging="720"/>
        <w:rPr>
          <w:lang w:eastAsia="en-AU"/>
        </w:rPr>
      </w:pPr>
      <w:bookmarkStart w:id="114" w:name="_Ref122594716"/>
      <w:r w:rsidRPr="00942352">
        <w:rPr>
          <w:sz w:val="20"/>
          <w:lang w:eastAsia="en-AU"/>
        </w:rPr>
        <w:t>226</w:t>
      </w:r>
      <w:r w:rsidRPr="00942352">
        <w:rPr>
          <w:sz w:val="20"/>
          <w:lang w:eastAsia="en-AU"/>
        </w:rPr>
        <w:tab/>
      </w:r>
      <w:r w:rsidR="00BE1DAB" w:rsidRPr="00942352">
        <w:rPr>
          <w:lang w:eastAsia="en-AU"/>
        </w:rPr>
        <w:t>The trustee is not able to re</w:t>
      </w:r>
      <w:r w:rsidR="00C54C52" w:rsidRPr="00942352">
        <w:rPr>
          <w:lang w:eastAsia="en-AU"/>
        </w:rPr>
        <w:t xml:space="preserve">ly </w:t>
      </w:r>
      <w:r w:rsidR="00E06F7D" w:rsidRPr="00942352">
        <w:rPr>
          <w:lang w:eastAsia="en-AU"/>
        </w:rPr>
        <w:t xml:space="preserve">on the respondent’s evidence given under </w:t>
      </w:r>
      <w:r w:rsidR="004C62E8">
        <w:rPr>
          <w:lang w:eastAsia="en-AU"/>
        </w:rPr>
        <w:t>her</w:t>
      </w:r>
      <w:r w:rsidR="00960E38">
        <w:rPr>
          <w:lang w:eastAsia="en-AU"/>
        </w:rPr>
        <w:t xml:space="preserve"> </w:t>
      </w:r>
      <w:r w:rsidR="00C47D24" w:rsidRPr="00960E38">
        <w:rPr>
          <w:lang w:eastAsia="en-AU"/>
        </w:rPr>
        <w:t>e</w:t>
      </w:r>
      <w:r w:rsidR="001744F4" w:rsidRPr="00960E38">
        <w:rPr>
          <w:lang w:eastAsia="en-AU"/>
        </w:rPr>
        <w:t>xamination</w:t>
      </w:r>
      <w:r w:rsidR="00ED6A4D" w:rsidRPr="00942352">
        <w:rPr>
          <w:lang w:eastAsia="en-AU"/>
        </w:rPr>
        <w:t xml:space="preserve">, where she said that </w:t>
      </w:r>
      <w:r w:rsidR="00E4777F" w:rsidRPr="00942352">
        <w:rPr>
          <w:lang w:eastAsia="en-AU"/>
        </w:rPr>
        <w:t>she</w:t>
      </w:r>
      <w:r w:rsidR="00ED6A4D" w:rsidRPr="00942352">
        <w:rPr>
          <w:lang w:eastAsia="en-AU"/>
        </w:rPr>
        <w:t xml:space="preserve"> and the bankrupt owned the North Balgowlah </w:t>
      </w:r>
      <w:r w:rsidR="00AC3253" w:rsidRPr="00942352">
        <w:rPr>
          <w:lang w:eastAsia="en-AU"/>
        </w:rPr>
        <w:t>property</w:t>
      </w:r>
      <w:r w:rsidR="00ED6A4D" w:rsidRPr="00942352">
        <w:rPr>
          <w:lang w:eastAsia="en-AU"/>
        </w:rPr>
        <w:t xml:space="preserve"> together. </w:t>
      </w:r>
      <w:bookmarkEnd w:id="114"/>
      <w:r w:rsidR="00C07268" w:rsidRPr="00942352">
        <w:rPr>
          <w:lang w:eastAsia="en-AU"/>
        </w:rPr>
        <w:t xml:space="preserve">I accept the </w:t>
      </w:r>
      <w:r w:rsidR="00C07268" w:rsidRPr="00942352">
        <w:rPr>
          <w:lang w:eastAsia="en-AU"/>
        </w:rPr>
        <w:lastRenderedPageBreak/>
        <w:t>respondent’s submission</w:t>
      </w:r>
      <w:r w:rsidR="0033579A" w:rsidRPr="00942352">
        <w:rPr>
          <w:lang w:eastAsia="en-AU"/>
        </w:rPr>
        <w:t xml:space="preserve"> that</w:t>
      </w:r>
      <w:r w:rsidR="00C07268" w:rsidRPr="00942352">
        <w:rPr>
          <w:lang w:eastAsia="en-AU"/>
        </w:rPr>
        <w:t xml:space="preserve"> the </w:t>
      </w:r>
      <w:r w:rsidR="0072486F" w:rsidRPr="00942352">
        <w:rPr>
          <w:lang w:eastAsia="en-AU"/>
        </w:rPr>
        <w:t>trustee</w:t>
      </w:r>
      <w:r w:rsidR="00C07268" w:rsidRPr="00942352">
        <w:rPr>
          <w:lang w:eastAsia="en-AU"/>
        </w:rPr>
        <w:t>’s reliance on the answers</w:t>
      </w:r>
      <w:r w:rsidR="008B50DA" w:rsidRPr="00942352">
        <w:rPr>
          <w:lang w:eastAsia="en-AU"/>
        </w:rPr>
        <w:t xml:space="preserve"> she gave</w:t>
      </w:r>
      <w:r w:rsidR="00C07268" w:rsidRPr="00942352">
        <w:rPr>
          <w:lang w:eastAsia="en-AU"/>
        </w:rPr>
        <w:t xml:space="preserve"> to questions asked in </w:t>
      </w:r>
      <w:r w:rsidR="004C62E8">
        <w:rPr>
          <w:lang w:eastAsia="en-AU"/>
        </w:rPr>
        <w:t>her</w:t>
      </w:r>
      <w:r w:rsidR="00C07268" w:rsidRPr="00942352">
        <w:rPr>
          <w:lang w:eastAsia="en-AU"/>
        </w:rPr>
        <w:t xml:space="preserve"> </w:t>
      </w:r>
      <w:r w:rsidR="005174DF" w:rsidRPr="00942352">
        <w:rPr>
          <w:lang w:eastAsia="en-AU"/>
        </w:rPr>
        <w:t>e</w:t>
      </w:r>
      <w:r w:rsidR="00C07268" w:rsidRPr="00942352">
        <w:rPr>
          <w:lang w:eastAsia="en-AU"/>
        </w:rPr>
        <w:t xml:space="preserve">xamination is of little assistance to the Court in understanding the relevant intention </w:t>
      </w:r>
      <w:r w:rsidR="00C07268" w:rsidRPr="00942352">
        <w:rPr>
          <w:i/>
          <w:lang w:eastAsia="en-AU"/>
        </w:rPr>
        <w:t>at the time</w:t>
      </w:r>
      <w:r w:rsidR="00C07268" w:rsidRPr="00942352">
        <w:rPr>
          <w:lang w:eastAsia="en-AU"/>
        </w:rPr>
        <w:t xml:space="preserve"> the</w:t>
      </w:r>
      <w:r w:rsidR="00406029" w:rsidRPr="00942352">
        <w:rPr>
          <w:lang w:eastAsia="en-AU"/>
        </w:rPr>
        <w:t xml:space="preserve"> North Balgowlah</w:t>
      </w:r>
      <w:r w:rsidR="00C07268" w:rsidRPr="00942352">
        <w:rPr>
          <w:lang w:eastAsia="en-AU"/>
        </w:rPr>
        <w:t xml:space="preserve"> property was purchased</w:t>
      </w:r>
      <w:r w:rsidR="003E7045" w:rsidRPr="00942352">
        <w:rPr>
          <w:lang w:eastAsia="en-AU"/>
        </w:rPr>
        <w:t>,</w:t>
      </w:r>
      <w:r w:rsidR="00C07268" w:rsidRPr="00942352">
        <w:rPr>
          <w:lang w:eastAsia="en-AU"/>
        </w:rPr>
        <w:t xml:space="preserve"> </w:t>
      </w:r>
      <w:r w:rsidR="00023C65" w:rsidRPr="00942352">
        <w:rPr>
          <w:lang w:eastAsia="en-AU"/>
        </w:rPr>
        <w:t xml:space="preserve">given the imprecision in the questioning. </w:t>
      </w:r>
      <w:r w:rsidR="00BE1DAB" w:rsidRPr="00942352">
        <w:rPr>
          <w:lang w:eastAsia="en-AU"/>
        </w:rPr>
        <w:t>I also accept the respondent’s submission that t</w:t>
      </w:r>
      <w:r w:rsidR="00023C65" w:rsidRPr="00942352">
        <w:rPr>
          <w:lang w:eastAsia="en-AU"/>
        </w:rPr>
        <w:t xml:space="preserve">here were </w:t>
      </w:r>
      <w:r w:rsidR="00C07268" w:rsidRPr="00942352">
        <w:rPr>
          <w:lang w:eastAsia="en-AU"/>
        </w:rPr>
        <w:t xml:space="preserve">numerous other references in </w:t>
      </w:r>
      <w:r w:rsidR="00960E38">
        <w:rPr>
          <w:lang w:eastAsia="en-AU"/>
        </w:rPr>
        <w:t xml:space="preserve">the </w:t>
      </w:r>
      <w:r w:rsidR="004C62E8">
        <w:rPr>
          <w:lang w:eastAsia="en-AU"/>
        </w:rPr>
        <w:t>her</w:t>
      </w:r>
      <w:r w:rsidR="00960E38">
        <w:rPr>
          <w:lang w:eastAsia="en-AU"/>
        </w:rPr>
        <w:t xml:space="preserve"> </w:t>
      </w:r>
      <w:r w:rsidR="00CC1684" w:rsidRPr="00942352">
        <w:rPr>
          <w:lang w:eastAsia="en-AU"/>
        </w:rPr>
        <w:t>e</w:t>
      </w:r>
      <w:r w:rsidR="00C07268" w:rsidRPr="00942352">
        <w:rPr>
          <w:lang w:eastAsia="en-AU"/>
        </w:rPr>
        <w:t xml:space="preserve">xamination where </w:t>
      </w:r>
      <w:r w:rsidR="00960E38">
        <w:rPr>
          <w:lang w:eastAsia="en-AU"/>
        </w:rPr>
        <w:t>her</w:t>
      </w:r>
      <w:r w:rsidR="00C07268" w:rsidRPr="00942352">
        <w:rPr>
          <w:lang w:eastAsia="en-AU"/>
        </w:rPr>
        <w:t xml:space="preserve"> answers were entirely consistent with her evidence in this proceeding (including that the Fairlight property was considered her property, </w:t>
      </w:r>
      <w:r w:rsidR="00E803CA" w:rsidRPr="00942352">
        <w:rPr>
          <w:lang w:eastAsia="en-AU"/>
        </w:rPr>
        <w:t>the respondent and the bankrupt</w:t>
      </w:r>
      <w:r w:rsidR="00C07268" w:rsidRPr="00942352">
        <w:rPr>
          <w:lang w:eastAsia="en-AU"/>
        </w:rPr>
        <w:t xml:space="preserve"> put </w:t>
      </w:r>
      <w:r w:rsidR="00A3047D" w:rsidRPr="00942352">
        <w:rPr>
          <w:lang w:eastAsia="en-AU"/>
        </w:rPr>
        <w:t xml:space="preserve">the </w:t>
      </w:r>
      <w:r w:rsidR="00C07268" w:rsidRPr="00942352">
        <w:rPr>
          <w:lang w:eastAsia="en-AU"/>
        </w:rPr>
        <w:t xml:space="preserve">Seaforth </w:t>
      </w:r>
      <w:r w:rsidR="00A3047D" w:rsidRPr="00942352">
        <w:rPr>
          <w:lang w:eastAsia="en-AU"/>
        </w:rPr>
        <w:t xml:space="preserve">property </w:t>
      </w:r>
      <w:r w:rsidR="00C07268" w:rsidRPr="00942352">
        <w:rPr>
          <w:lang w:eastAsia="en-AU"/>
        </w:rPr>
        <w:t xml:space="preserve">in her name to avoid testamentary claims and protect </w:t>
      </w:r>
      <w:r w:rsidR="00DB142A" w:rsidRPr="00942352">
        <w:rPr>
          <w:lang w:eastAsia="en-AU"/>
        </w:rPr>
        <w:t>Ms Dew’s</w:t>
      </w:r>
      <w:r w:rsidR="00C07268" w:rsidRPr="00942352">
        <w:rPr>
          <w:lang w:eastAsia="en-AU"/>
        </w:rPr>
        <w:t xml:space="preserve"> position </w:t>
      </w:r>
      <w:r w:rsidR="00511A68" w:rsidRPr="00942352">
        <w:rPr>
          <w:lang w:eastAsia="en-AU"/>
        </w:rPr>
        <w:t>(</w:t>
      </w:r>
      <w:r w:rsidR="00C07268" w:rsidRPr="00942352">
        <w:rPr>
          <w:lang w:eastAsia="en-AU"/>
        </w:rPr>
        <w:t xml:space="preserve">and likewise for </w:t>
      </w:r>
      <w:r w:rsidR="00C86FF1" w:rsidRPr="00942352">
        <w:rPr>
          <w:lang w:eastAsia="en-AU"/>
        </w:rPr>
        <w:t xml:space="preserve">the </w:t>
      </w:r>
      <w:r w:rsidR="00C07268" w:rsidRPr="00942352">
        <w:rPr>
          <w:lang w:eastAsia="en-AU"/>
        </w:rPr>
        <w:t>North Balgowlah</w:t>
      </w:r>
      <w:r w:rsidR="00C86FF1" w:rsidRPr="00942352">
        <w:rPr>
          <w:lang w:eastAsia="en-AU"/>
        </w:rPr>
        <w:t xml:space="preserve"> property</w:t>
      </w:r>
      <w:r w:rsidR="00511A68" w:rsidRPr="00942352">
        <w:rPr>
          <w:lang w:eastAsia="en-AU"/>
        </w:rPr>
        <w:t>)</w:t>
      </w:r>
      <w:r w:rsidR="00BE1DAB" w:rsidRPr="00942352">
        <w:rPr>
          <w:lang w:eastAsia="en-AU"/>
        </w:rPr>
        <w:t xml:space="preserve"> </w:t>
      </w:r>
      <w:r w:rsidR="00C07268" w:rsidRPr="00942352">
        <w:rPr>
          <w:lang w:eastAsia="en-AU"/>
        </w:rPr>
        <w:t xml:space="preserve">and the distinction between the </w:t>
      </w:r>
      <w:r w:rsidR="00207806" w:rsidRPr="00942352">
        <w:rPr>
          <w:lang w:eastAsia="en-AU"/>
        </w:rPr>
        <w:t>Boyce Road and Anzac Parade</w:t>
      </w:r>
      <w:r w:rsidR="00C07268" w:rsidRPr="00942352">
        <w:rPr>
          <w:lang w:eastAsia="en-AU"/>
        </w:rPr>
        <w:t xml:space="preserve"> properties and their family home was due to </w:t>
      </w:r>
      <w:r w:rsidR="00207806" w:rsidRPr="00942352">
        <w:rPr>
          <w:lang w:eastAsia="en-AU"/>
        </w:rPr>
        <w:t xml:space="preserve">Ms Dew’s </w:t>
      </w:r>
      <w:r w:rsidR="00C07268" w:rsidRPr="00942352">
        <w:rPr>
          <w:lang w:eastAsia="en-AU"/>
        </w:rPr>
        <w:t>interest in the properties by v</w:t>
      </w:r>
      <w:r w:rsidR="006B0352" w:rsidRPr="00942352">
        <w:rPr>
          <w:lang w:eastAsia="en-AU"/>
        </w:rPr>
        <w:t>irtue of the loans she provided</w:t>
      </w:r>
      <w:r w:rsidR="00C07268" w:rsidRPr="00942352">
        <w:rPr>
          <w:lang w:eastAsia="en-AU"/>
        </w:rPr>
        <w:t>.</w:t>
      </w:r>
    </w:p>
    <w:p w14:paraId="3198FC7A" w14:textId="13941194" w:rsidR="00023C65" w:rsidRPr="00942352" w:rsidRDefault="00155C95" w:rsidP="00155C95">
      <w:pPr>
        <w:pStyle w:val="ParaNumbering"/>
        <w:numPr>
          <w:ilvl w:val="0"/>
          <w:numId w:val="0"/>
        </w:numPr>
        <w:ind w:hanging="720"/>
        <w:rPr>
          <w:lang w:eastAsia="en-AU"/>
        </w:rPr>
      </w:pPr>
      <w:r w:rsidRPr="00942352">
        <w:rPr>
          <w:sz w:val="20"/>
          <w:lang w:eastAsia="en-AU"/>
        </w:rPr>
        <w:t>227</w:t>
      </w:r>
      <w:r w:rsidRPr="00942352">
        <w:rPr>
          <w:sz w:val="20"/>
          <w:lang w:eastAsia="en-AU"/>
        </w:rPr>
        <w:tab/>
      </w:r>
      <w:r w:rsidR="00BE1DAB" w:rsidRPr="00942352">
        <w:rPr>
          <w:lang w:eastAsia="en-AU"/>
        </w:rPr>
        <w:t>It</w:t>
      </w:r>
      <w:r w:rsidR="00023C65" w:rsidRPr="00942352">
        <w:rPr>
          <w:lang w:eastAsia="en-AU"/>
        </w:rPr>
        <w:t xml:space="preserve"> is my view, that despite the fact of the bankrupt and the respondent intending </w:t>
      </w:r>
      <w:r w:rsidR="00760805" w:rsidRPr="00942352">
        <w:rPr>
          <w:lang w:eastAsia="en-AU"/>
        </w:rPr>
        <w:t>that they would</w:t>
      </w:r>
      <w:r w:rsidR="00023C65" w:rsidRPr="00942352">
        <w:rPr>
          <w:lang w:eastAsia="en-AU"/>
        </w:rPr>
        <w:t xml:space="preserve"> ultimately live in the North Balgowlah property, their mixing of finances and the fact of them both being primary debtors on the loan, the purchase reflected a history of property </w:t>
      </w:r>
      <w:r w:rsidR="00906B9B" w:rsidRPr="00942352">
        <w:rPr>
          <w:lang w:eastAsia="en-AU"/>
        </w:rPr>
        <w:t>being</w:t>
      </w:r>
      <w:r w:rsidR="00023C65" w:rsidRPr="00942352">
        <w:rPr>
          <w:lang w:eastAsia="en-AU"/>
        </w:rPr>
        <w:t xml:space="preserve"> legally and beneficially owned by the respondent, evidenced by the deliberate steps taken to ensure the property was in the respondent’s name, consistent with the past intention that the Fairlight and Seaforth properties were intended to be owned beneficially by the respondent. I accept the submission of the respondent that the intention for the respondent to legally and beneficially own the North Balgowlah property also must be understood in the context of (a) </w:t>
      </w:r>
      <w:r w:rsidR="002127C5" w:rsidRPr="00942352">
        <w:rPr>
          <w:lang w:eastAsia="en-AU"/>
        </w:rPr>
        <w:t xml:space="preserve">Ms Dew’s </w:t>
      </w:r>
      <w:r w:rsidR="00023C65" w:rsidRPr="00942352">
        <w:rPr>
          <w:lang w:eastAsia="en-AU"/>
        </w:rPr>
        <w:t xml:space="preserve">financial loan contributions (to the Fairlight property’s purchase price and </w:t>
      </w:r>
      <w:r w:rsidR="000817EB" w:rsidRPr="00942352">
        <w:rPr>
          <w:lang w:eastAsia="en-AU"/>
        </w:rPr>
        <w:t xml:space="preserve">to </w:t>
      </w:r>
      <w:r w:rsidR="00023C65" w:rsidRPr="00942352">
        <w:rPr>
          <w:lang w:eastAsia="en-AU"/>
        </w:rPr>
        <w:t xml:space="preserve">renovations at the Seaforth property) and (b) the concern that, if the bankrupt passed away, their marital home could become part of the bankrupt’s testamentary estate and subject to a claim by the bankrupt’s daughters under the </w:t>
      </w:r>
      <w:r w:rsidR="00023C65" w:rsidRPr="00942352">
        <w:rPr>
          <w:i/>
          <w:lang w:eastAsia="en-AU"/>
        </w:rPr>
        <w:t>Succession Act 2010</w:t>
      </w:r>
      <w:r w:rsidR="008D1485">
        <w:rPr>
          <w:lang w:eastAsia="en-AU"/>
        </w:rPr>
        <w:t xml:space="preserve"> (NSW).</w:t>
      </w:r>
    </w:p>
    <w:p w14:paraId="6FB034A2" w14:textId="0B9FFC05" w:rsidR="007620FB" w:rsidRPr="00942352" w:rsidRDefault="00155C95" w:rsidP="00155C95">
      <w:pPr>
        <w:pStyle w:val="ParaNumbering"/>
        <w:numPr>
          <w:ilvl w:val="0"/>
          <w:numId w:val="0"/>
        </w:numPr>
        <w:ind w:hanging="720"/>
        <w:rPr>
          <w:lang w:eastAsia="en-AU"/>
        </w:rPr>
      </w:pPr>
      <w:r w:rsidRPr="00942352">
        <w:rPr>
          <w:sz w:val="20"/>
          <w:lang w:eastAsia="en-AU"/>
        </w:rPr>
        <w:t>228</w:t>
      </w:r>
      <w:r w:rsidRPr="00942352">
        <w:rPr>
          <w:sz w:val="20"/>
          <w:lang w:eastAsia="en-AU"/>
        </w:rPr>
        <w:tab/>
      </w:r>
      <w:r w:rsidR="00DA205E" w:rsidRPr="00942352">
        <w:rPr>
          <w:lang w:eastAsia="en-AU"/>
        </w:rPr>
        <w:t>The</w:t>
      </w:r>
      <w:r w:rsidR="003F59F7" w:rsidRPr="00942352">
        <w:rPr>
          <w:lang w:eastAsia="en-AU"/>
        </w:rPr>
        <w:t xml:space="preserve"> </w:t>
      </w:r>
      <w:r w:rsidR="005B4E0F" w:rsidRPr="00942352">
        <w:rPr>
          <w:lang w:eastAsia="en-AU"/>
        </w:rPr>
        <w:t>trustee</w:t>
      </w:r>
      <w:r w:rsidR="003F59F7" w:rsidRPr="00942352">
        <w:rPr>
          <w:lang w:eastAsia="en-AU"/>
        </w:rPr>
        <w:t xml:space="preserve"> further submits that </w:t>
      </w:r>
      <w:r w:rsidR="006F1D36" w:rsidRPr="00942352">
        <w:rPr>
          <w:lang w:eastAsia="en-AU"/>
        </w:rPr>
        <w:t>t</w:t>
      </w:r>
      <w:r w:rsidR="00B74B50" w:rsidRPr="00942352">
        <w:rPr>
          <w:lang w:eastAsia="en-AU"/>
        </w:rPr>
        <w:t>he Court should find that t</w:t>
      </w:r>
      <w:r w:rsidR="006F1D36" w:rsidRPr="00942352">
        <w:rPr>
          <w:lang w:eastAsia="en-AU"/>
        </w:rPr>
        <w:t>here was an intention by the bankrupt and the respondent to buy</w:t>
      </w:r>
      <w:r w:rsidR="008B2CAA" w:rsidRPr="00942352">
        <w:rPr>
          <w:lang w:eastAsia="en-AU"/>
        </w:rPr>
        <w:t xml:space="preserve"> and own the North Balgowlah p</w:t>
      </w:r>
      <w:r w:rsidR="006F1D36" w:rsidRPr="00942352">
        <w:rPr>
          <w:lang w:eastAsia="en-AU"/>
        </w:rPr>
        <w:t xml:space="preserve">roperty </w:t>
      </w:r>
      <w:r w:rsidR="006F1D36" w:rsidRPr="00942352">
        <w:rPr>
          <w:i/>
          <w:lang w:eastAsia="en-AU"/>
        </w:rPr>
        <w:t>together</w:t>
      </w:r>
      <w:r w:rsidR="006F1D36" w:rsidRPr="00942352">
        <w:rPr>
          <w:lang w:eastAsia="en-AU"/>
        </w:rPr>
        <w:t xml:space="preserve">, </w:t>
      </w:r>
      <w:r w:rsidR="007A1A5D" w:rsidRPr="00942352">
        <w:rPr>
          <w:lang w:eastAsia="en-AU"/>
        </w:rPr>
        <w:t xml:space="preserve">with both on title, </w:t>
      </w:r>
      <w:r w:rsidR="006F1D36" w:rsidRPr="00942352">
        <w:rPr>
          <w:lang w:eastAsia="en-AU"/>
        </w:rPr>
        <w:t xml:space="preserve">evidenced by entering </w:t>
      </w:r>
      <w:r w:rsidR="007A1A5D" w:rsidRPr="00942352">
        <w:rPr>
          <w:lang w:eastAsia="en-AU"/>
        </w:rPr>
        <w:t xml:space="preserve">into the contract in </w:t>
      </w:r>
      <w:r w:rsidR="007A1A5D" w:rsidRPr="00942352">
        <w:rPr>
          <w:i/>
          <w:lang w:eastAsia="en-AU"/>
        </w:rPr>
        <w:t>both</w:t>
      </w:r>
      <w:r w:rsidR="007A1A5D" w:rsidRPr="00942352">
        <w:rPr>
          <w:lang w:eastAsia="en-AU"/>
        </w:rPr>
        <w:t xml:space="preserve"> of their names.</w:t>
      </w:r>
      <w:r w:rsidR="00123D10" w:rsidRPr="00942352">
        <w:rPr>
          <w:lang w:eastAsia="en-AU"/>
        </w:rPr>
        <w:t xml:space="preserve"> For the reasons</w:t>
      </w:r>
      <w:r w:rsidR="00023C65" w:rsidRPr="00942352">
        <w:rPr>
          <w:lang w:eastAsia="en-AU"/>
        </w:rPr>
        <w:t xml:space="preserve"> identified at [</w:t>
      </w:r>
      <w:r w:rsidR="00023C65" w:rsidRPr="00942352">
        <w:rPr>
          <w:lang w:eastAsia="en-AU"/>
        </w:rPr>
        <w:fldChar w:fldCharType="begin"/>
      </w:r>
      <w:r w:rsidR="00023C65" w:rsidRPr="00942352">
        <w:rPr>
          <w:lang w:eastAsia="en-AU"/>
        </w:rPr>
        <w:instrText xml:space="preserve"> REF _Ref127890389 \r \h </w:instrText>
      </w:r>
      <w:r w:rsidR="00942352">
        <w:rPr>
          <w:lang w:eastAsia="en-AU"/>
        </w:rPr>
        <w:instrText xml:space="preserve"> \* MERGEFORMAT </w:instrText>
      </w:r>
      <w:r w:rsidR="00023C65" w:rsidRPr="00942352">
        <w:rPr>
          <w:lang w:eastAsia="en-AU"/>
        </w:rPr>
      </w:r>
      <w:r w:rsidR="00023C65" w:rsidRPr="00942352">
        <w:rPr>
          <w:lang w:eastAsia="en-AU"/>
        </w:rPr>
        <w:fldChar w:fldCharType="separate"/>
      </w:r>
      <w:r w:rsidR="002B380F">
        <w:rPr>
          <w:lang w:eastAsia="en-AU"/>
        </w:rPr>
        <w:t>134</w:t>
      </w:r>
      <w:r w:rsidR="00023C65" w:rsidRPr="00942352">
        <w:rPr>
          <w:lang w:eastAsia="en-AU"/>
        </w:rPr>
        <w:fldChar w:fldCharType="end"/>
      </w:r>
      <w:r w:rsidR="00023C65" w:rsidRPr="00942352">
        <w:rPr>
          <w:lang w:eastAsia="en-AU"/>
        </w:rPr>
        <w:t>]</w:t>
      </w:r>
      <w:r w:rsidR="00B86743" w:rsidRPr="00942352">
        <w:rPr>
          <w:lang w:eastAsia="en-AU"/>
        </w:rPr>
        <w:t xml:space="preserve"> above</w:t>
      </w:r>
      <w:r w:rsidR="00023C65" w:rsidRPr="00942352">
        <w:rPr>
          <w:lang w:eastAsia="en-AU"/>
        </w:rPr>
        <w:t>, I regard the signing of the contract for sale of land</w:t>
      </w:r>
      <w:r w:rsidR="00123D10" w:rsidRPr="00942352">
        <w:rPr>
          <w:lang w:eastAsia="en-AU"/>
        </w:rPr>
        <w:t xml:space="preserve"> by both the respondent and the bankrupt</w:t>
      </w:r>
      <w:r w:rsidR="00023C65" w:rsidRPr="00942352">
        <w:rPr>
          <w:lang w:eastAsia="en-AU"/>
        </w:rPr>
        <w:t xml:space="preserve"> as being a mistake. </w:t>
      </w:r>
    </w:p>
    <w:p w14:paraId="2D4585AB" w14:textId="5EB2C798" w:rsidR="00F7360E" w:rsidRPr="00942352" w:rsidRDefault="00155C95" w:rsidP="00155C95">
      <w:pPr>
        <w:pStyle w:val="ParaNumbering"/>
        <w:numPr>
          <w:ilvl w:val="0"/>
          <w:numId w:val="0"/>
        </w:numPr>
        <w:tabs>
          <w:tab w:val="left" w:pos="720"/>
        </w:tabs>
        <w:ind w:hanging="720"/>
        <w:rPr>
          <w:lang w:eastAsia="en-AU"/>
        </w:rPr>
      </w:pPr>
      <w:r w:rsidRPr="00942352">
        <w:rPr>
          <w:sz w:val="20"/>
          <w:lang w:eastAsia="en-AU"/>
        </w:rPr>
        <w:t>229</w:t>
      </w:r>
      <w:r w:rsidRPr="00942352">
        <w:rPr>
          <w:sz w:val="20"/>
          <w:lang w:eastAsia="en-AU"/>
        </w:rPr>
        <w:tab/>
      </w:r>
      <w:r w:rsidR="00685F12" w:rsidRPr="00942352">
        <w:rPr>
          <w:lang w:eastAsia="en-AU"/>
        </w:rPr>
        <w:t>T</w:t>
      </w:r>
      <w:r w:rsidR="00727118" w:rsidRPr="00942352">
        <w:rPr>
          <w:lang w:eastAsia="en-AU"/>
        </w:rPr>
        <w:t xml:space="preserve">he </w:t>
      </w:r>
      <w:r w:rsidR="00D724B8" w:rsidRPr="00942352">
        <w:rPr>
          <w:lang w:eastAsia="en-AU"/>
        </w:rPr>
        <w:t xml:space="preserve">Court </w:t>
      </w:r>
      <w:r w:rsidR="00A1316E" w:rsidRPr="00942352">
        <w:rPr>
          <w:lang w:eastAsia="en-AU"/>
        </w:rPr>
        <w:t>need only</w:t>
      </w:r>
      <w:r w:rsidR="00D724B8" w:rsidRPr="00942352">
        <w:rPr>
          <w:lang w:eastAsia="en-AU"/>
        </w:rPr>
        <w:t xml:space="preserve"> look at </w:t>
      </w:r>
      <w:r w:rsidR="00A1316E" w:rsidRPr="00942352">
        <w:rPr>
          <w:lang w:eastAsia="en-AU"/>
        </w:rPr>
        <w:t>the</w:t>
      </w:r>
      <w:r w:rsidR="00B17554" w:rsidRPr="00942352">
        <w:rPr>
          <w:lang w:eastAsia="en-AU"/>
        </w:rPr>
        <w:t xml:space="preserve"> actual</w:t>
      </w:r>
      <w:r w:rsidR="00A1316E" w:rsidRPr="00942352">
        <w:rPr>
          <w:lang w:eastAsia="en-AU"/>
        </w:rPr>
        <w:t xml:space="preserve"> intentions of the parties </w:t>
      </w:r>
      <w:r w:rsidR="002F5085" w:rsidRPr="00942352">
        <w:rPr>
          <w:lang w:eastAsia="en-AU"/>
        </w:rPr>
        <w:t xml:space="preserve">(as established by the evidence) </w:t>
      </w:r>
      <w:r w:rsidR="00A1316E" w:rsidRPr="00942352">
        <w:rPr>
          <w:lang w:eastAsia="en-AU"/>
        </w:rPr>
        <w:t>to rebut the presumption of a purchase money resulting trust</w:t>
      </w:r>
      <w:r w:rsidR="00685F12" w:rsidRPr="00942352">
        <w:rPr>
          <w:lang w:eastAsia="en-AU"/>
        </w:rPr>
        <w:t>, as observed by</w:t>
      </w:r>
      <w:r w:rsidR="00F7360E" w:rsidRPr="00942352">
        <w:rPr>
          <w:lang w:eastAsia="en-AU"/>
        </w:rPr>
        <w:t xml:space="preserve"> </w:t>
      </w:r>
      <w:proofErr w:type="spellStart"/>
      <w:r w:rsidR="00F7360E" w:rsidRPr="00942352">
        <w:rPr>
          <w:lang w:eastAsia="en-AU"/>
        </w:rPr>
        <w:t>Kiefel</w:t>
      </w:r>
      <w:proofErr w:type="spellEnd"/>
      <w:r w:rsidR="00F7360E" w:rsidRPr="00942352">
        <w:rPr>
          <w:lang w:eastAsia="en-AU"/>
        </w:rPr>
        <w:t xml:space="preserve"> CJ and Gleeson J</w:t>
      </w:r>
      <w:r w:rsidR="00685F12" w:rsidRPr="00942352">
        <w:rPr>
          <w:lang w:eastAsia="en-AU"/>
        </w:rPr>
        <w:t xml:space="preserve"> in </w:t>
      </w:r>
      <w:proofErr w:type="spellStart"/>
      <w:r w:rsidR="00685F12" w:rsidRPr="00942352">
        <w:rPr>
          <w:i/>
          <w:lang w:eastAsia="en-AU"/>
        </w:rPr>
        <w:t>Bosanac</w:t>
      </w:r>
      <w:proofErr w:type="spellEnd"/>
      <w:r w:rsidR="00685F12" w:rsidRPr="00942352">
        <w:rPr>
          <w:i/>
          <w:lang w:eastAsia="en-AU"/>
        </w:rPr>
        <w:t>,</w:t>
      </w:r>
      <w:r w:rsidR="00F7360E" w:rsidRPr="00942352">
        <w:rPr>
          <w:lang w:eastAsia="en-AU"/>
        </w:rPr>
        <w:t xml:space="preserve"> at [13]: </w:t>
      </w:r>
    </w:p>
    <w:p w14:paraId="142B1F58" w14:textId="05920C5C" w:rsidR="00727118" w:rsidRPr="00942352" w:rsidRDefault="00F7360E" w:rsidP="00F7360E">
      <w:pPr>
        <w:pStyle w:val="Quote1"/>
        <w:rPr>
          <w:lang w:eastAsia="en-AU"/>
        </w:rPr>
      </w:pPr>
      <w:r w:rsidRPr="00942352">
        <w:t xml:space="preserve">The presumption can be rebutted by evidence from which it may be inferred that there was no intention on the part of the person providing the purchase money to have an interest in land (or other property) held on trust for him or her. The presumption cannot </w:t>
      </w:r>
      <w:r w:rsidRPr="00942352">
        <w:lastRenderedPageBreak/>
        <w:t>prevail over the actual intention of the party paying the purchase price as established by the overall evidence, and where more than one person pays the purchase price, as here, regard is necessarily had to evidence of each of their intentions.</w:t>
      </w:r>
    </w:p>
    <w:p w14:paraId="59932C7C" w14:textId="406E334C" w:rsidR="00592C39" w:rsidRPr="00942352" w:rsidRDefault="00155C95" w:rsidP="00155C95">
      <w:pPr>
        <w:pStyle w:val="ParaNumbering"/>
        <w:numPr>
          <w:ilvl w:val="0"/>
          <w:numId w:val="0"/>
        </w:numPr>
        <w:tabs>
          <w:tab w:val="left" w:pos="720"/>
        </w:tabs>
        <w:ind w:hanging="720"/>
        <w:rPr>
          <w:lang w:eastAsia="en-AU"/>
        </w:rPr>
      </w:pPr>
      <w:r w:rsidRPr="00942352">
        <w:rPr>
          <w:sz w:val="20"/>
          <w:lang w:eastAsia="en-AU"/>
        </w:rPr>
        <w:t>230</w:t>
      </w:r>
      <w:r w:rsidRPr="00942352">
        <w:rPr>
          <w:sz w:val="20"/>
          <w:lang w:eastAsia="en-AU"/>
        </w:rPr>
        <w:tab/>
      </w:r>
      <w:r w:rsidR="00685F12" w:rsidRPr="00942352">
        <w:rPr>
          <w:lang w:eastAsia="en-AU"/>
        </w:rPr>
        <w:t xml:space="preserve">I am satisfied that the intentions of the bankrupt and the respondent rebut the presumption of a </w:t>
      </w:r>
      <w:r w:rsidR="003F4CF0" w:rsidRPr="00942352">
        <w:rPr>
          <w:lang w:eastAsia="en-AU"/>
        </w:rPr>
        <w:t xml:space="preserve">purchase money resulting trust and there is no need to consider whether any presumption of advancement arises. </w:t>
      </w:r>
    </w:p>
    <w:p w14:paraId="35674A3A" w14:textId="4E3EA05C" w:rsidR="00824440" w:rsidRPr="00942352" w:rsidRDefault="00F27CD4" w:rsidP="00EB4E8C">
      <w:pPr>
        <w:pStyle w:val="Heading3"/>
        <w:rPr>
          <w:b w:val="0"/>
          <w:lang w:eastAsia="en-AU"/>
        </w:rPr>
      </w:pPr>
      <w:bookmarkStart w:id="115" w:name="_Ref126916203"/>
      <w:r w:rsidRPr="00942352">
        <w:rPr>
          <w:lang w:eastAsia="en-AU"/>
        </w:rPr>
        <w:t>The voidable transaction claims</w:t>
      </w:r>
      <w:bookmarkEnd w:id="115"/>
      <w:r w:rsidRPr="00942352">
        <w:rPr>
          <w:lang w:eastAsia="en-AU"/>
        </w:rPr>
        <w:t xml:space="preserve"> </w:t>
      </w:r>
    </w:p>
    <w:p w14:paraId="773533AC" w14:textId="77777777" w:rsidR="004F0E68" w:rsidRPr="00942352" w:rsidRDefault="004F0E68" w:rsidP="004F0E68">
      <w:pPr>
        <w:pStyle w:val="Heading4"/>
      </w:pPr>
      <w:bookmarkStart w:id="116" w:name="_Ref127552606"/>
      <w:bookmarkStart w:id="117" w:name="_Ref126916987"/>
      <w:bookmarkStart w:id="118" w:name="_Ref126916204"/>
      <w:r w:rsidRPr="00942352">
        <w:t>Operation of s 121</w:t>
      </w:r>
      <w:bookmarkEnd w:id="116"/>
    </w:p>
    <w:p w14:paraId="4F0C47EB" w14:textId="6898803C" w:rsidR="004F0E68" w:rsidRPr="00942352" w:rsidRDefault="00155C95" w:rsidP="00155C95">
      <w:pPr>
        <w:pStyle w:val="ParaNumbering"/>
        <w:numPr>
          <w:ilvl w:val="0"/>
          <w:numId w:val="0"/>
        </w:numPr>
        <w:ind w:hanging="720"/>
        <w:rPr>
          <w:lang w:eastAsia="en-AU"/>
        </w:rPr>
      </w:pPr>
      <w:r w:rsidRPr="00942352">
        <w:rPr>
          <w:sz w:val="20"/>
          <w:lang w:eastAsia="en-AU"/>
        </w:rPr>
        <w:t>231</w:t>
      </w:r>
      <w:r w:rsidRPr="00942352">
        <w:rPr>
          <w:sz w:val="20"/>
          <w:lang w:eastAsia="en-AU"/>
        </w:rPr>
        <w:tab/>
      </w:r>
      <w:r w:rsidR="004F0E68" w:rsidRPr="00942352">
        <w:rPr>
          <w:lang w:eastAsia="en-AU"/>
        </w:rPr>
        <w:t>Section 121 of the Bankruptcy Act concerns transfers to defeat creditors and provides</w:t>
      </w:r>
      <w:r w:rsidR="008D1485">
        <w:rPr>
          <w:lang w:eastAsia="en-AU"/>
        </w:rPr>
        <w:t xml:space="preserve"> as follows</w:t>
      </w:r>
      <w:r w:rsidR="004F0E68" w:rsidRPr="00942352">
        <w:rPr>
          <w:lang w:eastAsia="en-AU"/>
        </w:rPr>
        <w:t>:</w:t>
      </w:r>
    </w:p>
    <w:p w14:paraId="252FD4B8" w14:textId="77777777" w:rsidR="004F0E68" w:rsidRPr="00942352" w:rsidRDefault="004F0E68" w:rsidP="004F0E68">
      <w:pPr>
        <w:pStyle w:val="Quote1"/>
        <w:ind w:left="1440"/>
        <w:rPr>
          <w:i/>
          <w:szCs w:val="22"/>
          <w:lang w:eastAsia="en-AU"/>
        </w:rPr>
      </w:pPr>
      <w:r w:rsidRPr="00942352">
        <w:rPr>
          <w:i/>
          <w:szCs w:val="22"/>
          <w:lang w:eastAsia="en-AU"/>
        </w:rPr>
        <w:t>Transfers that are void</w:t>
      </w:r>
    </w:p>
    <w:p w14:paraId="37006239" w14:textId="77777777" w:rsidR="004F0E68" w:rsidRPr="00942352" w:rsidRDefault="004F0E68" w:rsidP="004F0E68">
      <w:pPr>
        <w:pStyle w:val="Quote1"/>
        <w:ind w:left="1440" w:hanging="703"/>
        <w:rPr>
          <w:szCs w:val="22"/>
          <w:lang w:eastAsia="en-AU"/>
        </w:rPr>
      </w:pPr>
      <w:r w:rsidRPr="00942352">
        <w:rPr>
          <w:szCs w:val="22"/>
          <w:lang w:eastAsia="en-AU"/>
        </w:rPr>
        <w:t xml:space="preserve">(1) </w:t>
      </w:r>
      <w:r w:rsidRPr="00942352">
        <w:rPr>
          <w:szCs w:val="22"/>
          <w:lang w:eastAsia="en-AU"/>
        </w:rPr>
        <w:tab/>
        <w:t xml:space="preserve">A transfer of property by a person who later becomes a bankrupt (the </w:t>
      </w:r>
      <w:r w:rsidRPr="00942352">
        <w:rPr>
          <w:b/>
          <w:i/>
          <w:szCs w:val="22"/>
          <w:lang w:eastAsia="en-AU"/>
        </w:rPr>
        <w:t>transferor</w:t>
      </w:r>
      <w:r w:rsidRPr="00942352">
        <w:rPr>
          <w:szCs w:val="22"/>
          <w:lang w:eastAsia="en-AU"/>
        </w:rPr>
        <w:t xml:space="preserve">) to another person (the </w:t>
      </w:r>
      <w:r w:rsidRPr="00942352">
        <w:rPr>
          <w:b/>
          <w:i/>
          <w:szCs w:val="22"/>
          <w:lang w:eastAsia="en-AU"/>
        </w:rPr>
        <w:t>transferee</w:t>
      </w:r>
      <w:r w:rsidRPr="00942352">
        <w:rPr>
          <w:szCs w:val="22"/>
          <w:lang w:eastAsia="en-AU"/>
        </w:rPr>
        <w:t>) is void against the trustee in the transferor’s bankruptcy if:</w:t>
      </w:r>
    </w:p>
    <w:p w14:paraId="24C4F435" w14:textId="77777777" w:rsidR="004F0E68" w:rsidRPr="00942352" w:rsidRDefault="004F0E68" w:rsidP="004A5066">
      <w:pPr>
        <w:pStyle w:val="Quote2"/>
        <w:ind w:left="2160" w:hanging="720"/>
        <w:rPr>
          <w:lang w:eastAsia="en-AU"/>
        </w:rPr>
      </w:pPr>
      <w:r w:rsidRPr="00942352">
        <w:rPr>
          <w:lang w:eastAsia="en-AU"/>
        </w:rPr>
        <w:t xml:space="preserve">(a) </w:t>
      </w:r>
      <w:r w:rsidRPr="00942352">
        <w:rPr>
          <w:lang w:eastAsia="en-AU"/>
        </w:rPr>
        <w:tab/>
      </w:r>
      <w:proofErr w:type="gramStart"/>
      <w:r w:rsidRPr="00942352">
        <w:rPr>
          <w:lang w:eastAsia="en-AU"/>
        </w:rPr>
        <w:t>the</w:t>
      </w:r>
      <w:proofErr w:type="gramEnd"/>
      <w:r w:rsidRPr="00942352">
        <w:rPr>
          <w:lang w:eastAsia="en-AU"/>
        </w:rPr>
        <w:t xml:space="preserve"> property would probably have become part of the transferor’s estate or would probably have been available to creditors if the property had not been transferred; and</w:t>
      </w:r>
    </w:p>
    <w:p w14:paraId="32D96461" w14:textId="77777777" w:rsidR="004F0E68" w:rsidRPr="00942352" w:rsidRDefault="004F0E68" w:rsidP="004A5066">
      <w:pPr>
        <w:pStyle w:val="Quote2"/>
        <w:ind w:left="2160" w:hanging="720"/>
        <w:rPr>
          <w:lang w:eastAsia="en-AU"/>
        </w:rPr>
      </w:pPr>
      <w:r w:rsidRPr="00942352">
        <w:rPr>
          <w:lang w:eastAsia="en-AU"/>
        </w:rPr>
        <w:t>(b)</w:t>
      </w:r>
      <w:r w:rsidRPr="00942352">
        <w:rPr>
          <w:lang w:eastAsia="en-AU"/>
        </w:rPr>
        <w:tab/>
      </w:r>
      <w:proofErr w:type="gramStart"/>
      <w:r w:rsidRPr="00942352">
        <w:rPr>
          <w:lang w:eastAsia="en-AU"/>
        </w:rPr>
        <w:t>the</w:t>
      </w:r>
      <w:proofErr w:type="gramEnd"/>
      <w:r w:rsidRPr="00942352">
        <w:rPr>
          <w:lang w:eastAsia="en-AU"/>
        </w:rPr>
        <w:t xml:space="preserve"> transferor’s main purpose in making the transfer was:</w:t>
      </w:r>
    </w:p>
    <w:p w14:paraId="58ECAFE2" w14:textId="77777777" w:rsidR="004F0E68" w:rsidRPr="00942352" w:rsidRDefault="004F0E68" w:rsidP="004A5066">
      <w:pPr>
        <w:pStyle w:val="Quote3"/>
        <w:ind w:left="2880" w:hanging="720"/>
        <w:rPr>
          <w:lang w:eastAsia="en-AU"/>
        </w:rPr>
      </w:pPr>
      <w:r w:rsidRPr="00942352">
        <w:rPr>
          <w:lang w:eastAsia="en-AU"/>
        </w:rPr>
        <w:t>(</w:t>
      </w:r>
      <w:proofErr w:type="spellStart"/>
      <w:r w:rsidRPr="00942352">
        <w:rPr>
          <w:lang w:eastAsia="en-AU"/>
        </w:rPr>
        <w:t>i</w:t>
      </w:r>
      <w:proofErr w:type="spellEnd"/>
      <w:r w:rsidRPr="00942352">
        <w:rPr>
          <w:lang w:eastAsia="en-AU"/>
        </w:rPr>
        <w:t>)</w:t>
      </w:r>
      <w:r w:rsidRPr="00942352">
        <w:rPr>
          <w:lang w:eastAsia="en-AU"/>
        </w:rPr>
        <w:tab/>
      </w:r>
      <w:proofErr w:type="gramStart"/>
      <w:r w:rsidRPr="00942352">
        <w:rPr>
          <w:lang w:eastAsia="en-AU"/>
        </w:rPr>
        <w:t>to</w:t>
      </w:r>
      <w:proofErr w:type="gramEnd"/>
      <w:r w:rsidRPr="00942352">
        <w:rPr>
          <w:lang w:eastAsia="en-AU"/>
        </w:rPr>
        <w:t xml:space="preserve"> prevent the transferred property from becoming divisible among the transferor’s creditors; or</w:t>
      </w:r>
    </w:p>
    <w:p w14:paraId="0B24585B" w14:textId="77777777" w:rsidR="004F0E68" w:rsidRPr="00942352" w:rsidRDefault="004F0E68" w:rsidP="004A5066">
      <w:pPr>
        <w:pStyle w:val="Quote3"/>
        <w:ind w:left="2880" w:hanging="720"/>
        <w:rPr>
          <w:lang w:eastAsia="en-AU"/>
        </w:rPr>
      </w:pPr>
      <w:r w:rsidRPr="00942352">
        <w:rPr>
          <w:lang w:eastAsia="en-AU"/>
        </w:rPr>
        <w:t>(ii)</w:t>
      </w:r>
      <w:r w:rsidRPr="00942352">
        <w:rPr>
          <w:lang w:eastAsia="en-AU"/>
        </w:rPr>
        <w:tab/>
      </w:r>
      <w:proofErr w:type="gramStart"/>
      <w:r w:rsidRPr="00942352">
        <w:rPr>
          <w:lang w:eastAsia="en-AU"/>
        </w:rPr>
        <w:t>to</w:t>
      </w:r>
      <w:proofErr w:type="gramEnd"/>
      <w:r w:rsidRPr="00942352">
        <w:rPr>
          <w:lang w:eastAsia="en-AU"/>
        </w:rPr>
        <w:t xml:space="preserve"> hinder or delay the process of making property available for division among the transferor’s creditors.</w:t>
      </w:r>
    </w:p>
    <w:p w14:paraId="0C5E5A14" w14:textId="77777777" w:rsidR="004F0E68" w:rsidRPr="00942352" w:rsidRDefault="004F0E68" w:rsidP="000B185A">
      <w:pPr>
        <w:pStyle w:val="Quote1"/>
        <w:ind w:left="1440"/>
        <w:rPr>
          <w:lang w:eastAsia="en-AU"/>
        </w:rPr>
      </w:pPr>
      <w:r w:rsidRPr="00942352">
        <w:rPr>
          <w:lang w:eastAsia="en-AU"/>
        </w:rPr>
        <w:t>Note:</w:t>
      </w:r>
      <w:r w:rsidRPr="00942352">
        <w:rPr>
          <w:lang w:eastAsia="en-AU"/>
        </w:rPr>
        <w:tab/>
        <w:t>For the application of this section where consideration is given to a third party rather than the transferor, see section 121A.</w:t>
      </w:r>
    </w:p>
    <w:p w14:paraId="1AB25B87" w14:textId="77777777" w:rsidR="004F0E68" w:rsidRPr="00942352" w:rsidRDefault="004F0E68" w:rsidP="004F0E68">
      <w:pPr>
        <w:pStyle w:val="Quote1"/>
        <w:ind w:left="1440"/>
        <w:rPr>
          <w:i/>
          <w:szCs w:val="22"/>
          <w:lang w:eastAsia="en-AU"/>
        </w:rPr>
      </w:pPr>
      <w:r w:rsidRPr="00942352">
        <w:rPr>
          <w:i/>
          <w:szCs w:val="22"/>
          <w:lang w:eastAsia="en-AU"/>
        </w:rPr>
        <w:t>Showing the transferor’s main purpose in making a transfer</w:t>
      </w:r>
    </w:p>
    <w:p w14:paraId="476E0E9A" w14:textId="77777777" w:rsidR="004F0E68" w:rsidRPr="00942352" w:rsidRDefault="004F0E68" w:rsidP="004F0E68">
      <w:pPr>
        <w:pStyle w:val="Quote1"/>
        <w:ind w:left="1440" w:hanging="703"/>
        <w:rPr>
          <w:szCs w:val="22"/>
          <w:lang w:eastAsia="en-AU"/>
        </w:rPr>
      </w:pPr>
      <w:r w:rsidRPr="00942352">
        <w:rPr>
          <w:szCs w:val="22"/>
          <w:lang w:eastAsia="en-AU"/>
        </w:rPr>
        <w:t xml:space="preserve">(2) </w:t>
      </w:r>
      <w:r w:rsidRPr="00942352">
        <w:rPr>
          <w:szCs w:val="22"/>
          <w:lang w:eastAsia="en-AU"/>
        </w:rPr>
        <w:tab/>
        <w:t>The transferor’s main purpose in making the transfer is taken to be the purpose described in paragraph (1)(b) if it can reasonably be inferred from all the circumstances that, at the time of the transfer, the transferor was, or was about to become, insolvent.</w:t>
      </w:r>
    </w:p>
    <w:p w14:paraId="64330B80" w14:textId="77777777" w:rsidR="004F0E68" w:rsidRPr="00942352" w:rsidRDefault="004F0E68" w:rsidP="004F0E68">
      <w:pPr>
        <w:pStyle w:val="Quote1"/>
        <w:ind w:left="1440"/>
        <w:rPr>
          <w:i/>
          <w:szCs w:val="22"/>
          <w:lang w:eastAsia="en-AU"/>
        </w:rPr>
      </w:pPr>
      <w:r w:rsidRPr="00942352">
        <w:rPr>
          <w:i/>
          <w:szCs w:val="22"/>
          <w:lang w:eastAsia="en-AU"/>
        </w:rPr>
        <w:t>Other ways of showing the transferor’s main purpose in making a transfer</w:t>
      </w:r>
    </w:p>
    <w:p w14:paraId="154D1A60" w14:textId="77777777" w:rsidR="004F0E68" w:rsidRPr="00942352" w:rsidRDefault="004F0E68" w:rsidP="004F0E68">
      <w:pPr>
        <w:pStyle w:val="Quote1"/>
        <w:ind w:left="1440" w:hanging="703"/>
        <w:rPr>
          <w:szCs w:val="22"/>
          <w:lang w:eastAsia="en-AU"/>
        </w:rPr>
      </w:pPr>
      <w:r w:rsidRPr="00942352">
        <w:rPr>
          <w:szCs w:val="22"/>
          <w:lang w:eastAsia="en-AU"/>
        </w:rPr>
        <w:t xml:space="preserve">(3) </w:t>
      </w:r>
      <w:r w:rsidRPr="00942352">
        <w:rPr>
          <w:szCs w:val="22"/>
          <w:lang w:eastAsia="en-AU"/>
        </w:rPr>
        <w:tab/>
        <w:t>Subsection (2) does not limit the ways of establishing the transferor’s main purpose in making a transfer.</w:t>
      </w:r>
    </w:p>
    <w:p w14:paraId="49F9856E" w14:textId="77777777" w:rsidR="004F0E68" w:rsidRPr="00942352" w:rsidRDefault="004F0E68" w:rsidP="004F0E68">
      <w:pPr>
        <w:pStyle w:val="Quote1"/>
        <w:ind w:left="1440"/>
        <w:rPr>
          <w:i/>
          <w:szCs w:val="22"/>
          <w:lang w:eastAsia="en-AU"/>
        </w:rPr>
      </w:pPr>
      <w:r w:rsidRPr="00942352">
        <w:rPr>
          <w:i/>
          <w:szCs w:val="22"/>
          <w:lang w:eastAsia="en-AU"/>
        </w:rPr>
        <w:t>Transfer not void if transferee acted in good faith</w:t>
      </w:r>
    </w:p>
    <w:p w14:paraId="04809B6A" w14:textId="77777777" w:rsidR="004F0E68" w:rsidRPr="00942352" w:rsidRDefault="004F0E68" w:rsidP="004F0E68">
      <w:pPr>
        <w:pStyle w:val="Quote1"/>
        <w:ind w:left="1440" w:hanging="703"/>
        <w:rPr>
          <w:szCs w:val="22"/>
          <w:lang w:eastAsia="en-AU"/>
        </w:rPr>
      </w:pPr>
      <w:r w:rsidRPr="00942352">
        <w:rPr>
          <w:szCs w:val="22"/>
          <w:lang w:eastAsia="en-AU"/>
        </w:rPr>
        <w:t>(4)</w:t>
      </w:r>
      <w:r w:rsidRPr="00942352">
        <w:rPr>
          <w:szCs w:val="22"/>
          <w:lang w:eastAsia="en-AU"/>
        </w:rPr>
        <w:tab/>
        <w:t>Despite subsection (1), a transfer of property is not void against the trustee if:</w:t>
      </w:r>
    </w:p>
    <w:p w14:paraId="54D6EBCD" w14:textId="77777777" w:rsidR="004F0E68" w:rsidRPr="00942352" w:rsidRDefault="004F0E68" w:rsidP="004A5066">
      <w:pPr>
        <w:pStyle w:val="Quote2"/>
        <w:ind w:left="2160" w:hanging="720"/>
        <w:rPr>
          <w:lang w:eastAsia="en-AU"/>
        </w:rPr>
      </w:pPr>
      <w:r w:rsidRPr="00942352">
        <w:rPr>
          <w:lang w:eastAsia="en-AU"/>
        </w:rPr>
        <w:t xml:space="preserve">(a) </w:t>
      </w:r>
      <w:r w:rsidRPr="00942352">
        <w:rPr>
          <w:lang w:eastAsia="en-AU"/>
        </w:rPr>
        <w:tab/>
      </w:r>
      <w:proofErr w:type="gramStart"/>
      <w:r w:rsidRPr="00942352">
        <w:rPr>
          <w:lang w:eastAsia="en-AU"/>
        </w:rPr>
        <w:t>the</w:t>
      </w:r>
      <w:proofErr w:type="gramEnd"/>
      <w:r w:rsidRPr="00942352">
        <w:rPr>
          <w:lang w:eastAsia="en-AU"/>
        </w:rPr>
        <w:t xml:space="preserve"> consideration that the transferee gave for the transfer was at least as valuable as the market value of the property; and</w:t>
      </w:r>
    </w:p>
    <w:p w14:paraId="5420FD73" w14:textId="77777777" w:rsidR="004F0E68" w:rsidRPr="00942352" w:rsidRDefault="004F0E68" w:rsidP="004A5066">
      <w:pPr>
        <w:pStyle w:val="Quote2"/>
        <w:ind w:left="2160" w:hanging="720"/>
        <w:rPr>
          <w:lang w:eastAsia="en-AU"/>
        </w:rPr>
      </w:pPr>
      <w:r w:rsidRPr="00942352">
        <w:rPr>
          <w:lang w:eastAsia="en-AU"/>
        </w:rPr>
        <w:t>(b)</w:t>
      </w:r>
      <w:r w:rsidRPr="00942352">
        <w:rPr>
          <w:lang w:eastAsia="en-AU"/>
        </w:rPr>
        <w:tab/>
        <w:t xml:space="preserve">the transferee did not know, and could not reasonably have inferred, </w:t>
      </w:r>
      <w:r w:rsidRPr="00942352">
        <w:rPr>
          <w:lang w:eastAsia="en-AU"/>
        </w:rPr>
        <w:lastRenderedPageBreak/>
        <w:t>that the transferor’s main purpose in making the transfer was the purpose described in paragraph (1)(b); and</w:t>
      </w:r>
    </w:p>
    <w:p w14:paraId="10A806C9" w14:textId="77777777" w:rsidR="004F0E68" w:rsidRPr="00942352" w:rsidRDefault="004F0E68" w:rsidP="004A5066">
      <w:pPr>
        <w:pStyle w:val="Quote2"/>
        <w:ind w:left="2160" w:hanging="720"/>
        <w:rPr>
          <w:lang w:eastAsia="en-AU"/>
        </w:rPr>
      </w:pPr>
      <w:r w:rsidRPr="00942352">
        <w:rPr>
          <w:lang w:eastAsia="en-AU"/>
        </w:rPr>
        <w:t>(c)</w:t>
      </w:r>
      <w:r w:rsidRPr="00942352">
        <w:rPr>
          <w:lang w:eastAsia="en-AU"/>
        </w:rPr>
        <w:tab/>
      </w:r>
      <w:proofErr w:type="gramStart"/>
      <w:r w:rsidRPr="00942352">
        <w:rPr>
          <w:lang w:eastAsia="en-AU"/>
        </w:rPr>
        <w:t>the</w:t>
      </w:r>
      <w:proofErr w:type="gramEnd"/>
      <w:r w:rsidRPr="00942352">
        <w:rPr>
          <w:lang w:eastAsia="en-AU"/>
        </w:rPr>
        <w:t xml:space="preserve"> transferee could not reasonably have inferred that, at the time of the transfer, the transferor was, or was about to become, insolvent.</w:t>
      </w:r>
    </w:p>
    <w:p w14:paraId="191916FA" w14:textId="77777777" w:rsidR="004F0E68" w:rsidRPr="00942352" w:rsidRDefault="004F0E68" w:rsidP="004F0E68">
      <w:pPr>
        <w:pStyle w:val="Quote1"/>
        <w:ind w:left="1440"/>
        <w:rPr>
          <w:i/>
          <w:szCs w:val="22"/>
          <w:lang w:eastAsia="en-AU"/>
        </w:rPr>
      </w:pPr>
      <w:r w:rsidRPr="00942352">
        <w:rPr>
          <w:i/>
          <w:szCs w:val="22"/>
          <w:lang w:eastAsia="en-AU"/>
        </w:rPr>
        <w:t>Rebuttable presumption of insolvency</w:t>
      </w:r>
    </w:p>
    <w:p w14:paraId="72933302" w14:textId="77777777" w:rsidR="004F0E68" w:rsidRPr="00942352" w:rsidRDefault="004F0E68" w:rsidP="004F0E68">
      <w:pPr>
        <w:pStyle w:val="Quote1"/>
        <w:ind w:left="1440" w:hanging="703"/>
        <w:rPr>
          <w:szCs w:val="22"/>
          <w:lang w:eastAsia="en-AU"/>
        </w:rPr>
      </w:pPr>
      <w:r w:rsidRPr="00942352">
        <w:rPr>
          <w:szCs w:val="22"/>
          <w:lang w:eastAsia="en-AU"/>
        </w:rPr>
        <w:t>(4A)</w:t>
      </w:r>
      <w:r w:rsidRPr="00942352">
        <w:rPr>
          <w:szCs w:val="22"/>
          <w:lang w:eastAsia="en-AU"/>
        </w:rPr>
        <w:tab/>
      </w:r>
      <w:proofErr w:type="gramStart"/>
      <w:r w:rsidRPr="00942352">
        <w:rPr>
          <w:szCs w:val="22"/>
          <w:lang w:eastAsia="en-AU"/>
        </w:rPr>
        <w:t>For</w:t>
      </w:r>
      <w:proofErr w:type="gramEnd"/>
      <w:r w:rsidRPr="00942352">
        <w:rPr>
          <w:szCs w:val="22"/>
          <w:lang w:eastAsia="en-AU"/>
        </w:rPr>
        <w:t xml:space="preserve"> the purposes of this section, a rebuttable presumption arises that the transferor was, or was about to become, insolvent at the time of the transfer if it is established that the transferor:</w:t>
      </w:r>
    </w:p>
    <w:p w14:paraId="1418CACA" w14:textId="77777777" w:rsidR="004F0E68" w:rsidRPr="00942352" w:rsidRDefault="004F0E68" w:rsidP="004A5066">
      <w:pPr>
        <w:pStyle w:val="Quote2"/>
        <w:ind w:left="2160" w:hanging="720"/>
        <w:rPr>
          <w:lang w:eastAsia="en-AU"/>
        </w:rPr>
      </w:pPr>
      <w:r w:rsidRPr="00942352">
        <w:rPr>
          <w:lang w:eastAsia="en-AU"/>
        </w:rPr>
        <w:t>(a)</w:t>
      </w:r>
      <w:r w:rsidRPr="00942352">
        <w:rPr>
          <w:lang w:eastAsia="en-AU"/>
        </w:rPr>
        <w:tab/>
        <w:t>had not, in respect of that time, kept such books, accounts and records as are usual and proper in relation to the business carried on by the transferor and as sufficiently disclose the transferor’s business transactions and financial position; or</w:t>
      </w:r>
    </w:p>
    <w:p w14:paraId="162872FD" w14:textId="77777777" w:rsidR="004F0E68" w:rsidRPr="00942352" w:rsidRDefault="004F0E68" w:rsidP="004A5066">
      <w:pPr>
        <w:pStyle w:val="Quote2"/>
        <w:ind w:left="2160" w:hanging="720"/>
        <w:rPr>
          <w:lang w:eastAsia="en-AU"/>
        </w:rPr>
      </w:pPr>
      <w:r w:rsidRPr="00942352">
        <w:rPr>
          <w:lang w:eastAsia="en-AU"/>
        </w:rPr>
        <w:t>(b)</w:t>
      </w:r>
      <w:r w:rsidRPr="00942352">
        <w:rPr>
          <w:lang w:eastAsia="en-AU"/>
        </w:rPr>
        <w:tab/>
      </w:r>
      <w:proofErr w:type="gramStart"/>
      <w:r w:rsidRPr="00942352">
        <w:rPr>
          <w:lang w:eastAsia="en-AU"/>
        </w:rPr>
        <w:t>having</w:t>
      </w:r>
      <w:proofErr w:type="gramEnd"/>
      <w:r w:rsidRPr="00942352">
        <w:rPr>
          <w:lang w:eastAsia="en-AU"/>
        </w:rPr>
        <w:t xml:space="preserve"> kept such books, accounts and records, has not preserved them.</w:t>
      </w:r>
    </w:p>
    <w:p w14:paraId="28D011F4" w14:textId="77777777" w:rsidR="004F0E68" w:rsidRPr="00942352" w:rsidRDefault="004F0E68" w:rsidP="004F0E68">
      <w:pPr>
        <w:pStyle w:val="Quote1"/>
        <w:ind w:left="1440"/>
        <w:rPr>
          <w:i/>
          <w:szCs w:val="22"/>
          <w:lang w:eastAsia="en-AU"/>
        </w:rPr>
      </w:pPr>
      <w:r w:rsidRPr="00942352">
        <w:rPr>
          <w:i/>
          <w:szCs w:val="22"/>
          <w:lang w:eastAsia="en-AU"/>
        </w:rPr>
        <w:t>Refund of consideration</w:t>
      </w:r>
    </w:p>
    <w:p w14:paraId="514D8067" w14:textId="77777777" w:rsidR="004F0E68" w:rsidRPr="00942352" w:rsidRDefault="004F0E68" w:rsidP="004F0E68">
      <w:pPr>
        <w:pStyle w:val="Quote1"/>
        <w:ind w:left="1440" w:hanging="703"/>
        <w:rPr>
          <w:szCs w:val="22"/>
          <w:lang w:eastAsia="en-AU"/>
        </w:rPr>
      </w:pPr>
      <w:r w:rsidRPr="00942352">
        <w:rPr>
          <w:szCs w:val="22"/>
          <w:lang w:eastAsia="en-AU"/>
        </w:rPr>
        <w:t>(5)</w:t>
      </w:r>
      <w:r w:rsidRPr="00942352">
        <w:rPr>
          <w:szCs w:val="22"/>
          <w:lang w:eastAsia="en-AU"/>
        </w:rPr>
        <w:tab/>
        <w:t>The trustee must pay to the transferee an amount equal to the value of any consideration that the transferee gave for a transfer that is void against the trustee.</w:t>
      </w:r>
    </w:p>
    <w:p w14:paraId="2543C331" w14:textId="77777777" w:rsidR="004F0E68" w:rsidRPr="00942352" w:rsidRDefault="004F0E68" w:rsidP="004F0E68">
      <w:pPr>
        <w:pStyle w:val="Quote1"/>
        <w:ind w:left="1440"/>
        <w:rPr>
          <w:i/>
          <w:szCs w:val="22"/>
          <w:lang w:eastAsia="en-AU"/>
        </w:rPr>
      </w:pPr>
      <w:r w:rsidRPr="00942352">
        <w:rPr>
          <w:i/>
          <w:szCs w:val="22"/>
          <w:lang w:eastAsia="en-AU"/>
        </w:rPr>
        <w:t xml:space="preserve">What is not </w:t>
      </w:r>
      <w:proofErr w:type="gramStart"/>
      <w:r w:rsidRPr="00942352">
        <w:rPr>
          <w:i/>
          <w:szCs w:val="22"/>
          <w:lang w:eastAsia="en-AU"/>
        </w:rPr>
        <w:t>consideration</w:t>
      </w:r>
      <w:proofErr w:type="gramEnd"/>
    </w:p>
    <w:p w14:paraId="33A3E520" w14:textId="77777777" w:rsidR="004F0E68" w:rsidRPr="00942352" w:rsidRDefault="004F0E68" w:rsidP="004F0E68">
      <w:pPr>
        <w:pStyle w:val="Quote1"/>
        <w:ind w:left="1440" w:hanging="703"/>
        <w:rPr>
          <w:szCs w:val="22"/>
          <w:lang w:eastAsia="en-AU"/>
        </w:rPr>
      </w:pPr>
      <w:r w:rsidRPr="00942352">
        <w:rPr>
          <w:szCs w:val="22"/>
          <w:lang w:eastAsia="en-AU"/>
        </w:rPr>
        <w:t>(6)</w:t>
      </w:r>
      <w:r w:rsidRPr="00942352">
        <w:rPr>
          <w:szCs w:val="22"/>
          <w:lang w:eastAsia="en-AU"/>
        </w:rPr>
        <w:tab/>
        <w:t>For the purposes of subsections (4) and (5), the following have no value as consideration:</w:t>
      </w:r>
    </w:p>
    <w:p w14:paraId="3199CA8D" w14:textId="77777777" w:rsidR="004F0E68" w:rsidRPr="00942352" w:rsidRDefault="004F0E68" w:rsidP="004A5066">
      <w:pPr>
        <w:pStyle w:val="Quote2"/>
        <w:ind w:left="2160" w:hanging="720"/>
        <w:rPr>
          <w:lang w:eastAsia="en-AU"/>
        </w:rPr>
      </w:pPr>
      <w:r w:rsidRPr="00942352">
        <w:rPr>
          <w:lang w:eastAsia="en-AU"/>
        </w:rPr>
        <w:t>(a)</w:t>
      </w:r>
      <w:r w:rsidRPr="00942352">
        <w:rPr>
          <w:lang w:eastAsia="en-AU"/>
        </w:rPr>
        <w:tab/>
      </w:r>
      <w:proofErr w:type="gramStart"/>
      <w:r w:rsidRPr="00942352">
        <w:rPr>
          <w:lang w:eastAsia="en-AU"/>
        </w:rPr>
        <w:t>the</w:t>
      </w:r>
      <w:proofErr w:type="gramEnd"/>
      <w:r w:rsidRPr="00942352">
        <w:rPr>
          <w:lang w:eastAsia="en-AU"/>
        </w:rPr>
        <w:t xml:space="preserve"> fact that the transferee is related to the transferor;</w:t>
      </w:r>
    </w:p>
    <w:p w14:paraId="73FC5976" w14:textId="77777777" w:rsidR="004F0E68" w:rsidRPr="00942352" w:rsidRDefault="004F0E68" w:rsidP="004A5066">
      <w:pPr>
        <w:pStyle w:val="Quote2"/>
        <w:ind w:left="2160" w:hanging="720"/>
        <w:rPr>
          <w:lang w:eastAsia="en-AU"/>
        </w:rPr>
      </w:pPr>
      <w:r w:rsidRPr="00942352">
        <w:rPr>
          <w:lang w:eastAsia="en-AU"/>
        </w:rPr>
        <w:t>(b)</w:t>
      </w:r>
      <w:r w:rsidRPr="00942352">
        <w:rPr>
          <w:lang w:eastAsia="en-AU"/>
        </w:rPr>
        <w:tab/>
      </w:r>
      <w:proofErr w:type="gramStart"/>
      <w:r w:rsidRPr="00942352">
        <w:rPr>
          <w:lang w:eastAsia="en-AU"/>
        </w:rPr>
        <w:t>if</w:t>
      </w:r>
      <w:proofErr w:type="gramEnd"/>
      <w:r w:rsidRPr="00942352">
        <w:rPr>
          <w:lang w:eastAsia="en-AU"/>
        </w:rPr>
        <w:t xml:space="preserve"> the transferee is the spouse or de facto partner of the transferor—the transferee making a deed in favour of the transferor;</w:t>
      </w:r>
    </w:p>
    <w:p w14:paraId="330106B1" w14:textId="77777777" w:rsidR="004F0E68" w:rsidRPr="00942352" w:rsidRDefault="004F0E68" w:rsidP="004A5066">
      <w:pPr>
        <w:pStyle w:val="Quote2"/>
        <w:ind w:left="2160" w:hanging="720"/>
        <w:rPr>
          <w:lang w:eastAsia="en-AU"/>
        </w:rPr>
      </w:pPr>
      <w:r w:rsidRPr="00942352">
        <w:rPr>
          <w:lang w:eastAsia="en-AU"/>
        </w:rPr>
        <w:t>(c)</w:t>
      </w:r>
      <w:r w:rsidRPr="00942352">
        <w:rPr>
          <w:lang w:eastAsia="en-AU"/>
        </w:rPr>
        <w:tab/>
      </w:r>
      <w:proofErr w:type="gramStart"/>
      <w:r w:rsidRPr="00942352">
        <w:rPr>
          <w:lang w:eastAsia="en-AU"/>
        </w:rPr>
        <w:t>the</w:t>
      </w:r>
      <w:proofErr w:type="gramEnd"/>
      <w:r w:rsidRPr="00942352">
        <w:rPr>
          <w:lang w:eastAsia="en-AU"/>
        </w:rPr>
        <w:t xml:space="preserve"> transferee’s promise to marry, or to become the de facto partner of, the transferor;</w:t>
      </w:r>
    </w:p>
    <w:p w14:paraId="496A93D6" w14:textId="77777777" w:rsidR="004F0E68" w:rsidRPr="00942352" w:rsidRDefault="004F0E68" w:rsidP="004A5066">
      <w:pPr>
        <w:pStyle w:val="Quote2"/>
        <w:ind w:left="2160" w:hanging="720"/>
        <w:rPr>
          <w:lang w:eastAsia="en-AU"/>
        </w:rPr>
      </w:pPr>
      <w:r w:rsidRPr="00942352">
        <w:rPr>
          <w:lang w:eastAsia="en-AU"/>
        </w:rPr>
        <w:t>(d)</w:t>
      </w:r>
      <w:r w:rsidRPr="00942352">
        <w:rPr>
          <w:lang w:eastAsia="en-AU"/>
        </w:rPr>
        <w:tab/>
      </w:r>
      <w:proofErr w:type="gramStart"/>
      <w:r w:rsidRPr="00942352">
        <w:rPr>
          <w:lang w:eastAsia="en-AU"/>
        </w:rPr>
        <w:t>the</w:t>
      </w:r>
      <w:proofErr w:type="gramEnd"/>
      <w:r w:rsidRPr="00942352">
        <w:rPr>
          <w:lang w:eastAsia="en-AU"/>
        </w:rPr>
        <w:t xml:space="preserve"> transferee’s love or affection for the transferor;</w:t>
      </w:r>
    </w:p>
    <w:p w14:paraId="18B642ED" w14:textId="77777777" w:rsidR="004F0E68" w:rsidRPr="00942352" w:rsidRDefault="004F0E68" w:rsidP="004A5066">
      <w:pPr>
        <w:pStyle w:val="Quote2"/>
        <w:ind w:left="2160" w:hanging="720"/>
        <w:rPr>
          <w:lang w:eastAsia="en-AU"/>
        </w:rPr>
      </w:pPr>
      <w:r w:rsidRPr="00942352">
        <w:rPr>
          <w:lang w:eastAsia="en-AU"/>
        </w:rPr>
        <w:t>(e)</w:t>
      </w:r>
      <w:r w:rsidRPr="00942352">
        <w:rPr>
          <w:lang w:eastAsia="en-AU"/>
        </w:rPr>
        <w:tab/>
        <w:t xml:space="preserve">if the transferee is the spouse, or a former spouse, of the transferor—the transferee granting the transferor a right to live at the transferred property, unless the grant relates to a transfer or settlement of property, or an agreement, under the </w:t>
      </w:r>
      <w:r w:rsidRPr="00942352">
        <w:rPr>
          <w:i/>
          <w:lang w:eastAsia="en-AU"/>
        </w:rPr>
        <w:t>Family Law Act 1975</w:t>
      </w:r>
      <w:r w:rsidRPr="00942352">
        <w:rPr>
          <w:lang w:eastAsia="en-AU"/>
        </w:rPr>
        <w:t>;</w:t>
      </w:r>
    </w:p>
    <w:p w14:paraId="23322AD5" w14:textId="437429BD" w:rsidR="004F0E68" w:rsidRPr="00942352" w:rsidRDefault="004F0E68" w:rsidP="004A5066">
      <w:pPr>
        <w:pStyle w:val="Quote2"/>
        <w:ind w:left="2160" w:hanging="720"/>
        <w:rPr>
          <w:lang w:eastAsia="en-AU"/>
        </w:rPr>
      </w:pPr>
      <w:r w:rsidRPr="00942352">
        <w:rPr>
          <w:lang w:eastAsia="en-AU"/>
        </w:rPr>
        <w:t>(f)</w:t>
      </w:r>
      <w:r w:rsidRPr="00942352">
        <w:rPr>
          <w:lang w:eastAsia="en-AU"/>
        </w:rPr>
        <w:tab/>
        <w:t xml:space="preserve">if the transferee is a former de facto partner of the transferor—the transferee granting the transferor a right to live at the transferred property, unless the grant relates to a transfer or settlement of property, or an agreement, under the </w:t>
      </w:r>
      <w:r w:rsidRPr="00942352">
        <w:rPr>
          <w:i/>
          <w:lang w:eastAsia="en-AU"/>
        </w:rPr>
        <w:t>Family Law Act 1975</w:t>
      </w:r>
      <w:r w:rsidR="00DF7953" w:rsidRPr="00942352">
        <w:rPr>
          <w:lang w:eastAsia="en-AU"/>
        </w:rPr>
        <w:t xml:space="preserve"> or the </w:t>
      </w:r>
      <w:r w:rsidR="00DF7953" w:rsidRPr="00942352">
        <w:rPr>
          <w:i/>
          <w:lang w:eastAsia="en-AU"/>
        </w:rPr>
        <w:t>Family Court Act 1997</w:t>
      </w:r>
      <w:r w:rsidR="00DF7953" w:rsidRPr="00942352">
        <w:rPr>
          <w:lang w:eastAsia="en-AU"/>
        </w:rPr>
        <w:t xml:space="preserve"> (WA)</w:t>
      </w:r>
      <w:r w:rsidRPr="00942352">
        <w:rPr>
          <w:lang w:eastAsia="en-AU"/>
        </w:rPr>
        <w:t>.</w:t>
      </w:r>
    </w:p>
    <w:p w14:paraId="56A1F1B6" w14:textId="77777777" w:rsidR="004F0E68" w:rsidRPr="00942352" w:rsidRDefault="004F0E68" w:rsidP="004F0E68">
      <w:pPr>
        <w:pStyle w:val="Quote1"/>
        <w:ind w:left="1440"/>
        <w:rPr>
          <w:i/>
          <w:szCs w:val="22"/>
          <w:lang w:eastAsia="en-AU"/>
        </w:rPr>
      </w:pPr>
      <w:r w:rsidRPr="00942352">
        <w:rPr>
          <w:i/>
          <w:szCs w:val="22"/>
          <w:lang w:eastAsia="en-AU"/>
        </w:rPr>
        <w:t>Exemption of transfers of property under debt agreements</w:t>
      </w:r>
    </w:p>
    <w:p w14:paraId="1DC2C622" w14:textId="77777777" w:rsidR="004F0E68" w:rsidRPr="00942352" w:rsidRDefault="004F0E68" w:rsidP="004F0E68">
      <w:pPr>
        <w:pStyle w:val="Quote1"/>
        <w:ind w:left="1440" w:hanging="703"/>
        <w:rPr>
          <w:szCs w:val="22"/>
          <w:lang w:eastAsia="en-AU"/>
        </w:rPr>
      </w:pPr>
      <w:r w:rsidRPr="00942352">
        <w:rPr>
          <w:szCs w:val="22"/>
          <w:lang w:eastAsia="en-AU"/>
        </w:rPr>
        <w:t>(7)</w:t>
      </w:r>
      <w:r w:rsidRPr="00942352">
        <w:rPr>
          <w:szCs w:val="22"/>
          <w:lang w:eastAsia="en-AU"/>
        </w:rPr>
        <w:tab/>
        <w:t>This section does not apply to a transfer of property under a debt agreement.</w:t>
      </w:r>
    </w:p>
    <w:p w14:paraId="5437D939" w14:textId="77777777" w:rsidR="004F0E68" w:rsidRPr="00942352" w:rsidRDefault="004F0E68" w:rsidP="004F0E68">
      <w:pPr>
        <w:pStyle w:val="Quote1"/>
        <w:ind w:left="1440"/>
        <w:rPr>
          <w:i/>
          <w:szCs w:val="22"/>
          <w:lang w:eastAsia="en-AU"/>
        </w:rPr>
      </w:pPr>
      <w:r w:rsidRPr="00942352">
        <w:rPr>
          <w:i/>
          <w:szCs w:val="22"/>
          <w:lang w:eastAsia="en-AU"/>
        </w:rPr>
        <w:t>Protection of successors in title</w:t>
      </w:r>
    </w:p>
    <w:p w14:paraId="7D95357F" w14:textId="77777777" w:rsidR="004F0E68" w:rsidRPr="00942352" w:rsidRDefault="004F0E68" w:rsidP="004F0E68">
      <w:pPr>
        <w:pStyle w:val="Quote1"/>
        <w:ind w:left="1440" w:hanging="703"/>
        <w:rPr>
          <w:szCs w:val="22"/>
          <w:lang w:eastAsia="en-AU"/>
        </w:rPr>
      </w:pPr>
      <w:r w:rsidRPr="00942352">
        <w:rPr>
          <w:szCs w:val="22"/>
          <w:lang w:eastAsia="en-AU"/>
        </w:rPr>
        <w:t>(8)</w:t>
      </w:r>
      <w:r w:rsidRPr="00942352">
        <w:rPr>
          <w:szCs w:val="22"/>
          <w:lang w:eastAsia="en-AU"/>
        </w:rPr>
        <w:tab/>
        <w:t>This section does not affect the rights of a person who acquired property from the transferee in good faith and for at least the market value of the property.</w:t>
      </w:r>
    </w:p>
    <w:p w14:paraId="60324883" w14:textId="77777777" w:rsidR="004F0E68" w:rsidRPr="00942352" w:rsidRDefault="004F0E68" w:rsidP="004F0E68">
      <w:pPr>
        <w:pStyle w:val="Quote1"/>
        <w:ind w:left="1440"/>
        <w:rPr>
          <w:i/>
          <w:szCs w:val="22"/>
          <w:lang w:eastAsia="en-AU"/>
        </w:rPr>
      </w:pPr>
      <w:r w:rsidRPr="00942352">
        <w:rPr>
          <w:i/>
          <w:szCs w:val="22"/>
          <w:lang w:eastAsia="en-AU"/>
        </w:rPr>
        <w:lastRenderedPageBreak/>
        <w:t xml:space="preserve">Meaning of </w:t>
      </w:r>
      <w:r w:rsidRPr="00942352">
        <w:rPr>
          <w:b/>
          <w:i/>
          <w:szCs w:val="22"/>
          <w:lang w:eastAsia="en-AU"/>
        </w:rPr>
        <w:t>transfer of property</w:t>
      </w:r>
      <w:r w:rsidRPr="00942352">
        <w:rPr>
          <w:i/>
          <w:szCs w:val="22"/>
          <w:lang w:eastAsia="en-AU"/>
        </w:rPr>
        <w:t xml:space="preserve"> and </w:t>
      </w:r>
      <w:r w:rsidRPr="00942352">
        <w:rPr>
          <w:b/>
          <w:i/>
          <w:szCs w:val="22"/>
          <w:lang w:eastAsia="en-AU"/>
        </w:rPr>
        <w:t>market value</w:t>
      </w:r>
    </w:p>
    <w:p w14:paraId="0414C1B4" w14:textId="77777777" w:rsidR="004F0E68" w:rsidRPr="00942352" w:rsidRDefault="004F0E68" w:rsidP="004F0E68">
      <w:pPr>
        <w:pStyle w:val="Quote1"/>
        <w:ind w:left="1440" w:hanging="703"/>
        <w:rPr>
          <w:szCs w:val="22"/>
          <w:lang w:eastAsia="en-AU"/>
        </w:rPr>
      </w:pPr>
      <w:r w:rsidRPr="00942352">
        <w:rPr>
          <w:szCs w:val="22"/>
          <w:lang w:eastAsia="en-AU"/>
        </w:rPr>
        <w:t>(9)</w:t>
      </w:r>
      <w:r w:rsidRPr="00942352">
        <w:rPr>
          <w:szCs w:val="22"/>
          <w:lang w:eastAsia="en-AU"/>
        </w:rPr>
        <w:tab/>
        <w:t>For the purposes of this section:</w:t>
      </w:r>
    </w:p>
    <w:p w14:paraId="2B57D063" w14:textId="77777777" w:rsidR="004F0E68" w:rsidRPr="00942352" w:rsidRDefault="004F0E68" w:rsidP="004A5066">
      <w:pPr>
        <w:pStyle w:val="Quote2"/>
        <w:ind w:left="2160" w:hanging="720"/>
        <w:rPr>
          <w:lang w:eastAsia="en-AU"/>
        </w:rPr>
      </w:pPr>
      <w:r w:rsidRPr="00942352">
        <w:rPr>
          <w:lang w:eastAsia="en-AU"/>
        </w:rPr>
        <w:t>(a)</w:t>
      </w:r>
      <w:r w:rsidRPr="00942352">
        <w:rPr>
          <w:lang w:eastAsia="en-AU"/>
        </w:rPr>
        <w:tab/>
      </w:r>
      <w:proofErr w:type="gramStart"/>
      <w:r w:rsidRPr="00942352">
        <w:rPr>
          <w:b/>
          <w:i/>
          <w:lang w:eastAsia="en-AU"/>
        </w:rPr>
        <w:t>transfer</w:t>
      </w:r>
      <w:proofErr w:type="gramEnd"/>
      <w:r w:rsidRPr="00942352">
        <w:rPr>
          <w:b/>
          <w:i/>
          <w:lang w:eastAsia="en-AU"/>
        </w:rPr>
        <w:t xml:space="preserve"> of property</w:t>
      </w:r>
      <w:r w:rsidRPr="00942352">
        <w:rPr>
          <w:lang w:eastAsia="en-AU"/>
        </w:rPr>
        <w:t xml:space="preserve"> includes a payment of money; and</w:t>
      </w:r>
    </w:p>
    <w:p w14:paraId="62E23011" w14:textId="77777777" w:rsidR="004F0E68" w:rsidRPr="00942352" w:rsidRDefault="004F0E68" w:rsidP="004A5066">
      <w:pPr>
        <w:pStyle w:val="Quote2"/>
        <w:ind w:left="2160" w:hanging="720"/>
        <w:rPr>
          <w:lang w:eastAsia="en-AU"/>
        </w:rPr>
      </w:pPr>
      <w:r w:rsidRPr="00942352">
        <w:rPr>
          <w:lang w:eastAsia="en-AU"/>
        </w:rPr>
        <w:t>(b)</w:t>
      </w:r>
      <w:r w:rsidRPr="00942352">
        <w:rPr>
          <w:lang w:eastAsia="en-AU"/>
        </w:rPr>
        <w:tab/>
      </w:r>
      <w:proofErr w:type="gramStart"/>
      <w:r w:rsidRPr="00942352">
        <w:rPr>
          <w:lang w:eastAsia="en-AU"/>
        </w:rPr>
        <w:t>a</w:t>
      </w:r>
      <w:proofErr w:type="gramEnd"/>
      <w:r w:rsidRPr="00942352">
        <w:rPr>
          <w:lang w:eastAsia="en-AU"/>
        </w:rPr>
        <w:t xml:space="preserve"> person who does something that results in another person becoming the owner of property that did not previously exist is taken to have transferred the property to the other person; and</w:t>
      </w:r>
    </w:p>
    <w:p w14:paraId="1A5AEEAB" w14:textId="741C980A" w:rsidR="004F0E68" w:rsidRDefault="004F0E68" w:rsidP="004A5066">
      <w:pPr>
        <w:pStyle w:val="Quote2"/>
        <w:ind w:left="2160" w:hanging="720"/>
        <w:rPr>
          <w:lang w:eastAsia="en-AU"/>
        </w:rPr>
      </w:pPr>
      <w:r w:rsidRPr="00942352">
        <w:rPr>
          <w:lang w:eastAsia="en-AU"/>
        </w:rPr>
        <w:t>(c)</w:t>
      </w:r>
      <w:r w:rsidRPr="00942352">
        <w:rPr>
          <w:lang w:eastAsia="en-AU"/>
        </w:rPr>
        <w:tab/>
      </w:r>
      <w:proofErr w:type="gramStart"/>
      <w:r w:rsidRPr="00942352">
        <w:rPr>
          <w:lang w:eastAsia="en-AU"/>
        </w:rPr>
        <w:t>the</w:t>
      </w:r>
      <w:proofErr w:type="gramEnd"/>
      <w:r w:rsidRPr="00942352">
        <w:rPr>
          <w:lang w:eastAsia="en-AU"/>
        </w:rPr>
        <w:t xml:space="preserve"> </w:t>
      </w:r>
      <w:r w:rsidRPr="00942352">
        <w:rPr>
          <w:b/>
          <w:i/>
          <w:lang w:eastAsia="en-AU"/>
        </w:rPr>
        <w:t xml:space="preserve">market value </w:t>
      </w:r>
      <w:r w:rsidRPr="00942352">
        <w:rPr>
          <w:lang w:eastAsia="en-AU"/>
        </w:rPr>
        <w:t>of property transferred is its market value at the time of the transfer.</w:t>
      </w:r>
    </w:p>
    <w:p w14:paraId="0801BA3D" w14:textId="1D6233C3" w:rsidR="008D1485" w:rsidRPr="00942352" w:rsidRDefault="008D1485" w:rsidP="008D1485">
      <w:pPr>
        <w:pStyle w:val="Quote1"/>
        <w:rPr>
          <w:lang w:eastAsia="en-AU"/>
        </w:rPr>
      </w:pPr>
      <w:r>
        <w:rPr>
          <w:lang w:eastAsia="en-AU"/>
        </w:rPr>
        <w:t>(Emphasis in original.)</w:t>
      </w:r>
    </w:p>
    <w:p w14:paraId="2D82DE94" w14:textId="291D6AD7" w:rsidR="004F0E68" w:rsidRPr="00942352" w:rsidRDefault="00155C95" w:rsidP="00155C95">
      <w:pPr>
        <w:pStyle w:val="ParaNumbering"/>
        <w:numPr>
          <w:ilvl w:val="0"/>
          <w:numId w:val="0"/>
        </w:numPr>
        <w:ind w:hanging="720"/>
      </w:pPr>
      <w:r w:rsidRPr="00942352">
        <w:rPr>
          <w:sz w:val="20"/>
        </w:rPr>
        <w:t>232</w:t>
      </w:r>
      <w:r w:rsidRPr="00942352">
        <w:rPr>
          <w:sz w:val="20"/>
        </w:rPr>
        <w:tab/>
      </w:r>
      <w:r w:rsidR="004F0E68" w:rsidRPr="00942352">
        <w:rPr>
          <w:lang w:eastAsia="en-AU"/>
        </w:rPr>
        <w:t>Under s </w:t>
      </w:r>
      <w:r w:rsidR="004F0E68" w:rsidRPr="00942352">
        <w:t>121</w:t>
      </w:r>
      <w:r w:rsidR="004F0E68" w:rsidRPr="00942352">
        <w:rPr>
          <w:lang w:eastAsia="en-AU"/>
        </w:rPr>
        <w:t>, a transfer of property by a person who later becomes a bankrupt to another person is void against the trustee in the transferor’s bankruptcy if the property would probably have become part of the transferor’s estate or would probably have been available to creditors if the property had not been transferred</w:t>
      </w:r>
      <w:r w:rsidR="003253F7" w:rsidRPr="00942352">
        <w:rPr>
          <w:lang w:eastAsia="en-AU"/>
        </w:rPr>
        <w:t>: s 121(1)(a).</w:t>
      </w:r>
      <w:r w:rsidR="004F0E68" w:rsidRPr="00942352">
        <w:rPr>
          <w:lang w:eastAsia="en-AU"/>
        </w:rPr>
        <w:t xml:space="preserve"> </w:t>
      </w:r>
    </w:p>
    <w:p w14:paraId="10A1A00C" w14:textId="0CCCD53E" w:rsidR="004F0E68" w:rsidRPr="00942352" w:rsidRDefault="00155C95" w:rsidP="00155C95">
      <w:pPr>
        <w:pStyle w:val="ParaNumbering"/>
        <w:numPr>
          <w:ilvl w:val="0"/>
          <w:numId w:val="0"/>
        </w:numPr>
        <w:ind w:hanging="720"/>
      </w:pPr>
      <w:bookmarkStart w:id="119" w:name="_Ref128660930"/>
      <w:r w:rsidRPr="00942352">
        <w:rPr>
          <w:sz w:val="20"/>
        </w:rPr>
        <w:t>233</w:t>
      </w:r>
      <w:r w:rsidRPr="00942352">
        <w:rPr>
          <w:sz w:val="20"/>
        </w:rPr>
        <w:tab/>
      </w:r>
      <w:r w:rsidR="004F0E68" w:rsidRPr="00942352">
        <w:rPr>
          <w:lang w:eastAsia="en-AU"/>
        </w:rPr>
        <w:t>The trustee must establish:</w:t>
      </w:r>
      <w:bookmarkEnd w:id="119"/>
      <w:r w:rsidR="004F0E68" w:rsidRPr="00942352">
        <w:rPr>
          <w:lang w:eastAsia="en-AU"/>
        </w:rPr>
        <w:t xml:space="preserve"> </w:t>
      </w:r>
    </w:p>
    <w:p w14:paraId="23859C64" w14:textId="4C26EFDD" w:rsidR="004F0E68" w:rsidRPr="00942352" w:rsidRDefault="00155C95" w:rsidP="00155C95">
      <w:pPr>
        <w:pStyle w:val="ListNo1alt"/>
        <w:numPr>
          <w:ilvl w:val="0"/>
          <w:numId w:val="0"/>
        </w:numPr>
        <w:tabs>
          <w:tab w:val="left" w:pos="720"/>
        </w:tabs>
        <w:ind w:left="720" w:hanging="720"/>
      </w:pPr>
      <w:r w:rsidRPr="00942352">
        <w:t>(a)</w:t>
      </w:r>
      <w:r w:rsidRPr="00942352">
        <w:tab/>
      </w:r>
      <w:r w:rsidR="00D13C01" w:rsidRPr="00942352">
        <w:t>t</w:t>
      </w:r>
      <w:r w:rsidR="004F0E68" w:rsidRPr="00942352">
        <w:t xml:space="preserve">hat the relevant transactions each comprised “transfers of property” from the bankrupt to the respondent, </w:t>
      </w:r>
      <w:r w:rsidR="00DC19C0" w:rsidRPr="00942352">
        <w:t>within the meaning of</w:t>
      </w:r>
      <w:r w:rsidR="004F0E68" w:rsidRPr="00942352">
        <w:t xml:space="preserve"> s 121(9); </w:t>
      </w:r>
    </w:p>
    <w:p w14:paraId="57CD6C5D" w14:textId="5439E585" w:rsidR="004F0E68" w:rsidRPr="00942352" w:rsidRDefault="00155C95" w:rsidP="00155C95">
      <w:pPr>
        <w:pStyle w:val="ListNo1alt"/>
        <w:numPr>
          <w:ilvl w:val="0"/>
          <w:numId w:val="0"/>
        </w:numPr>
        <w:tabs>
          <w:tab w:val="left" w:pos="720"/>
        </w:tabs>
        <w:ind w:left="720" w:hanging="720"/>
      </w:pPr>
      <w:bookmarkStart w:id="120" w:name="_Ref128660932"/>
      <w:r w:rsidRPr="00942352">
        <w:t>(b)</w:t>
      </w:r>
      <w:r w:rsidRPr="00942352">
        <w:tab/>
      </w:r>
      <w:proofErr w:type="gramStart"/>
      <w:r w:rsidR="00D13C01" w:rsidRPr="00942352">
        <w:t>t</w:t>
      </w:r>
      <w:r w:rsidR="004F0E68" w:rsidRPr="00942352">
        <w:t>he</w:t>
      </w:r>
      <w:proofErr w:type="gramEnd"/>
      <w:r w:rsidR="004F0E68" w:rsidRPr="00942352">
        <w:t xml:space="preserve"> property would probably have become part of the bankrupt’s estate or would probably have been available to creditors if the property had not be</w:t>
      </w:r>
      <w:r w:rsidR="008D1485">
        <w:t>en</w:t>
      </w:r>
      <w:r w:rsidR="004F0E68" w:rsidRPr="00942352">
        <w:t xml:space="preserve"> transferred;</w:t>
      </w:r>
      <w:bookmarkEnd w:id="120"/>
      <w:r w:rsidR="004F0E68" w:rsidRPr="00942352">
        <w:t xml:space="preserve"> </w:t>
      </w:r>
    </w:p>
    <w:p w14:paraId="7EC302EC" w14:textId="39AA4586" w:rsidR="004F0E68" w:rsidRPr="00942352" w:rsidRDefault="00155C95" w:rsidP="00155C95">
      <w:pPr>
        <w:pStyle w:val="ListNo1alt"/>
        <w:numPr>
          <w:ilvl w:val="0"/>
          <w:numId w:val="0"/>
        </w:numPr>
        <w:tabs>
          <w:tab w:val="left" w:pos="720"/>
        </w:tabs>
        <w:ind w:left="720" w:hanging="720"/>
      </w:pPr>
      <w:r w:rsidRPr="00942352">
        <w:t>(c)</w:t>
      </w:r>
      <w:r w:rsidRPr="00942352">
        <w:tab/>
      </w:r>
      <w:proofErr w:type="gramStart"/>
      <w:r w:rsidR="00D13C01" w:rsidRPr="00942352">
        <w:t>t</w:t>
      </w:r>
      <w:r w:rsidR="004F0E68" w:rsidRPr="00942352">
        <w:t>hat</w:t>
      </w:r>
      <w:proofErr w:type="gramEnd"/>
      <w:r w:rsidR="004F0E68" w:rsidRPr="00942352">
        <w:t xml:space="preserve"> the transferor’s (here the bankrupt’s) main purpose was that set out in s 121(1)(b); </w:t>
      </w:r>
    </w:p>
    <w:p w14:paraId="1A542175" w14:textId="636F234E" w:rsidR="004F0E68" w:rsidRPr="00942352" w:rsidRDefault="00155C95" w:rsidP="00155C95">
      <w:pPr>
        <w:pStyle w:val="ListNo1alt"/>
        <w:numPr>
          <w:ilvl w:val="0"/>
          <w:numId w:val="0"/>
        </w:numPr>
        <w:tabs>
          <w:tab w:val="left" w:pos="720"/>
        </w:tabs>
        <w:ind w:left="720" w:hanging="720"/>
      </w:pPr>
      <w:r w:rsidRPr="00942352">
        <w:t>(d)</w:t>
      </w:r>
      <w:r w:rsidRPr="00942352">
        <w:tab/>
      </w:r>
      <w:proofErr w:type="gramStart"/>
      <w:r w:rsidR="00D13C01" w:rsidRPr="00942352">
        <w:t>a</w:t>
      </w:r>
      <w:r w:rsidR="004F0E68" w:rsidRPr="00942352">
        <w:t>lternatively</w:t>
      </w:r>
      <w:proofErr w:type="gramEnd"/>
      <w:r w:rsidR="004F0E68" w:rsidRPr="00942352">
        <w:t xml:space="preserve">, that it </w:t>
      </w:r>
      <w:r w:rsidR="0090409E" w:rsidRPr="00942352">
        <w:t>can</w:t>
      </w:r>
      <w:r w:rsidR="004F0E68" w:rsidRPr="00942352">
        <w:t xml:space="preserve"> be </w:t>
      </w:r>
      <w:r w:rsidR="0090409E" w:rsidRPr="00942352">
        <w:t xml:space="preserve">reasonably </w:t>
      </w:r>
      <w:r w:rsidR="004F0E68" w:rsidRPr="00942352">
        <w:t>inferred from all the circumstances that, at the time of the transfer, the transferor was, or</w:t>
      </w:r>
      <w:r w:rsidR="002E17C1" w:rsidRPr="00942352">
        <w:t xml:space="preserve"> was about to become insolvent</w:t>
      </w:r>
      <w:r w:rsidR="000C7F9D" w:rsidRPr="00942352">
        <w:t>: s 121(2)</w:t>
      </w:r>
      <w:r w:rsidR="002E17C1" w:rsidRPr="00942352">
        <w:t>.</w:t>
      </w:r>
    </w:p>
    <w:p w14:paraId="28943396" w14:textId="366F35C9" w:rsidR="004F0E68" w:rsidRDefault="00155C95" w:rsidP="00155C95">
      <w:pPr>
        <w:pStyle w:val="ParaNumbering"/>
        <w:numPr>
          <w:ilvl w:val="0"/>
          <w:numId w:val="0"/>
        </w:numPr>
        <w:ind w:hanging="720"/>
      </w:pPr>
      <w:r>
        <w:rPr>
          <w:sz w:val="20"/>
        </w:rPr>
        <w:t>234</w:t>
      </w:r>
      <w:r>
        <w:rPr>
          <w:sz w:val="20"/>
        </w:rPr>
        <w:tab/>
      </w:r>
      <w:r w:rsidR="002E17C1" w:rsidRPr="00942352">
        <w:t>An answer to such a claim may be that, despite the trustee satisfying the requirements of s 121(1), there has been</w:t>
      </w:r>
      <w:r w:rsidR="004F0E68" w:rsidRPr="00942352">
        <w:t xml:space="preserve"> consideration </w:t>
      </w:r>
      <w:r w:rsidR="006018A9" w:rsidRPr="00942352">
        <w:t xml:space="preserve">given </w:t>
      </w:r>
      <w:r w:rsidR="002E17C1" w:rsidRPr="00942352">
        <w:t xml:space="preserve">by the transferee under s 121(4). However, the burden of establishing the same rests on the transferee: </w:t>
      </w:r>
      <w:r w:rsidR="002E17C1" w:rsidRPr="00942352">
        <w:rPr>
          <w:b/>
          <w:i/>
        </w:rPr>
        <w:t>Re Jury</w:t>
      </w:r>
      <w:r w:rsidR="00027E9C" w:rsidRPr="00942352">
        <w:rPr>
          <w:i/>
          <w:iCs/>
        </w:rPr>
        <w:t xml:space="preserve">; Ashton v </w:t>
      </w:r>
      <w:proofErr w:type="gramStart"/>
      <w:r w:rsidR="00027E9C" w:rsidRPr="00942352">
        <w:rPr>
          <w:i/>
          <w:iCs/>
        </w:rPr>
        <w:t>Prentice</w:t>
      </w:r>
      <w:proofErr w:type="gramEnd"/>
      <w:r w:rsidR="00027E9C" w:rsidRPr="00942352">
        <w:rPr>
          <w:i/>
          <w:iCs/>
        </w:rPr>
        <w:t xml:space="preserve"> </w:t>
      </w:r>
      <w:r w:rsidR="00027E9C" w:rsidRPr="00942352">
        <w:t>[1999] FCA 671; 92 FCR 68</w:t>
      </w:r>
      <w:r w:rsidR="002E17C1" w:rsidRPr="00942352">
        <w:t xml:space="preserve"> at [67]</w:t>
      </w:r>
      <w:r w:rsidR="004F0E68" w:rsidRPr="00942352">
        <w:t>.</w:t>
      </w:r>
    </w:p>
    <w:p w14:paraId="2B25234D" w14:textId="04BF355F" w:rsidR="008D1485" w:rsidRPr="00942352" w:rsidRDefault="00155C95" w:rsidP="00155C95">
      <w:pPr>
        <w:pStyle w:val="ParaNumbering"/>
        <w:numPr>
          <w:ilvl w:val="0"/>
          <w:numId w:val="0"/>
        </w:numPr>
        <w:ind w:hanging="720"/>
      </w:pPr>
      <w:r w:rsidRPr="00942352">
        <w:rPr>
          <w:sz w:val="20"/>
        </w:rPr>
        <w:t>235</w:t>
      </w:r>
      <w:r w:rsidRPr="00942352">
        <w:rPr>
          <w:sz w:val="20"/>
        </w:rPr>
        <w:tab/>
      </w:r>
      <w:r w:rsidR="008D1485">
        <w:t xml:space="preserve">For the following reasons I find that the trustee’s s 121 claim is made out. </w:t>
      </w:r>
    </w:p>
    <w:p w14:paraId="7C286278" w14:textId="53D101B7" w:rsidR="00D13C01" w:rsidRPr="00942352" w:rsidRDefault="00D13C01" w:rsidP="00D13C01">
      <w:pPr>
        <w:pStyle w:val="Heading4"/>
        <w:rPr>
          <w:b/>
          <w:lang w:eastAsia="en-AU"/>
        </w:rPr>
      </w:pPr>
      <w:bookmarkStart w:id="121" w:name="_Ref127552607"/>
      <w:bookmarkStart w:id="122" w:name="_Ref129254369"/>
      <w:r w:rsidRPr="00942352">
        <w:t>Were there “transfers of property” from the bankrupt to the respondent</w:t>
      </w:r>
      <w:bookmarkEnd w:id="121"/>
      <w:r w:rsidR="008D1485">
        <w:t>?</w:t>
      </w:r>
      <w:bookmarkEnd w:id="122"/>
    </w:p>
    <w:p w14:paraId="53A0F0F7" w14:textId="778A03C3" w:rsidR="007422F9" w:rsidRPr="00942352" w:rsidRDefault="00155C95" w:rsidP="00155C95">
      <w:pPr>
        <w:pStyle w:val="ParaNumbering"/>
        <w:numPr>
          <w:ilvl w:val="0"/>
          <w:numId w:val="0"/>
        </w:numPr>
        <w:ind w:hanging="720"/>
      </w:pPr>
      <w:r w:rsidRPr="00942352">
        <w:rPr>
          <w:sz w:val="20"/>
        </w:rPr>
        <w:t>236</w:t>
      </w:r>
      <w:r w:rsidRPr="00942352">
        <w:rPr>
          <w:sz w:val="20"/>
        </w:rPr>
        <w:tab/>
      </w:r>
      <w:r w:rsidR="007422F9" w:rsidRPr="00942352">
        <w:t xml:space="preserve">The first question to be resolved, as to whether relief under </w:t>
      </w:r>
      <w:proofErr w:type="spellStart"/>
      <w:r w:rsidR="007422F9" w:rsidRPr="00942352">
        <w:t>ss</w:t>
      </w:r>
      <w:proofErr w:type="spellEnd"/>
      <w:r w:rsidR="007422F9" w:rsidRPr="00942352">
        <w:t xml:space="preserve"> 120 or 121 is available, is whether there has been a relevant “transfer of property”. As stated by the High Court in </w:t>
      </w:r>
      <w:proofErr w:type="spellStart"/>
      <w:r w:rsidR="007422F9" w:rsidRPr="00942352">
        <w:rPr>
          <w:b/>
          <w:i/>
        </w:rPr>
        <w:t>Peldan</w:t>
      </w:r>
      <w:proofErr w:type="spellEnd"/>
      <w:r w:rsidR="003B605D" w:rsidRPr="00942352">
        <w:rPr>
          <w:i/>
        </w:rPr>
        <w:t xml:space="preserve"> v Anderson </w:t>
      </w:r>
      <w:r w:rsidR="003B605D" w:rsidRPr="00942352">
        <w:t>[2006] HCA 48; 227 CLR 471</w:t>
      </w:r>
      <w:r w:rsidR="007422F9" w:rsidRPr="00942352">
        <w:rPr>
          <w:b/>
          <w:i/>
        </w:rPr>
        <w:t xml:space="preserve"> </w:t>
      </w:r>
      <w:r w:rsidR="003B605D" w:rsidRPr="00942352">
        <w:t xml:space="preserve">at [23]: </w:t>
      </w:r>
    </w:p>
    <w:p w14:paraId="39537A75" w14:textId="20BDF6DE" w:rsidR="003B605D" w:rsidRPr="00942352" w:rsidRDefault="003B605D" w:rsidP="003B605D">
      <w:pPr>
        <w:pStyle w:val="Quote1"/>
      </w:pPr>
      <w:r w:rsidRPr="00942352">
        <w:t xml:space="preserve">In its present form, s 121 was enacted by the </w:t>
      </w:r>
      <w:r w:rsidRPr="00942352">
        <w:rPr>
          <w:i/>
        </w:rPr>
        <w:t>Bankruptcy Legislation Amendment Act 1996</w:t>
      </w:r>
      <w:r w:rsidRPr="00942352">
        <w:t xml:space="preserve"> (</w:t>
      </w:r>
      <w:proofErr w:type="spellStart"/>
      <w:r w:rsidRPr="00942352">
        <w:t>Cth</w:t>
      </w:r>
      <w:proofErr w:type="spellEnd"/>
      <w:r w:rsidRPr="00942352">
        <w:t xml:space="preserve">) (the 1996 Act). The relationship of s 121 to its forebears was considered in </w:t>
      </w:r>
      <w:r w:rsidRPr="00942352">
        <w:rPr>
          <w:i/>
        </w:rPr>
        <w:lastRenderedPageBreak/>
        <w:t>Cummins</w:t>
      </w:r>
      <w:r w:rsidRPr="00942352">
        <w:t>. The section impugns transactions which answer the description of a “transfer of property”. This expression will bear its ordinary meaning, save to the extent that this is expanded by s 121(9). The term “transfer of property” also appears in s 120 (Undervalued transactions) and s 122 (Avoidance of preferences). Further, these sections contain definitional provisions which were introduced by the 1996 Act and are in identical terms to s 121(9).</w:t>
      </w:r>
    </w:p>
    <w:p w14:paraId="32B474D9" w14:textId="23C2E940" w:rsidR="003B605D" w:rsidRPr="00942352" w:rsidRDefault="003B605D" w:rsidP="003B605D">
      <w:pPr>
        <w:pStyle w:val="Quote1"/>
      </w:pPr>
      <w:r w:rsidRPr="00942352">
        <w:t>(Footnotes omitted</w:t>
      </w:r>
      <w:r w:rsidR="008D1485">
        <w:t>.)</w:t>
      </w:r>
    </w:p>
    <w:p w14:paraId="345687B6" w14:textId="53D0423D" w:rsidR="00D13C01" w:rsidRPr="00942352" w:rsidRDefault="00155C95" w:rsidP="00155C95">
      <w:pPr>
        <w:pStyle w:val="ParaNumbering"/>
        <w:numPr>
          <w:ilvl w:val="0"/>
          <w:numId w:val="0"/>
        </w:numPr>
        <w:ind w:hanging="720"/>
      </w:pPr>
      <w:r w:rsidRPr="00942352">
        <w:rPr>
          <w:sz w:val="20"/>
        </w:rPr>
        <w:t>237</w:t>
      </w:r>
      <w:r w:rsidRPr="00942352">
        <w:rPr>
          <w:sz w:val="20"/>
        </w:rPr>
        <w:tab/>
      </w:r>
      <w:r w:rsidR="00D13C01" w:rsidRPr="00942352">
        <w:t xml:space="preserve">To the extent that there appeared to be a dispute with respect to this limb, it was for the same bases as relied upon with respect to the claim under s 120 dealt with below, </w:t>
      </w:r>
      <w:proofErr w:type="gramStart"/>
      <w:r w:rsidR="00D13C01" w:rsidRPr="00942352">
        <w:t>namely</w:t>
      </w:r>
      <w:proofErr w:type="gramEnd"/>
      <w:r w:rsidR="00673777" w:rsidRPr="00942352">
        <w:t xml:space="preserve"> the respondent submitted that</w:t>
      </w:r>
      <w:r w:rsidR="00D13C01" w:rsidRPr="00942352">
        <w:t xml:space="preserve">: </w:t>
      </w:r>
    </w:p>
    <w:p w14:paraId="4E3D43FF" w14:textId="615D4FEE" w:rsidR="00D631AF"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D631AF" w:rsidRPr="00942352">
        <w:t>the</w:t>
      </w:r>
      <w:proofErr w:type="gramEnd"/>
      <w:r w:rsidR="00D631AF" w:rsidRPr="00942352">
        <w:t xml:space="preserve"> transfers </w:t>
      </w:r>
      <w:r w:rsidR="00D631AF" w:rsidRPr="00942352">
        <w:rPr>
          <w:i/>
        </w:rPr>
        <w:t>into</w:t>
      </w:r>
      <w:r w:rsidR="00D631AF" w:rsidRPr="00942352">
        <w:t xml:space="preserve"> the Joint Account are the relevant transfer not those </w:t>
      </w:r>
      <w:r w:rsidR="00D631AF" w:rsidRPr="00942352">
        <w:rPr>
          <w:i/>
        </w:rPr>
        <w:t>from that</w:t>
      </w:r>
      <w:r w:rsidR="00D631AF" w:rsidRPr="00942352">
        <w:t xml:space="preserve"> account;</w:t>
      </w:r>
    </w:p>
    <w:p w14:paraId="41ADF842" w14:textId="06F0DD0F" w:rsidR="00D631AF" w:rsidRPr="00942352" w:rsidRDefault="00155C95" w:rsidP="00155C95">
      <w:pPr>
        <w:pStyle w:val="ListNo1alt"/>
        <w:numPr>
          <w:ilvl w:val="0"/>
          <w:numId w:val="0"/>
        </w:numPr>
        <w:tabs>
          <w:tab w:val="left" w:pos="720"/>
        </w:tabs>
        <w:ind w:left="720" w:hanging="720"/>
      </w:pPr>
      <w:r w:rsidRPr="00942352">
        <w:t>(b)</w:t>
      </w:r>
      <w:r w:rsidRPr="00942352">
        <w:tab/>
      </w:r>
      <w:proofErr w:type="gramStart"/>
      <w:r w:rsidR="00D631AF" w:rsidRPr="00942352">
        <w:t>the</w:t>
      </w:r>
      <w:proofErr w:type="gramEnd"/>
      <w:r w:rsidR="00D631AF" w:rsidRPr="00942352">
        <w:t xml:space="preserve"> trustee has not established that there was in fact a transfer from the bankrupt to the respondent given the purported lack of evidence as to the status of the running account;</w:t>
      </w:r>
    </w:p>
    <w:p w14:paraId="76A11D2B" w14:textId="65EE6DA2" w:rsidR="00D13C01" w:rsidRPr="00942352" w:rsidRDefault="00155C95" w:rsidP="00155C95">
      <w:pPr>
        <w:pStyle w:val="ListNo1alt"/>
        <w:numPr>
          <w:ilvl w:val="0"/>
          <w:numId w:val="0"/>
        </w:numPr>
        <w:tabs>
          <w:tab w:val="left" w:pos="720"/>
        </w:tabs>
        <w:ind w:left="720" w:hanging="720"/>
      </w:pPr>
      <w:r w:rsidRPr="00942352">
        <w:t>(c)</w:t>
      </w:r>
      <w:r w:rsidRPr="00942352">
        <w:tab/>
      </w:r>
      <w:r w:rsidR="00BD7D82" w:rsidRPr="00942352">
        <w:t>the transfer of funds from the J</w:t>
      </w:r>
      <w:r w:rsidR="00D13C01" w:rsidRPr="00942352">
        <w:t xml:space="preserve">oint </w:t>
      </w:r>
      <w:r w:rsidR="00BD7D82" w:rsidRPr="00942352">
        <w:t>A</w:t>
      </w:r>
      <w:r w:rsidR="00D13C01" w:rsidRPr="00942352">
        <w:t xml:space="preserve">ccount to the Seaforth </w:t>
      </w:r>
      <w:r w:rsidR="00042938" w:rsidRPr="00942352">
        <w:t>Mortgages</w:t>
      </w:r>
      <w:r w:rsidR="00D13C01" w:rsidRPr="00942352">
        <w:t xml:space="preserve"> was not a transfer from the bankrupt to the respondent but a “joint transfer by both of them” reducing their joint liability under the loans; and </w:t>
      </w:r>
    </w:p>
    <w:p w14:paraId="1DE8E279" w14:textId="6B137EA5" w:rsidR="00D13C01" w:rsidRPr="00942352" w:rsidRDefault="00155C95" w:rsidP="00155C95">
      <w:pPr>
        <w:pStyle w:val="ListNo1alt"/>
        <w:numPr>
          <w:ilvl w:val="0"/>
          <w:numId w:val="0"/>
        </w:numPr>
        <w:tabs>
          <w:tab w:val="left" w:pos="720"/>
        </w:tabs>
        <w:ind w:left="720" w:hanging="720"/>
      </w:pPr>
      <w:r w:rsidRPr="00942352">
        <w:t>(d)</w:t>
      </w:r>
      <w:r w:rsidRPr="00942352">
        <w:tab/>
      </w:r>
      <w:proofErr w:type="gramStart"/>
      <w:r w:rsidR="00D13C01" w:rsidRPr="00942352">
        <w:t>the</w:t>
      </w:r>
      <w:proofErr w:type="gramEnd"/>
      <w:r w:rsidR="00D13C01" w:rsidRPr="00942352">
        <w:t xml:space="preserve"> transfers to the vendor of the North Balgowlah property could be </w:t>
      </w:r>
      <w:r w:rsidR="001E06AA" w:rsidRPr="00942352">
        <w:t xml:space="preserve">no </w:t>
      </w:r>
      <w:r w:rsidR="00D13C01" w:rsidRPr="00942352">
        <w:t>more than half of the amount</w:t>
      </w:r>
      <w:r w:rsidR="001E06AA" w:rsidRPr="00942352">
        <w:t>.</w:t>
      </w:r>
    </w:p>
    <w:p w14:paraId="54002F82" w14:textId="54F58C48" w:rsidR="00754804" w:rsidRPr="00942352" w:rsidRDefault="00155C95" w:rsidP="00155C95">
      <w:pPr>
        <w:pStyle w:val="ParaNumbering"/>
        <w:numPr>
          <w:ilvl w:val="0"/>
          <w:numId w:val="0"/>
        </w:numPr>
        <w:ind w:hanging="720"/>
      </w:pPr>
      <w:r w:rsidRPr="00942352">
        <w:rPr>
          <w:sz w:val="20"/>
        </w:rPr>
        <w:t>238</w:t>
      </w:r>
      <w:r w:rsidRPr="00942352">
        <w:rPr>
          <w:sz w:val="20"/>
        </w:rPr>
        <w:tab/>
      </w:r>
      <w:r w:rsidR="0031315B" w:rsidRPr="00942352">
        <w:t xml:space="preserve">Neither party provided me with much assistance as to what constitutes a “transfer” under either s 120 or </w:t>
      </w:r>
      <w:r w:rsidR="007F1829" w:rsidRPr="00942352">
        <w:t xml:space="preserve">s </w:t>
      </w:r>
      <w:r w:rsidR="0031315B" w:rsidRPr="00942352">
        <w:t>121</w:t>
      </w:r>
      <w:r w:rsidR="007F1829" w:rsidRPr="00942352">
        <w:t>,</w:t>
      </w:r>
      <w:r w:rsidR="0031315B" w:rsidRPr="00942352">
        <w:t xml:space="preserve"> nor </w:t>
      </w:r>
      <w:r w:rsidR="00754804" w:rsidRPr="00942352">
        <w:t>application of those principles to</w:t>
      </w:r>
      <w:r w:rsidR="0031315B" w:rsidRPr="00942352">
        <w:t xml:space="preserve"> each section</w:t>
      </w:r>
      <w:r w:rsidR="00754804" w:rsidRPr="00942352">
        <w:t xml:space="preserve"> and each category of transfer</w:t>
      </w:r>
      <w:r w:rsidR="0031315B" w:rsidRPr="00942352">
        <w:t>.</w:t>
      </w:r>
    </w:p>
    <w:p w14:paraId="0781BE0C" w14:textId="45F7F818" w:rsidR="00754804" w:rsidRPr="00942352" w:rsidRDefault="00155C95" w:rsidP="00155C95">
      <w:pPr>
        <w:pStyle w:val="ParaNumbering"/>
        <w:numPr>
          <w:ilvl w:val="0"/>
          <w:numId w:val="0"/>
        </w:numPr>
        <w:ind w:hanging="720"/>
      </w:pPr>
      <w:r w:rsidRPr="00942352">
        <w:rPr>
          <w:sz w:val="20"/>
        </w:rPr>
        <w:t>239</w:t>
      </w:r>
      <w:r w:rsidRPr="00942352">
        <w:rPr>
          <w:sz w:val="20"/>
        </w:rPr>
        <w:tab/>
      </w:r>
      <w:r w:rsidR="00673777" w:rsidRPr="00942352">
        <w:t>T</w:t>
      </w:r>
      <w:r w:rsidR="00A1679D" w:rsidRPr="00942352">
        <w:t>he expression “transfer of property”, as used in these provisions, bears its ordinary meaning</w:t>
      </w:r>
      <w:r w:rsidR="00F10C33" w:rsidRPr="00942352">
        <w:t xml:space="preserve"> (</w:t>
      </w:r>
      <w:proofErr w:type="spellStart"/>
      <w:r w:rsidR="00F10C33" w:rsidRPr="00942352">
        <w:rPr>
          <w:i/>
        </w:rPr>
        <w:t>Peldan</w:t>
      </w:r>
      <w:proofErr w:type="spellEnd"/>
      <w:r w:rsidR="00F10C33" w:rsidRPr="00942352">
        <w:t xml:space="preserve"> at [23])</w:t>
      </w:r>
      <w:r w:rsidR="00A1679D" w:rsidRPr="00942352">
        <w:t xml:space="preserve">: The conveyance of a property right from one person to another as a result of an act performed by the transferor with the intention that the property would pass: </w:t>
      </w:r>
      <w:proofErr w:type="spellStart"/>
      <w:r w:rsidR="00CD3F70" w:rsidRPr="00942352">
        <w:rPr>
          <w:b/>
          <w:i/>
        </w:rPr>
        <w:t>Camm</w:t>
      </w:r>
      <w:proofErr w:type="spellEnd"/>
      <w:r w:rsidR="00CD3F70" w:rsidRPr="00942352">
        <w:rPr>
          <w:i/>
        </w:rPr>
        <w:t xml:space="preserve"> v</w:t>
      </w:r>
      <w:r w:rsidR="00CD3F70" w:rsidRPr="00942352">
        <w:rPr>
          <w:b/>
          <w:i/>
        </w:rPr>
        <w:t xml:space="preserve"> </w:t>
      </w:r>
      <w:proofErr w:type="spellStart"/>
      <w:r w:rsidR="00CD3F70" w:rsidRPr="00942352">
        <w:rPr>
          <w:i/>
        </w:rPr>
        <w:t>Linke</w:t>
      </w:r>
      <w:proofErr w:type="spellEnd"/>
      <w:r w:rsidR="00CD3F70" w:rsidRPr="00942352">
        <w:rPr>
          <w:i/>
        </w:rPr>
        <w:t xml:space="preserve"> Nominees Pty Ltd </w:t>
      </w:r>
      <w:r w:rsidR="00CD3F70" w:rsidRPr="00942352">
        <w:t>[2010] FCA 1148; 190 FCR 193</w:t>
      </w:r>
      <w:r w:rsidR="00CD3F70" w:rsidRPr="00942352">
        <w:rPr>
          <w:i/>
        </w:rPr>
        <w:t xml:space="preserve"> </w:t>
      </w:r>
      <w:r w:rsidR="00CD3F70" w:rsidRPr="00942352">
        <w:t xml:space="preserve">at </w:t>
      </w:r>
      <w:r w:rsidR="00C25B84" w:rsidRPr="00942352">
        <w:t>[32</w:t>
      </w:r>
      <w:r w:rsidR="00A1679D" w:rsidRPr="00942352">
        <w:t>].</w:t>
      </w:r>
      <w:r w:rsidR="00A1679D" w:rsidRPr="00942352">
        <w:rPr>
          <w:b/>
        </w:rPr>
        <w:t xml:space="preserve"> </w:t>
      </w:r>
      <w:r w:rsidR="00A1679D" w:rsidRPr="00942352">
        <w:t xml:space="preserve">As recognised by Tracey J in </w:t>
      </w:r>
      <w:proofErr w:type="spellStart"/>
      <w:r w:rsidR="00A1679D" w:rsidRPr="00942352">
        <w:rPr>
          <w:i/>
        </w:rPr>
        <w:t>Camm</w:t>
      </w:r>
      <w:proofErr w:type="spellEnd"/>
      <w:r w:rsidR="00A1679D" w:rsidRPr="00942352">
        <w:t>, at [34], the words read into s 121(1)(a) direct attention to “the act taken to be the transfer” and require the identification of the property which had been in the hands of</w:t>
      </w:r>
      <w:r w:rsidR="00C25B84" w:rsidRPr="00942352">
        <w:t xml:space="preserve"> the</w:t>
      </w:r>
      <w:r w:rsidR="00A1679D" w:rsidRPr="00942352">
        <w:t xml:space="preserve"> transferor prior to that act being taken.</w:t>
      </w:r>
      <w:r w:rsidR="00673777" w:rsidRPr="00942352">
        <w:t xml:space="preserve"> The reach </w:t>
      </w:r>
      <w:r w:rsidR="003E465B" w:rsidRPr="00942352">
        <w:t xml:space="preserve">of the expression “transfer of property” is very broad. It includes the transfer of property in the form </w:t>
      </w:r>
      <w:r w:rsidR="00946C11" w:rsidRPr="00942352">
        <w:t xml:space="preserve">of cash </w:t>
      </w:r>
      <w:r w:rsidR="007428AF" w:rsidRPr="00942352">
        <w:t>(s 121</w:t>
      </w:r>
      <w:r w:rsidR="00CD3F70" w:rsidRPr="00942352">
        <w:t>(9</w:t>
      </w:r>
      <w:proofErr w:type="gramStart"/>
      <w:r w:rsidR="00CD3F70" w:rsidRPr="00942352">
        <w:t>)(</w:t>
      </w:r>
      <w:proofErr w:type="gramEnd"/>
      <w:r w:rsidR="00CD3F70" w:rsidRPr="00942352">
        <w:t xml:space="preserve">a)) </w:t>
      </w:r>
      <w:r w:rsidR="00946C11" w:rsidRPr="00942352">
        <w:t xml:space="preserve">or the conveyance of a property right and also encompasses an act that leads to </w:t>
      </w:r>
      <w:r w:rsidR="0087678C" w:rsidRPr="00942352">
        <w:t xml:space="preserve">both the creation of a property right and its transfer simultaneously: </w:t>
      </w:r>
      <w:proofErr w:type="spellStart"/>
      <w:r w:rsidR="007428AF" w:rsidRPr="00942352">
        <w:rPr>
          <w:bCs/>
          <w:i/>
        </w:rPr>
        <w:t>Peldan</w:t>
      </w:r>
      <w:proofErr w:type="spellEnd"/>
      <w:r w:rsidR="007428AF" w:rsidRPr="00942352">
        <w:rPr>
          <w:bCs/>
          <w:i/>
        </w:rPr>
        <w:t xml:space="preserve"> </w:t>
      </w:r>
      <w:r w:rsidR="007428AF" w:rsidRPr="00942352">
        <w:rPr>
          <w:bCs/>
        </w:rPr>
        <w:t xml:space="preserve">at </w:t>
      </w:r>
      <w:r w:rsidR="00E97B24" w:rsidRPr="00942352">
        <w:rPr>
          <w:bCs/>
        </w:rPr>
        <w:t>[</w:t>
      </w:r>
      <w:r w:rsidR="006C47C7" w:rsidRPr="00942352">
        <w:rPr>
          <w:bCs/>
        </w:rPr>
        <w:t>25], [28]–[31]</w:t>
      </w:r>
      <w:r w:rsidR="007428AF" w:rsidRPr="00942352">
        <w:rPr>
          <w:bCs/>
        </w:rPr>
        <w:t xml:space="preserve">. </w:t>
      </w:r>
    </w:p>
    <w:p w14:paraId="062D87BC" w14:textId="57E34C6E" w:rsidR="0031315B" w:rsidRPr="00942352" w:rsidRDefault="00155C95" w:rsidP="00155C95">
      <w:pPr>
        <w:pStyle w:val="ParaNumbering"/>
        <w:numPr>
          <w:ilvl w:val="0"/>
          <w:numId w:val="0"/>
        </w:numPr>
        <w:ind w:hanging="720"/>
      </w:pPr>
      <w:r w:rsidRPr="00942352">
        <w:rPr>
          <w:sz w:val="20"/>
        </w:rPr>
        <w:t>240</w:t>
      </w:r>
      <w:r w:rsidRPr="00942352">
        <w:rPr>
          <w:sz w:val="20"/>
        </w:rPr>
        <w:tab/>
      </w:r>
      <w:r w:rsidR="0031315B" w:rsidRPr="00942352">
        <w:t xml:space="preserve">It is my view that both </w:t>
      </w:r>
      <w:r w:rsidR="00D631AF" w:rsidRPr="00942352">
        <w:t>sets of transfers (as from the Joint A</w:t>
      </w:r>
      <w:r w:rsidR="0031315B" w:rsidRPr="00942352">
        <w:t xml:space="preserve">ccount to the Seaforth </w:t>
      </w:r>
      <w:r w:rsidR="00042938" w:rsidRPr="00942352">
        <w:t>Mortgages</w:t>
      </w:r>
      <w:r w:rsidR="0031315B" w:rsidRPr="00942352">
        <w:t xml:space="preserve"> and the transfers to the vendor of the North Balgowlah property) were “transfers” from the bankrupt to the respondent which would be caught by </w:t>
      </w:r>
      <w:proofErr w:type="spellStart"/>
      <w:r w:rsidR="0031315B" w:rsidRPr="00942352">
        <w:t>s</w:t>
      </w:r>
      <w:r w:rsidR="00D631AF" w:rsidRPr="00942352">
        <w:t>s</w:t>
      </w:r>
      <w:proofErr w:type="spellEnd"/>
      <w:r w:rsidR="00D631AF" w:rsidRPr="00942352">
        <w:t xml:space="preserve"> 120 and</w:t>
      </w:r>
      <w:r w:rsidR="0031315B" w:rsidRPr="00942352">
        <w:t xml:space="preserve"> 121. </w:t>
      </w:r>
    </w:p>
    <w:p w14:paraId="654F1692" w14:textId="087DA9AF" w:rsidR="0031315B" w:rsidRPr="00942352" w:rsidRDefault="00155C95" w:rsidP="00155C95">
      <w:pPr>
        <w:pStyle w:val="ParaNumbering"/>
        <w:numPr>
          <w:ilvl w:val="0"/>
          <w:numId w:val="0"/>
        </w:numPr>
        <w:ind w:hanging="720"/>
      </w:pPr>
      <w:r w:rsidRPr="00942352">
        <w:rPr>
          <w:sz w:val="20"/>
        </w:rPr>
        <w:lastRenderedPageBreak/>
        <w:t>241</w:t>
      </w:r>
      <w:r w:rsidRPr="00942352">
        <w:rPr>
          <w:sz w:val="20"/>
        </w:rPr>
        <w:tab/>
      </w:r>
      <w:r w:rsidR="00D13C01" w:rsidRPr="00942352">
        <w:t xml:space="preserve">I accept the </w:t>
      </w:r>
      <w:r w:rsidR="0072486F" w:rsidRPr="00942352">
        <w:t>trustee</w:t>
      </w:r>
      <w:r w:rsidR="00D13C01" w:rsidRPr="00942352">
        <w:t>’s argument in response to the respondent’s claim regarding the “balance of accounts issue”</w:t>
      </w:r>
      <w:r w:rsidR="0031315B" w:rsidRPr="00942352">
        <w:t xml:space="preserve">. </w:t>
      </w:r>
      <w:r w:rsidR="00D13C01" w:rsidRPr="00942352">
        <w:t>Here it</w:t>
      </w:r>
      <w:r w:rsidR="00D631AF" w:rsidRPr="00942352">
        <w:t xml:space="preserve"> is clear from a review of the Joint A</w:t>
      </w:r>
      <w:r w:rsidR="00D13C01" w:rsidRPr="00942352">
        <w:t xml:space="preserve">ccount that </w:t>
      </w:r>
      <w:r w:rsidR="00F62DAF" w:rsidRPr="00942352">
        <w:t xml:space="preserve">the monies from the sale of the </w:t>
      </w:r>
      <w:r w:rsidR="0031315B" w:rsidRPr="00942352">
        <w:t xml:space="preserve">Boyce Road and Anzac Parade properties </w:t>
      </w:r>
      <w:r w:rsidR="007428AF" w:rsidRPr="00942352">
        <w:t>were</w:t>
      </w:r>
      <w:r w:rsidR="0031315B" w:rsidRPr="00942352">
        <w:t xml:space="preserve"> used for the purchase of</w:t>
      </w:r>
      <w:r w:rsidR="001E06AA" w:rsidRPr="00942352">
        <w:t xml:space="preserve"> the</w:t>
      </w:r>
      <w:r w:rsidR="0031315B" w:rsidRPr="00942352">
        <w:t xml:space="preserve"> North Balgowlah </w:t>
      </w:r>
      <w:r w:rsidR="001E06AA" w:rsidRPr="00942352">
        <w:t xml:space="preserve">property </w:t>
      </w:r>
      <w:r w:rsidR="0031315B" w:rsidRPr="00942352">
        <w:t xml:space="preserve">(a property held beneficially and legally by the respondent). It is also clear that those monies were transferred </w:t>
      </w:r>
      <w:r w:rsidR="00A1679D" w:rsidRPr="00942352">
        <w:t>into</w:t>
      </w:r>
      <w:r w:rsidR="0031315B" w:rsidRPr="00942352">
        <w:t xml:space="preserve"> </w:t>
      </w:r>
      <w:r w:rsidR="00A1679D" w:rsidRPr="00942352">
        <w:t>the</w:t>
      </w:r>
      <w:r w:rsidR="004F38FC" w:rsidRPr="00942352">
        <w:t xml:space="preserve"> J</w:t>
      </w:r>
      <w:r w:rsidR="0031315B" w:rsidRPr="00942352">
        <w:t xml:space="preserve">oint </w:t>
      </w:r>
      <w:r w:rsidR="004F38FC" w:rsidRPr="00942352">
        <w:t>A</w:t>
      </w:r>
      <w:r w:rsidR="0031315B" w:rsidRPr="00942352">
        <w:t xml:space="preserve">ccount </w:t>
      </w:r>
      <w:r w:rsidR="00A1679D" w:rsidRPr="00942352">
        <w:t xml:space="preserve">and then used </w:t>
      </w:r>
      <w:r w:rsidR="0031315B" w:rsidRPr="00942352">
        <w:t>to service a loan for a property owned by t</w:t>
      </w:r>
      <w:r w:rsidR="00183DC6" w:rsidRPr="00942352">
        <w:t>he respondent</w:t>
      </w:r>
      <w:r w:rsidR="004F38FC" w:rsidRPr="00942352">
        <w:t xml:space="preserve"> (being the </w:t>
      </w:r>
      <w:r w:rsidR="00BA1E94" w:rsidRPr="00942352">
        <w:t>Seaforth</w:t>
      </w:r>
      <w:r w:rsidR="004F38FC" w:rsidRPr="00942352">
        <w:t xml:space="preserve"> property</w:t>
      </w:r>
      <w:r w:rsidR="00C96DA9" w:rsidRPr="00942352">
        <w:t>)</w:t>
      </w:r>
      <w:r w:rsidR="00183DC6" w:rsidRPr="00942352">
        <w:t>.</w:t>
      </w:r>
    </w:p>
    <w:p w14:paraId="5A9973E6" w14:textId="2CEC8381" w:rsidR="00183DC6" w:rsidRPr="00942352" w:rsidRDefault="00155C95" w:rsidP="00155C95">
      <w:pPr>
        <w:pStyle w:val="ParaNumbering"/>
        <w:numPr>
          <w:ilvl w:val="0"/>
          <w:numId w:val="0"/>
        </w:numPr>
        <w:ind w:hanging="720"/>
      </w:pPr>
      <w:r w:rsidRPr="00942352">
        <w:rPr>
          <w:sz w:val="20"/>
        </w:rPr>
        <w:t>242</w:t>
      </w:r>
      <w:r w:rsidRPr="00942352">
        <w:rPr>
          <w:sz w:val="20"/>
        </w:rPr>
        <w:tab/>
      </w:r>
      <w:r w:rsidR="00A1679D" w:rsidRPr="00942352">
        <w:t>I do not accept the respondent’s arguments that the “transfer of funds” could not fall within the broad definition of “transfer of property” which included the “payment of money”</w:t>
      </w:r>
      <w:r w:rsidR="00183DC6" w:rsidRPr="00942352">
        <w:t xml:space="preserve"> (s 121(9</w:t>
      </w:r>
      <w:proofErr w:type="gramStart"/>
      <w:r w:rsidR="00183DC6" w:rsidRPr="00942352">
        <w:t>)(</w:t>
      </w:r>
      <w:proofErr w:type="gramEnd"/>
      <w:r w:rsidR="00183DC6" w:rsidRPr="00942352">
        <w:t xml:space="preserve">a)). I accept the submission of the </w:t>
      </w:r>
      <w:r w:rsidR="0072486F" w:rsidRPr="00942352">
        <w:t>trustee</w:t>
      </w:r>
      <w:r w:rsidR="00183DC6" w:rsidRPr="00942352">
        <w:t xml:space="preserve"> that read</w:t>
      </w:r>
      <w:r w:rsidR="001C3223" w:rsidRPr="00942352">
        <w:t>ing</w:t>
      </w:r>
      <w:r w:rsidR="00183DC6" w:rsidRPr="00942352">
        <w:t xml:space="preserve"> the relevant provisions (</w:t>
      </w:r>
      <w:proofErr w:type="spellStart"/>
      <w:r w:rsidR="00183DC6" w:rsidRPr="00942352">
        <w:t>ss</w:t>
      </w:r>
      <w:proofErr w:type="spellEnd"/>
      <w:r w:rsidR="00183DC6" w:rsidRPr="00942352">
        <w:t xml:space="preserve"> 120(1), 120(7), 121(1), 121(9)) down in the manner suggested by the respondent would not be consistent with the purpose of both provisions. As the </w:t>
      </w:r>
      <w:r w:rsidR="0072486F" w:rsidRPr="00942352">
        <w:t>trustee</w:t>
      </w:r>
      <w:r w:rsidR="00183DC6" w:rsidRPr="00942352">
        <w:t xml:space="preserve"> submits, </w:t>
      </w:r>
      <w:r w:rsidR="00D13C01" w:rsidRPr="00942352">
        <w:t>where a married couple pools their resources and do so for longer than the bank keeps bank statements, it would be impossible to bring a voidable transaction claim against a married couple in like circumstances to the bankrupt and respondent if the respondent’s contention</w:t>
      </w:r>
      <w:r w:rsidR="00D631AF" w:rsidRPr="00942352">
        <w:t>s</w:t>
      </w:r>
      <w:r w:rsidR="00D13C01" w:rsidRPr="00942352">
        <w:t xml:space="preserve"> </w:t>
      </w:r>
      <w:r w:rsidR="00D631AF" w:rsidRPr="00942352">
        <w:t>were</w:t>
      </w:r>
      <w:r w:rsidR="00D13C01" w:rsidRPr="00942352">
        <w:t xml:space="preserve"> accepted. </w:t>
      </w:r>
    </w:p>
    <w:p w14:paraId="0A450C82" w14:textId="0684BA52" w:rsidR="00D13C01" w:rsidRPr="00942352" w:rsidRDefault="00155C95" w:rsidP="00155C95">
      <w:pPr>
        <w:pStyle w:val="ParaNumbering"/>
        <w:numPr>
          <w:ilvl w:val="0"/>
          <w:numId w:val="0"/>
        </w:numPr>
        <w:ind w:hanging="720"/>
      </w:pPr>
      <w:r w:rsidRPr="00942352">
        <w:rPr>
          <w:sz w:val="20"/>
        </w:rPr>
        <w:t>243</w:t>
      </w:r>
      <w:r w:rsidRPr="00942352">
        <w:rPr>
          <w:sz w:val="20"/>
        </w:rPr>
        <w:tab/>
      </w:r>
      <w:r w:rsidR="00183DC6" w:rsidRPr="00942352">
        <w:t>The</w:t>
      </w:r>
      <w:r w:rsidR="00D13C01" w:rsidRPr="00942352">
        <w:t xml:space="preserve"> respondent</w:t>
      </w:r>
      <w:r w:rsidR="00183DC6" w:rsidRPr="00942352">
        <w:t xml:space="preserve"> </w:t>
      </w:r>
      <w:r w:rsidR="00D13C01" w:rsidRPr="00942352">
        <w:t>accept</w:t>
      </w:r>
      <w:r w:rsidR="00183DC6" w:rsidRPr="00942352">
        <w:t>ed, under</w:t>
      </w:r>
      <w:r w:rsidR="00D13C01" w:rsidRPr="00942352">
        <w:t xml:space="preserve"> cross-examination, that she and the bankrupt never tried to keep accounts between them of who had paid for what and who would owe the other for having paid for a particula</w:t>
      </w:r>
      <w:r w:rsidR="00EA6821" w:rsidRPr="00942352">
        <w:t>r expense out of the J</w:t>
      </w:r>
      <w:r w:rsidR="00D13C01" w:rsidRPr="00942352">
        <w:t xml:space="preserve">oint </w:t>
      </w:r>
      <w:r w:rsidR="00EA6821" w:rsidRPr="00942352">
        <w:t>A</w:t>
      </w:r>
      <w:r w:rsidR="00D13C01" w:rsidRPr="00942352">
        <w:t xml:space="preserve">ccount – they just pooled their assets. Accordingly, on the </w:t>
      </w:r>
      <w:r w:rsidR="0072486F" w:rsidRPr="00942352">
        <w:t>trustee</w:t>
      </w:r>
      <w:r w:rsidR="00D13C01" w:rsidRPr="00942352">
        <w:t xml:space="preserve">’s submission, </w:t>
      </w:r>
      <w:r w:rsidR="00D631AF" w:rsidRPr="00942352">
        <w:t xml:space="preserve">which I accept, </w:t>
      </w:r>
      <w:r w:rsidR="00D13C01" w:rsidRPr="00942352">
        <w:t>the respondent’s contention of a running account is unfounded as there was no running account or balance because there was no intention to create a debt,</w:t>
      </w:r>
      <w:r w:rsidR="00D631AF" w:rsidRPr="00942352">
        <w:t xml:space="preserve"> namely</w:t>
      </w:r>
      <w:r w:rsidR="00D13C01" w:rsidRPr="00942352">
        <w:t xml:space="preserve"> a legal relation. </w:t>
      </w:r>
    </w:p>
    <w:p w14:paraId="15FD94D2" w14:textId="17DFF9F4" w:rsidR="00D13C01" w:rsidRPr="00942352" w:rsidRDefault="00155C95" w:rsidP="00155C95">
      <w:pPr>
        <w:pStyle w:val="ParaNumbering"/>
        <w:numPr>
          <w:ilvl w:val="0"/>
          <w:numId w:val="0"/>
        </w:numPr>
        <w:ind w:hanging="720"/>
      </w:pPr>
      <w:bookmarkStart w:id="123" w:name="_Ref127783251"/>
      <w:r w:rsidRPr="00942352">
        <w:rPr>
          <w:sz w:val="20"/>
        </w:rPr>
        <w:t>244</w:t>
      </w:r>
      <w:r w:rsidRPr="00942352">
        <w:rPr>
          <w:sz w:val="20"/>
        </w:rPr>
        <w:tab/>
      </w:r>
      <w:r w:rsidR="00183DC6" w:rsidRPr="00942352">
        <w:t xml:space="preserve">In any event, even if I were wrong regarding the </w:t>
      </w:r>
      <w:r w:rsidR="008D1485">
        <w:t xml:space="preserve">lack of a </w:t>
      </w:r>
      <w:r w:rsidR="00183DC6" w:rsidRPr="00942352">
        <w:t>need for the balancing of the account, I am</w:t>
      </w:r>
      <w:r w:rsidR="00D13C01" w:rsidRPr="00942352">
        <w:t xml:space="preserve"> satisfied that on the balance of probabilities the account balance was in favour of the bankrupt: This is based on the evidence that </w:t>
      </w:r>
      <w:r w:rsidR="003F43A9" w:rsidRPr="00942352">
        <w:t xml:space="preserve">the </w:t>
      </w:r>
      <w:r w:rsidR="00183DC6" w:rsidRPr="00942352">
        <w:t>vast</w:t>
      </w:r>
      <w:r w:rsidR="00D13C01" w:rsidRPr="00942352">
        <w:t xml:space="preserve"> </w:t>
      </w:r>
      <w:r w:rsidR="00183DC6" w:rsidRPr="00942352">
        <w:t xml:space="preserve">majority of earnings came </w:t>
      </w:r>
      <w:r w:rsidR="00D13C01" w:rsidRPr="00942352">
        <w:t xml:space="preserve">from the bankrupt (by his income and loans from </w:t>
      </w:r>
      <w:proofErr w:type="spellStart"/>
      <w:r w:rsidR="00D13C01" w:rsidRPr="00942352">
        <w:t>Apscore</w:t>
      </w:r>
      <w:proofErr w:type="spellEnd"/>
      <w:r w:rsidR="00D13C01" w:rsidRPr="00942352">
        <w:t>).</w:t>
      </w:r>
      <w:r w:rsidR="00D631AF" w:rsidRPr="00942352">
        <w:t xml:space="preserve"> In addition, as I have found above, the proceeds from the sale of the Boyce Road </w:t>
      </w:r>
      <w:r w:rsidR="001E06AA" w:rsidRPr="00942352">
        <w:t>and the Anzac Parade properties</w:t>
      </w:r>
      <w:r w:rsidR="00D631AF" w:rsidRPr="00942352">
        <w:t xml:space="preserve"> were </w:t>
      </w:r>
      <w:r w:rsidR="0073528D" w:rsidRPr="00942352">
        <w:t xml:space="preserve">from property which the bankrupt owned solely </w:t>
      </w:r>
      <w:r w:rsidR="001E06AA" w:rsidRPr="00942352">
        <w:t xml:space="preserve">or substantially </w:t>
      </w:r>
      <w:r w:rsidR="0073528D" w:rsidRPr="00942352">
        <w:t>(contrary to the respondent’s submission).</w:t>
      </w:r>
      <w:r w:rsidR="00D13C01" w:rsidRPr="00942352">
        <w:t xml:space="preserve"> </w:t>
      </w:r>
      <w:r w:rsidR="00183DC6" w:rsidRPr="00942352">
        <w:t xml:space="preserve">Further, </w:t>
      </w:r>
      <w:r w:rsidR="00D13C01" w:rsidRPr="00942352">
        <w:t xml:space="preserve">Ms Dew’s loan to the respondent was stated </w:t>
      </w:r>
      <w:r w:rsidR="008D1485">
        <w:t xml:space="preserve">by the respondent </w:t>
      </w:r>
      <w:r w:rsidR="00D13C01" w:rsidRPr="00942352">
        <w:t xml:space="preserve">to not be a joint loan but a loan only to the respondent so does not factor into this balance of accounts. </w:t>
      </w:r>
      <w:bookmarkEnd w:id="123"/>
    </w:p>
    <w:p w14:paraId="3B7667A8" w14:textId="77777777" w:rsidR="00B10614" w:rsidRPr="00942352" w:rsidRDefault="00B10614" w:rsidP="00B10614">
      <w:pPr>
        <w:pStyle w:val="Heading4"/>
      </w:pPr>
      <w:bookmarkStart w:id="124" w:name="_Ref127552608"/>
      <w:r w:rsidRPr="00942352">
        <w:t>Would the property have been available or probably available to creditors?</w:t>
      </w:r>
      <w:bookmarkEnd w:id="124"/>
      <w:r w:rsidRPr="00942352">
        <w:t xml:space="preserve"> </w:t>
      </w:r>
    </w:p>
    <w:p w14:paraId="2A8D3E38" w14:textId="30DC8B7D" w:rsidR="00183DC6" w:rsidRPr="00942352" w:rsidRDefault="00155C95" w:rsidP="00155C95">
      <w:pPr>
        <w:pStyle w:val="ParaNumbering"/>
        <w:numPr>
          <w:ilvl w:val="0"/>
          <w:numId w:val="0"/>
        </w:numPr>
        <w:ind w:hanging="720"/>
      </w:pPr>
      <w:r w:rsidRPr="00942352">
        <w:rPr>
          <w:sz w:val="20"/>
        </w:rPr>
        <w:t>245</w:t>
      </w:r>
      <w:r w:rsidRPr="00942352">
        <w:rPr>
          <w:sz w:val="20"/>
        </w:rPr>
        <w:tab/>
      </w:r>
      <w:r w:rsidR="00183DC6" w:rsidRPr="00942352">
        <w:t xml:space="preserve">As stated by Logan J in </w:t>
      </w:r>
      <w:r w:rsidR="00183DC6" w:rsidRPr="00C767C7">
        <w:rPr>
          <w:i/>
        </w:rPr>
        <w:t>Combis</w:t>
      </w:r>
      <w:r w:rsidR="001C3223" w:rsidRPr="00942352">
        <w:rPr>
          <w:i/>
        </w:rPr>
        <w:t xml:space="preserve"> (Trustee)</w:t>
      </w:r>
      <w:r w:rsidR="00183DC6" w:rsidRPr="00942352">
        <w:rPr>
          <w:i/>
        </w:rPr>
        <w:t xml:space="preserve"> v Spottiswood (No 2)</w:t>
      </w:r>
      <w:r w:rsidR="001C3223" w:rsidRPr="00942352">
        <w:t xml:space="preserve"> [2013] FCA 240; 11 </w:t>
      </w:r>
      <w:proofErr w:type="gramStart"/>
      <w:r w:rsidR="001C3223" w:rsidRPr="00942352">
        <w:t>ABC(</w:t>
      </w:r>
      <w:proofErr w:type="gramEnd"/>
      <w:r w:rsidR="001C3223" w:rsidRPr="00942352">
        <w:t>NS) 407</w:t>
      </w:r>
      <w:r w:rsidR="00183DC6" w:rsidRPr="00942352">
        <w:t xml:space="preserve"> at [5</w:t>
      </w:r>
      <w:r w:rsidR="000747B3" w:rsidRPr="00942352">
        <w:t>5</w:t>
      </w:r>
      <w:r w:rsidR="00183DC6" w:rsidRPr="00942352">
        <w:t xml:space="preserve">], </w:t>
      </w:r>
      <w:r w:rsidR="00A03221" w:rsidRPr="00942352">
        <w:t xml:space="preserve">the resolution of the question of whether the property would have been available </w:t>
      </w:r>
      <w:r w:rsidR="00A03221" w:rsidRPr="00942352">
        <w:lastRenderedPageBreak/>
        <w:t>or probably available to creditors requires that the Court make “a predicative value judgment as to what probably would have been the fate of the transferred property”.</w:t>
      </w:r>
    </w:p>
    <w:p w14:paraId="3B65B773" w14:textId="63618FF5" w:rsidR="00A50A6D" w:rsidRPr="00942352" w:rsidRDefault="00155C95" w:rsidP="00155C95">
      <w:pPr>
        <w:pStyle w:val="ParaNumbering"/>
        <w:numPr>
          <w:ilvl w:val="0"/>
          <w:numId w:val="0"/>
        </w:numPr>
        <w:ind w:hanging="720"/>
      </w:pPr>
      <w:bookmarkStart w:id="125" w:name="_Ref127787672"/>
      <w:r w:rsidRPr="00942352">
        <w:rPr>
          <w:sz w:val="20"/>
        </w:rPr>
        <w:t>246</w:t>
      </w:r>
      <w:r w:rsidRPr="00942352">
        <w:rPr>
          <w:sz w:val="20"/>
        </w:rPr>
        <w:tab/>
      </w:r>
      <w:r w:rsidR="00A50A6D" w:rsidRPr="00942352">
        <w:t xml:space="preserve">The </w:t>
      </w:r>
      <w:r w:rsidR="00A50A6D" w:rsidRPr="00942352">
        <w:rPr>
          <w:b/>
          <w:bCs/>
        </w:rPr>
        <w:t>relevant transfers</w:t>
      </w:r>
      <w:r w:rsidR="00A50A6D" w:rsidRPr="00942352">
        <w:t xml:space="preserve"> in questio</w:t>
      </w:r>
      <w:r w:rsidR="008D1485">
        <w:t>n were pleaded, at [24] of the statement of c</w:t>
      </w:r>
      <w:r w:rsidR="00A50A6D" w:rsidRPr="00942352">
        <w:t>laim to be:</w:t>
      </w:r>
      <w:bookmarkEnd w:id="125"/>
    </w:p>
    <w:p w14:paraId="483B7BB6" w14:textId="6858F99B" w:rsidR="00A50A6D" w:rsidRPr="00942352" w:rsidRDefault="00A50A6D" w:rsidP="00A50A6D">
      <w:pPr>
        <w:pStyle w:val="Quote1"/>
      </w:pPr>
      <w:proofErr w:type="gramStart"/>
      <w:r w:rsidRPr="00942352">
        <w:t>…[</w:t>
      </w:r>
      <w:proofErr w:type="gramEnd"/>
      <w:r w:rsidRPr="00942352">
        <w:t>T]he following amounts were paid towards Ms Murray’s purchase of the North Balgowlah Property, in addition to the purchase of tiles for the North Balgowlah property:</w:t>
      </w:r>
    </w:p>
    <w:tbl>
      <w:tblPr>
        <w:tblStyle w:val="TableGrid"/>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2"/>
        <w:gridCol w:w="2765"/>
        <w:gridCol w:w="2767"/>
      </w:tblGrid>
      <w:tr w:rsidR="00A50A6D" w:rsidRPr="00942352" w14:paraId="4A61161D" w14:textId="77777777" w:rsidTr="0014738A">
        <w:tc>
          <w:tcPr>
            <w:tcW w:w="8280" w:type="dxa"/>
            <w:gridSpan w:val="3"/>
            <w:shd w:val="clear" w:color="auto" w:fill="D9D9D9" w:themeFill="background1" w:themeFillShade="D9"/>
          </w:tcPr>
          <w:p w14:paraId="2D05D327" w14:textId="77777777" w:rsidR="00A50A6D" w:rsidRPr="00942352" w:rsidRDefault="00A50A6D" w:rsidP="008D6AF0">
            <w:pPr>
              <w:pStyle w:val="Small-TableswithinQuotes"/>
              <w:jc w:val="center"/>
              <w:rPr>
                <w:b/>
              </w:rPr>
            </w:pPr>
            <w:r w:rsidRPr="00942352">
              <w:rPr>
                <w:b/>
              </w:rPr>
              <w:t xml:space="preserve">Amounts Paid from Joint Account to Respondent’s Purchase of North </w:t>
            </w:r>
          </w:p>
          <w:p w14:paraId="5382576F" w14:textId="77777777" w:rsidR="00A50A6D" w:rsidRPr="00942352" w:rsidRDefault="00A50A6D" w:rsidP="008D6AF0">
            <w:pPr>
              <w:pStyle w:val="Small-TableswithinQuotes"/>
              <w:jc w:val="center"/>
              <w:rPr>
                <w:b/>
              </w:rPr>
            </w:pPr>
            <w:r w:rsidRPr="00942352">
              <w:rPr>
                <w:b/>
              </w:rPr>
              <w:t>Balgowlah Property</w:t>
            </w:r>
          </w:p>
        </w:tc>
      </w:tr>
      <w:tr w:rsidR="00A50A6D" w:rsidRPr="00942352" w14:paraId="775E56F8" w14:textId="77777777" w:rsidTr="0014738A">
        <w:tc>
          <w:tcPr>
            <w:tcW w:w="2744" w:type="dxa"/>
          </w:tcPr>
          <w:p w14:paraId="099A39BE" w14:textId="77777777" w:rsidR="00A50A6D" w:rsidRPr="00942352" w:rsidRDefault="00A50A6D" w:rsidP="008D6AF0">
            <w:pPr>
              <w:pStyle w:val="Small-TableswithinQuotes"/>
              <w:jc w:val="center"/>
              <w:rPr>
                <w:b/>
              </w:rPr>
            </w:pPr>
            <w:r w:rsidRPr="00942352">
              <w:rPr>
                <w:b/>
              </w:rPr>
              <w:t>Date</w:t>
            </w:r>
          </w:p>
        </w:tc>
        <w:tc>
          <w:tcPr>
            <w:tcW w:w="2767" w:type="dxa"/>
          </w:tcPr>
          <w:p w14:paraId="7CA5F461" w14:textId="77777777" w:rsidR="00A50A6D" w:rsidRPr="00942352" w:rsidRDefault="00A50A6D" w:rsidP="008D6AF0">
            <w:pPr>
              <w:pStyle w:val="Small-TableswithinQuotes"/>
              <w:jc w:val="center"/>
              <w:rPr>
                <w:b/>
              </w:rPr>
            </w:pPr>
            <w:r w:rsidRPr="00942352">
              <w:rPr>
                <w:b/>
              </w:rPr>
              <w:t>Description</w:t>
            </w:r>
          </w:p>
        </w:tc>
        <w:tc>
          <w:tcPr>
            <w:tcW w:w="2769" w:type="dxa"/>
          </w:tcPr>
          <w:p w14:paraId="059D1C96" w14:textId="77777777" w:rsidR="00A50A6D" w:rsidRPr="00942352" w:rsidRDefault="00A50A6D" w:rsidP="008D6AF0">
            <w:pPr>
              <w:pStyle w:val="Small-TableswithinQuotes"/>
              <w:jc w:val="center"/>
              <w:rPr>
                <w:b/>
              </w:rPr>
            </w:pPr>
            <w:r w:rsidRPr="00942352">
              <w:rPr>
                <w:b/>
              </w:rPr>
              <w:t>Amount</w:t>
            </w:r>
          </w:p>
        </w:tc>
      </w:tr>
      <w:tr w:rsidR="00A50A6D" w:rsidRPr="00942352" w14:paraId="58FC9722" w14:textId="77777777" w:rsidTr="0014738A">
        <w:tc>
          <w:tcPr>
            <w:tcW w:w="2744" w:type="dxa"/>
          </w:tcPr>
          <w:p w14:paraId="793B55EF" w14:textId="77777777" w:rsidR="00A50A6D" w:rsidRPr="00942352" w:rsidRDefault="00A50A6D" w:rsidP="008D6AF0">
            <w:pPr>
              <w:pStyle w:val="Small-TableswithinQuotes"/>
            </w:pPr>
            <w:r w:rsidRPr="00942352">
              <w:t>28 July 2014</w:t>
            </w:r>
          </w:p>
        </w:tc>
        <w:tc>
          <w:tcPr>
            <w:tcW w:w="2767" w:type="dxa"/>
          </w:tcPr>
          <w:p w14:paraId="745CBD1D" w14:textId="77777777" w:rsidR="00A50A6D" w:rsidRPr="00942352" w:rsidRDefault="00A50A6D" w:rsidP="008D6AF0">
            <w:pPr>
              <w:pStyle w:val="Small-TableswithinQuotes"/>
            </w:pPr>
            <w:r w:rsidRPr="00942352">
              <w:t>Deposit on North Balgowlah</w:t>
            </w:r>
          </w:p>
        </w:tc>
        <w:tc>
          <w:tcPr>
            <w:tcW w:w="2769" w:type="dxa"/>
          </w:tcPr>
          <w:p w14:paraId="24CFF527" w14:textId="77777777" w:rsidR="00A50A6D" w:rsidRPr="00942352" w:rsidRDefault="00A50A6D" w:rsidP="008D6AF0">
            <w:pPr>
              <w:pStyle w:val="Small-TableswithinQuotes"/>
              <w:jc w:val="right"/>
            </w:pPr>
            <w:r w:rsidRPr="00942352">
              <w:t>90,000.00</w:t>
            </w:r>
          </w:p>
        </w:tc>
      </w:tr>
      <w:tr w:rsidR="00A50A6D" w:rsidRPr="00942352" w14:paraId="62322BEF" w14:textId="77777777" w:rsidTr="0014738A">
        <w:tc>
          <w:tcPr>
            <w:tcW w:w="2744" w:type="dxa"/>
          </w:tcPr>
          <w:p w14:paraId="6D3ED581" w14:textId="77777777" w:rsidR="00A50A6D" w:rsidRPr="00942352" w:rsidRDefault="00A50A6D" w:rsidP="008D6AF0">
            <w:pPr>
              <w:pStyle w:val="Small-TableswithinQuotes"/>
            </w:pPr>
            <w:r w:rsidRPr="00942352">
              <w:t>28 November 2014</w:t>
            </w:r>
          </w:p>
        </w:tc>
        <w:tc>
          <w:tcPr>
            <w:tcW w:w="2767" w:type="dxa"/>
          </w:tcPr>
          <w:p w14:paraId="1E91B41F" w14:textId="77777777" w:rsidR="00A50A6D" w:rsidRPr="00942352" w:rsidRDefault="00A50A6D" w:rsidP="008D6AF0">
            <w:pPr>
              <w:pStyle w:val="Small-TableswithinQuotes"/>
            </w:pPr>
            <w:r w:rsidRPr="00942352">
              <w:t>Settlement Sum</w:t>
            </w:r>
          </w:p>
        </w:tc>
        <w:tc>
          <w:tcPr>
            <w:tcW w:w="2769" w:type="dxa"/>
          </w:tcPr>
          <w:p w14:paraId="56B7BF49" w14:textId="77777777" w:rsidR="00A50A6D" w:rsidRPr="00942352" w:rsidRDefault="00A50A6D" w:rsidP="008D6AF0">
            <w:pPr>
              <w:pStyle w:val="Small-TableswithinQuotes"/>
              <w:jc w:val="right"/>
            </w:pPr>
            <w:r w:rsidRPr="00942352">
              <w:t>100,000.00</w:t>
            </w:r>
          </w:p>
        </w:tc>
      </w:tr>
      <w:tr w:rsidR="00A50A6D" w:rsidRPr="00942352" w14:paraId="771B5EDE" w14:textId="77777777" w:rsidTr="0014738A">
        <w:tc>
          <w:tcPr>
            <w:tcW w:w="2744" w:type="dxa"/>
          </w:tcPr>
          <w:p w14:paraId="39CC568D" w14:textId="77777777" w:rsidR="00A50A6D" w:rsidRPr="00942352" w:rsidRDefault="00A50A6D" w:rsidP="008D6AF0">
            <w:pPr>
              <w:pStyle w:val="Small-TableswithinQuotes"/>
            </w:pPr>
            <w:r w:rsidRPr="00942352">
              <w:t>28 November 2014</w:t>
            </w:r>
          </w:p>
        </w:tc>
        <w:tc>
          <w:tcPr>
            <w:tcW w:w="2767" w:type="dxa"/>
          </w:tcPr>
          <w:p w14:paraId="6F213A2F" w14:textId="77777777" w:rsidR="00A50A6D" w:rsidRPr="00942352" w:rsidRDefault="00A50A6D" w:rsidP="008D6AF0">
            <w:pPr>
              <w:pStyle w:val="Small-TableswithinQuotes"/>
            </w:pPr>
            <w:r w:rsidRPr="00942352">
              <w:t>Legal fees</w:t>
            </w:r>
          </w:p>
        </w:tc>
        <w:tc>
          <w:tcPr>
            <w:tcW w:w="2769" w:type="dxa"/>
          </w:tcPr>
          <w:p w14:paraId="68C20A8B" w14:textId="77777777" w:rsidR="00A50A6D" w:rsidRPr="00942352" w:rsidRDefault="00A50A6D" w:rsidP="008D6AF0">
            <w:pPr>
              <w:pStyle w:val="Small-TableswithinQuotes"/>
              <w:jc w:val="right"/>
            </w:pPr>
            <w:r w:rsidRPr="00942352">
              <w:t>4,473.86</w:t>
            </w:r>
          </w:p>
        </w:tc>
      </w:tr>
      <w:tr w:rsidR="00A50A6D" w:rsidRPr="00942352" w14:paraId="2699945E" w14:textId="77777777" w:rsidTr="0014738A">
        <w:tc>
          <w:tcPr>
            <w:tcW w:w="2744" w:type="dxa"/>
          </w:tcPr>
          <w:p w14:paraId="70136BD2" w14:textId="77777777" w:rsidR="00A50A6D" w:rsidRPr="00942352" w:rsidRDefault="00A50A6D" w:rsidP="008D6AF0">
            <w:pPr>
              <w:pStyle w:val="Small-TableswithinQuotes"/>
            </w:pPr>
            <w:r w:rsidRPr="00942352">
              <w:t>13 November 2014</w:t>
            </w:r>
          </w:p>
        </w:tc>
        <w:tc>
          <w:tcPr>
            <w:tcW w:w="2767" w:type="dxa"/>
          </w:tcPr>
          <w:p w14:paraId="341C5D30" w14:textId="77777777" w:rsidR="00A50A6D" w:rsidRPr="00942352" w:rsidRDefault="00A50A6D" w:rsidP="008D6AF0">
            <w:pPr>
              <w:pStyle w:val="Small-TableswithinQuotes"/>
            </w:pPr>
            <w:r w:rsidRPr="00942352">
              <w:t>Tiles</w:t>
            </w:r>
          </w:p>
        </w:tc>
        <w:tc>
          <w:tcPr>
            <w:tcW w:w="2769" w:type="dxa"/>
          </w:tcPr>
          <w:p w14:paraId="3F2FC4B1" w14:textId="77777777" w:rsidR="00A50A6D" w:rsidRPr="00942352" w:rsidRDefault="00A50A6D" w:rsidP="008D6AF0">
            <w:pPr>
              <w:pStyle w:val="Small-TableswithinQuotes"/>
              <w:jc w:val="right"/>
            </w:pPr>
            <w:r w:rsidRPr="00942352">
              <w:t>3,300.00</w:t>
            </w:r>
          </w:p>
        </w:tc>
      </w:tr>
      <w:tr w:rsidR="00A50A6D" w:rsidRPr="00942352" w14:paraId="78B34231" w14:textId="77777777" w:rsidTr="0014738A">
        <w:tc>
          <w:tcPr>
            <w:tcW w:w="2744" w:type="dxa"/>
          </w:tcPr>
          <w:p w14:paraId="6CDD9A5C" w14:textId="77777777" w:rsidR="00A50A6D" w:rsidRPr="00942352" w:rsidRDefault="00A50A6D" w:rsidP="008D6AF0">
            <w:pPr>
              <w:pStyle w:val="Small-TableswithinQuotes"/>
            </w:pPr>
          </w:p>
        </w:tc>
        <w:tc>
          <w:tcPr>
            <w:tcW w:w="2767" w:type="dxa"/>
          </w:tcPr>
          <w:p w14:paraId="0C77AED1" w14:textId="77777777" w:rsidR="00A50A6D" w:rsidRPr="00942352" w:rsidRDefault="00A50A6D" w:rsidP="008D6AF0">
            <w:pPr>
              <w:pStyle w:val="Small-TableswithinQuotes"/>
              <w:rPr>
                <w:b/>
              </w:rPr>
            </w:pPr>
            <w:r w:rsidRPr="00942352">
              <w:rPr>
                <w:b/>
              </w:rPr>
              <w:t>Total</w:t>
            </w:r>
          </w:p>
        </w:tc>
        <w:tc>
          <w:tcPr>
            <w:tcW w:w="2769" w:type="dxa"/>
          </w:tcPr>
          <w:p w14:paraId="667A30E9" w14:textId="77777777" w:rsidR="00A50A6D" w:rsidRPr="00942352" w:rsidRDefault="00A50A6D" w:rsidP="008D6AF0">
            <w:pPr>
              <w:pStyle w:val="Small-TableswithinQuotes"/>
              <w:jc w:val="right"/>
              <w:rPr>
                <w:b/>
              </w:rPr>
            </w:pPr>
            <w:r w:rsidRPr="00942352">
              <w:rPr>
                <w:b/>
              </w:rPr>
              <w:t>$197,773.86</w:t>
            </w:r>
          </w:p>
        </w:tc>
      </w:tr>
    </w:tbl>
    <w:p w14:paraId="0FFF530E" w14:textId="77777777" w:rsidR="00A50A6D" w:rsidRPr="00942352" w:rsidRDefault="00A50A6D" w:rsidP="00A50A6D">
      <w:pPr>
        <w:pStyle w:val="Quote1"/>
      </w:pPr>
    </w:p>
    <w:p w14:paraId="5122004C" w14:textId="601ED4CF" w:rsidR="00A50A6D" w:rsidRPr="00942352" w:rsidRDefault="00A50A6D" w:rsidP="00A50A6D">
      <w:pPr>
        <w:pStyle w:val="Quote1"/>
      </w:pPr>
      <w:proofErr w:type="gramStart"/>
      <w:r w:rsidRPr="00942352">
        <w:t>…[</w:t>
      </w:r>
      <w:proofErr w:type="gramEnd"/>
      <w:r w:rsidRPr="00942352">
        <w:t>T]he following amounts were paid towards the Seaforth Mortgage:</w:t>
      </w: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3"/>
        <w:gridCol w:w="1642"/>
        <w:gridCol w:w="1856"/>
        <w:gridCol w:w="1858"/>
      </w:tblGrid>
      <w:tr w:rsidR="008D1485" w:rsidRPr="00942352" w14:paraId="6B06FBEB" w14:textId="77777777" w:rsidTr="0014738A">
        <w:trPr>
          <w:trHeight w:val="460"/>
        </w:trPr>
        <w:tc>
          <w:tcPr>
            <w:tcW w:w="7449" w:type="dxa"/>
            <w:gridSpan w:val="4"/>
            <w:shd w:val="clear" w:color="auto" w:fill="D9D9D9"/>
          </w:tcPr>
          <w:p w14:paraId="132618CA" w14:textId="77777777" w:rsidR="008D1485" w:rsidRPr="00942352" w:rsidRDefault="008D1485" w:rsidP="009F1176">
            <w:pPr>
              <w:pStyle w:val="TableParagraph"/>
              <w:spacing w:line="225" w:lineRule="exact"/>
              <w:ind w:left="1083" w:right="1077"/>
              <w:jc w:val="center"/>
              <w:rPr>
                <w:rFonts w:ascii="Times New Roman" w:hAnsi="Times New Roman" w:cs="Times New Roman"/>
                <w:b/>
              </w:rPr>
            </w:pPr>
            <w:r w:rsidRPr="00942352">
              <w:rPr>
                <w:rFonts w:ascii="Times New Roman" w:hAnsi="Times New Roman" w:cs="Times New Roman"/>
                <w:b/>
              </w:rPr>
              <w:t>Amounts</w:t>
            </w:r>
            <w:r w:rsidRPr="00942352">
              <w:rPr>
                <w:rFonts w:ascii="Times New Roman" w:hAnsi="Times New Roman" w:cs="Times New Roman"/>
                <w:b/>
                <w:spacing w:val="-7"/>
              </w:rPr>
              <w:t xml:space="preserve"> </w:t>
            </w:r>
            <w:r w:rsidRPr="00942352">
              <w:rPr>
                <w:rFonts w:ascii="Times New Roman" w:hAnsi="Times New Roman" w:cs="Times New Roman"/>
                <w:b/>
              </w:rPr>
              <w:t>Paid</w:t>
            </w:r>
            <w:r w:rsidRPr="00942352">
              <w:rPr>
                <w:rFonts w:ascii="Times New Roman" w:hAnsi="Times New Roman" w:cs="Times New Roman"/>
                <w:b/>
                <w:spacing w:val="-7"/>
              </w:rPr>
              <w:t xml:space="preserve"> </w:t>
            </w:r>
            <w:r w:rsidRPr="00942352">
              <w:rPr>
                <w:rFonts w:ascii="Times New Roman" w:hAnsi="Times New Roman" w:cs="Times New Roman"/>
                <w:b/>
              </w:rPr>
              <w:t>from</w:t>
            </w:r>
            <w:r w:rsidRPr="00942352">
              <w:rPr>
                <w:rFonts w:ascii="Times New Roman" w:hAnsi="Times New Roman" w:cs="Times New Roman"/>
                <w:b/>
                <w:spacing w:val="-7"/>
              </w:rPr>
              <w:t xml:space="preserve"> </w:t>
            </w:r>
            <w:r w:rsidRPr="00942352">
              <w:rPr>
                <w:rFonts w:ascii="Times New Roman" w:hAnsi="Times New Roman" w:cs="Times New Roman"/>
                <w:b/>
              </w:rPr>
              <w:t>Joint</w:t>
            </w:r>
            <w:r w:rsidRPr="00942352">
              <w:rPr>
                <w:rFonts w:ascii="Times New Roman" w:hAnsi="Times New Roman" w:cs="Times New Roman"/>
                <w:b/>
                <w:spacing w:val="-5"/>
              </w:rPr>
              <w:t xml:space="preserve"> </w:t>
            </w:r>
            <w:r w:rsidRPr="00942352">
              <w:rPr>
                <w:rFonts w:ascii="Times New Roman" w:hAnsi="Times New Roman" w:cs="Times New Roman"/>
                <w:b/>
              </w:rPr>
              <w:t>Account</w:t>
            </w:r>
            <w:r w:rsidRPr="00942352">
              <w:rPr>
                <w:rFonts w:ascii="Times New Roman" w:hAnsi="Times New Roman" w:cs="Times New Roman"/>
                <w:b/>
                <w:spacing w:val="-7"/>
              </w:rPr>
              <w:t xml:space="preserve"> </w:t>
            </w:r>
            <w:r w:rsidRPr="00942352">
              <w:rPr>
                <w:rFonts w:ascii="Times New Roman" w:hAnsi="Times New Roman" w:cs="Times New Roman"/>
                <w:b/>
              </w:rPr>
              <w:t>to</w:t>
            </w:r>
            <w:r w:rsidRPr="00942352">
              <w:rPr>
                <w:rFonts w:ascii="Times New Roman" w:hAnsi="Times New Roman" w:cs="Times New Roman"/>
                <w:b/>
                <w:spacing w:val="-7"/>
              </w:rPr>
              <w:t xml:space="preserve"> </w:t>
            </w:r>
            <w:r w:rsidRPr="00942352">
              <w:rPr>
                <w:rFonts w:ascii="Times New Roman" w:hAnsi="Times New Roman" w:cs="Times New Roman"/>
                <w:b/>
              </w:rPr>
              <w:t>Seaforth</w:t>
            </w:r>
            <w:r w:rsidRPr="00942352">
              <w:rPr>
                <w:rFonts w:ascii="Times New Roman" w:hAnsi="Times New Roman" w:cs="Times New Roman"/>
                <w:b/>
                <w:spacing w:val="-7"/>
              </w:rPr>
              <w:t xml:space="preserve"> </w:t>
            </w:r>
            <w:r w:rsidRPr="00942352">
              <w:rPr>
                <w:rFonts w:ascii="Times New Roman" w:hAnsi="Times New Roman" w:cs="Times New Roman"/>
                <w:b/>
                <w:spacing w:val="-2"/>
              </w:rPr>
              <w:t>Mortgage</w:t>
            </w:r>
          </w:p>
          <w:p w14:paraId="3791AF83" w14:textId="77777777" w:rsidR="008D1485" w:rsidRPr="00942352" w:rsidRDefault="008D1485" w:rsidP="009F1176">
            <w:pPr>
              <w:pStyle w:val="TableParagraph"/>
              <w:spacing w:line="215" w:lineRule="exact"/>
              <w:ind w:left="1082" w:right="1077"/>
              <w:jc w:val="center"/>
              <w:rPr>
                <w:rFonts w:ascii="Times New Roman" w:hAnsi="Times New Roman" w:cs="Times New Roman"/>
                <w:b/>
              </w:rPr>
            </w:pPr>
            <w:r w:rsidRPr="00942352">
              <w:rPr>
                <w:rFonts w:ascii="Times New Roman" w:hAnsi="Times New Roman" w:cs="Times New Roman"/>
                <w:b/>
              </w:rPr>
              <w:t>11</w:t>
            </w:r>
            <w:r w:rsidRPr="00942352">
              <w:rPr>
                <w:rFonts w:ascii="Times New Roman" w:hAnsi="Times New Roman" w:cs="Times New Roman"/>
                <w:b/>
                <w:spacing w:val="-2"/>
              </w:rPr>
              <w:t xml:space="preserve"> </w:t>
            </w:r>
            <w:r w:rsidRPr="00942352">
              <w:rPr>
                <w:rFonts w:ascii="Times New Roman" w:hAnsi="Times New Roman" w:cs="Times New Roman"/>
                <w:b/>
              </w:rPr>
              <w:t>April</w:t>
            </w:r>
            <w:r w:rsidRPr="00942352">
              <w:rPr>
                <w:rFonts w:ascii="Times New Roman" w:hAnsi="Times New Roman" w:cs="Times New Roman"/>
                <w:b/>
                <w:spacing w:val="-5"/>
              </w:rPr>
              <w:t xml:space="preserve"> </w:t>
            </w:r>
            <w:r w:rsidRPr="00942352">
              <w:rPr>
                <w:rFonts w:ascii="Times New Roman" w:hAnsi="Times New Roman" w:cs="Times New Roman"/>
                <w:b/>
              </w:rPr>
              <w:t>2014</w:t>
            </w:r>
            <w:r w:rsidRPr="00942352">
              <w:rPr>
                <w:rFonts w:ascii="Times New Roman" w:hAnsi="Times New Roman" w:cs="Times New Roman"/>
                <w:b/>
                <w:spacing w:val="-6"/>
              </w:rPr>
              <w:t xml:space="preserve"> </w:t>
            </w:r>
            <w:r w:rsidRPr="00942352">
              <w:rPr>
                <w:rFonts w:ascii="Times New Roman" w:hAnsi="Times New Roman" w:cs="Times New Roman"/>
                <w:b/>
              </w:rPr>
              <w:t>to</w:t>
            </w:r>
            <w:r w:rsidRPr="00942352">
              <w:rPr>
                <w:rFonts w:ascii="Times New Roman" w:hAnsi="Times New Roman" w:cs="Times New Roman"/>
                <w:b/>
                <w:spacing w:val="-3"/>
              </w:rPr>
              <w:t xml:space="preserve"> </w:t>
            </w:r>
            <w:r w:rsidRPr="00942352">
              <w:rPr>
                <w:rFonts w:ascii="Times New Roman" w:hAnsi="Times New Roman" w:cs="Times New Roman"/>
                <w:b/>
              </w:rPr>
              <w:t>28</w:t>
            </w:r>
            <w:r w:rsidRPr="00942352">
              <w:rPr>
                <w:rFonts w:ascii="Times New Roman" w:hAnsi="Times New Roman" w:cs="Times New Roman"/>
                <w:b/>
                <w:spacing w:val="-6"/>
              </w:rPr>
              <w:t xml:space="preserve"> </w:t>
            </w:r>
            <w:r w:rsidRPr="00942352">
              <w:rPr>
                <w:rFonts w:ascii="Times New Roman" w:hAnsi="Times New Roman" w:cs="Times New Roman"/>
                <w:b/>
              </w:rPr>
              <w:t>November</w:t>
            </w:r>
            <w:r w:rsidRPr="00942352">
              <w:rPr>
                <w:rFonts w:ascii="Times New Roman" w:hAnsi="Times New Roman" w:cs="Times New Roman"/>
                <w:b/>
                <w:spacing w:val="-7"/>
              </w:rPr>
              <w:t xml:space="preserve"> </w:t>
            </w:r>
            <w:r w:rsidRPr="00942352">
              <w:rPr>
                <w:rFonts w:ascii="Times New Roman" w:hAnsi="Times New Roman" w:cs="Times New Roman"/>
                <w:b/>
                <w:spacing w:val="-4"/>
              </w:rPr>
              <w:t>2014</w:t>
            </w:r>
          </w:p>
        </w:tc>
      </w:tr>
      <w:tr w:rsidR="008D1485" w:rsidRPr="00942352" w14:paraId="06E2DB28" w14:textId="77777777" w:rsidTr="0014738A">
        <w:trPr>
          <w:trHeight w:val="230"/>
        </w:trPr>
        <w:tc>
          <w:tcPr>
            <w:tcW w:w="2093" w:type="dxa"/>
          </w:tcPr>
          <w:p w14:paraId="05FB6395" w14:textId="77777777" w:rsidR="008D1485" w:rsidRPr="00942352" w:rsidRDefault="008D1485" w:rsidP="009F1176">
            <w:pPr>
              <w:pStyle w:val="TableParagraph"/>
              <w:ind w:left="787" w:right="783"/>
              <w:jc w:val="center"/>
              <w:rPr>
                <w:rFonts w:ascii="Times New Roman" w:hAnsi="Times New Roman" w:cs="Times New Roman"/>
                <w:b/>
              </w:rPr>
            </w:pPr>
            <w:r w:rsidRPr="00942352">
              <w:rPr>
                <w:rFonts w:ascii="Times New Roman" w:hAnsi="Times New Roman" w:cs="Times New Roman"/>
                <w:b/>
                <w:spacing w:val="-4"/>
              </w:rPr>
              <w:t>Date</w:t>
            </w:r>
          </w:p>
        </w:tc>
        <w:tc>
          <w:tcPr>
            <w:tcW w:w="1642" w:type="dxa"/>
          </w:tcPr>
          <w:p w14:paraId="1827EC53" w14:textId="77777777" w:rsidR="008D1485" w:rsidRPr="00942352" w:rsidRDefault="008D1485" w:rsidP="009F1176">
            <w:pPr>
              <w:pStyle w:val="TableParagraph"/>
              <w:ind w:left="153"/>
              <w:rPr>
                <w:rFonts w:ascii="Times New Roman" w:hAnsi="Times New Roman" w:cs="Times New Roman"/>
                <w:b/>
              </w:rPr>
            </w:pPr>
            <w:r w:rsidRPr="00942352">
              <w:rPr>
                <w:rFonts w:ascii="Times New Roman" w:hAnsi="Times New Roman" w:cs="Times New Roman"/>
                <w:b/>
              </w:rPr>
              <w:t>Loan</w:t>
            </w:r>
            <w:r w:rsidRPr="00942352">
              <w:rPr>
                <w:rFonts w:ascii="Times New Roman" w:hAnsi="Times New Roman" w:cs="Times New Roman"/>
                <w:b/>
                <w:spacing w:val="-4"/>
              </w:rPr>
              <w:t xml:space="preserve"> </w:t>
            </w:r>
            <w:r w:rsidRPr="00942352">
              <w:rPr>
                <w:rFonts w:ascii="Times New Roman" w:hAnsi="Times New Roman" w:cs="Times New Roman"/>
                <w:b/>
                <w:spacing w:val="-2"/>
              </w:rPr>
              <w:t>Account</w:t>
            </w:r>
          </w:p>
        </w:tc>
        <w:tc>
          <w:tcPr>
            <w:tcW w:w="1856" w:type="dxa"/>
          </w:tcPr>
          <w:p w14:paraId="4EA1F189" w14:textId="77777777" w:rsidR="008D1485" w:rsidRPr="00942352" w:rsidRDefault="008D1485" w:rsidP="009F1176">
            <w:pPr>
              <w:pStyle w:val="TableParagraph"/>
              <w:ind w:left="548"/>
              <w:rPr>
                <w:rFonts w:ascii="Times New Roman" w:hAnsi="Times New Roman" w:cs="Times New Roman"/>
                <w:b/>
              </w:rPr>
            </w:pPr>
            <w:r w:rsidRPr="00942352">
              <w:rPr>
                <w:rFonts w:ascii="Times New Roman" w:hAnsi="Times New Roman" w:cs="Times New Roman"/>
                <w:b/>
                <w:spacing w:val="-2"/>
              </w:rPr>
              <w:t>Amount</w:t>
            </w:r>
          </w:p>
        </w:tc>
        <w:tc>
          <w:tcPr>
            <w:tcW w:w="1858" w:type="dxa"/>
          </w:tcPr>
          <w:p w14:paraId="35BBF641" w14:textId="77777777" w:rsidR="008D1485" w:rsidRPr="00942352" w:rsidRDefault="008D1485" w:rsidP="009F1176">
            <w:pPr>
              <w:pStyle w:val="TableParagraph"/>
              <w:ind w:left="675" w:right="664"/>
              <w:jc w:val="center"/>
              <w:rPr>
                <w:rFonts w:ascii="Times New Roman" w:hAnsi="Times New Roman" w:cs="Times New Roman"/>
                <w:b/>
              </w:rPr>
            </w:pPr>
            <w:r w:rsidRPr="00942352">
              <w:rPr>
                <w:rFonts w:ascii="Times New Roman" w:hAnsi="Times New Roman" w:cs="Times New Roman"/>
                <w:b/>
                <w:spacing w:val="-2"/>
              </w:rPr>
              <w:t>Total</w:t>
            </w:r>
          </w:p>
        </w:tc>
      </w:tr>
      <w:tr w:rsidR="008D1485" w:rsidRPr="00942352" w14:paraId="6E5CB39B" w14:textId="77777777" w:rsidTr="0014738A">
        <w:trPr>
          <w:trHeight w:val="230"/>
        </w:trPr>
        <w:tc>
          <w:tcPr>
            <w:tcW w:w="2093" w:type="dxa"/>
          </w:tcPr>
          <w:p w14:paraId="47FE4235"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rPr>
              <w:t>28</w:t>
            </w:r>
            <w:r w:rsidRPr="00942352">
              <w:rPr>
                <w:rFonts w:ascii="Times New Roman" w:hAnsi="Times New Roman" w:cs="Times New Roman"/>
                <w:spacing w:val="-5"/>
              </w:rPr>
              <w:t xml:space="preserve"> </w:t>
            </w:r>
            <w:r w:rsidRPr="00942352">
              <w:rPr>
                <w:rFonts w:ascii="Times New Roman" w:hAnsi="Times New Roman" w:cs="Times New Roman"/>
              </w:rPr>
              <w:t>April</w:t>
            </w:r>
            <w:r w:rsidRPr="00942352">
              <w:rPr>
                <w:rFonts w:ascii="Times New Roman" w:hAnsi="Times New Roman" w:cs="Times New Roman"/>
                <w:spacing w:val="-5"/>
              </w:rPr>
              <w:t xml:space="preserve"> </w:t>
            </w:r>
            <w:r w:rsidRPr="00942352">
              <w:rPr>
                <w:rFonts w:ascii="Times New Roman" w:hAnsi="Times New Roman" w:cs="Times New Roman"/>
                <w:spacing w:val="-4"/>
              </w:rPr>
              <w:t>2014</w:t>
            </w:r>
          </w:p>
        </w:tc>
        <w:tc>
          <w:tcPr>
            <w:tcW w:w="1642" w:type="dxa"/>
          </w:tcPr>
          <w:p w14:paraId="003EB955"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0158AFB3"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4,869.72</w:t>
            </w:r>
          </w:p>
        </w:tc>
        <w:tc>
          <w:tcPr>
            <w:tcW w:w="1858" w:type="dxa"/>
          </w:tcPr>
          <w:p w14:paraId="425913E3"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15380B9A" w14:textId="77777777" w:rsidTr="0014738A">
        <w:trPr>
          <w:trHeight w:val="230"/>
        </w:trPr>
        <w:tc>
          <w:tcPr>
            <w:tcW w:w="2093" w:type="dxa"/>
          </w:tcPr>
          <w:p w14:paraId="7563330C"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79AA495E"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14CD9EA7"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1,070.25</w:t>
            </w:r>
          </w:p>
        </w:tc>
        <w:tc>
          <w:tcPr>
            <w:tcW w:w="1858" w:type="dxa"/>
          </w:tcPr>
          <w:p w14:paraId="2F4C17C1"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7A852A8E" w14:textId="77777777" w:rsidTr="0014738A">
        <w:trPr>
          <w:trHeight w:val="230"/>
        </w:trPr>
        <w:tc>
          <w:tcPr>
            <w:tcW w:w="2093" w:type="dxa"/>
          </w:tcPr>
          <w:p w14:paraId="2221C72C"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04E2AD9E"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072B3695"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977.99</w:t>
            </w:r>
          </w:p>
        </w:tc>
        <w:tc>
          <w:tcPr>
            <w:tcW w:w="1858" w:type="dxa"/>
          </w:tcPr>
          <w:p w14:paraId="1FD99DBD"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30A6542A" w14:textId="77777777" w:rsidTr="0014738A">
        <w:trPr>
          <w:trHeight w:val="230"/>
        </w:trPr>
        <w:tc>
          <w:tcPr>
            <w:tcW w:w="2093" w:type="dxa"/>
          </w:tcPr>
          <w:p w14:paraId="61BE940D"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6742AA56"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769837208 [sic]</w:t>
            </w:r>
          </w:p>
        </w:tc>
        <w:tc>
          <w:tcPr>
            <w:tcW w:w="1856" w:type="dxa"/>
          </w:tcPr>
          <w:p w14:paraId="038D8980"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332.93</w:t>
            </w:r>
          </w:p>
        </w:tc>
        <w:tc>
          <w:tcPr>
            <w:tcW w:w="1858" w:type="dxa"/>
          </w:tcPr>
          <w:p w14:paraId="67E0A853" w14:textId="77777777" w:rsidR="008D1485" w:rsidRPr="007104DA"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7,250.89</w:t>
            </w:r>
          </w:p>
        </w:tc>
      </w:tr>
      <w:tr w:rsidR="008D1485" w:rsidRPr="00942352" w14:paraId="5455AD17" w14:textId="77777777" w:rsidTr="0014738A">
        <w:trPr>
          <w:trHeight w:val="230"/>
        </w:trPr>
        <w:tc>
          <w:tcPr>
            <w:tcW w:w="2093" w:type="dxa"/>
          </w:tcPr>
          <w:p w14:paraId="77F7AB31"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rPr>
              <w:t>27</w:t>
            </w:r>
            <w:r w:rsidRPr="00942352">
              <w:rPr>
                <w:rFonts w:ascii="Times New Roman" w:hAnsi="Times New Roman" w:cs="Times New Roman"/>
                <w:spacing w:val="-5"/>
              </w:rPr>
              <w:t xml:space="preserve"> </w:t>
            </w:r>
            <w:r w:rsidRPr="00942352">
              <w:rPr>
                <w:rFonts w:ascii="Times New Roman" w:hAnsi="Times New Roman" w:cs="Times New Roman"/>
              </w:rPr>
              <w:t>May</w:t>
            </w:r>
            <w:r w:rsidRPr="00942352">
              <w:rPr>
                <w:rFonts w:ascii="Times New Roman" w:hAnsi="Times New Roman" w:cs="Times New Roman"/>
                <w:spacing w:val="-3"/>
              </w:rPr>
              <w:t xml:space="preserve"> </w:t>
            </w:r>
            <w:r w:rsidRPr="00942352">
              <w:rPr>
                <w:rFonts w:ascii="Times New Roman" w:hAnsi="Times New Roman" w:cs="Times New Roman"/>
                <w:spacing w:val="-4"/>
              </w:rPr>
              <w:t>2014</w:t>
            </w:r>
          </w:p>
        </w:tc>
        <w:tc>
          <w:tcPr>
            <w:tcW w:w="1642" w:type="dxa"/>
          </w:tcPr>
          <w:p w14:paraId="736F7221"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157A5B98"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4,712.06</w:t>
            </w:r>
          </w:p>
        </w:tc>
        <w:tc>
          <w:tcPr>
            <w:tcW w:w="1858" w:type="dxa"/>
          </w:tcPr>
          <w:p w14:paraId="12189696"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73843558" w14:textId="77777777" w:rsidTr="0014738A">
        <w:trPr>
          <w:trHeight w:val="230"/>
        </w:trPr>
        <w:tc>
          <w:tcPr>
            <w:tcW w:w="2093" w:type="dxa"/>
          </w:tcPr>
          <w:p w14:paraId="75DE38D3"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6936DEF3"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769837400</w:t>
            </w:r>
          </w:p>
        </w:tc>
        <w:tc>
          <w:tcPr>
            <w:tcW w:w="1856" w:type="dxa"/>
          </w:tcPr>
          <w:p w14:paraId="79140A7B"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946.44</w:t>
            </w:r>
          </w:p>
        </w:tc>
        <w:tc>
          <w:tcPr>
            <w:tcW w:w="1858" w:type="dxa"/>
          </w:tcPr>
          <w:p w14:paraId="10E31AB4"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0CAA98DF" w14:textId="77777777" w:rsidTr="0014738A">
        <w:trPr>
          <w:trHeight w:val="230"/>
        </w:trPr>
        <w:tc>
          <w:tcPr>
            <w:tcW w:w="2093" w:type="dxa"/>
          </w:tcPr>
          <w:p w14:paraId="31FF5586"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2B80C687"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064D0283"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701.37</w:t>
            </w:r>
          </w:p>
        </w:tc>
        <w:tc>
          <w:tcPr>
            <w:tcW w:w="1858" w:type="dxa"/>
          </w:tcPr>
          <w:p w14:paraId="53660A6B"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4DD6C754" w14:textId="77777777" w:rsidTr="0014738A">
        <w:trPr>
          <w:trHeight w:val="230"/>
        </w:trPr>
        <w:tc>
          <w:tcPr>
            <w:tcW w:w="2093" w:type="dxa"/>
          </w:tcPr>
          <w:p w14:paraId="07B74901"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1D78625D"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2E6249B3"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322.19</w:t>
            </w:r>
          </w:p>
        </w:tc>
        <w:tc>
          <w:tcPr>
            <w:tcW w:w="1858" w:type="dxa"/>
          </w:tcPr>
          <w:p w14:paraId="0BB22F8C" w14:textId="77777777" w:rsidR="008D1485" w:rsidRPr="007104DA"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6,682.06</w:t>
            </w:r>
          </w:p>
        </w:tc>
      </w:tr>
      <w:tr w:rsidR="008D1485" w:rsidRPr="00942352" w14:paraId="01910224" w14:textId="77777777" w:rsidTr="0014738A">
        <w:trPr>
          <w:trHeight w:val="230"/>
        </w:trPr>
        <w:tc>
          <w:tcPr>
            <w:tcW w:w="2093" w:type="dxa"/>
          </w:tcPr>
          <w:p w14:paraId="43A9C791"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rPr>
              <w:t>27</w:t>
            </w:r>
            <w:r w:rsidRPr="00942352">
              <w:rPr>
                <w:rFonts w:ascii="Times New Roman" w:hAnsi="Times New Roman" w:cs="Times New Roman"/>
                <w:spacing w:val="-4"/>
              </w:rPr>
              <w:t xml:space="preserve"> </w:t>
            </w:r>
            <w:r w:rsidRPr="00942352">
              <w:rPr>
                <w:rFonts w:ascii="Times New Roman" w:hAnsi="Times New Roman" w:cs="Times New Roman"/>
              </w:rPr>
              <w:t>June</w:t>
            </w:r>
            <w:r w:rsidRPr="00942352">
              <w:rPr>
                <w:rFonts w:ascii="Times New Roman" w:hAnsi="Times New Roman" w:cs="Times New Roman"/>
                <w:spacing w:val="-4"/>
              </w:rPr>
              <w:t xml:space="preserve"> 2014</w:t>
            </w:r>
          </w:p>
        </w:tc>
        <w:tc>
          <w:tcPr>
            <w:tcW w:w="1642" w:type="dxa"/>
          </w:tcPr>
          <w:p w14:paraId="6359EEA6"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0C254281"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4,869.13</w:t>
            </w:r>
          </w:p>
        </w:tc>
        <w:tc>
          <w:tcPr>
            <w:tcW w:w="1858" w:type="dxa"/>
          </w:tcPr>
          <w:p w14:paraId="0C750D6F"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4792F7C1" w14:textId="77777777" w:rsidTr="0014738A">
        <w:trPr>
          <w:trHeight w:val="230"/>
        </w:trPr>
        <w:tc>
          <w:tcPr>
            <w:tcW w:w="2093" w:type="dxa"/>
          </w:tcPr>
          <w:p w14:paraId="330BD600"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681D9D4F"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5328C6D6"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977.99</w:t>
            </w:r>
          </w:p>
        </w:tc>
        <w:tc>
          <w:tcPr>
            <w:tcW w:w="1858" w:type="dxa"/>
          </w:tcPr>
          <w:p w14:paraId="5E60EDE3"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13B82B8C" w14:textId="77777777" w:rsidTr="0014738A">
        <w:trPr>
          <w:trHeight w:val="230"/>
        </w:trPr>
        <w:tc>
          <w:tcPr>
            <w:tcW w:w="2093" w:type="dxa"/>
          </w:tcPr>
          <w:p w14:paraId="6C377C3B"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27A5CA76"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1E54E16B"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724.75</w:t>
            </w:r>
          </w:p>
        </w:tc>
        <w:tc>
          <w:tcPr>
            <w:tcW w:w="1858" w:type="dxa"/>
          </w:tcPr>
          <w:p w14:paraId="39588376"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073D9242" w14:textId="77777777" w:rsidTr="0014738A">
        <w:trPr>
          <w:trHeight w:val="230"/>
        </w:trPr>
        <w:tc>
          <w:tcPr>
            <w:tcW w:w="2093" w:type="dxa"/>
          </w:tcPr>
          <w:p w14:paraId="1B6B5FFF"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014E6DB7"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38D3C22C"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332.93</w:t>
            </w:r>
          </w:p>
        </w:tc>
        <w:tc>
          <w:tcPr>
            <w:tcW w:w="1858" w:type="dxa"/>
          </w:tcPr>
          <w:p w14:paraId="2ECCF0C5" w14:textId="77777777" w:rsidR="008D1485" w:rsidRPr="007104DA"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6,904.8</w:t>
            </w:r>
          </w:p>
        </w:tc>
      </w:tr>
      <w:tr w:rsidR="008D1485" w:rsidRPr="00942352" w14:paraId="668806BB" w14:textId="77777777" w:rsidTr="0014738A">
        <w:trPr>
          <w:trHeight w:val="229"/>
        </w:trPr>
        <w:tc>
          <w:tcPr>
            <w:tcW w:w="2093" w:type="dxa"/>
          </w:tcPr>
          <w:p w14:paraId="60209589"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rPr>
              <w:t>28</w:t>
            </w:r>
            <w:r w:rsidRPr="00942352">
              <w:rPr>
                <w:rFonts w:ascii="Times New Roman" w:hAnsi="Times New Roman" w:cs="Times New Roman"/>
                <w:spacing w:val="-3"/>
              </w:rPr>
              <w:t xml:space="preserve"> </w:t>
            </w:r>
            <w:r w:rsidRPr="00942352">
              <w:rPr>
                <w:rFonts w:ascii="Times New Roman" w:hAnsi="Times New Roman" w:cs="Times New Roman"/>
              </w:rPr>
              <w:t>July</w:t>
            </w:r>
            <w:r w:rsidRPr="00942352">
              <w:rPr>
                <w:rFonts w:ascii="Times New Roman" w:hAnsi="Times New Roman" w:cs="Times New Roman"/>
                <w:spacing w:val="-4"/>
              </w:rPr>
              <w:t xml:space="preserve"> 2014</w:t>
            </w:r>
          </w:p>
        </w:tc>
        <w:tc>
          <w:tcPr>
            <w:tcW w:w="1642" w:type="dxa"/>
          </w:tcPr>
          <w:p w14:paraId="5D15A560"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22763057"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4,712.06</w:t>
            </w:r>
          </w:p>
        </w:tc>
        <w:tc>
          <w:tcPr>
            <w:tcW w:w="1858" w:type="dxa"/>
          </w:tcPr>
          <w:p w14:paraId="2B2932A1"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1364EAAD" w14:textId="77777777" w:rsidTr="0014738A">
        <w:trPr>
          <w:trHeight w:val="230"/>
        </w:trPr>
        <w:tc>
          <w:tcPr>
            <w:tcW w:w="2093" w:type="dxa"/>
          </w:tcPr>
          <w:p w14:paraId="0B770F46"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7191B403"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7DB3D125"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946.44</w:t>
            </w:r>
          </w:p>
        </w:tc>
        <w:tc>
          <w:tcPr>
            <w:tcW w:w="1858" w:type="dxa"/>
          </w:tcPr>
          <w:p w14:paraId="766B7498"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10B77272" w14:textId="77777777" w:rsidTr="0014738A">
        <w:trPr>
          <w:trHeight w:val="230"/>
        </w:trPr>
        <w:tc>
          <w:tcPr>
            <w:tcW w:w="2093" w:type="dxa"/>
          </w:tcPr>
          <w:p w14:paraId="218BA147"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04B6DDA4"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76617C92"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701.37</w:t>
            </w:r>
          </w:p>
        </w:tc>
        <w:tc>
          <w:tcPr>
            <w:tcW w:w="1858" w:type="dxa"/>
          </w:tcPr>
          <w:p w14:paraId="14F4DC63"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454641DD" w14:textId="77777777" w:rsidTr="0014738A">
        <w:trPr>
          <w:trHeight w:val="230"/>
        </w:trPr>
        <w:tc>
          <w:tcPr>
            <w:tcW w:w="2093" w:type="dxa"/>
          </w:tcPr>
          <w:p w14:paraId="68AE46E5"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00E2A3F9"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11B946B3"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322.19</w:t>
            </w:r>
          </w:p>
        </w:tc>
        <w:tc>
          <w:tcPr>
            <w:tcW w:w="1858" w:type="dxa"/>
          </w:tcPr>
          <w:p w14:paraId="0BDA0032" w14:textId="77777777" w:rsidR="008D1485" w:rsidRPr="007104DA"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6,682.06</w:t>
            </w:r>
          </w:p>
        </w:tc>
      </w:tr>
      <w:tr w:rsidR="008D1485" w:rsidRPr="00942352" w14:paraId="6966172D" w14:textId="77777777" w:rsidTr="0014738A">
        <w:trPr>
          <w:trHeight w:val="230"/>
        </w:trPr>
        <w:tc>
          <w:tcPr>
            <w:tcW w:w="2093" w:type="dxa"/>
          </w:tcPr>
          <w:p w14:paraId="33598641"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rPr>
              <w:t>27</w:t>
            </w:r>
            <w:r w:rsidRPr="00942352">
              <w:rPr>
                <w:rFonts w:ascii="Times New Roman" w:hAnsi="Times New Roman" w:cs="Times New Roman"/>
                <w:spacing w:val="-7"/>
              </w:rPr>
              <w:t xml:space="preserve"> </w:t>
            </w:r>
            <w:r w:rsidRPr="00942352">
              <w:rPr>
                <w:rFonts w:ascii="Times New Roman" w:hAnsi="Times New Roman" w:cs="Times New Roman"/>
              </w:rPr>
              <w:t>August</w:t>
            </w:r>
            <w:r w:rsidRPr="00942352">
              <w:rPr>
                <w:rFonts w:ascii="Times New Roman" w:hAnsi="Times New Roman" w:cs="Times New Roman"/>
                <w:spacing w:val="-4"/>
              </w:rPr>
              <w:t xml:space="preserve"> 2014</w:t>
            </w:r>
          </w:p>
        </w:tc>
        <w:tc>
          <w:tcPr>
            <w:tcW w:w="1642" w:type="dxa"/>
          </w:tcPr>
          <w:p w14:paraId="0C802802"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2B8B97A4"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4,869.13</w:t>
            </w:r>
          </w:p>
        </w:tc>
        <w:tc>
          <w:tcPr>
            <w:tcW w:w="1858" w:type="dxa"/>
          </w:tcPr>
          <w:p w14:paraId="254529EC"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50078BD5" w14:textId="77777777" w:rsidTr="0014738A">
        <w:trPr>
          <w:trHeight w:val="230"/>
        </w:trPr>
        <w:tc>
          <w:tcPr>
            <w:tcW w:w="2093" w:type="dxa"/>
          </w:tcPr>
          <w:p w14:paraId="0C940E64"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26F8BB2A"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2F3113E0"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977.99</w:t>
            </w:r>
          </w:p>
        </w:tc>
        <w:tc>
          <w:tcPr>
            <w:tcW w:w="1858" w:type="dxa"/>
          </w:tcPr>
          <w:p w14:paraId="08D43525"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0A7B83B1" w14:textId="77777777" w:rsidTr="0014738A">
        <w:trPr>
          <w:trHeight w:val="230"/>
        </w:trPr>
        <w:tc>
          <w:tcPr>
            <w:tcW w:w="2093" w:type="dxa"/>
          </w:tcPr>
          <w:p w14:paraId="4C8C377B"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3A394000"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4159236E"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724.75</w:t>
            </w:r>
          </w:p>
        </w:tc>
        <w:tc>
          <w:tcPr>
            <w:tcW w:w="1858" w:type="dxa"/>
          </w:tcPr>
          <w:p w14:paraId="13B10E3A"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1794DAF2" w14:textId="77777777" w:rsidTr="0014738A">
        <w:trPr>
          <w:trHeight w:val="230"/>
        </w:trPr>
        <w:tc>
          <w:tcPr>
            <w:tcW w:w="2093" w:type="dxa"/>
          </w:tcPr>
          <w:p w14:paraId="3F77CEC1"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72439774"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26163913"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332.93</w:t>
            </w:r>
          </w:p>
        </w:tc>
        <w:tc>
          <w:tcPr>
            <w:tcW w:w="1858" w:type="dxa"/>
          </w:tcPr>
          <w:p w14:paraId="3D98522A" w14:textId="77777777" w:rsidR="008D1485" w:rsidRPr="007104DA"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6,904.8</w:t>
            </w:r>
          </w:p>
        </w:tc>
      </w:tr>
      <w:tr w:rsidR="008D1485" w:rsidRPr="00942352" w14:paraId="5A5D5D77" w14:textId="77777777" w:rsidTr="0014738A">
        <w:trPr>
          <w:trHeight w:val="230"/>
        </w:trPr>
        <w:tc>
          <w:tcPr>
            <w:tcW w:w="2093" w:type="dxa"/>
          </w:tcPr>
          <w:p w14:paraId="44A0268B"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rPr>
              <w:t>29</w:t>
            </w:r>
            <w:r w:rsidRPr="00942352">
              <w:rPr>
                <w:rFonts w:ascii="Times New Roman" w:hAnsi="Times New Roman" w:cs="Times New Roman"/>
                <w:spacing w:val="-9"/>
              </w:rPr>
              <w:t xml:space="preserve"> </w:t>
            </w:r>
            <w:r w:rsidRPr="00942352">
              <w:rPr>
                <w:rFonts w:ascii="Times New Roman" w:hAnsi="Times New Roman" w:cs="Times New Roman"/>
              </w:rPr>
              <w:t>September</w:t>
            </w:r>
            <w:r w:rsidRPr="00942352">
              <w:rPr>
                <w:rFonts w:ascii="Times New Roman" w:hAnsi="Times New Roman" w:cs="Times New Roman"/>
                <w:spacing w:val="-5"/>
              </w:rPr>
              <w:t xml:space="preserve"> </w:t>
            </w:r>
            <w:r w:rsidRPr="00942352">
              <w:rPr>
                <w:rFonts w:ascii="Times New Roman" w:hAnsi="Times New Roman" w:cs="Times New Roman"/>
                <w:spacing w:val="-4"/>
              </w:rPr>
              <w:t>2014</w:t>
            </w:r>
          </w:p>
        </w:tc>
        <w:tc>
          <w:tcPr>
            <w:tcW w:w="1642" w:type="dxa"/>
          </w:tcPr>
          <w:p w14:paraId="4EF377EA"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6D4C288B"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4,869.13</w:t>
            </w:r>
          </w:p>
        </w:tc>
        <w:tc>
          <w:tcPr>
            <w:tcW w:w="1858" w:type="dxa"/>
          </w:tcPr>
          <w:p w14:paraId="1DBC42DA"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1D5E1641" w14:textId="77777777" w:rsidTr="0014738A">
        <w:trPr>
          <w:trHeight w:val="230"/>
        </w:trPr>
        <w:tc>
          <w:tcPr>
            <w:tcW w:w="2093" w:type="dxa"/>
          </w:tcPr>
          <w:p w14:paraId="4AD787E1"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4984A0EC"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001E63F1"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977.99</w:t>
            </w:r>
          </w:p>
        </w:tc>
        <w:tc>
          <w:tcPr>
            <w:tcW w:w="1858" w:type="dxa"/>
          </w:tcPr>
          <w:p w14:paraId="28ECBEBD"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67AFB4C5" w14:textId="77777777" w:rsidTr="0014738A">
        <w:trPr>
          <w:trHeight w:val="230"/>
        </w:trPr>
        <w:tc>
          <w:tcPr>
            <w:tcW w:w="2093" w:type="dxa"/>
          </w:tcPr>
          <w:p w14:paraId="3D888950"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3A08A9C4"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796586A9"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724.75</w:t>
            </w:r>
          </w:p>
        </w:tc>
        <w:tc>
          <w:tcPr>
            <w:tcW w:w="1858" w:type="dxa"/>
          </w:tcPr>
          <w:p w14:paraId="46EC0604"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093D4F1E" w14:textId="77777777" w:rsidTr="0014738A">
        <w:trPr>
          <w:trHeight w:val="230"/>
        </w:trPr>
        <w:tc>
          <w:tcPr>
            <w:tcW w:w="2093" w:type="dxa"/>
          </w:tcPr>
          <w:p w14:paraId="5AB6EA4B"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36471B55"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769837208</w:t>
            </w:r>
          </w:p>
        </w:tc>
        <w:tc>
          <w:tcPr>
            <w:tcW w:w="1856" w:type="dxa"/>
          </w:tcPr>
          <w:p w14:paraId="60F06EC8"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332.93</w:t>
            </w:r>
          </w:p>
        </w:tc>
        <w:tc>
          <w:tcPr>
            <w:tcW w:w="1858" w:type="dxa"/>
          </w:tcPr>
          <w:p w14:paraId="02D6E5DF" w14:textId="77777777" w:rsidR="008D1485" w:rsidRPr="007104DA"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6,904.8</w:t>
            </w:r>
          </w:p>
        </w:tc>
      </w:tr>
      <w:tr w:rsidR="008D1485" w:rsidRPr="00942352" w14:paraId="7D5CCA75" w14:textId="77777777" w:rsidTr="0014738A">
        <w:trPr>
          <w:trHeight w:val="230"/>
        </w:trPr>
        <w:tc>
          <w:tcPr>
            <w:tcW w:w="2093" w:type="dxa"/>
          </w:tcPr>
          <w:p w14:paraId="1010E0BC"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rPr>
              <w:t>27</w:t>
            </w:r>
            <w:r w:rsidRPr="00942352">
              <w:rPr>
                <w:rFonts w:ascii="Times New Roman" w:hAnsi="Times New Roman" w:cs="Times New Roman"/>
                <w:spacing w:val="-6"/>
              </w:rPr>
              <w:t xml:space="preserve"> </w:t>
            </w:r>
            <w:r w:rsidRPr="00942352">
              <w:rPr>
                <w:rFonts w:ascii="Times New Roman" w:hAnsi="Times New Roman" w:cs="Times New Roman"/>
              </w:rPr>
              <w:t>October</w:t>
            </w:r>
            <w:r w:rsidRPr="00942352">
              <w:rPr>
                <w:rFonts w:ascii="Times New Roman" w:hAnsi="Times New Roman" w:cs="Times New Roman"/>
                <w:spacing w:val="-5"/>
              </w:rPr>
              <w:t xml:space="preserve"> </w:t>
            </w:r>
            <w:r w:rsidRPr="00942352">
              <w:rPr>
                <w:rFonts w:ascii="Times New Roman" w:hAnsi="Times New Roman" w:cs="Times New Roman"/>
                <w:spacing w:val="-4"/>
              </w:rPr>
              <w:t>2014</w:t>
            </w:r>
          </w:p>
        </w:tc>
        <w:tc>
          <w:tcPr>
            <w:tcW w:w="1642" w:type="dxa"/>
          </w:tcPr>
          <w:p w14:paraId="728A448E"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769837408</w:t>
            </w:r>
          </w:p>
        </w:tc>
        <w:tc>
          <w:tcPr>
            <w:tcW w:w="1856" w:type="dxa"/>
          </w:tcPr>
          <w:p w14:paraId="3D74FC5A"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4,712.06</w:t>
            </w:r>
          </w:p>
        </w:tc>
        <w:tc>
          <w:tcPr>
            <w:tcW w:w="1858" w:type="dxa"/>
          </w:tcPr>
          <w:p w14:paraId="4C01D532"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5A639639" w14:textId="77777777" w:rsidTr="0014738A">
        <w:trPr>
          <w:trHeight w:val="230"/>
        </w:trPr>
        <w:tc>
          <w:tcPr>
            <w:tcW w:w="2093" w:type="dxa"/>
          </w:tcPr>
          <w:p w14:paraId="6BCFEEE6"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230CEC43"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769838400</w:t>
            </w:r>
          </w:p>
        </w:tc>
        <w:tc>
          <w:tcPr>
            <w:tcW w:w="1856" w:type="dxa"/>
          </w:tcPr>
          <w:p w14:paraId="41D07FCF"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946.44</w:t>
            </w:r>
          </w:p>
        </w:tc>
        <w:tc>
          <w:tcPr>
            <w:tcW w:w="1858" w:type="dxa"/>
          </w:tcPr>
          <w:p w14:paraId="76C40E40"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72A88BC4" w14:textId="77777777" w:rsidTr="0014738A">
        <w:trPr>
          <w:trHeight w:val="230"/>
        </w:trPr>
        <w:tc>
          <w:tcPr>
            <w:tcW w:w="2093" w:type="dxa"/>
          </w:tcPr>
          <w:p w14:paraId="3986F4FB"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097106B9"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spacing w:val="-2"/>
              </w:rPr>
              <w:t>769837803</w:t>
            </w:r>
          </w:p>
        </w:tc>
        <w:tc>
          <w:tcPr>
            <w:tcW w:w="1856" w:type="dxa"/>
          </w:tcPr>
          <w:p w14:paraId="501B89E6" w14:textId="77777777" w:rsidR="008D1485" w:rsidRPr="00942352" w:rsidRDefault="008D1485" w:rsidP="009F1176">
            <w:pPr>
              <w:pStyle w:val="TableParagraph"/>
              <w:ind w:right="97"/>
              <w:jc w:val="right"/>
              <w:rPr>
                <w:rFonts w:ascii="Times New Roman" w:hAnsi="Times New Roman" w:cs="Times New Roman"/>
              </w:rPr>
            </w:pPr>
            <w:r w:rsidRPr="00942352">
              <w:rPr>
                <w:rFonts w:ascii="Times New Roman" w:hAnsi="Times New Roman" w:cs="Times New Roman"/>
                <w:spacing w:val="-2"/>
              </w:rPr>
              <w:t>701.37</w:t>
            </w:r>
          </w:p>
        </w:tc>
        <w:tc>
          <w:tcPr>
            <w:tcW w:w="1858" w:type="dxa"/>
          </w:tcPr>
          <w:p w14:paraId="4B861A37" w14:textId="77777777" w:rsidR="008D1485" w:rsidRPr="007104DA" w:rsidRDefault="008D1485" w:rsidP="009F1176">
            <w:pPr>
              <w:pStyle w:val="TableParagraph"/>
              <w:ind w:right="97"/>
              <w:jc w:val="right"/>
              <w:rPr>
                <w:rFonts w:ascii="Times New Roman" w:hAnsi="Times New Roman" w:cs="Times New Roman"/>
                <w:spacing w:val="-2"/>
              </w:rPr>
            </w:pPr>
          </w:p>
        </w:tc>
      </w:tr>
      <w:tr w:rsidR="008D1485" w:rsidRPr="00942352" w14:paraId="21B88FFD" w14:textId="77777777" w:rsidTr="0014738A">
        <w:trPr>
          <w:trHeight w:val="230"/>
        </w:trPr>
        <w:tc>
          <w:tcPr>
            <w:tcW w:w="2093" w:type="dxa"/>
          </w:tcPr>
          <w:p w14:paraId="4706CB99" w14:textId="77777777" w:rsidR="008D1485" w:rsidRPr="00942352" w:rsidRDefault="008D1485" w:rsidP="009F1176">
            <w:pPr>
              <w:pStyle w:val="TableParagraph"/>
              <w:spacing w:line="240" w:lineRule="auto"/>
              <w:rPr>
                <w:rFonts w:ascii="Times New Roman" w:hAnsi="Times New Roman" w:cs="Times New Roman"/>
              </w:rPr>
            </w:pPr>
          </w:p>
        </w:tc>
        <w:tc>
          <w:tcPr>
            <w:tcW w:w="1642" w:type="dxa"/>
          </w:tcPr>
          <w:p w14:paraId="6ABD8DE9" w14:textId="77777777" w:rsidR="008D1485" w:rsidRPr="00942352" w:rsidRDefault="008D1485" w:rsidP="009F1176">
            <w:pPr>
              <w:pStyle w:val="TableParagraph"/>
              <w:ind w:left="107"/>
              <w:rPr>
                <w:rFonts w:ascii="Times New Roman" w:hAnsi="Times New Roman" w:cs="Times New Roman"/>
                <w:spacing w:val="-2"/>
              </w:rPr>
            </w:pPr>
            <w:r w:rsidRPr="00942352">
              <w:rPr>
                <w:rFonts w:ascii="Times New Roman" w:hAnsi="Times New Roman" w:cs="Times New Roman"/>
                <w:spacing w:val="-2"/>
              </w:rPr>
              <w:t>769837208</w:t>
            </w:r>
          </w:p>
        </w:tc>
        <w:tc>
          <w:tcPr>
            <w:tcW w:w="1856" w:type="dxa"/>
          </w:tcPr>
          <w:p w14:paraId="04FA21FA" w14:textId="77777777" w:rsidR="008D1485" w:rsidRPr="00942352"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322.19</w:t>
            </w:r>
          </w:p>
        </w:tc>
        <w:tc>
          <w:tcPr>
            <w:tcW w:w="1858" w:type="dxa"/>
          </w:tcPr>
          <w:p w14:paraId="0AF630BE" w14:textId="77777777" w:rsidR="008D1485" w:rsidRPr="007104DA"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6,682.06</w:t>
            </w:r>
          </w:p>
        </w:tc>
      </w:tr>
      <w:tr w:rsidR="008D1485" w:rsidRPr="00942352" w14:paraId="4C801200" w14:textId="77777777" w:rsidTr="0014738A">
        <w:trPr>
          <w:trHeight w:val="230"/>
        </w:trPr>
        <w:tc>
          <w:tcPr>
            <w:tcW w:w="2093" w:type="dxa"/>
          </w:tcPr>
          <w:p w14:paraId="4078A1C5" w14:textId="77777777" w:rsidR="008D1485" w:rsidRPr="00942352" w:rsidRDefault="008D1485" w:rsidP="009F1176">
            <w:pPr>
              <w:pStyle w:val="TableParagraph"/>
              <w:ind w:left="107"/>
              <w:rPr>
                <w:rFonts w:ascii="Times New Roman" w:hAnsi="Times New Roman" w:cs="Times New Roman"/>
                <w:spacing w:val="-2"/>
              </w:rPr>
            </w:pPr>
            <w:r w:rsidRPr="00942352">
              <w:rPr>
                <w:rFonts w:ascii="Times New Roman" w:hAnsi="Times New Roman" w:cs="Times New Roman"/>
              </w:rPr>
              <w:t>27</w:t>
            </w:r>
            <w:r w:rsidRPr="00942352">
              <w:rPr>
                <w:rFonts w:ascii="Times New Roman" w:hAnsi="Times New Roman" w:cs="Times New Roman"/>
                <w:spacing w:val="-7"/>
              </w:rPr>
              <w:t xml:space="preserve"> </w:t>
            </w:r>
            <w:r w:rsidRPr="00942352">
              <w:rPr>
                <w:rFonts w:ascii="Times New Roman" w:hAnsi="Times New Roman" w:cs="Times New Roman"/>
              </w:rPr>
              <w:t>November</w:t>
            </w:r>
            <w:r w:rsidRPr="00942352">
              <w:rPr>
                <w:rFonts w:ascii="Times New Roman" w:hAnsi="Times New Roman" w:cs="Times New Roman"/>
                <w:spacing w:val="-6"/>
              </w:rPr>
              <w:t xml:space="preserve"> </w:t>
            </w:r>
            <w:r w:rsidRPr="00942352">
              <w:rPr>
                <w:rFonts w:ascii="Times New Roman" w:hAnsi="Times New Roman" w:cs="Times New Roman"/>
                <w:spacing w:val="-4"/>
              </w:rPr>
              <w:t>2014</w:t>
            </w:r>
          </w:p>
        </w:tc>
        <w:tc>
          <w:tcPr>
            <w:tcW w:w="1642" w:type="dxa"/>
          </w:tcPr>
          <w:p w14:paraId="6EE2D9A1" w14:textId="77777777" w:rsidR="008D1485" w:rsidRPr="00942352" w:rsidRDefault="008D1485" w:rsidP="009F1176">
            <w:pPr>
              <w:pStyle w:val="TableParagraph"/>
              <w:ind w:left="107"/>
              <w:rPr>
                <w:rFonts w:ascii="Times New Roman" w:hAnsi="Times New Roman" w:cs="Times New Roman"/>
                <w:spacing w:val="-2"/>
              </w:rPr>
            </w:pPr>
            <w:r w:rsidRPr="00942352">
              <w:rPr>
                <w:rFonts w:ascii="Times New Roman" w:hAnsi="Times New Roman" w:cs="Times New Roman"/>
                <w:spacing w:val="-2"/>
              </w:rPr>
              <w:t>769837408</w:t>
            </w:r>
          </w:p>
        </w:tc>
        <w:tc>
          <w:tcPr>
            <w:tcW w:w="1856" w:type="dxa"/>
          </w:tcPr>
          <w:p w14:paraId="0FC3F83E" w14:textId="77777777" w:rsidR="008D1485" w:rsidRPr="00942352"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4,869.13</w:t>
            </w:r>
          </w:p>
        </w:tc>
        <w:tc>
          <w:tcPr>
            <w:tcW w:w="1858" w:type="dxa"/>
          </w:tcPr>
          <w:p w14:paraId="6C1714A6" w14:textId="77777777" w:rsidR="008D1485" w:rsidRPr="00942352" w:rsidRDefault="008D1485" w:rsidP="009F1176">
            <w:pPr>
              <w:pStyle w:val="TableParagraph"/>
              <w:ind w:right="97"/>
              <w:jc w:val="right"/>
              <w:rPr>
                <w:rFonts w:ascii="Times New Roman" w:hAnsi="Times New Roman" w:cs="Times New Roman"/>
                <w:spacing w:val="-2"/>
              </w:rPr>
            </w:pPr>
          </w:p>
        </w:tc>
      </w:tr>
      <w:tr w:rsidR="008D1485" w:rsidRPr="00942352" w14:paraId="427EAB77" w14:textId="77777777" w:rsidTr="0014738A">
        <w:trPr>
          <w:trHeight w:val="230"/>
        </w:trPr>
        <w:tc>
          <w:tcPr>
            <w:tcW w:w="2093" w:type="dxa"/>
          </w:tcPr>
          <w:p w14:paraId="683F60D7" w14:textId="77777777" w:rsidR="008D1485" w:rsidRPr="00942352" w:rsidRDefault="008D1485" w:rsidP="009F1176">
            <w:pPr>
              <w:pStyle w:val="TableParagraph"/>
              <w:ind w:left="107"/>
              <w:rPr>
                <w:rFonts w:ascii="Times New Roman" w:hAnsi="Times New Roman" w:cs="Times New Roman"/>
              </w:rPr>
            </w:pPr>
          </w:p>
        </w:tc>
        <w:tc>
          <w:tcPr>
            <w:tcW w:w="1642" w:type="dxa"/>
          </w:tcPr>
          <w:p w14:paraId="627305F3" w14:textId="77777777" w:rsidR="008D1485" w:rsidRPr="00942352" w:rsidRDefault="008D1485" w:rsidP="009F1176">
            <w:pPr>
              <w:pStyle w:val="TableParagraph"/>
              <w:ind w:left="107"/>
              <w:rPr>
                <w:rFonts w:ascii="Times New Roman" w:hAnsi="Times New Roman" w:cs="Times New Roman"/>
                <w:spacing w:val="-2"/>
              </w:rPr>
            </w:pPr>
            <w:r w:rsidRPr="00942352">
              <w:rPr>
                <w:rFonts w:ascii="Times New Roman" w:hAnsi="Times New Roman" w:cs="Times New Roman"/>
                <w:spacing w:val="-2"/>
              </w:rPr>
              <w:t>769838400</w:t>
            </w:r>
          </w:p>
        </w:tc>
        <w:tc>
          <w:tcPr>
            <w:tcW w:w="1856" w:type="dxa"/>
          </w:tcPr>
          <w:p w14:paraId="71B8200E" w14:textId="77777777" w:rsidR="008D1485" w:rsidRPr="00942352"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977.99</w:t>
            </w:r>
          </w:p>
        </w:tc>
        <w:tc>
          <w:tcPr>
            <w:tcW w:w="1858" w:type="dxa"/>
          </w:tcPr>
          <w:p w14:paraId="3FB29EB0" w14:textId="77777777" w:rsidR="008D1485" w:rsidRPr="00942352" w:rsidRDefault="008D1485" w:rsidP="009F1176">
            <w:pPr>
              <w:pStyle w:val="TableParagraph"/>
              <w:ind w:right="97"/>
              <w:jc w:val="right"/>
              <w:rPr>
                <w:rFonts w:ascii="Times New Roman" w:hAnsi="Times New Roman" w:cs="Times New Roman"/>
                <w:spacing w:val="-2"/>
              </w:rPr>
            </w:pPr>
          </w:p>
        </w:tc>
      </w:tr>
      <w:tr w:rsidR="008D1485" w:rsidRPr="00942352" w14:paraId="287EC9A4" w14:textId="77777777" w:rsidTr="0014738A">
        <w:trPr>
          <w:trHeight w:val="230"/>
        </w:trPr>
        <w:tc>
          <w:tcPr>
            <w:tcW w:w="2093" w:type="dxa"/>
          </w:tcPr>
          <w:p w14:paraId="1084D2CB" w14:textId="77777777" w:rsidR="008D1485" w:rsidRPr="00942352" w:rsidRDefault="008D1485" w:rsidP="009F1176">
            <w:pPr>
              <w:pStyle w:val="TableParagraph"/>
              <w:ind w:left="107"/>
              <w:rPr>
                <w:rFonts w:ascii="Times New Roman" w:hAnsi="Times New Roman" w:cs="Times New Roman"/>
              </w:rPr>
            </w:pPr>
          </w:p>
        </w:tc>
        <w:tc>
          <w:tcPr>
            <w:tcW w:w="1642" w:type="dxa"/>
          </w:tcPr>
          <w:p w14:paraId="52977210" w14:textId="77777777" w:rsidR="008D1485" w:rsidRPr="00942352" w:rsidRDefault="008D1485" w:rsidP="009F1176">
            <w:pPr>
              <w:pStyle w:val="TableParagraph"/>
              <w:ind w:left="107"/>
              <w:rPr>
                <w:rFonts w:ascii="Times New Roman" w:hAnsi="Times New Roman" w:cs="Times New Roman"/>
                <w:spacing w:val="-2"/>
              </w:rPr>
            </w:pPr>
            <w:r w:rsidRPr="00942352">
              <w:rPr>
                <w:rFonts w:ascii="Times New Roman" w:hAnsi="Times New Roman" w:cs="Times New Roman"/>
                <w:spacing w:val="-2"/>
              </w:rPr>
              <w:t>769837803</w:t>
            </w:r>
          </w:p>
        </w:tc>
        <w:tc>
          <w:tcPr>
            <w:tcW w:w="1856" w:type="dxa"/>
          </w:tcPr>
          <w:p w14:paraId="16FFB21F" w14:textId="77777777" w:rsidR="008D1485" w:rsidRPr="00942352"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724.75</w:t>
            </w:r>
          </w:p>
        </w:tc>
        <w:tc>
          <w:tcPr>
            <w:tcW w:w="1858" w:type="dxa"/>
          </w:tcPr>
          <w:p w14:paraId="6A610EB9" w14:textId="77777777" w:rsidR="008D1485" w:rsidRPr="00942352" w:rsidRDefault="008D1485" w:rsidP="009F1176">
            <w:pPr>
              <w:pStyle w:val="TableParagraph"/>
              <w:ind w:right="97"/>
              <w:jc w:val="right"/>
              <w:rPr>
                <w:rFonts w:ascii="Times New Roman" w:hAnsi="Times New Roman" w:cs="Times New Roman"/>
                <w:spacing w:val="-2"/>
              </w:rPr>
            </w:pPr>
          </w:p>
        </w:tc>
      </w:tr>
      <w:tr w:rsidR="008D1485" w:rsidRPr="00942352" w14:paraId="56AEF56A" w14:textId="77777777" w:rsidTr="0014738A">
        <w:trPr>
          <w:trHeight w:val="230"/>
        </w:trPr>
        <w:tc>
          <w:tcPr>
            <w:tcW w:w="2093" w:type="dxa"/>
          </w:tcPr>
          <w:p w14:paraId="230A6AC7" w14:textId="77777777" w:rsidR="008D1485" w:rsidRPr="00942352" w:rsidRDefault="008D1485" w:rsidP="009F1176">
            <w:pPr>
              <w:pStyle w:val="TableParagraph"/>
              <w:ind w:left="107"/>
              <w:rPr>
                <w:rFonts w:ascii="Times New Roman" w:hAnsi="Times New Roman" w:cs="Times New Roman"/>
              </w:rPr>
            </w:pPr>
          </w:p>
        </w:tc>
        <w:tc>
          <w:tcPr>
            <w:tcW w:w="1642" w:type="dxa"/>
          </w:tcPr>
          <w:p w14:paraId="61AF11BC" w14:textId="77777777" w:rsidR="008D1485" w:rsidRPr="00942352" w:rsidRDefault="008D1485" w:rsidP="009F1176">
            <w:pPr>
              <w:pStyle w:val="TableParagraph"/>
              <w:ind w:left="107"/>
              <w:rPr>
                <w:rFonts w:ascii="Times New Roman" w:hAnsi="Times New Roman" w:cs="Times New Roman"/>
                <w:spacing w:val="-2"/>
              </w:rPr>
            </w:pPr>
            <w:r w:rsidRPr="00942352">
              <w:rPr>
                <w:rFonts w:ascii="Times New Roman" w:hAnsi="Times New Roman" w:cs="Times New Roman"/>
                <w:spacing w:val="-2"/>
              </w:rPr>
              <w:t>769837208</w:t>
            </w:r>
          </w:p>
        </w:tc>
        <w:tc>
          <w:tcPr>
            <w:tcW w:w="1856" w:type="dxa"/>
          </w:tcPr>
          <w:p w14:paraId="1448310A" w14:textId="77777777" w:rsidR="008D1485" w:rsidRPr="00942352"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332.93</w:t>
            </w:r>
          </w:p>
        </w:tc>
        <w:tc>
          <w:tcPr>
            <w:tcW w:w="1858" w:type="dxa"/>
          </w:tcPr>
          <w:p w14:paraId="308E1B02" w14:textId="77777777" w:rsidR="008D1485" w:rsidRPr="00942352" w:rsidRDefault="008D1485" w:rsidP="009F1176">
            <w:pPr>
              <w:pStyle w:val="TableParagraph"/>
              <w:ind w:right="97"/>
              <w:jc w:val="right"/>
              <w:rPr>
                <w:rFonts w:ascii="Times New Roman" w:hAnsi="Times New Roman" w:cs="Times New Roman"/>
                <w:spacing w:val="-2"/>
              </w:rPr>
            </w:pPr>
            <w:r w:rsidRPr="00942352">
              <w:rPr>
                <w:rFonts w:ascii="Times New Roman" w:hAnsi="Times New Roman" w:cs="Times New Roman"/>
                <w:spacing w:val="-2"/>
              </w:rPr>
              <w:t>6,904.8</w:t>
            </w:r>
          </w:p>
        </w:tc>
      </w:tr>
      <w:tr w:rsidR="008D1485" w:rsidRPr="00942352" w14:paraId="426D426E" w14:textId="77777777" w:rsidTr="0014738A">
        <w:trPr>
          <w:trHeight w:val="230"/>
        </w:trPr>
        <w:tc>
          <w:tcPr>
            <w:tcW w:w="2093" w:type="dxa"/>
          </w:tcPr>
          <w:p w14:paraId="1109CD9C" w14:textId="77777777" w:rsidR="008D1485" w:rsidRPr="00942352" w:rsidRDefault="008D1485" w:rsidP="009F1176">
            <w:pPr>
              <w:pStyle w:val="TableParagraph"/>
              <w:ind w:left="107"/>
              <w:rPr>
                <w:rFonts w:ascii="Times New Roman" w:hAnsi="Times New Roman" w:cs="Times New Roman"/>
              </w:rPr>
            </w:pPr>
            <w:r w:rsidRPr="00942352">
              <w:rPr>
                <w:rFonts w:ascii="Times New Roman" w:hAnsi="Times New Roman" w:cs="Times New Roman"/>
                <w:b/>
                <w:spacing w:val="-2"/>
              </w:rPr>
              <w:t>Total</w:t>
            </w:r>
          </w:p>
        </w:tc>
        <w:tc>
          <w:tcPr>
            <w:tcW w:w="1642" w:type="dxa"/>
          </w:tcPr>
          <w:p w14:paraId="402194F1" w14:textId="77777777" w:rsidR="008D1485" w:rsidRPr="00942352" w:rsidRDefault="008D1485" w:rsidP="009F1176">
            <w:pPr>
              <w:pStyle w:val="TableParagraph"/>
              <w:ind w:left="107"/>
              <w:rPr>
                <w:rFonts w:ascii="Times New Roman" w:hAnsi="Times New Roman" w:cs="Times New Roman"/>
                <w:spacing w:val="-2"/>
              </w:rPr>
            </w:pPr>
          </w:p>
        </w:tc>
        <w:tc>
          <w:tcPr>
            <w:tcW w:w="1856" w:type="dxa"/>
          </w:tcPr>
          <w:p w14:paraId="635BAF06" w14:textId="77777777" w:rsidR="008D1485" w:rsidRPr="00942352" w:rsidRDefault="008D1485" w:rsidP="009F1176">
            <w:pPr>
              <w:pStyle w:val="TableParagraph"/>
              <w:spacing w:line="240" w:lineRule="auto"/>
              <w:jc w:val="right"/>
              <w:rPr>
                <w:rFonts w:ascii="Times New Roman" w:hAnsi="Times New Roman" w:cs="Times New Roman"/>
                <w:spacing w:val="-2"/>
              </w:rPr>
            </w:pPr>
            <w:r w:rsidRPr="00942352">
              <w:rPr>
                <w:rFonts w:ascii="Times New Roman" w:hAnsi="Times New Roman" w:cs="Times New Roman"/>
                <w:b/>
                <w:spacing w:val="-2"/>
              </w:rPr>
              <w:t>$54,916.27</w:t>
            </w:r>
          </w:p>
        </w:tc>
        <w:tc>
          <w:tcPr>
            <w:tcW w:w="1858" w:type="dxa"/>
          </w:tcPr>
          <w:p w14:paraId="4F567257" w14:textId="77777777" w:rsidR="008D1485" w:rsidRPr="00942352" w:rsidRDefault="008D1485" w:rsidP="009F1176">
            <w:pPr>
              <w:pStyle w:val="TableParagraph"/>
              <w:spacing w:line="240" w:lineRule="auto"/>
              <w:jc w:val="right"/>
              <w:rPr>
                <w:rFonts w:ascii="Times New Roman" w:hAnsi="Times New Roman" w:cs="Times New Roman"/>
                <w:spacing w:val="-2"/>
              </w:rPr>
            </w:pPr>
            <w:r w:rsidRPr="00942352">
              <w:rPr>
                <w:rFonts w:ascii="Times New Roman" w:hAnsi="Times New Roman" w:cs="Times New Roman"/>
                <w:b/>
                <w:spacing w:val="-2"/>
              </w:rPr>
              <w:t>$54,916.27</w:t>
            </w:r>
          </w:p>
        </w:tc>
      </w:tr>
    </w:tbl>
    <w:p w14:paraId="19D6E870" w14:textId="0E2E3B8A" w:rsidR="00B37C8F" w:rsidRPr="00942352" w:rsidRDefault="00B37C8F" w:rsidP="00153933">
      <w:pPr>
        <w:pStyle w:val="Quote1"/>
        <w:spacing w:before="240"/>
      </w:pPr>
      <w:r w:rsidRPr="00942352">
        <w:t>(Emphasis in original</w:t>
      </w:r>
      <w:r w:rsidR="00685698" w:rsidRPr="00942352">
        <w:t>.)</w:t>
      </w:r>
    </w:p>
    <w:p w14:paraId="0C972FB5" w14:textId="2039C5AF" w:rsidR="00B10614" w:rsidRPr="00942352" w:rsidRDefault="00155C95" w:rsidP="00155C95">
      <w:pPr>
        <w:pStyle w:val="ParaNumbering"/>
        <w:numPr>
          <w:ilvl w:val="0"/>
          <w:numId w:val="0"/>
        </w:numPr>
        <w:ind w:hanging="720"/>
      </w:pPr>
      <w:r w:rsidRPr="00942352">
        <w:rPr>
          <w:sz w:val="20"/>
        </w:rPr>
        <w:t>247</w:t>
      </w:r>
      <w:r w:rsidRPr="00942352">
        <w:rPr>
          <w:sz w:val="20"/>
        </w:rPr>
        <w:tab/>
      </w:r>
      <w:r w:rsidR="00B10614" w:rsidRPr="00942352">
        <w:t>The respondent contended the following:</w:t>
      </w:r>
    </w:p>
    <w:p w14:paraId="1F0DFC1C" w14:textId="0590D4A1" w:rsidR="00B10614" w:rsidRPr="00942352" w:rsidRDefault="00155C95" w:rsidP="00155C95">
      <w:pPr>
        <w:pStyle w:val="ListNo1alt"/>
        <w:numPr>
          <w:ilvl w:val="0"/>
          <w:numId w:val="0"/>
        </w:numPr>
        <w:tabs>
          <w:tab w:val="left" w:pos="720"/>
        </w:tabs>
        <w:ind w:left="720" w:hanging="720"/>
      </w:pPr>
      <w:r w:rsidRPr="00942352">
        <w:t>(a)</w:t>
      </w:r>
      <w:r w:rsidRPr="00942352">
        <w:tab/>
      </w:r>
      <w:r w:rsidR="00D13C01" w:rsidRPr="00942352">
        <w:t>i</w:t>
      </w:r>
      <w:r w:rsidR="00B10614" w:rsidRPr="00942352">
        <w:t>f there was a transfer from the bankrupt to the respondent, the transfer was effectively refunded prior to the bankrupt’s bankruptcy when the respondent transferred funds into t</w:t>
      </w:r>
      <w:r w:rsidR="00D13C01" w:rsidRPr="00942352">
        <w:t>he</w:t>
      </w:r>
      <w:r w:rsidR="000747B3" w:rsidRPr="00942352">
        <w:t xml:space="preserve"> #1998</w:t>
      </w:r>
      <w:r w:rsidR="00D13C01" w:rsidRPr="00942352">
        <w:t xml:space="preserve"> </w:t>
      </w:r>
      <w:r w:rsidR="000747B3" w:rsidRPr="00942352">
        <w:t>J</w:t>
      </w:r>
      <w:r w:rsidR="00D13C01" w:rsidRPr="00942352">
        <w:t xml:space="preserve">oint </w:t>
      </w:r>
      <w:r w:rsidR="000747B3" w:rsidRPr="00942352">
        <w:t>A</w:t>
      </w:r>
      <w:r w:rsidR="005176CD" w:rsidRPr="00942352">
        <w:t>ccount</w:t>
      </w:r>
      <w:r w:rsidR="00D13C01" w:rsidRPr="00942352">
        <w:t xml:space="preserve"> in April 2016</w:t>
      </w:r>
      <w:r w:rsidR="000747B3" w:rsidRPr="00942352">
        <w:t xml:space="preserve"> from the surplus sale proceeds from the Seaforth property</w:t>
      </w:r>
      <w:r w:rsidR="00D13C01" w:rsidRPr="00942352">
        <w:t>;</w:t>
      </w:r>
    </w:p>
    <w:p w14:paraId="768D9157" w14:textId="6A597956" w:rsidR="00B10614" w:rsidRPr="00942352" w:rsidRDefault="00155C95" w:rsidP="00155C95">
      <w:pPr>
        <w:pStyle w:val="ListNo1alt"/>
        <w:numPr>
          <w:ilvl w:val="0"/>
          <w:numId w:val="0"/>
        </w:numPr>
        <w:tabs>
          <w:tab w:val="left" w:pos="720"/>
        </w:tabs>
        <w:ind w:left="720" w:hanging="720"/>
      </w:pPr>
      <w:r w:rsidRPr="00942352">
        <w:t>(b)</w:t>
      </w:r>
      <w:r w:rsidRPr="00942352">
        <w:tab/>
      </w:r>
      <w:proofErr w:type="gramStart"/>
      <w:r w:rsidR="00D13C01" w:rsidRPr="00942352">
        <w:t>e</w:t>
      </w:r>
      <w:r w:rsidR="00B10614" w:rsidRPr="00942352">
        <w:t>ven</w:t>
      </w:r>
      <w:proofErr w:type="gramEnd"/>
      <w:r w:rsidR="00B10614" w:rsidRPr="00942352">
        <w:t xml:space="preserve"> if there was a relevant transfer, it could not be said that the </w:t>
      </w:r>
      <w:r w:rsidR="001E06AA" w:rsidRPr="00942352">
        <w:t>monies</w:t>
      </w:r>
      <w:r w:rsidR="00B10614" w:rsidRPr="00942352">
        <w:t xml:space="preserve"> transferred out of the Joint Account </w:t>
      </w:r>
      <w:r w:rsidR="000747B3" w:rsidRPr="00942352">
        <w:t>(</w:t>
      </w:r>
      <w:r w:rsidR="00B10614" w:rsidRPr="00942352">
        <w:t>#4777</w:t>
      </w:r>
      <w:r w:rsidR="000747B3" w:rsidRPr="00942352">
        <w:t>)</w:t>
      </w:r>
      <w:r w:rsidR="00B10614" w:rsidRPr="00942352">
        <w:t xml:space="preserve"> by the bankrupt between July and November 2014 would have otherwise been available to the bankrupt’s creditors if it had not been transferred. This is because between November 2014 and his bankruptcy </w:t>
      </w:r>
      <w:r w:rsidR="00153933">
        <w:t>(</w:t>
      </w:r>
      <w:r w:rsidR="00B10614" w:rsidRPr="00942352">
        <w:t>commencing in September 2017</w:t>
      </w:r>
      <w:r w:rsidR="00153933">
        <w:t>)</w:t>
      </w:r>
      <w:r w:rsidR="00B10614" w:rsidRPr="00942352">
        <w:t>, considerable funds were required for the joint household expenses of the bankrupt and the respondent</w:t>
      </w:r>
      <w:r w:rsidR="00D13C01" w:rsidRPr="00942352">
        <w:t>;</w:t>
      </w:r>
      <w:r w:rsidR="00153933">
        <w:t xml:space="preserve"> and</w:t>
      </w:r>
    </w:p>
    <w:p w14:paraId="300DA846" w14:textId="3106BBA5" w:rsidR="00B10614" w:rsidRPr="00942352" w:rsidRDefault="00155C95" w:rsidP="00155C95">
      <w:pPr>
        <w:pStyle w:val="ListNo1alt"/>
        <w:numPr>
          <w:ilvl w:val="0"/>
          <w:numId w:val="0"/>
        </w:numPr>
        <w:tabs>
          <w:tab w:val="left" w:pos="720"/>
        </w:tabs>
        <w:ind w:left="720" w:hanging="720"/>
      </w:pPr>
      <w:r w:rsidRPr="00942352">
        <w:t>(c)</w:t>
      </w:r>
      <w:r w:rsidRPr="00942352">
        <w:tab/>
      </w:r>
      <w:proofErr w:type="gramStart"/>
      <w:r w:rsidR="00D13C01" w:rsidRPr="00942352">
        <w:t>h</w:t>
      </w:r>
      <w:r w:rsidR="00B10614" w:rsidRPr="00942352">
        <w:t>aving</w:t>
      </w:r>
      <w:proofErr w:type="gramEnd"/>
      <w:r w:rsidR="00B10614" w:rsidRPr="00942352">
        <w:t xml:space="preserve"> regard to the use of the Joint Account, there is not sufficient evidence to show that if the funds had remained in that account they would probably have been unspent by September 2017 when the bankrupt became bankrupt.</w:t>
      </w:r>
    </w:p>
    <w:p w14:paraId="338B9A1A" w14:textId="2A58F048" w:rsidR="00F80F5A" w:rsidRPr="00942352" w:rsidRDefault="00155C95" w:rsidP="00155C95">
      <w:pPr>
        <w:pStyle w:val="ParaNumbering"/>
        <w:numPr>
          <w:ilvl w:val="0"/>
          <w:numId w:val="0"/>
        </w:numPr>
        <w:ind w:hanging="720"/>
        <w:rPr>
          <w:bCs/>
        </w:rPr>
      </w:pPr>
      <w:r w:rsidRPr="00942352">
        <w:rPr>
          <w:bCs/>
          <w:sz w:val="20"/>
        </w:rPr>
        <w:t>248</w:t>
      </w:r>
      <w:r w:rsidRPr="00942352">
        <w:rPr>
          <w:bCs/>
          <w:sz w:val="20"/>
        </w:rPr>
        <w:tab/>
      </w:r>
      <w:r w:rsidR="00F80F5A" w:rsidRPr="00942352">
        <w:t xml:space="preserve">The respondent’s submissions appear to </w:t>
      </w:r>
      <w:r w:rsidR="006C6E22" w:rsidRPr="00942352">
        <w:t xml:space="preserve">proceed on an incorrect footing: That if the respondent </w:t>
      </w:r>
      <w:r w:rsidR="00240532" w:rsidRPr="00942352">
        <w:t xml:space="preserve">and/or the bankrupt chose to </w:t>
      </w:r>
      <w:r w:rsidR="006C6E22" w:rsidRPr="00942352">
        <w:t>dissipate the assets</w:t>
      </w:r>
      <w:r w:rsidR="00240532" w:rsidRPr="00942352">
        <w:t xml:space="preserve"> in the period leading up to the bankruptcy</w:t>
      </w:r>
      <w:r w:rsidR="00153933">
        <w:t>,</w:t>
      </w:r>
      <w:r w:rsidR="00240532" w:rsidRPr="00942352">
        <w:t xml:space="preserve"> this was sufficient </w:t>
      </w:r>
      <w:r w:rsidR="00F51906" w:rsidRPr="00942352">
        <w:t xml:space="preserve">to defeat a claim under this provision. No authority was provided by either party to assist me as to the purpose of </w:t>
      </w:r>
      <w:r w:rsidR="00FF78C7" w:rsidRPr="00942352">
        <w:t>s 121 nor particularly why it includes this element. Further</w:t>
      </w:r>
      <w:r w:rsidR="00153933">
        <w:t>,</w:t>
      </w:r>
      <w:r w:rsidR="00FF78C7" w:rsidRPr="00942352">
        <w:t xml:space="preserve"> the respondent relied upon no authority to support </w:t>
      </w:r>
      <w:r w:rsidR="001C3223" w:rsidRPr="00942352">
        <w:t>her</w:t>
      </w:r>
      <w:r w:rsidR="00D47075" w:rsidRPr="00942352">
        <w:t xml:space="preserve"> submissions in the preceding paragraph of these reasons. </w:t>
      </w:r>
      <w:r w:rsidR="00474EF5" w:rsidRPr="00942352">
        <w:t>I do not accept the foundation for the respondent’s submission. It appears that the intent of s 121(1</w:t>
      </w:r>
      <w:proofErr w:type="gramStart"/>
      <w:r w:rsidR="00474EF5" w:rsidRPr="00942352">
        <w:t>)(</w:t>
      </w:r>
      <w:proofErr w:type="gramEnd"/>
      <w:r w:rsidR="00474EF5" w:rsidRPr="00942352">
        <w:t>a) was to provide some fetter on the kinds of circumstances, more complex than here, where there has been a “transfer of property”</w:t>
      </w:r>
      <w:r w:rsidR="00CA207F" w:rsidRPr="00942352">
        <w:t xml:space="preserve">, which as I have identified is very broad in its import. </w:t>
      </w:r>
    </w:p>
    <w:p w14:paraId="60D9BFBD" w14:textId="041EBD83" w:rsidR="0003533C" w:rsidRPr="00942352" w:rsidRDefault="00155C95" w:rsidP="00155C95">
      <w:pPr>
        <w:pStyle w:val="ParaNumbering"/>
        <w:numPr>
          <w:ilvl w:val="0"/>
          <w:numId w:val="0"/>
        </w:numPr>
        <w:ind w:hanging="720"/>
      </w:pPr>
      <w:r w:rsidRPr="00942352">
        <w:rPr>
          <w:sz w:val="20"/>
        </w:rPr>
        <w:t>249</w:t>
      </w:r>
      <w:r w:rsidRPr="00942352">
        <w:rPr>
          <w:sz w:val="20"/>
        </w:rPr>
        <w:tab/>
      </w:r>
      <w:r w:rsidR="009430A9" w:rsidRPr="00942352">
        <w:t xml:space="preserve">Authorities have recognised that the reach of s 121 includes the very circumstances of this case – where the relevant “property” was </w:t>
      </w:r>
      <w:r w:rsidR="0010112A" w:rsidRPr="00942352">
        <w:t>money</w:t>
      </w:r>
      <w:r w:rsidR="008013BD" w:rsidRPr="00942352">
        <w:t xml:space="preserve"> </w:t>
      </w:r>
      <w:r w:rsidR="00166B77" w:rsidRPr="00942352">
        <w:t>transferred on a number of occasions to be applied to the purchase of a residential property</w:t>
      </w:r>
      <w:r w:rsidR="00084B49" w:rsidRPr="00942352">
        <w:t xml:space="preserve">: </w:t>
      </w:r>
      <w:r w:rsidR="00BC3C3E" w:rsidRPr="00153933">
        <w:rPr>
          <w:bCs/>
          <w:i/>
          <w:iCs/>
        </w:rPr>
        <w:t>Mathai</w:t>
      </w:r>
      <w:r w:rsidR="00BC3C3E" w:rsidRPr="00942352">
        <w:rPr>
          <w:b/>
          <w:bCs/>
          <w:i/>
          <w:iCs/>
        </w:rPr>
        <w:t xml:space="preserve"> </w:t>
      </w:r>
      <w:r w:rsidR="001C3223" w:rsidRPr="00942352">
        <w:rPr>
          <w:bCs/>
          <w:i/>
          <w:iCs/>
        </w:rPr>
        <w:t>v Nelson</w:t>
      </w:r>
      <w:r w:rsidR="001C3223" w:rsidRPr="00942352">
        <w:rPr>
          <w:bCs/>
          <w:iCs/>
        </w:rPr>
        <w:t xml:space="preserve"> [2012] FCA 1448; 208 FCR 165 </w:t>
      </w:r>
      <w:r w:rsidR="00804101" w:rsidRPr="00942352">
        <w:rPr>
          <w:bCs/>
        </w:rPr>
        <w:t xml:space="preserve">at [79]. </w:t>
      </w:r>
      <w:r w:rsidR="00097FC3" w:rsidRPr="00942352">
        <w:t>I do not see there to be any reason why s 121 does not apply to “property” in the form of money transferred on a number of occasions</w:t>
      </w:r>
      <w:r w:rsidR="00153933">
        <w:t xml:space="preserve"> for a purchase of a property and</w:t>
      </w:r>
      <w:r w:rsidR="00097FC3" w:rsidRPr="00942352">
        <w:t xml:space="preserve"> the </w:t>
      </w:r>
      <w:r w:rsidR="00862C79" w:rsidRPr="00942352">
        <w:t>servicing</w:t>
      </w:r>
      <w:r w:rsidR="00097FC3" w:rsidRPr="00942352">
        <w:t xml:space="preserve"> of a loan on a mortgage </w:t>
      </w:r>
      <w:r w:rsidR="001571AE" w:rsidRPr="00942352">
        <w:t xml:space="preserve">for which the respondent held beneficial and legal title. </w:t>
      </w:r>
    </w:p>
    <w:p w14:paraId="3BFD9749" w14:textId="3CAAEBA4" w:rsidR="00081628" w:rsidRPr="00942352" w:rsidRDefault="00155C95" w:rsidP="00155C95">
      <w:pPr>
        <w:pStyle w:val="ParaNumbering"/>
        <w:numPr>
          <w:ilvl w:val="0"/>
          <w:numId w:val="0"/>
        </w:numPr>
        <w:ind w:hanging="720"/>
      </w:pPr>
      <w:r w:rsidRPr="00942352">
        <w:rPr>
          <w:sz w:val="20"/>
        </w:rPr>
        <w:lastRenderedPageBreak/>
        <w:t>250</w:t>
      </w:r>
      <w:r w:rsidRPr="00942352">
        <w:rPr>
          <w:sz w:val="20"/>
        </w:rPr>
        <w:tab/>
      </w:r>
      <w:r w:rsidR="00F0351E" w:rsidRPr="00942352">
        <w:t xml:space="preserve">The transfers were </w:t>
      </w:r>
      <w:r w:rsidR="001E7B33" w:rsidRPr="00942352">
        <w:t>used for the</w:t>
      </w:r>
      <w:r w:rsidR="00C660D8" w:rsidRPr="00942352">
        <w:t xml:space="preserve"> </w:t>
      </w:r>
      <w:r w:rsidR="003F5EBF" w:rsidRPr="00942352">
        <w:t>purchas</w:t>
      </w:r>
      <w:r w:rsidR="001E7B33" w:rsidRPr="00942352">
        <w:t>e</w:t>
      </w:r>
      <w:r w:rsidR="003F5EBF" w:rsidRPr="00942352">
        <w:t xml:space="preserve"> </w:t>
      </w:r>
      <w:r w:rsidR="00A06017" w:rsidRPr="00942352">
        <w:t xml:space="preserve">of </w:t>
      </w:r>
      <w:r w:rsidR="003F5EBF" w:rsidRPr="00942352">
        <w:t xml:space="preserve">real property </w:t>
      </w:r>
      <w:r w:rsidR="001E7B33" w:rsidRPr="00942352">
        <w:t>in the respondent’s name</w:t>
      </w:r>
      <w:r w:rsidR="00FB6825" w:rsidRPr="00942352">
        <w:t xml:space="preserve"> and to service an existing loan on the current matrimonial home for which the respondent </w:t>
      </w:r>
      <w:r w:rsidR="00044C29" w:rsidRPr="00942352">
        <w:t xml:space="preserve">held title. </w:t>
      </w:r>
      <w:r w:rsidR="001E7B33" w:rsidRPr="00942352">
        <w:t xml:space="preserve">I do not accept the respondent’s </w:t>
      </w:r>
      <w:r w:rsidR="00153933">
        <w:t>submission</w:t>
      </w:r>
      <w:r w:rsidR="001E7B33" w:rsidRPr="00942352">
        <w:t xml:space="preserve"> </w:t>
      </w:r>
      <w:r w:rsidR="00C97A84" w:rsidRPr="00942352">
        <w:t>that</w:t>
      </w:r>
      <w:r w:rsidR="00153933">
        <w:t xml:space="preserve"> in the circumstances</w:t>
      </w:r>
      <w:r w:rsidR="00C97A84" w:rsidRPr="00942352">
        <w:t xml:space="preserve"> the monies would </w:t>
      </w:r>
      <w:r w:rsidR="00153933" w:rsidRPr="00942352">
        <w:t xml:space="preserve">not </w:t>
      </w:r>
      <w:r w:rsidR="00C97A84" w:rsidRPr="00942352">
        <w:t xml:space="preserve">have </w:t>
      </w:r>
      <w:r w:rsidR="00153933">
        <w:t>or would probably not have been available to creditors</w:t>
      </w:r>
      <w:r w:rsidR="00C97A84" w:rsidRPr="00942352">
        <w:t xml:space="preserve">. </w:t>
      </w:r>
    </w:p>
    <w:p w14:paraId="5B8B3008" w14:textId="77777777" w:rsidR="00B10614" w:rsidRPr="00942352" w:rsidRDefault="00B10614" w:rsidP="00B10614">
      <w:pPr>
        <w:pStyle w:val="Heading4"/>
      </w:pPr>
      <w:bookmarkStart w:id="126" w:name="_Ref127552609"/>
      <w:r w:rsidRPr="00942352">
        <w:t>Can it reasonably be inferred that at the time of transfer the bankrupt was insolvent or about to be?</w:t>
      </w:r>
      <w:bookmarkEnd w:id="126"/>
      <w:r w:rsidRPr="00942352">
        <w:t xml:space="preserve"> </w:t>
      </w:r>
    </w:p>
    <w:p w14:paraId="7973B51F" w14:textId="61134E2D" w:rsidR="00B10614" w:rsidRPr="00942352" w:rsidRDefault="00155C95" w:rsidP="00155C95">
      <w:pPr>
        <w:pStyle w:val="ParaNumbering"/>
        <w:numPr>
          <w:ilvl w:val="0"/>
          <w:numId w:val="0"/>
        </w:numPr>
        <w:ind w:hanging="720"/>
      </w:pPr>
      <w:r w:rsidRPr="00942352">
        <w:rPr>
          <w:sz w:val="20"/>
        </w:rPr>
        <w:t>251</w:t>
      </w:r>
      <w:r w:rsidRPr="00942352">
        <w:rPr>
          <w:sz w:val="20"/>
        </w:rPr>
        <w:tab/>
      </w:r>
      <w:r w:rsidR="00B10614" w:rsidRPr="00942352">
        <w:rPr>
          <w:lang w:eastAsia="en-AU"/>
        </w:rPr>
        <w:t>The trustee submits that s 121(2) only requires that the finding of insolvency “can reasonably be inferred from all the circumstances” – that is a lower standard of proof than requiring the Court to actually find the bankrupt was insolvent, instead only requiring that the inference of insolvency be reasonably open</w:t>
      </w:r>
      <w:r w:rsidR="001D2C45" w:rsidRPr="00942352">
        <w:rPr>
          <w:lang w:eastAsia="en-AU"/>
        </w:rPr>
        <w:t xml:space="preserve">: </w:t>
      </w:r>
      <w:proofErr w:type="spellStart"/>
      <w:r w:rsidR="00C747E9" w:rsidRPr="00942352">
        <w:rPr>
          <w:i/>
          <w:iCs/>
          <w:lang w:eastAsia="en-AU"/>
        </w:rPr>
        <w:t>Permfox</w:t>
      </w:r>
      <w:proofErr w:type="spellEnd"/>
      <w:r w:rsidR="00C747E9" w:rsidRPr="00942352">
        <w:rPr>
          <w:i/>
          <w:iCs/>
          <w:lang w:eastAsia="en-AU"/>
        </w:rPr>
        <w:t xml:space="preserve"> Pty Ltd</w:t>
      </w:r>
      <w:r w:rsidR="0036734A" w:rsidRPr="00942352">
        <w:rPr>
          <w:i/>
          <w:iCs/>
          <w:lang w:eastAsia="en-AU"/>
        </w:rPr>
        <w:t>, in the Matter of Chase</w:t>
      </w:r>
      <w:r w:rsidR="00C747E9" w:rsidRPr="00942352">
        <w:rPr>
          <w:i/>
          <w:iCs/>
          <w:lang w:eastAsia="en-AU"/>
        </w:rPr>
        <w:t xml:space="preserve"> v Official Receiver for Bankruptcy District </w:t>
      </w:r>
      <w:r w:rsidR="009446CD" w:rsidRPr="00942352">
        <w:rPr>
          <w:i/>
          <w:iCs/>
          <w:lang w:eastAsia="en-AU"/>
        </w:rPr>
        <w:t>of New South Wales</w:t>
      </w:r>
      <w:r w:rsidR="00C747E9" w:rsidRPr="00942352">
        <w:rPr>
          <w:i/>
          <w:iCs/>
          <w:lang w:eastAsia="en-AU"/>
        </w:rPr>
        <w:t xml:space="preserve"> </w:t>
      </w:r>
      <w:r w:rsidR="000F0C8D" w:rsidRPr="00942352">
        <w:rPr>
          <w:lang w:eastAsia="en-AU"/>
        </w:rPr>
        <w:t>[2002] FCA 1564 at [94] (</w:t>
      </w:r>
      <w:r w:rsidR="003743D9" w:rsidRPr="00942352">
        <w:rPr>
          <w:lang w:eastAsia="en-AU"/>
        </w:rPr>
        <w:t xml:space="preserve">per </w:t>
      </w:r>
      <w:r w:rsidR="000F0C8D" w:rsidRPr="00942352">
        <w:rPr>
          <w:lang w:eastAsia="en-AU"/>
        </w:rPr>
        <w:t>Allsop J</w:t>
      </w:r>
      <w:r w:rsidR="003743D9" w:rsidRPr="00942352">
        <w:rPr>
          <w:lang w:eastAsia="en-AU"/>
        </w:rPr>
        <w:t xml:space="preserve"> (as his Honour then was)</w:t>
      </w:r>
      <w:r w:rsidR="00BF5FDD" w:rsidRPr="00942352">
        <w:rPr>
          <w:lang w:eastAsia="en-AU"/>
        </w:rPr>
        <w:t xml:space="preserve">). As the Full Court explained in </w:t>
      </w:r>
      <w:r w:rsidR="00804101" w:rsidRPr="00942352">
        <w:rPr>
          <w:i/>
        </w:rPr>
        <w:t>Re Jury</w:t>
      </w:r>
      <w:r w:rsidR="00BC12B0" w:rsidRPr="00942352">
        <w:rPr>
          <w:b/>
          <w:bCs/>
          <w:i/>
          <w:iCs/>
          <w:lang w:eastAsia="en-AU"/>
        </w:rPr>
        <w:t xml:space="preserve"> </w:t>
      </w:r>
      <w:r w:rsidR="00BC12B0" w:rsidRPr="00942352">
        <w:rPr>
          <w:lang w:eastAsia="en-AU"/>
        </w:rPr>
        <w:t>at [</w:t>
      </w:r>
      <w:r w:rsidR="00E41CEF" w:rsidRPr="00942352">
        <w:rPr>
          <w:lang w:eastAsia="en-AU"/>
        </w:rPr>
        <w:t>55]:</w:t>
      </w:r>
    </w:p>
    <w:p w14:paraId="1D862A7F" w14:textId="0F855D74" w:rsidR="00804101" w:rsidRPr="00942352" w:rsidRDefault="00804101" w:rsidP="00804101">
      <w:pPr>
        <w:pStyle w:val="Quote1"/>
      </w:pPr>
      <w:r w:rsidRPr="00942352">
        <w:t>In our view the phrase in s 121(2), “if it can reasonably be inferred from all the circumstances that … the transferor was … insolvent”, is not synonymous with “if the transferor was insolvent”. The statutory provision, as a matter of ordinary language, leaves open the possibility that it may also reasonably be inferred that the transferor was solvent. In other words, it is sufficient if the inference of insolvency is reasonably open. An analogy is the leaving of a case to a civil jury. If it can reasonably be inferred from all the circumstances that the defendant was negligent, or that the publication complained of was defamatory of the plaintiff, then the matter must go to a jury. Nevertheless the jury is not required to draw the relevant inference, and may not do so.</w:t>
      </w:r>
    </w:p>
    <w:p w14:paraId="52A86FE6" w14:textId="057B2A52" w:rsidR="008D2434" w:rsidRPr="00942352" w:rsidRDefault="00155C95" w:rsidP="00155C95">
      <w:pPr>
        <w:pStyle w:val="ParaNumbering"/>
        <w:numPr>
          <w:ilvl w:val="0"/>
          <w:numId w:val="0"/>
        </w:numPr>
        <w:ind w:hanging="720"/>
      </w:pPr>
      <w:r w:rsidRPr="00942352">
        <w:rPr>
          <w:sz w:val="20"/>
        </w:rPr>
        <w:t>252</w:t>
      </w:r>
      <w:r w:rsidRPr="00942352">
        <w:rPr>
          <w:sz w:val="20"/>
        </w:rPr>
        <w:tab/>
      </w:r>
      <w:r w:rsidR="008D2434" w:rsidRPr="00942352">
        <w:t xml:space="preserve">As identified by </w:t>
      </w:r>
      <w:proofErr w:type="spellStart"/>
      <w:r w:rsidR="008D2434" w:rsidRPr="00942352">
        <w:t>Katzmann</w:t>
      </w:r>
      <w:proofErr w:type="spellEnd"/>
      <w:r w:rsidR="008D2434" w:rsidRPr="00942352">
        <w:t xml:space="preserve"> J in </w:t>
      </w:r>
      <w:r w:rsidR="00804101" w:rsidRPr="00942352">
        <w:rPr>
          <w:b/>
          <w:i/>
          <w:iCs/>
        </w:rPr>
        <w:t>Lo Pilato</w:t>
      </w:r>
      <w:r w:rsidR="00804101" w:rsidRPr="00942352">
        <w:rPr>
          <w:i/>
          <w:iCs/>
        </w:rPr>
        <w:t xml:space="preserve"> v </w:t>
      </w:r>
      <w:proofErr w:type="spellStart"/>
      <w:r w:rsidR="00804101" w:rsidRPr="00942352">
        <w:rPr>
          <w:i/>
          <w:iCs/>
        </w:rPr>
        <w:t>Kamy</w:t>
      </w:r>
      <w:proofErr w:type="spellEnd"/>
      <w:r w:rsidR="00804101" w:rsidRPr="00942352">
        <w:rPr>
          <w:i/>
          <w:iCs/>
        </w:rPr>
        <w:t xml:space="preserve"> </w:t>
      </w:r>
      <w:proofErr w:type="spellStart"/>
      <w:r w:rsidR="00804101" w:rsidRPr="00942352">
        <w:rPr>
          <w:i/>
          <w:iCs/>
        </w:rPr>
        <w:t>Saeedi</w:t>
      </w:r>
      <w:proofErr w:type="spellEnd"/>
      <w:r w:rsidR="00804101" w:rsidRPr="00942352">
        <w:rPr>
          <w:i/>
          <w:iCs/>
        </w:rPr>
        <w:t xml:space="preserve"> Lawyers Pty Ltd</w:t>
      </w:r>
      <w:r w:rsidR="00804101" w:rsidRPr="00942352">
        <w:rPr>
          <w:iCs/>
        </w:rPr>
        <w:t xml:space="preserve"> [2017] FCA 34; 249 FCR 69</w:t>
      </w:r>
      <w:r w:rsidR="00804101" w:rsidRPr="00942352">
        <w:rPr>
          <w:i/>
          <w:iCs/>
        </w:rPr>
        <w:t xml:space="preserve"> </w:t>
      </w:r>
      <w:r w:rsidR="00D74042" w:rsidRPr="00942352">
        <w:rPr>
          <w:bCs/>
        </w:rPr>
        <w:t>at [163],</w:t>
      </w:r>
      <w:r w:rsidR="00D74042" w:rsidRPr="00942352">
        <w:rPr>
          <w:b/>
          <w:bCs/>
        </w:rPr>
        <w:t xml:space="preserve"> </w:t>
      </w:r>
      <w:r w:rsidR="00346C98" w:rsidRPr="00942352">
        <w:t>the concepts of “solvency” and “insolvency” can be described in the following way:</w:t>
      </w:r>
    </w:p>
    <w:p w14:paraId="318A9217" w14:textId="0C473057" w:rsidR="00804101" w:rsidRPr="00942352" w:rsidRDefault="00804101" w:rsidP="00804101">
      <w:pPr>
        <w:pStyle w:val="Quote1"/>
        <w:ind w:left="1440" w:hanging="703"/>
      </w:pPr>
      <w:r w:rsidRPr="00942352">
        <w:t xml:space="preserve">163. </w:t>
      </w:r>
      <w:r w:rsidRPr="00942352">
        <w:tab/>
        <w:t xml:space="preserve">A person is solvent only if the person is able to pay all his or her debts when they become due and payable; if not, the person is insolvent: </w:t>
      </w:r>
      <w:r w:rsidRPr="00942352">
        <w:rPr>
          <w:i/>
        </w:rPr>
        <w:t>Bankruptcy Act</w:t>
      </w:r>
      <w:r w:rsidRPr="00942352">
        <w:t xml:space="preserve">, s 5(2) and (3). A person is not insolvent, however, merely for want of immediate access to cash to pay off the debts. Speaking of the position under the </w:t>
      </w:r>
      <w:r w:rsidRPr="00942352">
        <w:rPr>
          <w:i/>
        </w:rPr>
        <w:t>Bankruptcy Act 1924-1950</w:t>
      </w:r>
      <w:r w:rsidRPr="00942352">
        <w:t xml:space="preserve"> (</w:t>
      </w:r>
      <w:proofErr w:type="spellStart"/>
      <w:r w:rsidRPr="00942352">
        <w:t>Cth</w:t>
      </w:r>
      <w:proofErr w:type="spellEnd"/>
      <w:r w:rsidRPr="00942352">
        <w:t xml:space="preserve">) (the predecessor of s 120 of the current Act) (the 1924 Act), Barwick CJ explained in </w:t>
      </w:r>
      <w:proofErr w:type="spellStart"/>
      <w:r w:rsidRPr="00942352">
        <w:rPr>
          <w:i/>
        </w:rPr>
        <w:t>Sandell</w:t>
      </w:r>
      <w:proofErr w:type="spellEnd"/>
      <w:r w:rsidRPr="00942352">
        <w:rPr>
          <w:i/>
        </w:rPr>
        <w:t xml:space="preserve"> v Porter</w:t>
      </w:r>
      <w:r w:rsidRPr="00942352">
        <w:t xml:space="preserve"> (1966) 115 CLR 666 at 670:</w:t>
      </w:r>
    </w:p>
    <w:p w14:paraId="2C133CA5" w14:textId="1926C116" w:rsidR="00804101" w:rsidRPr="00942352" w:rsidRDefault="00804101" w:rsidP="00804101">
      <w:pPr>
        <w:pStyle w:val="Quote2"/>
        <w:ind w:left="2160"/>
      </w:pPr>
      <w:r w:rsidRPr="00942352">
        <w:t xml:space="preserve">Insolvency is expressed in s. 95 as an inability to pay debts as </w:t>
      </w:r>
      <w:r w:rsidR="00E82CBF" w:rsidRPr="00942352">
        <w:t>they fall due out of the debtor’s own money. But the debtor’</w:t>
      </w:r>
      <w:r w:rsidRPr="00942352">
        <w:t>s own moneys are not limited to his cash resources immediately available. They extend to moneys which he can procure by realization by sale or by mortgage or pledge of his assets within a relatively short time — relative to the nature and amount of the debts and to the circumstances, including the nature of the business, of the debtor.</w:t>
      </w:r>
    </w:p>
    <w:p w14:paraId="790A59EF" w14:textId="7B274AE8" w:rsidR="00804101" w:rsidRPr="00942352" w:rsidRDefault="00804101" w:rsidP="00804101">
      <w:pPr>
        <w:pStyle w:val="Quote2"/>
        <w:ind w:left="2160"/>
      </w:pPr>
      <w:r w:rsidRPr="00942352">
        <w:t>The conclusion of insolvency ought to be clear from a consideration of the</w:t>
      </w:r>
      <w:r w:rsidR="00E82CBF" w:rsidRPr="00942352">
        <w:t xml:space="preserve"> debtor’</w:t>
      </w:r>
      <w:r w:rsidRPr="00942352">
        <w:t>s financial position in its entirety and generally speaking ought not to be drawn simply from evidence of a temporary lack</w:t>
      </w:r>
      <w:r w:rsidR="00E82CBF" w:rsidRPr="00942352">
        <w:t xml:space="preserve"> of </w:t>
      </w:r>
      <w:r w:rsidR="00E82CBF" w:rsidRPr="00942352">
        <w:lastRenderedPageBreak/>
        <w:t>liquidity. It is the debtor’</w:t>
      </w:r>
      <w:r w:rsidRPr="00942352">
        <w:t>s inability, utilizing such cash resources as he has or can command through the use of his assets, to meet his debts as they fall due which indicates insolvency.</w:t>
      </w:r>
    </w:p>
    <w:p w14:paraId="4C74256F" w14:textId="6E4EABDC" w:rsidR="00804101" w:rsidRPr="00942352" w:rsidRDefault="00804101" w:rsidP="00804101">
      <w:pPr>
        <w:pStyle w:val="Quote1"/>
        <w:ind w:left="1440" w:hanging="703"/>
      </w:pPr>
      <w:r w:rsidRPr="00942352">
        <w:t xml:space="preserve">164. </w:t>
      </w:r>
      <w:r w:rsidRPr="00942352">
        <w:tab/>
        <w:t xml:space="preserve">If anything, the omission of the words “from his own money” from the definition of solvency in the current Act reinforces this position. It is also consistent with the position under the </w:t>
      </w:r>
      <w:r w:rsidRPr="00942352">
        <w:rPr>
          <w:i/>
        </w:rPr>
        <w:t>Corporations Act 2001</w:t>
      </w:r>
      <w:r w:rsidRPr="00942352">
        <w:t xml:space="preserve"> (</w:t>
      </w:r>
      <w:proofErr w:type="spellStart"/>
      <w:r w:rsidRPr="00942352">
        <w:t>Cth</w:t>
      </w:r>
      <w:proofErr w:type="spellEnd"/>
      <w:r w:rsidRPr="00942352">
        <w:t xml:space="preserve">) where the definitions of solvency and insolvency are the same and underwent the same amendment (see s 95A). In </w:t>
      </w:r>
      <w:r w:rsidRPr="00942352">
        <w:rPr>
          <w:i/>
        </w:rPr>
        <w:t>Lewis v Doran</w:t>
      </w:r>
      <w:r w:rsidRPr="00942352">
        <w:t xml:space="preserve"> (2004) 184 FLR 454 at [116], which was approved on appeal, Palmer J held that:</w:t>
      </w:r>
    </w:p>
    <w:p w14:paraId="1ECCEAB1" w14:textId="324A2E51" w:rsidR="00804101" w:rsidRPr="00942352" w:rsidRDefault="00804101" w:rsidP="00804101">
      <w:pPr>
        <w:pStyle w:val="Quote2"/>
        <w:ind w:left="2160"/>
      </w:pPr>
      <w:r w:rsidRPr="00942352">
        <w:t>[Section] 95A requires the court to decide whether the company is able, as at the alleged date of insolvency, to pay all its debts as they become payable by reference to the commercial realities. If the court is satisfied that as a matter of commercial reality the company has a resource available to pay all its debts as they become payable then it will not matter that the resource is an unsecured borrowing or a voluntary extension of credit by another party.</w:t>
      </w:r>
    </w:p>
    <w:p w14:paraId="5D151E75" w14:textId="32E67A11" w:rsidR="00804101" w:rsidRPr="00942352" w:rsidRDefault="00804101" w:rsidP="00804101">
      <w:pPr>
        <w:pStyle w:val="Quote1"/>
        <w:ind w:left="1440" w:hanging="703"/>
      </w:pPr>
      <w:r w:rsidRPr="00942352">
        <w:t xml:space="preserve">165. </w:t>
      </w:r>
      <w:r w:rsidRPr="00942352">
        <w:tab/>
        <w:t>On appeal (</w:t>
      </w:r>
      <w:r w:rsidRPr="00942352">
        <w:rPr>
          <w:i/>
        </w:rPr>
        <w:t>Lewis v Doran</w:t>
      </w:r>
      <w:r w:rsidRPr="00942352">
        <w:t xml:space="preserve"> (2005) 219 ALR 555), Giles JA (with whom Hodgson and McColl JJA agreed) said at [109]:</w:t>
      </w:r>
    </w:p>
    <w:p w14:paraId="7D0607F8" w14:textId="70001029" w:rsidR="00804101" w:rsidRPr="00942352" w:rsidRDefault="00804101" w:rsidP="00804101">
      <w:pPr>
        <w:pStyle w:val="Quote2"/>
        <w:ind w:left="2160"/>
      </w:pPr>
      <w:r w:rsidRPr="00942352">
        <w:t xml:space="preserve">Particularly when the limiting words are no longer part of the test, there is no compelling reason to exclude from consideration funds which can be gained from borrowings secured on assets of third parties, or even unsecured borrowings. If the company can borrow without security, it will have funds to pay its debts as they fall due and will be solvent, provided of course that the borrowing is on deferred payment terms or otherwise such that the lender itself is not a creditor whose debt cannot be repaid as and when it becomes due and payable. It comes down to a question of fact, in which the key concept is </w:t>
      </w:r>
      <w:r w:rsidRPr="00942352">
        <w:rPr>
          <w:i/>
        </w:rPr>
        <w:t>ability</w:t>
      </w:r>
      <w:r w:rsidR="00E82CBF" w:rsidRPr="00942352">
        <w:t xml:space="preserve"> to pay the company’</w:t>
      </w:r>
      <w:r w:rsidRPr="00942352">
        <w:t>s debts as and wh</w:t>
      </w:r>
      <w:r w:rsidR="00790656" w:rsidRPr="00942352">
        <w:t>en they become due and payable.</w:t>
      </w:r>
    </w:p>
    <w:p w14:paraId="089210D0" w14:textId="35E3BE3D" w:rsidR="00804101" w:rsidRPr="00942352" w:rsidRDefault="00804101" w:rsidP="00804101">
      <w:pPr>
        <w:pStyle w:val="Quote2"/>
        <w:ind w:left="2160"/>
      </w:pPr>
      <w:r w:rsidRPr="00942352">
        <w:t>(Original emphasis.)</w:t>
      </w:r>
    </w:p>
    <w:p w14:paraId="44332D19" w14:textId="2E1CC968" w:rsidR="00346C98" w:rsidRPr="00942352" w:rsidRDefault="00804101" w:rsidP="00804101">
      <w:pPr>
        <w:pStyle w:val="Quote1"/>
        <w:ind w:left="1440" w:hanging="703"/>
      </w:pPr>
      <w:r w:rsidRPr="00942352">
        <w:t xml:space="preserve">166. </w:t>
      </w:r>
      <w:r w:rsidRPr="00942352">
        <w:tab/>
        <w:t xml:space="preserve">This approach has been applied to the assessment of solvency and insolvency under the </w:t>
      </w:r>
      <w:r w:rsidRPr="00942352">
        <w:rPr>
          <w:i/>
        </w:rPr>
        <w:t>Bankruptcy Act</w:t>
      </w:r>
      <w:r w:rsidRPr="00942352">
        <w:t xml:space="preserve"> (</w:t>
      </w:r>
      <w:r w:rsidRPr="00942352">
        <w:rPr>
          <w:i/>
        </w:rPr>
        <w:t>Whitton v Regis Towers Real Estate Pty Ltd</w:t>
      </w:r>
      <w:r w:rsidRPr="00942352">
        <w:t xml:space="preserve"> (2007) 161 FCR 20 at [35]-[38] per Buchanan J; Marshall and Tracey JJ agreeing at [1]). As the statutory definition in the </w:t>
      </w:r>
      <w:r w:rsidRPr="00942352">
        <w:rPr>
          <w:i/>
        </w:rPr>
        <w:t>Corporations Act</w:t>
      </w:r>
      <w:r w:rsidRPr="00942352">
        <w:t xml:space="preserve"> is the same, there is no reason in principle why the approach should be any different.</w:t>
      </w:r>
    </w:p>
    <w:p w14:paraId="66F859A6" w14:textId="2EBC3648" w:rsidR="00B10614" w:rsidRPr="00942352" w:rsidRDefault="00155C95" w:rsidP="00155C95">
      <w:pPr>
        <w:pStyle w:val="ParaNumbering"/>
        <w:numPr>
          <w:ilvl w:val="0"/>
          <w:numId w:val="0"/>
        </w:numPr>
        <w:ind w:hanging="720"/>
      </w:pPr>
      <w:bookmarkStart w:id="127" w:name="_Ref127783027"/>
      <w:r w:rsidRPr="00942352">
        <w:rPr>
          <w:sz w:val="20"/>
        </w:rPr>
        <w:t>253</w:t>
      </w:r>
      <w:r w:rsidRPr="00942352">
        <w:rPr>
          <w:sz w:val="20"/>
        </w:rPr>
        <w:tab/>
      </w:r>
      <w:r w:rsidR="0073528D" w:rsidRPr="00942352">
        <w:t xml:space="preserve">I accept the trustee’s submission </w:t>
      </w:r>
      <w:r w:rsidR="00BA49B0" w:rsidRPr="00942352">
        <w:t xml:space="preserve">(and about which the respondent took no issue) </w:t>
      </w:r>
      <w:r w:rsidR="0073528D" w:rsidRPr="00942352">
        <w:t xml:space="preserve">that </w:t>
      </w:r>
      <w:r w:rsidR="001E06AA" w:rsidRPr="00942352">
        <w:t>s</w:t>
      </w:r>
      <w:r w:rsidR="00B10614" w:rsidRPr="00942352">
        <w:t xml:space="preserve"> 121(2) is satisfied by reason of:</w:t>
      </w:r>
      <w:bookmarkEnd w:id="127"/>
      <w:r w:rsidR="00B10614" w:rsidRPr="00942352">
        <w:t xml:space="preserve"> </w:t>
      </w:r>
    </w:p>
    <w:p w14:paraId="60942B04" w14:textId="2D0833E9" w:rsidR="00B10614" w:rsidRPr="00942352" w:rsidRDefault="00155C95" w:rsidP="00155C95">
      <w:pPr>
        <w:pStyle w:val="ListNo1alt"/>
        <w:numPr>
          <w:ilvl w:val="0"/>
          <w:numId w:val="0"/>
        </w:numPr>
        <w:tabs>
          <w:tab w:val="left" w:pos="720"/>
        </w:tabs>
        <w:ind w:left="720" w:hanging="720"/>
      </w:pPr>
      <w:r w:rsidRPr="00942352">
        <w:t>(a)</w:t>
      </w:r>
      <w:r w:rsidRPr="00942352">
        <w:tab/>
      </w:r>
      <w:r w:rsidR="00B10614" w:rsidRPr="00942352">
        <w:t xml:space="preserve">the bankrupt’s admission </w:t>
      </w:r>
      <w:r w:rsidR="00C2055A" w:rsidRPr="00942352">
        <w:t xml:space="preserve">under examination that it was “probably the case” that after the sale of the Boyce Road and Anzac Parade properties </w:t>
      </w:r>
      <w:r w:rsidR="00A72CFE" w:rsidRPr="00942352">
        <w:t xml:space="preserve">that </w:t>
      </w:r>
      <w:r w:rsidR="00B10614" w:rsidRPr="00942352">
        <w:t>he had no significant financial assets in his name;</w:t>
      </w:r>
    </w:p>
    <w:p w14:paraId="2F432001" w14:textId="4B9EFACC" w:rsidR="00B10614" w:rsidRPr="00942352" w:rsidRDefault="00155C95" w:rsidP="00155C95">
      <w:pPr>
        <w:pStyle w:val="ListNo1alt"/>
        <w:numPr>
          <w:ilvl w:val="0"/>
          <w:numId w:val="0"/>
        </w:numPr>
        <w:tabs>
          <w:tab w:val="left" w:pos="720"/>
        </w:tabs>
        <w:ind w:left="720" w:hanging="720"/>
      </w:pPr>
      <w:bookmarkStart w:id="128" w:name="_Ref127783007"/>
      <w:r w:rsidRPr="00942352">
        <w:t>(b)</w:t>
      </w:r>
      <w:r w:rsidRPr="00942352">
        <w:tab/>
      </w:r>
      <w:r w:rsidR="00B10614" w:rsidRPr="00942352">
        <w:t xml:space="preserve">under cross-examination, when taken to his statutory declaration sworn in July 2015, by which he attested to his inability to pay the Bendigo Debt, </w:t>
      </w:r>
      <w:r w:rsidR="001E06AA" w:rsidRPr="00942352">
        <w:t>the bankrupt</w:t>
      </w:r>
      <w:r w:rsidR="00B10614" w:rsidRPr="00942352">
        <w:t xml:space="preserve"> accepted that </w:t>
      </w:r>
      <w:r w:rsidR="00A72CFE" w:rsidRPr="00942352">
        <w:t>he would have been in a no better</w:t>
      </w:r>
      <w:r w:rsidR="00B10614" w:rsidRPr="00942352">
        <w:t xml:space="preserve"> position if that demand had been made in December 2014 </w:t>
      </w:r>
      <w:r w:rsidR="00A72CFE" w:rsidRPr="00942352">
        <w:t xml:space="preserve">(than in July 2015) </w:t>
      </w:r>
      <w:r w:rsidR="00B10614" w:rsidRPr="00942352">
        <w:t xml:space="preserve">or even the day after the North Balgowlah </w:t>
      </w:r>
      <w:r w:rsidR="00AC3253" w:rsidRPr="00942352">
        <w:t>property</w:t>
      </w:r>
      <w:r w:rsidR="00B10614" w:rsidRPr="00942352">
        <w:t xml:space="preserve"> </w:t>
      </w:r>
      <w:r w:rsidR="00B10614" w:rsidRPr="00942352">
        <w:lastRenderedPageBreak/>
        <w:t>purchase went through</w:t>
      </w:r>
      <w:r w:rsidR="0073528D" w:rsidRPr="00942352">
        <w:t>. Therefore, it can be inferred by this that the bankrupt accepted he was not able to pay the Bendigo Debt the day after the North Balgowlah property was purchased</w:t>
      </w:r>
      <w:r w:rsidR="00B10614" w:rsidRPr="00942352">
        <w:t xml:space="preserve">; </w:t>
      </w:r>
      <w:bookmarkEnd w:id="128"/>
      <w:r w:rsidR="0073528D" w:rsidRPr="00942352">
        <w:t>and</w:t>
      </w:r>
    </w:p>
    <w:p w14:paraId="3D2FA140" w14:textId="19898423" w:rsidR="00B10614" w:rsidRPr="00942352" w:rsidRDefault="00155C95" w:rsidP="00155C95">
      <w:pPr>
        <w:pStyle w:val="ListNo1alt"/>
        <w:numPr>
          <w:ilvl w:val="0"/>
          <w:numId w:val="0"/>
        </w:numPr>
        <w:tabs>
          <w:tab w:val="left" w:pos="720"/>
        </w:tabs>
        <w:ind w:left="720" w:hanging="720"/>
      </w:pPr>
      <w:r w:rsidRPr="00942352">
        <w:t>(c)</w:t>
      </w:r>
      <w:r w:rsidRPr="00942352">
        <w:tab/>
      </w:r>
      <w:proofErr w:type="gramStart"/>
      <w:r w:rsidR="00B10614" w:rsidRPr="00942352">
        <w:t>the</w:t>
      </w:r>
      <w:proofErr w:type="gramEnd"/>
      <w:r w:rsidR="00B10614" w:rsidRPr="00942352">
        <w:t xml:space="preserve"> bankrupt accepted that, by way of the transfers giving rise to these proceedings, he divested himself of his remaining assets and left himself entirely unable to pay a long-standing debt that he no longer had any realistic prospect of evading (that being the case, regardless of what the ban</w:t>
      </w:r>
      <w:r w:rsidR="00D13C01" w:rsidRPr="00942352">
        <w:t>krupt subjectively appreciated).</w:t>
      </w:r>
    </w:p>
    <w:p w14:paraId="6749FAC0" w14:textId="68261F3E" w:rsidR="00B10614" w:rsidRPr="00942352" w:rsidRDefault="00155C95" w:rsidP="00155C95">
      <w:pPr>
        <w:pStyle w:val="ParaNumbering"/>
        <w:numPr>
          <w:ilvl w:val="0"/>
          <w:numId w:val="0"/>
        </w:numPr>
        <w:ind w:hanging="720"/>
      </w:pPr>
      <w:r w:rsidRPr="00942352">
        <w:rPr>
          <w:sz w:val="20"/>
        </w:rPr>
        <w:t>254</w:t>
      </w:r>
      <w:r w:rsidRPr="00942352">
        <w:rPr>
          <w:sz w:val="20"/>
        </w:rPr>
        <w:tab/>
      </w:r>
      <w:r w:rsidR="00B10614" w:rsidRPr="00942352">
        <w:t xml:space="preserve">Accordingly, I am </w:t>
      </w:r>
      <w:r w:rsidR="001E06AA" w:rsidRPr="00942352">
        <w:t>of the view that it can be reasonably inferred</w:t>
      </w:r>
      <w:r w:rsidR="00B10614" w:rsidRPr="00942352">
        <w:t xml:space="preserve"> that the bankrupt was insolvent or about to be insolvent at the time of the relevant</w:t>
      </w:r>
      <w:r w:rsidR="000F0C69" w:rsidRPr="00942352">
        <w:t xml:space="preserve"> transfers</w:t>
      </w:r>
      <w:r w:rsidR="00B10614" w:rsidRPr="00942352">
        <w:t>.</w:t>
      </w:r>
    </w:p>
    <w:p w14:paraId="7EC6FF6B" w14:textId="2942B2EB" w:rsidR="000207B5" w:rsidRPr="00942352" w:rsidRDefault="0060048A" w:rsidP="000207B5">
      <w:pPr>
        <w:pStyle w:val="Heading4"/>
      </w:pPr>
      <w:bookmarkStart w:id="129" w:name="_Ref127552610"/>
      <w:bookmarkStart w:id="130" w:name="_Ref129010209"/>
      <w:r w:rsidRPr="00942352">
        <w:t>Whether there was</w:t>
      </w:r>
      <w:r w:rsidR="000207B5" w:rsidRPr="00942352">
        <w:t xml:space="preserve"> consideration </w:t>
      </w:r>
      <w:r w:rsidRPr="00942352">
        <w:t>for</w:t>
      </w:r>
      <w:r w:rsidR="000207B5" w:rsidRPr="00942352">
        <w:t xml:space="preserve"> the transfer</w:t>
      </w:r>
      <w:bookmarkEnd w:id="129"/>
      <w:r w:rsidRPr="00942352">
        <w:t>s</w:t>
      </w:r>
      <w:bookmarkEnd w:id="130"/>
      <w:r w:rsidR="000207B5" w:rsidRPr="00942352">
        <w:t xml:space="preserve"> </w:t>
      </w:r>
    </w:p>
    <w:p w14:paraId="7725E13C" w14:textId="366552CC" w:rsidR="000207B5" w:rsidRPr="00942352" w:rsidRDefault="00155C95" w:rsidP="00155C95">
      <w:pPr>
        <w:pStyle w:val="ParaNumbering"/>
        <w:numPr>
          <w:ilvl w:val="0"/>
          <w:numId w:val="0"/>
        </w:numPr>
        <w:ind w:hanging="720"/>
      </w:pPr>
      <w:r w:rsidRPr="00942352">
        <w:rPr>
          <w:sz w:val="20"/>
        </w:rPr>
        <w:t>255</w:t>
      </w:r>
      <w:r w:rsidRPr="00942352">
        <w:rPr>
          <w:sz w:val="20"/>
        </w:rPr>
        <w:tab/>
      </w:r>
      <w:r w:rsidR="000207B5" w:rsidRPr="00942352">
        <w:t xml:space="preserve">The </w:t>
      </w:r>
      <w:r w:rsidR="0072486F" w:rsidRPr="00942352">
        <w:t>trustee</w:t>
      </w:r>
      <w:r w:rsidR="000207B5" w:rsidRPr="00942352">
        <w:t xml:space="preserve"> submits</w:t>
      </w:r>
      <w:r w:rsidR="002E17C1" w:rsidRPr="00942352">
        <w:t>, and I accept,</w:t>
      </w:r>
      <w:r w:rsidR="000207B5" w:rsidRPr="00942352">
        <w:t xml:space="preserve"> that under s 121, unlike s 120, he does not bear the onus of </w:t>
      </w:r>
      <w:r w:rsidR="002E17C1" w:rsidRPr="00942352">
        <w:t>proving there was no consideration</w:t>
      </w:r>
      <w:r w:rsidR="0060048A" w:rsidRPr="00942352">
        <w:t xml:space="preserve">. As to whether there has been consideration by the transferee under s 121(4), must be established by the transferee: </w:t>
      </w:r>
      <w:r w:rsidR="0060048A" w:rsidRPr="00942352">
        <w:rPr>
          <w:i/>
        </w:rPr>
        <w:t xml:space="preserve">Re Jury </w:t>
      </w:r>
      <w:r w:rsidR="0060048A" w:rsidRPr="00942352">
        <w:t>at [67].</w:t>
      </w:r>
      <w:r w:rsidR="000207B5" w:rsidRPr="00942352">
        <w:t xml:space="preserve"> </w:t>
      </w:r>
      <w:r w:rsidR="0060048A" w:rsidRPr="00942352">
        <w:t xml:space="preserve">For the reasons set out below with respect to s 120, I do not accept that the respondent </w:t>
      </w:r>
      <w:r w:rsidR="00D00128" w:rsidRPr="00942352">
        <w:t>g</w:t>
      </w:r>
      <w:r w:rsidR="0060048A" w:rsidRPr="00942352">
        <w:t>ave consideration for the transfers.</w:t>
      </w:r>
    </w:p>
    <w:p w14:paraId="500F7C2B" w14:textId="77777777" w:rsidR="00B10614" w:rsidRPr="00942352" w:rsidRDefault="00B10614" w:rsidP="00B10614">
      <w:pPr>
        <w:pStyle w:val="Heading4"/>
      </w:pPr>
      <w:bookmarkStart w:id="131" w:name="_Ref127552611"/>
      <w:r w:rsidRPr="00942352">
        <w:t>The bankrupt’s main purpose</w:t>
      </w:r>
      <w:bookmarkEnd w:id="131"/>
      <w:r w:rsidRPr="00942352">
        <w:t xml:space="preserve"> </w:t>
      </w:r>
    </w:p>
    <w:p w14:paraId="71BEB34C" w14:textId="24A3AE60" w:rsidR="00B10614" w:rsidRPr="00942352" w:rsidRDefault="00155C95" w:rsidP="00155C95">
      <w:pPr>
        <w:pStyle w:val="ParaNumbering"/>
        <w:numPr>
          <w:ilvl w:val="0"/>
          <w:numId w:val="0"/>
        </w:numPr>
        <w:ind w:hanging="720"/>
      </w:pPr>
      <w:r w:rsidRPr="00942352">
        <w:rPr>
          <w:sz w:val="20"/>
        </w:rPr>
        <w:t>256</w:t>
      </w:r>
      <w:r w:rsidRPr="00942352">
        <w:rPr>
          <w:sz w:val="20"/>
        </w:rPr>
        <w:tab/>
      </w:r>
      <w:r w:rsidR="00B10614" w:rsidRPr="00942352">
        <w:t xml:space="preserve">For the reasons set out </w:t>
      </w:r>
      <w:r w:rsidR="001E06AA" w:rsidRPr="00942352">
        <w:t>above</w:t>
      </w:r>
      <w:r w:rsidR="00B10614" w:rsidRPr="00942352">
        <w:t>, I am of the view that the trustee has satisfied the Co</w:t>
      </w:r>
      <w:r w:rsidR="00005F25" w:rsidRPr="00942352">
        <w:t>urt o</w:t>
      </w:r>
      <w:r w:rsidR="00B10614" w:rsidRPr="00942352">
        <w:t xml:space="preserve">f the requirements of </w:t>
      </w:r>
      <w:r w:rsidR="00005F25" w:rsidRPr="00942352">
        <w:t xml:space="preserve">s </w:t>
      </w:r>
      <w:r w:rsidR="00B10614" w:rsidRPr="00942352">
        <w:t>121(2) and therefore I do not need to make any findings as to t</w:t>
      </w:r>
      <w:r w:rsidR="00BA1E94" w:rsidRPr="00942352">
        <w:t>he applicability of s 121(1</w:t>
      </w:r>
      <w:proofErr w:type="gramStart"/>
      <w:r w:rsidR="00BA1E94" w:rsidRPr="00942352">
        <w:t>)(</w:t>
      </w:r>
      <w:proofErr w:type="gramEnd"/>
      <w:r w:rsidR="00BA1E94" w:rsidRPr="00942352">
        <w:t>b)</w:t>
      </w:r>
      <w:r w:rsidR="00D73FAE" w:rsidRPr="00942352">
        <w:t xml:space="preserve">. </w:t>
      </w:r>
      <w:r w:rsidR="001E06AA" w:rsidRPr="00942352">
        <w:t>However, for completeness if it w</w:t>
      </w:r>
      <w:r w:rsidR="00153933">
        <w:t>ere necessary, I am of the view</w:t>
      </w:r>
      <w:r w:rsidR="001E06AA" w:rsidRPr="00942352">
        <w:t xml:space="preserve"> for the following reasons that the Court could </w:t>
      </w:r>
      <w:r w:rsidR="00B10614" w:rsidRPr="00942352">
        <w:t>find such transfers to have been made by the bankrupt with the main purpose of putting his assets out of the reach of creditors, such that</w:t>
      </w:r>
      <w:r w:rsidR="00B10614" w:rsidRPr="00942352">
        <w:rPr>
          <w:spacing w:val="-4"/>
        </w:rPr>
        <w:t xml:space="preserve"> </w:t>
      </w:r>
      <w:r w:rsidR="00B10614" w:rsidRPr="00942352">
        <w:t>they</w:t>
      </w:r>
      <w:r w:rsidR="00B10614" w:rsidRPr="00942352">
        <w:rPr>
          <w:spacing w:val="-4"/>
        </w:rPr>
        <w:t xml:space="preserve"> </w:t>
      </w:r>
      <w:r w:rsidR="00B10614" w:rsidRPr="00942352">
        <w:t>are</w:t>
      </w:r>
      <w:r w:rsidR="00B10614" w:rsidRPr="00942352">
        <w:rPr>
          <w:spacing w:val="-6"/>
        </w:rPr>
        <w:t xml:space="preserve"> </w:t>
      </w:r>
      <w:r w:rsidR="00B10614" w:rsidRPr="00942352">
        <w:t>void</w:t>
      </w:r>
      <w:r w:rsidR="00B10614" w:rsidRPr="00942352">
        <w:rPr>
          <w:spacing w:val="-4"/>
        </w:rPr>
        <w:t xml:space="preserve"> </w:t>
      </w:r>
      <w:r w:rsidR="00B10614" w:rsidRPr="00942352">
        <w:t>against the</w:t>
      </w:r>
      <w:r w:rsidR="00B10614" w:rsidRPr="00942352">
        <w:rPr>
          <w:spacing w:val="-3"/>
        </w:rPr>
        <w:t xml:space="preserve"> t</w:t>
      </w:r>
      <w:r w:rsidR="00B10614" w:rsidRPr="00942352">
        <w:t>rustee</w:t>
      </w:r>
      <w:r w:rsidR="00B10614" w:rsidRPr="00942352">
        <w:rPr>
          <w:spacing w:val="-4"/>
        </w:rPr>
        <w:t xml:space="preserve"> </w:t>
      </w:r>
      <w:r w:rsidR="00B10614" w:rsidRPr="00942352">
        <w:t>pursuant</w:t>
      </w:r>
      <w:r w:rsidR="00B10614" w:rsidRPr="00942352">
        <w:rPr>
          <w:spacing w:val="-1"/>
        </w:rPr>
        <w:t xml:space="preserve"> </w:t>
      </w:r>
      <w:r w:rsidR="00B10614" w:rsidRPr="00942352">
        <w:t>to</w:t>
      </w:r>
      <w:r w:rsidR="00B10614" w:rsidRPr="00942352">
        <w:rPr>
          <w:spacing w:val="-2"/>
        </w:rPr>
        <w:t xml:space="preserve"> </w:t>
      </w:r>
      <w:r w:rsidR="00C402D0" w:rsidRPr="00942352">
        <w:t>s</w:t>
      </w:r>
      <w:r w:rsidR="00B10614" w:rsidRPr="00942352">
        <w:rPr>
          <w:spacing w:val="-2"/>
        </w:rPr>
        <w:t xml:space="preserve"> </w:t>
      </w:r>
      <w:r w:rsidR="00B10614" w:rsidRPr="00942352">
        <w:t>121(1)</w:t>
      </w:r>
      <w:r w:rsidR="00B10614" w:rsidRPr="00942352">
        <w:rPr>
          <w:spacing w:val="-2"/>
        </w:rPr>
        <w:t xml:space="preserve"> </w:t>
      </w:r>
      <w:r w:rsidR="00B10614" w:rsidRPr="00942352">
        <w:t>given that</w:t>
      </w:r>
      <w:r w:rsidR="00B10614" w:rsidRPr="00942352">
        <w:rPr>
          <w:spacing w:val="-1"/>
        </w:rPr>
        <w:t xml:space="preserve"> </w:t>
      </w:r>
      <w:r w:rsidR="00B10614" w:rsidRPr="00942352">
        <w:t>is</w:t>
      </w:r>
      <w:r w:rsidR="00B10614" w:rsidRPr="00942352">
        <w:rPr>
          <w:spacing w:val="-5"/>
        </w:rPr>
        <w:t xml:space="preserve"> </w:t>
      </w:r>
      <w:r w:rsidR="00B10614" w:rsidRPr="00942352">
        <w:t>the</w:t>
      </w:r>
      <w:r w:rsidR="00B10614" w:rsidRPr="00942352">
        <w:rPr>
          <w:spacing w:val="-4"/>
        </w:rPr>
        <w:t xml:space="preserve"> </w:t>
      </w:r>
      <w:r w:rsidR="00B10614" w:rsidRPr="00942352">
        <w:t>rational</w:t>
      </w:r>
      <w:r w:rsidR="00B10614" w:rsidRPr="00942352">
        <w:rPr>
          <w:spacing w:val="-3"/>
        </w:rPr>
        <w:t xml:space="preserve"> </w:t>
      </w:r>
      <w:r w:rsidR="00B10614" w:rsidRPr="00942352">
        <w:t>inference</w:t>
      </w:r>
      <w:r w:rsidR="00B10614" w:rsidRPr="00942352">
        <w:rPr>
          <w:spacing w:val="-2"/>
        </w:rPr>
        <w:t xml:space="preserve"> </w:t>
      </w:r>
      <w:r w:rsidR="00B10614" w:rsidRPr="00942352">
        <w:t>in</w:t>
      </w:r>
      <w:r w:rsidR="00B10614" w:rsidRPr="00942352">
        <w:rPr>
          <w:spacing w:val="-3"/>
        </w:rPr>
        <w:t xml:space="preserve"> </w:t>
      </w:r>
      <w:r w:rsidR="00B10614" w:rsidRPr="00942352">
        <w:t>circumstances</w:t>
      </w:r>
      <w:r w:rsidR="00B10614" w:rsidRPr="00942352">
        <w:rPr>
          <w:spacing w:val="-5"/>
        </w:rPr>
        <w:t xml:space="preserve"> </w:t>
      </w:r>
      <w:r w:rsidR="00B10614" w:rsidRPr="00942352">
        <w:t>where</w:t>
      </w:r>
      <w:r w:rsidR="00B10614" w:rsidRPr="00942352">
        <w:rPr>
          <w:spacing w:val="-2"/>
        </w:rPr>
        <w:t xml:space="preserve"> </w:t>
      </w:r>
      <w:r w:rsidR="009A79BD" w:rsidRPr="00942352">
        <w:t>the bankrupt</w:t>
      </w:r>
      <w:r w:rsidR="00B10614" w:rsidRPr="00942352">
        <w:rPr>
          <w:spacing w:val="-4"/>
        </w:rPr>
        <w:t xml:space="preserve"> </w:t>
      </w:r>
      <w:r w:rsidR="00B10614" w:rsidRPr="00942352">
        <w:t>is</w:t>
      </w:r>
      <w:r w:rsidR="00B10614" w:rsidRPr="00942352">
        <w:rPr>
          <w:spacing w:val="-1"/>
        </w:rPr>
        <w:t xml:space="preserve"> </w:t>
      </w:r>
      <w:r w:rsidR="00B10614" w:rsidRPr="00942352">
        <w:t>divesting</w:t>
      </w:r>
      <w:r w:rsidR="00B10614" w:rsidRPr="00942352">
        <w:rPr>
          <w:spacing w:val="-5"/>
        </w:rPr>
        <w:t xml:space="preserve"> </w:t>
      </w:r>
      <w:r w:rsidR="00B10614" w:rsidRPr="00942352">
        <w:t>his</w:t>
      </w:r>
      <w:r w:rsidR="00B10614" w:rsidRPr="00942352">
        <w:rPr>
          <w:spacing w:val="-5"/>
        </w:rPr>
        <w:t xml:space="preserve"> </w:t>
      </w:r>
      <w:r w:rsidR="00B10614" w:rsidRPr="00942352">
        <w:t>main remaining wealth to purchase</w:t>
      </w:r>
      <w:r w:rsidR="00153933">
        <w:t xml:space="preserve"> or support a mortgage of</w:t>
      </w:r>
      <w:r w:rsidR="00B10614" w:rsidRPr="00942352">
        <w:t xml:space="preserve"> prop</w:t>
      </w:r>
      <w:r w:rsidR="00153933">
        <w:t>ert</w:t>
      </w:r>
      <w:r w:rsidR="00B10614" w:rsidRPr="00942352">
        <w:t xml:space="preserve">y solely in </w:t>
      </w:r>
      <w:r w:rsidR="009A79BD" w:rsidRPr="00942352">
        <w:t xml:space="preserve">the respondent’s </w:t>
      </w:r>
      <w:r w:rsidR="00B10614" w:rsidRPr="00942352">
        <w:t>name just after his hopes of evading</w:t>
      </w:r>
      <w:r w:rsidR="00D73FAE" w:rsidRPr="00942352">
        <w:t xml:space="preserve"> the Bendigo Debt had collapsed.</w:t>
      </w:r>
    </w:p>
    <w:p w14:paraId="377900DD" w14:textId="6C236341" w:rsidR="00B10614" w:rsidRPr="00942352" w:rsidRDefault="00155C95" w:rsidP="00155C95">
      <w:pPr>
        <w:pStyle w:val="ParaNumbering"/>
        <w:numPr>
          <w:ilvl w:val="0"/>
          <w:numId w:val="0"/>
        </w:numPr>
        <w:ind w:hanging="720"/>
      </w:pPr>
      <w:r w:rsidRPr="00942352">
        <w:rPr>
          <w:sz w:val="20"/>
        </w:rPr>
        <w:t>257</w:t>
      </w:r>
      <w:r w:rsidRPr="00942352">
        <w:rPr>
          <w:sz w:val="20"/>
        </w:rPr>
        <w:tab/>
      </w:r>
      <w:r w:rsidR="00B10614" w:rsidRPr="00942352">
        <w:t xml:space="preserve">The </w:t>
      </w:r>
      <w:r w:rsidR="0072486F" w:rsidRPr="00942352">
        <w:t>trustee</w:t>
      </w:r>
      <w:r w:rsidR="00B10614" w:rsidRPr="00942352">
        <w:t xml:space="preserve"> submitted that even if the Court was against him with respect to s 121(2), the evidence established nonetheless that the bankrupt’s actual subjective intention was to prevent, or hinder or delay, the property being divisible amongst the bankrupt’s creditors. In relation to subjective intention the </w:t>
      </w:r>
      <w:r w:rsidR="0072486F" w:rsidRPr="00942352">
        <w:t>trustee</w:t>
      </w:r>
      <w:r w:rsidR="00B10614" w:rsidRPr="00942352">
        <w:t xml:space="preserve"> relied on </w:t>
      </w:r>
      <w:r w:rsidR="004F4781" w:rsidRPr="00942352">
        <w:t xml:space="preserve">his </w:t>
      </w:r>
      <w:r w:rsidR="00B10614" w:rsidRPr="00942352">
        <w:t>written submissions with respect to</w:t>
      </w:r>
      <w:r w:rsidR="00153933">
        <w:t xml:space="preserve"> his resulting trust argument:</w:t>
      </w:r>
    </w:p>
    <w:p w14:paraId="3822E35F" w14:textId="77777777" w:rsidR="00B10614" w:rsidRPr="00942352" w:rsidRDefault="00B10614" w:rsidP="0014738A">
      <w:pPr>
        <w:pStyle w:val="Quote1"/>
        <w:ind w:left="1440" w:hanging="703"/>
        <w:rPr>
          <w:lang w:eastAsia="en-AU"/>
        </w:rPr>
      </w:pPr>
      <w:r w:rsidRPr="00942352">
        <w:rPr>
          <w:lang w:eastAsia="en-AU"/>
        </w:rPr>
        <w:t xml:space="preserve">a. </w:t>
      </w:r>
      <w:r w:rsidRPr="00942352">
        <w:rPr>
          <w:lang w:eastAsia="en-AU"/>
        </w:rPr>
        <w:tab/>
        <w:t xml:space="preserve">As explored at some length in cross-examination, the Bankrupt’s financial </w:t>
      </w:r>
      <w:r w:rsidRPr="00942352">
        <w:rPr>
          <w:lang w:eastAsia="en-AU"/>
        </w:rPr>
        <w:lastRenderedPageBreak/>
        <w:t xml:space="preserve">position had significantly deteriorated by about mid-2014 – his business had lost its main customer and was making ongoing losses; he knew that the Great Southern class action “hadn’t gone well” and/or “didn’t look good”, and he was under “significant financial pressures”; </w:t>
      </w:r>
    </w:p>
    <w:p w14:paraId="2D79791F" w14:textId="5DB7D0B8" w:rsidR="00B10614" w:rsidRPr="00942352" w:rsidRDefault="00B10614" w:rsidP="0014738A">
      <w:pPr>
        <w:pStyle w:val="Quote1"/>
        <w:ind w:left="1440" w:hanging="703"/>
        <w:rPr>
          <w:lang w:eastAsia="en-AU"/>
        </w:rPr>
      </w:pPr>
      <w:r w:rsidRPr="00942352">
        <w:rPr>
          <w:lang w:eastAsia="en-AU"/>
        </w:rPr>
        <w:t xml:space="preserve">b. </w:t>
      </w:r>
      <w:r w:rsidRPr="00942352">
        <w:rPr>
          <w:lang w:eastAsia="en-AU"/>
        </w:rPr>
        <w:tab/>
        <w:t>The Respondent was similarly aware of the Bankrupt’s financial stress, with it being to such an extent that he was “incr</w:t>
      </w:r>
      <w:r w:rsidR="00F24D8A" w:rsidRPr="00942352">
        <w:rPr>
          <w:lang w:eastAsia="en-AU"/>
        </w:rPr>
        <w:t>edibly low” as a result of it</w:t>
      </w:r>
      <w:r w:rsidRPr="00942352">
        <w:rPr>
          <w:lang w:eastAsia="en-AU"/>
        </w:rPr>
        <w:t xml:space="preserve"> - for that reason, she appreciated there was a real risk that creditors could one day come for any asset in the Bankrupt’s name; </w:t>
      </w:r>
    </w:p>
    <w:p w14:paraId="28286A49" w14:textId="77777777" w:rsidR="00B10614" w:rsidRPr="00942352" w:rsidRDefault="00B10614" w:rsidP="0014738A">
      <w:pPr>
        <w:pStyle w:val="Quote1"/>
        <w:ind w:left="1440" w:hanging="703"/>
        <w:rPr>
          <w:lang w:eastAsia="en-AU"/>
        </w:rPr>
      </w:pPr>
      <w:r w:rsidRPr="00942352">
        <w:rPr>
          <w:lang w:eastAsia="en-AU"/>
        </w:rPr>
        <w:t xml:space="preserve">c. </w:t>
      </w:r>
      <w:r w:rsidRPr="00942352">
        <w:rPr>
          <w:lang w:eastAsia="en-AU"/>
        </w:rPr>
        <w:tab/>
        <w:t xml:space="preserve">That being the context that the decision to cause the North Balgowlah Property’s title to be taken in the Respondent’s name was settled upon (there having been no mistake at the time of the contract itself), the obvious inference is that that is precisely why the change occurred; </w:t>
      </w:r>
    </w:p>
    <w:p w14:paraId="31824C0F" w14:textId="77777777" w:rsidR="00B10614" w:rsidRPr="00942352" w:rsidRDefault="00B10614" w:rsidP="0014738A">
      <w:pPr>
        <w:pStyle w:val="Quote1"/>
        <w:ind w:left="1440" w:hanging="703"/>
        <w:rPr>
          <w:lang w:eastAsia="en-AU"/>
        </w:rPr>
      </w:pPr>
      <w:r w:rsidRPr="00942352">
        <w:rPr>
          <w:lang w:eastAsia="en-AU"/>
        </w:rPr>
        <w:t xml:space="preserve">d. </w:t>
      </w:r>
      <w:r w:rsidRPr="00942352">
        <w:rPr>
          <w:lang w:eastAsia="en-AU"/>
        </w:rPr>
        <w:tab/>
        <w:t xml:space="preserve">While it may well be that a further benefit of the change was that it would frustrate claims by the Bankrupt’s daughters, [sic] </w:t>
      </w:r>
    </w:p>
    <w:p w14:paraId="6EACB79C" w14:textId="7DB2C135" w:rsidR="00B10614" w:rsidRPr="00942352" w:rsidRDefault="00B10614" w:rsidP="00B10614">
      <w:pPr>
        <w:pStyle w:val="Quote1"/>
        <w:ind w:left="1440" w:hanging="703"/>
        <w:rPr>
          <w:szCs w:val="22"/>
          <w:lang w:eastAsia="en-AU"/>
        </w:rPr>
      </w:pPr>
      <w:r w:rsidRPr="00942352">
        <w:rPr>
          <w:szCs w:val="22"/>
          <w:lang w:eastAsia="en-AU"/>
        </w:rPr>
        <w:t>(Footnotes omitted</w:t>
      </w:r>
      <w:r w:rsidR="00F93127" w:rsidRPr="00942352">
        <w:rPr>
          <w:szCs w:val="22"/>
          <w:lang w:eastAsia="en-AU"/>
        </w:rPr>
        <w:t>.)</w:t>
      </w:r>
      <w:r w:rsidRPr="00942352">
        <w:rPr>
          <w:szCs w:val="22"/>
          <w:lang w:eastAsia="en-AU"/>
        </w:rPr>
        <w:t xml:space="preserve"> </w:t>
      </w:r>
    </w:p>
    <w:p w14:paraId="6E1D7AF9" w14:textId="300287E0" w:rsidR="00903E5C" w:rsidRPr="00942352" w:rsidRDefault="00155C95" w:rsidP="00155C95">
      <w:pPr>
        <w:pStyle w:val="ParaNumbering"/>
        <w:numPr>
          <w:ilvl w:val="0"/>
          <w:numId w:val="0"/>
        </w:numPr>
        <w:ind w:hanging="720"/>
        <w:rPr>
          <w:lang w:eastAsia="en-AU"/>
        </w:rPr>
      </w:pPr>
      <w:r w:rsidRPr="00942352">
        <w:rPr>
          <w:sz w:val="20"/>
          <w:lang w:eastAsia="en-AU"/>
        </w:rPr>
        <w:t>258</w:t>
      </w:r>
      <w:r w:rsidRPr="00942352">
        <w:rPr>
          <w:sz w:val="20"/>
          <w:lang w:eastAsia="en-AU"/>
        </w:rPr>
        <w:tab/>
      </w:r>
      <w:r w:rsidR="00903E5C" w:rsidRPr="00942352">
        <w:rPr>
          <w:lang w:eastAsia="en-AU"/>
        </w:rPr>
        <w:t>In order</w:t>
      </w:r>
      <w:r w:rsidR="00403D79" w:rsidRPr="00942352">
        <w:rPr>
          <w:lang w:eastAsia="en-AU"/>
        </w:rPr>
        <w:t xml:space="preserve"> for</w:t>
      </w:r>
      <w:r w:rsidR="00903E5C" w:rsidRPr="00942352">
        <w:rPr>
          <w:lang w:eastAsia="en-AU"/>
        </w:rPr>
        <w:t xml:space="preserve"> the trustee to succeed on the basis of s 121(1</w:t>
      </w:r>
      <w:proofErr w:type="gramStart"/>
      <w:r w:rsidR="00903E5C" w:rsidRPr="00942352">
        <w:rPr>
          <w:lang w:eastAsia="en-AU"/>
        </w:rPr>
        <w:t>)(</w:t>
      </w:r>
      <w:proofErr w:type="gramEnd"/>
      <w:r w:rsidR="00903E5C" w:rsidRPr="00942352">
        <w:rPr>
          <w:lang w:eastAsia="en-AU"/>
        </w:rPr>
        <w:t xml:space="preserve">b), the trustee must prove that the bankrupt’s main purpose arising from the “circumstances appearing in the evidence” give “rise to a reasonable and definite inference, not merely to conflicting inferences of equal degree of probability”: </w:t>
      </w:r>
      <w:r w:rsidR="00903E5C" w:rsidRPr="00942352">
        <w:rPr>
          <w:i/>
          <w:lang w:eastAsia="en-AU"/>
        </w:rPr>
        <w:t>Trustees of Property of Cummins</w:t>
      </w:r>
      <w:r w:rsidR="00403D79" w:rsidRPr="00942352">
        <w:rPr>
          <w:i/>
          <w:lang w:eastAsia="en-AU"/>
        </w:rPr>
        <w:t xml:space="preserve"> (a bankrupt)</w:t>
      </w:r>
      <w:r w:rsidR="00903E5C" w:rsidRPr="00942352">
        <w:rPr>
          <w:i/>
          <w:lang w:eastAsia="en-AU"/>
        </w:rPr>
        <w:t xml:space="preserve"> v Cummins </w:t>
      </w:r>
      <w:r w:rsidR="00AB4077" w:rsidRPr="00942352">
        <w:rPr>
          <w:lang w:eastAsia="en-AU"/>
        </w:rPr>
        <w:t>[</w:t>
      </w:r>
      <w:r w:rsidR="00903E5C" w:rsidRPr="00942352">
        <w:rPr>
          <w:lang w:eastAsia="en-AU"/>
        </w:rPr>
        <w:t>2006</w:t>
      </w:r>
      <w:r w:rsidR="00AB4077" w:rsidRPr="00942352">
        <w:rPr>
          <w:lang w:eastAsia="en-AU"/>
        </w:rPr>
        <w:t>] HCA 6;</w:t>
      </w:r>
      <w:r w:rsidR="00903E5C" w:rsidRPr="00942352">
        <w:rPr>
          <w:lang w:eastAsia="en-AU"/>
        </w:rPr>
        <w:t xml:space="preserve"> 227 CLR 278 at 292. As essayed by </w:t>
      </w:r>
      <w:proofErr w:type="spellStart"/>
      <w:r w:rsidR="00903E5C" w:rsidRPr="00942352">
        <w:rPr>
          <w:lang w:eastAsia="en-AU"/>
        </w:rPr>
        <w:t>Katzmann</w:t>
      </w:r>
      <w:proofErr w:type="spellEnd"/>
      <w:r w:rsidR="00903E5C" w:rsidRPr="00942352">
        <w:rPr>
          <w:lang w:eastAsia="en-AU"/>
        </w:rPr>
        <w:t xml:space="preserve"> J in </w:t>
      </w:r>
      <w:r w:rsidR="00903E5C" w:rsidRPr="00942352">
        <w:rPr>
          <w:i/>
          <w:lang w:eastAsia="en-AU"/>
        </w:rPr>
        <w:t xml:space="preserve">Lo Pilato </w:t>
      </w:r>
      <w:r w:rsidR="00903E5C" w:rsidRPr="00942352">
        <w:rPr>
          <w:lang w:eastAsia="en-AU"/>
        </w:rPr>
        <w:t>at [155]</w:t>
      </w:r>
      <w:r w:rsidR="004A2D60">
        <w:rPr>
          <w:lang w:eastAsia="en-AU"/>
        </w:rPr>
        <w:t>:</w:t>
      </w:r>
    </w:p>
    <w:p w14:paraId="524A232B" w14:textId="0128EB5D" w:rsidR="00903E5C" w:rsidRPr="00942352" w:rsidRDefault="00790656" w:rsidP="00903E5C">
      <w:pPr>
        <w:pStyle w:val="Quote1"/>
        <w:rPr>
          <w:b/>
          <w:lang w:eastAsia="en-AU"/>
        </w:rPr>
      </w:pPr>
      <w:r w:rsidRPr="00942352">
        <w:rPr>
          <w:lang w:eastAsia="en-AU"/>
        </w:rPr>
        <w:t xml:space="preserve">… In deciding whether the inference should be drawn from the primary facts, it is necessary to take into account the seriousness of the allegation and the gravity of the consequences, even though Mr </w:t>
      </w:r>
      <w:proofErr w:type="spellStart"/>
      <w:r w:rsidRPr="00942352">
        <w:rPr>
          <w:lang w:eastAsia="en-AU"/>
        </w:rPr>
        <w:t>Adzic</w:t>
      </w:r>
      <w:proofErr w:type="spellEnd"/>
      <w:r w:rsidRPr="00942352">
        <w:rPr>
          <w:lang w:eastAsia="en-AU"/>
        </w:rPr>
        <w:t xml:space="preserve"> is not a party to the proceeding: </w:t>
      </w:r>
      <w:r w:rsidRPr="00942352">
        <w:rPr>
          <w:i/>
          <w:lang w:eastAsia="en-AU"/>
        </w:rPr>
        <w:t>Cummins</w:t>
      </w:r>
      <w:r w:rsidRPr="00942352">
        <w:rPr>
          <w:lang w:eastAsia="en-AU"/>
        </w:rPr>
        <w:t xml:space="preserve"> at 292; </w:t>
      </w:r>
      <w:r w:rsidRPr="00942352">
        <w:rPr>
          <w:i/>
          <w:lang w:eastAsia="en-AU"/>
        </w:rPr>
        <w:t>Evidence Act 1995</w:t>
      </w:r>
      <w:r w:rsidRPr="00942352">
        <w:rPr>
          <w:lang w:eastAsia="en-AU"/>
        </w:rPr>
        <w:t xml:space="preserve"> (</w:t>
      </w:r>
      <w:proofErr w:type="spellStart"/>
      <w:r w:rsidRPr="00942352">
        <w:rPr>
          <w:lang w:eastAsia="en-AU"/>
        </w:rPr>
        <w:t>Cth</w:t>
      </w:r>
      <w:proofErr w:type="spellEnd"/>
      <w:r w:rsidRPr="00942352">
        <w:rPr>
          <w:lang w:eastAsia="en-AU"/>
        </w:rPr>
        <w:t xml:space="preserve">), s 140. Here the allegation is tantamount to one of fraud, where “clear or cogent or strict proof” is necessary: </w:t>
      </w:r>
      <w:r w:rsidRPr="00942352">
        <w:rPr>
          <w:i/>
          <w:lang w:eastAsia="en-AU"/>
        </w:rPr>
        <w:t>Neat Holdings Pty Ltd v Karajan Holdings Pty Ltd</w:t>
      </w:r>
      <w:r w:rsidRPr="00942352">
        <w:rPr>
          <w:lang w:eastAsia="en-AU"/>
        </w:rPr>
        <w:t xml:space="preserve"> (1992) 67 ALJR 170 at 171. In such a case the reasonable satisfaction of the Court is not to be reached by “inexact proofs, indefinite testimony, or indirect inferences”: </w:t>
      </w:r>
      <w:proofErr w:type="spellStart"/>
      <w:r w:rsidRPr="00942352">
        <w:rPr>
          <w:i/>
          <w:lang w:eastAsia="en-AU"/>
        </w:rPr>
        <w:t>Briginshaw</w:t>
      </w:r>
      <w:proofErr w:type="spellEnd"/>
      <w:r w:rsidRPr="00942352">
        <w:rPr>
          <w:i/>
          <w:lang w:eastAsia="en-AU"/>
        </w:rPr>
        <w:t xml:space="preserve"> v </w:t>
      </w:r>
      <w:proofErr w:type="spellStart"/>
      <w:r w:rsidRPr="00942352">
        <w:rPr>
          <w:i/>
          <w:lang w:eastAsia="en-AU"/>
        </w:rPr>
        <w:t>Briginshaw</w:t>
      </w:r>
      <w:proofErr w:type="spellEnd"/>
      <w:r w:rsidRPr="00942352">
        <w:rPr>
          <w:lang w:eastAsia="en-AU"/>
        </w:rPr>
        <w:t xml:space="preserve"> (1938) 60 CLR 336 at 362.</w:t>
      </w:r>
    </w:p>
    <w:p w14:paraId="316F7D31" w14:textId="3FAECD30" w:rsidR="00BA49B0" w:rsidRPr="00942352" w:rsidRDefault="00155C95" w:rsidP="00155C95">
      <w:pPr>
        <w:pStyle w:val="ParaNumbering"/>
        <w:numPr>
          <w:ilvl w:val="0"/>
          <w:numId w:val="0"/>
        </w:numPr>
        <w:ind w:hanging="720"/>
        <w:rPr>
          <w:lang w:eastAsia="en-AU"/>
        </w:rPr>
      </w:pPr>
      <w:r w:rsidRPr="00942352">
        <w:rPr>
          <w:sz w:val="20"/>
          <w:lang w:eastAsia="en-AU"/>
        </w:rPr>
        <w:t>259</w:t>
      </w:r>
      <w:r w:rsidRPr="00942352">
        <w:rPr>
          <w:sz w:val="20"/>
          <w:lang w:eastAsia="en-AU"/>
        </w:rPr>
        <w:tab/>
      </w:r>
      <w:r w:rsidR="00BA49B0" w:rsidRPr="00942352">
        <w:rPr>
          <w:lang w:eastAsia="en-AU"/>
        </w:rPr>
        <w:t>Whilst it is unnecessary for me to decide the bankrupt’s main purpose, I would conclude that the bankrupt’s main purpose for the impugned transfers was actuated by a desire to prevent, hinder or delay the process of making the property available for division amongst his creditors.</w:t>
      </w:r>
    </w:p>
    <w:p w14:paraId="5AED3100" w14:textId="2B037BBD" w:rsidR="00BA49B0" w:rsidRPr="00942352" w:rsidRDefault="00155C95" w:rsidP="00155C95">
      <w:pPr>
        <w:pStyle w:val="ParaNumbering"/>
        <w:numPr>
          <w:ilvl w:val="0"/>
          <w:numId w:val="0"/>
        </w:numPr>
        <w:ind w:hanging="720"/>
        <w:rPr>
          <w:lang w:eastAsia="en-AU"/>
        </w:rPr>
      </w:pPr>
      <w:r w:rsidRPr="00942352">
        <w:rPr>
          <w:sz w:val="20"/>
          <w:lang w:eastAsia="en-AU"/>
        </w:rPr>
        <w:t>260</w:t>
      </w:r>
      <w:r w:rsidRPr="00942352">
        <w:rPr>
          <w:sz w:val="20"/>
          <w:lang w:eastAsia="en-AU"/>
        </w:rPr>
        <w:tab/>
      </w:r>
      <w:r w:rsidR="000D4419" w:rsidRPr="00942352">
        <w:rPr>
          <w:lang w:eastAsia="en-AU"/>
        </w:rPr>
        <w:t xml:space="preserve">I have significant misgivings about the bankrupt’s evidence and the circumstances surrounding the transfer are highly suspicious. </w:t>
      </w:r>
      <w:r w:rsidR="00BA49B0" w:rsidRPr="00942352">
        <w:rPr>
          <w:lang w:eastAsia="en-AU"/>
        </w:rPr>
        <w:t>I have given consideration to the seriousness of the allegation and the gravity of the circumstances. For the reasons outlined above, I found the bankru</w:t>
      </w:r>
      <w:r w:rsidR="00D73FAE" w:rsidRPr="00942352">
        <w:rPr>
          <w:lang w:eastAsia="en-AU"/>
        </w:rPr>
        <w:t>pt not to be a credible witness.</w:t>
      </w:r>
      <w:r w:rsidR="00BA49B0" w:rsidRPr="00942352">
        <w:rPr>
          <w:lang w:eastAsia="en-AU"/>
        </w:rPr>
        <w:t xml:space="preserve"> I have considered the entirety of the circumstances leading up and during the cour</w:t>
      </w:r>
      <w:r w:rsidR="00153933">
        <w:rPr>
          <w:lang w:eastAsia="en-AU"/>
        </w:rPr>
        <w:t>se of the relevant transactions and</w:t>
      </w:r>
      <w:r w:rsidR="00BA49B0" w:rsidRPr="00942352">
        <w:rPr>
          <w:lang w:eastAsia="en-AU"/>
        </w:rPr>
        <w:t xml:space="preserve"> I am of the view that the bankrupt’s main purposes for the transferring of the property was the preservation of those assets from </w:t>
      </w:r>
      <w:r w:rsidR="00153933">
        <w:rPr>
          <w:lang w:eastAsia="en-AU"/>
        </w:rPr>
        <w:t>his</w:t>
      </w:r>
      <w:r w:rsidR="00BA49B0" w:rsidRPr="00942352">
        <w:rPr>
          <w:lang w:eastAsia="en-AU"/>
        </w:rPr>
        <w:t xml:space="preserve"> creditors. </w:t>
      </w:r>
    </w:p>
    <w:p w14:paraId="77847D86" w14:textId="1A452EA5" w:rsidR="0069647A" w:rsidRPr="00942352" w:rsidRDefault="0069647A" w:rsidP="0069647A">
      <w:pPr>
        <w:pStyle w:val="Heading4"/>
        <w:rPr>
          <w:lang w:eastAsia="en-AU"/>
        </w:rPr>
      </w:pPr>
      <w:bookmarkStart w:id="132" w:name="_Ref127552612"/>
      <w:r w:rsidRPr="00942352">
        <w:rPr>
          <w:lang w:eastAsia="en-AU"/>
        </w:rPr>
        <w:lastRenderedPageBreak/>
        <w:t>Operation of s 120</w:t>
      </w:r>
      <w:bookmarkEnd w:id="117"/>
      <w:bookmarkEnd w:id="132"/>
    </w:p>
    <w:p w14:paraId="30D066BB" w14:textId="4A835292" w:rsidR="0069647A" w:rsidRPr="00942352" w:rsidRDefault="00155C95" w:rsidP="00155C95">
      <w:pPr>
        <w:pStyle w:val="ParaNumbering"/>
        <w:numPr>
          <w:ilvl w:val="0"/>
          <w:numId w:val="0"/>
        </w:numPr>
        <w:ind w:hanging="720"/>
      </w:pPr>
      <w:r w:rsidRPr="00942352">
        <w:rPr>
          <w:sz w:val="20"/>
        </w:rPr>
        <w:t>261</w:t>
      </w:r>
      <w:r w:rsidRPr="00942352">
        <w:rPr>
          <w:sz w:val="20"/>
        </w:rPr>
        <w:tab/>
      </w:r>
      <w:r w:rsidR="004F0E68" w:rsidRPr="00942352">
        <w:t>Given my findings with respect to the s 139DA claim, the resulting trust claim and the s 121 claim, there is no necess</w:t>
      </w:r>
      <w:r w:rsidR="001F04D9" w:rsidRPr="00942352">
        <w:t>ity for me to consider the s 120</w:t>
      </w:r>
      <w:r w:rsidR="004F0E68" w:rsidRPr="00942352">
        <w:t xml:space="preserve"> claim, but in the event that I am wrong with respect to those other claims, I will briefly note my reasons with respect </w:t>
      </w:r>
      <w:r w:rsidR="00D73FAE" w:rsidRPr="00942352">
        <w:t xml:space="preserve">to </w:t>
      </w:r>
      <w:r w:rsidR="004F0E68" w:rsidRPr="00942352">
        <w:t>this alternate claim</w:t>
      </w:r>
      <w:r w:rsidR="0069647A" w:rsidRPr="00942352">
        <w:t>.</w:t>
      </w:r>
    </w:p>
    <w:p w14:paraId="4601E0E3" w14:textId="26D4BDD5" w:rsidR="0069647A" w:rsidRPr="00942352" w:rsidRDefault="00155C95" w:rsidP="00155C95">
      <w:pPr>
        <w:pStyle w:val="ParaNumbering"/>
        <w:numPr>
          <w:ilvl w:val="0"/>
          <w:numId w:val="0"/>
        </w:numPr>
        <w:ind w:hanging="720"/>
        <w:rPr>
          <w:lang w:eastAsia="en-AU"/>
        </w:rPr>
      </w:pPr>
      <w:r w:rsidRPr="00942352">
        <w:rPr>
          <w:sz w:val="20"/>
          <w:lang w:eastAsia="en-AU"/>
        </w:rPr>
        <w:t>262</w:t>
      </w:r>
      <w:r w:rsidRPr="00942352">
        <w:rPr>
          <w:sz w:val="20"/>
          <w:lang w:eastAsia="en-AU"/>
        </w:rPr>
        <w:tab/>
      </w:r>
      <w:r w:rsidR="0069647A" w:rsidRPr="00942352">
        <w:rPr>
          <w:lang w:eastAsia="en-AU"/>
        </w:rPr>
        <w:t>Section 120 of the Bankruptcy Act</w:t>
      </w:r>
      <w:r w:rsidR="00153933">
        <w:rPr>
          <w:lang w:eastAsia="en-AU"/>
        </w:rPr>
        <w:t>,</w:t>
      </w:r>
      <w:r w:rsidR="0069647A" w:rsidRPr="00942352">
        <w:rPr>
          <w:lang w:eastAsia="en-AU"/>
        </w:rPr>
        <w:t xml:space="preserve"> </w:t>
      </w:r>
      <w:r w:rsidR="002030AF" w:rsidRPr="00942352">
        <w:rPr>
          <w:lang w:eastAsia="en-AU"/>
        </w:rPr>
        <w:t>titled undervalued transactions</w:t>
      </w:r>
      <w:r w:rsidR="00153933">
        <w:rPr>
          <w:lang w:eastAsia="en-AU"/>
        </w:rPr>
        <w:t>,</w:t>
      </w:r>
      <w:r w:rsidR="002030AF" w:rsidRPr="00942352">
        <w:rPr>
          <w:lang w:eastAsia="en-AU"/>
        </w:rPr>
        <w:t xml:space="preserve"> </w:t>
      </w:r>
      <w:r w:rsidR="0069647A" w:rsidRPr="00942352">
        <w:rPr>
          <w:lang w:eastAsia="en-AU"/>
        </w:rPr>
        <w:t>provides:</w:t>
      </w:r>
    </w:p>
    <w:p w14:paraId="511D2CD8" w14:textId="77777777" w:rsidR="0069647A" w:rsidRPr="00942352" w:rsidRDefault="0069647A" w:rsidP="0069647A">
      <w:pPr>
        <w:pStyle w:val="Quote1"/>
        <w:ind w:firstLine="703"/>
        <w:rPr>
          <w:i/>
          <w:szCs w:val="22"/>
          <w:lang w:eastAsia="en-AU"/>
        </w:rPr>
      </w:pPr>
      <w:r w:rsidRPr="00942352">
        <w:rPr>
          <w:i/>
          <w:szCs w:val="22"/>
          <w:lang w:eastAsia="en-AU"/>
        </w:rPr>
        <w:t>Transfers that are void against trustee</w:t>
      </w:r>
    </w:p>
    <w:p w14:paraId="674E4623" w14:textId="77777777" w:rsidR="0069647A" w:rsidRPr="00942352" w:rsidRDefault="0069647A" w:rsidP="0069647A">
      <w:pPr>
        <w:pStyle w:val="Quote1"/>
        <w:ind w:left="1440" w:hanging="703"/>
        <w:rPr>
          <w:szCs w:val="22"/>
          <w:lang w:eastAsia="en-AU"/>
        </w:rPr>
      </w:pPr>
      <w:r w:rsidRPr="00942352">
        <w:rPr>
          <w:szCs w:val="22"/>
          <w:lang w:eastAsia="en-AU"/>
        </w:rPr>
        <w:t>(1)</w:t>
      </w:r>
      <w:r w:rsidRPr="00942352">
        <w:rPr>
          <w:szCs w:val="22"/>
          <w:lang w:eastAsia="en-AU"/>
        </w:rPr>
        <w:tab/>
        <w:t xml:space="preserve">A transfer of property by a person who later becomes a bankrupt (the </w:t>
      </w:r>
      <w:r w:rsidRPr="00942352">
        <w:rPr>
          <w:b/>
          <w:i/>
          <w:szCs w:val="22"/>
          <w:lang w:eastAsia="en-AU"/>
        </w:rPr>
        <w:t>transferor</w:t>
      </w:r>
      <w:r w:rsidRPr="00942352">
        <w:rPr>
          <w:szCs w:val="22"/>
          <w:lang w:eastAsia="en-AU"/>
        </w:rPr>
        <w:t xml:space="preserve">) to another person (the </w:t>
      </w:r>
      <w:r w:rsidRPr="00942352">
        <w:rPr>
          <w:b/>
          <w:i/>
          <w:szCs w:val="22"/>
          <w:lang w:eastAsia="en-AU"/>
        </w:rPr>
        <w:t>transferee</w:t>
      </w:r>
      <w:r w:rsidRPr="00942352">
        <w:rPr>
          <w:szCs w:val="22"/>
          <w:lang w:eastAsia="en-AU"/>
        </w:rPr>
        <w:t>) is void against the trustee in the transferor’s bankruptcy if:</w:t>
      </w:r>
    </w:p>
    <w:p w14:paraId="40E5AD97" w14:textId="77777777" w:rsidR="0069647A" w:rsidRPr="00942352" w:rsidRDefault="0069647A" w:rsidP="0014738A">
      <w:pPr>
        <w:pStyle w:val="Quote2"/>
        <w:ind w:left="2160" w:hanging="720"/>
        <w:rPr>
          <w:lang w:eastAsia="en-AU"/>
        </w:rPr>
      </w:pPr>
      <w:r w:rsidRPr="00942352">
        <w:rPr>
          <w:lang w:eastAsia="en-AU"/>
        </w:rPr>
        <w:t>(a)</w:t>
      </w:r>
      <w:r w:rsidRPr="00942352">
        <w:rPr>
          <w:lang w:eastAsia="en-AU"/>
        </w:rPr>
        <w:tab/>
        <w:t>the transfer took place in the period beginning 5 years before the commencement of the bankruptcy and ending on the date of the bankruptcy; and</w:t>
      </w:r>
    </w:p>
    <w:p w14:paraId="464163E1" w14:textId="77777777" w:rsidR="0069647A" w:rsidRPr="00942352" w:rsidRDefault="0069647A" w:rsidP="0014738A">
      <w:pPr>
        <w:pStyle w:val="Quote2"/>
        <w:ind w:left="2160" w:hanging="720"/>
        <w:rPr>
          <w:lang w:eastAsia="en-AU"/>
        </w:rPr>
      </w:pPr>
      <w:r w:rsidRPr="00942352">
        <w:rPr>
          <w:lang w:eastAsia="en-AU"/>
        </w:rPr>
        <w:t>(b)</w:t>
      </w:r>
      <w:r w:rsidRPr="00942352">
        <w:rPr>
          <w:lang w:eastAsia="en-AU"/>
        </w:rPr>
        <w:tab/>
      </w:r>
      <w:proofErr w:type="gramStart"/>
      <w:r w:rsidRPr="00942352">
        <w:rPr>
          <w:lang w:eastAsia="en-AU"/>
        </w:rPr>
        <w:t>the</w:t>
      </w:r>
      <w:proofErr w:type="gramEnd"/>
      <w:r w:rsidRPr="00942352">
        <w:rPr>
          <w:lang w:eastAsia="en-AU"/>
        </w:rPr>
        <w:t xml:space="preserve"> transferee gave no consideration for the transfer or gave consideration of less value than the market value of the property.</w:t>
      </w:r>
    </w:p>
    <w:p w14:paraId="55A18967" w14:textId="77777777" w:rsidR="0069647A" w:rsidRPr="00942352" w:rsidRDefault="0069647A" w:rsidP="0069647A">
      <w:pPr>
        <w:pStyle w:val="Quote1"/>
        <w:ind w:left="2160" w:hanging="720"/>
        <w:rPr>
          <w:szCs w:val="22"/>
          <w:lang w:eastAsia="en-AU"/>
        </w:rPr>
      </w:pPr>
      <w:r w:rsidRPr="00942352">
        <w:rPr>
          <w:szCs w:val="22"/>
          <w:lang w:eastAsia="en-AU"/>
        </w:rPr>
        <w:t>Note:</w:t>
      </w:r>
      <w:r w:rsidRPr="00942352">
        <w:rPr>
          <w:szCs w:val="22"/>
          <w:lang w:eastAsia="en-AU"/>
        </w:rPr>
        <w:tab/>
        <w:t>For the application of this section where consideration is given to a third party rather than the transferor, see section 121A.</w:t>
      </w:r>
    </w:p>
    <w:p w14:paraId="31210604" w14:textId="77777777" w:rsidR="0069647A" w:rsidRPr="00942352" w:rsidRDefault="0069647A" w:rsidP="0069647A">
      <w:pPr>
        <w:pStyle w:val="Quote1"/>
        <w:ind w:firstLine="703"/>
        <w:rPr>
          <w:i/>
          <w:szCs w:val="22"/>
          <w:lang w:eastAsia="en-AU"/>
        </w:rPr>
      </w:pPr>
      <w:r w:rsidRPr="00942352">
        <w:rPr>
          <w:i/>
          <w:szCs w:val="22"/>
          <w:lang w:eastAsia="en-AU"/>
        </w:rPr>
        <w:t>Exemptions</w:t>
      </w:r>
    </w:p>
    <w:p w14:paraId="5AF099DF" w14:textId="77777777" w:rsidR="0069647A" w:rsidRPr="00942352" w:rsidRDefault="0069647A" w:rsidP="0069647A">
      <w:pPr>
        <w:pStyle w:val="Quote1"/>
        <w:rPr>
          <w:szCs w:val="22"/>
          <w:lang w:eastAsia="en-AU"/>
        </w:rPr>
      </w:pPr>
      <w:r w:rsidRPr="00942352">
        <w:rPr>
          <w:szCs w:val="22"/>
          <w:lang w:eastAsia="en-AU"/>
        </w:rPr>
        <w:t>(2)</w:t>
      </w:r>
      <w:r w:rsidRPr="00942352">
        <w:rPr>
          <w:szCs w:val="22"/>
          <w:lang w:eastAsia="en-AU"/>
        </w:rPr>
        <w:tab/>
        <w:t>Subsection (1) does not apply to:</w:t>
      </w:r>
    </w:p>
    <w:p w14:paraId="5B4BF8B8" w14:textId="77777777" w:rsidR="0069647A" w:rsidRPr="00942352" w:rsidRDefault="0069647A" w:rsidP="0014738A">
      <w:pPr>
        <w:pStyle w:val="Quote2"/>
        <w:ind w:left="2160" w:hanging="720"/>
        <w:rPr>
          <w:lang w:eastAsia="en-AU"/>
        </w:rPr>
      </w:pPr>
      <w:r w:rsidRPr="00942352">
        <w:rPr>
          <w:lang w:eastAsia="en-AU"/>
        </w:rPr>
        <w:t>(a)</w:t>
      </w:r>
      <w:r w:rsidRPr="00942352">
        <w:rPr>
          <w:lang w:eastAsia="en-AU"/>
        </w:rPr>
        <w:tab/>
      </w:r>
      <w:proofErr w:type="gramStart"/>
      <w:r w:rsidRPr="00942352">
        <w:rPr>
          <w:lang w:eastAsia="en-AU"/>
        </w:rPr>
        <w:t>a</w:t>
      </w:r>
      <w:proofErr w:type="gramEnd"/>
      <w:r w:rsidRPr="00942352">
        <w:rPr>
          <w:lang w:eastAsia="en-AU"/>
        </w:rPr>
        <w:t xml:space="preserve"> payment of tax payable under a law of the Commonwealth or of a State or Territory; or</w:t>
      </w:r>
    </w:p>
    <w:p w14:paraId="0C919C97" w14:textId="77777777" w:rsidR="0069647A" w:rsidRPr="00942352" w:rsidRDefault="0069647A" w:rsidP="0014738A">
      <w:pPr>
        <w:pStyle w:val="Quote2"/>
        <w:ind w:left="2160" w:hanging="720"/>
        <w:rPr>
          <w:lang w:eastAsia="en-AU"/>
        </w:rPr>
      </w:pPr>
      <w:r w:rsidRPr="00942352">
        <w:rPr>
          <w:lang w:eastAsia="en-AU"/>
        </w:rPr>
        <w:t>(b)</w:t>
      </w:r>
      <w:r w:rsidRPr="00942352">
        <w:rPr>
          <w:lang w:eastAsia="en-AU"/>
        </w:rPr>
        <w:tab/>
      </w:r>
      <w:proofErr w:type="gramStart"/>
      <w:r w:rsidRPr="00942352">
        <w:rPr>
          <w:lang w:eastAsia="en-AU"/>
        </w:rPr>
        <w:t>a</w:t>
      </w:r>
      <w:proofErr w:type="gramEnd"/>
      <w:r w:rsidRPr="00942352">
        <w:rPr>
          <w:lang w:eastAsia="en-AU"/>
        </w:rPr>
        <w:t xml:space="preserve"> transfer to meet all or part of a liability under a maintenance agreement or a maintenance order; or</w:t>
      </w:r>
    </w:p>
    <w:p w14:paraId="4930F5FE" w14:textId="77777777" w:rsidR="0069647A" w:rsidRPr="00942352" w:rsidRDefault="0069647A" w:rsidP="0014738A">
      <w:pPr>
        <w:pStyle w:val="Quote2"/>
        <w:ind w:left="2160" w:hanging="720"/>
        <w:rPr>
          <w:lang w:eastAsia="en-AU"/>
        </w:rPr>
      </w:pPr>
      <w:r w:rsidRPr="00942352">
        <w:rPr>
          <w:lang w:eastAsia="en-AU"/>
        </w:rPr>
        <w:t>(c)</w:t>
      </w:r>
      <w:r w:rsidRPr="00942352">
        <w:rPr>
          <w:lang w:eastAsia="en-AU"/>
        </w:rPr>
        <w:tab/>
      </w:r>
      <w:proofErr w:type="gramStart"/>
      <w:r w:rsidRPr="00942352">
        <w:rPr>
          <w:lang w:eastAsia="en-AU"/>
        </w:rPr>
        <w:t>a</w:t>
      </w:r>
      <w:proofErr w:type="gramEnd"/>
      <w:r w:rsidRPr="00942352">
        <w:rPr>
          <w:lang w:eastAsia="en-AU"/>
        </w:rPr>
        <w:t xml:space="preserve"> transfer of property under a debt agreement; or</w:t>
      </w:r>
    </w:p>
    <w:p w14:paraId="7659E065" w14:textId="77777777" w:rsidR="0069647A" w:rsidRPr="00942352" w:rsidRDefault="0069647A" w:rsidP="0014738A">
      <w:pPr>
        <w:pStyle w:val="Quote2"/>
        <w:ind w:left="2160" w:hanging="720"/>
        <w:rPr>
          <w:lang w:eastAsia="en-AU"/>
        </w:rPr>
      </w:pPr>
      <w:r w:rsidRPr="00942352">
        <w:rPr>
          <w:lang w:eastAsia="en-AU"/>
        </w:rPr>
        <w:t>(d)</w:t>
      </w:r>
      <w:r w:rsidRPr="00942352">
        <w:rPr>
          <w:lang w:eastAsia="en-AU"/>
        </w:rPr>
        <w:tab/>
      </w:r>
      <w:proofErr w:type="gramStart"/>
      <w:r w:rsidRPr="00942352">
        <w:rPr>
          <w:lang w:eastAsia="en-AU"/>
        </w:rPr>
        <w:t>a</w:t>
      </w:r>
      <w:proofErr w:type="gramEnd"/>
      <w:r w:rsidRPr="00942352">
        <w:rPr>
          <w:lang w:eastAsia="en-AU"/>
        </w:rPr>
        <w:t xml:space="preserve"> transfer of property if the transfer is of a kind described in the regulations.</w:t>
      </w:r>
    </w:p>
    <w:p w14:paraId="71027BB3" w14:textId="77777777" w:rsidR="0069647A" w:rsidRPr="00942352" w:rsidRDefault="0069647A" w:rsidP="0069647A">
      <w:pPr>
        <w:pStyle w:val="Quote1"/>
        <w:rPr>
          <w:szCs w:val="22"/>
          <w:lang w:eastAsia="en-AU"/>
        </w:rPr>
      </w:pPr>
      <w:r w:rsidRPr="00942352">
        <w:rPr>
          <w:szCs w:val="22"/>
          <w:lang w:eastAsia="en-AU"/>
        </w:rPr>
        <w:t>(3)</w:t>
      </w:r>
      <w:r w:rsidRPr="00942352">
        <w:rPr>
          <w:szCs w:val="22"/>
          <w:lang w:eastAsia="en-AU"/>
        </w:rPr>
        <w:tab/>
        <w:t>Despite subsection (1), a transfer is not void against the trustee if:</w:t>
      </w:r>
    </w:p>
    <w:p w14:paraId="0750695B" w14:textId="77777777" w:rsidR="0069647A" w:rsidRPr="00942352" w:rsidRDefault="0069647A" w:rsidP="008B4120">
      <w:pPr>
        <w:pStyle w:val="Quote2"/>
        <w:rPr>
          <w:lang w:eastAsia="en-AU"/>
        </w:rPr>
      </w:pPr>
      <w:r w:rsidRPr="00942352">
        <w:rPr>
          <w:lang w:eastAsia="en-AU"/>
        </w:rPr>
        <w:t>(a)</w:t>
      </w:r>
      <w:r w:rsidRPr="00942352">
        <w:rPr>
          <w:lang w:eastAsia="en-AU"/>
        </w:rPr>
        <w:tab/>
      </w:r>
      <w:proofErr w:type="gramStart"/>
      <w:r w:rsidRPr="00942352">
        <w:rPr>
          <w:lang w:eastAsia="en-AU"/>
        </w:rPr>
        <w:t>in</w:t>
      </w:r>
      <w:proofErr w:type="gramEnd"/>
      <w:r w:rsidRPr="00942352">
        <w:rPr>
          <w:lang w:eastAsia="en-AU"/>
        </w:rPr>
        <w:t xml:space="preserve"> the case of a transfer to a related entity of the transferor:</w:t>
      </w:r>
    </w:p>
    <w:p w14:paraId="32E68E1E" w14:textId="77777777" w:rsidR="0069647A" w:rsidRPr="00942352" w:rsidRDefault="0069647A" w:rsidP="0014738A">
      <w:pPr>
        <w:pStyle w:val="Quote3"/>
        <w:ind w:left="2880" w:hanging="720"/>
        <w:rPr>
          <w:lang w:eastAsia="en-AU"/>
        </w:rPr>
      </w:pPr>
      <w:r w:rsidRPr="00942352">
        <w:rPr>
          <w:lang w:eastAsia="en-AU"/>
        </w:rPr>
        <w:t>(</w:t>
      </w:r>
      <w:proofErr w:type="spellStart"/>
      <w:r w:rsidRPr="00942352">
        <w:rPr>
          <w:lang w:eastAsia="en-AU"/>
        </w:rPr>
        <w:t>i</w:t>
      </w:r>
      <w:proofErr w:type="spellEnd"/>
      <w:r w:rsidRPr="00942352">
        <w:rPr>
          <w:lang w:eastAsia="en-AU"/>
        </w:rPr>
        <w:t>)</w:t>
      </w:r>
      <w:r w:rsidRPr="00942352">
        <w:rPr>
          <w:lang w:eastAsia="en-AU"/>
        </w:rPr>
        <w:tab/>
      </w:r>
      <w:proofErr w:type="gramStart"/>
      <w:r w:rsidRPr="00942352">
        <w:rPr>
          <w:lang w:eastAsia="en-AU"/>
        </w:rPr>
        <w:t>the</w:t>
      </w:r>
      <w:proofErr w:type="gramEnd"/>
      <w:r w:rsidRPr="00942352">
        <w:rPr>
          <w:lang w:eastAsia="en-AU"/>
        </w:rPr>
        <w:t xml:space="preserve"> transfer took place more than 4 years before the commencement of the bankruptcy; and</w:t>
      </w:r>
    </w:p>
    <w:p w14:paraId="51E6E85E" w14:textId="77777777" w:rsidR="0069647A" w:rsidRPr="00942352" w:rsidRDefault="0069647A" w:rsidP="0014738A">
      <w:pPr>
        <w:pStyle w:val="Quote3"/>
        <w:ind w:left="2880" w:hanging="720"/>
        <w:rPr>
          <w:lang w:eastAsia="en-AU"/>
        </w:rPr>
      </w:pPr>
      <w:r w:rsidRPr="00942352">
        <w:rPr>
          <w:lang w:eastAsia="en-AU"/>
        </w:rPr>
        <w:t>(ii)</w:t>
      </w:r>
      <w:r w:rsidRPr="00942352">
        <w:rPr>
          <w:lang w:eastAsia="en-AU"/>
        </w:rPr>
        <w:tab/>
      </w:r>
      <w:proofErr w:type="gramStart"/>
      <w:r w:rsidRPr="00942352">
        <w:rPr>
          <w:lang w:eastAsia="en-AU"/>
        </w:rPr>
        <w:t>the</w:t>
      </w:r>
      <w:proofErr w:type="gramEnd"/>
      <w:r w:rsidRPr="00942352">
        <w:rPr>
          <w:lang w:eastAsia="en-AU"/>
        </w:rPr>
        <w:t xml:space="preserve"> transferee proves that, at the time of the transfer, the transferor was solvent; or</w:t>
      </w:r>
    </w:p>
    <w:p w14:paraId="226D4554" w14:textId="77777777" w:rsidR="0069647A" w:rsidRPr="00942352" w:rsidRDefault="0069647A" w:rsidP="008B4120">
      <w:pPr>
        <w:pStyle w:val="Quote2"/>
        <w:rPr>
          <w:lang w:eastAsia="en-AU"/>
        </w:rPr>
      </w:pPr>
      <w:r w:rsidRPr="00942352">
        <w:rPr>
          <w:lang w:eastAsia="en-AU"/>
        </w:rPr>
        <w:t>(b)</w:t>
      </w:r>
      <w:r w:rsidRPr="00942352">
        <w:rPr>
          <w:lang w:eastAsia="en-AU"/>
        </w:rPr>
        <w:tab/>
      </w:r>
      <w:proofErr w:type="gramStart"/>
      <w:r w:rsidRPr="00942352">
        <w:rPr>
          <w:lang w:eastAsia="en-AU"/>
        </w:rPr>
        <w:t>in</w:t>
      </w:r>
      <w:proofErr w:type="gramEnd"/>
      <w:r w:rsidRPr="00942352">
        <w:rPr>
          <w:lang w:eastAsia="en-AU"/>
        </w:rPr>
        <w:t xml:space="preserve"> any other case:</w:t>
      </w:r>
    </w:p>
    <w:p w14:paraId="55095F90" w14:textId="77777777" w:rsidR="0069647A" w:rsidRPr="00942352" w:rsidRDefault="0069647A" w:rsidP="0014738A">
      <w:pPr>
        <w:pStyle w:val="Quote3"/>
        <w:ind w:left="2880" w:hanging="720"/>
        <w:rPr>
          <w:lang w:eastAsia="en-AU"/>
        </w:rPr>
      </w:pPr>
      <w:r w:rsidRPr="00942352">
        <w:rPr>
          <w:lang w:eastAsia="en-AU"/>
        </w:rPr>
        <w:t>(</w:t>
      </w:r>
      <w:proofErr w:type="spellStart"/>
      <w:r w:rsidRPr="00942352">
        <w:rPr>
          <w:lang w:eastAsia="en-AU"/>
        </w:rPr>
        <w:t>i</w:t>
      </w:r>
      <w:proofErr w:type="spellEnd"/>
      <w:r w:rsidRPr="00942352">
        <w:rPr>
          <w:lang w:eastAsia="en-AU"/>
        </w:rPr>
        <w:t>)</w:t>
      </w:r>
      <w:r w:rsidRPr="00942352">
        <w:rPr>
          <w:lang w:eastAsia="en-AU"/>
        </w:rPr>
        <w:tab/>
      </w:r>
      <w:proofErr w:type="gramStart"/>
      <w:r w:rsidRPr="00942352">
        <w:rPr>
          <w:lang w:eastAsia="en-AU"/>
        </w:rPr>
        <w:t>the</w:t>
      </w:r>
      <w:proofErr w:type="gramEnd"/>
      <w:r w:rsidRPr="00942352">
        <w:rPr>
          <w:lang w:eastAsia="en-AU"/>
        </w:rPr>
        <w:t xml:space="preserve"> transfer took place more than 2 years before the commencement of the bankruptcy; and</w:t>
      </w:r>
    </w:p>
    <w:p w14:paraId="63A3EC0E" w14:textId="77777777" w:rsidR="0069647A" w:rsidRPr="00942352" w:rsidRDefault="0069647A" w:rsidP="0014738A">
      <w:pPr>
        <w:pStyle w:val="Quote3"/>
        <w:ind w:left="2880" w:hanging="720"/>
        <w:rPr>
          <w:lang w:eastAsia="en-AU"/>
        </w:rPr>
      </w:pPr>
      <w:r w:rsidRPr="00942352">
        <w:rPr>
          <w:lang w:eastAsia="en-AU"/>
        </w:rPr>
        <w:t>(ii)</w:t>
      </w:r>
      <w:r w:rsidRPr="00942352">
        <w:rPr>
          <w:lang w:eastAsia="en-AU"/>
        </w:rPr>
        <w:tab/>
      </w:r>
      <w:proofErr w:type="gramStart"/>
      <w:r w:rsidRPr="00942352">
        <w:rPr>
          <w:lang w:eastAsia="en-AU"/>
        </w:rPr>
        <w:t>the</w:t>
      </w:r>
      <w:proofErr w:type="gramEnd"/>
      <w:r w:rsidRPr="00942352">
        <w:rPr>
          <w:lang w:eastAsia="en-AU"/>
        </w:rPr>
        <w:t xml:space="preserve"> transferee proves that, at the time of the transfer, the transferor was solvent.</w:t>
      </w:r>
    </w:p>
    <w:p w14:paraId="22A3BFA3" w14:textId="77777777" w:rsidR="0069647A" w:rsidRPr="00942352" w:rsidRDefault="0069647A" w:rsidP="0069647A">
      <w:pPr>
        <w:pStyle w:val="Quote1"/>
        <w:ind w:firstLine="703"/>
        <w:rPr>
          <w:i/>
          <w:szCs w:val="22"/>
          <w:lang w:eastAsia="en-AU"/>
        </w:rPr>
      </w:pPr>
      <w:r w:rsidRPr="00942352">
        <w:rPr>
          <w:i/>
          <w:szCs w:val="22"/>
          <w:lang w:eastAsia="en-AU"/>
        </w:rPr>
        <w:lastRenderedPageBreak/>
        <w:t>Rebuttable presumption of insolvency</w:t>
      </w:r>
    </w:p>
    <w:p w14:paraId="7EFB8EED" w14:textId="77777777" w:rsidR="0069647A" w:rsidRPr="00942352" w:rsidRDefault="0069647A" w:rsidP="0069647A">
      <w:pPr>
        <w:pStyle w:val="Quote1"/>
        <w:ind w:left="1440" w:hanging="703"/>
        <w:rPr>
          <w:szCs w:val="22"/>
          <w:lang w:eastAsia="en-AU"/>
        </w:rPr>
      </w:pPr>
      <w:r w:rsidRPr="00942352">
        <w:rPr>
          <w:szCs w:val="22"/>
          <w:lang w:eastAsia="en-AU"/>
        </w:rPr>
        <w:t>(3A)</w:t>
      </w:r>
      <w:r w:rsidRPr="00942352">
        <w:rPr>
          <w:szCs w:val="22"/>
          <w:lang w:eastAsia="en-AU"/>
        </w:rPr>
        <w:tab/>
      </w:r>
      <w:proofErr w:type="gramStart"/>
      <w:r w:rsidRPr="00942352">
        <w:rPr>
          <w:szCs w:val="22"/>
          <w:lang w:eastAsia="en-AU"/>
        </w:rPr>
        <w:t>For</w:t>
      </w:r>
      <w:proofErr w:type="gramEnd"/>
      <w:r w:rsidRPr="00942352">
        <w:rPr>
          <w:szCs w:val="22"/>
          <w:lang w:eastAsia="en-AU"/>
        </w:rPr>
        <w:t xml:space="preserve"> the purposes of subsection (3), a rebuttable presumption arises that the transferor was insolvent at the time of the transfer if it is established that the transferor:</w:t>
      </w:r>
    </w:p>
    <w:p w14:paraId="13A71B94" w14:textId="77777777" w:rsidR="0069647A" w:rsidRPr="00942352" w:rsidRDefault="0069647A" w:rsidP="0014738A">
      <w:pPr>
        <w:pStyle w:val="Quote2"/>
        <w:ind w:left="2160" w:hanging="720"/>
        <w:rPr>
          <w:lang w:eastAsia="en-AU"/>
        </w:rPr>
      </w:pPr>
      <w:r w:rsidRPr="00942352">
        <w:rPr>
          <w:lang w:eastAsia="en-AU"/>
        </w:rPr>
        <w:t>(a)</w:t>
      </w:r>
      <w:r w:rsidRPr="00942352">
        <w:rPr>
          <w:lang w:eastAsia="en-AU"/>
        </w:rPr>
        <w:tab/>
        <w:t>had not, in respect of that time, kept such books, accounts and records as are usual and proper in relation to the business carried on by the transferor and as sufficiently disclose the transferor’s business transactions and financial position; or</w:t>
      </w:r>
    </w:p>
    <w:p w14:paraId="0CD9AB73" w14:textId="77777777" w:rsidR="0069647A" w:rsidRPr="00942352" w:rsidRDefault="0069647A" w:rsidP="0014738A">
      <w:pPr>
        <w:pStyle w:val="Quote2"/>
        <w:ind w:left="2160" w:hanging="720"/>
        <w:rPr>
          <w:lang w:eastAsia="en-AU"/>
        </w:rPr>
      </w:pPr>
      <w:r w:rsidRPr="00942352">
        <w:rPr>
          <w:lang w:eastAsia="en-AU"/>
        </w:rPr>
        <w:t>(b)</w:t>
      </w:r>
      <w:r w:rsidRPr="00942352">
        <w:rPr>
          <w:lang w:eastAsia="en-AU"/>
        </w:rPr>
        <w:tab/>
      </w:r>
      <w:proofErr w:type="gramStart"/>
      <w:r w:rsidRPr="00942352">
        <w:rPr>
          <w:lang w:eastAsia="en-AU"/>
        </w:rPr>
        <w:t>having</w:t>
      </w:r>
      <w:proofErr w:type="gramEnd"/>
      <w:r w:rsidRPr="00942352">
        <w:rPr>
          <w:lang w:eastAsia="en-AU"/>
        </w:rPr>
        <w:t xml:space="preserve"> kept such books, accounts and records, has not preserved them.</w:t>
      </w:r>
    </w:p>
    <w:p w14:paraId="1593147A" w14:textId="77777777" w:rsidR="0069647A" w:rsidRPr="00942352" w:rsidRDefault="0069647A" w:rsidP="0069647A">
      <w:pPr>
        <w:pStyle w:val="Quote1"/>
        <w:ind w:firstLine="703"/>
        <w:rPr>
          <w:i/>
          <w:szCs w:val="22"/>
          <w:lang w:eastAsia="en-AU"/>
        </w:rPr>
      </w:pPr>
      <w:r w:rsidRPr="00942352">
        <w:rPr>
          <w:i/>
          <w:szCs w:val="22"/>
          <w:lang w:eastAsia="en-AU"/>
        </w:rPr>
        <w:t>Refund of consideration</w:t>
      </w:r>
    </w:p>
    <w:p w14:paraId="46853A8D" w14:textId="77777777" w:rsidR="0069647A" w:rsidRPr="00942352" w:rsidRDefault="0069647A" w:rsidP="0069647A">
      <w:pPr>
        <w:pStyle w:val="Quote1"/>
        <w:ind w:left="1440" w:hanging="703"/>
        <w:rPr>
          <w:szCs w:val="22"/>
          <w:lang w:eastAsia="en-AU"/>
        </w:rPr>
      </w:pPr>
      <w:r w:rsidRPr="00942352">
        <w:rPr>
          <w:szCs w:val="22"/>
          <w:lang w:eastAsia="en-AU"/>
        </w:rPr>
        <w:t>(4)</w:t>
      </w:r>
      <w:r w:rsidRPr="00942352">
        <w:rPr>
          <w:szCs w:val="22"/>
          <w:lang w:eastAsia="en-AU"/>
        </w:rPr>
        <w:tab/>
        <w:t>The trustee must pay to the transferee an amount equal to the value of any consideration that the transferee gave for a transfer that is void against the trustee.</w:t>
      </w:r>
    </w:p>
    <w:p w14:paraId="00240FD7" w14:textId="77777777" w:rsidR="0069647A" w:rsidRPr="00942352" w:rsidRDefault="0069647A" w:rsidP="0069647A">
      <w:pPr>
        <w:pStyle w:val="Quote1"/>
        <w:ind w:firstLine="703"/>
        <w:rPr>
          <w:i/>
          <w:szCs w:val="22"/>
          <w:lang w:eastAsia="en-AU"/>
        </w:rPr>
      </w:pPr>
      <w:r w:rsidRPr="00942352">
        <w:rPr>
          <w:i/>
          <w:szCs w:val="22"/>
          <w:lang w:eastAsia="en-AU"/>
        </w:rPr>
        <w:t xml:space="preserve">What is not </w:t>
      </w:r>
      <w:proofErr w:type="gramStart"/>
      <w:r w:rsidRPr="00942352">
        <w:rPr>
          <w:i/>
          <w:szCs w:val="22"/>
          <w:lang w:eastAsia="en-AU"/>
        </w:rPr>
        <w:t>consideration</w:t>
      </w:r>
      <w:proofErr w:type="gramEnd"/>
    </w:p>
    <w:p w14:paraId="02804BB4" w14:textId="77777777" w:rsidR="0069647A" w:rsidRPr="00942352" w:rsidRDefault="0069647A" w:rsidP="0069647A">
      <w:pPr>
        <w:pStyle w:val="Quote1"/>
        <w:ind w:left="1440" w:hanging="703"/>
        <w:rPr>
          <w:szCs w:val="22"/>
          <w:lang w:eastAsia="en-AU"/>
        </w:rPr>
      </w:pPr>
      <w:r w:rsidRPr="00942352">
        <w:rPr>
          <w:szCs w:val="22"/>
          <w:lang w:eastAsia="en-AU"/>
        </w:rPr>
        <w:t>(5)</w:t>
      </w:r>
      <w:r w:rsidRPr="00942352">
        <w:rPr>
          <w:szCs w:val="22"/>
          <w:lang w:eastAsia="en-AU"/>
        </w:rPr>
        <w:tab/>
        <w:t>For the purposes of subsections (1) and (4), the following have no value as consideration:</w:t>
      </w:r>
    </w:p>
    <w:p w14:paraId="0EE4EC65" w14:textId="77777777" w:rsidR="0069647A" w:rsidRPr="00942352" w:rsidRDefault="0069647A" w:rsidP="0014738A">
      <w:pPr>
        <w:pStyle w:val="Quote2"/>
        <w:ind w:left="2160" w:hanging="720"/>
        <w:rPr>
          <w:lang w:eastAsia="en-AU"/>
        </w:rPr>
      </w:pPr>
      <w:r w:rsidRPr="00942352">
        <w:rPr>
          <w:lang w:eastAsia="en-AU"/>
        </w:rPr>
        <w:t>(a)</w:t>
      </w:r>
      <w:r w:rsidRPr="00942352">
        <w:rPr>
          <w:lang w:eastAsia="en-AU"/>
        </w:rPr>
        <w:tab/>
      </w:r>
      <w:proofErr w:type="gramStart"/>
      <w:r w:rsidRPr="00942352">
        <w:rPr>
          <w:lang w:eastAsia="en-AU"/>
        </w:rPr>
        <w:t>the</w:t>
      </w:r>
      <w:proofErr w:type="gramEnd"/>
      <w:r w:rsidRPr="00942352">
        <w:rPr>
          <w:lang w:eastAsia="en-AU"/>
        </w:rPr>
        <w:t xml:space="preserve"> fact that the transferee is related to the transferor;</w:t>
      </w:r>
    </w:p>
    <w:p w14:paraId="7F4DA2C9" w14:textId="77777777" w:rsidR="0069647A" w:rsidRPr="00942352" w:rsidRDefault="0069647A" w:rsidP="0014738A">
      <w:pPr>
        <w:pStyle w:val="Quote2"/>
        <w:ind w:left="2160" w:hanging="720"/>
        <w:rPr>
          <w:lang w:eastAsia="en-AU"/>
        </w:rPr>
      </w:pPr>
      <w:r w:rsidRPr="00942352">
        <w:rPr>
          <w:lang w:eastAsia="en-AU"/>
        </w:rPr>
        <w:t>(b)</w:t>
      </w:r>
      <w:r w:rsidRPr="00942352">
        <w:rPr>
          <w:lang w:eastAsia="en-AU"/>
        </w:rPr>
        <w:tab/>
      </w:r>
      <w:proofErr w:type="gramStart"/>
      <w:r w:rsidRPr="00942352">
        <w:rPr>
          <w:lang w:eastAsia="en-AU"/>
        </w:rPr>
        <w:t>if</w:t>
      </w:r>
      <w:proofErr w:type="gramEnd"/>
      <w:r w:rsidRPr="00942352">
        <w:rPr>
          <w:lang w:eastAsia="en-AU"/>
        </w:rPr>
        <w:t xml:space="preserve"> the transferee is the spouse or de facto partner of the transferor—the transferee making a deed in favour of the transferor;</w:t>
      </w:r>
    </w:p>
    <w:p w14:paraId="606AFD9A" w14:textId="77777777" w:rsidR="0069647A" w:rsidRPr="00942352" w:rsidRDefault="0069647A" w:rsidP="0014738A">
      <w:pPr>
        <w:pStyle w:val="Quote2"/>
        <w:ind w:left="2160" w:hanging="720"/>
        <w:rPr>
          <w:lang w:eastAsia="en-AU"/>
        </w:rPr>
      </w:pPr>
      <w:r w:rsidRPr="00942352">
        <w:rPr>
          <w:lang w:eastAsia="en-AU"/>
        </w:rPr>
        <w:t>(c)</w:t>
      </w:r>
      <w:r w:rsidRPr="00942352">
        <w:rPr>
          <w:lang w:eastAsia="en-AU"/>
        </w:rPr>
        <w:tab/>
      </w:r>
      <w:proofErr w:type="gramStart"/>
      <w:r w:rsidRPr="00942352">
        <w:rPr>
          <w:lang w:eastAsia="en-AU"/>
        </w:rPr>
        <w:t>the</w:t>
      </w:r>
      <w:proofErr w:type="gramEnd"/>
      <w:r w:rsidRPr="00942352">
        <w:rPr>
          <w:lang w:eastAsia="en-AU"/>
        </w:rPr>
        <w:t xml:space="preserve"> transferee’s promise to marry, or to become the de facto partner of, the transferor;</w:t>
      </w:r>
    </w:p>
    <w:p w14:paraId="038FF9DB" w14:textId="77777777" w:rsidR="0069647A" w:rsidRPr="00942352" w:rsidRDefault="0069647A" w:rsidP="0014738A">
      <w:pPr>
        <w:pStyle w:val="Quote2"/>
        <w:ind w:left="2160" w:hanging="720"/>
        <w:rPr>
          <w:lang w:eastAsia="en-AU"/>
        </w:rPr>
      </w:pPr>
      <w:r w:rsidRPr="00942352">
        <w:rPr>
          <w:lang w:eastAsia="en-AU"/>
        </w:rPr>
        <w:t>(d)</w:t>
      </w:r>
      <w:r w:rsidRPr="00942352">
        <w:rPr>
          <w:lang w:eastAsia="en-AU"/>
        </w:rPr>
        <w:tab/>
      </w:r>
      <w:proofErr w:type="gramStart"/>
      <w:r w:rsidRPr="00942352">
        <w:rPr>
          <w:lang w:eastAsia="en-AU"/>
        </w:rPr>
        <w:t>the</w:t>
      </w:r>
      <w:proofErr w:type="gramEnd"/>
      <w:r w:rsidRPr="00942352">
        <w:rPr>
          <w:lang w:eastAsia="en-AU"/>
        </w:rPr>
        <w:t xml:space="preserve"> transferee’s love or affection for the transferor;</w:t>
      </w:r>
    </w:p>
    <w:p w14:paraId="4570F22B" w14:textId="77777777" w:rsidR="0069647A" w:rsidRPr="00942352" w:rsidRDefault="0069647A" w:rsidP="0014738A">
      <w:pPr>
        <w:pStyle w:val="Quote2"/>
        <w:ind w:left="2160" w:hanging="720"/>
        <w:rPr>
          <w:lang w:eastAsia="en-AU"/>
        </w:rPr>
      </w:pPr>
      <w:r w:rsidRPr="00942352">
        <w:rPr>
          <w:lang w:eastAsia="en-AU"/>
        </w:rPr>
        <w:t>(e)</w:t>
      </w:r>
      <w:r w:rsidRPr="00942352">
        <w:rPr>
          <w:lang w:eastAsia="en-AU"/>
        </w:rPr>
        <w:tab/>
        <w:t xml:space="preserve">if the transferee is the spouse, or a former spouse, of the transferor—the transferee granting the transferor a right to live at the transferred property, unless the grant relates to a transfer or settlement of property, or an agreement, under the </w:t>
      </w:r>
      <w:r w:rsidRPr="00942352">
        <w:rPr>
          <w:i/>
          <w:lang w:eastAsia="en-AU"/>
        </w:rPr>
        <w:t>Family Law Act 1975</w:t>
      </w:r>
      <w:r w:rsidRPr="00942352">
        <w:rPr>
          <w:lang w:eastAsia="en-AU"/>
        </w:rPr>
        <w:t>;</w:t>
      </w:r>
    </w:p>
    <w:p w14:paraId="19072A86" w14:textId="5805BBAF" w:rsidR="0069647A" w:rsidRPr="00942352" w:rsidRDefault="0069647A" w:rsidP="0014738A">
      <w:pPr>
        <w:pStyle w:val="Quote2"/>
        <w:ind w:left="2160" w:hanging="720"/>
        <w:rPr>
          <w:lang w:eastAsia="en-AU"/>
        </w:rPr>
      </w:pPr>
      <w:r w:rsidRPr="00942352">
        <w:rPr>
          <w:lang w:eastAsia="en-AU"/>
        </w:rPr>
        <w:t>(f)</w:t>
      </w:r>
      <w:r w:rsidRPr="00942352">
        <w:rPr>
          <w:lang w:eastAsia="en-AU"/>
        </w:rPr>
        <w:tab/>
        <w:t xml:space="preserve">if the transferee is a former de facto partner of the transferor—the transferee granting the transferor a right to live at the transferred property, unless the grant relates to a transfer or settlement of property, or an agreement, under the </w:t>
      </w:r>
      <w:r w:rsidRPr="00942352">
        <w:rPr>
          <w:i/>
          <w:lang w:eastAsia="en-AU"/>
        </w:rPr>
        <w:t>Family Law Act 1975</w:t>
      </w:r>
      <w:r w:rsidR="008D52F4" w:rsidRPr="00942352">
        <w:rPr>
          <w:lang w:eastAsia="en-AU"/>
        </w:rPr>
        <w:t xml:space="preserve"> or the </w:t>
      </w:r>
      <w:r w:rsidR="008D52F4" w:rsidRPr="00942352">
        <w:rPr>
          <w:i/>
          <w:lang w:eastAsia="en-AU"/>
        </w:rPr>
        <w:t>Family Court Act 1997</w:t>
      </w:r>
      <w:r w:rsidR="008D52F4" w:rsidRPr="00942352">
        <w:rPr>
          <w:lang w:eastAsia="en-AU"/>
        </w:rPr>
        <w:t xml:space="preserve"> (WA)</w:t>
      </w:r>
      <w:r w:rsidRPr="00942352">
        <w:rPr>
          <w:lang w:eastAsia="en-AU"/>
        </w:rPr>
        <w:t>.</w:t>
      </w:r>
    </w:p>
    <w:p w14:paraId="42F7146C" w14:textId="77777777" w:rsidR="0069647A" w:rsidRPr="00942352" w:rsidRDefault="0069647A" w:rsidP="0069647A">
      <w:pPr>
        <w:pStyle w:val="Quote1"/>
        <w:ind w:firstLine="703"/>
        <w:rPr>
          <w:i/>
          <w:szCs w:val="22"/>
          <w:lang w:eastAsia="en-AU"/>
        </w:rPr>
      </w:pPr>
      <w:r w:rsidRPr="00942352">
        <w:rPr>
          <w:i/>
          <w:szCs w:val="22"/>
          <w:lang w:eastAsia="en-AU"/>
        </w:rPr>
        <w:t>Protection of successors in title</w:t>
      </w:r>
    </w:p>
    <w:p w14:paraId="1BD7407D" w14:textId="77777777" w:rsidR="0069647A" w:rsidRPr="00942352" w:rsidRDefault="0069647A" w:rsidP="0069647A">
      <w:pPr>
        <w:pStyle w:val="Quote1"/>
        <w:ind w:left="1440" w:hanging="703"/>
        <w:rPr>
          <w:szCs w:val="22"/>
          <w:lang w:eastAsia="en-AU"/>
        </w:rPr>
      </w:pPr>
      <w:r w:rsidRPr="00942352">
        <w:rPr>
          <w:szCs w:val="22"/>
          <w:lang w:eastAsia="en-AU"/>
        </w:rPr>
        <w:t>(6)</w:t>
      </w:r>
      <w:r w:rsidRPr="00942352">
        <w:rPr>
          <w:szCs w:val="22"/>
          <w:lang w:eastAsia="en-AU"/>
        </w:rPr>
        <w:tab/>
        <w:t>This section does not affect the rights of a person who acquired property from the transferee in good faith and by giving consideration that was at least as valuable as the market value of the property.</w:t>
      </w:r>
    </w:p>
    <w:p w14:paraId="2BD1B94D" w14:textId="77777777" w:rsidR="0069647A" w:rsidRPr="00942352" w:rsidRDefault="0069647A" w:rsidP="0069647A">
      <w:pPr>
        <w:pStyle w:val="Quote1"/>
        <w:ind w:firstLine="703"/>
        <w:rPr>
          <w:i/>
          <w:szCs w:val="22"/>
          <w:lang w:eastAsia="en-AU"/>
        </w:rPr>
      </w:pPr>
      <w:r w:rsidRPr="00942352">
        <w:rPr>
          <w:i/>
          <w:szCs w:val="22"/>
          <w:lang w:eastAsia="en-AU"/>
        </w:rPr>
        <w:t xml:space="preserve">Meaning of </w:t>
      </w:r>
      <w:r w:rsidRPr="00942352">
        <w:rPr>
          <w:b/>
          <w:i/>
          <w:szCs w:val="22"/>
          <w:lang w:eastAsia="en-AU"/>
        </w:rPr>
        <w:t xml:space="preserve">transfer of property </w:t>
      </w:r>
      <w:r w:rsidRPr="00942352">
        <w:rPr>
          <w:i/>
          <w:szCs w:val="22"/>
          <w:lang w:eastAsia="en-AU"/>
        </w:rPr>
        <w:t xml:space="preserve">and </w:t>
      </w:r>
      <w:r w:rsidRPr="00942352">
        <w:rPr>
          <w:b/>
          <w:i/>
          <w:szCs w:val="22"/>
          <w:lang w:eastAsia="en-AU"/>
        </w:rPr>
        <w:t>market value</w:t>
      </w:r>
    </w:p>
    <w:p w14:paraId="27BE9A2A" w14:textId="77777777" w:rsidR="0069647A" w:rsidRPr="00942352" w:rsidRDefault="0069647A" w:rsidP="0069647A">
      <w:pPr>
        <w:pStyle w:val="Quote1"/>
        <w:rPr>
          <w:szCs w:val="22"/>
          <w:lang w:eastAsia="en-AU"/>
        </w:rPr>
      </w:pPr>
      <w:r w:rsidRPr="00942352">
        <w:rPr>
          <w:szCs w:val="22"/>
          <w:lang w:eastAsia="en-AU"/>
        </w:rPr>
        <w:t>(7)</w:t>
      </w:r>
      <w:r w:rsidRPr="00942352">
        <w:rPr>
          <w:szCs w:val="22"/>
          <w:lang w:eastAsia="en-AU"/>
        </w:rPr>
        <w:tab/>
        <w:t>For the purposes of this section:</w:t>
      </w:r>
    </w:p>
    <w:p w14:paraId="562CF2E8" w14:textId="77777777" w:rsidR="0069647A" w:rsidRPr="00942352" w:rsidRDefault="0069647A" w:rsidP="006C4522">
      <w:pPr>
        <w:pStyle w:val="Quote2"/>
        <w:rPr>
          <w:lang w:eastAsia="en-AU"/>
        </w:rPr>
      </w:pPr>
      <w:r w:rsidRPr="00942352">
        <w:rPr>
          <w:lang w:eastAsia="en-AU"/>
        </w:rPr>
        <w:t>(a)</w:t>
      </w:r>
      <w:r w:rsidRPr="00942352">
        <w:rPr>
          <w:lang w:eastAsia="en-AU"/>
        </w:rPr>
        <w:tab/>
      </w:r>
      <w:proofErr w:type="gramStart"/>
      <w:r w:rsidRPr="00942352">
        <w:rPr>
          <w:b/>
          <w:i/>
          <w:lang w:eastAsia="en-AU"/>
        </w:rPr>
        <w:t>transfer</w:t>
      </w:r>
      <w:proofErr w:type="gramEnd"/>
      <w:r w:rsidRPr="00942352">
        <w:rPr>
          <w:b/>
          <w:i/>
          <w:lang w:eastAsia="en-AU"/>
        </w:rPr>
        <w:t xml:space="preserve"> of property </w:t>
      </w:r>
      <w:r w:rsidRPr="00942352">
        <w:rPr>
          <w:lang w:eastAsia="en-AU"/>
        </w:rPr>
        <w:t>includes a payment of money; and</w:t>
      </w:r>
    </w:p>
    <w:p w14:paraId="156F8A39" w14:textId="77777777" w:rsidR="0069647A" w:rsidRPr="00942352" w:rsidRDefault="0069647A" w:rsidP="006C4522">
      <w:pPr>
        <w:pStyle w:val="Quote2"/>
        <w:ind w:left="2160" w:hanging="720"/>
        <w:rPr>
          <w:lang w:eastAsia="en-AU"/>
        </w:rPr>
      </w:pPr>
      <w:r w:rsidRPr="00942352">
        <w:rPr>
          <w:lang w:eastAsia="en-AU"/>
        </w:rPr>
        <w:t>(b)</w:t>
      </w:r>
      <w:r w:rsidRPr="00942352">
        <w:rPr>
          <w:lang w:eastAsia="en-AU"/>
        </w:rPr>
        <w:tab/>
      </w:r>
      <w:proofErr w:type="gramStart"/>
      <w:r w:rsidRPr="00942352">
        <w:rPr>
          <w:lang w:eastAsia="en-AU"/>
        </w:rPr>
        <w:t>a</w:t>
      </w:r>
      <w:proofErr w:type="gramEnd"/>
      <w:r w:rsidRPr="00942352">
        <w:rPr>
          <w:lang w:eastAsia="en-AU"/>
        </w:rPr>
        <w:t xml:space="preserve"> person who does something that results in another person becoming the owner of property that did not previously exist is taken to have transferred the property to the other person; and</w:t>
      </w:r>
    </w:p>
    <w:p w14:paraId="73165B4F" w14:textId="7E75C0B6" w:rsidR="0069647A" w:rsidRDefault="0069647A" w:rsidP="006C4522">
      <w:pPr>
        <w:pStyle w:val="Quote2"/>
        <w:ind w:left="2160" w:hanging="720"/>
        <w:rPr>
          <w:lang w:eastAsia="en-AU"/>
        </w:rPr>
      </w:pPr>
      <w:r w:rsidRPr="00942352">
        <w:rPr>
          <w:lang w:eastAsia="en-AU"/>
        </w:rPr>
        <w:lastRenderedPageBreak/>
        <w:t>(c)</w:t>
      </w:r>
      <w:r w:rsidRPr="00942352">
        <w:rPr>
          <w:lang w:eastAsia="en-AU"/>
        </w:rPr>
        <w:tab/>
      </w:r>
      <w:proofErr w:type="gramStart"/>
      <w:r w:rsidRPr="00942352">
        <w:rPr>
          <w:lang w:eastAsia="en-AU"/>
        </w:rPr>
        <w:t>the</w:t>
      </w:r>
      <w:proofErr w:type="gramEnd"/>
      <w:r w:rsidRPr="00942352">
        <w:rPr>
          <w:b/>
          <w:i/>
          <w:lang w:eastAsia="en-AU"/>
        </w:rPr>
        <w:t xml:space="preserve"> market value</w:t>
      </w:r>
      <w:r w:rsidRPr="00942352">
        <w:rPr>
          <w:lang w:eastAsia="en-AU"/>
        </w:rPr>
        <w:t xml:space="preserve"> of property transferred is its market value at the time of the transfer.</w:t>
      </w:r>
    </w:p>
    <w:p w14:paraId="066EFC48" w14:textId="71273711" w:rsidR="00153933" w:rsidRPr="00942352" w:rsidRDefault="00153933" w:rsidP="00153933">
      <w:pPr>
        <w:pStyle w:val="Quote1"/>
        <w:rPr>
          <w:lang w:eastAsia="en-AU"/>
        </w:rPr>
      </w:pPr>
      <w:r>
        <w:rPr>
          <w:lang w:eastAsia="en-AU"/>
        </w:rPr>
        <w:t>(Emphasis in original.)</w:t>
      </w:r>
    </w:p>
    <w:p w14:paraId="418854DC" w14:textId="5BC4C55F" w:rsidR="008D6AF0" w:rsidRPr="00942352" w:rsidRDefault="00155C95" w:rsidP="00155C95">
      <w:pPr>
        <w:pStyle w:val="ParaNumbering"/>
        <w:numPr>
          <w:ilvl w:val="0"/>
          <w:numId w:val="0"/>
        </w:numPr>
        <w:ind w:hanging="720"/>
        <w:rPr>
          <w:lang w:eastAsia="en-AU"/>
        </w:rPr>
      </w:pPr>
      <w:bookmarkStart w:id="133" w:name="_Ref128662556"/>
      <w:r w:rsidRPr="00942352">
        <w:rPr>
          <w:sz w:val="20"/>
          <w:lang w:eastAsia="en-AU"/>
        </w:rPr>
        <w:t>263</w:t>
      </w:r>
      <w:r w:rsidRPr="00942352">
        <w:rPr>
          <w:sz w:val="20"/>
          <w:lang w:eastAsia="en-AU"/>
        </w:rPr>
        <w:tab/>
      </w:r>
      <w:r w:rsidR="008D6AF0" w:rsidRPr="00942352">
        <w:rPr>
          <w:lang w:eastAsia="en-AU"/>
        </w:rPr>
        <w:t xml:space="preserve">The purpose of s 120 was concisely described by the Full Court in </w:t>
      </w:r>
      <w:r w:rsidR="008D6AF0" w:rsidRPr="00942352">
        <w:rPr>
          <w:i/>
          <w:lang w:eastAsia="en-AU"/>
        </w:rPr>
        <w:t xml:space="preserve">Official Trustee </w:t>
      </w:r>
      <w:r w:rsidR="00880DED" w:rsidRPr="00942352">
        <w:rPr>
          <w:i/>
          <w:lang w:eastAsia="en-AU"/>
        </w:rPr>
        <w:t>in Bankruptcy</w:t>
      </w:r>
      <w:r w:rsidR="008D6AF0" w:rsidRPr="00942352">
        <w:rPr>
          <w:i/>
          <w:lang w:eastAsia="en-AU"/>
        </w:rPr>
        <w:t xml:space="preserve"> v </w:t>
      </w:r>
      <w:proofErr w:type="spellStart"/>
      <w:r w:rsidR="008D6AF0" w:rsidRPr="00942352">
        <w:rPr>
          <w:b/>
          <w:i/>
          <w:lang w:eastAsia="en-AU"/>
        </w:rPr>
        <w:t>Lopatinsky</w:t>
      </w:r>
      <w:proofErr w:type="spellEnd"/>
      <w:r w:rsidR="008D6AF0" w:rsidRPr="00942352">
        <w:rPr>
          <w:i/>
          <w:lang w:eastAsia="en-AU"/>
        </w:rPr>
        <w:t xml:space="preserve"> </w:t>
      </w:r>
      <w:r w:rsidR="008D6AF0" w:rsidRPr="00942352">
        <w:rPr>
          <w:lang w:eastAsia="en-AU"/>
        </w:rPr>
        <w:t>[</w:t>
      </w:r>
      <w:r w:rsidR="00880DED" w:rsidRPr="00942352">
        <w:rPr>
          <w:lang w:eastAsia="en-AU"/>
        </w:rPr>
        <w:t>2003] FCAFC 109; 129 FCR 234</w:t>
      </w:r>
      <w:r w:rsidR="008D6AF0" w:rsidRPr="00942352">
        <w:rPr>
          <w:lang w:eastAsia="en-AU"/>
        </w:rPr>
        <w:t xml:space="preserve"> at [92</w:t>
      </w:r>
      <w:r w:rsidR="00880DED" w:rsidRPr="00942352">
        <w:rPr>
          <w:lang w:eastAsia="en-AU"/>
        </w:rPr>
        <w:t>]</w:t>
      </w:r>
      <w:r w:rsidR="003814A6" w:rsidRPr="00942352">
        <w:rPr>
          <w:lang w:eastAsia="en-AU"/>
        </w:rPr>
        <w:t>:</w:t>
      </w:r>
      <w:bookmarkEnd w:id="133"/>
    </w:p>
    <w:p w14:paraId="04ABE2EF" w14:textId="43D98969" w:rsidR="00880DED" w:rsidRPr="00942352" w:rsidRDefault="00880DED" w:rsidP="00880DED">
      <w:pPr>
        <w:pStyle w:val="Quote1"/>
        <w:rPr>
          <w:lang w:eastAsia="en-AU"/>
        </w:rPr>
      </w:pPr>
      <w:r w:rsidRPr="00942352">
        <w:rPr>
          <w:lang w:eastAsia="en-AU"/>
        </w:rPr>
        <w:t>The purpose of the existing s 120 is no different from its predecessors here and in the United Kingdom. Relevantly, it is to prevent properties, including the matrimonial home, from being transferred to related parties to the disadvantage of the b</w:t>
      </w:r>
      <w:r w:rsidR="000C00E7" w:rsidRPr="00942352">
        <w:rPr>
          <w:lang w:eastAsia="en-AU"/>
        </w:rPr>
        <w:t>ankrupt’</w:t>
      </w:r>
      <w:r w:rsidRPr="00942352">
        <w:rPr>
          <w:lang w:eastAsia="en-AU"/>
        </w:rPr>
        <w:t xml:space="preserve">s creditors. Disadvantage will occur if the property is transferred for no consideration or for less than market value. Thus, unlike its predecessor, the existing section requires the Court to determine the value of the consideration given: see </w:t>
      </w:r>
      <w:r w:rsidRPr="00942352">
        <w:rPr>
          <w:i/>
          <w:lang w:eastAsia="en-AU"/>
        </w:rPr>
        <w:t>Vic</w:t>
      </w:r>
      <w:r w:rsidR="000C00E7" w:rsidRPr="00942352">
        <w:rPr>
          <w:i/>
          <w:lang w:eastAsia="en-AU"/>
        </w:rPr>
        <w:t>torian Producers’</w:t>
      </w:r>
      <w:r w:rsidRPr="00942352">
        <w:rPr>
          <w:i/>
          <w:lang w:eastAsia="en-AU"/>
        </w:rPr>
        <w:t xml:space="preserve"> Co-Operative Co Ltd v Kenneth</w:t>
      </w:r>
      <w:r w:rsidRPr="00942352">
        <w:rPr>
          <w:lang w:eastAsia="en-AU"/>
        </w:rPr>
        <w:t xml:space="preserve"> (1999) 1 ABC (NS) 198 at [11] per Merkel J.</w:t>
      </w:r>
    </w:p>
    <w:p w14:paraId="60D6BF3E" w14:textId="7EE2BEF5" w:rsidR="0069647A" w:rsidRPr="00942352" w:rsidRDefault="00155C95" w:rsidP="00155C95">
      <w:pPr>
        <w:pStyle w:val="ParaNumbering"/>
        <w:numPr>
          <w:ilvl w:val="0"/>
          <w:numId w:val="0"/>
        </w:numPr>
        <w:ind w:hanging="720"/>
        <w:rPr>
          <w:lang w:eastAsia="en-AU"/>
        </w:rPr>
      </w:pPr>
      <w:r w:rsidRPr="00942352">
        <w:rPr>
          <w:sz w:val="20"/>
          <w:lang w:eastAsia="en-AU"/>
        </w:rPr>
        <w:t>264</w:t>
      </w:r>
      <w:r w:rsidRPr="00942352">
        <w:rPr>
          <w:sz w:val="20"/>
          <w:lang w:eastAsia="en-AU"/>
        </w:rPr>
        <w:tab/>
      </w:r>
      <w:r w:rsidR="00D73FAE" w:rsidRPr="00942352">
        <w:rPr>
          <w:lang w:eastAsia="en-AU"/>
        </w:rPr>
        <w:t>Accordingly, subs</w:t>
      </w:r>
      <w:r w:rsidR="00481931" w:rsidRPr="00942352">
        <w:rPr>
          <w:lang w:eastAsia="en-AU"/>
        </w:rPr>
        <w:t xml:space="preserve"> 120(1) provides that a transfer of property by a person </w:t>
      </w:r>
      <w:r w:rsidR="00D73FAE" w:rsidRPr="00942352">
        <w:rPr>
          <w:lang w:eastAsia="en-AU"/>
        </w:rPr>
        <w:t>(</w:t>
      </w:r>
      <w:r w:rsidR="00481931" w:rsidRPr="00942352">
        <w:rPr>
          <w:lang w:eastAsia="en-AU"/>
        </w:rPr>
        <w:t>who later becomes bankrupt</w:t>
      </w:r>
      <w:r w:rsidR="00D73FAE" w:rsidRPr="00942352">
        <w:rPr>
          <w:lang w:eastAsia="en-AU"/>
        </w:rPr>
        <w:t>)</w:t>
      </w:r>
      <w:r w:rsidR="00481931" w:rsidRPr="00942352">
        <w:rPr>
          <w:lang w:eastAsia="en-AU"/>
        </w:rPr>
        <w:t xml:space="preserve"> to another person is void against the trustee in the transferor’s bankruptcy if:</w:t>
      </w:r>
    </w:p>
    <w:p w14:paraId="64AD2890" w14:textId="1176352D" w:rsidR="00481931" w:rsidRPr="00942352" w:rsidRDefault="00155C95" w:rsidP="00155C95">
      <w:pPr>
        <w:pStyle w:val="ListNo1alt"/>
        <w:numPr>
          <w:ilvl w:val="0"/>
          <w:numId w:val="0"/>
        </w:numPr>
        <w:tabs>
          <w:tab w:val="left" w:pos="720"/>
        </w:tabs>
        <w:ind w:left="720" w:hanging="720"/>
        <w:rPr>
          <w:lang w:eastAsia="en-AU"/>
        </w:rPr>
      </w:pPr>
      <w:r w:rsidRPr="00942352">
        <w:rPr>
          <w:lang w:eastAsia="en-AU"/>
        </w:rPr>
        <w:t>(a)</w:t>
      </w:r>
      <w:r w:rsidRPr="00942352">
        <w:rPr>
          <w:lang w:eastAsia="en-AU"/>
        </w:rPr>
        <w:tab/>
      </w:r>
      <w:r w:rsidR="00481931" w:rsidRPr="00942352">
        <w:rPr>
          <w:lang w:eastAsia="en-AU"/>
        </w:rPr>
        <w:t>the transfer took place in the period beginning five years before the commencement of the bankruptcy and ending on the date of the bankruptcy; and</w:t>
      </w:r>
    </w:p>
    <w:p w14:paraId="3E6C62F4" w14:textId="54C7D654" w:rsidR="00481931" w:rsidRPr="00942352" w:rsidRDefault="00155C95" w:rsidP="00155C95">
      <w:pPr>
        <w:pStyle w:val="ListNo1alt"/>
        <w:numPr>
          <w:ilvl w:val="0"/>
          <w:numId w:val="0"/>
        </w:numPr>
        <w:tabs>
          <w:tab w:val="left" w:pos="720"/>
        </w:tabs>
        <w:ind w:left="720" w:hanging="720"/>
        <w:rPr>
          <w:lang w:eastAsia="en-AU"/>
        </w:rPr>
      </w:pPr>
      <w:r w:rsidRPr="00942352">
        <w:rPr>
          <w:lang w:eastAsia="en-AU"/>
        </w:rPr>
        <w:t>(b)</w:t>
      </w:r>
      <w:r w:rsidRPr="00942352">
        <w:rPr>
          <w:lang w:eastAsia="en-AU"/>
        </w:rPr>
        <w:tab/>
      </w:r>
      <w:proofErr w:type="gramStart"/>
      <w:r w:rsidR="00481931" w:rsidRPr="00942352">
        <w:rPr>
          <w:lang w:eastAsia="en-AU"/>
        </w:rPr>
        <w:t>the</w:t>
      </w:r>
      <w:proofErr w:type="gramEnd"/>
      <w:r w:rsidR="00481931" w:rsidRPr="00942352">
        <w:rPr>
          <w:lang w:eastAsia="en-AU"/>
        </w:rPr>
        <w:t xml:space="preserve"> transferee gave no consideration for the transfer or gave consideration of less value than the market value of the property.</w:t>
      </w:r>
    </w:p>
    <w:p w14:paraId="4D036C4B" w14:textId="158CC755" w:rsidR="00481931" w:rsidRPr="00942352" w:rsidRDefault="00155C95" w:rsidP="00155C95">
      <w:pPr>
        <w:pStyle w:val="ParaNumbering"/>
        <w:numPr>
          <w:ilvl w:val="0"/>
          <w:numId w:val="0"/>
        </w:numPr>
        <w:ind w:hanging="720"/>
        <w:rPr>
          <w:lang w:eastAsia="en-AU"/>
        </w:rPr>
      </w:pPr>
      <w:r w:rsidRPr="00942352">
        <w:rPr>
          <w:sz w:val="20"/>
          <w:lang w:eastAsia="en-AU"/>
        </w:rPr>
        <w:t>265</w:t>
      </w:r>
      <w:r w:rsidRPr="00942352">
        <w:rPr>
          <w:sz w:val="20"/>
          <w:lang w:eastAsia="en-AU"/>
        </w:rPr>
        <w:tab/>
      </w:r>
      <w:r w:rsidR="00481931" w:rsidRPr="00942352">
        <w:rPr>
          <w:lang w:eastAsia="en-AU"/>
        </w:rPr>
        <w:t xml:space="preserve">A transfer of property includes a payment of money: s 120(7). </w:t>
      </w:r>
    </w:p>
    <w:p w14:paraId="7B4C3A1D" w14:textId="6416FC37" w:rsidR="00937F86" w:rsidRPr="00942352" w:rsidRDefault="00937F86" w:rsidP="00EB4E8C">
      <w:pPr>
        <w:pStyle w:val="Heading4"/>
        <w:rPr>
          <w:lang w:eastAsia="en-AU"/>
        </w:rPr>
      </w:pPr>
      <w:bookmarkStart w:id="134" w:name="_Ref126916988"/>
      <w:r w:rsidRPr="00942352">
        <w:rPr>
          <w:lang w:eastAsia="en-AU"/>
        </w:rPr>
        <w:t>The s 120(1) claim</w:t>
      </w:r>
      <w:bookmarkEnd w:id="118"/>
      <w:bookmarkEnd w:id="134"/>
      <w:r w:rsidRPr="00942352">
        <w:rPr>
          <w:lang w:eastAsia="en-AU"/>
        </w:rPr>
        <w:t xml:space="preserve"> </w:t>
      </w:r>
    </w:p>
    <w:p w14:paraId="2434576C" w14:textId="5A269772" w:rsidR="00F27CD4" w:rsidRPr="00942352" w:rsidRDefault="00155C95" w:rsidP="00155C95">
      <w:pPr>
        <w:pStyle w:val="ParaNumbering"/>
        <w:numPr>
          <w:ilvl w:val="0"/>
          <w:numId w:val="0"/>
        </w:numPr>
        <w:ind w:hanging="720"/>
      </w:pPr>
      <w:r w:rsidRPr="00942352">
        <w:rPr>
          <w:sz w:val="20"/>
        </w:rPr>
        <w:t>266</w:t>
      </w:r>
      <w:r w:rsidRPr="00942352">
        <w:rPr>
          <w:sz w:val="20"/>
        </w:rPr>
        <w:tab/>
      </w:r>
      <w:r w:rsidR="004F0E68" w:rsidRPr="00942352">
        <w:t>T</w:t>
      </w:r>
      <w:r w:rsidR="00F27CD4" w:rsidRPr="00942352">
        <w:t>he trustee contends that the bankrupt’s funds</w:t>
      </w:r>
      <w:r w:rsidR="00F27CD4" w:rsidRPr="00942352">
        <w:rPr>
          <w:spacing w:val="-2"/>
        </w:rPr>
        <w:t xml:space="preserve"> </w:t>
      </w:r>
      <w:r w:rsidR="00F27CD4" w:rsidRPr="00942352">
        <w:t>were</w:t>
      </w:r>
      <w:r w:rsidR="00F27CD4" w:rsidRPr="00942352">
        <w:rPr>
          <w:spacing w:val="-4"/>
        </w:rPr>
        <w:t xml:space="preserve"> </w:t>
      </w:r>
      <w:r w:rsidR="00F27CD4" w:rsidRPr="00942352">
        <w:t>transferred</w:t>
      </w:r>
      <w:r w:rsidR="00F27CD4" w:rsidRPr="00942352">
        <w:rPr>
          <w:spacing w:val="-4"/>
        </w:rPr>
        <w:t xml:space="preserve"> </w:t>
      </w:r>
      <w:r w:rsidR="00F27CD4" w:rsidRPr="00942352">
        <w:t>to</w:t>
      </w:r>
      <w:r w:rsidR="00F27CD4" w:rsidRPr="00942352">
        <w:rPr>
          <w:spacing w:val="-4"/>
        </w:rPr>
        <w:t xml:space="preserve"> </w:t>
      </w:r>
      <w:r w:rsidR="00F27CD4" w:rsidRPr="00942352">
        <w:t>the</w:t>
      </w:r>
      <w:r w:rsidR="00F27CD4" w:rsidRPr="00942352">
        <w:rPr>
          <w:spacing w:val="-4"/>
        </w:rPr>
        <w:t xml:space="preserve"> r</w:t>
      </w:r>
      <w:r w:rsidR="00F27CD4" w:rsidRPr="00942352">
        <w:t>espondent, by</w:t>
      </w:r>
      <w:r w:rsidR="00F27CD4" w:rsidRPr="00942352">
        <w:rPr>
          <w:spacing w:val="-4"/>
        </w:rPr>
        <w:t xml:space="preserve"> </w:t>
      </w:r>
      <w:r w:rsidR="00F27CD4" w:rsidRPr="00942352">
        <w:t>applying</w:t>
      </w:r>
      <w:r w:rsidR="00F27CD4" w:rsidRPr="00942352">
        <w:rPr>
          <w:spacing w:val="-2"/>
        </w:rPr>
        <w:t xml:space="preserve"> </w:t>
      </w:r>
      <w:r w:rsidR="00F27CD4" w:rsidRPr="00942352">
        <w:t>them</w:t>
      </w:r>
      <w:r w:rsidR="00F27CD4" w:rsidRPr="00942352">
        <w:rPr>
          <w:spacing w:val="-2"/>
        </w:rPr>
        <w:t xml:space="preserve"> </w:t>
      </w:r>
      <w:r w:rsidR="00F27CD4" w:rsidRPr="00942352">
        <w:t>to</w:t>
      </w:r>
      <w:r w:rsidR="00F27CD4" w:rsidRPr="00942352">
        <w:rPr>
          <w:spacing w:val="-5"/>
        </w:rPr>
        <w:t xml:space="preserve"> </w:t>
      </w:r>
      <w:r w:rsidR="00F27CD4" w:rsidRPr="00942352">
        <w:t>the purchase</w:t>
      </w:r>
      <w:r w:rsidR="00F27CD4" w:rsidRPr="00942352">
        <w:rPr>
          <w:spacing w:val="-2"/>
        </w:rPr>
        <w:t xml:space="preserve"> </w:t>
      </w:r>
      <w:r w:rsidR="00F27CD4" w:rsidRPr="00942352">
        <w:t>of</w:t>
      </w:r>
      <w:r w:rsidR="00F27CD4" w:rsidRPr="00942352">
        <w:rPr>
          <w:spacing w:val="-1"/>
        </w:rPr>
        <w:t xml:space="preserve"> </w:t>
      </w:r>
      <w:r w:rsidR="00F27CD4" w:rsidRPr="00942352">
        <w:t>the</w:t>
      </w:r>
      <w:r w:rsidR="00F27CD4" w:rsidRPr="00942352">
        <w:rPr>
          <w:spacing w:val="-3"/>
        </w:rPr>
        <w:t xml:space="preserve"> </w:t>
      </w:r>
      <w:r w:rsidR="00F27CD4" w:rsidRPr="00942352">
        <w:t xml:space="preserve">North Balgowlah </w:t>
      </w:r>
      <w:r w:rsidR="00AC3253" w:rsidRPr="00942352">
        <w:t>property</w:t>
      </w:r>
      <w:r w:rsidR="00F27CD4" w:rsidRPr="00942352">
        <w:t xml:space="preserve"> and</w:t>
      </w:r>
      <w:r w:rsidR="00F27CD4" w:rsidRPr="00942352">
        <w:rPr>
          <w:spacing w:val="-2"/>
        </w:rPr>
        <w:t xml:space="preserve"> </w:t>
      </w:r>
      <w:r w:rsidR="00F27CD4" w:rsidRPr="00942352">
        <w:t>also</w:t>
      </w:r>
      <w:r w:rsidR="00F27CD4" w:rsidRPr="00942352">
        <w:rPr>
          <w:spacing w:val="-2"/>
        </w:rPr>
        <w:t xml:space="preserve"> </w:t>
      </w:r>
      <w:r w:rsidR="00F27CD4" w:rsidRPr="00942352">
        <w:t>to</w:t>
      </w:r>
      <w:r w:rsidR="00F27CD4" w:rsidRPr="00942352">
        <w:rPr>
          <w:spacing w:val="-3"/>
        </w:rPr>
        <w:t xml:space="preserve"> </w:t>
      </w:r>
      <w:r w:rsidR="00F27CD4" w:rsidRPr="00942352">
        <w:t>the</w:t>
      </w:r>
      <w:r w:rsidR="00F27CD4" w:rsidRPr="00942352">
        <w:rPr>
          <w:spacing w:val="-2"/>
        </w:rPr>
        <w:t xml:space="preserve"> </w:t>
      </w:r>
      <w:r w:rsidR="00F27CD4" w:rsidRPr="00942352">
        <w:t>Seaforth</w:t>
      </w:r>
      <w:r w:rsidR="00F27CD4" w:rsidRPr="00942352">
        <w:rPr>
          <w:spacing w:val="-1"/>
        </w:rPr>
        <w:t xml:space="preserve"> </w:t>
      </w:r>
      <w:r w:rsidR="00042938" w:rsidRPr="00942352">
        <w:t>M</w:t>
      </w:r>
      <w:r w:rsidR="00F27CD4" w:rsidRPr="00942352">
        <w:t>ortgage</w:t>
      </w:r>
      <w:r w:rsidR="00042938" w:rsidRPr="00942352">
        <w:t>s</w:t>
      </w:r>
      <w:r w:rsidR="00F27CD4" w:rsidRPr="00942352">
        <w:t>, in</w:t>
      </w:r>
      <w:r w:rsidR="00F27CD4" w:rsidRPr="00942352">
        <w:rPr>
          <w:spacing w:val="-4"/>
        </w:rPr>
        <w:t xml:space="preserve"> </w:t>
      </w:r>
      <w:r w:rsidR="00F27CD4" w:rsidRPr="00942352">
        <w:t>circumstances</w:t>
      </w:r>
      <w:r w:rsidR="00F27CD4" w:rsidRPr="00942352">
        <w:rPr>
          <w:spacing w:val="-2"/>
        </w:rPr>
        <w:t xml:space="preserve"> </w:t>
      </w:r>
      <w:r w:rsidR="00F27CD4" w:rsidRPr="00942352">
        <w:t xml:space="preserve">where the </w:t>
      </w:r>
      <w:r w:rsidR="007C08BB" w:rsidRPr="00942352">
        <w:t>b</w:t>
      </w:r>
      <w:r w:rsidR="00F27CD4" w:rsidRPr="00942352">
        <w:t>ankrupt received no consideration for those transfers (i.e. without obtaining any beneficial interest in any property in return).</w:t>
      </w:r>
      <w:r w:rsidR="003752F4" w:rsidRPr="00942352">
        <w:t xml:space="preserve"> The </w:t>
      </w:r>
      <w:r w:rsidR="0072486F" w:rsidRPr="00942352">
        <w:t>trustee</w:t>
      </w:r>
      <w:r w:rsidR="003752F4" w:rsidRPr="00942352">
        <w:t xml:space="preserve"> accepted that </w:t>
      </w:r>
      <w:r w:rsidR="007760F5" w:rsidRPr="00942352">
        <w:t>t</w:t>
      </w:r>
      <w:r w:rsidR="003752F4" w:rsidRPr="00942352">
        <w:t xml:space="preserve">he onus was on him to establish </w:t>
      </w:r>
      <w:r w:rsidR="00975571" w:rsidRPr="00942352">
        <w:t xml:space="preserve">inadequacy of consideration. </w:t>
      </w:r>
    </w:p>
    <w:p w14:paraId="62E6581A" w14:textId="200425B0" w:rsidR="007158BC" w:rsidRPr="00942352" w:rsidRDefault="00155C95" w:rsidP="00155C95">
      <w:pPr>
        <w:pStyle w:val="ParaNumbering"/>
        <w:numPr>
          <w:ilvl w:val="0"/>
          <w:numId w:val="0"/>
        </w:numPr>
        <w:ind w:hanging="720"/>
      </w:pPr>
      <w:r w:rsidRPr="00942352">
        <w:rPr>
          <w:sz w:val="20"/>
        </w:rPr>
        <w:t>267</w:t>
      </w:r>
      <w:r w:rsidRPr="00942352">
        <w:rPr>
          <w:sz w:val="20"/>
        </w:rPr>
        <w:tab/>
      </w:r>
      <w:r w:rsidR="00727423" w:rsidRPr="00942352">
        <w:t>Here the relevant property was money transferred on the occasions identified at</w:t>
      </w:r>
      <w:r w:rsidR="00597DA0" w:rsidRPr="00942352">
        <w:t xml:space="preserve"> </w:t>
      </w:r>
      <w:r w:rsidR="00D26C54" w:rsidRPr="00942352">
        <w:t>[</w:t>
      </w:r>
      <w:r w:rsidR="00D26C54" w:rsidRPr="00942352">
        <w:fldChar w:fldCharType="begin"/>
      </w:r>
      <w:r w:rsidR="00D26C54" w:rsidRPr="00942352">
        <w:instrText xml:space="preserve"> REF _Ref127787672 \r \h </w:instrText>
      </w:r>
      <w:r w:rsidR="00942352">
        <w:instrText xml:space="preserve"> \* MERGEFORMAT </w:instrText>
      </w:r>
      <w:r w:rsidR="00D26C54" w:rsidRPr="00942352">
        <w:fldChar w:fldCharType="separate"/>
      </w:r>
      <w:r w:rsidR="002B380F">
        <w:t>246</w:t>
      </w:r>
      <w:r w:rsidR="00D26C54" w:rsidRPr="00942352">
        <w:fldChar w:fldCharType="end"/>
      </w:r>
      <w:r w:rsidR="00D26C54" w:rsidRPr="00942352">
        <w:t xml:space="preserve">] above. </w:t>
      </w:r>
    </w:p>
    <w:p w14:paraId="7C7DC479" w14:textId="4A75B095" w:rsidR="00A03B96" w:rsidRPr="00942352" w:rsidRDefault="00155C95" w:rsidP="00155C95">
      <w:pPr>
        <w:pStyle w:val="ParaNumbering"/>
        <w:numPr>
          <w:ilvl w:val="0"/>
          <w:numId w:val="0"/>
        </w:numPr>
        <w:ind w:hanging="720"/>
        <w:rPr>
          <w:lang w:eastAsia="en-AU"/>
        </w:rPr>
      </w:pPr>
      <w:r w:rsidRPr="00942352">
        <w:rPr>
          <w:sz w:val="20"/>
          <w:lang w:eastAsia="en-AU"/>
        </w:rPr>
        <w:t>268</w:t>
      </w:r>
      <w:r w:rsidRPr="00942352">
        <w:rPr>
          <w:sz w:val="20"/>
          <w:lang w:eastAsia="en-AU"/>
        </w:rPr>
        <w:tab/>
      </w:r>
      <w:r w:rsidR="00481931" w:rsidRPr="00942352">
        <w:rPr>
          <w:bCs/>
          <w:lang w:eastAsia="en-AU"/>
        </w:rPr>
        <w:t>As I have found</w:t>
      </w:r>
      <w:r w:rsidR="001914E7" w:rsidRPr="00942352">
        <w:rPr>
          <w:bCs/>
          <w:lang w:eastAsia="en-AU"/>
        </w:rPr>
        <w:t xml:space="preserve"> above</w:t>
      </w:r>
      <w:r w:rsidR="00481931" w:rsidRPr="00942352">
        <w:rPr>
          <w:bCs/>
          <w:lang w:eastAsia="en-AU"/>
        </w:rPr>
        <w:t xml:space="preserve">, </w:t>
      </w:r>
      <w:r w:rsidR="002C0A62" w:rsidRPr="00942352">
        <w:rPr>
          <w:bCs/>
          <w:lang w:eastAsia="en-AU"/>
        </w:rPr>
        <w:t>$197,7</w:t>
      </w:r>
      <w:r w:rsidR="00C02278" w:rsidRPr="00942352">
        <w:rPr>
          <w:bCs/>
          <w:lang w:eastAsia="en-AU"/>
        </w:rPr>
        <w:t>73.86 was paid toward</w:t>
      </w:r>
      <w:r w:rsidR="00D73FAE" w:rsidRPr="00942352">
        <w:rPr>
          <w:bCs/>
          <w:lang w:eastAsia="en-AU"/>
        </w:rPr>
        <w:t>s</w:t>
      </w:r>
      <w:r w:rsidR="00C02278" w:rsidRPr="00942352">
        <w:rPr>
          <w:bCs/>
          <w:lang w:eastAsia="en-AU"/>
        </w:rPr>
        <w:t xml:space="preserve"> the purchase price for the North Balgowlah property and $54,916.27 was paid towards the </w:t>
      </w:r>
      <w:r w:rsidR="00D73FAE" w:rsidRPr="00942352">
        <w:rPr>
          <w:bCs/>
          <w:lang w:eastAsia="en-AU"/>
        </w:rPr>
        <w:t>Seaforth M</w:t>
      </w:r>
      <w:r w:rsidR="00C02278" w:rsidRPr="00942352">
        <w:rPr>
          <w:bCs/>
          <w:lang w:eastAsia="en-AU"/>
        </w:rPr>
        <w:t>ortgage</w:t>
      </w:r>
      <w:r w:rsidR="00D73FAE" w:rsidRPr="00942352">
        <w:rPr>
          <w:bCs/>
          <w:lang w:eastAsia="en-AU"/>
        </w:rPr>
        <w:t>s</w:t>
      </w:r>
      <w:r w:rsidR="00C02278" w:rsidRPr="00942352">
        <w:rPr>
          <w:bCs/>
          <w:lang w:eastAsia="en-AU"/>
        </w:rPr>
        <w:t xml:space="preserve"> </w:t>
      </w:r>
      <w:r w:rsidR="00D7747E" w:rsidRPr="00942352">
        <w:rPr>
          <w:bCs/>
          <w:lang w:eastAsia="en-AU"/>
        </w:rPr>
        <w:t>from the J</w:t>
      </w:r>
      <w:r w:rsidR="00E576BD" w:rsidRPr="00942352">
        <w:rPr>
          <w:bCs/>
          <w:lang w:eastAsia="en-AU"/>
        </w:rPr>
        <w:t xml:space="preserve">oint </w:t>
      </w:r>
      <w:r w:rsidR="00D7747E" w:rsidRPr="00942352">
        <w:rPr>
          <w:bCs/>
          <w:lang w:eastAsia="en-AU"/>
        </w:rPr>
        <w:t xml:space="preserve">Account </w:t>
      </w:r>
      <w:r w:rsidR="00E576BD" w:rsidRPr="00942352">
        <w:rPr>
          <w:bCs/>
          <w:lang w:eastAsia="en-AU"/>
        </w:rPr>
        <w:t>between</w:t>
      </w:r>
      <w:r w:rsidR="00A03B96" w:rsidRPr="00942352">
        <w:rPr>
          <w:bCs/>
          <w:lang w:eastAsia="en-AU"/>
        </w:rPr>
        <w:t xml:space="preserve"> </w:t>
      </w:r>
      <w:r w:rsidR="00D7747E" w:rsidRPr="00942352">
        <w:rPr>
          <w:bCs/>
          <w:lang w:eastAsia="en-AU"/>
        </w:rPr>
        <w:t xml:space="preserve">11 </w:t>
      </w:r>
      <w:r w:rsidR="00A03B96" w:rsidRPr="00942352">
        <w:rPr>
          <w:bCs/>
          <w:lang w:eastAsia="en-AU"/>
        </w:rPr>
        <w:t xml:space="preserve">April and </w:t>
      </w:r>
      <w:r w:rsidR="00D7747E" w:rsidRPr="00942352">
        <w:rPr>
          <w:bCs/>
          <w:lang w:eastAsia="en-AU"/>
        </w:rPr>
        <w:t xml:space="preserve">28 </w:t>
      </w:r>
      <w:r w:rsidR="00A03B96" w:rsidRPr="00942352">
        <w:rPr>
          <w:bCs/>
          <w:lang w:eastAsia="en-AU"/>
        </w:rPr>
        <w:t>November 2014</w:t>
      </w:r>
      <w:r w:rsidR="000A3D14" w:rsidRPr="00942352">
        <w:rPr>
          <w:bCs/>
          <w:lang w:eastAsia="en-AU"/>
        </w:rPr>
        <w:t>.</w:t>
      </w:r>
    </w:p>
    <w:p w14:paraId="7D2EE8F5" w14:textId="56710FBD" w:rsidR="00937F86" w:rsidRPr="00942352" w:rsidRDefault="00155C95" w:rsidP="00155C95">
      <w:pPr>
        <w:pStyle w:val="ParaNumbering"/>
        <w:numPr>
          <w:ilvl w:val="0"/>
          <w:numId w:val="0"/>
        </w:numPr>
        <w:ind w:hanging="720"/>
        <w:rPr>
          <w:lang w:eastAsia="en-AU"/>
        </w:rPr>
      </w:pPr>
      <w:r w:rsidRPr="00942352">
        <w:rPr>
          <w:sz w:val="20"/>
          <w:lang w:eastAsia="en-AU"/>
        </w:rPr>
        <w:t>269</w:t>
      </w:r>
      <w:r w:rsidRPr="00942352">
        <w:rPr>
          <w:sz w:val="20"/>
          <w:lang w:eastAsia="en-AU"/>
        </w:rPr>
        <w:tab/>
      </w:r>
      <w:r w:rsidR="00937F86" w:rsidRPr="00942352">
        <w:rPr>
          <w:lang w:eastAsia="en-AU"/>
        </w:rPr>
        <w:t>The parties agree that the relevant questions requiring determination with respect to this claim comprise:</w:t>
      </w:r>
    </w:p>
    <w:p w14:paraId="0BABFA1D" w14:textId="14CB4DB7" w:rsidR="00937F86" w:rsidRPr="00942352" w:rsidRDefault="00155C95" w:rsidP="00155C95">
      <w:pPr>
        <w:pStyle w:val="ListNo1alt"/>
        <w:numPr>
          <w:ilvl w:val="0"/>
          <w:numId w:val="0"/>
        </w:numPr>
        <w:tabs>
          <w:tab w:val="left" w:pos="720"/>
        </w:tabs>
        <w:ind w:left="720" w:hanging="720"/>
        <w:rPr>
          <w:lang w:eastAsia="en-AU"/>
        </w:rPr>
      </w:pPr>
      <w:r w:rsidRPr="00942352">
        <w:rPr>
          <w:lang w:eastAsia="en-AU"/>
        </w:rPr>
        <w:lastRenderedPageBreak/>
        <w:t>(a)</w:t>
      </w:r>
      <w:r w:rsidRPr="00942352">
        <w:rPr>
          <w:lang w:eastAsia="en-AU"/>
        </w:rPr>
        <w:tab/>
      </w:r>
      <w:r w:rsidR="00937F86" w:rsidRPr="00942352">
        <w:rPr>
          <w:lang w:eastAsia="en-AU"/>
        </w:rPr>
        <w:t>Does the transfer of funds from one joint account to another account constitute any relevant transfer as between the bankrupt and the respondent for the purposes of s 120(1)?</w:t>
      </w:r>
    </w:p>
    <w:p w14:paraId="5FA6EECB" w14:textId="25003A5A" w:rsidR="00937F86" w:rsidRPr="00942352" w:rsidRDefault="00155C95" w:rsidP="00155C95">
      <w:pPr>
        <w:pStyle w:val="ListNo1alt"/>
        <w:numPr>
          <w:ilvl w:val="0"/>
          <w:numId w:val="0"/>
        </w:numPr>
        <w:tabs>
          <w:tab w:val="left" w:pos="720"/>
        </w:tabs>
        <w:ind w:left="720" w:hanging="720"/>
        <w:rPr>
          <w:lang w:eastAsia="en-AU"/>
        </w:rPr>
      </w:pPr>
      <w:r w:rsidRPr="00942352">
        <w:rPr>
          <w:lang w:eastAsia="en-AU"/>
        </w:rPr>
        <w:t>(b)</w:t>
      </w:r>
      <w:r w:rsidRPr="00942352">
        <w:rPr>
          <w:lang w:eastAsia="en-AU"/>
        </w:rPr>
        <w:tab/>
      </w:r>
      <w:r w:rsidR="00937F86" w:rsidRPr="00942352">
        <w:rPr>
          <w:lang w:eastAsia="en-AU"/>
        </w:rPr>
        <w:t>What is the property that was transferred for the purposes of s 120(1)?</w:t>
      </w:r>
    </w:p>
    <w:p w14:paraId="2223CDCB" w14:textId="38941BEE" w:rsidR="00937F86" w:rsidRPr="00942352" w:rsidRDefault="00155C95" w:rsidP="00155C95">
      <w:pPr>
        <w:pStyle w:val="ListNo1alt"/>
        <w:numPr>
          <w:ilvl w:val="0"/>
          <w:numId w:val="0"/>
        </w:numPr>
        <w:tabs>
          <w:tab w:val="left" w:pos="720"/>
        </w:tabs>
        <w:ind w:left="720" w:hanging="720"/>
        <w:rPr>
          <w:lang w:eastAsia="en-AU"/>
        </w:rPr>
      </w:pPr>
      <w:r w:rsidRPr="00942352">
        <w:rPr>
          <w:lang w:eastAsia="en-AU"/>
        </w:rPr>
        <w:t>(c)</w:t>
      </w:r>
      <w:r w:rsidRPr="00942352">
        <w:rPr>
          <w:lang w:eastAsia="en-AU"/>
        </w:rPr>
        <w:tab/>
      </w:r>
      <w:r w:rsidR="00937F86" w:rsidRPr="00942352">
        <w:rPr>
          <w:lang w:eastAsia="en-AU"/>
        </w:rPr>
        <w:t>Did the respondent give consideration for the transfer, and if so, how much consideration did she give?</w:t>
      </w:r>
    </w:p>
    <w:p w14:paraId="65EB5607" w14:textId="4D0449E8" w:rsidR="008D6AF0" w:rsidRPr="00942352" w:rsidRDefault="00155C95" w:rsidP="00155C95">
      <w:pPr>
        <w:pStyle w:val="ParaNumbering"/>
        <w:numPr>
          <w:ilvl w:val="0"/>
          <w:numId w:val="0"/>
        </w:numPr>
        <w:ind w:hanging="720"/>
        <w:rPr>
          <w:lang w:eastAsia="en-AU"/>
        </w:rPr>
      </w:pPr>
      <w:r w:rsidRPr="00942352">
        <w:rPr>
          <w:sz w:val="20"/>
          <w:lang w:eastAsia="en-AU"/>
        </w:rPr>
        <w:t>270</w:t>
      </w:r>
      <w:r w:rsidRPr="00942352">
        <w:rPr>
          <w:sz w:val="20"/>
          <w:lang w:eastAsia="en-AU"/>
        </w:rPr>
        <w:tab/>
      </w:r>
      <w:r w:rsidR="008D6AF0" w:rsidRPr="00942352">
        <w:rPr>
          <w:lang w:eastAsia="en-AU"/>
        </w:rPr>
        <w:t>For the reasons identified with respect to s 121, I am of the view that there have been relevant transf</w:t>
      </w:r>
      <w:r w:rsidR="006018A9" w:rsidRPr="00942352">
        <w:rPr>
          <w:lang w:eastAsia="en-AU"/>
        </w:rPr>
        <w:t>ers for the purpose of s 120(1).</w:t>
      </w:r>
    </w:p>
    <w:p w14:paraId="57BA4528" w14:textId="724B4789" w:rsidR="00877E1F" w:rsidRPr="00942352" w:rsidRDefault="00155C95" w:rsidP="00155C95">
      <w:pPr>
        <w:pStyle w:val="ParaNumbering"/>
        <w:numPr>
          <w:ilvl w:val="0"/>
          <w:numId w:val="0"/>
        </w:numPr>
        <w:ind w:hanging="720"/>
        <w:rPr>
          <w:lang w:eastAsia="en-AU"/>
        </w:rPr>
      </w:pPr>
      <w:r w:rsidRPr="00942352">
        <w:rPr>
          <w:sz w:val="20"/>
          <w:lang w:eastAsia="en-AU"/>
        </w:rPr>
        <w:t>271</w:t>
      </w:r>
      <w:r w:rsidRPr="00942352">
        <w:rPr>
          <w:sz w:val="20"/>
          <w:lang w:eastAsia="en-AU"/>
        </w:rPr>
        <w:tab/>
      </w:r>
      <w:r w:rsidR="008D6AF0" w:rsidRPr="00942352">
        <w:rPr>
          <w:lang w:eastAsia="en-AU"/>
        </w:rPr>
        <w:t>The</w:t>
      </w:r>
      <w:r w:rsidR="004F0E68" w:rsidRPr="00942352">
        <w:rPr>
          <w:lang w:eastAsia="en-AU"/>
        </w:rPr>
        <w:t xml:space="preserve"> respondent contends that even if the Court were satisfied that the </w:t>
      </w:r>
      <w:r w:rsidR="008A0CF0" w:rsidRPr="00942352">
        <w:rPr>
          <w:lang w:eastAsia="en-AU"/>
        </w:rPr>
        <w:t xml:space="preserve">relevant </w:t>
      </w:r>
      <w:r w:rsidR="004F0E68" w:rsidRPr="00942352">
        <w:rPr>
          <w:lang w:eastAsia="en-AU"/>
        </w:rPr>
        <w:t>transfers constituted a transfer of property, the trustee has not demonstrated that the respondent gave no consideration or consideration of less value than market value for that transfer of property. The respondent</w:t>
      </w:r>
      <w:r w:rsidR="00880DED" w:rsidRPr="00942352">
        <w:rPr>
          <w:lang w:eastAsia="en-AU"/>
        </w:rPr>
        <w:t xml:space="preserve"> submits specifically that “marit</w:t>
      </w:r>
      <w:r w:rsidR="004F0E68" w:rsidRPr="00942352">
        <w:rPr>
          <w:lang w:eastAsia="en-AU"/>
        </w:rPr>
        <w:t xml:space="preserve">al contribution” (including caring for children) can constitute valid consideration: </w:t>
      </w:r>
      <w:r w:rsidR="00195E94" w:rsidRPr="00942352">
        <w:rPr>
          <w:lang w:eastAsia="en-AU"/>
        </w:rPr>
        <w:t>citing</w:t>
      </w:r>
      <w:r w:rsidR="004F0E68" w:rsidRPr="00942352">
        <w:rPr>
          <w:lang w:eastAsia="en-AU"/>
        </w:rPr>
        <w:t xml:space="preserve"> </w:t>
      </w:r>
      <w:r w:rsidR="004F0E68" w:rsidRPr="00942352">
        <w:rPr>
          <w:i/>
          <w:lang w:eastAsia="en-AU"/>
        </w:rPr>
        <w:t xml:space="preserve">Worrell v </w:t>
      </w:r>
      <w:proofErr w:type="spellStart"/>
      <w:r w:rsidR="004F0E68" w:rsidRPr="00942352">
        <w:rPr>
          <w:i/>
          <w:lang w:eastAsia="en-AU"/>
        </w:rPr>
        <w:t>Pix</w:t>
      </w:r>
      <w:proofErr w:type="spellEnd"/>
      <w:r w:rsidR="004F0E68" w:rsidRPr="00942352">
        <w:rPr>
          <w:i/>
          <w:lang w:eastAsia="en-AU"/>
        </w:rPr>
        <w:t xml:space="preserve"> </w:t>
      </w:r>
      <w:r w:rsidR="004F0E68" w:rsidRPr="00942352">
        <w:rPr>
          <w:lang w:eastAsia="en-AU"/>
        </w:rPr>
        <w:t xml:space="preserve">[2002] FMCA 93 at [26]–[28], citing </w:t>
      </w:r>
      <w:r w:rsidR="004F0E68" w:rsidRPr="00942352">
        <w:rPr>
          <w:i/>
          <w:lang w:eastAsia="en-AU"/>
        </w:rPr>
        <w:t xml:space="preserve">Mateo v Official Trustee in Bankruptcy </w:t>
      </w:r>
      <w:r w:rsidR="004F0E68" w:rsidRPr="00942352">
        <w:rPr>
          <w:lang w:eastAsia="en-AU"/>
        </w:rPr>
        <w:t>[2002] FCA 344</w:t>
      </w:r>
      <w:r w:rsidR="00AF4ACE" w:rsidRPr="00942352">
        <w:rPr>
          <w:lang w:eastAsia="en-AU"/>
        </w:rPr>
        <w:t>; 117 FCR 179</w:t>
      </w:r>
      <w:r w:rsidR="004F0E68" w:rsidRPr="00942352">
        <w:rPr>
          <w:lang w:eastAsia="en-AU"/>
        </w:rPr>
        <w:t>.</w:t>
      </w:r>
      <w:r w:rsidR="002C6C28" w:rsidRPr="00942352">
        <w:rPr>
          <w:lang w:eastAsia="en-AU"/>
        </w:rPr>
        <w:t xml:space="preserve"> This submiss</w:t>
      </w:r>
      <w:r w:rsidR="00877E1F" w:rsidRPr="00942352">
        <w:rPr>
          <w:lang w:eastAsia="en-AU"/>
        </w:rPr>
        <w:t xml:space="preserve">ion appears entirely incorrect. </w:t>
      </w:r>
      <w:r w:rsidR="008D4E25" w:rsidRPr="00942352">
        <w:rPr>
          <w:lang w:eastAsia="en-AU"/>
        </w:rPr>
        <w:t>While the appeal of the primary judge’s decision (</w:t>
      </w:r>
      <w:r w:rsidR="0038508B" w:rsidRPr="00942352">
        <w:rPr>
          <w:i/>
          <w:lang w:eastAsia="en-AU"/>
        </w:rPr>
        <w:t xml:space="preserve">Official Trustee in Bankruptcy v Mateo </w:t>
      </w:r>
      <w:r w:rsidR="0038508B" w:rsidRPr="00942352">
        <w:rPr>
          <w:lang w:eastAsia="en-AU"/>
        </w:rPr>
        <w:t>[2003] FCAFC 26; 127 FCR 217</w:t>
      </w:r>
      <w:r w:rsidR="008D4E25" w:rsidRPr="00942352">
        <w:rPr>
          <w:lang w:eastAsia="en-AU"/>
        </w:rPr>
        <w:t>) was dismissed, Wilcox J</w:t>
      </w:r>
      <w:r w:rsidR="00195E94" w:rsidRPr="00942352">
        <w:rPr>
          <w:lang w:eastAsia="en-AU"/>
        </w:rPr>
        <w:t xml:space="preserve"> observed</w:t>
      </w:r>
      <w:r w:rsidR="008D4E25" w:rsidRPr="00942352">
        <w:rPr>
          <w:lang w:eastAsia="en-AU"/>
        </w:rPr>
        <w:t>,</w:t>
      </w:r>
      <w:r w:rsidR="00DB78D9" w:rsidRPr="00942352">
        <w:rPr>
          <w:lang w:eastAsia="en-AU"/>
        </w:rPr>
        <w:t xml:space="preserve"> (at [71]),</w:t>
      </w:r>
      <w:r w:rsidR="008D4E25" w:rsidRPr="00942352">
        <w:rPr>
          <w:lang w:eastAsia="en-AU"/>
        </w:rPr>
        <w:t xml:space="preserve"> although in dissent, </w:t>
      </w:r>
      <w:r w:rsidR="00DB78D9" w:rsidRPr="00942352">
        <w:rPr>
          <w:lang w:eastAsia="en-AU"/>
        </w:rPr>
        <w:t>but with whom Branson J on this issue agreed (at [108]),</w:t>
      </w:r>
      <w:r w:rsidR="00877E1F" w:rsidRPr="00942352">
        <w:rPr>
          <w:lang w:eastAsia="en-AU"/>
        </w:rPr>
        <w:t xml:space="preserve"> that marital contributions cannot </w:t>
      </w:r>
      <w:r w:rsidR="00D73FAE" w:rsidRPr="00942352">
        <w:rPr>
          <w:lang w:eastAsia="en-AU"/>
        </w:rPr>
        <w:t>amount to</w:t>
      </w:r>
      <w:r w:rsidR="00877E1F" w:rsidRPr="00942352">
        <w:rPr>
          <w:lang w:eastAsia="en-AU"/>
        </w:rPr>
        <w:t xml:space="preserve"> consideration of equal or great</w:t>
      </w:r>
      <w:r w:rsidR="00EC6239" w:rsidRPr="00942352">
        <w:rPr>
          <w:lang w:eastAsia="en-AU"/>
        </w:rPr>
        <w:t>er</w:t>
      </w:r>
      <w:r w:rsidR="00877E1F" w:rsidRPr="00942352">
        <w:rPr>
          <w:lang w:eastAsia="en-AU"/>
        </w:rPr>
        <w:t xml:space="preserve"> market value for the transfer of property where (1) it cannot be attributed value (at [65]) and (2) past consideration does not constitute valid consideration</w:t>
      </w:r>
      <w:r w:rsidR="00EC6239" w:rsidRPr="00942352">
        <w:rPr>
          <w:lang w:eastAsia="en-AU"/>
        </w:rPr>
        <w:t xml:space="preserve"> (except where there is an express or implied earlier promise to pay)</w:t>
      </w:r>
      <w:r w:rsidR="00877E1F" w:rsidRPr="00942352">
        <w:rPr>
          <w:lang w:eastAsia="en-AU"/>
        </w:rPr>
        <w:t xml:space="preserve"> (at [66]</w:t>
      </w:r>
      <w:r w:rsidR="008D4E25" w:rsidRPr="00942352">
        <w:rPr>
          <w:lang w:eastAsia="en-AU"/>
        </w:rPr>
        <w:t xml:space="preserve">). </w:t>
      </w:r>
    </w:p>
    <w:p w14:paraId="34795A7D" w14:textId="30CE381C" w:rsidR="008D6AF0" w:rsidRPr="00942352" w:rsidRDefault="00155C95" w:rsidP="00155C95">
      <w:pPr>
        <w:pStyle w:val="ParaNumbering"/>
        <w:numPr>
          <w:ilvl w:val="0"/>
          <w:numId w:val="0"/>
        </w:numPr>
        <w:ind w:hanging="720"/>
        <w:rPr>
          <w:lang w:eastAsia="en-AU"/>
        </w:rPr>
      </w:pPr>
      <w:r w:rsidRPr="00942352">
        <w:rPr>
          <w:sz w:val="20"/>
          <w:lang w:eastAsia="en-AU"/>
        </w:rPr>
        <w:t>272</w:t>
      </w:r>
      <w:r w:rsidRPr="00942352">
        <w:rPr>
          <w:sz w:val="20"/>
          <w:lang w:eastAsia="en-AU"/>
        </w:rPr>
        <w:tab/>
      </w:r>
      <w:r w:rsidR="00DB78D9" w:rsidRPr="00942352">
        <w:rPr>
          <w:lang w:eastAsia="en-AU"/>
        </w:rPr>
        <w:t>Further, a</w:t>
      </w:r>
      <w:r w:rsidR="008D6AF0" w:rsidRPr="00942352">
        <w:rPr>
          <w:lang w:eastAsia="en-AU"/>
        </w:rPr>
        <w:t>s referred to above</w:t>
      </w:r>
      <w:r w:rsidR="00B47083" w:rsidRPr="00942352">
        <w:rPr>
          <w:lang w:eastAsia="en-AU"/>
        </w:rPr>
        <w:t xml:space="preserve"> at [</w:t>
      </w:r>
      <w:r w:rsidR="00B47083" w:rsidRPr="00942352">
        <w:rPr>
          <w:lang w:eastAsia="en-AU"/>
        </w:rPr>
        <w:fldChar w:fldCharType="begin"/>
      </w:r>
      <w:r w:rsidR="00B47083" w:rsidRPr="00942352">
        <w:rPr>
          <w:lang w:eastAsia="en-AU"/>
        </w:rPr>
        <w:instrText xml:space="preserve"> REF _Ref128662556 \r \h </w:instrText>
      </w:r>
      <w:r w:rsidR="00942352">
        <w:rPr>
          <w:lang w:eastAsia="en-AU"/>
        </w:rPr>
        <w:instrText xml:space="preserve"> \* MERGEFORMAT </w:instrText>
      </w:r>
      <w:r w:rsidR="00B47083" w:rsidRPr="00942352">
        <w:rPr>
          <w:lang w:eastAsia="en-AU"/>
        </w:rPr>
      </w:r>
      <w:r w:rsidR="00B47083" w:rsidRPr="00942352">
        <w:rPr>
          <w:lang w:eastAsia="en-AU"/>
        </w:rPr>
        <w:fldChar w:fldCharType="separate"/>
      </w:r>
      <w:r w:rsidR="002B380F">
        <w:rPr>
          <w:lang w:eastAsia="en-AU"/>
        </w:rPr>
        <w:t>263</w:t>
      </w:r>
      <w:r w:rsidR="00B47083" w:rsidRPr="00942352">
        <w:rPr>
          <w:lang w:eastAsia="en-AU"/>
        </w:rPr>
        <w:fldChar w:fldCharType="end"/>
      </w:r>
      <w:r w:rsidR="00B47083" w:rsidRPr="00942352">
        <w:rPr>
          <w:lang w:eastAsia="en-AU"/>
        </w:rPr>
        <w:t>]</w:t>
      </w:r>
      <w:r w:rsidR="008D6AF0" w:rsidRPr="00942352">
        <w:rPr>
          <w:lang w:eastAsia="en-AU"/>
        </w:rPr>
        <w:t xml:space="preserve">, Whitlam and Jacobson JJ in </w:t>
      </w:r>
      <w:proofErr w:type="spellStart"/>
      <w:r w:rsidR="008D6AF0" w:rsidRPr="00942352">
        <w:rPr>
          <w:i/>
          <w:lang w:eastAsia="en-AU"/>
        </w:rPr>
        <w:t>Lopatinsky</w:t>
      </w:r>
      <w:proofErr w:type="spellEnd"/>
      <w:r w:rsidR="008D6AF0" w:rsidRPr="00942352">
        <w:rPr>
          <w:i/>
          <w:lang w:eastAsia="en-AU"/>
        </w:rPr>
        <w:t xml:space="preserve"> </w:t>
      </w:r>
      <w:r w:rsidR="008D6AF0" w:rsidRPr="00942352">
        <w:rPr>
          <w:lang w:eastAsia="en-AU"/>
        </w:rPr>
        <w:t>at [92], considered</w:t>
      </w:r>
      <w:r w:rsidR="002C6C28" w:rsidRPr="00942352">
        <w:rPr>
          <w:lang w:eastAsia="en-AU"/>
        </w:rPr>
        <w:t xml:space="preserve">, in </w:t>
      </w:r>
      <w:r w:rsidR="00DB78D9" w:rsidRPr="00942352">
        <w:rPr>
          <w:lang w:eastAsia="en-AU"/>
        </w:rPr>
        <w:t xml:space="preserve">a </w:t>
      </w:r>
      <w:r w:rsidR="002C6C28" w:rsidRPr="00942352">
        <w:rPr>
          <w:lang w:eastAsia="en-AU"/>
        </w:rPr>
        <w:t>decision which post-date</w:t>
      </w:r>
      <w:r w:rsidR="00DB78D9" w:rsidRPr="00942352">
        <w:rPr>
          <w:lang w:eastAsia="en-AU"/>
        </w:rPr>
        <w:t>d</w:t>
      </w:r>
      <w:r w:rsidR="002C6C28" w:rsidRPr="00942352">
        <w:rPr>
          <w:lang w:eastAsia="en-AU"/>
        </w:rPr>
        <w:t xml:space="preserve"> those relied upon by the respondent,</w:t>
      </w:r>
      <w:r w:rsidR="008D6AF0" w:rsidRPr="00942352">
        <w:rPr>
          <w:lang w:eastAsia="en-AU"/>
        </w:rPr>
        <w:t xml:space="preserve"> what the Court is required to consider under s 120, including, unlike the provision’s predecessor, whether there was no consideration or for less than market value. This requires the Court to determine the val</w:t>
      </w:r>
      <w:r w:rsidR="002457BF" w:rsidRPr="00942352">
        <w:rPr>
          <w:lang w:eastAsia="en-AU"/>
        </w:rPr>
        <w:t>ue of the consideration. Their H</w:t>
      </w:r>
      <w:r w:rsidR="008D6AF0" w:rsidRPr="00942352">
        <w:rPr>
          <w:lang w:eastAsia="en-AU"/>
        </w:rPr>
        <w:t xml:space="preserve">onours went on to find that </w:t>
      </w:r>
      <w:r w:rsidR="002C6C28" w:rsidRPr="00942352">
        <w:rPr>
          <w:lang w:eastAsia="en-AU"/>
        </w:rPr>
        <w:t>the term “consideration” should not be construed to mean anything other t</w:t>
      </w:r>
      <w:r w:rsidR="00522920" w:rsidRPr="00942352">
        <w:rPr>
          <w:lang w:eastAsia="en-AU"/>
        </w:rPr>
        <w:t>han in its legal sense, at [93]–</w:t>
      </w:r>
      <w:r w:rsidR="002C6C28" w:rsidRPr="00942352">
        <w:rPr>
          <w:lang w:eastAsia="en-AU"/>
        </w:rPr>
        <w:t>[96], extracted as follows:</w:t>
      </w:r>
    </w:p>
    <w:p w14:paraId="61B94661" w14:textId="4793E077" w:rsidR="0038508B" w:rsidRPr="00942352" w:rsidRDefault="0038508B" w:rsidP="0038508B">
      <w:pPr>
        <w:pStyle w:val="Quote1"/>
        <w:ind w:left="1440" w:hanging="703"/>
        <w:rPr>
          <w:lang w:eastAsia="en-AU"/>
        </w:rPr>
      </w:pPr>
      <w:r w:rsidRPr="00942352">
        <w:rPr>
          <w:lang w:eastAsia="en-AU"/>
        </w:rPr>
        <w:t xml:space="preserve">93. </w:t>
      </w:r>
      <w:r w:rsidRPr="00942352">
        <w:rPr>
          <w:lang w:eastAsia="en-AU"/>
        </w:rPr>
        <w:tab/>
        <w:t>In carrying out this task, the Court is to treat as having “no value as consideration” the matters referred to in s 120(5</w:t>
      </w:r>
      <w:proofErr w:type="gramStart"/>
      <w:r w:rsidRPr="00942352">
        <w:rPr>
          <w:lang w:eastAsia="en-AU"/>
        </w:rPr>
        <w:t>)(</w:t>
      </w:r>
      <w:proofErr w:type="gramEnd"/>
      <w:r w:rsidRPr="00942352">
        <w:rPr>
          <w:lang w:eastAsia="en-AU"/>
        </w:rPr>
        <w:t xml:space="preserve">a)-(d). Some of them, such as a promise to marry, would have been recognised as “valuable consideration” under the previous enactment: see </w:t>
      </w:r>
      <w:r w:rsidRPr="00942352">
        <w:rPr>
          <w:i/>
          <w:lang w:eastAsia="en-AU"/>
        </w:rPr>
        <w:t>Official Trustee in Bankruptcy v Mitchell</w:t>
      </w:r>
      <w:r w:rsidRPr="00942352">
        <w:rPr>
          <w:lang w:eastAsia="en-AU"/>
        </w:rPr>
        <w:t xml:space="preserve"> (1992) 38 FCR 364.</w:t>
      </w:r>
    </w:p>
    <w:p w14:paraId="455B9596" w14:textId="0CF0B778" w:rsidR="0038508B" w:rsidRPr="00942352" w:rsidRDefault="0038508B" w:rsidP="0038508B">
      <w:pPr>
        <w:pStyle w:val="Quote1"/>
        <w:ind w:left="1440" w:hanging="703"/>
        <w:rPr>
          <w:lang w:eastAsia="en-AU"/>
        </w:rPr>
      </w:pPr>
      <w:r w:rsidRPr="00942352">
        <w:rPr>
          <w:lang w:eastAsia="en-AU"/>
        </w:rPr>
        <w:lastRenderedPageBreak/>
        <w:t xml:space="preserve">94. </w:t>
      </w:r>
      <w:r w:rsidRPr="00942352">
        <w:rPr>
          <w:lang w:eastAsia="en-AU"/>
        </w:rPr>
        <w:tab/>
        <w:t>There is nothing in s 120(5) to suggest that the Parliament intended that the term “consideration” in s 120(1</w:t>
      </w:r>
      <w:proofErr w:type="gramStart"/>
      <w:r w:rsidRPr="00942352">
        <w:rPr>
          <w:lang w:eastAsia="en-AU"/>
        </w:rPr>
        <w:t>)(</w:t>
      </w:r>
      <w:proofErr w:type="gramEnd"/>
      <w:r w:rsidRPr="00942352">
        <w:rPr>
          <w:lang w:eastAsia="en-AU"/>
        </w:rPr>
        <w:t xml:space="preserve">b) is to be read in anything other than its legal sense. Plainer words would have been required: see </w:t>
      </w:r>
      <w:r w:rsidRPr="00942352">
        <w:rPr>
          <w:i/>
          <w:lang w:eastAsia="en-AU"/>
        </w:rPr>
        <w:t>Official Trustee in Bankruptcy v Mitchell</w:t>
      </w:r>
      <w:r w:rsidRPr="00942352">
        <w:rPr>
          <w:lang w:eastAsia="en-AU"/>
        </w:rPr>
        <w:t xml:space="preserve"> at 368. Moreover, it would be inconsistent with the observations of Wilcox J and Branson J in </w:t>
      </w:r>
      <w:r w:rsidRPr="00942352">
        <w:rPr>
          <w:i/>
          <w:lang w:eastAsia="en-AU"/>
        </w:rPr>
        <w:t>Official Trustee in Bankruptcy v Mateo</w:t>
      </w:r>
      <w:r w:rsidRPr="00942352">
        <w:rPr>
          <w:lang w:eastAsia="en-AU"/>
        </w:rPr>
        <w:t xml:space="preserve"> to proceed upon the basis that “consideration” could be something less than the ordinary legal and commercial understanding of that term. Indeed, it would be inconsistent with the statutory purpose of the section which is designed to protect creditors to hold that the Parliament intended to enable a transferee to provide something less than the well-established legal definition of “consideration”.</w:t>
      </w:r>
    </w:p>
    <w:p w14:paraId="7507B040" w14:textId="5E5363A6" w:rsidR="0038508B" w:rsidRPr="00942352" w:rsidRDefault="0038508B" w:rsidP="0038508B">
      <w:pPr>
        <w:pStyle w:val="Quote1"/>
        <w:ind w:left="1440" w:hanging="703"/>
        <w:rPr>
          <w:lang w:eastAsia="en-AU"/>
        </w:rPr>
      </w:pPr>
      <w:r w:rsidRPr="00942352">
        <w:rPr>
          <w:lang w:eastAsia="en-AU"/>
        </w:rPr>
        <w:t xml:space="preserve">95. </w:t>
      </w:r>
      <w:r w:rsidRPr="00942352">
        <w:rPr>
          <w:lang w:eastAsia="en-AU"/>
        </w:rPr>
        <w:tab/>
        <w:t>Section 120(5) makes that very assumption. The intention of the legislation in s 120(5) must have been to ensure that matters which might otherwise be thought to have constituted good consideration at common law would have no value for the purposes of determining whether there was any disadvantage to creditors in the impugned transaction.</w:t>
      </w:r>
    </w:p>
    <w:p w14:paraId="2CAABF68" w14:textId="08A2E3DE" w:rsidR="0038508B" w:rsidRPr="00942352" w:rsidRDefault="0038508B" w:rsidP="0038508B">
      <w:pPr>
        <w:pStyle w:val="Quote1"/>
        <w:ind w:left="1440" w:hanging="703"/>
        <w:rPr>
          <w:lang w:eastAsia="en-AU"/>
        </w:rPr>
      </w:pPr>
      <w:r w:rsidRPr="00942352">
        <w:rPr>
          <w:lang w:eastAsia="en-AU"/>
        </w:rPr>
        <w:t xml:space="preserve">96. </w:t>
      </w:r>
      <w:r w:rsidRPr="00942352">
        <w:rPr>
          <w:lang w:eastAsia="en-AU"/>
        </w:rPr>
        <w:tab/>
        <w:t>In our view, it is clear from the above analysis that the Parliament in enacting the 1996 amendments proceeded on the basis reflected in the history of this section that it was to be understood as commercial people would construe it. Thus, in applying s 120(1</w:t>
      </w:r>
      <w:proofErr w:type="gramStart"/>
      <w:r w:rsidRPr="00942352">
        <w:rPr>
          <w:lang w:eastAsia="en-AU"/>
        </w:rPr>
        <w:t>)(</w:t>
      </w:r>
      <w:proofErr w:type="gramEnd"/>
      <w:r w:rsidRPr="00942352">
        <w:rPr>
          <w:lang w:eastAsia="en-AU"/>
        </w:rPr>
        <w:t xml:space="preserve">b) the first step is to identify the consideration which was actually given. The second step if consideration was given, is to determine whether its value was less than the market value of the property transferred: see </w:t>
      </w:r>
      <w:r w:rsidRPr="00942352">
        <w:rPr>
          <w:i/>
          <w:lang w:eastAsia="en-AU"/>
        </w:rPr>
        <w:t>Sutherland v Brien</w:t>
      </w:r>
      <w:r w:rsidRPr="00942352">
        <w:rPr>
          <w:lang w:eastAsia="en-AU"/>
        </w:rPr>
        <w:t xml:space="preserve"> (1999) 149 FLR 321 at [20] per Austin J.</w:t>
      </w:r>
    </w:p>
    <w:p w14:paraId="6219CDC6" w14:textId="582E30C7" w:rsidR="0038508B" w:rsidRPr="00942352" w:rsidRDefault="0038508B" w:rsidP="0038508B">
      <w:pPr>
        <w:pStyle w:val="Quote1"/>
        <w:ind w:left="1440" w:hanging="703"/>
        <w:rPr>
          <w:lang w:eastAsia="en-AU"/>
        </w:rPr>
      </w:pPr>
      <w:r w:rsidRPr="00942352">
        <w:rPr>
          <w:lang w:eastAsia="en-AU"/>
        </w:rPr>
        <w:t xml:space="preserve">97. </w:t>
      </w:r>
      <w:r w:rsidRPr="00942352">
        <w:rPr>
          <w:lang w:eastAsia="en-AU"/>
        </w:rPr>
        <w:tab/>
        <w:t xml:space="preserve">The primary judge at [39] proceeded upon the correct basis that Mrs </w:t>
      </w:r>
      <w:proofErr w:type="spellStart"/>
      <w:r w:rsidRPr="00942352">
        <w:rPr>
          <w:lang w:eastAsia="en-AU"/>
        </w:rPr>
        <w:t>Lopatinsky's</w:t>
      </w:r>
      <w:proofErr w:type="spellEnd"/>
      <w:r w:rsidRPr="00942352">
        <w:rPr>
          <w:lang w:eastAsia="en-AU"/>
        </w:rPr>
        <w:t xml:space="preserve"> contribution to the marriage could not be regarded as consideration for the transfer because it would have constituted past consideration: see </w:t>
      </w:r>
      <w:r w:rsidRPr="00942352">
        <w:rPr>
          <w:i/>
          <w:lang w:eastAsia="en-AU"/>
        </w:rPr>
        <w:t xml:space="preserve">McVeigh v </w:t>
      </w:r>
      <w:proofErr w:type="spellStart"/>
      <w:r w:rsidRPr="00942352">
        <w:rPr>
          <w:i/>
          <w:lang w:eastAsia="en-AU"/>
        </w:rPr>
        <w:t>Zanella</w:t>
      </w:r>
      <w:proofErr w:type="spellEnd"/>
      <w:r w:rsidRPr="00942352">
        <w:rPr>
          <w:lang w:eastAsia="en-AU"/>
        </w:rPr>
        <w:t xml:space="preserve"> [2000] FCA 1890 per Weinberg J.</w:t>
      </w:r>
    </w:p>
    <w:p w14:paraId="1024A712" w14:textId="40AFBC0E" w:rsidR="002C6C28" w:rsidRPr="00942352" w:rsidRDefault="00155C95" w:rsidP="00155C95">
      <w:pPr>
        <w:pStyle w:val="ParaNumbering"/>
        <w:numPr>
          <w:ilvl w:val="0"/>
          <w:numId w:val="0"/>
        </w:numPr>
        <w:ind w:hanging="720"/>
        <w:rPr>
          <w:lang w:eastAsia="en-AU"/>
        </w:rPr>
      </w:pPr>
      <w:r w:rsidRPr="00942352">
        <w:rPr>
          <w:sz w:val="20"/>
          <w:lang w:eastAsia="en-AU"/>
        </w:rPr>
        <w:t>273</w:t>
      </w:r>
      <w:r w:rsidRPr="00942352">
        <w:rPr>
          <w:sz w:val="20"/>
          <w:lang w:eastAsia="en-AU"/>
        </w:rPr>
        <w:tab/>
      </w:r>
      <w:r w:rsidR="002C6C28" w:rsidRPr="00942352">
        <w:rPr>
          <w:lang w:eastAsia="en-AU"/>
        </w:rPr>
        <w:t xml:space="preserve">The respondent relied upon no authority to displace </w:t>
      </w:r>
      <w:r w:rsidR="003A390C" w:rsidRPr="00942352">
        <w:rPr>
          <w:lang w:eastAsia="en-AU"/>
        </w:rPr>
        <w:t xml:space="preserve">this </w:t>
      </w:r>
      <w:r w:rsidR="00123DB9" w:rsidRPr="00942352">
        <w:rPr>
          <w:lang w:eastAsia="en-AU"/>
        </w:rPr>
        <w:t>reasoning</w:t>
      </w:r>
      <w:r w:rsidR="003A390C" w:rsidRPr="00942352">
        <w:rPr>
          <w:lang w:eastAsia="en-AU"/>
        </w:rPr>
        <w:t xml:space="preserve">. </w:t>
      </w:r>
    </w:p>
    <w:p w14:paraId="79AA4720" w14:textId="4275EA71" w:rsidR="004F0E68" w:rsidRPr="00942352" w:rsidRDefault="00155C95" w:rsidP="00155C95">
      <w:pPr>
        <w:pStyle w:val="ParaNumbering"/>
        <w:numPr>
          <w:ilvl w:val="0"/>
          <w:numId w:val="0"/>
        </w:numPr>
        <w:ind w:hanging="720"/>
        <w:rPr>
          <w:lang w:eastAsia="en-AU"/>
        </w:rPr>
      </w:pPr>
      <w:r w:rsidRPr="00942352">
        <w:rPr>
          <w:sz w:val="20"/>
          <w:lang w:eastAsia="en-AU"/>
        </w:rPr>
        <w:t>274</w:t>
      </w:r>
      <w:r w:rsidRPr="00942352">
        <w:rPr>
          <w:sz w:val="20"/>
          <w:lang w:eastAsia="en-AU"/>
        </w:rPr>
        <w:tab/>
      </w:r>
      <w:r w:rsidR="004F0E68" w:rsidRPr="00942352">
        <w:rPr>
          <w:lang w:eastAsia="en-AU"/>
        </w:rPr>
        <w:t xml:space="preserve">The respondent further relies on </w:t>
      </w:r>
      <w:r w:rsidR="006A315A">
        <w:rPr>
          <w:lang w:eastAsia="en-AU"/>
        </w:rPr>
        <w:t xml:space="preserve">the fact of </w:t>
      </w:r>
      <w:r w:rsidR="004F0E68" w:rsidRPr="00942352">
        <w:rPr>
          <w:lang w:eastAsia="en-AU"/>
        </w:rPr>
        <w:t xml:space="preserve">the later surplus funds received from the sale of the Seaforth property </w:t>
      </w:r>
      <w:r w:rsidR="006A315A">
        <w:rPr>
          <w:lang w:eastAsia="en-AU"/>
        </w:rPr>
        <w:t>being</w:t>
      </w:r>
      <w:r w:rsidR="004F0E68" w:rsidRPr="00942352">
        <w:rPr>
          <w:lang w:eastAsia="en-AU"/>
        </w:rPr>
        <w:t xml:space="preserve"> deposited into the </w:t>
      </w:r>
      <w:r w:rsidR="0094417B" w:rsidRPr="00942352">
        <w:rPr>
          <w:lang w:eastAsia="en-AU"/>
        </w:rPr>
        <w:t xml:space="preserve">#1998 Joint Account </w:t>
      </w:r>
      <w:r w:rsidR="004F0E68" w:rsidRPr="00942352">
        <w:rPr>
          <w:lang w:eastAsia="en-AU"/>
        </w:rPr>
        <w:t xml:space="preserve">as evidence which </w:t>
      </w:r>
      <w:r w:rsidR="006018A9" w:rsidRPr="00942352">
        <w:rPr>
          <w:lang w:eastAsia="en-AU"/>
        </w:rPr>
        <w:t xml:space="preserve">she submitted </w:t>
      </w:r>
      <w:r w:rsidR="004F0E68" w:rsidRPr="00942352">
        <w:rPr>
          <w:lang w:eastAsia="en-AU"/>
        </w:rPr>
        <w:t xml:space="preserve">would constitute valid consideration. </w:t>
      </w:r>
    </w:p>
    <w:p w14:paraId="00E07FCA" w14:textId="36A7124D" w:rsidR="00C94471" w:rsidRPr="00942352" w:rsidRDefault="00155C95" w:rsidP="00155C95">
      <w:pPr>
        <w:pStyle w:val="ParaNumbering"/>
        <w:numPr>
          <w:ilvl w:val="0"/>
          <w:numId w:val="0"/>
        </w:numPr>
        <w:ind w:hanging="720"/>
        <w:rPr>
          <w:lang w:eastAsia="en-AU"/>
        </w:rPr>
      </w:pPr>
      <w:r w:rsidRPr="00942352">
        <w:rPr>
          <w:sz w:val="20"/>
          <w:lang w:eastAsia="en-AU"/>
        </w:rPr>
        <w:t>275</w:t>
      </w:r>
      <w:r w:rsidRPr="00942352">
        <w:rPr>
          <w:sz w:val="20"/>
          <w:lang w:eastAsia="en-AU"/>
        </w:rPr>
        <w:tab/>
      </w:r>
      <w:r w:rsidR="006018A9" w:rsidRPr="00942352">
        <w:rPr>
          <w:lang w:eastAsia="en-AU"/>
        </w:rPr>
        <w:t xml:space="preserve">However, I accept the submission of the trustee that </w:t>
      </w:r>
      <w:r w:rsidR="00C94471" w:rsidRPr="00942352">
        <w:rPr>
          <w:lang w:eastAsia="en-AU"/>
        </w:rPr>
        <w:t>there wo</w:t>
      </w:r>
      <w:r w:rsidR="00522920" w:rsidRPr="00942352">
        <w:rPr>
          <w:lang w:eastAsia="en-AU"/>
        </w:rPr>
        <w:t xml:space="preserve">uld need to be </w:t>
      </w:r>
      <w:r w:rsidR="00C94471" w:rsidRPr="00942352">
        <w:rPr>
          <w:lang w:eastAsia="en-AU"/>
        </w:rPr>
        <w:t>consideration in the ordinary contractual sense</w:t>
      </w:r>
      <w:r w:rsidR="006018A9" w:rsidRPr="00942352">
        <w:rPr>
          <w:lang w:eastAsia="en-AU"/>
        </w:rPr>
        <w:t xml:space="preserve"> </w:t>
      </w:r>
      <w:r w:rsidR="00C94471" w:rsidRPr="00942352">
        <w:rPr>
          <w:lang w:eastAsia="en-AU"/>
        </w:rPr>
        <w:t>to support th</w:t>
      </w:r>
      <w:r w:rsidR="006018A9" w:rsidRPr="00942352">
        <w:rPr>
          <w:lang w:eastAsia="en-AU"/>
        </w:rPr>
        <w:t>is contention</w:t>
      </w:r>
      <w:r w:rsidR="00C94471" w:rsidRPr="00942352">
        <w:rPr>
          <w:lang w:eastAsia="en-AU"/>
        </w:rPr>
        <w:t xml:space="preserve">, </w:t>
      </w:r>
      <w:r w:rsidR="006018A9" w:rsidRPr="00942352">
        <w:rPr>
          <w:lang w:eastAsia="en-AU"/>
        </w:rPr>
        <w:t xml:space="preserve">namely </w:t>
      </w:r>
      <w:r w:rsidR="00C94471" w:rsidRPr="00942352">
        <w:rPr>
          <w:lang w:eastAsia="en-AU"/>
        </w:rPr>
        <w:t xml:space="preserve">that </w:t>
      </w:r>
      <w:r w:rsidR="00522169" w:rsidRPr="00942352">
        <w:rPr>
          <w:lang w:eastAsia="en-AU"/>
        </w:rPr>
        <w:t>the respondent and the bankrupt</w:t>
      </w:r>
      <w:r w:rsidR="00C94471" w:rsidRPr="00942352">
        <w:rPr>
          <w:lang w:eastAsia="en-AU"/>
        </w:rPr>
        <w:t xml:space="preserve"> had agreed beforehand to buy </w:t>
      </w:r>
      <w:r w:rsidR="002A75ED" w:rsidRPr="00942352">
        <w:rPr>
          <w:lang w:eastAsia="en-AU"/>
        </w:rPr>
        <w:t xml:space="preserve">the </w:t>
      </w:r>
      <w:r w:rsidR="00C94471" w:rsidRPr="00942352">
        <w:rPr>
          <w:lang w:eastAsia="en-AU"/>
        </w:rPr>
        <w:t xml:space="preserve">North Balgowlah </w:t>
      </w:r>
      <w:r w:rsidR="002A75ED" w:rsidRPr="00942352">
        <w:rPr>
          <w:lang w:eastAsia="en-AU"/>
        </w:rPr>
        <w:t xml:space="preserve">property </w:t>
      </w:r>
      <w:r w:rsidR="00C94471" w:rsidRPr="00942352">
        <w:rPr>
          <w:lang w:eastAsia="en-AU"/>
        </w:rPr>
        <w:t>and that the respondent would pay the bankrupt back by depositing the surplus from the Seaforth prope</w:t>
      </w:r>
      <w:r w:rsidR="006A315A">
        <w:rPr>
          <w:lang w:eastAsia="en-AU"/>
        </w:rPr>
        <w:t xml:space="preserve">rty sale into a joint account. </w:t>
      </w:r>
      <w:r w:rsidR="00C94471" w:rsidRPr="00942352">
        <w:rPr>
          <w:b/>
          <w:lang w:eastAsia="en-AU"/>
        </w:rPr>
        <w:t xml:space="preserve"> </w:t>
      </w:r>
    </w:p>
    <w:p w14:paraId="1477A25F" w14:textId="398822AD" w:rsidR="004F0E68" w:rsidRDefault="00155C95" w:rsidP="00155C95">
      <w:pPr>
        <w:pStyle w:val="ParaNumbering"/>
        <w:numPr>
          <w:ilvl w:val="0"/>
          <w:numId w:val="0"/>
        </w:numPr>
        <w:ind w:hanging="720"/>
        <w:rPr>
          <w:lang w:eastAsia="en-AU"/>
        </w:rPr>
      </w:pPr>
      <w:r>
        <w:rPr>
          <w:sz w:val="20"/>
          <w:lang w:eastAsia="en-AU"/>
        </w:rPr>
        <w:t>276</w:t>
      </w:r>
      <w:r>
        <w:rPr>
          <w:sz w:val="20"/>
          <w:lang w:eastAsia="en-AU"/>
        </w:rPr>
        <w:tab/>
      </w:r>
      <w:r w:rsidR="004F0E68" w:rsidRPr="00942352">
        <w:rPr>
          <w:lang w:eastAsia="en-AU"/>
        </w:rPr>
        <w:t xml:space="preserve">The respondent put on no evidence as </w:t>
      </w:r>
      <w:r w:rsidR="00385772" w:rsidRPr="00942352">
        <w:rPr>
          <w:lang w:eastAsia="en-AU"/>
        </w:rPr>
        <w:t xml:space="preserve">to </w:t>
      </w:r>
      <w:r w:rsidR="004F0E68" w:rsidRPr="00942352">
        <w:rPr>
          <w:lang w:eastAsia="en-AU"/>
        </w:rPr>
        <w:t>any agreement or promise between the bankrupt and the respondent that the prospective proceeds of sale from the Seaforth property would constitute future consideration for the bankrupt’s contribution to the purchase of the North Balgowlah property. In fact the evidence shows, from the examination</w:t>
      </w:r>
      <w:r w:rsidR="006018A9" w:rsidRPr="00942352">
        <w:rPr>
          <w:lang w:eastAsia="en-AU"/>
        </w:rPr>
        <w:t xml:space="preserve">, not only was there </w:t>
      </w:r>
      <w:r w:rsidR="004F0E68" w:rsidRPr="00942352">
        <w:rPr>
          <w:lang w:eastAsia="en-AU"/>
        </w:rPr>
        <w:t>no such agreement</w:t>
      </w:r>
      <w:r w:rsidR="00805D29" w:rsidRPr="00942352">
        <w:rPr>
          <w:lang w:eastAsia="en-AU"/>
        </w:rPr>
        <w:t>,</w:t>
      </w:r>
      <w:r w:rsidR="006018A9" w:rsidRPr="00942352">
        <w:rPr>
          <w:lang w:eastAsia="en-AU"/>
        </w:rPr>
        <w:t xml:space="preserve"> </w:t>
      </w:r>
      <w:r w:rsidR="00805D29" w:rsidRPr="00942352">
        <w:rPr>
          <w:lang w:eastAsia="en-AU"/>
        </w:rPr>
        <w:t xml:space="preserve">the bankrupt </w:t>
      </w:r>
      <w:r w:rsidR="00D73FAE" w:rsidRPr="00942352">
        <w:rPr>
          <w:lang w:eastAsia="en-AU"/>
        </w:rPr>
        <w:t>described</w:t>
      </w:r>
      <w:r w:rsidR="00805D29" w:rsidRPr="00942352">
        <w:rPr>
          <w:lang w:eastAsia="en-AU"/>
        </w:rPr>
        <w:t xml:space="preserve"> the benefit </w:t>
      </w:r>
      <w:r w:rsidR="00D73FAE" w:rsidRPr="00942352">
        <w:rPr>
          <w:lang w:eastAsia="en-AU"/>
        </w:rPr>
        <w:t xml:space="preserve">which </w:t>
      </w:r>
      <w:r w:rsidR="00805D29" w:rsidRPr="00942352">
        <w:rPr>
          <w:lang w:eastAsia="en-AU"/>
        </w:rPr>
        <w:t xml:space="preserve">he obtained </w:t>
      </w:r>
      <w:r w:rsidR="00D73FAE" w:rsidRPr="00942352">
        <w:rPr>
          <w:lang w:eastAsia="en-AU"/>
        </w:rPr>
        <w:t>as comprising</w:t>
      </w:r>
      <w:r w:rsidR="006018A9" w:rsidRPr="00942352">
        <w:rPr>
          <w:lang w:eastAsia="en-AU"/>
        </w:rPr>
        <w:t xml:space="preserve"> “</w:t>
      </w:r>
      <w:r w:rsidR="006018A9" w:rsidRPr="00942352">
        <w:rPr>
          <w:i/>
          <w:lang w:eastAsia="en-AU"/>
        </w:rPr>
        <w:t xml:space="preserve">family </w:t>
      </w:r>
      <w:r w:rsidR="006018A9" w:rsidRPr="00942352">
        <w:rPr>
          <w:i/>
          <w:lang w:eastAsia="en-AU"/>
        </w:rPr>
        <w:lastRenderedPageBreak/>
        <w:t>life, assistance bringing up the kids</w:t>
      </w:r>
      <w:r w:rsidR="006018A9" w:rsidRPr="00942352">
        <w:rPr>
          <w:lang w:eastAsia="en-AU"/>
        </w:rPr>
        <w:t>”</w:t>
      </w:r>
      <w:r w:rsidR="00D73FAE" w:rsidRPr="00942352">
        <w:rPr>
          <w:lang w:eastAsia="en-AU"/>
        </w:rPr>
        <w:t xml:space="preserve"> (emphasis added)</w:t>
      </w:r>
      <w:r w:rsidR="006A315A">
        <w:rPr>
          <w:lang w:eastAsia="en-AU"/>
        </w:rPr>
        <w:t xml:space="preserve">, </w:t>
      </w:r>
      <w:r w:rsidR="002B1158" w:rsidRPr="00942352">
        <w:rPr>
          <w:lang w:eastAsia="en-AU"/>
        </w:rPr>
        <w:t>which for the reasons identified above does not co</w:t>
      </w:r>
      <w:r w:rsidR="006A315A">
        <w:rPr>
          <w:lang w:eastAsia="en-AU"/>
        </w:rPr>
        <w:t>nstitute consideration</w:t>
      </w:r>
      <w:r w:rsidR="002B1158" w:rsidRPr="00942352">
        <w:rPr>
          <w:lang w:eastAsia="en-AU"/>
        </w:rPr>
        <w:t xml:space="preserve">. </w:t>
      </w:r>
    </w:p>
    <w:p w14:paraId="265A27F3" w14:textId="76306463" w:rsidR="004A2D60" w:rsidRPr="00942352" w:rsidRDefault="00155C95" w:rsidP="00155C95">
      <w:pPr>
        <w:pStyle w:val="ParaNumbering"/>
        <w:numPr>
          <w:ilvl w:val="0"/>
          <w:numId w:val="0"/>
        </w:numPr>
        <w:ind w:hanging="720"/>
        <w:rPr>
          <w:lang w:eastAsia="en-AU"/>
        </w:rPr>
      </w:pPr>
      <w:r w:rsidRPr="00942352">
        <w:rPr>
          <w:sz w:val="20"/>
          <w:lang w:eastAsia="en-AU"/>
        </w:rPr>
        <w:t>277</w:t>
      </w:r>
      <w:r w:rsidRPr="00942352">
        <w:rPr>
          <w:sz w:val="20"/>
          <w:lang w:eastAsia="en-AU"/>
        </w:rPr>
        <w:tab/>
      </w:r>
      <w:r w:rsidR="004A2D60">
        <w:rPr>
          <w:lang w:eastAsia="en-AU"/>
        </w:rPr>
        <w:t xml:space="preserve">For these reasons, if it were necessary to do so, I would find that the respondent provided no consideration for the transfer and accordingly the s 120 claim is made out. </w:t>
      </w:r>
    </w:p>
    <w:p w14:paraId="4B57A419" w14:textId="54F297CC" w:rsidR="002E511D" w:rsidRPr="00942352" w:rsidRDefault="001D7DA0" w:rsidP="00BA1E94">
      <w:pPr>
        <w:pStyle w:val="Heading2"/>
      </w:pPr>
      <w:bookmarkStart w:id="135" w:name="_Ref126916990"/>
      <w:bookmarkStart w:id="136" w:name="_Ref126916206"/>
      <w:bookmarkStart w:id="137" w:name="_Ref126916207"/>
      <w:bookmarkEnd w:id="135"/>
      <w:bookmarkEnd w:id="136"/>
      <w:r w:rsidRPr="00942352">
        <w:t>Conclusion</w:t>
      </w:r>
      <w:bookmarkEnd w:id="137"/>
      <w:r w:rsidRPr="00942352">
        <w:t xml:space="preserve"> </w:t>
      </w:r>
    </w:p>
    <w:p w14:paraId="0AB4B5AE" w14:textId="7DDBD968" w:rsidR="001914E7" w:rsidRPr="00942352" w:rsidRDefault="00155C95" w:rsidP="00155C95">
      <w:pPr>
        <w:pStyle w:val="ParaNumbering"/>
        <w:numPr>
          <w:ilvl w:val="0"/>
          <w:numId w:val="0"/>
        </w:numPr>
        <w:ind w:hanging="720"/>
      </w:pPr>
      <w:r w:rsidRPr="00942352">
        <w:rPr>
          <w:sz w:val="20"/>
        </w:rPr>
        <w:t>278</w:t>
      </w:r>
      <w:r w:rsidRPr="00942352">
        <w:rPr>
          <w:sz w:val="20"/>
        </w:rPr>
        <w:tab/>
      </w:r>
      <w:r w:rsidR="001914E7" w:rsidRPr="00942352">
        <w:t>In summary for these reasons, I have found:</w:t>
      </w:r>
    </w:p>
    <w:p w14:paraId="19925D91" w14:textId="1A7E6455" w:rsidR="001914E7" w:rsidRPr="00942352" w:rsidRDefault="00155C95" w:rsidP="00155C95">
      <w:pPr>
        <w:pStyle w:val="ListNo1alt"/>
        <w:numPr>
          <w:ilvl w:val="0"/>
          <w:numId w:val="0"/>
        </w:numPr>
        <w:tabs>
          <w:tab w:val="left" w:pos="720"/>
        </w:tabs>
        <w:ind w:left="720" w:hanging="720"/>
      </w:pPr>
      <w:r w:rsidRPr="00942352">
        <w:t>(a)</w:t>
      </w:r>
      <w:r w:rsidRPr="00942352">
        <w:tab/>
      </w:r>
      <w:proofErr w:type="gramStart"/>
      <w:r w:rsidR="001914E7" w:rsidRPr="00942352">
        <w:t>the</w:t>
      </w:r>
      <w:proofErr w:type="gramEnd"/>
      <w:r w:rsidR="001914E7" w:rsidRPr="00942352">
        <w:t xml:space="preserve"> trustee succeeds on his s 139DA claim but only to the extent of a 11% interest in the North Balgowlah property; </w:t>
      </w:r>
    </w:p>
    <w:p w14:paraId="1F1C45AE" w14:textId="4CF97EB3" w:rsidR="001914E7" w:rsidRPr="00942352" w:rsidRDefault="00155C95" w:rsidP="00155C95">
      <w:pPr>
        <w:pStyle w:val="ListNo1alt"/>
        <w:numPr>
          <w:ilvl w:val="0"/>
          <w:numId w:val="0"/>
        </w:numPr>
        <w:tabs>
          <w:tab w:val="left" w:pos="720"/>
        </w:tabs>
        <w:ind w:left="720" w:hanging="720"/>
      </w:pPr>
      <w:r w:rsidRPr="00942352">
        <w:t>(b)</w:t>
      </w:r>
      <w:r w:rsidRPr="00942352">
        <w:tab/>
      </w:r>
      <w:proofErr w:type="gramStart"/>
      <w:r w:rsidR="001914E7" w:rsidRPr="00942352">
        <w:t>the</w:t>
      </w:r>
      <w:proofErr w:type="gramEnd"/>
      <w:r w:rsidR="001914E7" w:rsidRPr="00942352">
        <w:t xml:space="preserve"> trustee does not succeed on his resulting trust claim; and </w:t>
      </w:r>
    </w:p>
    <w:p w14:paraId="1AA9EFC7" w14:textId="1E3AB333" w:rsidR="001914E7" w:rsidRPr="00942352" w:rsidRDefault="00155C95" w:rsidP="00155C95">
      <w:pPr>
        <w:pStyle w:val="ListNo1alt"/>
        <w:numPr>
          <w:ilvl w:val="0"/>
          <w:numId w:val="0"/>
        </w:numPr>
        <w:tabs>
          <w:tab w:val="left" w:pos="720"/>
        </w:tabs>
        <w:ind w:left="720" w:hanging="720"/>
      </w:pPr>
      <w:r w:rsidRPr="00942352">
        <w:t>(c)</w:t>
      </w:r>
      <w:r w:rsidRPr="00942352">
        <w:tab/>
      </w:r>
      <w:proofErr w:type="gramStart"/>
      <w:r w:rsidR="001914E7" w:rsidRPr="00942352">
        <w:t>in</w:t>
      </w:r>
      <w:proofErr w:type="gramEnd"/>
      <w:r w:rsidR="001914E7" w:rsidRPr="00942352">
        <w:t xml:space="preserve"> the alternative, the trustee succeeds on his voidable transaction claims. </w:t>
      </w:r>
    </w:p>
    <w:p w14:paraId="1E227501" w14:textId="3CA843B8" w:rsidR="002E511D" w:rsidRPr="00942352" w:rsidRDefault="00155C95" w:rsidP="00155C95">
      <w:pPr>
        <w:pStyle w:val="ParaNumbering"/>
        <w:numPr>
          <w:ilvl w:val="0"/>
          <w:numId w:val="0"/>
        </w:numPr>
        <w:ind w:hanging="720"/>
      </w:pPr>
      <w:r w:rsidRPr="00942352">
        <w:rPr>
          <w:sz w:val="20"/>
        </w:rPr>
        <w:t>279</w:t>
      </w:r>
      <w:r w:rsidRPr="00942352">
        <w:rPr>
          <w:sz w:val="20"/>
        </w:rPr>
        <w:tab/>
      </w:r>
      <w:r w:rsidR="002E511D" w:rsidRPr="00942352">
        <w:t>I accept that the precise orders to be made by the Court depend on the findings I have made and may require election by the trustee. To that end, as I foreshadowed at the hearing, I will make orders for the parties to confer and to provide proposed orders to my Associate</w:t>
      </w:r>
      <w:r w:rsidR="00DE436B">
        <w:t>,</w:t>
      </w:r>
      <w:r w:rsidR="002E511D" w:rsidRPr="00942352">
        <w:t xml:space="preserve"> within four weeks of the date of the publication of these reasons giving effect to the findings I have made and in relation to the relief which should be granted as well as the question of costs of the proceeding. </w:t>
      </w:r>
    </w:p>
    <w:p w14:paraId="2F7266B9" w14:textId="16B519B7" w:rsidR="00386FA9" w:rsidRPr="00942352" w:rsidRDefault="00155C95" w:rsidP="00155C95">
      <w:pPr>
        <w:pStyle w:val="ParaNumbering"/>
        <w:numPr>
          <w:ilvl w:val="0"/>
          <w:numId w:val="0"/>
        </w:numPr>
        <w:ind w:hanging="720"/>
      </w:pPr>
      <w:r w:rsidRPr="00942352">
        <w:rPr>
          <w:sz w:val="20"/>
        </w:rPr>
        <w:t>280</w:t>
      </w:r>
      <w:r w:rsidRPr="00942352">
        <w:rPr>
          <w:sz w:val="20"/>
        </w:rPr>
        <w:tab/>
      </w:r>
      <w:r w:rsidR="002E511D" w:rsidRPr="00942352">
        <w:t xml:space="preserve">If the parties cannot agree on any aspect of the proposed orders they should, by the same date, each submit a version of the proposed orders together with submissions, not exceeding </w:t>
      </w:r>
      <w:r w:rsidR="00DE436B">
        <w:t>five</w:t>
      </w:r>
      <w:r w:rsidR="00386FA9" w:rsidRPr="00942352">
        <w:t xml:space="preserve"> pages in length. The Court will then, if necessary, list the matter at a later date to resolve any differences whic</w:t>
      </w:r>
      <w:r w:rsidR="001914E7" w:rsidRPr="00942352">
        <w:t xml:space="preserve">h arise with respect to </w:t>
      </w:r>
      <w:r w:rsidR="00386FA9" w:rsidRPr="00942352">
        <w:t xml:space="preserve">the proposed orders. </w:t>
      </w:r>
    </w:p>
    <w:p w14:paraId="69A5B669" w14:textId="0F49A113" w:rsidR="002E511D" w:rsidRPr="00942352" w:rsidRDefault="00155C95" w:rsidP="00155C95">
      <w:pPr>
        <w:pStyle w:val="ParaNumbering"/>
        <w:numPr>
          <w:ilvl w:val="0"/>
          <w:numId w:val="0"/>
        </w:numPr>
        <w:ind w:hanging="720"/>
      </w:pPr>
      <w:r w:rsidRPr="00942352">
        <w:rPr>
          <w:sz w:val="20"/>
        </w:rPr>
        <w:t>281</w:t>
      </w:r>
      <w:r w:rsidRPr="00942352">
        <w:rPr>
          <w:sz w:val="20"/>
        </w:rPr>
        <w:tab/>
      </w:r>
      <w:r w:rsidR="00386FA9" w:rsidRPr="00942352">
        <w:t>I make orders accordingly.</w:t>
      </w:r>
    </w:p>
    <w:tbl>
      <w:tblPr>
        <w:tblW w:w="0" w:type="auto"/>
        <w:tblLook w:val="04A0" w:firstRow="1" w:lastRow="0" w:firstColumn="1" w:lastColumn="0" w:noHBand="0" w:noVBand="1"/>
      </w:tblPr>
      <w:tblGrid>
        <w:gridCol w:w="3794"/>
      </w:tblGrid>
      <w:tr w:rsidR="00B1405D" w:rsidRPr="00942352" w14:paraId="2958CE75" w14:textId="77777777">
        <w:tc>
          <w:tcPr>
            <w:tcW w:w="3794" w:type="dxa"/>
            <w:shd w:val="clear" w:color="auto" w:fill="auto"/>
          </w:tcPr>
          <w:p w14:paraId="05084557" w14:textId="71AA7140" w:rsidR="00B1405D" w:rsidRPr="00942352" w:rsidRDefault="00B1405D" w:rsidP="00B1405D">
            <w:pPr>
              <w:pStyle w:val="Normal1linespace"/>
            </w:pPr>
            <w:bookmarkStart w:id="138" w:name="Certification"/>
            <w:r w:rsidRPr="00942352">
              <w:t xml:space="preserve">I certify that the preceding </w:t>
            </w:r>
            <w:bookmarkStart w:id="139" w:name="NumberWord"/>
            <w:r w:rsidR="00F85CAA">
              <w:t>two hundred and eighty-one</w:t>
            </w:r>
            <w:bookmarkEnd w:id="139"/>
            <w:r w:rsidRPr="00942352">
              <w:t xml:space="preserve"> (</w:t>
            </w:r>
            <w:bookmarkStart w:id="140" w:name="NumberNumeral"/>
            <w:r w:rsidR="00F85CAA">
              <w:t>281</w:t>
            </w:r>
            <w:bookmarkEnd w:id="140"/>
            <w:r w:rsidRPr="00942352">
              <w:t xml:space="preserve">) numbered </w:t>
            </w:r>
            <w:bookmarkStart w:id="141" w:name="CertPara"/>
            <w:r w:rsidR="00F85CAA">
              <w:t>paragraphs are</w:t>
            </w:r>
            <w:bookmarkEnd w:id="141"/>
            <w:r w:rsidRPr="00942352">
              <w:t xml:space="preserve"> a true copy of the Reasons for Judgment of </w:t>
            </w:r>
            <w:bookmarkStart w:id="142" w:name="bkHonourable"/>
            <w:r w:rsidRPr="00942352">
              <w:t xml:space="preserve">the Honourable </w:t>
            </w:r>
            <w:bookmarkStart w:id="143" w:name="Justice"/>
            <w:bookmarkEnd w:id="142"/>
            <w:r w:rsidR="00F85CAA">
              <w:t>Justice Raper</w:t>
            </w:r>
            <w:bookmarkEnd w:id="143"/>
            <w:r w:rsidRPr="00942352">
              <w:t>.</w:t>
            </w:r>
          </w:p>
        </w:tc>
      </w:tr>
    </w:tbl>
    <w:p w14:paraId="6DB63B06" w14:textId="1E22E414" w:rsidR="00B1405D" w:rsidRPr="00942352" w:rsidRDefault="00B1405D" w:rsidP="00061403">
      <w:pPr>
        <w:pStyle w:val="BodyText"/>
      </w:pPr>
    </w:p>
    <w:p w14:paraId="030335B1" w14:textId="42299CE5" w:rsidR="00B1405D" w:rsidRPr="00942352" w:rsidRDefault="00B1405D" w:rsidP="00061403">
      <w:pPr>
        <w:pStyle w:val="BodyText"/>
      </w:pPr>
      <w:r w:rsidRPr="00942352">
        <w:t>Associate:</w:t>
      </w:r>
    </w:p>
    <w:p w14:paraId="2D2F78FB" w14:textId="77777777" w:rsidR="00B1405D" w:rsidRPr="00942352" w:rsidRDefault="00B1405D" w:rsidP="00061403">
      <w:pPr>
        <w:pStyle w:val="BodyText"/>
      </w:pPr>
    </w:p>
    <w:p w14:paraId="04A007C0" w14:textId="6603F042" w:rsidR="00B1405D" w:rsidRPr="00942352" w:rsidRDefault="00B1405D" w:rsidP="0014738A">
      <w:pPr>
        <w:pStyle w:val="BodyText"/>
        <w:tabs>
          <w:tab w:val="left" w:pos="1134"/>
        </w:tabs>
      </w:pPr>
      <w:r w:rsidRPr="00942352">
        <w:t>Dated:</w:t>
      </w:r>
      <w:r w:rsidRPr="00942352">
        <w:tab/>
      </w:r>
      <w:bookmarkStart w:id="144" w:name="CertifyDated"/>
      <w:r w:rsidR="00F85CAA">
        <w:t>10 March 2023</w:t>
      </w:r>
      <w:bookmarkStart w:id="145" w:name="_GoBack"/>
      <w:bookmarkEnd w:id="144"/>
      <w:bookmarkEnd w:id="138"/>
      <w:bookmarkEnd w:id="145"/>
    </w:p>
    <w:sectPr w:rsidR="00B1405D" w:rsidRPr="00942352" w:rsidSect="00A84FD0">
      <w:headerReference w:type="even" r:id="rId25"/>
      <w:headerReference w:type="default" r:id="rId26"/>
      <w:footerReference w:type="default" r:id="rId27"/>
      <w:headerReference w:type="first" r:id="rId28"/>
      <w:footerReference w:type="first" r:id="rId2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77FC" w14:textId="77777777" w:rsidR="004A5066" w:rsidRDefault="004A5066">
      <w:pPr>
        <w:spacing w:line="20" w:lineRule="exact"/>
      </w:pPr>
    </w:p>
    <w:p w14:paraId="6FD9DA55" w14:textId="77777777" w:rsidR="004A5066" w:rsidRDefault="004A5066"/>
    <w:p w14:paraId="1399DC47" w14:textId="77777777" w:rsidR="004A5066" w:rsidRDefault="004A5066"/>
  </w:endnote>
  <w:endnote w:type="continuationSeparator" w:id="0">
    <w:p w14:paraId="09D4F2CF" w14:textId="77777777" w:rsidR="004A5066" w:rsidRDefault="004A5066">
      <w:r>
        <w:t xml:space="preserve"> </w:t>
      </w:r>
    </w:p>
    <w:p w14:paraId="4973AC1E" w14:textId="77777777" w:rsidR="004A5066" w:rsidRDefault="004A5066"/>
    <w:p w14:paraId="759EC839" w14:textId="77777777" w:rsidR="004A5066" w:rsidRDefault="004A5066"/>
  </w:endnote>
  <w:endnote w:type="continuationNotice" w:id="1">
    <w:p w14:paraId="6CAD0A9A" w14:textId="77777777" w:rsidR="004A5066" w:rsidRDefault="004A5066">
      <w:r>
        <w:t xml:space="preserve"> </w:t>
      </w:r>
    </w:p>
    <w:p w14:paraId="457C994D" w14:textId="77777777" w:rsidR="004A5066" w:rsidRDefault="004A5066"/>
    <w:p w14:paraId="5811F36A" w14:textId="77777777" w:rsidR="004A5066" w:rsidRDefault="004A5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4AAF0" w14:textId="77777777" w:rsidR="004A5066" w:rsidRDefault="004A5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76D88" w14:textId="4A58E42B" w:rsidR="004A5066" w:rsidRPr="00C47B9D" w:rsidRDefault="004A506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776" behindDoc="0" locked="0" layoutInCell="1" allowOverlap="1" wp14:anchorId="06B0B668" wp14:editId="44525D5E">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5EBF1"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Content>
        <w:r>
          <w:rPr>
            <w:bCs/>
            <w:sz w:val="18"/>
            <w:szCs w:val="18"/>
          </w:rPr>
          <w:t xml:space="preserve">Kite (Trustee), in the matter of Murray (a Bankrupt) v Murray [2023] FCA 198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BC41" w14:textId="75755378" w:rsidR="004A5066" w:rsidRPr="0027695E" w:rsidRDefault="004A5066" w:rsidP="002769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9B7B" w14:textId="700E552E" w:rsidR="004A5066" w:rsidRPr="00C47B9D" w:rsidRDefault="004A5066"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7728" behindDoc="0" locked="0" layoutInCell="1" allowOverlap="1" wp14:anchorId="26D4B1B9" wp14:editId="48B2C020">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D75B5"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282F229B86994C4DA41F3F3AAAE92477"/>
        </w:placeholder>
        <w:dataBinding w:prefixMappings="xmlns:ns0='http://schemas.globalmacros.com/FCA'" w:xpath="/ns0:root[1]/ns0:Name[1]" w:storeItemID="{687E7CCB-4AA5-44E7-B148-17BA2B6F57C0}"/>
        <w:text w:multiLine="1"/>
      </w:sdtPr>
      <w:sdtContent>
        <w:r>
          <w:rPr>
            <w:bCs/>
            <w:sz w:val="18"/>
            <w:szCs w:val="18"/>
          </w:rPr>
          <w:t xml:space="preserve">Kite (Trustee), in the matter of Murray (a Bankrupt) v Murray [2023] FCA 198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6</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AD2F" w14:textId="46E6311E" w:rsidR="004A5066" w:rsidRPr="00C47B9D" w:rsidRDefault="004A506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3632" behindDoc="0" locked="0" layoutInCell="1" allowOverlap="1" wp14:anchorId="0C817521" wp14:editId="5D771CDF">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0EF2C" id="Straight Connector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9D2F92A769344D685D580126CD53FA0"/>
        </w:placeholder>
        <w:dataBinding w:prefixMappings="xmlns:ns0='http://schemas.globalmacros.com/FCA'" w:xpath="/ns0:root[1]/ns0:Name[1]" w:storeItemID="{687E7CCB-4AA5-44E7-B148-17BA2B6F57C0}"/>
        <w:text w:multiLine="1"/>
      </w:sdtPr>
      <w:sdtContent>
        <w:r>
          <w:rPr>
            <w:bCs/>
            <w:sz w:val="18"/>
            <w:szCs w:val="18"/>
          </w:rPr>
          <w:t xml:space="preserve">Kite (Trustee), in the matter of Murray (a Bankrupt) v Murray [2023] FCA 198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738A">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05CBE" w14:textId="4BF16DCC" w:rsidR="004A5066" w:rsidRPr="00C47B9D" w:rsidRDefault="004A506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968" behindDoc="0" locked="0" layoutInCell="1" allowOverlap="1" wp14:anchorId="2BD10030" wp14:editId="0C00F56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B4F36" id="Straight Connector 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dataBinding w:prefixMappings="xmlns:ns0='http://schemas.globalmacros.com/FCA'" w:xpath="/ns0:root[1]/ns0:Name[1]" w:storeItemID="{687E7CCB-4AA5-44E7-B148-17BA2B6F57C0}"/>
        <w:text w:multiLine="1"/>
      </w:sdtPr>
      <w:sdtContent>
        <w:r>
          <w:rPr>
            <w:bCs/>
            <w:sz w:val="18"/>
            <w:szCs w:val="18"/>
          </w:rPr>
          <w:t xml:space="preserve">Kite (Trustee), in the matter of Murray (a Bankrupt) v Murray [2023] FCA 198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738A">
      <w:rPr>
        <w:bCs/>
        <w:noProof/>
        <w:sz w:val="20"/>
      </w:rPr>
      <w:t>73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E4A8" w14:textId="300DAE38" w:rsidR="004A5066" w:rsidRPr="00C47B9D" w:rsidRDefault="004A5066"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872" behindDoc="0" locked="0" layoutInCell="1" allowOverlap="1" wp14:anchorId="1BD31A3B" wp14:editId="0CA20A8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146B3F" id="Straight Connector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Content>
        <w:r>
          <w:rPr>
            <w:bCs/>
            <w:sz w:val="18"/>
            <w:szCs w:val="18"/>
          </w:rPr>
          <w:t xml:space="preserve">Kite (Trustee), in the matter of Murray (a Bankrupt) v Murray [2023] FCA 198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4738A">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6DE7B" w14:textId="77777777" w:rsidR="004A5066" w:rsidRDefault="004A5066"/>
  </w:footnote>
  <w:footnote w:type="continuationSeparator" w:id="0">
    <w:p w14:paraId="4CAF405C" w14:textId="77777777" w:rsidR="004A5066" w:rsidRDefault="004A5066">
      <w:r>
        <w:continuationSeparator/>
      </w:r>
    </w:p>
    <w:p w14:paraId="7A44EF79" w14:textId="77777777" w:rsidR="004A5066" w:rsidRDefault="004A5066"/>
    <w:p w14:paraId="41A3DDEF" w14:textId="77777777" w:rsidR="004A5066" w:rsidRDefault="004A5066"/>
  </w:footnote>
  <w:footnote w:type="continuationNotice" w:id="1">
    <w:p w14:paraId="18E4F4D5" w14:textId="77777777" w:rsidR="004A5066" w:rsidRDefault="004A50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C686" w14:textId="77777777" w:rsidR="004A5066" w:rsidRDefault="004A5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0513" w14:textId="77777777" w:rsidR="004A5066" w:rsidRDefault="004A5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7E2C" w14:textId="77777777" w:rsidR="004A5066" w:rsidRDefault="004A50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B748" w14:textId="77777777" w:rsidR="004A5066" w:rsidRDefault="004A5066">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1FBB" w14:textId="77777777" w:rsidR="004A5066" w:rsidRDefault="004A5066">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54D62" w14:textId="77777777" w:rsidR="004A5066" w:rsidRDefault="004A506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803F" w14:textId="77777777" w:rsidR="004A5066" w:rsidRDefault="004A5066">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6F1" w14:textId="77777777" w:rsidR="004A5066" w:rsidRDefault="004A5066"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3884E0B"/>
    <w:multiLevelType w:val="hybridMultilevel"/>
    <w:tmpl w:val="C36CA776"/>
    <w:lvl w:ilvl="0" w:tplc="34CA936A">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5" w15:restartNumberingAfterBreak="0">
    <w:nsid w:val="27064F6F"/>
    <w:multiLevelType w:val="hybridMultilevel"/>
    <w:tmpl w:val="19D0C602"/>
    <w:lvl w:ilvl="0" w:tplc="F4E6C8B4">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6" w15:restartNumberingAfterBreak="0">
    <w:nsid w:val="29AE3DD1"/>
    <w:multiLevelType w:val="singleLevel"/>
    <w:tmpl w:val="458C9924"/>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D3E650C"/>
    <w:multiLevelType w:val="hybridMultilevel"/>
    <w:tmpl w:val="44969A74"/>
    <w:lvl w:ilvl="0" w:tplc="666E01DE">
      <w:start w:val="1"/>
      <w:numFmt w:val="lowerLetter"/>
      <w:lvlText w:val="(%1)"/>
      <w:lvlJc w:val="left"/>
      <w:pPr>
        <w:ind w:left="1802" w:hanging="705"/>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5" w15:restartNumberingAfterBreak="0">
    <w:nsid w:val="605729A7"/>
    <w:multiLevelType w:val="hybridMultilevel"/>
    <w:tmpl w:val="65C6CB54"/>
    <w:lvl w:ilvl="0" w:tplc="26E8DC64">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D2B6A01"/>
    <w:multiLevelType w:val="hybridMultilevel"/>
    <w:tmpl w:val="1A28E830"/>
    <w:lvl w:ilvl="0" w:tplc="94BA46F8">
      <w:start w:val="11"/>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2480C6D"/>
    <w:multiLevelType w:val="hybridMultilevel"/>
    <w:tmpl w:val="07685D94"/>
    <w:lvl w:ilvl="0" w:tplc="8208000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2"/>
  </w:num>
  <w:num w:numId="14">
    <w:abstractNumId w:val="23"/>
  </w:num>
  <w:num w:numId="15">
    <w:abstractNumId w:val="30"/>
  </w:num>
  <w:num w:numId="16">
    <w:abstractNumId w:val="13"/>
  </w:num>
  <w:num w:numId="17">
    <w:abstractNumId w:val="28"/>
  </w:num>
  <w:num w:numId="18">
    <w:abstractNumId w:val="11"/>
  </w:num>
  <w:num w:numId="19">
    <w:abstractNumId w:val="20"/>
  </w:num>
  <w:num w:numId="20">
    <w:abstractNumId w:val="17"/>
  </w:num>
  <w:num w:numId="21">
    <w:abstractNumId w:val="18"/>
  </w:num>
  <w:num w:numId="22">
    <w:abstractNumId w:val="21"/>
  </w:num>
  <w:num w:numId="23">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5">
    <w:abstractNumId w:val="12"/>
  </w:num>
  <w:num w:numId="26">
    <w:abstractNumId w:val="19"/>
  </w:num>
  <w:num w:numId="27">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8">
    <w:abstractNumId w:val="25"/>
  </w:num>
  <w:num w:numId="2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27"/>
  </w:num>
  <w:num w:numId="36">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alt"/>
        <w:lvlText w:val=""/>
        <w:lvlJc w:val="left"/>
      </w:lvl>
    </w:lvlOverride>
    <w:lvlOverride w:ilvl="2">
      <w:startOverride w:val="1"/>
      <w:lvl w:ilvl="2">
        <w:start w:val="1"/>
        <w:numFmt w:val="decimal"/>
        <w:pStyle w:val="ListNo3alt"/>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2">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5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4">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5">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1">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2">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3">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4">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65">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6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7">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9">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0">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24"/>
  </w:num>
  <w:num w:numId="76">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7">
    <w:abstractNumId w:val="10"/>
  </w:num>
  <w:num w:numId="7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20"/>
    <w:rsid w:val="00000747"/>
    <w:rsid w:val="00000F79"/>
    <w:rsid w:val="00001255"/>
    <w:rsid w:val="00001449"/>
    <w:rsid w:val="000019F4"/>
    <w:rsid w:val="00001F2B"/>
    <w:rsid w:val="000027F3"/>
    <w:rsid w:val="00002841"/>
    <w:rsid w:val="000028AF"/>
    <w:rsid w:val="00002D3F"/>
    <w:rsid w:val="00004398"/>
    <w:rsid w:val="0000488A"/>
    <w:rsid w:val="0000508B"/>
    <w:rsid w:val="000056BF"/>
    <w:rsid w:val="00005E6B"/>
    <w:rsid w:val="00005E99"/>
    <w:rsid w:val="00005EE0"/>
    <w:rsid w:val="00005F25"/>
    <w:rsid w:val="00006010"/>
    <w:rsid w:val="000066A9"/>
    <w:rsid w:val="00006B35"/>
    <w:rsid w:val="00006D98"/>
    <w:rsid w:val="00006E07"/>
    <w:rsid w:val="00006ECD"/>
    <w:rsid w:val="00007554"/>
    <w:rsid w:val="00007AE5"/>
    <w:rsid w:val="00007B43"/>
    <w:rsid w:val="00007EDC"/>
    <w:rsid w:val="00007F5A"/>
    <w:rsid w:val="000106AE"/>
    <w:rsid w:val="00010A87"/>
    <w:rsid w:val="000111BE"/>
    <w:rsid w:val="000111D2"/>
    <w:rsid w:val="000115C5"/>
    <w:rsid w:val="0001276A"/>
    <w:rsid w:val="00012B63"/>
    <w:rsid w:val="00012D63"/>
    <w:rsid w:val="00013768"/>
    <w:rsid w:val="0001469E"/>
    <w:rsid w:val="00014B01"/>
    <w:rsid w:val="0001501C"/>
    <w:rsid w:val="0001588A"/>
    <w:rsid w:val="00015993"/>
    <w:rsid w:val="00015ABE"/>
    <w:rsid w:val="00016426"/>
    <w:rsid w:val="00016D70"/>
    <w:rsid w:val="00020236"/>
    <w:rsid w:val="000203B3"/>
    <w:rsid w:val="000207B5"/>
    <w:rsid w:val="00020EDF"/>
    <w:rsid w:val="0002151D"/>
    <w:rsid w:val="00021999"/>
    <w:rsid w:val="00021CCB"/>
    <w:rsid w:val="00022289"/>
    <w:rsid w:val="000225BF"/>
    <w:rsid w:val="00022EBC"/>
    <w:rsid w:val="000235B7"/>
    <w:rsid w:val="000237E9"/>
    <w:rsid w:val="00023C65"/>
    <w:rsid w:val="00023EEC"/>
    <w:rsid w:val="00024599"/>
    <w:rsid w:val="000246C1"/>
    <w:rsid w:val="000266BE"/>
    <w:rsid w:val="00027398"/>
    <w:rsid w:val="00027E9C"/>
    <w:rsid w:val="00031094"/>
    <w:rsid w:val="000315E9"/>
    <w:rsid w:val="000318F6"/>
    <w:rsid w:val="0003201A"/>
    <w:rsid w:val="0003207A"/>
    <w:rsid w:val="00032F9F"/>
    <w:rsid w:val="000340C8"/>
    <w:rsid w:val="0003425C"/>
    <w:rsid w:val="000344BE"/>
    <w:rsid w:val="00034AA0"/>
    <w:rsid w:val="00034D3C"/>
    <w:rsid w:val="0003533C"/>
    <w:rsid w:val="00035975"/>
    <w:rsid w:val="00035A8E"/>
    <w:rsid w:val="00035EF7"/>
    <w:rsid w:val="00036672"/>
    <w:rsid w:val="00036CE5"/>
    <w:rsid w:val="0003779B"/>
    <w:rsid w:val="00037AE7"/>
    <w:rsid w:val="00037C57"/>
    <w:rsid w:val="00037FA9"/>
    <w:rsid w:val="0004023A"/>
    <w:rsid w:val="00041146"/>
    <w:rsid w:val="000419C0"/>
    <w:rsid w:val="00041C07"/>
    <w:rsid w:val="00041EAA"/>
    <w:rsid w:val="00042938"/>
    <w:rsid w:val="000436DB"/>
    <w:rsid w:val="00043775"/>
    <w:rsid w:val="00044522"/>
    <w:rsid w:val="00044C29"/>
    <w:rsid w:val="00045644"/>
    <w:rsid w:val="00045AB0"/>
    <w:rsid w:val="00045BB7"/>
    <w:rsid w:val="00045EE6"/>
    <w:rsid w:val="000461A4"/>
    <w:rsid w:val="0004683D"/>
    <w:rsid w:val="00046AF9"/>
    <w:rsid w:val="000470C7"/>
    <w:rsid w:val="0004752C"/>
    <w:rsid w:val="000475C8"/>
    <w:rsid w:val="000502E0"/>
    <w:rsid w:val="00050736"/>
    <w:rsid w:val="00050A80"/>
    <w:rsid w:val="000510CC"/>
    <w:rsid w:val="00051959"/>
    <w:rsid w:val="00051F15"/>
    <w:rsid w:val="00051F66"/>
    <w:rsid w:val="00051F6C"/>
    <w:rsid w:val="000523AA"/>
    <w:rsid w:val="00052A9D"/>
    <w:rsid w:val="00052B62"/>
    <w:rsid w:val="000530B8"/>
    <w:rsid w:val="00053172"/>
    <w:rsid w:val="00053D61"/>
    <w:rsid w:val="00054033"/>
    <w:rsid w:val="0005438D"/>
    <w:rsid w:val="00054AEC"/>
    <w:rsid w:val="00054E32"/>
    <w:rsid w:val="000551E2"/>
    <w:rsid w:val="000553E8"/>
    <w:rsid w:val="00055719"/>
    <w:rsid w:val="00055BAD"/>
    <w:rsid w:val="0005641B"/>
    <w:rsid w:val="00056B05"/>
    <w:rsid w:val="00056BE1"/>
    <w:rsid w:val="000573C5"/>
    <w:rsid w:val="0005775D"/>
    <w:rsid w:val="00057840"/>
    <w:rsid w:val="00057DA4"/>
    <w:rsid w:val="00060E7F"/>
    <w:rsid w:val="00061403"/>
    <w:rsid w:val="000617A3"/>
    <w:rsid w:val="0006196A"/>
    <w:rsid w:val="00061E7D"/>
    <w:rsid w:val="00062325"/>
    <w:rsid w:val="000628DC"/>
    <w:rsid w:val="00062AF5"/>
    <w:rsid w:val="00062D1C"/>
    <w:rsid w:val="00062D6C"/>
    <w:rsid w:val="000633F8"/>
    <w:rsid w:val="000644A6"/>
    <w:rsid w:val="00064AB1"/>
    <w:rsid w:val="00064D50"/>
    <w:rsid w:val="00065097"/>
    <w:rsid w:val="000650F0"/>
    <w:rsid w:val="00065560"/>
    <w:rsid w:val="00066141"/>
    <w:rsid w:val="00066466"/>
    <w:rsid w:val="00066499"/>
    <w:rsid w:val="00066877"/>
    <w:rsid w:val="00066E3F"/>
    <w:rsid w:val="00066F7C"/>
    <w:rsid w:val="00067060"/>
    <w:rsid w:val="000671CC"/>
    <w:rsid w:val="000673F2"/>
    <w:rsid w:val="00067EA8"/>
    <w:rsid w:val="00067F23"/>
    <w:rsid w:val="00070039"/>
    <w:rsid w:val="00070641"/>
    <w:rsid w:val="00070F65"/>
    <w:rsid w:val="00071528"/>
    <w:rsid w:val="00071FB3"/>
    <w:rsid w:val="000725D7"/>
    <w:rsid w:val="00072FC0"/>
    <w:rsid w:val="00073AF4"/>
    <w:rsid w:val="00073D8B"/>
    <w:rsid w:val="000747B3"/>
    <w:rsid w:val="00074883"/>
    <w:rsid w:val="00074AE7"/>
    <w:rsid w:val="00074EEF"/>
    <w:rsid w:val="00074F68"/>
    <w:rsid w:val="00075C3E"/>
    <w:rsid w:val="00075CBF"/>
    <w:rsid w:val="00076398"/>
    <w:rsid w:val="0007688F"/>
    <w:rsid w:val="00077768"/>
    <w:rsid w:val="00077C65"/>
    <w:rsid w:val="00077FE8"/>
    <w:rsid w:val="000806A0"/>
    <w:rsid w:val="00081497"/>
    <w:rsid w:val="00081628"/>
    <w:rsid w:val="00081636"/>
    <w:rsid w:val="000817EB"/>
    <w:rsid w:val="00081AE0"/>
    <w:rsid w:val="00082338"/>
    <w:rsid w:val="000824D0"/>
    <w:rsid w:val="000824DE"/>
    <w:rsid w:val="0008251B"/>
    <w:rsid w:val="00082C86"/>
    <w:rsid w:val="000831EC"/>
    <w:rsid w:val="000836DC"/>
    <w:rsid w:val="000837BB"/>
    <w:rsid w:val="00084126"/>
    <w:rsid w:val="00084B49"/>
    <w:rsid w:val="00085255"/>
    <w:rsid w:val="000854A9"/>
    <w:rsid w:val="00085D81"/>
    <w:rsid w:val="00085E09"/>
    <w:rsid w:val="0008687C"/>
    <w:rsid w:val="00087825"/>
    <w:rsid w:val="00087A41"/>
    <w:rsid w:val="00087F3C"/>
    <w:rsid w:val="0009009C"/>
    <w:rsid w:val="000908EC"/>
    <w:rsid w:val="00093408"/>
    <w:rsid w:val="00093528"/>
    <w:rsid w:val="000939B7"/>
    <w:rsid w:val="00093B80"/>
    <w:rsid w:val="00093C23"/>
    <w:rsid w:val="00093F55"/>
    <w:rsid w:val="000940DB"/>
    <w:rsid w:val="000940E3"/>
    <w:rsid w:val="000949F4"/>
    <w:rsid w:val="00095D7A"/>
    <w:rsid w:val="0009680B"/>
    <w:rsid w:val="00096C6B"/>
    <w:rsid w:val="0009708D"/>
    <w:rsid w:val="00097931"/>
    <w:rsid w:val="00097BB8"/>
    <w:rsid w:val="00097FC3"/>
    <w:rsid w:val="000A01C5"/>
    <w:rsid w:val="000A028A"/>
    <w:rsid w:val="000A02F4"/>
    <w:rsid w:val="000A103D"/>
    <w:rsid w:val="000A2AEE"/>
    <w:rsid w:val="000A2C6F"/>
    <w:rsid w:val="000A2E76"/>
    <w:rsid w:val="000A3262"/>
    <w:rsid w:val="000A3D14"/>
    <w:rsid w:val="000A3E57"/>
    <w:rsid w:val="000A4807"/>
    <w:rsid w:val="000A4A78"/>
    <w:rsid w:val="000A4BE4"/>
    <w:rsid w:val="000A537C"/>
    <w:rsid w:val="000A582A"/>
    <w:rsid w:val="000A591B"/>
    <w:rsid w:val="000A5CBD"/>
    <w:rsid w:val="000A5FAF"/>
    <w:rsid w:val="000A601A"/>
    <w:rsid w:val="000A62A2"/>
    <w:rsid w:val="000A687E"/>
    <w:rsid w:val="000A6903"/>
    <w:rsid w:val="000A6D11"/>
    <w:rsid w:val="000A70FA"/>
    <w:rsid w:val="000A710A"/>
    <w:rsid w:val="000A79F2"/>
    <w:rsid w:val="000A7A41"/>
    <w:rsid w:val="000A7B70"/>
    <w:rsid w:val="000A7DD8"/>
    <w:rsid w:val="000B02DA"/>
    <w:rsid w:val="000B0B0D"/>
    <w:rsid w:val="000B0BF0"/>
    <w:rsid w:val="000B15F5"/>
    <w:rsid w:val="000B185A"/>
    <w:rsid w:val="000B1F3C"/>
    <w:rsid w:val="000B1F49"/>
    <w:rsid w:val="000B1FAB"/>
    <w:rsid w:val="000B26C9"/>
    <w:rsid w:val="000B2F0D"/>
    <w:rsid w:val="000B3001"/>
    <w:rsid w:val="000B371C"/>
    <w:rsid w:val="000B41CD"/>
    <w:rsid w:val="000B44E8"/>
    <w:rsid w:val="000B4D73"/>
    <w:rsid w:val="000B5366"/>
    <w:rsid w:val="000B564D"/>
    <w:rsid w:val="000B57A7"/>
    <w:rsid w:val="000B58FB"/>
    <w:rsid w:val="000B593F"/>
    <w:rsid w:val="000B5BA2"/>
    <w:rsid w:val="000B5E14"/>
    <w:rsid w:val="000B5E48"/>
    <w:rsid w:val="000B6051"/>
    <w:rsid w:val="000B692B"/>
    <w:rsid w:val="000B6CB7"/>
    <w:rsid w:val="000B747E"/>
    <w:rsid w:val="000B7FE2"/>
    <w:rsid w:val="000C00E7"/>
    <w:rsid w:val="000C023E"/>
    <w:rsid w:val="000C1C69"/>
    <w:rsid w:val="000C3197"/>
    <w:rsid w:val="000C327A"/>
    <w:rsid w:val="000C368B"/>
    <w:rsid w:val="000C3F21"/>
    <w:rsid w:val="000C405D"/>
    <w:rsid w:val="000C4E17"/>
    <w:rsid w:val="000C5195"/>
    <w:rsid w:val="000C5492"/>
    <w:rsid w:val="000C5556"/>
    <w:rsid w:val="000C555D"/>
    <w:rsid w:val="000C613F"/>
    <w:rsid w:val="000C62EF"/>
    <w:rsid w:val="000C6A58"/>
    <w:rsid w:val="000C6CBC"/>
    <w:rsid w:val="000C7638"/>
    <w:rsid w:val="000C7AF7"/>
    <w:rsid w:val="000C7F9D"/>
    <w:rsid w:val="000D0B4C"/>
    <w:rsid w:val="000D0F43"/>
    <w:rsid w:val="000D2137"/>
    <w:rsid w:val="000D2FF2"/>
    <w:rsid w:val="000D3FD2"/>
    <w:rsid w:val="000D4419"/>
    <w:rsid w:val="000D4B2E"/>
    <w:rsid w:val="000D609F"/>
    <w:rsid w:val="000D6311"/>
    <w:rsid w:val="000D6568"/>
    <w:rsid w:val="000D6841"/>
    <w:rsid w:val="000D6C27"/>
    <w:rsid w:val="000D7324"/>
    <w:rsid w:val="000D7F7B"/>
    <w:rsid w:val="000E0D0F"/>
    <w:rsid w:val="000E18AA"/>
    <w:rsid w:val="000E1951"/>
    <w:rsid w:val="000E246E"/>
    <w:rsid w:val="000E248F"/>
    <w:rsid w:val="000E270E"/>
    <w:rsid w:val="000E3547"/>
    <w:rsid w:val="000E3B99"/>
    <w:rsid w:val="000E3F85"/>
    <w:rsid w:val="000E3FC8"/>
    <w:rsid w:val="000E4B4A"/>
    <w:rsid w:val="000E4FCB"/>
    <w:rsid w:val="000E64AE"/>
    <w:rsid w:val="000E6714"/>
    <w:rsid w:val="000E6734"/>
    <w:rsid w:val="000E6837"/>
    <w:rsid w:val="000E6F81"/>
    <w:rsid w:val="000E73F9"/>
    <w:rsid w:val="000E7BAE"/>
    <w:rsid w:val="000F0BC3"/>
    <w:rsid w:val="000F0C37"/>
    <w:rsid w:val="000F0C69"/>
    <w:rsid w:val="000F0C8D"/>
    <w:rsid w:val="000F133D"/>
    <w:rsid w:val="000F1418"/>
    <w:rsid w:val="000F19F6"/>
    <w:rsid w:val="000F1A7C"/>
    <w:rsid w:val="000F1D1E"/>
    <w:rsid w:val="000F1DFE"/>
    <w:rsid w:val="000F266E"/>
    <w:rsid w:val="000F2B1B"/>
    <w:rsid w:val="000F3313"/>
    <w:rsid w:val="000F342F"/>
    <w:rsid w:val="000F3C78"/>
    <w:rsid w:val="000F3CB7"/>
    <w:rsid w:val="000F4C8C"/>
    <w:rsid w:val="000F4F80"/>
    <w:rsid w:val="000F6C89"/>
    <w:rsid w:val="000F6EFE"/>
    <w:rsid w:val="000F7CB1"/>
    <w:rsid w:val="0010069B"/>
    <w:rsid w:val="001008C8"/>
    <w:rsid w:val="0010112A"/>
    <w:rsid w:val="001016D6"/>
    <w:rsid w:val="00101E9D"/>
    <w:rsid w:val="00102198"/>
    <w:rsid w:val="00102853"/>
    <w:rsid w:val="00102879"/>
    <w:rsid w:val="00102D4F"/>
    <w:rsid w:val="00103B1B"/>
    <w:rsid w:val="00104259"/>
    <w:rsid w:val="001044BA"/>
    <w:rsid w:val="0010536B"/>
    <w:rsid w:val="00105A7C"/>
    <w:rsid w:val="00105F3E"/>
    <w:rsid w:val="00105FF3"/>
    <w:rsid w:val="00106133"/>
    <w:rsid w:val="001063CB"/>
    <w:rsid w:val="00106519"/>
    <w:rsid w:val="00106745"/>
    <w:rsid w:val="00106B16"/>
    <w:rsid w:val="00106E37"/>
    <w:rsid w:val="001073DD"/>
    <w:rsid w:val="00107BA5"/>
    <w:rsid w:val="00110D08"/>
    <w:rsid w:val="001112F2"/>
    <w:rsid w:val="0011138A"/>
    <w:rsid w:val="0011145C"/>
    <w:rsid w:val="001128BD"/>
    <w:rsid w:val="00113A8B"/>
    <w:rsid w:val="0011419D"/>
    <w:rsid w:val="0011424D"/>
    <w:rsid w:val="0011435D"/>
    <w:rsid w:val="00114B02"/>
    <w:rsid w:val="0011573B"/>
    <w:rsid w:val="00115D75"/>
    <w:rsid w:val="00116423"/>
    <w:rsid w:val="001165FE"/>
    <w:rsid w:val="001166C4"/>
    <w:rsid w:val="00116E4D"/>
    <w:rsid w:val="00117A7B"/>
    <w:rsid w:val="00117AF8"/>
    <w:rsid w:val="00120FE2"/>
    <w:rsid w:val="00121770"/>
    <w:rsid w:val="0012192F"/>
    <w:rsid w:val="00121EC3"/>
    <w:rsid w:val="001224A5"/>
    <w:rsid w:val="001226C0"/>
    <w:rsid w:val="00122A0E"/>
    <w:rsid w:val="00123570"/>
    <w:rsid w:val="00123CE6"/>
    <w:rsid w:val="00123D10"/>
    <w:rsid w:val="00123D73"/>
    <w:rsid w:val="00123DB9"/>
    <w:rsid w:val="00123E04"/>
    <w:rsid w:val="00123F52"/>
    <w:rsid w:val="0012458C"/>
    <w:rsid w:val="001251D0"/>
    <w:rsid w:val="00126EC8"/>
    <w:rsid w:val="00126F3C"/>
    <w:rsid w:val="001272AF"/>
    <w:rsid w:val="0012731C"/>
    <w:rsid w:val="00127DA0"/>
    <w:rsid w:val="001301CC"/>
    <w:rsid w:val="00130218"/>
    <w:rsid w:val="001311EA"/>
    <w:rsid w:val="00131A20"/>
    <w:rsid w:val="00131D1C"/>
    <w:rsid w:val="00132054"/>
    <w:rsid w:val="001329AA"/>
    <w:rsid w:val="00133031"/>
    <w:rsid w:val="00133185"/>
    <w:rsid w:val="00133613"/>
    <w:rsid w:val="0013385D"/>
    <w:rsid w:val="00133B09"/>
    <w:rsid w:val="00133C08"/>
    <w:rsid w:val="00133CA6"/>
    <w:rsid w:val="001340C7"/>
    <w:rsid w:val="00134237"/>
    <w:rsid w:val="00134964"/>
    <w:rsid w:val="001349F8"/>
    <w:rsid w:val="00134AC5"/>
    <w:rsid w:val="00134B28"/>
    <w:rsid w:val="00134CBF"/>
    <w:rsid w:val="001350C6"/>
    <w:rsid w:val="001351B9"/>
    <w:rsid w:val="001356D6"/>
    <w:rsid w:val="00136DD7"/>
    <w:rsid w:val="00136E91"/>
    <w:rsid w:val="00137079"/>
    <w:rsid w:val="0013715E"/>
    <w:rsid w:val="00137757"/>
    <w:rsid w:val="00137FE2"/>
    <w:rsid w:val="001401F9"/>
    <w:rsid w:val="00141084"/>
    <w:rsid w:val="00141DA4"/>
    <w:rsid w:val="001421D8"/>
    <w:rsid w:val="001423BB"/>
    <w:rsid w:val="0014266C"/>
    <w:rsid w:val="0014275C"/>
    <w:rsid w:val="001427C0"/>
    <w:rsid w:val="0014334A"/>
    <w:rsid w:val="0014353C"/>
    <w:rsid w:val="001438BF"/>
    <w:rsid w:val="00144765"/>
    <w:rsid w:val="0014489D"/>
    <w:rsid w:val="001450CB"/>
    <w:rsid w:val="00146121"/>
    <w:rsid w:val="001468AC"/>
    <w:rsid w:val="0014738A"/>
    <w:rsid w:val="00147D9E"/>
    <w:rsid w:val="001503E0"/>
    <w:rsid w:val="001509D3"/>
    <w:rsid w:val="00151037"/>
    <w:rsid w:val="0015132B"/>
    <w:rsid w:val="00151DF0"/>
    <w:rsid w:val="00152218"/>
    <w:rsid w:val="00152828"/>
    <w:rsid w:val="0015301E"/>
    <w:rsid w:val="00153933"/>
    <w:rsid w:val="001541C9"/>
    <w:rsid w:val="001542C0"/>
    <w:rsid w:val="001543EA"/>
    <w:rsid w:val="001548C1"/>
    <w:rsid w:val="001551EB"/>
    <w:rsid w:val="00155342"/>
    <w:rsid w:val="00155346"/>
    <w:rsid w:val="00155526"/>
    <w:rsid w:val="001558A2"/>
    <w:rsid w:val="00155C95"/>
    <w:rsid w:val="00155CD2"/>
    <w:rsid w:val="00156294"/>
    <w:rsid w:val="00156D03"/>
    <w:rsid w:val="001571AE"/>
    <w:rsid w:val="0015724E"/>
    <w:rsid w:val="00157D6D"/>
    <w:rsid w:val="00157E22"/>
    <w:rsid w:val="001605BB"/>
    <w:rsid w:val="00160D51"/>
    <w:rsid w:val="00160DC9"/>
    <w:rsid w:val="00161073"/>
    <w:rsid w:val="001615FF"/>
    <w:rsid w:val="00161FE0"/>
    <w:rsid w:val="001625D2"/>
    <w:rsid w:val="00162B9E"/>
    <w:rsid w:val="0016379A"/>
    <w:rsid w:val="00163995"/>
    <w:rsid w:val="00164521"/>
    <w:rsid w:val="00164EAA"/>
    <w:rsid w:val="001654EC"/>
    <w:rsid w:val="00165610"/>
    <w:rsid w:val="0016620A"/>
    <w:rsid w:val="00166599"/>
    <w:rsid w:val="0016688D"/>
    <w:rsid w:val="00166AE9"/>
    <w:rsid w:val="00166B77"/>
    <w:rsid w:val="00166BF4"/>
    <w:rsid w:val="00167949"/>
    <w:rsid w:val="00167C23"/>
    <w:rsid w:val="00167C7B"/>
    <w:rsid w:val="00170674"/>
    <w:rsid w:val="001711B1"/>
    <w:rsid w:val="001719C6"/>
    <w:rsid w:val="001727A4"/>
    <w:rsid w:val="0017376C"/>
    <w:rsid w:val="001738AB"/>
    <w:rsid w:val="001739CB"/>
    <w:rsid w:val="00173C01"/>
    <w:rsid w:val="001744F4"/>
    <w:rsid w:val="00174B0A"/>
    <w:rsid w:val="001759DB"/>
    <w:rsid w:val="00176029"/>
    <w:rsid w:val="001760BF"/>
    <w:rsid w:val="001765E0"/>
    <w:rsid w:val="00176794"/>
    <w:rsid w:val="00176C6E"/>
    <w:rsid w:val="00176C74"/>
    <w:rsid w:val="00177309"/>
    <w:rsid w:val="00177759"/>
    <w:rsid w:val="00177888"/>
    <w:rsid w:val="00180793"/>
    <w:rsid w:val="00180BB3"/>
    <w:rsid w:val="00180CBC"/>
    <w:rsid w:val="00180D79"/>
    <w:rsid w:val="00181590"/>
    <w:rsid w:val="001822D5"/>
    <w:rsid w:val="00182C18"/>
    <w:rsid w:val="001830A3"/>
    <w:rsid w:val="0018397F"/>
    <w:rsid w:val="00183DC6"/>
    <w:rsid w:val="0018406C"/>
    <w:rsid w:val="00184C25"/>
    <w:rsid w:val="00184CC2"/>
    <w:rsid w:val="00185A59"/>
    <w:rsid w:val="00185DD6"/>
    <w:rsid w:val="00185E6B"/>
    <w:rsid w:val="00186301"/>
    <w:rsid w:val="00186698"/>
    <w:rsid w:val="001873C0"/>
    <w:rsid w:val="00187AFA"/>
    <w:rsid w:val="00187BBC"/>
    <w:rsid w:val="0019012B"/>
    <w:rsid w:val="001905D0"/>
    <w:rsid w:val="001912EB"/>
    <w:rsid w:val="001914E7"/>
    <w:rsid w:val="001919A8"/>
    <w:rsid w:val="00191A4B"/>
    <w:rsid w:val="00192318"/>
    <w:rsid w:val="00193072"/>
    <w:rsid w:val="001932F3"/>
    <w:rsid w:val="001934F5"/>
    <w:rsid w:val="00193954"/>
    <w:rsid w:val="00194EFB"/>
    <w:rsid w:val="0019519B"/>
    <w:rsid w:val="00195252"/>
    <w:rsid w:val="0019566B"/>
    <w:rsid w:val="001958F2"/>
    <w:rsid w:val="001959A7"/>
    <w:rsid w:val="00195E94"/>
    <w:rsid w:val="0019624C"/>
    <w:rsid w:val="00196DBA"/>
    <w:rsid w:val="00196FC3"/>
    <w:rsid w:val="001A11F6"/>
    <w:rsid w:val="001A1308"/>
    <w:rsid w:val="001A137B"/>
    <w:rsid w:val="001A1985"/>
    <w:rsid w:val="001A1C09"/>
    <w:rsid w:val="001A2657"/>
    <w:rsid w:val="001A28B2"/>
    <w:rsid w:val="001A2B40"/>
    <w:rsid w:val="001A2C2E"/>
    <w:rsid w:val="001A2FDC"/>
    <w:rsid w:val="001A364A"/>
    <w:rsid w:val="001A4309"/>
    <w:rsid w:val="001A4411"/>
    <w:rsid w:val="001A46AE"/>
    <w:rsid w:val="001A471A"/>
    <w:rsid w:val="001A4934"/>
    <w:rsid w:val="001A55DB"/>
    <w:rsid w:val="001A59BF"/>
    <w:rsid w:val="001A5ACD"/>
    <w:rsid w:val="001A6680"/>
    <w:rsid w:val="001A6B12"/>
    <w:rsid w:val="001A6C52"/>
    <w:rsid w:val="001A6F78"/>
    <w:rsid w:val="001A7959"/>
    <w:rsid w:val="001A7DB8"/>
    <w:rsid w:val="001A7DDD"/>
    <w:rsid w:val="001B0207"/>
    <w:rsid w:val="001B0A7A"/>
    <w:rsid w:val="001B0F35"/>
    <w:rsid w:val="001B1053"/>
    <w:rsid w:val="001B14AC"/>
    <w:rsid w:val="001B14B7"/>
    <w:rsid w:val="001B182D"/>
    <w:rsid w:val="001B18CC"/>
    <w:rsid w:val="001B19E5"/>
    <w:rsid w:val="001B219F"/>
    <w:rsid w:val="001B309F"/>
    <w:rsid w:val="001B3129"/>
    <w:rsid w:val="001B4200"/>
    <w:rsid w:val="001B456B"/>
    <w:rsid w:val="001B46AD"/>
    <w:rsid w:val="001B4A05"/>
    <w:rsid w:val="001B4BF3"/>
    <w:rsid w:val="001B504B"/>
    <w:rsid w:val="001B5695"/>
    <w:rsid w:val="001B5E83"/>
    <w:rsid w:val="001B697E"/>
    <w:rsid w:val="001B6D70"/>
    <w:rsid w:val="001B731B"/>
    <w:rsid w:val="001B7940"/>
    <w:rsid w:val="001C0D33"/>
    <w:rsid w:val="001C13EE"/>
    <w:rsid w:val="001C171A"/>
    <w:rsid w:val="001C17C0"/>
    <w:rsid w:val="001C1DC5"/>
    <w:rsid w:val="001C1F29"/>
    <w:rsid w:val="001C2062"/>
    <w:rsid w:val="001C2C9A"/>
    <w:rsid w:val="001C2CB4"/>
    <w:rsid w:val="001C2FE0"/>
    <w:rsid w:val="001C312C"/>
    <w:rsid w:val="001C31EB"/>
    <w:rsid w:val="001C3223"/>
    <w:rsid w:val="001C32EB"/>
    <w:rsid w:val="001C36BA"/>
    <w:rsid w:val="001C37CA"/>
    <w:rsid w:val="001C3950"/>
    <w:rsid w:val="001C4085"/>
    <w:rsid w:val="001C49CB"/>
    <w:rsid w:val="001C4FA6"/>
    <w:rsid w:val="001C5108"/>
    <w:rsid w:val="001C5A94"/>
    <w:rsid w:val="001C7263"/>
    <w:rsid w:val="001D0297"/>
    <w:rsid w:val="001D04AC"/>
    <w:rsid w:val="001D0E9B"/>
    <w:rsid w:val="001D2150"/>
    <w:rsid w:val="001D2C3D"/>
    <w:rsid w:val="001D2C45"/>
    <w:rsid w:val="001D31B8"/>
    <w:rsid w:val="001D379E"/>
    <w:rsid w:val="001D3B03"/>
    <w:rsid w:val="001D407F"/>
    <w:rsid w:val="001D415C"/>
    <w:rsid w:val="001D42A6"/>
    <w:rsid w:val="001D4303"/>
    <w:rsid w:val="001D46E4"/>
    <w:rsid w:val="001D4B99"/>
    <w:rsid w:val="001D4B9E"/>
    <w:rsid w:val="001D4C94"/>
    <w:rsid w:val="001D5782"/>
    <w:rsid w:val="001D5BF2"/>
    <w:rsid w:val="001D5E9F"/>
    <w:rsid w:val="001D6746"/>
    <w:rsid w:val="001D6E60"/>
    <w:rsid w:val="001D748C"/>
    <w:rsid w:val="001D762D"/>
    <w:rsid w:val="001D76A6"/>
    <w:rsid w:val="001D779F"/>
    <w:rsid w:val="001D7856"/>
    <w:rsid w:val="001D7DA0"/>
    <w:rsid w:val="001D7ED0"/>
    <w:rsid w:val="001E003E"/>
    <w:rsid w:val="001E05F9"/>
    <w:rsid w:val="001E06AA"/>
    <w:rsid w:val="001E098C"/>
    <w:rsid w:val="001E0B7C"/>
    <w:rsid w:val="001E0C61"/>
    <w:rsid w:val="001E1096"/>
    <w:rsid w:val="001E10DF"/>
    <w:rsid w:val="001E1103"/>
    <w:rsid w:val="001E1738"/>
    <w:rsid w:val="001E1787"/>
    <w:rsid w:val="001E1ACA"/>
    <w:rsid w:val="001E2B75"/>
    <w:rsid w:val="001E2E01"/>
    <w:rsid w:val="001E2F93"/>
    <w:rsid w:val="001E35AD"/>
    <w:rsid w:val="001E3B49"/>
    <w:rsid w:val="001E3CC7"/>
    <w:rsid w:val="001E3EAF"/>
    <w:rsid w:val="001E4159"/>
    <w:rsid w:val="001E41EC"/>
    <w:rsid w:val="001E4A05"/>
    <w:rsid w:val="001E6A19"/>
    <w:rsid w:val="001E6DD5"/>
    <w:rsid w:val="001E7388"/>
    <w:rsid w:val="001E7720"/>
    <w:rsid w:val="001E7811"/>
    <w:rsid w:val="001E7B33"/>
    <w:rsid w:val="001F00E2"/>
    <w:rsid w:val="001F0261"/>
    <w:rsid w:val="001F04D9"/>
    <w:rsid w:val="001F05B1"/>
    <w:rsid w:val="001F13DD"/>
    <w:rsid w:val="001F2473"/>
    <w:rsid w:val="001F2762"/>
    <w:rsid w:val="001F2DBC"/>
    <w:rsid w:val="001F36B5"/>
    <w:rsid w:val="001F4929"/>
    <w:rsid w:val="001F4C7B"/>
    <w:rsid w:val="001F55AA"/>
    <w:rsid w:val="001F59C7"/>
    <w:rsid w:val="001F73E8"/>
    <w:rsid w:val="001F7E97"/>
    <w:rsid w:val="0020010A"/>
    <w:rsid w:val="00200154"/>
    <w:rsid w:val="0020018C"/>
    <w:rsid w:val="00200846"/>
    <w:rsid w:val="00200DEB"/>
    <w:rsid w:val="002010B5"/>
    <w:rsid w:val="0020122D"/>
    <w:rsid w:val="002017B4"/>
    <w:rsid w:val="0020250C"/>
    <w:rsid w:val="0020262C"/>
    <w:rsid w:val="00202723"/>
    <w:rsid w:val="002030AF"/>
    <w:rsid w:val="002039DD"/>
    <w:rsid w:val="00203ABC"/>
    <w:rsid w:val="00203BA2"/>
    <w:rsid w:val="00203E62"/>
    <w:rsid w:val="002042C5"/>
    <w:rsid w:val="00204596"/>
    <w:rsid w:val="00204C02"/>
    <w:rsid w:val="00204F3B"/>
    <w:rsid w:val="002050B0"/>
    <w:rsid w:val="002057A3"/>
    <w:rsid w:val="00205F71"/>
    <w:rsid w:val="00206651"/>
    <w:rsid w:val="0020710B"/>
    <w:rsid w:val="00207806"/>
    <w:rsid w:val="00207D28"/>
    <w:rsid w:val="00207EA2"/>
    <w:rsid w:val="002104D8"/>
    <w:rsid w:val="00210DBC"/>
    <w:rsid w:val="00210F58"/>
    <w:rsid w:val="00211A3E"/>
    <w:rsid w:val="002127C5"/>
    <w:rsid w:val="002139E0"/>
    <w:rsid w:val="00213F20"/>
    <w:rsid w:val="00214055"/>
    <w:rsid w:val="002144EB"/>
    <w:rsid w:val="00214531"/>
    <w:rsid w:val="00214569"/>
    <w:rsid w:val="00214A3D"/>
    <w:rsid w:val="00215163"/>
    <w:rsid w:val="002155FF"/>
    <w:rsid w:val="00215BCA"/>
    <w:rsid w:val="002160F5"/>
    <w:rsid w:val="00216B4B"/>
    <w:rsid w:val="00217279"/>
    <w:rsid w:val="00217683"/>
    <w:rsid w:val="00217AC4"/>
    <w:rsid w:val="00220982"/>
    <w:rsid w:val="00220C2D"/>
    <w:rsid w:val="00221461"/>
    <w:rsid w:val="0022257C"/>
    <w:rsid w:val="00223316"/>
    <w:rsid w:val="00224537"/>
    <w:rsid w:val="00224CE6"/>
    <w:rsid w:val="002254F0"/>
    <w:rsid w:val="00225E88"/>
    <w:rsid w:val="00225FF3"/>
    <w:rsid w:val="0022685B"/>
    <w:rsid w:val="00226B79"/>
    <w:rsid w:val="0022778C"/>
    <w:rsid w:val="00227A55"/>
    <w:rsid w:val="00230106"/>
    <w:rsid w:val="00230C93"/>
    <w:rsid w:val="0023267C"/>
    <w:rsid w:val="00232731"/>
    <w:rsid w:val="00232862"/>
    <w:rsid w:val="0023291D"/>
    <w:rsid w:val="002336B0"/>
    <w:rsid w:val="00233C23"/>
    <w:rsid w:val="00233F18"/>
    <w:rsid w:val="002341E1"/>
    <w:rsid w:val="00234CCA"/>
    <w:rsid w:val="00234E61"/>
    <w:rsid w:val="00235956"/>
    <w:rsid w:val="00235A65"/>
    <w:rsid w:val="00235B7D"/>
    <w:rsid w:val="00235B99"/>
    <w:rsid w:val="00235F79"/>
    <w:rsid w:val="002362A1"/>
    <w:rsid w:val="002366A9"/>
    <w:rsid w:val="00236AD3"/>
    <w:rsid w:val="00236DFF"/>
    <w:rsid w:val="00237B57"/>
    <w:rsid w:val="00237E52"/>
    <w:rsid w:val="00237FC1"/>
    <w:rsid w:val="002402FE"/>
    <w:rsid w:val="00240532"/>
    <w:rsid w:val="00240897"/>
    <w:rsid w:val="00240D37"/>
    <w:rsid w:val="002415FF"/>
    <w:rsid w:val="0024320E"/>
    <w:rsid w:val="002436FB"/>
    <w:rsid w:val="00243C86"/>
    <w:rsid w:val="00243CD0"/>
    <w:rsid w:val="00243E5E"/>
    <w:rsid w:val="00244B80"/>
    <w:rsid w:val="00244BB0"/>
    <w:rsid w:val="0024554E"/>
    <w:rsid w:val="002457BF"/>
    <w:rsid w:val="00245CDA"/>
    <w:rsid w:val="0024616F"/>
    <w:rsid w:val="002467A6"/>
    <w:rsid w:val="00246A22"/>
    <w:rsid w:val="00246C71"/>
    <w:rsid w:val="00247297"/>
    <w:rsid w:val="00247323"/>
    <w:rsid w:val="0024786A"/>
    <w:rsid w:val="00247C9A"/>
    <w:rsid w:val="002503FF"/>
    <w:rsid w:val="00250B1A"/>
    <w:rsid w:val="00250D33"/>
    <w:rsid w:val="002514DD"/>
    <w:rsid w:val="0025153C"/>
    <w:rsid w:val="0025160C"/>
    <w:rsid w:val="00252283"/>
    <w:rsid w:val="00252A3E"/>
    <w:rsid w:val="002531D7"/>
    <w:rsid w:val="0025353B"/>
    <w:rsid w:val="002535D0"/>
    <w:rsid w:val="002539B3"/>
    <w:rsid w:val="00253C59"/>
    <w:rsid w:val="00254481"/>
    <w:rsid w:val="00254AB7"/>
    <w:rsid w:val="00254CF3"/>
    <w:rsid w:val="002553CF"/>
    <w:rsid w:val="00256336"/>
    <w:rsid w:val="00256C7A"/>
    <w:rsid w:val="00257B30"/>
    <w:rsid w:val="00257C3E"/>
    <w:rsid w:val="002602C2"/>
    <w:rsid w:val="002603E0"/>
    <w:rsid w:val="002605EE"/>
    <w:rsid w:val="00261821"/>
    <w:rsid w:val="00261884"/>
    <w:rsid w:val="00261A85"/>
    <w:rsid w:val="00262062"/>
    <w:rsid w:val="00262B8D"/>
    <w:rsid w:val="00263067"/>
    <w:rsid w:val="002634C4"/>
    <w:rsid w:val="002634E1"/>
    <w:rsid w:val="0026353D"/>
    <w:rsid w:val="00263832"/>
    <w:rsid w:val="0026383D"/>
    <w:rsid w:val="0026434B"/>
    <w:rsid w:val="0026456C"/>
    <w:rsid w:val="002645AB"/>
    <w:rsid w:val="00264905"/>
    <w:rsid w:val="0026516D"/>
    <w:rsid w:val="00265727"/>
    <w:rsid w:val="00265768"/>
    <w:rsid w:val="00266071"/>
    <w:rsid w:val="002666C9"/>
    <w:rsid w:val="00270136"/>
    <w:rsid w:val="002705E9"/>
    <w:rsid w:val="00270FD7"/>
    <w:rsid w:val="002715C1"/>
    <w:rsid w:val="002716E3"/>
    <w:rsid w:val="002721DC"/>
    <w:rsid w:val="00272395"/>
    <w:rsid w:val="002726F9"/>
    <w:rsid w:val="0027360A"/>
    <w:rsid w:val="00273EDD"/>
    <w:rsid w:val="00274373"/>
    <w:rsid w:val="0027441D"/>
    <w:rsid w:val="00274805"/>
    <w:rsid w:val="00274E13"/>
    <w:rsid w:val="00274F5B"/>
    <w:rsid w:val="00275010"/>
    <w:rsid w:val="00275178"/>
    <w:rsid w:val="00275360"/>
    <w:rsid w:val="002755F4"/>
    <w:rsid w:val="00275750"/>
    <w:rsid w:val="00275A22"/>
    <w:rsid w:val="00275FFB"/>
    <w:rsid w:val="002768A6"/>
    <w:rsid w:val="0027695E"/>
    <w:rsid w:val="00276EA6"/>
    <w:rsid w:val="0028076D"/>
    <w:rsid w:val="00280836"/>
    <w:rsid w:val="00281279"/>
    <w:rsid w:val="00282486"/>
    <w:rsid w:val="00282642"/>
    <w:rsid w:val="00282E1A"/>
    <w:rsid w:val="002834D1"/>
    <w:rsid w:val="002840F1"/>
    <w:rsid w:val="00284231"/>
    <w:rsid w:val="00284913"/>
    <w:rsid w:val="00284EB6"/>
    <w:rsid w:val="00285922"/>
    <w:rsid w:val="002865B6"/>
    <w:rsid w:val="00287116"/>
    <w:rsid w:val="00287C26"/>
    <w:rsid w:val="00290373"/>
    <w:rsid w:val="002906CB"/>
    <w:rsid w:val="00290943"/>
    <w:rsid w:val="0029113B"/>
    <w:rsid w:val="00292B5E"/>
    <w:rsid w:val="002934C0"/>
    <w:rsid w:val="00293C7A"/>
    <w:rsid w:val="00293E1F"/>
    <w:rsid w:val="002940BE"/>
    <w:rsid w:val="00294B5C"/>
    <w:rsid w:val="00294E7C"/>
    <w:rsid w:val="0029605F"/>
    <w:rsid w:val="0029764C"/>
    <w:rsid w:val="00297A96"/>
    <w:rsid w:val="002A0342"/>
    <w:rsid w:val="002A05B9"/>
    <w:rsid w:val="002A0F6E"/>
    <w:rsid w:val="002A1832"/>
    <w:rsid w:val="002A198D"/>
    <w:rsid w:val="002A1B43"/>
    <w:rsid w:val="002A1B50"/>
    <w:rsid w:val="002A31E5"/>
    <w:rsid w:val="002A33C4"/>
    <w:rsid w:val="002A3C81"/>
    <w:rsid w:val="002A3F7D"/>
    <w:rsid w:val="002A4059"/>
    <w:rsid w:val="002A419D"/>
    <w:rsid w:val="002A430E"/>
    <w:rsid w:val="002A4A51"/>
    <w:rsid w:val="002A4D34"/>
    <w:rsid w:val="002A537F"/>
    <w:rsid w:val="002A5760"/>
    <w:rsid w:val="002A6064"/>
    <w:rsid w:val="002A63F0"/>
    <w:rsid w:val="002A6F04"/>
    <w:rsid w:val="002A7328"/>
    <w:rsid w:val="002A75ED"/>
    <w:rsid w:val="002A7BAD"/>
    <w:rsid w:val="002B0163"/>
    <w:rsid w:val="002B01D9"/>
    <w:rsid w:val="002B03E0"/>
    <w:rsid w:val="002B0A1C"/>
    <w:rsid w:val="002B0AE7"/>
    <w:rsid w:val="002B0E75"/>
    <w:rsid w:val="002B0E91"/>
    <w:rsid w:val="002B1158"/>
    <w:rsid w:val="002B132C"/>
    <w:rsid w:val="002B1694"/>
    <w:rsid w:val="002B1EB9"/>
    <w:rsid w:val="002B35F0"/>
    <w:rsid w:val="002B380F"/>
    <w:rsid w:val="002B3F23"/>
    <w:rsid w:val="002B4EB5"/>
    <w:rsid w:val="002B5240"/>
    <w:rsid w:val="002B5603"/>
    <w:rsid w:val="002B5613"/>
    <w:rsid w:val="002B5AF5"/>
    <w:rsid w:val="002B5C2F"/>
    <w:rsid w:val="002B60B7"/>
    <w:rsid w:val="002B6779"/>
    <w:rsid w:val="002B6AB3"/>
    <w:rsid w:val="002B71C0"/>
    <w:rsid w:val="002B7A34"/>
    <w:rsid w:val="002C0317"/>
    <w:rsid w:val="002C07C6"/>
    <w:rsid w:val="002C0A62"/>
    <w:rsid w:val="002C0AC0"/>
    <w:rsid w:val="002C16B2"/>
    <w:rsid w:val="002C17AD"/>
    <w:rsid w:val="002C1D51"/>
    <w:rsid w:val="002C2187"/>
    <w:rsid w:val="002C220E"/>
    <w:rsid w:val="002C250F"/>
    <w:rsid w:val="002C2631"/>
    <w:rsid w:val="002C29B3"/>
    <w:rsid w:val="002C31AD"/>
    <w:rsid w:val="002C3C1A"/>
    <w:rsid w:val="002C3E1E"/>
    <w:rsid w:val="002C3EC9"/>
    <w:rsid w:val="002C468B"/>
    <w:rsid w:val="002C472D"/>
    <w:rsid w:val="002C4C2F"/>
    <w:rsid w:val="002C4C4B"/>
    <w:rsid w:val="002C4CC4"/>
    <w:rsid w:val="002C4E1D"/>
    <w:rsid w:val="002C5134"/>
    <w:rsid w:val="002C516C"/>
    <w:rsid w:val="002C52DF"/>
    <w:rsid w:val="002C5421"/>
    <w:rsid w:val="002C58D9"/>
    <w:rsid w:val="002C5941"/>
    <w:rsid w:val="002C6233"/>
    <w:rsid w:val="002C66DE"/>
    <w:rsid w:val="002C6C28"/>
    <w:rsid w:val="002C6F3D"/>
    <w:rsid w:val="002C7385"/>
    <w:rsid w:val="002C7EBD"/>
    <w:rsid w:val="002D014A"/>
    <w:rsid w:val="002D0B87"/>
    <w:rsid w:val="002D0E18"/>
    <w:rsid w:val="002D0E2E"/>
    <w:rsid w:val="002D1972"/>
    <w:rsid w:val="002D1984"/>
    <w:rsid w:val="002D23CC"/>
    <w:rsid w:val="002D2DBB"/>
    <w:rsid w:val="002D2F66"/>
    <w:rsid w:val="002D3431"/>
    <w:rsid w:val="002D37D8"/>
    <w:rsid w:val="002D3AAC"/>
    <w:rsid w:val="002D495E"/>
    <w:rsid w:val="002D51B0"/>
    <w:rsid w:val="002D53D1"/>
    <w:rsid w:val="002D54A6"/>
    <w:rsid w:val="002D5BC7"/>
    <w:rsid w:val="002D5D4E"/>
    <w:rsid w:val="002D5DA4"/>
    <w:rsid w:val="002D6086"/>
    <w:rsid w:val="002D6135"/>
    <w:rsid w:val="002D62D5"/>
    <w:rsid w:val="002D64C5"/>
    <w:rsid w:val="002D6782"/>
    <w:rsid w:val="002D6D39"/>
    <w:rsid w:val="002D6DCE"/>
    <w:rsid w:val="002D6E38"/>
    <w:rsid w:val="002D6F15"/>
    <w:rsid w:val="002D72B2"/>
    <w:rsid w:val="002D76A3"/>
    <w:rsid w:val="002D7E17"/>
    <w:rsid w:val="002E0C2F"/>
    <w:rsid w:val="002E1194"/>
    <w:rsid w:val="002E1791"/>
    <w:rsid w:val="002E17C1"/>
    <w:rsid w:val="002E1DD5"/>
    <w:rsid w:val="002E1F69"/>
    <w:rsid w:val="002E2D50"/>
    <w:rsid w:val="002E327F"/>
    <w:rsid w:val="002E3779"/>
    <w:rsid w:val="002E38C6"/>
    <w:rsid w:val="002E39B5"/>
    <w:rsid w:val="002E4096"/>
    <w:rsid w:val="002E469A"/>
    <w:rsid w:val="002E48C4"/>
    <w:rsid w:val="002E4AF9"/>
    <w:rsid w:val="002E4CF1"/>
    <w:rsid w:val="002E511D"/>
    <w:rsid w:val="002E5206"/>
    <w:rsid w:val="002E57D3"/>
    <w:rsid w:val="002E5BF9"/>
    <w:rsid w:val="002E5C03"/>
    <w:rsid w:val="002E5CE2"/>
    <w:rsid w:val="002E5E86"/>
    <w:rsid w:val="002E6A7A"/>
    <w:rsid w:val="002E7123"/>
    <w:rsid w:val="002E739F"/>
    <w:rsid w:val="002E76C5"/>
    <w:rsid w:val="002E7C67"/>
    <w:rsid w:val="002E7CA9"/>
    <w:rsid w:val="002F12ED"/>
    <w:rsid w:val="002F19A4"/>
    <w:rsid w:val="002F1A7F"/>
    <w:rsid w:val="002F1D00"/>
    <w:rsid w:val="002F1E49"/>
    <w:rsid w:val="002F235C"/>
    <w:rsid w:val="002F24EB"/>
    <w:rsid w:val="002F25DB"/>
    <w:rsid w:val="002F30AB"/>
    <w:rsid w:val="002F3C33"/>
    <w:rsid w:val="002F3DC6"/>
    <w:rsid w:val="002F3EDE"/>
    <w:rsid w:val="002F438E"/>
    <w:rsid w:val="002F444D"/>
    <w:rsid w:val="002F4458"/>
    <w:rsid w:val="002F451D"/>
    <w:rsid w:val="002F482A"/>
    <w:rsid w:val="002F4B6E"/>
    <w:rsid w:val="002F4BA3"/>
    <w:rsid w:val="002F4E9C"/>
    <w:rsid w:val="002F5085"/>
    <w:rsid w:val="002F5241"/>
    <w:rsid w:val="002F590F"/>
    <w:rsid w:val="002F6B75"/>
    <w:rsid w:val="002F6B98"/>
    <w:rsid w:val="002F6E15"/>
    <w:rsid w:val="002F6E6A"/>
    <w:rsid w:val="002F7B58"/>
    <w:rsid w:val="0030002C"/>
    <w:rsid w:val="003001AE"/>
    <w:rsid w:val="00300CB2"/>
    <w:rsid w:val="003011B3"/>
    <w:rsid w:val="003011E8"/>
    <w:rsid w:val="00301206"/>
    <w:rsid w:val="0030171F"/>
    <w:rsid w:val="00302564"/>
    <w:rsid w:val="0030256C"/>
    <w:rsid w:val="0030282E"/>
    <w:rsid w:val="00302F4E"/>
    <w:rsid w:val="003032E7"/>
    <w:rsid w:val="0030396A"/>
    <w:rsid w:val="00303A38"/>
    <w:rsid w:val="003043EC"/>
    <w:rsid w:val="00305C79"/>
    <w:rsid w:val="00306FB8"/>
    <w:rsid w:val="003071E8"/>
    <w:rsid w:val="00307332"/>
    <w:rsid w:val="0030760F"/>
    <w:rsid w:val="003077F9"/>
    <w:rsid w:val="00307AEF"/>
    <w:rsid w:val="00307FB1"/>
    <w:rsid w:val="003112B4"/>
    <w:rsid w:val="00311614"/>
    <w:rsid w:val="00311E6E"/>
    <w:rsid w:val="00312496"/>
    <w:rsid w:val="0031256C"/>
    <w:rsid w:val="003127AF"/>
    <w:rsid w:val="0031315B"/>
    <w:rsid w:val="003134D3"/>
    <w:rsid w:val="0031417B"/>
    <w:rsid w:val="00314D6C"/>
    <w:rsid w:val="00315C37"/>
    <w:rsid w:val="00315F5B"/>
    <w:rsid w:val="003162EE"/>
    <w:rsid w:val="0031650D"/>
    <w:rsid w:val="0031666C"/>
    <w:rsid w:val="00316B77"/>
    <w:rsid w:val="00316D2A"/>
    <w:rsid w:val="00317508"/>
    <w:rsid w:val="00317D23"/>
    <w:rsid w:val="00320460"/>
    <w:rsid w:val="003209DE"/>
    <w:rsid w:val="00321186"/>
    <w:rsid w:val="003211BE"/>
    <w:rsid w:val="0032142D"/>
    <w:rsid w:val="00321651"/>
    <w:rsid w:val="003217E7"/>
    <w:rsid w:val="00322A7C"/>
    <w:rsid w:val="00322E54"/>
    <w:rsid w:val="00322EEC"/>
    <w:rsid w:val="00323061"/>
    <w:rsid w:val="0032437A"/>
    <w:rsid w:val="00324BBC"/>
    <w:rsid w:val="003253F7"/>
    <w:rsid w:val="00325441"/>
    <w:rsid w:val="0032573E"/>
    <w:rsid w:val="003258D1"/>
    <w:rsid w:val="003259ED"/>
    <w:rsid w:val="00325EC4"/>
    <w:rsid w:val="003265D2"/>
    <w:rsid w:val="00326DAF"/>
    <w:rsid w:val="003270B0"/>
    <w:rsid w:val="00327665"/>
    <w:rsid w:val="0033077A"/>
    <w:rsid w:val="00330B45"/>
    <w:rsid w:val="00331152"/>
    <w:rsid w:val="00331367"/>
    <w:rsid w:val="003325D4"/>
    <w:rsid w:val="00333A53"/>
    <w:rsid w:val="003342C4"/>
    <w:rsid w:val="0033432E"/>
    <w:rsid w:val="00334B0D"/>
    <w:rsid w:val="00334C87"/>
    <w:rsid w:val="00334C92"/>
    <w:rsid w:val="00334EA1"/>
    <w:rsid w:val="0033579A"/>
    <w:rsid w:val="00335E42"/>
    <w:rsid w:val="003372D0"/>
    <w:rsid w:val="003377C4"/>
    <w:rsid w:val="00337A7E"/>
    <w:rsid w:val="003402D3"/>
    <w:rsid w:val="0034068E"/>
    <w:rsid w:val="00340BF7"/>
    <w:rsid w:val="00341A77"/>
    <w:rsid w:val="0034207C"/>
    <w:rsid w:val="003423F8"/>
    <w:rsid w:val="00342C74"/>
    <w:rsid w:val="00342D7E"/>
    <w:rsid w:val="0034349A"/>
    <w:rsid w:val="003439BC"/>
    <w:rsid w:val="00343ABC"/>
    <w:rsid w:val="00343E5F"/>
    <w:rsid w:val="00344461"/>
    <w:rsid w:val="003444DE"/>
    <w:rsid w:val="003444FD"/>
    <w:rsid w:val="003447D9"/>
    <w:rsid w:val="0034555D"/>
    <w:rsid w:val="0034558E"/>
    <w:rsid w:val="003459F1"/>
    <w:rsid w:val="00345C1F"/>
    <w:rsid w:val="00345D17"/>
    <w:rsid w:val="00346133"/>
    <w:rsid w:val="003463FE"/>
    <w:rsid w:val="00346854"/>
    <w:rsid w:val="00346C98"/>
    <w:rsid w:val="00346E7C"/>
    <w:rsid w:val="00346FBD"/>
    <w:rsid w:val="003472FC"/>
    <w:rsid w:val="00347D41"/>
    <w:rsid w:val="00347FDE"/>
    <w:rsid w:val="0035044A"/>
    <w:rsid w:val="0035079A"/>
    <w:rsid w:val="003509A5"/>
    <w:rsid w:val="0035109E"/>
    <w:rsid w:val="00351382"/>
    <w:rsid w:val="00351826"/>
    <w:rsid w:val="00351D4B"/>
    <w:rsid w:val="00351EF0"/>
    <w:rsid w:val="00352127"/>
    <w:rsid w:val="003522AC"/>
    <w:rsid w:val="003523E3"/>
    <w:rsid w:val="0035313B"/>
    <w:rsid w:val="0035346A"/>
    <w:rsid w:val="00353845"/>
    <w:rsid w:val="0035385A"/>
    <w:rsid w:val="003544B0"/>
    <w:rsid w:val="0035456C"/>
    <w:rsid w:val="0035474B"/>
    <w:rsid w:val="00354AC6"/>
    <w:rsid w:val="003551B9"/>
    <w:rsid w:val="00355489"/>
    <w:rsid w:val="003554B3"/>
    <w:rsid w:val="003565BE"/>
    <w:rsid w:val="00356632"/>
    <w:rsid w:val="00357C7E"/>
    <w:rsid w:val="0036059A"/>
    <w:rsid w:val="00360928"/>
    <w:rsid w:val="00360EE0"/>
    <w:rsid w:val="00361C42"/>
    <w:rsid w:val="00361ED7"/>
    <w:rsid w:val="00363712"/>
    <w:rsid w:val="00363854"/>
    <w:rsid w:val="003638D3"/>
    <w:rsid w:val="003649DB"/>
    <w:rsid w:val="00364EE7"/>
    <w:rsid w:val="003653B6"/>
    <w:rsid w:val="00365C66"/>
    <w:rsid w:val="00366603"/>
    <w:rsid w:val="0036674A"/>
    <w:rsid w:val="00366B2C"/>
    <w:rsid w:val="00367071"/>
    <w:rsid w:val="0036734A"/>
    <w:rsid w:val="00367420"/>
    <w:rsid w:val="0036749D"/>
    <w:rsid w:val="00370206"/>
    <w:rsid w:val="00370327"/>
    <w:rsid w:val="00370466"/>
    <w:rsid w:val="00370E1A"/>
    <w:rsid w:val="00372250"/>
    <w:rsid w:val="0037240E"/>
    <w:rsid w:val="00373490"/>
    <w:rsid w:val="003743D9"/>
    <w:rsid w:val="00374C74"/>
    <w:rsid w:val="00374CC4"/>
    <w:rsid w:val="00375221"/>
    <w:rsid w:val="003752F4"/>
    <w:rsid w:val="00375540"/>
    <w:rsid w:val="00375A45"/>
    <w:rsid w:val="00375B7F"/>
    <w:rsid w:val="00375BEE"/>
    <w:rsid w:val="003769E9"/>
    <w:rsid w:val="003774B2"/>
    <w:rsid w:val="00377CB8"/>
    <w:rsid w:val="00380612"/>
    <w:rsid w:val="00380780"/>
    <w:rsid w:val="00380927"/>
    <w:rsid w:val="00380F2D"/>
    <w:rsid w:val="003814A6"/>
    <w:rsid w:val="003816ED"/>
    <w:rsid w:val="00381764"/>
    <w:rsid w:val="00381BAF"/>
    <w:rsid w:val="00381F3D"/>
    <w:rsid w:val="00382BDF"/>
    <w:rsid w:val="003832E6"/>
    <w:rsid w:val="003837FD"/>
    <w:rsid w:val="003841CF"/>
    <w:rsid w:val="003845A9"/>
    <w:rsid w:val="00384AD2"/>
    <w:rsid w:val="0038508B"/>
    <w:rsid w:val="0038508D"/>
    <w:rsid w:val="003850C9"/>
    <w:rsid w:val="00385720"/>
    <w:rsid w:val="00385772"/>
    <w:rsid w:val="00385E4C"/>
    <w:rsid w:val="00385ECC"/>
    <w:rsid w:val="00386D3C"/>
    <w:rsid w:val="00386FA9"/>
    <w:rsid w:val="00387EBF"/>
    <w:rsid w:val="003900A0"/>
    <w:rsid w:val="003901F8"/>
    <w:rsid w:val="00390883"/>
    <w:rsid w:val="003909CA"/>
    <w:rsid w:val="0039146B"/>
    <w:rsid w:val="0039148A"/>
    <w:rsid w:val="00391685"/>
    <w:rsid w:val="00391844"/>
    <w:rsid w:val="003922F8"/>
    <w:rsid w:val="00392BD0"/>
    <w:rsid w:val="00393260"/>
    <w:rsid w:val="00393A6B"/>
    <w:rsid w:val="003948B3"/>
    <w:rsid w:val="00394A65"/>
    <w:rsid w:val="00394A8D"/>
    <w:rsid w:val="00394AFA"/>
    <w:rsid w:val="00395290"/>
    <w:rsid w:val="003952A9"/>
    <w:rsid w:val="003952BB"/>
    <w:rsid w:val="00395B24"/>
    <w:rsid w:val="00395F8F"/>
    <w:rsid w:val="003965E1"/>
    <w:rsid w:val="00397006"/>
    <w:rsid w:val="00397D22"/>
    <w:rsid w:val="003A000A"/>
    <w:rsid w:val="003A0759"/>
    <w:rsid w:val="003A07E0"/>
    <w:rsid w:val="003A142A"/>
    <w:rsid w:val="003A1E21"/>
    <w:rsid w:val="003A27A3"/>
    <w:rsid w:val="003A28A0"/>
    <w:rsid w:val="003A2A28"/>
    <w:rsid w:val="003A2D38"/>
    <w:rsid w:val="003A2E79"/>
    <w:rsid w:val="003A314F"/>
    <w:rsid w:val="003A390C"/>
    <w:rsid w:val="003A3B37"/>
    <w:rsid w:val="003A4068"/>
    <w:rsid w:val="003A4758"/>
    <w:rsid w:val="003A4E71"/>
    <w:rsid w:val="003A4FF8"/>
    <w:rsid w:val="003A5AA9"/>
    <w:rsid w:val="003A5CBF"/>
    <w:rsid w:val="003A5D21"/>
    <w:rsid w:val="003A641B"/>
    <w:rsid w:val="003A6BC0"/>
    <w:rsid w:val="003A76D4"/>
    <w:rsid w:val="003A7940"/>
    <w:rsid w:val="003A7BF9"/>
    <w:rsid w:val="003A7DEB"/>
    <w:rsid w:val="003A7ECC"/>
    <w:rsid w:val="003B0DFC"/>
    <w:rsid w:val="003B1EA7"/>
    <w:rsid w:val="003B20A8"/>
    <w:rsid w:val="003B274E"/>
    <w:rsid w:val="003B29CF"/>
    <w:rsid w:val="003B2AF0"/>
    <w:rsid w:val="003B2C72"/>
    <w:rsid w:val="003B31A9"/>
    <w:rsid w:val="003B3565"/>
    <w:rsid w:val="003B3B71"/>
    <w:rsid w:val="003B4131"/>
    <w:rsid w:val="003B424E"/>
    <w:rsid w:val="003B4668"/>
    <w:rsid w:val="003B49A1"/>
    <w:rsid w:val="003B4E83"/>
    <w:rsid w:val="003B5296"/>
    <w:rsid w:val="003B56A0"/>
    <w:rsid w:val="003B58B4"/>
    <w:rsid w:val="003B605D"/>
    <w:rsid w:val="003B6BF7"/>
    <w:rsid w:val="003B72B6"/>
    <w:rsid w:val="003B7BB1"/>
    <w:rsid w:val="003B7C96"/>
    <w:rsid w:val="003B7E2A"/>
    <w:rsid w:val="003C030B"/>
    <w:rsid w:val="003C0410"/>
    <w:rsid w:val="003C05A7"/>
    <w:rsid w:val="003C0CF8"/>
    <w:rsid w:val="003C120B"/>
    <w:rsid w:val="003C1333"/>
    <w:rsid w:val="003C153C"/>
    <w:rsid w:val="003C1A52"/>
    <w:rsid w:val="003C20FF"/>
    <w:rsid w:val="003C2608"/>
    <w:rsid w:val="003C3079"/>
    <w:rsid w:val="003C38FE"/>
    <w:rsid w:val="003C3A6B"/>
    <w:rsid w:val="003C4F86"/>
    <w:rsid w:val="003C5314"/>
    <w:rsid w:val="003C54B2"/>
    <w:rsid w:val="003C550A"/>
    <w:rsid w:val="003C5A25"/>
    <w:rsid w:val="003C6055"/>
    <w:rsid w:val="003C68D7"/>
    <w:rsid w:val="003C7272"/>
    <w:rsid w:val="003C7732"/>
    <w:rsid w:val="003D09E8"/>
    <w:rsid w:val="003D0CD0"/>
    <w:rsid w:val="003D14E3"/>
    <w:rsid w:val="003D1FB4"/>
    <w:rsid w:val="003D222D"/>
    <w:rsid w:val="003D22E2"/>
    <w:rsid w:val="003D2650"/>
    <w:rsid w:val="003D286A"/>
    <w:rsid w:val="003D295E"/>
    <w:rsid w:val="003D2B35"/>
    <w:rsid w:val="003D2C91"/>
    <w:rsid w:val="003D3B5E"/>
    <w:rsid w:val="003D4750"/>
    <w:rsid w:val="003D4CE4"/>
    <w:rsid w:val="003D5138"/>
    <w:rsid w:val="003D560C"/>
    <w:rsid w:val="003D5748"/>
    <w:rsid w:val="003D592C"/>
    <w:rsid w:val="003D597C"/>
    <w:rsid w:val="003D5C00"/>
    <w:rsid w:val="003D5C73"/>
    <w:rsid w:val="003D5EEC"/>
    <w:rsid w:val="003D6225"/>
    <w:rsid w:val="003D62CB"/>
    <w:rsid w:val="003D6913"/>
    <w:rsid w:val="003D76A7"/>
    <w:rsid w:val="003D76CE"/>
    <w:rsid w:val="003D7AEB"/>
    <w:rsid w:val="003D7DAD"/>
    <w:rsid w:val="003E084F"/>
    <w:rsid w:val="003E0B82"/>
    <w:rsid w:val="003E1065"/>
    <w:rsid w:val="003E16D4"/>
    <w:rsid w:val="003E1E40"/>
    <w:rsid w:val="003E2F8A"/>
    <w:rsid w:val="003E30EC"/>
    <w:rsid w:val="003E3154"/>
    <w:rsid w:val="003E353C"/>
    <w:rsid w:val="003E3912"/>
    <w:rsid w:val="003E3AD5"/>
    <w:rsid w:val="003E3BC9"/>
    <w:rsid w:val="003E444E"/>
    <w:rsid w:val="003E45FA"/>
    <w:rsid w:val="003E465B"/>
    <w:rsid w:val="003E5324"/>
    <w:rsid w:val="003E534B"/>
    <w:rsid w:val="003E57B5"/>
    <w:rsid w:val="003E5874"/>
    <w:rsid w:val="003E632E"/>
    <w:rsid w:val="003E6A1A"/>
    <w:rsid w:val="003E7045"/>
    <w:rsid w:val="003E72D3"/>
    <w:rsid w:val="003E7319"/>
    <w:rsid w:val="003F065C"/>
    <w:rsid w:val="003F09E2"/>
    <w:rsid w:val="003F0E9B"/>
    <w:rsid w:val="003F1104"/>
    <w:rsid w:val="003F15E1"/>
    <w:rsid w:val="003F193E"/>
    <w:rsid w:val="003F1EA1"/>
    <w:rsid w:val="003F20D5"/>
    <w:rsid w:val="003F242C"/>
    <w:rsid w:val="003F3004"/>
    <w:rsid w:val="003F307A"/>
    <w:rsid w:val="003F32C6"/>
    <w:rsid w:val="003F34F1"/>
    <w:rsid w:val="003F3C36"/>
    <w:rsid w:val="003F43A9"/>
    <w:rsid w:val="003F4508"/>
    <w:rsid w:val="003F4CF0"/>
    <w:rsid w:val="003F4CFC"/>
    <w:rsid w:val="003F561F"/>
    <w:rsid w:val="003F59F7"/>
    <w:rsid w:val="003F5EBF"/>
    <w:rsid w:val="003F65D3"/>
    <w:rsid w:val="003F660B"/>
    <w:rsid w:val="003F6BAC"/>
    <w:rsid w:val="003F6F91"/>
    <w:rsid w:val="003F7161"/>
    <w:rsid w:val="003F7727"/>
    <w:rsid w:val="003F7D3F"/>
    <w:rsid w:val="00400184"/>
    <w:rsid w:val="004001C2"/>
    <w:rsid w:val="004002C2"/>
    <w:rsid w:val="00400840"/>
    <w:rsid w:val="00400C50"/>
    <w:rsid w:val="00401639"/>
    <w:rsid w:val="00401AF2"/>
    <w:rsid w:val="0040211B"/>
    <w:rsid w:val="004028F4"/>
    <w:rsid w:val="00402C43"/>
    <w:rsid w:val="004031D8"/>
    <w:rsid w:val="00403419"/>
    <w:rsid w:val="00403A48"/>
    <w:rsid w:val="00403B86"/>
    <w:rsid w:val="00403D79"/>
    <w:rsid w:val="00403F0B"/>
    <w:rsid w:val="00404666"/>
    <w:rsid w:val="00404E08"/>
    <w:rsid w:val="00405419"/>
    <w:rsid w:val="0040576D"/>
    <w:rsid w:val="00405837"/>
    <w:rsid w:val="00405944"/>
    <w:rsid w:val="00406029"/>
    <w:rsid w:val="004063DA"/>
    <w:rsid w:val="0040665F"/>
    <w:rsid w:val="0040676F"/>
    <w:rsid w:val="00407223"/>
    <w:rsid w:val="004072A0"/>
    <w:rsid w:val="00407690"/>
    <w:rsid w:val="004104B6"/>
    <w:rsid w:val="00410FE8"/>
    <w:rsid w:val="00411384"/>
    <w:rsid w:val="00411595"/>
    <w:rsid w:val="00411877"/>
    <w:rsid w:val="00411920"/>
    <w:rsid w:val="00411AE8"/>
    <w:rsid w:val="0041218A"/>
    <w:rsid w:val="004121CB"/>
    <w:rsid w:val="004123F4"/>
    <w:rsid w:val="004128CE"/>
    <w:rsid w:val="004129C3"/>
    <w:rsid w:val="00412B53"/>
    <w:rsid w:val="00412DDA"/>
    <w:rsid w:val="00413760"/>
    <w:rsid w:val="00413B64"/>
    <w:rsid w:val="00413B74"/>
    <w:rsid w:val="00413BE3"/>
    <w:rsid w:val="00413EA0"/>
    <w:rsid w:val="004160D1"/>
    <w:rsid w:val="00416134"/>
    <w:rsid w:val="00416543"/>
    <w:rsid w:val="004169C8"/>
    <w:rsid w:val="00417307"/>
    <w:rsid w:val="00417CCC"/>
    <w:rsid w:val="0042016E"/>
    <w:rsid w:val="00420309"/>
    <w:rsid w:val="00420D04"/>
    <w:rsid w:val="00420F74"/>
    <w:rsid w:val="00420FAE"/>
    <w:rsid w:val="00421854"/>
    <w:rsid w:val="00421E53"/>
    <w:rsid w:val="00422507"/>
    <w:rsid w:val="004232A1"/>
    <w:rsid w:val="00423323"/>
    <w:rsid w:val="00423460"/>
    <w:rsid w:val="00424160"/>
    <w:rsid w:val="00424161"/>
    <w:rsid w:val="004248CF"/>
    <w:rsid w:val="0042538F"/>
    <w:rsid w:val="00426356"/>
    <w:rsid w:val="004263AF"/>
    <w:rsid w:val="00426616"/>
    <w:rsid w:val="004269DD"/>
    <w:rsid w:val="00426D7F"/>
    <w:rsid w:val="00427933"/>
    <w:rsid w:val="00427C64"/>
    <w:rsid w:val="0043000B"/>
    <w:rsid w:val="0043053B"/>
    <w:rsid w:val="00430644"/>
    <w:rsid w:val="0043083F"/>
    <w:rsid w:val="00430ED7"/>
    <w:rsid w:val="00431E0A"/>
    <w:rsid w:val="00431E69"/>
    <w:rsid w:val="004320C5"/>
    <w:rsid w:val="00432D31"/>
    <w:rsid w:val="00433CF4"/>
    <w:rsid w:val="00433E09"/>
    <w:rsid w:val="00433FC9"/>
    <w:rsid w:val="004342F3"/>
    <w:rsid w:val="00434B02"/>
    <w:rsid w:val="00435C5F"/>
    <w:rsid w:val="00435C93"/>
    <w:rsid w:val="00436155"/>
    <w:rsid w:val="00436460"/>
    <w:rsid w:val="00436BC9"/>
    <w:rsid w:val="004408C8"/>
    <w:rsid w:val="00441254"/>
    <w:rsid w:val="00441B47"/>
    <w:rsid w:val="00441CC7"/>
    <w:rsid w:val="00441E98"/>
    <w:rsid w:val="00442381"/>
    <w:rsid w:val="004423E4"/>
    <w:rsid w:val="00442CCA"/>
    <w:rsid w:val="00442FEC"/>
    <w:rsid w:val="00443624"/>
    <w:rsid w:val="00443BE8"/>
    <w:rsid w:val="00443C85"/>
    <w:rsid w:val="00444892"/>
    <w:rsid w:val="00444934"/>
    <w:rsid w:val="0044507B"/>
    <w:rsid w:val="00445140"/>
    <w:rsid w:val="00445264"/>
    <w:rsid w:val="00446EA2"/>
    <w:rsid w:val="004472EB"/>
    <w:rsid w:val="00447868"/>
    <w:rsid w:val="00447A1E"/>
    <w:rsid w:val="00450665"/>
    <w:rsid w:val="00450C3B"/>
    <w:rsid w:val="00450D87"/>
    <w:rsid w:val="00450F3A"/>
    <w:rsid w:val="0045170B"/>
    <w:rsid w:val="0045195C"/>
    <w:rsid w:val="0045199D"/>
    <w:rsid w:val="004521C3"/>
    <w:rsid w:val="0045269A"/>
    <w:rsid w:val="00452CBE"/>
    <w:rsid w:val="004532F7"/>
    <w:rsid w:val="00453D1E"/>
    <w:rsid w:val="00454B59"/>
    <w:rsid w:val="00454F01"/>
    <w:rsid w:val="00455BD9"/>
    <w:rsid w:val="00455C5E"/>
    <w:rsid w:val="00455C7E"/>
    <w:rsid w:val="00455CBE"/>
    <w:rsid w:val="00456A09"/>
    <w:rsid w:val="0045705F"/>
    <w:rsid w:val="00457A0F"/>
    <w:rsid w:val="00457D49"/>
    <w:rsid w:val="00460082"/>
    <w:rsid w:val="004605CB"/>
    <w:rsid w:val="004605DE"/>
    <w:rsid w:val="00460F08"/>
    <w:rsid w:val="004610F2"/>
    <w:rsid w:val="004611FB"/>
    <w:rsid w:val="004614C0"/>
    <w:rsid w:val="004617C2"/>
    <w:rsid w:val="00462DCA"/>
    <w:rsid w:val="00463DBE"/>
    <w:rsid w:val="00463DF5"/>
    <w:rsid w:val="00464923"/>
    <w:rsid w:val="00464D51"/>
    <w:rsid w:val="004652C6"/>
    <w:rsid w:val="0046567B"/>
    <w:rsid w:val="0046568A"/>
    <w:rsid w:val="004657DB"/>
    <w:rsid w:val="00465D59"/>
    <w:rsid w:val="00466BAF"/>
    <w:rsid w:val="0046701C"/>
    <w:rsid w:val="004671EA"/>
    <w:rsid w:val="004702FF"/>
    <w:rsid w:val="00470642"/>
    <w:rsid w:val="00470668"/>
    <w:rsid w:val="00470919"/>
    <w:rsid w:val="00470932"/>
    <w:rsid w:val="0047115E"/>
    <w:rsid w:val="004716EA"/>
    <w:rsid w:val="0047190C"/>
    <w:rsid w:val="00471B78"/>
    <w:rsid w:val="00471E76"/>
    <w:rsid w:val="00471EAB"/>
    <w:rsid w:val="00472027"/>
    <w:rsid w:val="0047214D"/>
    <w:rsid w:val="004729A2"/>
    <w:rsid w:val="0047303D"/>
    <w:rsid w:val="0047315E"/>
    <w:rsid w:val="00473624"/>
    <w:rsid w:val="00473628"/>
    <w:rsid w:val="00473EAB"/>
    <w:rsid w:val="00473FBF"/>
    <w:rsid w:val="004740D0"/>
    <w:rsid w:val="00474121"/>
    <w:rsid w:val="0047486D"/>
    <w:rsid w:val="004749E7"/>
    <w:rsid w:val="00474D14"/>
    <w:rsid w:val="00474DCB"/>
    <w:rsid w:val="00474EF5"/>
    <w:rsid w:val="004752DD"/>
    <w:rsid w:val="00475741"/>
    <w:rsid w:val="00477465"/>
    <w:rsid w:val="004804CF"/>
    <w:rsid w:val="00480B5A"/>
    <w:rsid w:val="0048122D"/>
    <w:rsid w:val="00481700"/>
    <w:rsid w:val="004818D6"/>
    <w:rsid w:val="00481931"/>
    <w:rsid w:val="00482731"/>
    <w:rsid w:val="004827F1"/>
    <w:rsid w:val="00483314"/>
    <w:rsid w:val="004835CB"/>
    <w:rsid w:val="004839EF"/>
    <w:rsid w:val="004840B0"/>
    <w:rsid w:val="004843B6"/>
    <w:rsid w:val="004843E0"/>
    <w:rsid w:val="00484930"/>
    <w:rsid w:val="00484962"/>
    <w:rsid w:val="00484D3F"/>
    <w:rsid w:val="00484F6D"/>
    <w:rsid w:val="00484FB7"/>
    <w:rsid w:val="0048514C"/>
    <w:rsid w:val="00485175"/>
    <w:rsid w:val="0048554D"/>
    <w:rsid w:val="0048556D"/>
    <w:rsid w:val="0048569C"/>
    <w:rsid w:val="00485861"/>
    <w:rsid w:val="0048588B"/>
    <w:rsid w:val="004866A9"/>
    <w:rsid w:val="0048785D"/>
    <w:rsid w:val="00487B52"/>
    <w:rsid w:val="00487D91"/>
    <w:rsid w:val="00490595"/>
    <w:rsid w:val="004915DE"/>
    <w:rsid w:val="00491974"/>
    <w:rsid w:val="004919FF"/>
    <w:rsid w:val="0049338A"/>
    <w:rsid w:val="00493BC4"/>
    <w:rsid w:val="00493C66"/>
    <w:rsid w:val="0049417F"/>
    <w:rsid w:val="004944CC"/>
    <w:rsid w:val="00494D79"/>
    <w:rsid w:val="00495320"/>
    <w:rsid w:val="00495339"/>
    <w:rsid w:val="0049556A"/>
    <w:rsid w:val="00496A3D"/>
    <w:rsid w:val="00496D41"/>
    <w:rsid w:val="00496D69"/>
    <w:rsid w:val="00496DA9"/>
    <w:rsid w:val="004A01BF"/>
    <w:rsid w:val="004A026E"/>
    <w:rsid w:val="004A02C2"/>
    <w:rsid w:val="004A0900"/>
    <w:rsid w:val="004A0F53"/>
    <w:rsid w:val="004A1324"/>
    <w:rsid w:val="004A1A4F"/>
    <w:rsid w:val="004A1AB7"/>
    <w:rsid w:val="004A1C2B"/>
    <w:rsid w:val="004A1D59"/>
    <w:rsid w:val="004A1E59"/>
    <w:rsid w:val="004A1F92"/>
    <w:rsid w:val="004A2D60"/>
    <w:rsid w:val="004A2FC7"/>
    <w:rsid w:val="004A3214"/>
    <w:rsid w:val="004A367C"/>
    <w:rsid w:val="004A3BC2"/>
    <w:rsid w:val="004A4597"/>
    <w:rsid w:val="004A483F"/>
    <w:rsid w:val="004A5066"/>
    <w:rsid w:val="004A5FC0"/>
    <w:rsid w:val="004A646A"/>
    <w:rsid w:val="004A6602"/>
    <w:rsid w:val="004A6E8C"/>
    <w:rsid w:val="004B00A9"/>
    <w:rsid w:val="004B0249"/>
    <w:rsid w:val="004B0B32"/>
    <w:rsid w:val="004B1491"/>
    <w:rsid w:val="004B172E"/>
    <w:rsid w:val="004B17DB"/>
    <w:rsid w:val="004B1BFE"/>
    <w:rsid w:val="004B2A03"/>
    <w:rsid w:val="004B346C"/>
    <w:rsid w:val="004B379D"/>
    <w:rsid w:val="004B3845"/>
    <w:rsid w:val="004B3B65"/>
    <w:rsid w:val="004B3EFA"/>
    <w:rsid w:val="004B458B"/>
    <w:rsid w:val="004B53EC"/>
    <w:rsid w:val="004B5FD9"/>
    <w:rsid w:val="004B62CF"/>
    <w:rsid w:val="004B6C4F"/>
    <w:rsid w:val="004B6EDD"/>
    <w:rsid w:val="004B72F2"/>
    <w:rsid w:val="004B7902"/>
    <w:rsid w:val="004C0385"/>
    <w:rsid w:val="004C0D16"/>
    <w:rsid w:val="004C1A8C"/>
    <w:rsid w:val="004C2226"/>
    <w:rsid w:val="004C229B"/>
    <w:rsid w:val="004C2598"/>
    <w:rsid w:val="004C2A87"/>
    <w:rsid w:val="004C3148"/>
    <w:rsid w:val="004C3B9F"/>
    <w:rsid w:val="004C4602"/>
    <w:rsid w:val="004C4750"/>
    <w:rsid w:val="004C4D7B"/>
    <w:rsid w:val="004C4ED3"/>
    <w:rsid w:val="004C5DC8"/>
    <w:rsid w:val="004C62E8"/>
    <w:rsid w:val="004C667B"/>
    <w:rsid w:val="004C6C97"/>
    <w:rsid w:val="004C78BD"/>
    <w:rsid w:val="004C7B3A"/>
    <w:rsid w:val="004C7CD1"/>
    <w:rsid w:val="004C7ECD"/>
    <w:rsid w:val="004D12A0"/>
    <w:rsid w:val="004D1427"/>
    <w:rsid w:val="004D1553"/>
    <w:rsid w:val="004D21BD"/>
    <w:rsid w:val="004D23AC"/>
    <w:rsid w:val="004D264D"/>
    <w:rsid w:val="004D287C"/>
    <w:rsid w:val="004D2E60"/>
    <w:rsid w:val="004D2EA5"/>
    <w:rsid w:val="004D2F28"/>
    <w:rsid w:val="004D31A1"/>
    <w:rsid w:val="004D32A6"/>
    <w:rsid w:val="004D3E3F"/>
    <w:rsid w:val="004D4287"/>
    <w:rsid w:val="004D4724"/>
    <w:rsid w:val="004D4774"/>
    <w:rsid w:val="004D4A1F"/>
    <w:rsid w:val="004D4AC1"/>
    <w:rsid w:val="004D4B6C"/>
    <w:rsid w:val="004D4CC2"/>
    <w:rsid w:val="004D53E5"/>
    <w:rsid w:val="004D5469"/>
    <w:rsid w:val="004D5663"/>
    <w:rsid w:val="004D57D7"/>
    <w:rsid w:val="004D582D"/>
    <w:rsid w:val="004D5CE5"/>
    <w:rsid w:val="004D5D8E"/>
    <w:rsid w:val="004D6208"/>
    <w:rsid w:val="004D7950"/>
    <w:rsid w:val="004E017A"/>
    <w:rsid w:val="004E01A0"/>
    <w:rsid w:val="004E0433"/>
    <w:rsid w:val="004E0EDC"/>
    <w:rsid w:val="004E1709"/>
    <w:rsid w:val="004E1DF5"/>
    <w:rsid w:val="004E2251"/>
    <w:rsid w:val="004E28DE"/>
    <w:rsid w:val="004E3660"/>
    <w:rsid w:val="004E5730"/>
    <w:rsid w:val="004E5D9C"/>
    <w:rsid w:val="004E6DC4"/>
    <w:rsid w:val="004E7172"/>
    <w:rsid w:val="004E758A"/>
    <w:rsid w:val="004F0241"/>
    <w:rsid w:val="004F032D"/>
    <w:rsid w:val="004F05DC"/>
    <w:rsid w:val="004F0E68"/>
    <w:rsid w:val="004F11BD"/>
    <w:rsid w:val="004F1524"/>
    <w:rsid w:val="004F167E"/>
    <w:rsid w:val="004F18DF"/>
    <w:rsid w:val="004F1DEC"/>
    <w:rsid w:val="004F21C1"/>
    <w:rsid w:val="004F23BA"/>
    <w:rsid w:val="004F23C4"/>
    <w:rsid w:val="004F261D"/>
    <w:rsid w:val="004F2DD8"/>
    <w:rsid w:val="004F38FC"/>
    <w:rsid w:val="004F3E3A"/>
    <w:rsid w:val="004F3F21"/>
    <w:rsid w:val="004F4646"/>
    <w:rsid w:val="004F4705"/>
    <w:rsid w:val="004F4781"/>
    <w:rsid w:val="004F5DA8"/>
    <w:rsid w:val="004F60B0"/>
    <w:rsid w:val="004F63CA"/>
    <w:rsid w:val="004F6454"/>
    <w:rsid w:val="004F694D"/>
    <w:rsid w:val="004F6D5A"/>
    <w:rsid w:val="004F6F2E"/>
    <w:rsid w:val="004F7115"/>
    <w:rsid w:val="004F7847"/>
    <w:rsid w:val="004F7944"/>
    <w:rsid w:val="005001AA"/>
    <w:rsid w:val="00500275"/>
    <w:rsid w:val="00500502"/>
    <w:rsid w:val="00500512"/>
    <w:rsid w:val="00500637"/>
    <w:rsid w:val="00500701"/>
    <w:rsid w:val="00500DF8"/>
    <w:rsid w:val="00500E5B"/>
    <w:rsid w:val="00500EE3"/>
    <w:rsid w:val="00501004"/>
    <w:rsid w:val="00501130"/>
    <w:rsid w:val="00501387"/>
    <w:rsid w:val="00501A12"/>
    <w:rsid w:val="00501E49"/>
    <w:rsid w:val="00502BF2"/>
    <w:rsid w:val="0050309C"/>
    <w:rsid w:val="00503719"/>
    <w:rsid w:val="00503A59"/>
    <w:rsid w:val="0050464B"/>
    <w:rsid w:val="00504FE6"/>
    <w:rsid w:val="005053EF"/>
    <w:rsid w:val="0050588C"/>
    <w:rsid w:val="00506289"/>
    <w:rsid w:val="00506C89"/>
    <w:rsid w:val="0050779E"/>
    <w:rsid w:val="00507B8D"/>
    <w:rsid w:val="005108E3"/>
    <w:rsid w:val="00510926"/>
    <w:rsid w:val="00510FD1"/>
    <w:rsid w:val="00511239"/>
    <w:rsid w:val="00511593"/>
    <w:rsid w:val="00511A68"/>
    <w:rsid w:val="00511EB5"/>
    <w:rsid w:val="00512C23"/>
    <w:rsid w:val="00512F0C"/>
    <w:rsid w:val="0051327C"/>
    <w:rsid w:val="0051346D"/>
    <w:rsid w:val="00513511"/>
    <w:rsid w:val="005136C8"/>
    <w:rsid w:val="005137C6"/>
    <w:rsid w:val="0051391F"/>
    <w:rsid w:val="00513DD0"/>
    <w:rsid w:val="00513EAE"/>
    <w:rsid w:val="0051434F"/>
    <w:rsid w:val="005146BB"/>
    <w:rsid w:val="00514B98"/>
    <w:rsid w:val="00514ED3"/>
    <w:rsid w:val="00514FB2"/>
    <w:rsid w:val="0051520A"/>
    <w:rsid w:val="00515333"/>
    <w:rsid w:val="005158E4"/>
    <w:rsid w:val="00516158"/>
    <w:rsid w:val="005164CA"/>
    <w:rsid w:val="00516806"/>
    <w:rsid w:val="00516B9B"/>
    <w:rsid w:val="00516D31"/>
    <w:rsid w:val="00516F4E"/>
    <w:rsid w:val="005174DF"/>
    <w:rsid w:val="005176CD"/>
    <w:rsid w:val="00517764"/>
    <w:rsid w:val="00517767"/>
    <w:rsid w:val="00517BEF"/>
    <w:rsid w:val="005202F3"/>
    <w:rsid w:val="00520704"/>
    <w:rsid w:val="0052077D"/>
    <w:rsid w:val="0052098C"/>
    <w:rsid w:val="00521021"/>
    <w:rsid w:val="00521137"/>
    <w:rsid w:val="00521851"/>
    <w:rsid w:val="00521873"/>
    <w:rsid w:val="00521B27"/>
    <w:rsid w:val="00522169"/>
    <w:rsid w:val="00522920"/>
    <w:rsid w:val="00522980"/>
    <w:rsid w:val="00522E56"/>
    <w:rsid w:val="005238DB"/>
    <w:rsid w:val="00523DD9"/>
    <w:rsid w:val="00524604"/>
    <w:rsid w:val="00524680"/>
    <w:rsid w:val="005248B2"/>
    <w:rsid w:val="00524E47"/>
    <w:rsid w:val="005250B3"/>
    <w:rsid w:val="00525A49"/>
    <w:rsid w:val="005262D1"/>
    <w:rsid w:val="0052657E"/>
    <w:rsid w:val="00526612"/>
    <w:rsid w:val="005270B1"/>
    <w:rsid w:val="00527669"/>
    <w:rsid w:val="00527728"/>
    <w:rsid w:val="00530332"/>
    <w:rsid w:val="00530876"/>
    <w:rsid w:val="005311FF"/>
    <w:rsid w:val="00533021"/>
    <w:rsid w:val="005335BC"/>
    <w:rsid w:val="00533897"/>
    <w:rsid w:val="00533B8C"/>
    <w:rsid w:val="00534C02"/>
    <w:rsid w:val="005350A2"/>
    <w:rsid w:val="00535613"/>
    <w:rsid w:val="00535742"/>
    <w:rsid w:val="005359EB"/>
    <w:rsid w:val="00536271"/>
    <w:rsid w:val="0053628D"/>
    <w:rsid w:val="00537550"/>
    <w:rsid w:val="00537A52"/>
    <w:rsid w:val="00537DAE"/>
    <w:rsid w:val="00540004"/>
    <w:rsid w:val="00540095"/>
    <w:rsid w:val="0054038A"/>
    <w:rsid w:val="00540A26"/>
    <w:rsid w:val="005411E6"/>
    <w:rsid w:val="005414FB"/>
    <w:rsid w:val="0054165C"/>
    <w:rsid w:val="00541E0F"/>
    <w:rsid w:val="00542239"/>
    <w:rsid w:val="0054254A"/>
    <w:rsid w:val="0054267C"/>
    <w:rsid w:val="005426ED"/>
    <w:rsid w:val="00542ACF"/>
    <w:rsid w:val="005434A9"/>
    <w:rsid w:val="00543ED2"/>
    <w:rsid w:val="00544AF1"/>
    <w:rsid w:val="00544FE2"/>
    <w:rsid w:val="0054500B"/>
    <w:rsid w:val="00545ECD"/>
    <w:rsid w:val="00545FEB"/>
    <w:rsid w:val="005462E4"/>
    <w:rsid w:val="005466B5"/>
    <w:rsid w:val="00547045"/>
    <w:rsid w:val="005478F6"/>
    <w:rsid w:val="00547CAE"/>
    <w:rsid w:val="00547D5F"/>
    <w:rsid w:val="00547F06"/>
    <w:rsid w:val="00550479"/>
    <w:rsid w:val="00550BAA"/>
    <w:rsid w:val="00550D23"/>
    <w:rsid w:val="005517A4"/>
    <w:rsid w:val="005517A9"/>
    <w:rsid w:val="00551820"/>
    <w:rsid w:val="00551E62"/>
    <w:rsid w:val="00552682"/>
    <w:rsid w:val="005530E0"/>
    <w:rsid w:val="0055363E"/>
    <w:rsid w:val="005537E9"/>
    <w:rsid w:val="00553F0A"/>
    <w:rsid w:val="00554314"/>
    <w:rsid w:val="0055451B"/>
    <w:rsid w:val="00554CAC"/>
    <w:rsid w:val="00554F04"/>
    <w:rsid w:val="00555329"/>
    <w:rsid w:val="005556AA"/>
    <w:rsid w:val="00555756"/>
    <w:rsid w:val="00555A0F"/>
    <w:rsid w:val="005560CE"/>
    <w:rsid w:val="00556158"/>
    <w:rsid w:val="00556347"/>
    <w:rsid w:val="0055657C"/>
    <w:rsid w:val="00556E16"/>
    <w:rsid w:val="00557854"/>
    <w:rsid w:val="005605D9"/>
    <w:rsid w:val="00560684"/>
    <w:rsid w:val="00560DF6"/>
    <w:rsid w:val="00560DFA"/>
    <w:rsid w:val="0056111C"/>
    <w:rsid w:val="005614A7"/>
    <w:rsid w:val="00561C35"/>
    <w:rsid w:val="005624E0"/>
    <w:rsid w:val="00562829"/>
    <w:rsid w:val="005629B3"/>
    <w:rsid w:val="00563A8E"/>
    <w:rsid w:val="00563EC4"/>
    <w:rsid w:val="00564510"/>
    <w:rsid w:val="005656F2"/>
    <w:rsid w:val="005657E2"/>
    <w:rsid w:val="00565D11"/>
    <w:rsid w:val="005661E5"/>
    <w:rsid w:val="00566269"/>
    <w:rsid w:val="0056726E"/>
    <w:rsid w:val="0056739B"/>
    <w:rsid w:val="00567C4E"/>
    <w:rsid w:val="00567E4E"/>
    <w:rsid w:val="00570886"/>
    <w:rsid w:val="00570ADC"/>
    <w:rsid w:val="0057128A"/>
    <w:rsid w:val="00571467"/>
    <w:rsid w:val="005715FA"/>
    <w:rsid w:val="005716B9"/>
    <w:rsid w:val="00571F5B"/>
    <w:rsid w:val="005724C4"/>
    <w:rsid w:val="005724F6"/>
    <w:rsid w:val="00572595"/>
    <w:rsid w:val="00573161"/>
    <w:rsid w:val="005733C3"/>
    <w:rsid w:val="00573AC4"/>
    <w:rsid w:val="00574FBB"/>
    <w:rsid w:val="005762D2"/>
    <w:rsid w:val="005765DC"/>
    <w:rsid w:val="00576C9F"/>
    <w:rsid w:val="005773CA"/>
    <w:rsid w:val="00577518"/>
    <w:rsid w:val="005776FE"/>
    <w:rsid w:val="005779C1"/>
    <w:rsid w:val="00577AB3"/>
    <w:rsid w:val="005801FC"/>
    <w:rsid w:val="0058096B"/>
    <w:rsid w:val="00581037"/>
    <w:rsid w:val="00581075"/>
    <w:rsid w:val="00581331"/>
    <w:rsid w:val="005819F1"/>
    <w:rsid w:val="00581B7B"/>
    <w:rsid w:val="00581EF9"/>
    <w:rsid w:val="00582B4C"/>
    <w:rsid w:val="005830E3"/>
    <w:rsid w:val="00584082"/>
    <w:rsid w:val="00585265"/>
    <w:rsid w:val="00585BA9"/>
    <w:rsid w:val="00585F49"/>
    <w:rsid w:val="00585FA3"/>
    <w:rsid w:val="005863EC"/>
    <w:rsid w:val="00586AEB"/>
    <w:rsid w:val="00586CB9"/>
    <w:rsid w:val="00587359"/>
    <w:rsid w:val="0058747C"/>
    <w:rsid w:val="0059055F"/>
    <w:rsid w:val="0059142D"/>
    <w:rsid w:val="00591B6E"/>
    <w:rsid w:val="0059296E"/>
    <w:rsid w:val="00592C39"/>
    <w:rsid w:val="00592C53"/>
    <w:rsid w:val="005931B6"/>
    <w:rsid w:val="00594030"/>
    <w:rsid w:val="00594468"/>
    <w:rsid w:val="0059484C"/>
    <w:rsid w:val="00594B33"/>
    <w:rsid w:val="00595016"/>
    <w:rsid w:val="005950C1"/>
    <w:rsid w:val="0059523D"/>
    <w:rsid w:val="00596243"/>
    <w:rsid w:val="00596278"/>
    <w:rsid w:val="00596843"/>
    <w:rsid w:val="00597AAE"/>
    <w:rsid w:val="00597DA0"/>
    <w:rsid w:val="00597F60"/>
    <w:rsid w:val="005A01D4"/>
    <w:rsid w:val="005A07E4"/>
    <w:rsid w:val="005A0A80"/>
    <w:rsid w:val="005A0DBE"/>
    <w:rsid w:val="005A162A"/>
    <w:rsid w:val="005A1F93"/>
    <w:rsid w:val="005A2140"/>
    <w:rsid w:val="005A222C"/>
    <w:rsid w:val="005A327F"/>
    <w:rsid w:val="005A3AFA"/>
    <w:rsid w:val="005A3E78"/>
    <w:rsid w:val="005A3EEE"/>
    <w:rsid w:val="005A4DF8"/>
    <w:rsid w:val="005A4E43"/>
    <w:rsid w:val="005A55FC"/>
    <w:rsid w:val="005A57D6"/>
    <w:rsid w:val="005A5953"/>
    <w:rsid w:val="005A68B4"/>
    <w:rsid w:val="005A78C8"/>
    <w:rsid w:val="005A7A52"/>
    <w:rsid w:val="005A7BE7"/>
    <w:rsid w:val="005B0027"/>
    <w:rsid w:val="005B0D02"/>
    <w:rsid w:val="005B1426"/>
    <w:rsid w:val="005B1A37"/>
    <w:rsid w:val="005B20C2"/>
    <w:rsid w:val="005B24CA"/>
    <w:rsid w:val="005B2AD9"/>
    <w:rsid w:val="005B2E75"/>
    <w:rsid w:val="005B3179"/>
    <w:rsid w:val="005B36E0"/>
    <w:rsid w:val="005B38DE"/>
    <w:rsid w:val="005B3EB8"/>
    <w:rsid w:val="005B4AAE"/>
    <w:rsid w:val="005B4E0F"/>
    <w:rsid w:val="005B6076"/>
    <w:rsid w:val="005B659B"/>
    <w:rsid w:val="005B6ADD"/>
    <w:rsid w:val="005B6D2E"/>
    <w:rsid w:val="005B6D79"/>
    <w:rsid w:val="005B705E"/>
    <w:rsid w:val="005B76D5"/>
    <w:rsid w:val="005B774D"/>
    <w:rsid w:val="005B78FA"/>
    <w:rsid w:val="005B7EC3"/>
    <w:rsid w:val="005C03BC"/>
    <w:rsid w:val="005C0A8E"/>
    <w:rsid w:val="005C0DB4"/>
    <w:rsid w:val="005C1359"/>
    <w:rsid w:val="005C1767"/>
    <w:rsid w:val="005C17B4"/>
    <w:rsid w:val="005C185C"/>
    <w:rsid w:val="005C1FAE"/>
    <w:rsid w:val="005C386C"/>
    <w:rsid w:val="005C42EF"/>
    <w:rsid w:val="005C54AB"/>
    <w:rsid w:val="005C559A"/>
    <w:rsid w:val="005C5F77"/>
    <w:rsid w:val="005C63FC"/>
    <w:rsid w:val="005C6416"/>
    <w:rsid w:val="005C6B17"/>
    <w:rsid w:val="005C6EA4"/>
    <w:rsid w:val="005C752D"/>
    <w:rsid w:val="005C7A52"/>
    <w:rsid w:val="005C7E8A"/>
    <w:rsid w:val="005D002B"/>
    <w:rsid w:val="005D01EF"/>
    <w:rsid w:val="005D091D"/>
    <w:rsid w:val="005D0A0C"/>
    <w:rsid w:val="005D0BF6"/>
    <w:rsid w:val="005D0DC8"/>
    <w:rsid w:val="005D1225"/>
    <w:rsid w:val="005D12FA"/>
    <w:rsid w:val="005D1426"/>
    <w:rsid w:val="005D168A"/>
    <w:rsid w:val="005D17DA"/>
    <w:rsid w:val="005D20B9"/>
    <w:rsid w:val="005D28BE"/>
    <w:rsid w:val="005D2B1C"/>
    <w:rsid w:val="005D2CAF"/>
    <w:rsid w:val="005D2F7D"/>
    <w:rsid w:val="005D3232"/>
    <w:rsid w:val="005D48E3"/>
    <w:rsid w:val="005D4EAE"/>
    <w:rsid w:val="005D50C0"/>
    <w:rsid w:val="005D632D"/>
    <w:rsid w:val="005D66BA"/>
    <w:rsid w:val="005D6A95"/>
    <w:rsid w:val="005D6D9F"/>
    <w:rsid w:val="005D75DD"/>
    <w:rsid w:val="005D7C37"/>
    <w:rsid w:val="005E02F5"/>
    <w:rsid w:val="005E0510"/>
    <w:rsid w:val="005E0618"/>
    <w:rsid w:val="005E09B0"/>
    <w:rsid w:val="005E0A29"/>
    <w:rsid w:val="005E0CC4"/>
    <w:rsid w:val="005E0D29"/>
    <w:rsid w:val="005E0DE0"/>
    <w:rsid w:val="005E176E"/>
    <w:rsid w:val="005E1E7E"/>
    <w:rsid w:val="005E218E"/>
    <w:rsid w:val="005E24BD"/>
    <w:rsid w:val="005E274C"/>
    <w:rsid w:val="005E2A15"/>
    <w:rsid w:val="005E2DD9"/>
    <w:rsid w:val="005E33D8"/>
    <w:rsid w:val="005E347C"/>
    <w:rsid w:val="005E35A0"/>
    <w:rsid w:val="005E3635"/>
    <w:rsid w:val="005E368A"/>
    <w:rsid w:val="005E3762"/>
    <w:rsid w:val="005E3ADD"/>
    <w:rsid w:val="005E3FA0"/>
    <w:rsid w:val="005E4603"/>
    <w:rsid w:val="005E53C7"/>
    <w:rsid w:val="005E577F"/>
    <w:rsid w:val="005E5965"/>
    <w:rsid w:val="005E5EDA"/>
    <w:rsid w:val="005E69E6"/>
    <w:rsid w:val="005E6AA3"/>
    <w:rsid w:val="005E6F38"/>
    <w:rsid w:val="005E7406"/>
    <w:rsid w:val="005E7901"/>
    <w:rsid w:val="005F06A8"/>
    <w:rsid w:val="005F0D1B"/>
    <w:rsid w:val="005F0FBC"/>
    <w:rsid w:val="005F1865"/>
    <w:rsid w:val="005F1CCB"/>
    <w:rsid w:val="005F26A7"/>
    <w:rsid w:val="005F2793"/>
    <w:rsid w:val="005F3BBA"/>
    <w:rsid w:val="005F40B6"/>
    <w:rsid w:val="005F462A"/>
    <w:rsid w:val="005F4776"/>
    <w:rsid w:val="005F4EC1"/>
    <w:rsid w:val="005F5A01"/>
    <w:rsid w:val="005F5A36"/>
    <w:rsid w:val="005F5DBE"/>
    <w:rsid w:val="005F7370"/>
    <w:rsid w:val="005F747A"/>
    <w:rsid w:val="005F76E6"/>
    <w:rsid w:val="0060048A"/>
    <w:rsid w:val="006006BF"/>
    <w:rsid w:val="006007BD"/>
    <w:rsid w:val="00600901"/>
    <w:rsid w:val="006011EC"/>
    <w:rsid w:val="0060133C"/>
    <w:rsid w:val="006013C8"/>
    <w:rsid w:val="006013DE"/>
    <w:rsid w:val="00601775"/>
    <w:rsid w:val="006018A9"/>
    <w:rsid w:val="0060270D"/>
    <w:rsid w:val="006028C1"/>
    <w:rsid w:val="00603481"/>
    <w:rsid w:val="006035D3"/>
    <w:rsid w:val="00603B7C"/>
    <w:rsid w:val="00604342"/>
    <w:rsid w:val="00604611"/>
    <w:rsid w:val="00605236"/>
    <w:rsid w:val="006058E8"/>
    <w:rsid w:val="00605A7F"/>
    <w:rsid w:val="00605D4E"/>
    <w:rsid w:val="006065A3"/>
    <w:rsid w:val="00606D68"/>
    <w:rsid w:val="00607185"/>
    <w:rsid w:val="00607DDD"/>
    <w:rsid w:val="0061086C"/>
    <w:rsid w:val="00610BE2"/>
    <w:rsid w:val="00610FC0"/>
    <w:rsid w:val="00611250"/>
    <w:rsid w:val="00611586"/>
    <w:rsid w:val="006123DF"/>
    <w:rsid w:val="00612549"/>
    <w:rsid w:val="006128C1"/>
    <w:rsid w:val="00612D26"/>
    <w:rsid w:val="0061359B"/>
    <w:rsid w:val="0061360D"/>
    <w:rsid w:val="00613ACB"/>
    <w:rsid w:val="006143CC"/>
    <w:rsid w:val="0061449F"/>
    <w:rsid w:val="00614DD2"/>
    <w:rsid w:val="00615855"/>
    <w:rsid w:val="00615D21"/>
    <w:rsid w:val="00616760"/>
    <w:rsid w:val="00616774"/>
    <w:rsid w:val="006167AA"/>
    <w:rsid w:val="00616DC1"/>
    <w:rsid w:val="006176A0"/>
    <w:rsid w:val="00617869"/>
    <w:rsid w:val="00620134"/>
    <w:rsid w:val="006203BA"/>
    <w:rsid w:val="006203F0"/>
    <w:rsid w:val="006206CF"/>
    <w:rsid w:val="00620975"/>
    <w:rsid w:val="006209BF"/>
    <w:rsid w:val="00620A33"/>
    <w:rsid w:val="00620DA8"/>
    <w:rsid w:val="00621305"/>
    <w:rsid w:val="00621324"/>
    <w:rsid w:val="006216C7"/>
    <w:rsid w:val="00621743"/>
    <w:rsid w:val="00621887"/>
    <w:rsid w:val="00621AF9"/>
    <w:rsid w:val="00621E70"/>
    <w:rsid w:val="006224C3"/>
    <w:rsid w:val="006227B1"/>
    <w:rsid w:val="00622C75"/>
    <w:rsid w:val="00623820"/>
    <w:rsid w:val="00623835"/>
    <w:rsid w:val="00623C86"/>
    <w:rsid w:val="00624021"/>
    <w:rsid w:val="006240E1"/>
    <w:rsid w:val="00624520"/>
    <w:rsid w:val="00624530"/>
    <w:rsid w:val="00624B32"/>
    <w:rsid w:val="00624BDD"/>
    <w:rsid w:val="00624C55"/>
    <w:rsid w:val="00624D2F"/>
    <w:rsid w:val="006253E5"/>
    <w:rsid w:val="00626319"/>
    <w:rsid w:val="0062656B"/>
    <w:rsid w:val="0062673F"/>
    <w:rsid w:val="00626D12"/>
    <w:rsid w:val="00626E6C"/>
    <w:rsid w:val="006271F5"/>
    <w:rsid w:val="006273CD"/>
    <w:rsid w:val="006302C2"/>
    <w:rsid w:val="006303FB"/>
    <w:rsid w:val="00630598"/>
    <w:rsid w:val="00630CF4"/>
    <w:rsid w:val="0063107D"/>
    <w:rsid w:val="00631988"/>
    <w:rsid w:val="00632300"/>
    <w:rsid w:val="00632635"/>
    <w:rsid w:val="00632BB7"/>
    <w:rsid w:val="00632FF4"/>
    <w:rsid w:val="0063367E"/>
    <w:rsid w:val="006336D4"/>
    <w:rsid w:val="006336F8"/>
    <w:rsid w:val="006337D4"/>
    <w:rsid w:val="00633A76"/>
    <w:rsid w:val="00633F55"/>
    <w:rsid w:val="006341C5"/>
    <w:rsid w:val="00634243"/>
    <w:rsid w:val="0063448B"/>
    <w:rsid w:val="00634870"/>
    <w:rsid w:val="00634A1D"/>
    <w:rsid w:val="00634C27"/>
    <w:rsid w:val="00635236"/>
    <w:rsid w:val="006354EA"/>
    <w:rsid w:val="0063551B"/>
    <w:rsid w:val="006358B3"/>
    <w:rsid w:val="00635B36"/>
    <w:rsid w:val="00635D89"/>
    <w:rsid w:val="00636871"/>
    <w:rsid w:val="00636C35"/>
    <w:rsid w:val="00636DBD"/>
    <w:rsid w:val="00637040"/>
    <w:rsid w:val="00640EA7"/>
    <w:rsid w:val="00640EE1"/>
    <w:rsid w:val="00640F4E"/>
    <w:rsid w:val="00641155"/>
    <w:rsid w:val="006417EA"/>
    <w:rsid w:val="00641AFD"/>
    <w:rsid w:val="00642000"/>
    <w:rsid w:val="006422D5"/>
    <w:rsid w:val="006429AB"/>
    <w:rsid w:val="0064341A"/>
    <w:rsid w:val="00643DE0"/>
    <w:rsid w:val="0064437D"/>
    <w:rsid w:val="0064477B"/>
    <w:rsid w:val="0064491F"/>
    <w:rsid w:val="00644993"/>
    <w:rsid w:val="00644E85"/>
    <w:rsid w:val="006458C7"/>
    <w:rsid w:val="00646A26"/>
    <w:rsid w:val="00647414"/>
    <w:rsid w:val="00650D7A"/>
    <w:rsid w:val="0065145A"/>
    <w:rsid w:val="00651490"/>
    <w:rsid w:val="006516D8"/>
    <w:rsid w:val="00651851"/>
    <w:rsid w:val="00651A73"/>
    <w:rsid w:val="00651ADB"/>
    <w:rsid w:val="00651B50"/>
    <w:rsid w:val="00651DF7"/>
    <w:rsid w:val="00651E82"/>
    <w:rsid w:val="00651F6B"/>
    <w:rsid w:val="006521E6"/>
    <w:rsid w:val="00652557"/>
    <w:rsid w:val="00652C52"/>
    <w:rsid w:val="00653672"/>
    <w:rsid w:val="006543F5"/>
    <w:rsid w:val="00654E3C"/>
    <w:rsid w:val="0065558D"/>
    <w:rsid w:val="006555AE"/>
    <w:rsid w:val="00655C6B"/>
    <w:rsid w:val="00656326"/>
    <w:rsid w:val="0065655A"/>
    <w:rsid w:val="006570BE"/>
    <w:rsid w:val="00657743"/>
    <w:rsid w:val="006603DA"/>
    <w:rsid w:val="0066063F"/>
    <w:rsid w:val="00660B28"/>
    <w:rsid w:val="00660C28"/>
    <w:rsid w:val="006612A8"/>
    <w:rsid w:val="006617BA"/>
    <w:rsid w:val="0066188D"/>
    <w:rsid w:val="00661FD0"/>
    <w:rsid w:val="00662221"/>
    <w:rsid w:val="00662ABC"/>
    <w:rsid w:val="00662B71"/>
    <w:rsid w:val="00662BB0"/>
    <w:rsid w:val="006631FE"/>
    <w:rsid w:val="00663878"/>
    <w:rsid w:val="00663DE8"/>
    <w:rsid w:val="006645D5"/>
    <w:rsid w:val="0066493A"/>
    <w:rsid w:val="00664D5B"/>
    <w:rsid w:val="006651F6"/>
    <w:rsid w:val="00665327"/>
    <w:rsid w:val="00665523"/>
    <w:rsid w:val="00665765"/>
    <w:rsid w:val="00665C45"/>
    <w:rsid w:val="00665CEB"/>
    <w:rsid w:val="00666233"/>
    <w:rsid w:val="00666E08"/>
    <w:rsid w:val="00667773"/>
    <w:rsid w:val="006677FE"/>
    <w:rsid w:val="00667D72"/>
    <w:rsid w:val="00667E1A"/>
    <w:rsid w:val="00667F57"/>
    <w:rsid w:val="00670743"/>
    <w:rsid w:val="00670EF2"/>
    <w:rsid w:val="006710B8"/>
    <w:rsid w:val="006715ED"/>
    <w:rsid w:val="006715EE"/>
    <w:rsid w:val="006722ED"/>
    <w:rsid w:val="00672426"/>
    <w:rsid w:val="00672682"/>
    <w:rsid w:val="00672798"/>
    <w:rsid w:val="00672AEB"/>
    <w:rsid w:val="00672D00"/>
    <w:rsid w:val="00672D14"/>
    <w:rsid w:val="00673777"/>
    <w:rsid w:val="006738AB"/>
    <w:rsid w:val="00673A36"/>
    <w:rsid w:val="00673EF1"/>
    <w:rsid w:val="00673F9E"/>
    <w:rsid w:val="00674CE9"/>
    <w:rsid w:val="006750EF"/>
    <w:rsid w:val="006762FD"/>
    <w:rsid w:val="006767FF"/>
    <w:rsid w:val="00676CA5"/>
    <w:rsid w:val="006774D6"/>
    <w:rsid w:val="006779E6"/>
    <w:rsid w:val="00677BF5"/>
    <w:rsid w:val="006804C3"/>
    <w:rsid w:val="00680977"/>
    <w:rsid w:val="00680A85"/>
    <w:rsid w:val="00680D0A"/>
    <w:rsid w:val="00681242"/>
    <w:rsid w:val="00681694"/>
    <w:rsid w:val="006817B2"/>
    <w:rsid w:val="00681ADF"/>
    <w:rsid w:val="00681E1E"/>
    <w:rsid w:val="00682115"/>
    <w:rsid w:val="006823E6"/>
    <w:rsid w:val="006828BB"/>
    <w:rsid w:val="0068293C"/>
    <w:rsid w:val="00682A3A"/>
    <w:rsid w:val="00682B8D"/>
    <w:rsid w:val="00683223"/>
    <w:rsid w:val="00683A46"/>
    <w:rsid w:val="00684309"/>
    <w:rsid w:val="00684818"/>
    <w:rsid w:val="00684AAC"/>
    <w:rsid w:val="00685698"/>
    <w:rsid w:val="00685774"/>
    <w:rsid w:val="00685F12"/>
    <w:rsid w:val="006860C4"/>
    <w:rsid w:val="00686178"/>
    <w:rsid w:val="00686C47"/>
    <w:rsid w:val="00687288"/>
    <w:rsid w:val="006876C2"/>
    <w:rsid w:val="00687C86"/>
    <w:rsid w:val="00690AC8"/>
    <w:rsid w:val="00690EE2"/>
    <w:rsid w:val="006915ED"/>
    <w:rsid w:val="00691765"/>
    <w:rsid w:val="0069202B"/>
    <w:rsid w:val="00692311"/>
    <w:rsid w:val="00692782"/>
    <w:rsid w:val="00693157"/>
    <w:rsid w:val="0069321D"/>
    <w:rsid w:val="00693854"/>
    <w:rsid w:val="00694BEB"/>
    <w:rsid w:val="0069507A"/>
    <w:rsid w:val="00695603"/>
    <w:rsid w:val="006957D7"/>
    <w:rsid w:val="00695A6E"/>
    <w:rsid w:val="006962C2"/>
    <w:rsid w:val="0069647A"/>
    <w:rsid w:val="00696CC8"/>
    <w:rsid w:val="00697171"/>
    <w:rsid w:val="0069737B"/>
    <w:rsid w:val="006975ED"/>
    <w:rsid w:val="00697672"/>
    <w:rsid w:val="006978C3"/>
    <w:rsid w:val="00697EE5"/>
    <w:rsid w:val="006A0715"/>
    <w:rsid w:val="006A0810"/>
    <w:rsid w:val="006A0C02"/>
    <w:rsid w:val="006A0E20"/>
    <w:rsid w:val="006A10E7"/>
    <w:rsid w:val="006A198F"/>
    <w:rsid w:val="006A232E"/>
    <w:rsid w:val="006A24E3"/>
    <w:rsid w:val="006A2875"/>
    <w:rsid w:val="006A28D4"/>
    <w:rsid w:val="006A3058"/>
    <w:rsid w:val="006A315A"/>
    <w:rsid w:val="006A3395"/>
    <w:rsid w:val="006A3623"/>
    <w:rsid w:val="006A424D"/>
    <w:rsid w:val="006A5432"/>
    <w:rsid w:val="006A5695"/>
    <w:rsid w:val="006A5AE5"/>
    <w:rsid w:val="006A68D0"/>
    <w:rsid w:val="006A6EE7"/>
    <w:rsid w:val="006A7AAF"/>
    <w:rsid w:val="006A7F46"/>
    <w:rsid w:val="006B031E"/>
    <w:rsid w:val="006B0352"/>
    <w:rsid w:val="006B0439"/>
    <w:rsid w:val="006B193E"/>
    <w:rsid w:val="006B1C45"/>
    <w:rsid w:val="006B2394"/>
    <w:rsid w:val="006B2E32"/>
    <w:rsid w:val="006B3002"/>
    <w:rsid w:val="006B37AF"/>
    <w:rsid w:val="006B37FC"/>
    <w:rsid w:val="006B3904"/>
    <w:rsid w:val="006B3D3C"/>
    <w:rsid w:val="006B3D55"/>
    <w:rsid w:val="006B429A"/>
    <w:rsid w:val="006B464F"/>
    <w:rsid w:val="006B4DBE"/>
    <w:rsid w:val="006B5756"/>
    <w:rsid w:val="006B5B7D"/>
    <w:rsid w:val="006B5F39"/>
    <w:rsid w:val="006B6738"/>
    <w:rsid w:val="006B699E"/>
    <w:rsid w:val="006B69D4"/>
    <w:rsid w:val="006B7933"/>
    <w:rsid w:val="006B7B53"/>
    <w:rsid w:val="006B7F29"/>
    <w:rsid w:val="006C026A"/>
    <w:rsid w:val="006C0625"/>
    <w:rsid w:val="006C06CE"/>
    <w:rsid w:val="006C072F"/>
    <w:rsid w:val="006C23AC"/>
    <w:rsid w:val="006C26A5"/>
    <w:rsid w:val="006C2DEF"/>
    <w:rsid w:val="006C2F63"/>
    <w:rsid w:val="006C3BC5"/>
    <w:rsid w:val="006C3BF9"/>
    <w:rsid w:val="006C3C1E"/>
    <w:rsid w:val="006C4409"/>
    <w:rsid w:val="006C4493"/>
    <w:rsid w:val="006C4522"/>
    <w:rsid w:val="006C47C7"/>
    <w:rsid w:val="006C543E"/>
    <w:rsid w:val="006C56F6"/>
    <w:rsid w:val="006C5B46"/>
    <w:rsid w:val="006C61F1"/>
    <w:rsid w:val="006C6375"/>
    <w:rsid w:val="006C6E22"/>
    <w:rsid w:val="006C6E39"/>
    <w:rsid w:val="006C6F52"/>
    <w:rsid w:val="006C74AB"/>
    <w:rsid w:val="006D0422"/>
    <w:rsid w:val="006D0913"/>
    <w:rsid w:val="006D0AE4"/>
    <w:rsid w:val="006D0ECF"/>
    <w:rsid w:val="006D0F4F"/>
    <w:rsid w:val="006D1001"/>
    <w:rsid w:val="006D1096"/>
    <w:rsid w:val="006D1B51"/>
    <w:rsid w:val="006D1EAA"/>
    <w:rsid w:val="006D1F26"/>
    <w:rsid w:val="006D21A6"/>
    <w:rsid w:val="006D27F2"/>
    <w:rsid w:val="006D2861"/>
    <w:rsid w:val="006D2C38"/>
    <w:rsid w:val="006D3276"/>
    <w:rsid w:val="006D3379"/>
    <w:rsid w:val="006D3522"/>
    <w:rsid w:val="006D378E"/>
    <w:rsid w:val="006D3D5B"/>
    <w:rsid w:val="006D4224"/>
    <w:rsid w:val="006D4B50"/>
    <w:rsid w:val="006D4C92"/>
    <w:rsid w:val="006D4EB6"/>
    <w:rsid w:val="006D51AD"/>
    <w:rsid w:val="006D52B0"/>
    <w:rsid w:val="006D59C5"/>
    <w:rsid w:val="006D5B1D"/>
    <w:rsid w:val="006D5C17"/>
    <w:rsid w:val="006D5F63"/>
    <w:rsid w:val="006D680B"/>
    <w:rsid w:val="006D7D94"/>
    <w:rsid w:val="006D7FBC"/>
    <w:rsid w:val="006E04ED"/>
    <w:rsid w:val="006E1A5A"/>
    <w:rsid w:val="006E1F4F"/>
    <w:rsid w:val="006E22CB"/>
    <w:rsid w:val="006E2308"/>
    <w:rsid w:val="006E314D"/>
    <w:rsid w:val="006E35BF"/>
    <w:rsid w:val="006E3AC1"/>
    <w:rsid w:val="006E3D49"/>
    <w:rsid w:val="006E4314"/>
    <w:rsid w:val="006E474B"/>
    <w:rsid w:val="006E4BF2"/>
    <w:rsid w:val="006E50C2"/>
    <w:rsid w:val="006E54BF"/>
    <w:rsid w:val="006E568C"/>
    <w:rsid w:val="006E6182"/>
    <w:rsid w:val="006E61D8"/>
    <w:rsid w:val="006E650D"/>
    <w:rsid w:val="006E65FD"/>
    <w:rsid w:val="006E69A8"/>
    <w:rsid w:val="006E7850"/>
    <w:rsid w:val="006F00FA"/>
    <w:rsid w:val="006F0E3E"/>
    <w:rsid w:val="006F0E83"/>
    <w:rsid w:val="006F0EC7"/>
    <w:rsid w:val="006F0FE0"/>
    <w:rsid w:val="006F12E1"/>
    <w:rsid w:val="006F173F"/>
    <w:rsid w:val="006F19D8"/>
    <w:rsid w:val="006F1D36"/>
    <w:rsid w:val="006F26EE"/>
    <w:rsid w:val="006F2E06"/>
    <w:rsid w:val="006F3233"/>
    <w:rsid w:val="006F44AE"/>
    <w:rsid w:val="006F46D6"/>
    <w:rsid w:val="006F4B82"/>
    <w:rsid w:val="006F4BBB"/>
    <w:rsid w:val="006F4BF9"/>
    <w:rsid w:val="006F508D"/>
    <w:rsid w:val="006F54EB"/>
    <w:rsid w:val="006F6189"/>
    <w:rsid w:val="006F68D9"/>
    <w:rsid w:val="00700043"/>
    <w:rsid w:val="00700788"/>
    <w:rsid w:val="007009CA"/>
    <w:rsid w:val="00701DFB"/>
    <w:rsid w:val="0070255C"/>
    <w:rsid w:val="007028D9"/>
    <w:rsid w:val="00702AA4"/>
    <w:rsid w:val="007034B8"/>
    <w:rsid w:val="007036DA"/>
    <w:rsid w:val="00704DB0"/>
    <w:rsid w:val="00704F91"/>
    <w:rsid w:val="0070567F"/>
    <w:rsid w:val="0070574C"/>
    <w:rsid w:val="00706067"/>
    <w:rsid w:val="00706806"/>
    <w:rsid w:val="0070700E"/>
    <w:rsid w:val="00707169"/>
    <w:rsid w:val="00707218"/>
    <w:rsid w:val="00707B09"/>
    <w:rsid w:val="0071024A"/>
    <w:rsid w:val="007104DA"/>
    <w:rsid w:val="00710715"/>
    <w:rsid w:val="00710CD7"/>
    <w:rsid w:val="00710D04"/>
    <w:rsid w:val="00710E94"/>
    <w:rsid w:val="0071168D"/>
    <w:rsid w:val="00711D0F"/>
    <w:rsid w:val="00711DE1"/>
    <w:rsid w:val="00712B1D"/>
    <w:rsid w:val="00712EA3"/>
    <w:rsid w:val="007132E3"/>
    <w:rsid w:val="0071338F"/>
    <w:rsid w:val="00713413"/>
    <w:rsid w:val="007136C4"/>
    <w:rsid w:val="00713C27"/>
    <w:rsid w:val="00713F87"/>
    <w:rsid w:val="00714A34"/>
    <w:rsid w:val="00714A9E"/>
    <w:rsid w:val="007150D5"/>
    <w:rsid w:val="007152C9"/>
    <w:rsid w:val="00715354"/>
    <w:rsid w:val="00715751"/>
    <w:rsid w:val="007158BC"/>
    <w:rsid w:val="00716B0D"/>
    <w:rsid w:val="00716E4C"/>
    <w:rsid w:val="00716F18"/>
    <w:rsid w:val="007171BA"/>
    <w:rsid w:val="007172C0"/>
    <w:rsid w:val="00717616"/>
    <w:rsid w:val="0072068D"/>
    <w:rsid w:val="00720C41"/>
    <w:rsid w:val="00721D39"/>
    <w:rsid w:val="00721ECF"/>
    <w:rsid w:val="00722C28"/>
    <w:rsid w:val="00722EE8"/>
    <w:rsid w:val="00723252"/>
    <w:rsid w:val="00723AAB"/>
    <w:rsid w:val="0072429B"/>
    <w:rsid w:val="0072486F"/>
    <w:rsid w:val="007248FD"/>
    <w:rsid w:val="00724C39"/>
    <w:rsid w:val="00724ED6"/>
    <w:rsid w:val="0072539B"/>
    <w:rsid w:val="00725553"/>
    <w:rsid w:val="00726BC7"/>
    <w:rsid w:val="00726D5D"/>
    <w:rsid w:val="00726FF5"/>
    <w:rsid w:val="00727118"/>
    <w:rsid w:val="00727423"/>
    <w:rsid w:val="00730149"/>
    <w:rsid w:val="00730C12"/>
    <w:rsid w:val="00730E6D"/>
    <w:rsid w:val="00730ECD"/>
    <w:rsid w:val="007317C9"/>
    <w:rsid w:val="0073181B"/>
    <w:rsid w:val="00731868"/>
    <w:rsid w:val="00731E72"/>
    <w:rsid w:val="00731EBF"/>
    <w:rsid w:val="007325D9"/>
    <w:rsid w:val="007327FB"/>
    <w:rsid w:val="00732D32"/>
    <w:rsid w:val="00733F4E"/>
    <w:rsid w:val="0073413F"/>
    <w:rsid w:val="00734612"/>
    <w:rsid w:val="00734D4C"/>
    <w:rsid w:val="00734EF6"/>
    <w:rsid w:val="0073528D"/>
    <w:rsid w:val="0073538C"/>
    <w:rsid w:val="0073583B"/>
    <w:rsid w:val="007360CA"/>
    <w:rsid w:val="00736917"/>
    <w:rsid w:val="00736BB0"/>
    <w:rsid w:val="00736F54"/>
    <w:rsid w:val="00737999"/>
    <w:rsid w:val="00737FE8"/>
    <w:rsid w:val="00740D5E"/>
    <w:rsid w:val="00741681"/>
    <w:rsid w:val="007416AD"/>
    <w:rsid w:val="00741AF5"/>
    <w:rsid w:val="00741E24"/>
    <w:rsid w:val="00741EFF"/>
    <w:rsid w:val="007422F9"/>
    <w:rsid w:val="007428AF"/>
    <w:rsid w:val="00743031"/>
    <w:rsid w:val="0074353A"/>
    <w:rsid w:val="00743FC7"/>
    <w:rsid w:val="007446D8"/>
    <w:rsid w:val="00745073"/>
    <w:rsid w:val="0074535A"/>
    <w:rsid w:val="007454A1"/>
    <w:rsid w:val="00745582"/>
    <w:rsid w:val="00745FFC"/>
    <w:rsid w:val="0074667B"/>
    <w:rsid w:val="00746877"/>
    <w:rsid w:val="00746931"/>
    <w:rsid w:val="007470BD"/>
    <w:rsid w:val="00750730"/>
    <w:rsid w:val="007509C1"/>
    <w:rsid w:val="00750A18"/>
    <w:rsid w:val="00750E75"/>
    <w:rsid w:val="00750EB5"/>
    <w:rsid w:val="007515A8"/>
    <w:rsid w:val="007518C3"/>
    <w:rsid w:val="00751954"/>
    <w:rsid w:val="007520A8"/>
    <w:rsid w:val="007527C3"/>
    <w:rsid w:val="00752CD0"/>
    <w:rsid w:val="007533AB"/>
    <w:rsid w:val="0075377F"/>
    <w:rsid w:val="0075389F"/>
    <w:rsid w:val="00753903"/>
    <w:rsid w:val="00753AB7"/>
    <w:rsid w:val="00753E66"/>
    <w:rsid w:val="00753EF8"/>
    <w:rsid w:val="00754804"/>
    <w:rsid w:val="00755015"/>
    <w:rsid w:val="007556CA"/>
    <w:rsid w:val="00755B5E"/>
    <w:rsid w:val="00756664"/>
    <w:rsid w:val="00757951"/>
    <w:rsid w:val="00757995"/>
    <w:rsid w:val="00760805"/>
    <w:rsid w:val="00760EC0"/>
    <w:rsid w:val="0076183F"/>
    <w:rsid w:val="007618F1"/>
    <w:rsid w:val="00761B01"/>
    <w:rsid w:val="007620FB"/>
    <w:rsid w:val="0076220F"/>
    <w:rsid w:val="007625D6"/>
    <w:rsid w:val="0076336E"/>
    <w:rsid w:val="00763C84"/>
    <w:rsid w:val="007640B3"/>
    <w:rsid w:val="0076430F"/>
    <w:rsid w:val="00764826"/>
    <w:rsid w:val="00764E46"/>
    <w:rsid w:val="00764E60"/>
    <w:rsid w:val="007654F1"/>
    <w:rsid w:val="00765D12"/>
    <w:rsid w:val="00765FDF"/>
    <w:rsid w:val="007663C9"/>
    <w:rsid w:val="007666EC"/>
    <w:rsid w:val="00766836"/>
    <w:rsid w:val="00766930"/>
    <w:rsid w:val="00766CE6"/>
    <w:rsid w:val="0076727F"/>
    <w:rsid w:val="00767ADF"/>
    <w:rsid w:val="00767CF6"/>
    <w:rsid w:val="00770191"/>
    <w:rsid w:val="007711B2"/>
    <w:rsid w:val="007711BD"/>
    <w:rsid w:val="00771354"/>
    <w:rsid w:val="007719EE"/>
    <w:rsid w:val="00771D05"/>
    <w:rsid w:val="007728CD"/>
    <w:rsid w:val="00772B32"/>
    <w:rsid w:val="00773345"/>
    <w:rsid w:val="00774AE0"/>
    <w:rsid w:val="00775EE3"/>
    <w:rsid w:val="007760F5"/>
    <w:rsid w:val="0077665E"/>
    <w:rsid w:val="00776ED0"/>
    <w:rsid w:val="00777155"/>
    <w:rsid w:val="0078003A"/>
    <w:rsid w:val="007800FE"/>
    <w:rsid w:val="00780771"/>
    <w:rsid w:val="00780AF1"/>
    <w:rsid w:val="00781357"/>
    <w:rsid w:val="0078170E"/>
    <w:rsid w:val="00782466"/>
    <w:rsid w:val="00782AD9"/>
    <w:rsid w:val="00782E4A"/>
    <w:rsid w:val="0078303B"/>
    <w:rsid w:val="0078370A"/>
    <w:rsid w:val="0078389C"/>
    <w:rsid w:val="00783AF0"/>
    <w:rsid w:val="00783FC2"/>
    <w:rsid w:val="00784463"/>
    <w:rsid w:val="00784BD1"/>
    <w:rsid w:val="00784FCA"/>
    <w:rsid w:val="00785A08"/>
    <w:rsid w:val="00785EF0"/>
    <w:rsid w:val="007860F0"/>
    <w:rsid w:val="00786212"/>
    <w:rsid w:val="00786523"/>
    <w:rsid w:val="0078670A"/>
    <w:rsid w:val="007868D9"/>
    <w:rsid w:val="0078696B"/>
    <w:rsid w:val="00786D93"/>
    <w:rsid w:val="00786F95"/>
    <w:rsid w:val="00787239"/>
    <w:rsid w:val="0078728D"/>
    <w:rsid w:val="00787869"/>
    <w:rsid w:val="00790656"/>
    <w:rsid w:val="007909FB"/>
    <w:rsid w:val="00790B26"/>
    <w:rsid w:val="007914FC"/>
    <w:rsid w:val="0079196B"/>
    <w:rsid w:val="00792488"/>
    <w:rsid w:val="00792835"/>
    <w:rsid w:val="007928A2"/>
    <w:rsid w:val="007929CF"/>
    <w:rsid w:val="00792AFF"/>
    <w:rsid w:val="00792B1E"/>
    <w:rsid w:val="0079305A"/>
    <w:rsid w:val="00793699"/>
    <w:rsid w:val="00794882"/>
    <w:rsid w:val="007957B7"/>
    <w:rsid w:val="007957E1"/>
    <w:rsid w:val="007958D2"/>
    <w:rsid w:val="00795BB2"/>
    <w:rsid w:val="00796127"/>
    <w:rsid w:val="007963BF"/>
    <w:rsid w:val="0079662A"/>
    <w:rsid w:val="007968C8"/>
    <w:rsid w:val="00796A24"/>
    <w:rsid w:val="00797052"/>
    <w:rsid w:val="00797275"/>
    <w:rsid w:val="007973F9"/>
    <w:rsid w:val="00797874"/>
    <w:rsid w:val="00797BA8"/>
    <w:rsid w:val="007A01AA"/>
    <w:rsid w:val="007A069B"/>
    <w:rsid w:val="007A081D"/>
    <w:rsid w:val="007A0DE6"/>
    <w:rsid w:val="007A1015"/>
    <w:rsid w:val="007A1045"/>
    <w:rsid w:val="007A11F2"/>
    <w:rsid w:val="007A1A5D"/>
    <w:rsid w:val="007A23D9"/>
    <w:rsid w:val="007A479F"/>
    <w:rsid w:val="007A49E7"/>
    <w:rsid w:val="007A49ED"/>
    <w:rsid w:val="007A4D03"/>
    <w:rsid w:val="007A52A2"/>
    <w:rsid w:val="007A5CEA"/>
    <w:rsid w:val="007A61DC"/>
    <w:rsid w:val="007A6A58"/>
    <w:rsid w:val="007A6F28"/>
    <w:rsid w:val="007A7027"/>
    <w:rsid w:val="007A7A3C"/>
    <w:rsid w:val="007A7C39"/>
    <w:rsid w:val="007B03C6"/>
    <w:rsid w:val="007B0413"/>
    <w:rsid w:val="007B087E"/>
    <w:rsid w:val="007B0DB1"/>
    <w:rsid w:val="007B1481"/>
    <w:rsid w:val="007B1DB0"/>
    <w:rsid w:val="007B26CB"/>
    <w:rsid w:val="007B27B9"/>
    <w:rsid w:val="007B2BEA"/>
    <w:rsid w:val="007B3EAA"/>
    <w:rsid w:val="007B41FC"/>
    <w:rsid w:val="007B4792"/>
    <w:rsid w:val="007B48C7"/>
    <w:rsid w:val="007B5453"/>
    <w:rsid w:val="007B5673"/>
    <w:rsid w:val="007B590B"/>
    <w:rsid w:val="007B599A"/>
    <w:rsid w:val="007B5E0B"/>
    <w:rsid w:val="007B6842"/>
    <w:rsid w:val="007B69B7"/>
    <w:rsid w:val="007B6E74"/>
    <w:rsid w:val="007B721C"/>
    <w:rsid w:val="007B7238"/>
    <w:rsid w:val="007B723B"/>
    <w:rsid w:val="007B76FF"/>
    <w:rsid w:val="007B7D43"/>
    <w:rsid w:val="007C08BB"/>
    <w:rsid w:val="007C0BCA"/>
    <w:rsid w:val="007C13AA"/>
    <w:rsid w:val="007C1C00"/>
    <w:rsid w:val="007C1F1F"/>
    <w:rsid w:val="007C2C4E"/>
    <w:rsid w:val="007C2D63"/>
    <w:rsid w:val="007C33D9"/>
    <w:rsid w:val="007C3BF6"/>
    <w:rsid w:val="007C4133"/>
    <w:rsid w:val="007C46D3"/>
    <w:rsid w:val="007C485C"/>
    <w:rsid w:val="007C599E"/>
    <w:rsid w:val="007C5CAF"/>
    <w:rsid w:val="007C5D42"/>
    <w:rsid w:val="007C6318"/>
    <w:rsid w:val="007C67B3"/>
    <w:rsid w:val="007C7974"/>
    <w:rsid w:val="007C7EFC"/>
    <w:rsid w:val="007D0B00"/>
    <w:rsid w:val="007D0FD2"/>
    <w:rsid w:val="007D10F9"/>
    <w:rsid w:val="007D1389"/>
    <w:rsid w:val="007D14A3"/>
    <w:rsid w:val="007D1719"/>
    <w:rsid w:val="007D17DC"/>
    <w:rsid w:val="007D226D"/>
    <w:rsid w:val="007D23C5"/>
    <w:rsid w:val="007D2712"/>
    <w:rsid w:val="007D2937"/>
    <w:rsid w:val="007D2EF8"/>
    <w:rsid w:val="007D30F8"/>
    <w:rsid w:val="007D3966"/>
    <w:rsid w:val="007D3E6F"/>
    <w:rsid w:val="007D561F"/>
    <w:rsid w:val="007D57D6"/>
    <w:rsid w:val="007D5C4E"/>
    <w:rsid w:val="007D61F9"/>
    <w:rsid w:val="007D640C"/>
    <w:rsid w:val="007D6C6A"/>
    <w:rsid w:val="007D71D5"/>
    <w:rsid w:val="007D7327"/>
    <w:rsid w:val="007D7446"/>
    <w:rsid w:val="007D7759"/>
    <w:rsid w:val="007D7FD2"/>
    <w:rsid w:val="007E003E"/>
    <w:rsid w:val="007E13D9"/>
    <w:rsid w:val="007E17D4"/>
    <w:rsid w:val="007E1CB6"/>
    <w:rsid w:val="007E1E8F"/>
    <w:rsid w:val="007E1FCC"/>
    <w:rsid w:val="007E2AEC"/>
    <w:rsid w:val="007E2B6A"/>
    <w:rsid w:val="007E3061"/>
    <w:rsid w:val="007E34F8"/>
    <w:rsid w:val="007E4058"/>
    <w:rsid w:val="007E41BE"/>
    <w:rsid w:val="007E484A"/>
    <w:rsid w:val="007E4DB6"/>
    <w:rsid w:val="007E55DF"/>
    <w:rsid w:val="007E5920"/>
    <w:rsid w:val="007E607D"/>
    <w:rsid w:val="007E6733"/>
    <w:rsid w:val="007E685D"/>
    <w:rsid w:val="007E6F9A"/>
    <w:rsid w:val="007E7B53"/>
    <w:rsid w:val="007E7CD4"/>
    <w:rsid w:val="007E7D57"/>
    <w:rsid w:val="007F0D63"/>
    <w:rsid w:val="007F11AD"/>
    <w:rsid w:val="007F12AC"/>
    <w:rsid w:val="007F1829"/>
    <w:rsid w:val="007F207A"/>
    <w:rsid w:val="007F27B3"/>
    <w:rsid w:val="007F2A30"/>
    <w:rsid w:val="007F3B1A"/>
    <w:rsid w:val="007F3B97"/>
    <w:rsid w:val="007F4501"/>
    <w:rsid w:val="007F4928"/>
    <w:rsid w:val="007F4C96"/>
    <w:rsid w:val="007F529A"/>
    <w:rsid w:val="007F565C"/>
    <w:rsid w:val="007F60DF"/>
    <w:rsid w:val="007F739C"/>
    <w:rsid w:val="007F77B0"/>
    <w:rsid w:val="00800F06"/>
    <w:rsid w:val="00800F19"/>
    <w:rsid w:val="008012EB"/>
    <w:rsid w:val="008013BD"/>
    <w:rsid w:val="00801800"/>
    <w:rsid w:val="00801861"/>
    <w:rsid w:val="00801B13"/>
    <w:rsid w:val="00801B5B"/>
    <w:rsid w:val="00802028"/>
    <w:rsid w:val="00802203"/>
    <w:rsid w:val="00802341"/>
    <w:rsid w:val="0080282E"/>
    <w:rsid w:val="0080292C"/>
    <w:rsid w:val="00802F70"/>
    <w:rsid w:val="00803554"/>
    <w:rsid w:val="0080380A"/>
    <w:rsid w:val="00804101"/>
    <w:rsid w:val="00804A7E"/>
    <w:rsid w:val="00804E6E"/>
    <w:rsid w:val="00804F34"/>
    <w:rsid w:val="0080532E"/>
    <w:rsid w:val="00805A30"/>
    <w:rsid w:val="00805C41"/>
    <w:rsid w:val="00805C98"/>
    <w:rsid w:val="00805D29"/>
    <w:rsid w:val="00805DAF"/>
    <w:rsid w:val="008060AD"/>
    <w:rsid w:val="0080643B"/>
    <w:rsid w:val="008066ED"/>
    <w:rsid w:val="0080682C"/>
    <w:rsid w:val="00806901"/>
    <w:rsid w:val="008102B3"/>
    <w:rsid w:val="008108DD"/>
    <w:rsid w:val="0081175A"/>
    <w:rsid w:val="008118EE"/>
    <w:rsid w:val="008119B7"/>
    <w:rsid w:val="00811C47"/>
    <w:rsid w:val="00811E48"/>
    <w:rsid w:val="00811FC5"/>
    <w:rsid w:val="00812F47"/>
    <w:rsid w:val="0081322D"/>
    <w:rsid w:val="008138B2"/>
    <w:rsid w:val="00813C6C"/>
    <w:rsid w:val="00813C8A"/>
    <w:rsid w:val="00813CC5"/>
    <w:rsid w:val="008141A0"/>
    <w:rsid w:val="008146F2"/>
    <w:rsid w:val="00814D36"/>
    <w:rsid w:val="00814D73"/>
    <w:rsid w:val="00815B31"/>
    <w:rsid w:val="00815EBF"/>
    <w:rsid w:val="00816209"/>
    <w:rsid w:val="0081641F"/>
    <w:rsid w:val="00816FF0"/>
    <w:rsid w:val="008173F1"/>
    <w:rsid w:val="00817567"/>
    <w:rsid w:val="00817D00"/>
    <w:rsid w:val="00820616"/>
    <w:rsid w:val="0082065E"/>
    <w:rsid w:val="00820E1E"/>
    <w:rsid w:val="008216E7"/>
    <w:rsid w:val="00821E51"/>
    <w:rsid w:val="00821ECF"/>
    <w:rsid w:val="00821FEB"/>
    <w:rsid w:val="00822DCB"/>
    <w:rsid w:val="008230F7"/>
    <w:rsid w:val="008231E2"/>
    <w:rsid w:val="008231FA"/>
    <w:rsid w:val="00823602"/>
    <w:rsid w:val="00823B29"/>
    <w:rsid w:val="00824440"/>
    <w:rsid w:val="008247F0"/>
    <w:rsid w:val="00824E7A"/>
    <w:rsid w:val="00825165"/>
    <w:rsid w:val="00825BE6"/>
    <w:rsid w:val="008261A2"/>
    <w:rsid w:val="008262AE"/>
    <w:rsid w:val="008263F7"/>
    <w:rsid w:val="00827357"/>
    <w:rsid w:val="008273DB"/>
    <w:rsid w:val="008276B4"/>
    <w:rsid w:val="0082774B"/>
    <w:rsid w:val="00827789"/>
    <w:rsid w:val="00827C0F"/>
    <w:rsid w:val="00830DF8"/>
    <w:rsid w:val="008313BB"/>
    <w:rsid w:val="00831927"/>
    <w:rsid w:val="00831C4A"/>
    <w:rsid w:val="00833A9F"/>
    <w:rsid w:val="008341E2"/>
    <w:rsid w:val="008346A5"/>
    <w:rsid w:val="008346B6"/>
    <w:rsid w:val="008347E4"/>
    <w:rsid w:val="00834A87"/>
    <w:rsid w:val="00835084"/>
    <w:rsid w:val="0083569B"/>
    <w:rsid w:val="00835BBD"/>
    <w:rsid w:val="008360BE"/>
    <w:rsid w:val="0083665F"/>
    <w:rsid w:val="00836CF5"/>
    <w:rsid w:val="00836D73"/>
    <w:rsid w:val="00837288"/>
    <w:rsid w:val="00837D81"/>
    <w:rsid w:val="00837E85"/>
    <w:rsid w:val="00840817"/>
    <w:rsid w:val="0084083E"/>
    <w:rsid w:val="008415E2"/>
    <w:rsid w:val="00841A98"/>
    <w:rsid w:val="00841B6A"/>
    <w:rsid w:val="00841BD3"/>
    <w:rsid w:val="00841E89"/>
    <w:rsid w:val="00841F43"/>
    <w:rsid w:val="00841FA0"/>
    <w:rsid w:val="008420B2"/>
    <w:rsid w:val="0084273D"/>
    <w:rsid w:val="008429C8"/>
    <w:rsid w:val="0084402F"/>
    <w:rsid w:val="00844282"/>
    <w:rsid w:val="008448D2"/>
    <w:rsid w:val="00844D8E"/>
    <w:rsid w:val="00844E3F"/>
    <w:rsid w:val="00845A83"/>
    <w:rsid w:val="00845B41"/>
    <w:rsid w:val="00845F69"/>
    <w:rsid w:val="008464F2"/>
    <w:rsid w:val="00846746"/>
    <w:rsid w:val="00846BB9"/>
    <w:rsid w:val="0084744A"/>
    <w:rsid w:val="00847FAF"/>
    <w:rsid w:val="00850714"/>
    <w:rsid w:val="00850BFE"/>
    <w:rsid w:val="008511A5"/>
    <w:rsid w:val="0085163E"/>
    <w:rsid w:val="008521ED"/>
    <w:rsid w:val="008524E6"/>
    <w:rsid w:val="00852FEC"/>
    <w:rsid w:val="008533F6"/>
    <w:rsid w:val="00854537"/>
    <w:rsid w:val="0085493D"/>
    <w:rsid w:val="00854B0C"/>
    <w:rsid w:val="00854B80"/>
    <w:rsid w:val="00854DC7"/>
    <w:rsid w:val="00855942"/>
    <w:rsid w:val="00856950"/>
    <w:rsid w:val="00856B2B"/>
    <w:rsid w:val="0085779A"/>
    <w:rsid w:val="00857D65"/>
    <w:rsid w:val="00860845"/>
    <w:rsid w:val="00861015"/>
    <w:rsid w:val="0086115B"/>
    <w:rsid w:val="00861342"/>
    <w:rsid w:val="00861C32"/>
    <w:rsid w:val="00861D2C"/>
    <w:rsid w:val="00862294"/>
    <w:rsid w:val="008624CF"/>
    <w:rsid w:val="00862A4A"/>
    <w:rsid w:val="00862C79"/>
    <w:rsid w:val="00863739"/>
    <w:rsid w:val="00863FF7"/>
    <w:rsid w:val="008649D5"/>
    <w:rsid w:val="00865624"/>
    <w:rsid w:val="0086563A"/>
    <w:rsid w:val="00866397"/>
    <w:rsid w:val="0086704B"/>
    <w:rsid w:val="00867619"/>
    <w:rsid w:val="00867727"/>
    <w:rsid w:val="00870AE2"/>
    <w:rsid w:val="00871240"/>
    <w:rsid w:val="008712BB"/>
    <w:rsid w:val="008718F3"/>
    <w:rsid w:val="00871A8B"/>
    <w:rsid w:val="00871C4F"/>
    <w:rsid w:val="008721C0"/>
    <w:rsid w:val="00872CAB"/>
    <w:rsid w:val="00872D7C"/>
    <w:rsid w:val="008731CC"/>
    <w:rsid w:val="00873779"/>
    <w:rsid w:val="008737C5"/>
    <w:rsid w:val="00873CD6"/>
    <w:rsid w:val="008745CC"/>
    <w:rsid w:val="00874FCD"/>
    <w:rsid w:val="00875082"/>
    <w:rsid w:val="00875534"/>
    <w:rsid w:val="00875C91"/>
    <w:rsid w:val="008760C0"/>
    <w:rsid w:val="0087678C"/>
    <w:rsid w:val="00876CCE"/>
    <w:rsid w:val="00876F87"/>
    <w:rsid w:val="0087752E"/>
    <w:rsid w:val="00877E1F"/>
    <w:rsid w:val="008800F9"/>
    <w:rsid w:val="008802D3"/>
    <w:rsid w:val="00880845"/>
    <w:rsid w:val="00880A2E"/>
    <w:rsid w:val="00880D70"/>
    <w:rsid w:val="00880DED"/>
    <w:rsid w:val="0088172B"/>
    <w:rsid w:val="00882388"/>
    <w:rsid w:val="00882745"/>
    <w:rsid w:val="008830E7"/>
    <w:rsid w:val="00883AB5"/>
    <w:rsid w:val="00883BF9"/>
    <w:rsid w:val="00883EAC"/>
    <w:rsid w:val="0088508C"/>
    <w:rsid w:val="00885E38"/>
    <w:rsid w:val="0088655E"/>
    <w:rsid w:val="00886D1B"/>
    <w:rsid w:val="00886D31"/>
    <w:rsid w:val="00887058"/>
    <w:rsid w:val="0088734F"/>
    <w:rsid w:val="008877BD"/>
    <w:rsid w:val="00890883"/>
    <w:rsid w:val="00890BAF"/>
    <w:rsid w:val="00890EDE"/>
    <w:rsid w:val="00891956"/>
    <w:rsid w:val="008920CC"/>
    <w:rsid w:val="00892436"/>
    <w:rsid w:val="00892A34"/>
    <w:rsid w:val="00892B38"/>
    <w:rsid w:val="00893311"/>
    <w:rsid w:val="008935AF"/>
    <w:rsid w:val="008935ED"/>
    <w:rsid w:val="0089397F"/>
    <w:rsid w:val="00893A74"/>
    <w:rsid w:val="00893B39"/>
    <w:rsid w:val="008949F0"/>
    <w:rsid w:val="008952F1"/>
    <w:rsid w:val="008958F7"/>
    <w:rsid w:val="008962F0"/>
    <w:rsid w:val="008966C0"/>
    <w:rsid w:val="0089701B"/>
    <w:rsid w:val="008971E4"/>
    <w:rsid w:val="008975F5"/>
    <w:rsid w:val="0089785D"/>
    <w:rsid w:val="00897AA0"/>
    <w:rsid w:val="00897D74"/>
    <w:rsid w:val="00897DD1"/>
    <w:rsid w:val="008A0CEE"/>
    <w:rsid w:val="008A0CF0"/>
    <w:rsid w:val="008A0F28"/>
    <w:rsid w:val="008A13FC"/>
    <w:rsid w:val="008A1457"/>
    <w:rsid w:val="008A1741"/>
    <w:rsid w:val="008A18CA"/>
    <w:rsid w:val="008A1A07"/>
    <w:rsid w:val="008A1A2F"/>
    <w:rsid w:val="008A2484"/>
    <w:rsid w:val="008A2F8F"/>
    <w:rsid w:val="008A3167"/>
    <w:rsid w:val="008A31A1"/>
    <w:rsid w:val="008A3BB2"/>
    <w:rsid w:val="008A4542"/>
    <w:rsid w:val="008A52F3"/>
    <w:rsid w:val="008A551D"/>
    <w:rsid w:val="008A63EB"/>
    <w:rsid w:val="008A71BC"/>
    <w:rsid w:val="008A729A"/>
    <w:rsid w:val="008A736A"/>
    <w:rsid w:val="008A739E"/>
    <w:rsid w:val="008A783A"/>
    <w:rsid w:val="008A7CF1"/>
    <w:rsid w:val="008A7E93"/>
    <w:rsid w:val="008B02D5"/>
    <w:rsid w:val="008B0BBF"/>
    <w:rsid w:val="008B1691"/>
    <w:rsid w:val="008B1EC9"/>
    <w:rsid w:val="008B25B2"/>
    <w:rsid w:val="008B2CAA"/>
    <w:rsid w:val="008B3BBF"/>
    <w:rsid w:val="008B3D24"/>
    <w:rsid w:val="008B3D5B"/>
    <w:rsid w:val="008B3E08"/>
    <w:rsid w:val="008B4120"/>
    <w:rsid w:val="008B4857"/>
    <w:rsid w:val="008B50DA"/>
    <w:rsid w:val="008B549B"/>
    <w:rsid w:val="008B59A7"/>
    <w:rsid w:val="008B6498"/>
    <w:rsid w:val="008B78F0"/>
    <w:rsid w:val="008B7A87"/>
    <w:rsid w:val="008C054F"/>
    <w:rsid w:val="008C073A"/>
    <w:rsid w:val="008C07F7"/>
    <w:rsid w:val="008C0CDC"/>
    <w:rsid w:val="008C0EA7"/>
    <w:rsid w:val="008C1689"/>
    <w:rsid w:val="008C2253"/>
    <w:rsid w:val="008C2350"/>
    <w:rsid w:val="008C26D9"/>
    <w:rsid w:val="008C2862"/>
    <w:rsid w:val="008C3413"/>
    <w:rsid w:val="008C36F8"/>
    <w:rsid w:val="008C51B5"/>
    <w:rsid w:val="008C53DE"/>
    <w:rsid w:val="008C570F"/>
    <w:rsid w:val="008C57AA"/>
    <w:rsid w:val="008C60EC"/>
    <w:rsid w:val="008C624B"/>
    <w:rsid w:val="008C69F9"/>
    <w:rsid w:val="008C6B2D"/>
    <w:rsid w:val="008C6C38"/>
    <w:rsid w:val="008C6D50"/>
    <w:rsid w:val="008C6DB7"/>
    <w:rsid w:val="008C6E7F"/>
    <w:rsid w:val="008C6E80"/>
    <w:rsid w:val="008C70A2"/>
    <w:rsid w:val="008C7167"/>
    <w:rsid w:val="008C7503"/>
    <w:rsid w:val="008C7766"/>
    <w:rsid w:val="008D016E"/>
    <w:rsid w:val="008D0FBE"/>
    <w:rsid w:val="008D1485"/>
    <w:rsid w:val="008D14B7"/>
    <w:rsid w:val="008D1617"/>
    <w:rsid w:val="008D1716"/>
    <w:rsid w:val="008D1B96"/>
    <w:rsid w:val="008D1CB6"/>
    <w:rsid w:val="008D1F90"/>
    <w:rsid w:val="008D2296"/>
    <w:rsid w:val="008D2434"/>
    <w:rsid w:val="008D24C5"/>
    <w:rsid w:val="008D254C"/>
    <w:rsid w:val="008D264C"/>
    <w:rsid w:val="008D2DBD"/>
    <w:rsid w:val="008D330F"/>
    <w:rsid w:val="008D3722"/>
    <w:rsid w:val="008D48C1"/>
    <w:rsid w:val="008D4E25"/>
    <w:rsid w:val="008D52F4"/>
    <w:rsid w:val="008D53F0"/>
    <w:rsid w:val="008D66D6"/>
    <w:rsid w:val="008D670D"/>
    <w:rsid w:val="008D683F"/>
    <w:rsid w:val="008D6AF0"/>
    <w:rsid w:val="008D6DFD"/>
    <w:rsid w:val="008D70B9"/>
    <w:rsid w:val="008D73D6"/>
    <w:rsid w:val="008D7502"/>
    <w:rsid w:val="008D7C76"/>
    <w:rsid w:val="008E01BF"/>
    <w:rsid w:val="008E02E8"/>
    <w:rsid w:val="008E10FB"/>
    <w:rsid w:val="008E118B"/>
    <w:rsid w:val="008E147C"/>
    <w:rsid w:val="008E1480"/>
    <w:rsid w:val="008E2AAB"/>
    <w:rsid w:val="008E2C58"/>
    <w:rsid w:val="008E3052"/>
    <w:rsid w:val="008E31BE"/>
    <w:rsid w:val="008E36E7"/>
    <w:rsid w:val="008E3BA1"/>
    <w:rsid w:val="008E4F98"/>
    <w:rsid w:val="008E53A0"/>
    <w:rsid w:val="008E58B2"/>
    <w:rsid w:val="008E6315"/>
    <w:rsid w:val="008E7072"/>
    <w:rsid w:val="008E7300"/>
    <w:rsid w:val="008E7420"/>
    <w:rsid w:val="008E773A"/>
    <w:rsid w:val="008F0242"/>
    <w:rsid w:val="008F029E"/>
    <w:rsid w:val="008F0480"/>
    <w:rsid w:val="008F07FC"/>
    <w:rsid w:val="008F0AB8"/>
    <w:rsid w:val="008F1062"/>
    <w:rsid w:val="008F11E0"/>
    <w:rsid w:val="008F13A4"/>
    <w:rsid w:val="008F1A09"/>
    <w:rsid w:val="008F1B5C"/>
    <w:rsid w:val="008F1F57"/>
    <w:rsid w:val="008F1F85"/>
    <w:rsid w:val="008F2825"/>
    <w:rsid w:val="008F2E90"/>
    <w:rsid w:val="008F346E"/>
    <w:rsid w:val="008F3C4A"/>
    <w:rsid w:val="008F3D5D"/>
    <w:rsid w:val="008F3EA7"/>
    <w:rsid w:val="008F45A7"/>
    <w:rsid w:val="008F45B4"/>
    <w:rsid w:val="008F4D63"/>
    <w:rsid w:val="008F59FF"/>
    <w:rsid w:val="008F6F25"/>
    <w:rsid w:val="008F738C"/>
    <w:rsid w:val="008F78BC"/>
    <w:rsid w:val="008F7B63"/>
    <w:rsid w:val="008F7D6A"/>
    <w:rsid w:val="009010BA"/>
    <w:rsid w:val="00901239"/>
    <w:rsid w:val="00901C86"/>
    <w:rsid w:val="009023CC"/>
    <w:rsid w:val="009023D7"/>
    <w:rsid w:val="009024F2"/>
    <w:rsid w:val="00902D8B"/>
    <w:rsid w:val="00903272"/>
    <w:rsid w:val="00903603"/>
    <w:rsid w:val="00903E5C"/>
    <w:rsid w:val="0090409E"/>
    <w:rsid w:val="00905242"/>
    <w:rsid w:val="009053DB"/>
    <w:rsid w:val="009054CB"/>
    <w:rsid w:val="00905F0E"/>
    <w:rsid w:val="00906224"/>
    <w:rsid w:val="00906A4B"/>
    <w:rsid w:val="00906AFB"/>
    <w:rsid w:val="00906B9B"/>
    <w:rsid w:val="0090791A"/>
    <w:rsid w:val="00907BB9"/>
    <w:rsid w:val="009102F2"/>
    <w:rsid w:val="00910E7F"/>
    <w:rsid w:val="0091152A"/>
    <w:rsid w:val="00911C5B"/>
    <w:rsid w:val="00911F8D"/>
    <w:rsid w:val="00911FDE"/>
    <w:rsid w:val="00912216"/>
    <w:rsid w:val="00912343"/>
    <w:rsid w:val="00912AF3"/>
    <w:rsid w:val="00912F94"/>
    <w:rsid w:val="009131AF"/>
    <w:rsid w:val="009134EE"/>
    <w:rsid w:val="00913878"/>
    <w:rsid w:val="00914237"/>
    <w:rsid w:val="00914599"/>
    <w:rsid w:val="00915504"/>
    <w:rsid w:val="009162A0"/>
    <w:rsid w:val="009164B6"/>
    <w:rsid w:val="009166CC"/>
    <w:rsid w:val="009167B6"/>
    <w:rsid w:val="0091714D"/>
    <w:rsid w:val="009171BC"/>
    <w:rsid w:val="00917511"/>
    <w:rsid w:val="00917A6D"/>
    <w:rsid w:val="009205E7"/>
    <w:rsid w:val="0092117C"/>
    <w:rsid w:val="00921A48"/>
    <w:rsid w:val="00921F06"/>
    <w:rsid w:val="0092207D"/>
    <w:rsid w:val="0092256C"/>
    <w:rsid w:val="00923A22"/>
    <w:rsid w:val="00923C21"/>
    <w:rsid w:val="009245A9"/>
    <w:rsid w:val="0092497E"/>
    <w:rsid w:val="00924F81"/>
    <w:rsid w:val="009255DC"/>
    <w:rsid w:val="0092590B"/>
    <w:rsid w:val="00925BF3"/>
    <w:rsid w:val="00925E60"/>
    <w:rsid w:val="00925ECA"/>
    <w:rsid w:val="009264B3"/>
    <w:rsid w:val="00926685"/>
    <w:rsid w:val="009267FD"/>
    <w:rsid w:val="00926932"/>
    <w:rsid w:val="00926A02"/>
    <w:rsid w:val="00926BC2"/>
    <w:rsid w:val="00926C98"/>
    <w:rsid w:val="00926FB1"/>
    <w:rsid w:val="00927632"/>
    <w:rsid w:val="00927BCF"/>
    <w:rsid w:val="00927F06"/>
    <w:rsid w:val="009300CA"/>
    <w:rsid w:val="009301E8"/>
    <w:rsid w:val="009304C3"/>
    <w:rsid w:val="00930881"/>
    <w:rsid w:val="00930ADF"/>
    <w:rsid w:val="00931237"/>
    <w:rsid w:val="0093123A"/>
    <w:rsid w:val="00931E4C"/>
    <w:rsid w:val="00932125"/>
    <w:rsid w:val="0093275C"/>
    <w:rsid w:val="009327FB"/>
    <w:rsid w:val="00932CAB"/>
    <w:rsid w:val="009330E5"/>
    <w:rsid w:val="00933689"/>
    <w:rsid w:val="0093394A"/>
    <w:rsid w:val="00933FCF"/>
    <w:rsid w:val="009340EA"/>
    <w:rsid w:val="00934119"/>
    <w:rsid w:val="009362C8"/>
    <w:rsid w:val="009364B9"/>
    <w:rsid w:val="009364C1"/>
    <w:rsid w:val="009365E0"/>
    <w:rsid w:val="00936A84"/>
    <w:rsid w:val="00936E85"/>
    <w:rsid w:val="00936EC8"/>
    <w:rsid w:val="009370C2"/>
    <w:rsid w:val="00937F86"/>
    <w:rsid w:val="00940269"/>
    <w:rsid w:val="00940901"/>
    <w:rsid w:val="00940E5B"/>
    <w:rsid w:val="00941B9D"/>
    <w:rsid w:val="00941C87"/>
    <w:rsid w:val="00942352"/>
    <w:rsid w:val="00942528"/>
    <w:rsid w:val="009428B0"/>
    <w:rsid w:val="00942BA2"/>
    <w:rsid w:val="00943042"/>
    <w:rsid w:val="009430A9"/>
    <w:rsid w:val="009432B7"/>
    <w:rsid w:val="009437D6"/>
    <w:rsid w:val="00943C02"/>
    <w:rsid w:val="0094409D"/>
    <w:rsid w:val="0094417B"/>
    <w:rsid w:val="009446CD"/>
    <w:rsid w:val="00944994"/>
    <w:rsid w:val="00944C86"/>
    <w:rsid w:val="00944C96"/>
    <w:rsid w:val="00944F17"/>
    <w:rsid w:val="009455E1"/>
    <w:rsid w:val="009460DE"/>
    <w:rsid w:val="009463EA"/>
    <w:rsid w:val="00946C11"/>
    <w:rsid w:val="00946D62"/>
    <w:rsid w:val="00946F2A"/>
    <w:rsid w:val="00947695"/>
    <w:rsid w:val="00947981"/>
    <w:rsid w:val="00947B1C"/>
    <w:rsid w:val="00947C02"/>
    <w:rsid w:val="00947C91"/>
    <w:rsid w:val="009504F0"/>
    <w:rsid w:val="00950BE6"/>
    <w:rsid w:val="00950D46"/>
    <w:rsid w:val="009514DF"/>
    <w:rsid w:val="009514E2"/>
    <w:rsid w:val="00951F3D"/>
    <w:rsid w:val="009527BE"/>
    <w:rsid w:val="00952B0E"/>
    <w:rsid w:val="00953632"/>
    <w:rsid w:val="009538F1"/>
    <w:rsid w:val="00955184"/>
    <w:rsid w:val="00955455"/>
    <w:rsid w:val="0095615E"/>
    <w:rsid w:val="00956D07"/>
    <w:rsid w:val="00957DE8"/>
    <w:rsid w:val="00960809"/>
    <w:rsid w:val="009609FD"/>
    <w:rsid w:val="00960E38"/>
    <w:rsid w:val="00960ECB"/>
    <w:rsid w:val="009615D6"/>
    <w:rsid w:val="00961AEB"/>
    <w:rsid w:val="00961F12"/>
    <w:rsid w:val="0096222A"/>
    <w:rsid w:val="00962FAD"/>
    <w:rsid w:val="00963145"/>
    <w:rsid w:val="009631E6"/>
    <w:rsid w:val="00963B49"/>
    <w:rsid w:val="00963E7D"/>
    <w:rsid w:val="00963F73"/>
    <w:rsid w:val="00964643"/>
    <w:rsid w:val="0096477C"/>
    <w:rsid w:val="0096493A"/>
    <w:rsid w:val="00964D4C"/>
    <w:rsid w:val="009653D2"/>
    <w:rsid w:val="009655E0"/>
    <w:rsid w:val="00965B49"/>
    <w:rsid w:val="00966947"/>
    <w:rsid w:val="00966AAC"/>
    <w:rsid w:val="00966D60"/>
    <w:rsid w:val="00967855"/>
    <w:rsid w:val="00967BC0"/>
    <w:rsid w:val="00970153"/>
    <w:rsid w:val="009701B5"/>
    <w:rsid w:val="00970D8F"/>
    <w:rsid w:val="00971CBA"/>
    <w:rsid w:val="00971CD1"/>
    <w:rsid w:val="00972275"/>
    <w:rsid w:val="00972874"/>
    <w:rsid w:val="0097338C"/>
    <w:rsid w:val="00974709"/>
    <w:rsid w:val="00974F51"/>
    <w:rsid w:val="00975571"/>
    <w:rsid w:val="00975607"/>
    <w:rsid w:val="009756DF"/>
    <w:rsid w:val="00976320"/>
    <w:rsid w:val="0097633A"/>
    <w:rsid w:val="00976DED"/>
    <w:rsid w:val="00977030"/>
    <w:rsid w:val="0097738D"/>
    <w:rsid w:val="00977501"/>
    <w:rsid w:val="00977DFE"/>
    <w:rsid w:val="009801AE"/>
    <w:rsid w:val="00980736"/>
    <w:rsid w:val="00981110"/>
    <w:rsid w:val="0098198A"/>
    <w:rsid w:val="00981A39"/>
    <w:rsid w:val="00981FB7"/>
    <w:rsid w:val="00982A16"/>
    <w:rsid w:val="00982D56"/>
    <w:rsid w:val="00982F73"/>
    <w:rsid w:val="00982FDE"/>
    <w:rsid w:val="00983B4D"/>
    <w:rsid w:val="00983C2C"/>
    <w:rsid w:val="00983DBF"/>
    <w:rsid w:val="00983FF2"/>
    <w:rsid w:val="00985F5D"/>
    <w:rsid w:val="00985FE4"/>
    <w:rsid w:val="00986B3F"/>
    <w:rsid w:val="00986CB2"/>
    <w:rsid w:val="00986F06"/>
    <w:rsid w:val="00987097"/>
    <w:rsid w:val="009871CA"/>
    <w:rsid w:val="00987227"/>
    <w:rsid w:val="00987579"/>
    <w:rsid w:val="0098761C"/>
    <w:rsid w:val="009877B4"/>
    <w:rsid w:val="00987929"/>
    <w:rsid w:val="00990596"/>
    <w:rsid w:val="0099076E"/>
    <w:rsid w:val="00990C31"/>
    <w:rsid w:val="00991123"/>
    <w:rsid w:val="00991A03"/>
    <w:rsid w:val="00991B68"/>
    <w:rsid w:val="00991B75"/>
    <w:rsid w:val="00991CAB"/>
    <w:rsid w:val="00991DE8"/>
    <w:rsid w:val="00991F72"/>
    <w:rsid w:val="009926B7"/>
    <w:rsid w:val="009932B0"/>
    <w:rsid w:val="0099339B"/>
    <w:rsid w:val="0099352B"/>
    <w:rsid w:val="00993A3D"/>
    <w:rsid w:val="0099428A"/>
    <w:rsid w:val="0099446E"/>
    <w:rsid w:val="0099594F"/>
    <w:rsid w:val="0099645A"/>
    <w:rsid w:val="009966BC"/>
    <w:rsid w:val="009968A7"/>
    <w:rsid w:val="0099705C"/>
    <w:rsid w:val="00997209"/>
    <w:rsid w:val="009A093F"/>
    <w:rsid w:val="009A14C7"/>
    <w:rsid w:val="009A184D"/>
    <w:rsid w:val="009A2136"/>
    <w:rsid w:val="009A276B"/>
    <w:rsid w:val="009A2FB6"/>
    <w:rsid w:val="009A3825"/>
    <w:rsid w:val="009A3A9C"/>
    <w:rsid w:val="009A3C83"/>
    <w:rsid w:val="009A3E86"/>
    <w:rsid w:val="009A446D"/>
    <w:rsid w:val="009A446F"/>
    <w:rsid w:val="009A479B"/>
    <w:rsid w:val="009A48CF"/>
    <w:rsid w:val="009A4C31"/>
    <w:rsid w:val="009A4CFB"/>
    <w:rsid w:val="009A4E58"/>
    <w:rsid w:val="009A5392"/>
    <w:rsid w:val="009A58B4"/>
    <w:rsid w:val="009A5E8F"/>
    <w:rsid w:val="009A60D3"/>
    <w:rsid w:val="009A6EA5"/>
    <w:rsid w:val="009A7322"/>
    <w:rsid w:val="009A79BD"/>
    <w:rsid w:val="009A7CC3"/>
    <w:rsid w:val="009B00C3"/>
    <w:rsid w:val="009B046C"/>
    <w:rsid w:val="009B08D0"/>
    <w:rsid w:val="009B0E24"/>
    <w:rsid w:val="009B112A"/>
    <w:rsid w:val="009B13FA"/>
    <w:rsid w:val="009B146F"/>
    <w:rsid w:val="009B1551"/>
    <w:rsid w:val="009B1A85"/>
    <w:rsid w:val="009B1E2D"/>
    <w:rsid w:val="009B2095"/>
    <w:rsid w:val="009B22D0"/>
    <w:rsid w:val="009B250D"/>
    <w:rsid w:val="009B29DF"/>
    <w:rsid w:val="009B35CE"/>
    <w:rsid w:val="009B3765"/>
    <w:rsid w:val="009B3897"/>
    <w:rsid w:val="009B394E"/>
    <w:rsid w:val="009B3EAC"/>
    <w:rsid w:val="009B4058"/>
    <w:rsid w:val="009B46F4"/>
    <w:rsid w:val="009B4B19"/>
    <w:rsid w:val="009B4D00"/>
    <w:rsid w:val="009B5D49"/>
    <w:rsid w:val="009B603F"/>
    <w:rsid w:val="009B6297"/>
    <w:rsid w:val="009B6336"/>
    <w:rsid w:val="009B6439"/>
    <w:rsid w:val="009B6BC5"/>
    <w:rsid w:val="009B7398"/>
    <w:rsid w:val="009B74D8"/>
    <w:rsid w:val="009B797C"/>
    <w:rsid w:val="009C08DE"/>
    <w:rsid w:val="009C08E8"/>
    <w:rsid w:val="009C0F9B"/>
    <w:rsid w:val="009C1322"/>
    <w:rsid w:val="009C1791"/>
    <w:rsid w:val="009C1DC0"/>
    <w:rsid w:val="009C2388"/>
    <w:rsid w:val="009C28FA"/>
    <w:rsid w:val="009C3AFB"/>
    <w:rsid w:val="009C40CC"/>
    <w:rsid w:val="009C4867"/>
    <w:rsid w:val="009C4E11"/>
    <w:rsid w:val="009C5959"/>
    <w:rsid w:val="009C59FB"/>
    <w:rsid w:val="009C5B33"/>
    <w:rsid w:val="009C5BD2"/>
    <w:rsid w:val="009C6697"/>
    <w:rsid w:val="009C6F3B"/>
    <w:rsid w:val="009C74A5"/>
    <w:rsid w:val="009D04B2"/>
    <w:rsid w:val="009D0A51"/>
    <w:rsid w:val="009D0B50"/>
    <w:rsid w:val="009D0B60"/>
    <w:rsid w:val="009D101E"/>
    <w:rsid w:val="009D1187"/>
    <w:rsid w:val="009D122E"/>
    <w:rsid w:val="009D1467"/>
    <w:rsid w:val="009D2282"/>
    <w:rsid w:val="009D2285"/>
    <w:rsid w:val="009D2494"/>
    <w:rsid w:val="009D2984"/>
    <w:rsid w:val="009D3268"/>
    <w:rsid w:val="009D328D"/>
    <w:rsid w:val="009D3F97"/>
    <w:rsid w:val="009D41AE"/>
    <w:rsid w:val="009D4300"/>
    <w:rsid w:val="009D4621"/>
    <w:rsid w:val="009D4C6B"/>
    <w:rsid w:val="009D4CED"/>
    <w:rsid w:val="009D4EE3"/>
    <w:rsid w:val="009D4F1D"/>
    <w:rsid w:val="009D50EF"/>
    <w:rsid w:val="009D5764"/>
    <w:rsid w:val="009D5A10"/>
    <w:rsid w:val="009D5B4C"/>
    <w:rsid w:val="009D6977"/>
    <w:rsid w:val="009D6C82"/>
    <w:rsid w:val="009D7557"/>
    <w:rsid w:val="009D781D"/>
    <w:rsid w:val="009D7855"/>
    <w:rsid w:val="009E0A54"/>
    <w:rsid w:val="009E1066"/>
    <w:rsid w:val="009E1E73"/>
    <w:rsid w:val="009E2EF8"/>
    <w:rsid w:val="009E37E7"/>
    <w:rsid w:val="009E3837"/>
    <w:rsid w:val="009E3AA1"/>
    <w:rsid w:val="009E3CE7"/>
    <w:rsid w:val="009E3D22"/>
    <w:rsid w:val="009E4391"/>
    <w:rsid w:val="009E4850"/>
    <w:rsid w:val="009E488C"/>
    <w:rsid w:val="009E4B1B"/>
    <w:rsid w:val="009E4FA6"/>
    <w:rsid w:val="009E528C"/>
    <w:rsid w:val="009E53B1"/>
    <w:rsid w:val="009E5C23"/>
    <w:rsid w:val="009E5C27"/>
    <w:rsid w:val="009E64AD"/>
    <w:rsid w:val="009E6635"/>
    <w:rsid w:val="009E67F5"/>
    <w:rsid w:val="009E7D93"/>
    <w:rsid w:val="009F014E"/>
    <w:rsid w:val="009F0FB1"/>
    <w:rsid w:val="009F1176"/>
    <w:rsid w:val="009F129A"/>
    <w:rsid w:val="009F1663"/>
    <w:rsid w:val="009F1A3E"/>
    <w:rsid w:val="009F1B2E"/>
    <w:rsid w:val="009F27D5"/>
    <w:rsid w:val="009F2C1F"/>
    <w:rsid w:val="009F2D95"/>
    <w:rsid w:val="009F2EE5"/>
    <w:rsid w:val="009F3528"/>
    <w:rsid w:val="009F369B"/>
    <w:rsid w:val="009F3C34"/>
    <w:rsid w:val="009F462C"/>
    <w:rsid w:val="009F4D32"/>
    <w:rsid w:val="009F510C"/>
    <w:rsid w:val="009F5495"/>
    <w:rsid w:val="009F5B28"/>
    <w:rsid w:val="009F5C33"/>
    <w:rsid w:val="009F5C3F"/>
    <w:rsid w:val="009F601D"/>
    <w:rsid w:val="009F6266"/>
    <w:rsid w:val="009F6605"/>
    <w:rsid w:val="009F691F"/>
    <w:rsid w:val="009F6B46"/>
    <w:rsid w:val="009F6F3F"/>
    <w:rsid w:val="009F773C"/>
    <w:rsid w:val="009F7981"/>
    <w:rsid w:val="00A00222"/>
    <w:rsid w:val="00A00908"/>
    <w:rsid w:val="00A00EE7"/>
    <w:rsid w:val="00A01023"/>
    <w:rsid w:val="00A01177"/>
    <w:rsid w:val="00A0123D"/>
    <w:rsid w:val="00A01376"/>
    <w:rsid w:val="00A014CB"/>
    <w:rsid w:val="00A01583"/>
    <w:rsid w:val="00A01EBB"/>
    <w:rsid w:val="00A026F0"/>
    <w:rsid w:val="00A02E79"/>
    <w:rsid w:val="00A03221"/>
    <w:rsid w:val="00A03B96"/>
    <w:rsid w:val="00A03EAC"/>
    <w:rsid w:val="00A04153"/>
    <w:rsid w:val="00A04327"/>
    <w:rsid w:val="00A04928"/>
    <w:rsid w:val="00A04DBB"/>
    <w:rsid w:val="00A06017"/>
    <w:rsid w:val="00A0619B"/>
    <w:rsid w:val="00A065D7"/>
    <w:rsid w:val="00A067A0"/>
    <w:rsid w:val="00A07253"/>
    <w:rsid w:val="00A07EA0"/>
    <w:rsid w:val="00A07EDD"/>
    <w:rsid w:val="00A1102E"/>
    <w:rsid w:val="00A1114A"/>
    <w:rsid w:val="00A11202"/>
    <w:rsid w:val="00A11AF9"/>
    <w:rsid w:val="00A11CA6"/>
    <w:rsid w:val="00A11F50"/>
    <w:rsid w:val="00A1233E"/>
    <w:rsid w:val="00A123BB"/>
    <w:rsid w:val="00A12671"/>
    <w:rsid w:val="00A12756"/>
    <w:rsid w:val="00A12BDC"/>
    <w:rsid w:val="00A12BF2"/>
    <w:rsid w:val="00A13035"/>
    <w:rsid w:val="00A1316E"/>
    <w:rsid w:val="00A1344E"/>
    <w:rsid w:val="00A138FB"/>
    <w:rsid w:val="00A146C2"/>
    <w:rsid w:val="00A1493A"/>
    <w:rsid w:val="00A14A31"/>
    <w:rsid w:val="00A14D8E"/>
    <w:rsid w:val="00A1500E"/>
    <w:rsid w:val="00A15254"/>
    <w:rsid w:val="00A15353"/>
    <w:rsid w:val="00A15A1A"/>
    <w:rsid w:val="00A1679D"/>
    <w:rsid w:val="00A16AA3"/>
    <w:rsid w:val="00A17001"/>
    <w:rsid w:val="00A179FC"/>
    <w:rsid w:val="00A17ADB"/>
    <w:rsid w:val="00A17DB5"/>
    <w:rsid w:val="00A202D7"/>
    <w:rsid w:val="00A206F5"/>
    <w:rsid w:val="00A207E3"/>
    <w:rsid w:val="00A20AFA"/>
    <w:rsid w:val="00A20C49"/>
    <w:rsid w:val="00A2113D"/>
    <w:rsid w:val="00A214F1"/>
    <w:rsid w:val="00A22932"/>
    <w:rsid w:val="00A230B2"/>
    <w:rsid w:val="00A231D1"/>
    <w:rsid w:val="00A23452"/>
    <w:rsid w:val="00A238B1"/>
    <w:rsid w:val="00A2402E"/>
    <w:rsid w:val="00A24B32"/>
    <w:rsid w:val="00A24DFE"/>
    <w:rsid w:val="00A24F27"/>
    <w:rsid w:val="00A25415"/>
    <w:rsid w:val="00A256F6"/>
    <w:rsid w:val="00A25740"/>
    <w:rsid w:val="00A25992"/>
    <w:rsid w:val="00A25B4E"/>
    <w:rsid w:val="00A269CA"/>
    <w:rsid w:val="00A26A9B"/>
    <w:rsid w:val="00A26C8F"/>
    <w:rsid w:val="00A27057"/>
    <w:rsid w:val="00A27B25"/>
    <w:rsid w:val="00A3047D"/>
    <w:rsid w:val="00A30663"/>
    <w:rsid w:val="00A319E5"/>
    <w:rsid w:val="00A31A2F"/>
    <w:rsid w:val="00A32040"/>
    <w:rsid w:val="00A32F10"/>
    <w:rsid w:val="00A333A9"/>
    <w:rsid w:val="00A336EE"/>
    <w:rsid w:val="00A33F46"/>
    <w:rsid w:val="00A3410E"/>
    <w:rsid w:val="00A3427E"/>
    <w:rsid w:val="00A348F2"/>
    <w:rsid w:val="00A359AC"/>
    <w:rsid w:val="00A36922"/>
    <w:rsid w:val="00A37216"/>
    <w:rsid w:val="00A379AA"/>
    <w:rsid w:val="00A40ADB"/>
    <w:rsid w:val="00A40F83"/>
    <w:rsid w:val="00A41059"/>
    <w:rsid w:val="00A410FB"/>
    <w:rsid w:val="00A41413"/>
    <w:rsid w:val="00A41B0B"/>
    <w:rsid w:val="00A42539"/>
    <w:rsid w:val="00A425C2"/>
    <w:rsid w:val="00A426A6"/>
    <w:rsid w:val="00A428D7"/>
    <w:rsid w:val="00A42B14"/>
    <w:rsid w:val="00A42B1E"/>
    <w:rsid w:val="00A43098"/>
    <w:rsid w:val="00A431E6"/>
    <w:rsid w:val="00A43333"/>
    <w:rsid w:val="00A436E8"/>
    <w:rsid w:val="00A43B3D"/>
    <w:rsid w:val="00A43E21"/>
    <w:rsid w:val="00A43E64"/>
    <w:rsid w:val="00A4491D"/>
    <w:rsid w:val="00A44A64"/>
    <w:rsid w:val="00A44B96"/>
    <w:rsid w:val="00A45021"/>
    <w:rsid w:val="00A454F6"/>
    <w:rsid w:val="00A457A0"/>
    <w:rsid w:val="00A45FB1"/>
    <w:rsid w:val="00A46894"/>
    <w:rsid w:val="00A46A0F"/>
    <w:rsid w:val="00A46CCC"/>
    <w:rsid w:val="00A47996"/>
    <w:rsid w:val="00A47A15"/>
    <w:rsid w:val="00A5033A"/>
    <w:rsid w:val="00A50929"/>
    <w:rsid w:val="00A50A6D"/>
    <w:rsid w:val="00A5121D"/>
    <w:rsid w:val="00A51B78"/>
    <w:rsid w:val="00A51CFE"/>
    <w:rsid w:val="00A5204D"/>
    <w:rsid w:val="00A52A5F"/>
    <w:rsid w:val="00A52D7F"/>
    <w:rsid w:val="00A53FC8"/>
    <w:rsid w:val="00A54C21"/>
    <w:rsid w:val="00A54D9B"/>
    <w:rsid w:val="00A54F15"/>
    <w:rsid w:val="00A5523E"/>
    <w:rsid w:val="00A55F27"/>
    <w:rsid w:val="00A56C05"/>
    <w:rsid w:val="00A56E77"/>
    <w:rsid w:val="00A57021"/>
    <w:rsid w:val="00A6068C"/>
    <w:rsid w:val="00A60BE1"/>
    <w:rsid w:val="00A61605"/>
    <w:rsid w:val="00A617F4"/>
    <w:rsid w:val="00A624D7"/>
    <w:rsid w:val="00A630D9"/>
    <w:rsid w:val="00A63438"/>
    <w:rsid w:val="00A64992"/>
    <w:rsid w:val="00A64F24"/>
    <w:rsid w:val="00A65F97"/>
    <w:rsid w:val="00A66025"/>
    <w:rsid w:val="00A6656A"/>
    <w:rsid w:val="00A6698F"/>
    <w:rsid w:val="00A66C76"/>
    <w:rsid w:val="00A6713C"/>
    <w:rsid w:val="00A67149"/>
    <w:rsid w:val="00A67A26"/>
    <w:rsid w:val="00A67BFF"/>
    <w:rsid w:val="00A67C20"/>
    <w:rsid w:val="00A70196"/>
    <w:rsid w:val="00A704ED"/>
    <w:rsid w:val="00A7060A"/>
    <w:rsid w:val="00A70D11"/>
    <w:rsid w:val="00A713BE"/>
    <w:rsid w:val="00A7277B"/>
    <w:rsid w:val="00A72AE5"/>
    <w:rsid w:val="00A72CFE"/>
    <w:rsid w:val="00A72E39"/>
    <w:rsid w:val="00A7312C"/>
    <w:rsid w:val="00A733A4"/>
    <w:rsid w:val="00A73A05"/>
    <w:rsid w:val="00A73B04"/>
    <w:rsid w:val="00A73C82"/>
    <w:rsid w:val="00A75187"/>
    <w:rsid w:val="00A751A7"/>
    <w:rsid w:val="00A754FA"/>
    <w:rsid w:val="00A760D8"/>
    <w:rsid w:val="00A76736"/>
    <w:rsid w:val="00A76C13"/>
    <w:rsid w:val="00A7724A"/>
    <w:rsid w:val="00A8021C"/>
    <w:rsid w:val="00A80262"/>
    <w:rsid w:val="00A80CED"/>
    <w:rsid w:val="00A80EC1"/>
    <w:rsid w:val="00A80ECE"/>
    <w:rsid w:val="00A81B05"/>
    <w:rsid w:val="00A81B30"/>
    <w:rsid w:val="00A823D0"/>
    <w:rsid w:val="00A8292C"/>
    <w:rsid w:val="00A82E32"/>
    <w:rsid w:val="00A83032"/>
    <w:rsid w:val="00A83356"/>
    <w:rsid w:val="00A8383C"/>
    <w:rsid w:val="00A83CAC"/>
    <w:rsid w:val="00A84086"/>
    <w:rsid w:val="00A845D2"/>
    <w:rsid w:val="00A846AD"/>
    <w:rsid w:val="00A8493C"/>
    <w:rsid w:val="00A84FD0"/>
    <w:rsid w:val="00A85A3D"/>
    <w:rsid w:val="00A85C6A"/>
    <w:rsid w:val="00A85ECF"/>
    <w:rsid w:val="00A85F73"/>
    <w:rsid w:val="00A86610"/>
    <w:rsid w:val="00A866A7"/>
    <w:rsid w:val="00A86E08"/>
    <w:rsid w:val="00A87A6D"/>
    <w:rsid w:val="00A87B9C"/>
    <w:rsid w:val="00A87E28"/>
    <w:rsid w:val="00A902C4"/>
    <w:rsid w:val="00A903B4"/>
    <w:rsid w:val="00A90473"/>
    <w:rsid w:val="00A90923"/>
    <w:rsid w:val="00A90B65"/>
    <w:rsid w:val="00A90E86"/>
    <w:rsid w:val="00A90EB4"/>
    <w:rsid w:val="00A90F7B"/>
    <w:rsid w:val="00A911E7"/>
    <w:rsid w:val="00A914EC"/>
    <w:rsid w:val="00A91BFE"/>
    <w:rsid w:val="00A921A1"/>
    <w:rsid w:val="00A92DAB"/>
    <w:rsid w:val="00A92E79"/>
    <w:rsid w:val="00A92FF5"/>
    <w:rsid w:val="00A93640"/>
    <w:rsid w:val="00A94995"/>
    <w:rsid w:val="00A950B6"/>
    <w:rsid w:val="00A95457"/>
    <w:rsid w:val="00A954F6"/>
    <w:rsid w:val="00A95D45"/>
    <w:rsid w:val="00A960AB"/>
    <w:rsid w:val="00A96375"/>
    <w:rsid w:val="00A9637F"/>
    <w:rsid w:val="00A974A6"/>
    <w:rsid w:val="00A976FB"/>
    <w:rsid w:val="00A97937"/>
    <w:rsid w:val="00A97B4E"/>
    <w:rsid w:val="00A97F43"/>
    <w:rsid w:val="00AA0C66"/>
    <w:rsid w:val="00AA0F7C"/>
    <w:rsid w:val="00AA1286"/>
    <w:rsid w:val="00AA17FA"/>
    <w:rsid w:val="00AA183F"/>
    <w:rsid w:val="00AA2BAE"/>
    <w:rsid w:val="00AA3242"/>
    <w:rsid w:val="00AA356A"/>
    <w:rsid w:val="00AA3EA8"/>
    <w:rsid w:val="00AA65A6"/>
    <w:rsid w:val="00AA66A5"/>
    <w:rsid w:val="00AA6804"/>
    <w:rsid w:val="00AA7173"/>
    <w:rsid w:val="00AA7920"/>
    <w:rsid w:val="00AA7FC9"/>
    <w:rsid w:val="00AB00BB"/>
    <w:rsid w:val="00AB1304"/>
    <w:rsid w:val="00AB1C15"/>
    <w:rsid w:val="00AB1F3F"/>
    <w:rsid w:val="00AB20C1"/>
    <w:rsid w:val="00AB2939"/>
    <w:rsid w:val="00AB2CCF"/>
    <w:rsid w:val="00AB2DA2"/>
    <w:rsid w:val="00AB32CB"/>
    <w:rsid w:val="00AB4077"/>
    <w:rsid w:val="00AB41C1"/>
    <w:rsid w:val="00AB4CF2"/>
    <w:rsid w:val="00AB4DEE"/>
    <w:rsid w:val="00AB53A2"/>
    <w:rsid w:val="00AB5672"/>
    <w:rsid w:val="00AB5CF7"/>
    <w:rsid w:val="00AB6062"/>
    <w:rsid w:val="00AB643B"/>
    <w:rsid w:val="00AB68BF"/>
    <w:rsid w:val="00AB6CCA"/>
    <w:rsid w:val="00AB7434"/>
    <w:rsid w:val="00AC0A3E"/>
    <w:rsid w:val="00AC0E7C"/>
    <w:rsid w:val="00AC223F"/>
    <w:rsid w:val="00AC3253"/>
    <w:rsid w:val="00AC33B1"/>
    <w:rsid w:val="00AC39D7"/>
    <w:rsid w:val="00AC42DF"/>
    <w:rsid w:val="00AC4EB1"/>
    <w:rsid w:val="00AC5EF6"/>
    <w:rsid w:val="00AC60A3"/>
    <w:rsid w:val="00AC6FE4"/>
    <w:rsid w:val="00AC7AAD"/>
    <w:rsid w:val="00AC7C2E"/>
    <w:rsid w:val="00AC7ED6"/>
    <w:rsid w:val="00AD0233"/>
    <w:rsid w:val="00AD0293"/>
    <w:rsid w:val="00AD0F3C"/>
    <w:rsid w:val="00AD118C"/>
    <w:rsid w:val="00AD12A8"/>
    <w:rsid w:val="00AD1663"/>
    <w:rsid w:val="00AD1B98"/>
    <w:rsid w:val="00AD248F"/>
    <w:rsid w:val="00AD31BA"/>
    <w:rsid w:val="00AD3B60"/>
    <w:rsid w:val="00AD3D28"/>
    <w:rsid w:val="00AD47DF"/>
    <w:rsid w:val="00AD4BAA"/>
    <w:rsid w:val="00AD5728"/>
    <w:rsid w:val="00AD5BA7"/>
    <w:rsid w:val="00AD6256"/>
    <w:rsid w:val="00AD6F3D"/>
    <w:rsid w:val="00AD788E"/>
    <w:rsid w:val="00AD7899"/>
    <w:rsid w:val="00AD7933"/>
    <w:rsid w:val="00AE023F"/>
    <w:rsid w:val="00AE080C"/>
    <w:rsid w:val="00AE08C1"/>
    <w:rsid w:val="00AE0B6A"/>
    <w:rsid w:val="00AE1627"/>
    <w:rsid w:val="00AE19D8"/>
    <w:rsid w:val="00AE1A3F"/>
    <w:rsid w:val="00AE1D3C"/>
    <w:rsid w:val="00AE25FF"/>
    <w:rsid w:val="00AE2B59"/>
    <w:rsid w:val="00AE2DAE"/>
    <w:rsid w:val="00AE31B0"/>
    <w:rsid w:val="00AE3B56"/>
    <w:rsid w:val="00AE4B20"/>
    <w:rsid w:val="00AE4F07"/>
    <w:rsid w:val="00AE53DA"/>
    <w:rsid w:val="00AE5AA9"/>
    <w:rsid w:val="00AE5D09"/>
    <w:rsid w:val="00AE6023"/>
    <w:rsid w:val="00AE636D"/>
    <w:rsid w:val="00AE6801"/>
    <w:rsid w:val="00AE73F7"/>
    <w:rsid w:val="00AE74B5"/>
    <w:rsid w:val="00AE7FB9"/>
    <w:rsid w:val="00AF0800"/>
    <w:rsid w:val="00AF150C"/>
    <w:rsid w:val="00AF26D7"/>
    <w:rsid w:val="00AF29B0"/>
    <w:rsid w:val="00AF32B5"/>
    <w:rsid w:val="00AF34A4"/>
    <w:rsid w:val="00AF3577"/>
    <w:rsid w:val="00AF35F9"/>
    <w:rsid w:val="00AF3A4F"/>
    <w:rsid w:val="00AF3AF9"/>
    <w:rsid w:val="00AF4ACE"/>
    <w:rsid w:val="00AF4B9E"/>
    <w:rsid w:val="00AF5324"/>
    <w:rsid w:val="00AF7D18"/>
    <w:rsid w:val="00B00536"/>
    <w:rsid w:val="00B00EAE"/>
    <w:rsid w:val="00B01573"/>
    <w:rsid w:val="00B01AFD"/>
    <w:rsid w:val="00B01C82"/>
    <w:rsid w:val="00B01D94"/>
    <w:rsid w:val="00B01FE4"/>
    <w:rsid w:val="00B020A9"/>
    <w:rsid w:val="00B02B58"/>
    <w:rsid w:val="00B02C7B"/>
    <w:rsid w:val="00B0424C"/>
    <w:rsid w:val="00B04358"/>
    <w:rsid w:val="00B046B4"/>
    <w:rsid w:val="00B04BA3"/>
    <w:rsid w:val="00B05374"/>
    <w:rsid w:val="00B05C7D"/>
    <w:rsid w:val="00B06027"/>
    <w:rsid w:val="00B06D2C"/>
    <w:rsid w:val="00B06D7A"/>
    <w:rsid w:val="00B06E40"/>
    <w:rsid w:val="00B06F24"/>
    <w:rsid w:val="00B07C67"/>
    <w:rsid w:val="00B07FB1"/>
    <w:rsid w:val="00B10448"/>
    <w:rsid w:val="00B10614"/>
    <w:rsid w:val="00B10E08"/>
    <w:rsid w:val="00B10F63"/>
    <w:rsid w:val="00B11320"/>
    <w:rsid w:val="00B12C70"/>
    <w:rsid w:val="00B12F49"/>
    <w:rsid w:val="00B1343D"/>
    <w:rsid w:val="00B1405D"/>
    <w:rsid w:val="00B143DE"/>
    <w:rsid w:val="00B14C4B"/>
    <w:rsid w:val="00B15046"/>
    <w:rsid w:val="00B1582B"/>
    <w:rsid w:val="00B1582C"/>
    <w:rsid w:val="00B1593A"/>
    <w:rsid w:val="00B15D57"/>
    <w:rsid w:val="00B15E77"/>
    <w:rsid w:val="00B16347"/>
    <w:rsid w:val="00B16899"/>
    <w:rsid w:val="00B16C09"/>
    <w:rsid w:val="00B16C9B"/>
    <w:rsid w:val="00B16D39"/>
    <w:rsid w:val="00B1753E"/>
    <w:rsid w:val="00B17554"/>
    <w:rsid w:val="00B179C2"/>
    <w:rsid w:val="00B17D6E"/>
    <w:rsid w:val="00B17DB7"/>
    <w:rsid w:val="00B20002"/>
    <w:rsid w:val="00B20D4C"/>
    <w:rsid w:val="00B20E5A"/>
    <w:rsid w:val="00B21233"/>
    <w:rsid w:val="00B2154E"/>
    <w:rsid w:val="00B216C5"/>
    <w:rsid w:val="00B21D77"/>
    <w:rsid w:val="00B2209F"/>
    <w:rsid w:val="00B22897"/>
    <w:rsid w:val="00B22DEB"/>
    <w:rsid w:val="00B22E23"/>
    <w:rsid w:val="00B2401A"/>
    <w:rsid w:val="00B242E9"/>
    <w:rsid w:val="00B2435E"/>
    <w:rsid w:val="00B246EA"/>
    <w:rsid w:val="00B250A2"/>
    <w:rsid w:val="00B25A60"/>
    <w:rsid w:val="00B25AEF"/>
    <w:rsid w:val="00B25F45"/>
    <w:rsid w:val="00B25F84"/>
    <w:rsid w:val="00B2614A"/>
    <w:rsid w:val="00B2624C"/>
    <w:rsid w:val="00B267EC"/>
    <w:rsid w:val="00B27903"/>
    <w:rsid w:val="00B3019C"/>
    <w:rsid w:val="00B30348"/>
    <w:rsid w:val="00B30503"/>
    <w:rsid w:val="00B31B9F"/>
    <w:rsid w:val="00B32AB4"/>
    <w:rsid w:val="00B32FE7"/>
    <w:rsid w:val="00B33368"/>
    <w:rsid w:val="00B3394B"/>
    <w:rsid w:val="00B343A3"/>
    <w:rsid w:val="00B343BC"/>
    <w:rsid w:val="00B346C3"/>
    <w:rsid w:val="00B36E7E"/>
    <w:rsid w:val="00B37949"/>
    <w:rsid w:val="00B37A42"/>
    <w:rsid w:val="00B37AAD"/>
    <w:rsid w:val="00B37B97"/>
    <w:rsid w:val="00B37C8F"/>
    <w:rsid w:val="00B4005C"/>
    <w:rsid w:val="00B408D6"/>
    <w:rsid w:val="00B411BD"/>
    <w:rsid w:val="00B413DC"/>
    <w:rsid w:val="00B416A8"/>
    <w:rsid w:val="00B4172A"/>
    <w:rsid w:val="00B417F2"/>
    <w:rsid w:val="00B4199C"/>
    <w:rsid w:val="00B41AC9"/>
    <w:rsid w:val="00B4227E"/>
    <w:rsid w:val="00B42524"/>
    <w:rsid w:val="00B43524"/>
    <w:rsid w:val="00B43701"/>
    <w:rsid w:val="00B445C5"/>
    <w:rsid w:val="00B4471C"/>
    <w:rsid w:val="00B448B4"/>
    <w:rsid w:val="00B44E6E"/>
    <w:rsid w:val="00B451A6"/>
    <w:rsid w:val="00B4540B"/>
    <w:rsid w:val="00B4540D"/>
    <w:rsid w:val="00B45F72"/>
    <w:rsid w:val="00B46892"/>
    <w:rsid w:val="00B46B37"/>
    <w:rsid w:val="00B47083"/>
    <w:rsid w:val="00B473C2"/>
    <w:rsid w:val="00B50BD8"/>
    <w:rsid w:val="00B50C33"/>
    <w:rsid w:val="00B5191C"/>
    <w:rsid w:val="00B51972"/>
    <w:rsid w:val="00B5202E"/>
    <w:rsid w:val="00B521E3"/>
    <w:rsid w:val="00B52616"/>
    <w:rsid w:val="00B53140"/>
    <w:rsid w:val="00B53645"/>
    <w:rsid w:val="00B53745"/>
    <w:rsid w:val="00B5379D"/>
    <w:rsid w:val="00B53984"/>
    <w:rsid w:val="00B54AFF"/>
    <w:rsid w:val="00B551FD"/>
    <w:rsid w:val="00B552B2"/>
    <w:rsid w:val="00B55C25"/>
    <w:rsid w:val="00B56BE4"/>
    <w:rsid w:val="00B56D6E"/>
    <w:rsid w:val="00B56FA0"/>
    <w:rsid w:val="00B57567"/>
    <w:rsid w:val="00B57D92"/>
    <w:rsid w:val="00B60275"/>
    <w:rsid w:val="00B605BD"/>
    <w:rsid w:val="00B60BEA"/>
    <w:rsid w:val="00B611ED"/>
    <w:rsid w:val="00B61C85"/>
    <w:rsid w:val="00B620BB"/>
    <w:rsid w:val="00B62969"/>
    <w:rsid w:val="00B6382B"/>
    <w:rsid w:val="00B64259"/>
    <w:rsid w:val="00B64347"/>
    <w:rsid w:val="00B64BDB"/>
    <w:rsid w:val="00B64F1F"/>
    <w:rsid w:val="00B65194"/>
    <w:rsid w:val="00B65DC6"/>
    <w:rsid w:val="00B65F8B"/>
    <w:rsid w:val="00B66138"/>
    <w:rsid w:val="00B667A9"/>
    <w:rsid w:val="00B66A0C"/>
    <w:rsid w:val="00B67AC2"/>
    <w:rsid w:val="00B67D8C"/>
    <w:rsid w:val="00B70585"/>
    <w:rsid w:val="00B70BE0"/>
    <w:rsid w:val="00B70CB9"/>
    <w:rsid w:val="00B712B1"/>
    <w:rsid w:val="00B718A7"/>
    <w:rsid w:val="00B7225C"/>
    <w:rsid w:val="00B722DE"/>
    <w:rsid w:val="00B72FB9"/>
    <w:rsid w:val="00B73943"/>
    <w:rsid w:val="00B74B50"/>
    <w:rsid w:val="00B74B91"/>
    <w:rsid w:val="00B74E9F"/>
    <w:rsid w:val="00B751E3"/>
    <w:rsid w:val="00B757FE"/>
    <w:rsid w:val="00B7588E"/>
    <w:rsid w:val="00B75BA6"/>
    <w:rsid w:val="00B7659E"/>
    <w:rsid w:val="00B76AAD"/>
    <w:rsid w:val="00B76C44"/>
    <w:rsid w:val="00B80536"/>
    <w:rsid w:val="00B808B8"/>
    <w:rsid w:val="00B813CB"/>
    <w:rsid w:val="00B8184A"/>
    <w:rsid w:val="00B820AD"/>
    <w:rsid w:val="00B82283"/>
    <w:rsid w:val="00B828D8"/>
    <w:rsid w:val="00B82DCB"/>
    <w:rsid w:val="00B82E3C"/>
    <w:rsid w:val="00B83024"/>
    <w:rsid w:val="00B83195"/>
    <w:rsid w:val="00B83F87"/>
    <w:rsid w:val="00B8462B"/>
    <w:rsid w:val="00B852BF"/>
    <w:rsid w:val="00B853B7"/>
    <w:rsid w:val="00B8626F"/>
    <w:rsid w:val="00B866DA"/>
    <w:rsid w:val="00B86743"/>
    <w:rsid w:val="00B875EE"/>
    <w:rsid w:val="00B87CBB"/>
    <w:rsid w:val="00B87CDC"/>
    <w:rsid w:val="00B90084"/>
    <w:rsid w:val="00B90D0F"/>
    <w:rsid w:val="00B910C1"/>
    <w:rsid w:val="00B92329"/>
    <w:rsid w:val="00B92C81"/>
    <w:rsid w:val="00B92D6A"/>
    <w:rsid w:val="00B93FB8"/>
    <w:rsid w:val="00B94046"/>
    <w:rsid w:val="00B94051"/>
    <w:rsid w:val="00B94301"/>
    <w:rsid w:val="00B94C1F"/>
    <w:rsid w:val="00B95622"/>
    <w:rsid w:val="00B95FA1"/>
    <w:rsid w:val="00B960C5"/>
    <w:rsid w:val="00B96280"/>
    <w:rsid w:val="00B975CA"/>
    <w:rsid w:val="00B977B5"/>
    <w:rsid w:val="00B978E0"/>
    <w:rsid w:val="00B97931"/>
    <w:rsid w:val="00B97CEC"/>
    <w:rsid w:val="00B97ECB"/>
    <w:rsid w:val="00BA051C"/>
    <w:rsid w:val="00BA1011"/>
    <w:rsid w:val="00BA1E94"/>
    <w:rsid w:val="00BA1FCB"/>
    <w:rsid w:val="00BA21DE"/>
    <w:rsid w:val="00BA23AA"/>
    <w:rsid w:val="00BA2988"/>
    <w:rsid w:val="00BA2ABE"/>
    <w:rsid w:val="00BA2CA4"/>
    <w:rsid w:val="00BA2E23"/>
    <w:rsid w:val="00BA2EFA"/>
    <w:rsid w:val="00BA2F2D"/>
    <w:rsid w:val="00BA3DBC"/>
    <w:rsid w:val="00BA49B0"/>
    <w:rsid w:val="00BA4C78"/>
    <w:rsid w:val="00BA53BF"/>
    <w:rsid w:val="00BA53DC"/>
    <w:rsid w:val="00BA689E"/>
    <w:rsid w:val="00BA6946"/>
    <w:rsid w:val="00BA6A18"/>
    <w:rsid w:val="00BA707A"/>
    <w:rsid w:val="00BB0120"/>
    <w:rsid w:val="00BB04FF"/>
    <w:rsid w:val="00BB0A36"/>
    <w:rsid w:val="00BB103F"/>
    <w:rsid w:val="00BB11F4"/>
    <w:rsid w:val="00BB1AFB"/>
    <w:rsid w:val="00BB1C86"/>
    <w:rsid w:val="00BB24A8"/>
    <w:rsid w:val="00BB27AE"/>
    <w:rsid w:val="00BB2DA2"/>
    <w:rsid w:val="00BB32CF"/>
    <w:rsid w:val="00BB34EB"/>
    <w:rsid w:val="00BB3F7F"/>
    <w:rsid w:val="00BB50A1"/>
    <w:rsid w:val="00BB56DC"/>
    <w:rsid w:val="00BB59BC"/>
    <w:rsid w:val="00BB6B16"/>
    <w:rsid w:val="00BB7A19"/>
    <w:rsid w:val="00BB7ED0"/>
    <w:rsid w:val="00BC00F1"/>
    <w:rsid w:val="00BC0150"/>
    <w:rsid w:val="00BC03F3"/>
    <w:rsid w:val="00BC0C89"/>
    <w:rsid w:val="00BC12B0"/>
    <w:rsid w:val="00BC1789"/>
    <w:rsid w:val="00BC22DE"/>
    <w:rsid w:val="00BC2359"/>
    <w:rsid w:val="00BC3822"/>
    <w:rsid w:val="00BC3AAD"/>
    <w:rsid w:val="00BC3C3E"/>
    <w:rsid w:val="00BC4244"/>
    <w:rsid w:val="00BC5572"/>
    <w:rsid w:val="00BC6197"/>
    <w:rsid w:val="00BC62CA"/>
    <w:rsid w:val="00BC6713"/>
    <w:rsid w:val="00BC67DE"/>
    <w:rsid w:val="00BC69C8"/>
    <w:rsid w:val="00BC7858"/>
    <w:rsid w:val="00BD028A"/>
    <w:rsid w:val="00BD0376"/>
    <w:rsid w:val="00BD0BC1"/>
    <w:rsid w:val="00BD0FEB"/>
    <w:rsid w:val="00BD139A"/>
    <w:rsid w:val="00BD1805"/>
    <w:rsid w:val="00BD255D"/>
    <w:rsid w:val="00BD2975"/>
    <w:rsid w:val="00BD30F3"/>
    <w:rsid w:val="00BD32AA"/>
    <w:rsid w:val="00BD3784"/>
    <w:rsid w:val="00BD3FF9"/>
    <w:rsid w:val="00BD402F"/>
    <w:rsid w:val="00BD4449"/>
    <w:rsid w:val="00BD4883"/>
    <w:rsid w:val="00BD4ABA"/>
    <w:rsid w:val="00BD4D48"/>
    <w:rsid w:val="00BD595C"/>
    <w:rsid w:val="00BD6184"/>
    <w:rsid w:val="00BD746E"/>
    <w:rsid w:val="00BD7566"/>
    <w:rsid w:val="00BD7D82"/>
    <w:rsid w:val="00BD7E07"/>
    <w:rsid w:val="00BE010B"/>
    <w:rsid w:val="00BE0246"/>
    <w:rsid w:val="00BE0582"/>
    <w:rsid w:val="00BE07F6"/>
    <w:rsid w:val="00BE0891"/>
    <w:rsid w:val="00BE0A10"/>
    <w:rsid w:val="00BE0D3E"/>
    <w:rsid w:val="00BE1124"/>
    <w:rsid w:val="00BE1828"/>
    <w:rsid w:val="00BE183D"/>
    <w:rsid w:val="00BE1DAB"/>
    <w:rsid w:val="00BE200D"/>
    <w:rsid w:val="00BE2339"/>
    <w:rsid w:val="00BE26E0"/>
    <w:rsid w:val="00BE2B6A"/>
    <w:rsid w:val="00BE2FF4"/>
    <w:rsid w:val="00BE3025"/>
    <w:rsid w:val="00BE3E94"/>
    <w:rsid w:val="00BE48BF"/>
    <w:rsid w:val="00BE4D79"/>
    <w:rsid w:val="00BE53E5"/>
    <w:rsid w:val="00BE5995"/>
    <w:rsid w:val="00BE5B95"/>
    <w:rsid w:val="00BE614B"/>
    <w:rsid w:val="00BE6957"/>
    <w:rsid w:val="00BE6D99"/>
    <w:rsid w:val="00BE771C"/>
    <w:rsid w:val="00BE7DC1"/>
    <w:rsid w:val="00BF03D6"/>
    <w:rsid w:val="00BF0677"/>
    <w:rsid w:val="00BF0AD3"/>
    <w:rsid w:val="00BF1075"/>
    <w:rsid w:val="00BF1940"/>
    <w:rsid w:val="00BF24C2"/>
    <w:rsid w:val="00BF285A"/>
    <w:rsid w:val="00BF2922"/>
    <w:rsid w:val="00BF2C62"/>
    <w:rsid w:val="00BF3117"/>
    <w:rsid w:val="00BF3581"/>
    <w:rsid w:val="00BF35ED"/>
    <w:rsid w:val="00BF4E21"/>
    <w:rsid w:val="00BF512C"/>
    <w:rsid w:val="00BF520D"/>
    <w:rsid w:val="00BF553D"/>
    <w:rsid w:val="00BF58CD"/>
    <w:rsid w:val="00BF5BD5"/>
    <w:rsid w:val="00BF5D7A"/>
    <w:rsid w:val="00BF5FDD"/>
    <w:rsid w:val="00BF61B5"/>
    <w:rsid w:val="00BF64DC"/>
    <w:rsid w:val="00BF6B21"/>
    <w:rsid w:val="00BF6E8A"/>
    <w:rsid w:val="00BF7678"/>
    <w:rsid w:val="00C01C2E"/>
    <w:rsid w:val="00C01D63"/>
    <w:rsid w:val="00C02278"/>
    <w:rsid w:val="00C02306"/>
    <w:rsid w:val="00C02705"/>
    <w:rsid w:val="00C02D33"/>
    <w:rsid w:val="00C037AE"/>
    <w:rsid w:val="00C03A1A"/>
    <w:rsid w:val="00C04611"/>
    <w:rsid w:val="00C04B53"/>
    <w:rsid w:val="00C069E3"/>
    <w:rsid w:val="00C06FF4"/>
    <w:rsid w:val="00C07268"/>
    <w:rsid w:val="00C072DE"/>
    <w:rsid w:val="00C07629"/>
    <w:rsid w:val="00C07834"/>
    <w:rsid w:val="00C07979"/>
    <w:rsid w:val="00C100FB"/>
    <w:rsid w:val="00C10466"/>
    <w:rsid w:val="00C1070F"/>
    <w:rsid w:val="00C11298"/>
    <w:rsid w:val="00C113AF"/>
    <w:rsid w:val="00C11609"/>
    <w:rsid w:val="00C1232C"/>
    <w:rsid w:val="00C1251C"/>
    <w:rsid w:val="00C1351C"/>
    <w:rsid w:val="00C1373A"/>
    <w:rsid w:val="00C14F0B"/>
    <w:rsid w:val="00C152EA"/>
    <w:rsid w:val="00C15569"/>
    <w:rsid w:val="00C157BE"/>
    <w:rsid w:val="00C157E2"/>
    <w:rsid w:val="00C15B8C"/>
    <w:rsid w:val="00C16175"/>
    <w:rsid w:val="00C175FA"/>
    <w:rsid w:val="00C17831"/>
    <w:rsid w:val="00C179F1"/>
    <w:rsid w:val="00C2055A"/>
    <w:rsid w:val="00C210BC"/>
    <w:rsid w:val="00C21256"/>
    <w:rsid w:val="00C2128E"/>
    <w:rsid w:val="00C2136A"/>
    <w:rsid w:val="00C21C95"/>
    <w:rsid w:val="00C22077"/>
    <w:rsid w:val="00C23F1D"/>
    <w:rsid w:val="00C241E0"/>
    <w:rsid w:val="00C24353"/>
    <w:rsid w:val="00C24552"/>
    <w:rsid w:val="00C247F6"/>
    <w:rsid w:val="00C24C13"/>
    <w:rsid w:val="00C25B84"/>
    <w:rsid w:val="00C25D00"/>
    <w:rsid w:val="00C25E60"/>
    <w:rsid w:val="00C26760"/>
    <w:rsid w:val="00C27820"/>
    <w:rsid w:val="00C27C6B"/>
    <w:rsid w:val="00C27C9B"/>
    <w:rsid w:val="00C27C9F"/>
    <w:rsid w:val="00C30175"/>
    <w:rsid w:val="00C30AC1"/>
    <w:rsid w:val="00C3203A"/>
    <w:rsid w:val="00C32602"/>
    <w:rsid w:val="00C32BA3"/>
    <w:rsid w:val="00C33A04"/>
    <w:rsid w:val="00C33CFA"/>
    <w:rsid w:val="00C33D6A"/>
    <w:rsid w:val="00C34019"/>
    <w:rsid w:val="00C3418B"/>
    <w:rsid w:val="00C3421C"/>
    <w:rsid w:val="00C34564"/>
    <w:rsid w:val="00C34B08"/>
    <w:rsid w:val="00C3594D"/>
    <w:rsid w:val="00C36267"/>
    <w:rsid w:val="00C36442"/>
    <w:rsid w:val="00C36C4B"/>
    <w:rsid w:val="00C37092"/>
    <w:rsid w:val="00C37F09"/>
    <w:rsid w:val="00C400CE"/>
    <w:rsid w:val="00C402D0"/>
    <w:rsid w:val="00C40750"/>
    <w:rsid w:val="00C410FD"/>
    <w:rsid w:val="00C422F8"/>
    <w:rsid w:val="00C430BA"/>
    <w:rsid w:val="00C43BDE"/>
    <w:rsid w:val="00C43EA8"/>
    <w:rsid w:val="00C44AF0"/>
    <w:rsid w:val="00C45796"/>
    <w:rsid w:val="00C457D4"/>
    <w:rsid w:val="00C457DE"/>
    <w:rsid w:val="00C45CE3"/>
    <w:rsid w:val="00C45F50"/>
    <w:rsid w:val="00C462BE"/>
    <w:rsid w:val="00C46334"/>
    <w:rsid w:val="00C46525"/>
    <w:rsid w:val="00C46B86"/>
    <w:rsid w:val="00C4703C"/>
    <w:rsid w:val="00C470BD"/>
    <w:rsid w:val="00C475AD"/>
    <w:rsid w:val="00C47C4F"/>
    <w:rsid w:val="00C47D24"/>
    <w:rsid w:val="00C47DD3"/>
    <w:rsid w:val="00C501EF"/>
    <w:rsid w:val="00C5051A"/>
    <w:rsid w:val="00C5088A"/>
    <w:rsid w:val="00C514BC"/>
    <w:rsid w:val="00C5159C"/>
    <w:rsid w:val="00C51E0A"/>
    <w:rsid w:val="00C51EBA"/>
    <w:rsid w:val="00C525D4"/>
    <w:rsid w:val="00C529BC"/>
    <w:rsid w:val="00C52BD0"/>
    <w:rsid w:val="00C52D3D"/>
    <w:rsid w:val="00C5316F"/>
    <w:rsid w:val="00C53562"/>
    <w:rsid w:val="00C539EB"/>
    <w:rsid w:val="00C539FB"/>
    <w:rsid w:val="00C53AE8"/>
    <w:rsid w:val="00C53CB8"/>
    <w:rsid w:val="00C53DCF"/>
    <w:rsid w:val="00C54573"/>
    <w:rsid w:val="00C54C52"/>
    <w:rsid w:val="00C54F6E"/>
    <w:rsid w:val="00C5564F"/>
    <w:rsid w:val="00C55CDC"/>
    <w:rsid w:val="00C5794F"/>
    <w:rsid w:val="00C57C39"/>
    <w:rsid w:val="00C6051F"/>
    <w:rsid w:val="00C60745"/>
    <w:rsid w:val="00C60A57"/>
    <w:rsid w:val="00C60F26"/>
    <w:rsid w:val="00C61E7D"/>
    <w:rsid w:val="00C61EF5"/>
    <w:rsid w:val="00C629A0"/>
    <w:rsid w:val="00C62A1C"/>
    <w:rsid w:val="00C62BEE"/>
    <w:rsid w:val="00C630A4"/>
    <w:rsid w:val="00C63396"/>
    <w:rsid w:val="00C6339E"/>
    <w:rsid w:val="00C637CD"/>
    <w:rsid w:val="00C64999"/>
    <w:rsid w:val="00C6592E"/>
    <w:rsid w:val="00C65C3F"/>
    <w:rsid w:val="00C660D8"/>
    <w:rsid w:val="00C661F4"/>
    <w:rsid w:val="00C66505"/>
    <w:rsid w:val="00C66797"/>
    <w:rsid w:val="00C66AA3"/>
    <w:rsid w:val="00C66AD2"/>
    <w:rsid w:val="00C66DD6"/>
    <w:rsid w:val="00C66E57"/>
    <w:rsid w:val="00C6702D"/>
    <w:rsid w:val="00C6771F"/>
    <w:rsid w:val="00C67979"/>
    <w:rsid w:val="00C67BFE"/>
    <w:rsid w:val="00C7073A"/>
    <w:rsid w:val="00C7075A"/>
    <w:rsid w:val="00C70910"/>
    <w:rsid w:val="00C70DFB"/>
    <w:rsid w:val="00C7103B"/>
    <w:rsid w:val="00C71FEB"/>
    <w:rsid w:val="00C72051"/>
    <w:rsid w:val="00C721DC"/>
    <w:rsid w:val="00C723D6"/>
    <w:rsid w:val="00C72464"/>
    <w:rsid w:val="00C724D7"/>
    <w:rsid w:val="00C72C70"/>
    <w:rsid w:val="00C72CED"/>
    <w:rsid w:val="00C73C5B"/>
    <w:rsid w:val="00C74150"/>
    <w:rsid w:val="00C74216"/>
    <w:rsid w:val="00C744F1"/>
    <w:rsid w:val="00C747E9"/>
    <w:rsid w:val="00C74D35"/>
    <w:rsid w:val="00C7551B"/>
    <w:rsid w:val="00C75594"/>
    <w:rsid w:val="00C755AC"/>
    <w:rsid w:val="00C75B49"/>
    <w:rsid w:val="00C761B2"/>
    <w:rsid w:val="00C767C7"/>
    <w:rsid w:val="00C768D8"/>
    <w:rsid w:val="00C76DF3"/>
    <w:rsid w:val="00C77233"/>
    <w:rsid w:val="00C77405"/>
    <w:rsid w:val="00C77C2C"/>
    <w:rsid w:val="00C80A05"/>
    <w:rsid w:val="00C81868"/>
    <w:rsid w:val="00C836A0"/>
    <w:rsid w:val="00C83765"/>
    <w:rsid w:val="00C8393A"/>
    <w:rsid w:val="00C83CA0"/>
    <w:rsid w:val="00C83E39"/>
    <w:rsid w:val="00C83E99"/>
    <w:rsid w:val="00C83F21"/>
    <w:rsid w:val="00C852A8"/>
    <w:rsid w:val="00C853C2"/>
    <w:rsid w:val="00C85982"/>
    <w:rsid w:val="00C85C36"/>
    <w:rsid w:val="00C86762"/>
    <w:rsid w:val="00C86C7A"/>
    <w:rsid w:val="00C86C7E"/>
    <w:rsid w:val="00C86FF1"/>
    <w:rsid w:val="00C870F3"/>
    <w:rsid w:val="00C87800"/>
    <w:rsid w:val="00C87AB7"/>
    <w:rsid w:val="00C87EB2"/>
    <w:rsid w:val="00C87F66"/>
    <w:rsid w:val="00C90964"/>
    <w:rsid w:val="00C90CE7"/>
    <w:rsid w:val="00C90D08"/>
    <w:rsid w:val="00C90E31"/>
    <w:rsid w:val="00C9134F"/>
    <w:rsid w:val="00C915CD"/>
    <w:rsid w:val="00C91A3E"/>
    <w:rsid w:val="00C91FF4"/>
    <w:rsid w:val="00C921D8"/>
    <w:rsid w:val="00C923C3"/>
    <w:rsid w:val="00C927F3"/>
    <w:rsid w:val="00C92937"/>
    <w:rsid w:val="00C929CA"/>
    <w:rsid w:val="00C94471"/>
    <w:rsid w:val="00C94999"/>
    <w:rsid w:val="00C94AFE"/>
    <w:rsid w:val="00C9508B"/>
    <w:rsid w:val="00C951FC"/>
    <w:rsid w:val="00C95329"/>
    <w:rsid w:val="00C953B6"/>
    <w:rsid w:val="00C9550A"/>
    <w:rsid w:val="00C955FC"/>
    <w:rsid w:val="00C95616"/>
    <w:rsid w:val="00C95868"/>
    <w:rsid w:val="00C95BBF"/>
    <w:rsid w:val="00C95EBC"/>
    <w:rsid w:val="00C96172"/>
    <w:rsid w:val="00C9637B"/>
    <w:rsid w:val="00C96BB9"/>
    <w:rsid w:val="00C96DA9"/>
    <w:rsid w:val="00C96F06"/>
    <w:rsid w:val="00C97664"/>
    <w:rsid w:val="00C976EF"/>
    <w:rsid w:val="00C97A84"/>
    <w:rsid w:val="00CA0466"/>
    <w:rsid w:val="00CA057B"/>
    <w:rsid w:val="00CA0939"/>
    <w:rsid w:val="00CA0F97"/>
    <w:rsid w:val="00CA154B"/>
    <w:rsid w:val="00CA1BB8"/>
    <w:rsid w:val="00CA207F"/>
    <w:rsid w:val="00CA2211"/>
    <w:rsid w:val="00CA246D"/>
    <w:rsid w:val="00CA2678"/>
    <w:rsid w:val="00CA29FA"/>
    <w:rsid w:val="00CA2C08"/>
    <w:rsid w:val="00CA3492"/>
    <w:rsid w:val="00CA3711"/>
    <w:rsid w:val="00CA372B"/>
    <w:rsid w:val="00CA3C53"/>
    <w:rsid w:val="00CA3E0F"/>
    <w:rsid w:val="00CA50D9"/>
    <w:rsid w:val="00CA5151"/>
    <w:rsid w:val="00CA51E0"/>
    <w:rsid w:val="00CA54C9"/>
    <w:rsid w:val="00CA58AE"/>
    <w:rsid w:val="00CA5A17"/>
    <w:rsid w:val="00CA660C"/>
    <w:rsid w:val="00CA6670"/>
    <w:rsid w:val="00CA71FF"/>
    <w:rsid w:val="00CA731B"/>
    <w:rsid w:val="00CA7420"/>
    <w:rsid w:val="00CA7774"/>
    <w:rsid w:val="00CA7B49"/>
    <w:rsid w:val="00CB0D7B"/>
    <w:rsid w:val="00CB1136"/>
    <w:rsid w:val="00CB15F1"/>
    <w:rsid w:val="00CB20BC"/>
    <w:rsid w:val="00CB2335"/>
    <w:rsid w:val="00CB23CA"/>
    <w:rsid w:val="00CB27C1"/>
    <w:rsid w:val="00CB2D9D"/>
    <w:rsid w:val="00CB2DB5"/>
    <w:rsid w:val="00CB2EDB"/>
    <w:rsid w:val="00CB3054"/>
    <w:rsid w:val="00CB326B"/>
    <w:rsid w:val="00CB33F3"/>
    <w:rsid w:val="00CB3810"/>
    <w:rsid w:val="00CB4346"/>
    <w:rsid w:val="00CB44D4"/>
    <w:rsid w:val="00CB4CAC"/>
    <w:rsid w:val="00CB4F5B"/>
    <w:rsid w:val="00CB5636"/>
    <w:rsid w:val="00CB57F6"/>
    <w:rsid w:val="00CB5CF2"/>
    <w:rsid w:val="00CB5E77"/>
    <w:rsid w:val="00CB5F30"/>
    <w:rsid w:val="00CB655D"/>
    <w:rsid w:val="00CB6787"/>
    <w:rsid w:val="00CB6D5B"/>
    <w:rsid w:val="00CB700D"/>
    <w:rsid w:val="00CB763C"/>
    <w:rsid w:val="00CB77E4"/>
    <w:rsid w:val="00CC0031"/>
    <w:rsid w:val="00CC01F6"/>
    <w:rsid w:val="00CC072F"/>
    <w:rsid w:val="00CC0746"/>
    <w:rsid w:val="00CC0BA7"/>
    <w:rsid w:val="00CC1108"/>
    <w:rsid w:val="00CC118F"/>
    <w:rsid w:val="00CC127A"/>
    <w:rsid w:val="00CC1684"/>
    <w:rsid w:val="00CC1A0A"/>
    <w:rsid w:val="00CC241D"/>
    <w:rsid w:val="00CC26F7"/>
    <w:rsid w:val="00CC2E31"/>
    <w:rsid w:val="00CC3B6E"/>
    <w:rsid w:val="00CC3EE5"/>
    <w:rsid w:val="00CC4FC1"/>
    <w:rsid w:val="00CC5B86"/>
    <w:rsid w:val="00CC5BEE"/>
    <w:rsid w:val="00CC6031"/>
    <w:rsid w:val="00CC6214"/>
    <w:rsid w:val="00CC68D6"/>
    <w:rsid w:val="00CC6E47"/>
    <w:rsid w:val="00CC7990"/>
    <w:rsid w:val="00CD0997"/>
    <w:rsid w:val="00CD0AC8"/>
    <w:rsid w:val="00CD0CA5"/>
    <w:rsid w:val="00CD1346"/>
    <w:rsid w:val="00CD155B"/>
    <w:rsid w:val="00CD18B1"/>
    <w:rsid w:val="00CD18FB"/>
    <w:rsid w:val="00CD2263"/>
    <w:rsid w:val="00CD2C92"/>
    <w:rsid w:val="00CD2CCB"/>
    <w:rsid w:val="00CD3072"/>
    <w:rsid w:val="00CD3F61"/>
    <w:rsid w:val="00CD3F70"/>
    <w:rsid w:val="00CD412C"/>
    <w:rsid w:val="00CD49F8"/>
    <w:rsid w:val="00CD4CDC"/>
    <w:rsid w:val="00CD5054"/>
    <w:rsid w:val="00CD50BC"/>
    <w:rsid w:val="00CD54C3"/>
    <w:rsid w:val="00CD6045"/>
    <w:rsid w:val="00CD6117"/>
    <w:rsid w:val="00CD6394"/>
    <w:rsid w:val="00CD71DC"/>
    <w:rsid w:val="00CD74CF"/>
    <w:rsid w:val="00CD76EF"/>
    <w:rsid w:val="00CE0FF6"/>
    <w:rsid w:val="00CE1BA1"/>
    <w:rsid w:val="00CE1D0E"/>
    <w:rsid w:val="00CE2307"/>
    <w:rsid w:val="00CE2C82"/>
    <w:rsid w:val="00CE32D9"/>
    <w:rsid w:val="00CE3649"/>
    <w:rsid w:val="00CE425C"/>
    <w:rsid w:val="00CE490F"/>
    <w:rsid w:val="00CE4921"/>
    <w:rsid w:val="00CE493C"/>
    <w:rsid w:val="00CE4E77"/>
    <w:rsid w:val="00CE4ECC"/>
    <w:rsid w:val="00CE4FBB"/>
    <w:rsid w:val="00CE55C4"/>
    <w:rsid w:val="00CE58AC"/>
    <w:rsid w:val="00CE59AA"/>
    <w:rsid w:val="00CE5F34"/>
    <w:rsid w:val="00CE6457"/>
    <w:rsid w:val="00CE693E"/>
    <w:rsid w:val="00CE6C9E"/>
    <w:rsid w:val="00CE76B6"/>
    <w:rsid w:val="00CE7D1D"/>
    <w:rsid w:val="00CF02BE"/>
    <w:rsid w:val="00CF0725"/>
    <w:rsid w:val="00CF0EDB"/>
    <w:rsid w:val="00CF1BDE"/>
    <w:rsid w:val="00CF255D"/>
    <w:rsid w:val="00CF25D0"/>
    <w:rsid w:val="00CF266C"/>
    <w:rsid w:val="00CF270D"/>
    <w:rsid w:val="00CF384D"/>
    <w:rsid w:val="00CF3A5E"/>
    <w:rsid w:val="00CF3C65"/>
    <w:rsid w:val="00CF49BC"/>
    <w:rsid w:val="00CF4D29"/>
    <w:rsid w:val="00CF5A80"/>
    <w:rsid w:val="00CF5B4C"/>
    <w:rsid w:val="00CF607C"/>
    <w:rsid w:val="00CF6728"/>
    <w:rsid w:val="00CF68EB"/>
    <w:rsid w:val="00CF752B"/>
    <w:rsid w:val="00CF7B36"/>
    <w:rsid w:val="00D00128"/>
    <w:rsid w:val="00D00C07"/>
    <w:rsid w:val="00D0119E"/>
    <w:rsid w:val="00D0202A"/>
    <w:rsid w:val="00D02231"/>
    <w:rsid w:val="00D02278"/>
    <w:rsid w:val="00D02B27"/>
    <w:rsid w:val="00D031D6"/>
    <w:rsid w:val="00D035F2"/>
    <w:rsid w:val="00D0362B"/>
    <w:rsid w:val="00D03E74"/>
    <w:rsid w:val="00D045EE"/>
    <w:rsid w:val="00D046E6"/>
    <w:rsid w:val="00D04829"/>
    <w:rsid w:val="00D05091"/>
    <w:rsid w:val="00D050BC"/>
    <w:rsid w:val="00D0543A"/>
    <w:rsid w:val="00D057F7"/>
    <w:rsid w:val="00D058BD"/>
    <w:rsid w:val="00D060FE"/>
    <w:rsid w:val="00D076E5"/>
    <w:rsid w:val="00D077B3"/>
    <w:rsid w:val="00D07D5A"/>
    <w:rsid w:val="00D107B5"/>
    <w:rsid w:val="00D109B7"/>
    <w:rsid w:val="00D10CA6"/>
    <w:rsid w:val="00D10CC2"/>
    <w:rsid w:val="00D10E6C"/>
    <w:rsid w:val="00D10F21"/>
    <w:rsid w:val="00D11027"/>
    <w:rsid w:val="00D11172"/>
    <w:rsid w:val="00D1150F"/>
    <w:rsid w:val="00D11C21"/>
    <w:rsid w:val="00D11CB4"/>
    <w:rsid w:val="00D1272A"/>
    <w:rsid w:val="00D12E4F"/>
    <w:rsid w:val="00D130C1"/>
    <w:rsid w:val="00D13183"/>
    <w:rsid w:val="00D134CF"/>
    <w:rsid w:val="00D135C6"/>
    <w:rsid w:val="00D1369D"/>
    <w:rsid w:val="00D13C01"/>
    <w:rsid w:val="00D1573B"/>
    <w:rsid w:val="00D162D3"/>
    <w:rsid w:val="00D17116"/>
    <w:rsid w:val="00D17365"/>
    <w:rsid w:val="00D200DA"/>
    <w:rsid w:val="00D20284"/>
    <w:rsid w:val="00D20300"/>
    <w:rsid w:val="00D22060"/>
    <w:rsid w:val="00D225A3"/>
    <w:rsid w:val="00D22F44"/>
    <w:rsid w:val="00D233B5"/>
    <w:rsid w:val="00D2371D"/>
    <w:rsid w:val="00D238BE"/>
    <w:rsid w:val="00D24159"/>
    <w:rsid w:val="00D244C7"/>
    <w:rsid w:val="00D246FB"/>
    <w:rsid w:val="00D24806"/>
    <w:rsid w:val="00D24A71"/>
    <w:rsid w:val="00D256A2"/>
    <w:rsid w:val="00D25DA2"/>
    <w:rsid w:val="00D2610F"/>
    <w:rsid w:val="00D26223"/>
    <w:rsid w:val="00D26438"/>
    <w:rsid w:val="00D2680E"/>
    <w:rsid w:val="00D26AED"/>
    <w:rsid w:val="00D26AF1"/>
    <w:rsid w:val="00D26BC3"/>
    <w:rsid w:val="00D26C54"/>
    <w:rsid w:val="00D26ECF"/>
    <w:rsid w:val="00D3096E"/>
    <w:rsid w:val="00D30D05"/>
    <w:rsid w:val="00D31042"/>
    <w:rsid w:val="00D3112E"/>
    <w:rsid w:val="00D31240"/>
    <w:rsid w:val="00D321B0"/>
    <w:rsid w:val="00D32214"/>
    <w:rsid w:val="00D326BC"/>
    <w:rsid w:val="00D33419"/>
    <w:rsid w:val="00D33ED9"/>
    <w:rsid w:val="00D34040"/>
    <w:rsid w:val="00D340A8"/>
    <w:rsid w:val="00D34141"/>
    <w:rsid w:val="00D3499D"/>
    <w:rsid w:val="00D34E69"/>
    <w:rsid w:val="00D34F82"/>
    <w:rsid w:val="00D354C0"/>
    <w:rsid w:val="00D357BA"/>
    <w:rsid w:val="00D359F5"/>
    <w:rsid w:val="00D36740"/>
    <w:rsid w:val="00D36C78"/>
    <w:rsid w:val="00D371A8"/>
    <w:rsid w:val="00D371CD"/>
    <w:rsid w:val="00D375EE"/>
    <w:rsid w:val="00D37662"/>
    <w:rsid w:val="00D37B44"/>
    <w:rsid w:val="00D4062F"/>
    <w:rsid w:val="00D410F7"/>
    <w:rsid w:val="00D419EC"/>
    <w:rsid w:val="00D41B79"/>
    <w:rsid w:val="00D42A2D"/>
    <w:rsid w:val="00D439B2"/>
    <w:rsid w:val="00D443C2"/>
    <w:rsid w:val="00D443C6"/>
    <w:rsid w:val="00D44B57"/>
    <w:rsid w:val="00D455D9"/>
    <w:rsid w:val="00D45E13"/>
    <w:rsid w:val="00D46219"/>
    <w:rsid w:val="00D4677D"/>
    <w:rsid w:val="00D46CC3"/>
    <w:rsid w:val="00D46F43"/>
    <w:rsid w:val="00D4706D"/>
    <w:rsid w:val="00D47075"/>
    <w:rsid w:val="00D50073"/>
    <w:rsid w:val="00D50780"/>
    <w:rsid w:val="00D50958"/>
    <w:rsid w:val="00D50BBE"/>
    <w:rsid w:val="00D51535"/>
    <w:rsid w:val="00D51FB6"/>
    <w:rsid w:val="00D52034"/>
    <w:rsid w:val="00D52047"/>
    <w:rsid w:val="00D526AA"/>
    <w:rsid w:val="00D52E1E"/>
    <w:rsid w:val="00D533EA"/>
    <w:rsid w:val="00D55376"/>
    <w:rsid w:val="00D55AE8"/>
    <w:rsid w:val="00D55EFC"/>
    <w:rsid w:val="00D56056"/>
    <w:rsid w:val="00D56C86"/>
    <w:rsid w:val="00D56F28"/>
    <w:rsid w:val="00D5743E"/>
    <w:rsid w:val="00D57D10"/>
    <w:rsid w:val="00D57D68"/>
    <w:rsid w:val="00D57FA4"/>
    <w:rsid w:val="00D6085F"/>
    <w:rsid w:val="00D60DC9"/>
    <w:rsid w:val="00D61E56"/>
    <w:rsid w:val="00D623C8"/>
    <w:rsid w:val="00D62699"/>
    <w:rsid w:val="00D6271E"/>
    <w:rsid w:val="00D6289C"/>
    <w:rsid w:val="00D62EC9"/>
    <w:rsid w:val="00D631AF"/>
    <w:rsid w:val="00D635FE"/>
    <w:rsid w:val="00D63C10"/>
    <w:rsid w:val="00D63F07"/>
    <w:rsid w:val="00D64647"/>
    <w:rsid w:val="00D6518E"/>
    <w:rsid w:val="00D656BD"/>
    <w:rsid w:val="00D6578C"/>
    <w:rsid w:val="00D65A80"/>
    <w:rsid w:val="00D65D63"/>
    <w:rsid w:val="00D65E5D"/>
    <w:rsid w:val="00D66021"/>
    <w:rsid w:val="00D66805"/>
    <w:rsid w:val="00D67143"/>
    <w:rsid w:val="00D676A9"/>
    <w:rsid w:val="00D67BFD"/>
    <w:rsid w:val="00D700C9"/>
    <w:rsid w:val="00D71365"/>
    <w:rsid w:val="00D714B5"/>
    <w:rsid w:val="00D715FF"/>
    <w:rsid w:val="00D71723"/>
    <w:rsid w:val="00D7178D"/>
    <w:rsid w:val="00D717C1"/>
    <w:rsid w:val="00D71895"/>
    <w:rsid w:val="00D71A89"/>
    <w:rsid w:val="00D71E5B"/>
    <w:rsid w:val="00D71F09"/>
    <w:rsid w:val="00D7239B"/>
    <w:rsid w:val="00D724B8"/>
    <w:rsid w:val="00D7361A"/>
    <w:rsid w:val="00D739E7"/>
    <w:rsid w:val="00D73FAE"/>
    <w:rsid w:val="00D74042"/>
    <w:rsid w:val="00D744D0"/>
    <w:rsid w:val="00D74565"/>
    <w:rsid w:val="00D74AF9"/>
    <w:rsid w:val="00D75F5B"/>
    <w:rsid w:val="00D7637D"/>
    <w:rsid w:val="00D76437"/>
    <w:rsid w:val="00D7663B"/>
    <w:rsid w:val="00D76B32"/>
    <w:rsid w:val="00D77097"/>
    <w:rsid w:val="00D77319"/>
    <w:rsid w:val="00D7742F"/>
    <w:rsid w:val="00D7747E"/>
    <w:rsid w:val="00D778E9"/>
    <w:rsid w:val="00D77E64"/>
    <w:rsid w:val="00D80052"/>
    <w:rsid w:val="00D804B0"/>
    <w:rsid w:val="00D80825"/>
    <w:rsid w:val="00D812BF"/>
    <w:rsid w:val="00D81DC5"/>
    <w:rsid w:val="00D821A8"/>
    <w:rsid w:val="00D82352"/>
    <w:rsid w:val="00D8243B"/>
    <w:rsid w:val="00D82620"/>
    <w:rsid w:val="00D829BE"/>
    <w:rsid w:val="00D82B39"/>
    <w:rsid w:val="00D84953"/>
    <w:rsid w:val="00D849A4"/>
    <w:rsid w:val="00D84B74"/>
    <w:rsid w:val="00D84CE9"/>
    <w:rsid w:val="00D85707"/>
    <w:rsid w:val="00D8587A"/>
    <w:rsid w:val="00D859F4"/>
    <w:rsid w:val="00D861B6"/>
    <w:rsid w:val="00D865BF"/>
    <w:rsid w:val="00D86670"/>
    <w:rsid w:val="00D87B15"/>
    <w:rsid w:val="00D9052B"/>
    <w:rsid w:val="00D911D3"/>
    <w:rsid w:val="00D9156B"/>
    <w:rsid w:val="00D916FA"/>
    <w:rsid w:val="00D91AD9"/>
    <w:rsid w:val="00D91C8F"/>
    <w:rsid w:val="00D92220"/>
    <w:rsid w:val="00D927B4"/>
    <w:rsid w:val="00D92AC5"/>
    <w:rsid w:val="00D935D1"/>
    <w:rsid w:val="00D938BE"/>
    <w:rsid w:val="00D939E2"/>
    <w:rsid w:val="00D9411B"/>
    <w:rsid w:val="00D9431A"/>
    <w:rsid w:val="00D94AF9"/>
    <w:rsid w:val="00D94F6F"/>
    <w:rsid w:val="00D97032"/>
    <w:rsid w:val="00D9725F"/>
    <w:rsid w:val="00D97302"/>
    <w:rsid w:val="00D975FC"/>
    <w:rsid w:val="00D97D75"/>
    <w:rsid w:val="00D97D86"/>
    <w:rsid w:val="00DA01B1"/>
    <w:rsid w:val="00DA08BC"/>
    <w:rsid w:val="00DA09D1"/>
    <w:rsid w:val="00DA0AEB"/>
    <w:rsid w:val="00DA1020"/>
    <w:rsid w:val="00DA11A2"/>
    <w:rsid w:val="00DA14DF"/>
    <w:rsid w:val="00DA14ED"/>
    <w:rsid w:val="00DA17A2"/>
    <w:rsid w:val="00DA1855"/>
    <w:rsid w:val="00DA1F31"/>
    <w:rsid w:val="00DA205E"/>
    <w:rsid w:val="00DA26D6"/>
    <w:rsid w:val="00DA30E7"/>
    <w:rsid w:val="00DA4442"/>
    <w:rsid w:val="00DA5408"/>
    <w:rsid w:val="00DA55BA"/>
    <w:rsid w:val="00DA572A"/>
    <w:rsid w:val="00DA5991"/>
    <w:rsid w:val="00DA60B4"/>
    <w:rsid w:val="00DA65EF"/>
    <w:rsid w:val="00DA6D0B"/>
    <w:rsid w:val="00DA6EC5"/>
    <w:rsid w:val="00DA789D"/>
    <w:rsid w:val="00DA7A55"/>
    <w:rsid w:val="00DB084A"/>
    <w:rsid w:val="00DB142A"/>
    <w:rsid w:val="00DB15FB"/>
    <w:rsid w:val="00DB1B5F"/>
    <w:rsid w:val="00DB1B98"/>
    <w:rsid w:val="00DB1E2D"/>
    <w:rsid w:val="00DB1EB9"/>
    <w:rsid w:val="00DB2317"/>
    <w:rsid w:val="00DB2326"/>
    <w:rsid w:val="00DB294A"/>
    <w:rsid w:val="00DB2EF1"/>
    <w:rsid w:val="00DB3445"/>
    <w:rsid w:val="00DB36C5"/>
    <w:rsid w:val="00DB373D"/>
    <w:rsid w:val="00DB3DE1"/>
    <w:rsid w:val="00DB3F12"/>
    <w:rsid w:val="00DB4096"/>
    <w:rsid w:val="00DB4118"/>
    <w:rsid w:val="00DB438B"/>
    <w:rsid w:val="00DB45B3"/>
    <w:rsid w:val="00DB475A"/>
    <w:rsid w:val="00DB4F9F"/>
    <w:rsid w:val="00DB5077"/>
    <w:rsid w:val="00DB5520"/>
    <w:rsid w:val="00DB5C47"/>
    <w:rsid w:val="00DB5DA0"/>
    <w:rsid w:val="00DB686C"/>
    <w:rsid w:val="00DB6EF0"/>
    <w:rsid w:val="00DB716C"/>
    <w:rsid w:val="00DB72C9"/>
    <w:rsid w:val="00DB7608"/>
    <w:rsid w:val="00DB78D9"/>
    <w:rsid w:val="00DC032A"/>
    <w:rsid w:val="00DC0B41"/>
    <w:rsid w:val="00DC0F5E"/>
    <w:rsid w:val="00DC123C"/>
    <w:rsid w:val="00DC19C0"/>
    <w:rsid w:val="00DC21E8"/>
    <w:rsid w:val="00DC2261"/>
    <w:rsid w:val="00DC32DF"/>
    <w:rsid w:val="00DC3319"/>
    <w:rsid w:val="00DC4A2C"/>
    <w:rsid w:val="00DC4C36"/>
    <w:rsid w:val="00DC4CA1"/>
    <w:rsid w:val="00DC588A"/>
    <w:rsid w:val="00DC5924"/>
    <w:rsid w:val="00DC5AAD"/>
    <w:rsid w:val="00DC5C85"/>
    <w:rsid w:val="00DC5D0F"/>
    <w:rsid w:val="00DC5E8F"/>
    <w:rsid w:val="00DC6506"/>
    <w:rsid w:val="00DC703A"/>
    <w:rsid w:val="00DC77EA"/>
    <w:rsid w:val="00DC7C5D"/>
    <w:rsid w:val="00DC7E90"/>
    <w:rsid w:val="00DD06F1"/>
    <w:rsid w:val="00DD0F75"/>
    <w:rsid w:val="00DD1F61"/>
    <w:rsid w:val="00DD2255"/>
    <w:rsid w:val="00DD2591"/>
    <w:rsid w:val="00DD279E"/>
    <w:rsid w:val="00DD2DF1"/>
    <w:rsid w:val="00DD383C"/>
    <w:rsid w:val="00DD3A72"/>
    <w:rsid w:val="00DD4236"/>
    <w:rsid w:val="00DD44F1"/>
    <w:rsid w:val="00DD465C"/>
    <w:rsid w:val="00DD4681"/>
    <w:rsid w:val="00DD4975"/>
    <w:rsid w:val="00DD5121"/>
    <w:rsid w:val="00DD5C03"/>
    <w:rsid w:val="00DD5C70"/>
    <w:rsid w:val="00DD6889"/>
    <w:rsid w:val="00DD6957"/>
    <w:rsid w:val="00DD6C85"/>
    <w:rsid w:val="00DD6E7A"/>
    <w:rsid w:val="00DE007E"/>
    <w:rsid w:val="00DE05E3"/>
    <w:rsid w:val="00DE0641"/>
    <w:rsid w:val="00DE0F51"/>
    <w:rsid w:val="00DE2277"/>
    <w:rsid w:val="00DE24AA"/>
    <w:rsid w:val="00DE2E1B"/>
    <w:rsid w:val="00DE3053"/>
    <w:rsid w:val="00DE3067"/>
    <w:rsid w:val="00DE3886"/>
    <w:rsid w:val="00DE3E63"/>
    <w:rsid w:val="00DE4044"/>
    <w:rsid w:val="00DE40A4"/>
    <w:rsid w:val="00DE40D0"/>
    <w:rsid w:val="00DE41BF"/>
    <w:rsid w:val="00DE436B"/>
    <w:rsid w:val="00DE5B2C"/>
    <w:rsid w:val="00DE5BFE"/>
    <w:rsid w:val="00DE68D0"/>
    <w:rsid w:val="00DF0008"/>
    <w:rsid w:val="00DF006D"/>
    <w:rsid w:val="00DF00E8"/>
    <w:rsid w:val="00DF00F3"/>
    <w:rsid w:val="00DF0A71"/>
    <w:rsid w:val="00DF14DC"/>
    <w:rsid w:val="00DF166D"/>
    <w:rsid w:val="00DF240F"/>
    <w:rsid w:val="00DF283D"/>
    <w:rsid w:val="00DF2CF7"/>
    <w:rsid w:val="00DF2D3C"/>
    <w:rsid w:val="00DF3A08"/>
    <w:rsid w:val="00DF3BEC"/>
    <w:rsid w:val="00DF3E4E"/>
    <w:rsid w:val="00DF3EEE"/>
    <w:rsid w:val="00DF4066"/>
    <w:rsid w:val="00DF527B"/>
    <w:rsid w:val="00DF56D6"/>
    <w:rsid w:val="00DF5CD4"/>
    <w:rsid w:val="00DF6E08"/>
    <w:rsid w:val="00DF73B2"/>
    <w:rsid w:val="00DF7479"/>
    <w:rsid w:val="00DF7494"/>
    <w:rsid w:val="00DF75E1"/>
    <w:rsid w:val="00DF7953"/>
    <w:rsid w:val="00DF7AC0"/>
    <w:rsid w:val="00DF7DE3"/>
    <w:rsid w:val="00E000B5"/>
    <w:rsid w:val="00E00127"/>
    <w:rsid w:val="00E004A0"/>
    <w:rsid w:val="00E0063E"/>
    <w:rsid w:val="00E0079B"/>
    <w:rsid w:val="00E00B64"/>
    <w:rsid w:val="00E016E1"/>
    <w:rsid w:val="00E02242"/>
    <w:rsid w:val="00E0266A"/>
    <w:rsid w:val="00E027BC"/>
    <w:rsid w:val="00E03961"/>
    <w:rsid w:val="00E03D4C"/>
    <w:rsid w:val="00E040EB"/>
    <w:rsid w:val="00E045BE"/>
    <w:rsid w:val="00E05E9A"/>
    <w:rsid w:val="00E05E9F"/>
    <w:rsid w:val="00E06124"/>
    <w:rsid w:val="00E06409"/>
    <w:rsid w:val="00E069A5"/>
    <w:rsid w:val="00E06B64"/>
    <w:rsid w:val="00E06F7D"/>
    <w:rsid w:val="00E06FEB"/>
    <w:rsid w:val="00E075AD"/>
    <w:rsid w:val="00E105F2"/>
    <w:rsid w:val="00E108A8"/>
    <w:rsid w:val="00E10C0A"/>
    <w:rsid w:val="00E10DBB"/>
    <w:rsid w:val="00E10F0D"/>
    <w:rsid w:val="00E10FDA"/>
    <w:rsid w:val="00E11B28"/>
    <w:rsid w:val="00E11D24"/>
    <w:rsid w:val="00E12086"/>
    <w:rsid w:val="00E12A53"/>
    <w:rsid w:val="00E12C5A"/>
    <w:rsid w:val="00E12E6B"/>
    <w:rsid w:val="00E131D5"/>
    <w:rsid w:val="00E1361B"/>
    <w:rsid w:val="00E136E0"/>
    <w:rsid w:val="00E1392A"/>
    <w:rsid w:val="00E13AA2"/>
    <w:rsid w:val="00E13C09"/>
    <w:rsid w:val="00E13F92"/>
    <w:rsid w:val="00E149B8"/>
    <w:rsid w:val="00E14EA5"/>
    <w:rsid w:val="00E151A1"/>
    <w:rsid w:val="00E15B90"/>
    <w:rsid w:val="00E167AB"/>
    <w:rsid w:val="00E16943"/>
    <w:rsid w:val="00E16C41"/>
    <w:rsid w:val="00E16ED0"/>
    <w:rsid w:val="00E17CEF"/>
    <w:rsid w:val="00E2070E"/>
    <w:rsid w:val="00E20A27"/>
    <w:rsid w:val="00E20B1C"/>
    <w:rsid w:val="00E21133"/>
    <w:rsid w:val="00E218FE"/>
    <w:rsid w:val="00E21BA5"/>
    <w:rsid w:val="00E21BDE"/>
    <w:rsid w:val="00E22238"/>
    <w:rsid w:val="00E2225E"/>
    <w:rsid w:val="00E222D2"/>
    <w:rsid w:val="00E22BB7"/>
    <w:rsid w:val="00E2327E"/>
    <w:rsid w:val="00E23577"/>
    <w:rsid w:val="00E238A5"/>
    <w:rsid w:val="00E23CD5"/>
    <w:rsid w:val="00E24234"/>
    <w:rsid w:val="00E2550B"/>
    <w:rsid w:val="00E25719"/>
    <w:rsid w:val="00E258DC"/>
    <w:rsid w:val="00E25B09"/>
    <w:rsid w:val="00E25E6B"/>
    <w:rsid w:val="00E266EF"/>
    <w:rsid w:val="00E26C01"/>
    <w:rsid w:val="00E27300"/>
    <w:rsid w:val="00E27ADD"/>
    <w:rsid w:val="00E27E3F"/>
    <w:rsid w:val="00E3006F"/>
    <w:rsid w:val="00E301A0"/>
    <w:rsid w:val="00E30334"/>
    <w:rsid w:val="00E3033A"/>
    <w:rsid w:val="00E30768"/>
    <w:rsid w:val="00E30C6C"/>
    <w:rsid w:val="00E30F6C"/>
    <w:rsid w:val="00E32299"/>
    <w:rsid w:val="00E3263B"/>
    <w:rsid w:val="00E326A8"/>
    <w:rsid w:val="00E32A8B"/>
    <w:rsid w:val="00E33353"/>
    <w:rsid w:val="00E33F52"/>
    <w:rsid w:val="00E346FB"/>
    <w:rsid w:val="00E349C9"/>
    <w:rsid w:val="00E35041"/>
    <w:rsid w:val="00E3537D"/>
    <w:rsid w:val="00E354C4"/>
    <w:rsid w:val="00E35B91"/>
    <w:rsid w:val="00E37055"/>
    <w:rsid w:val="00E370EF"/>
    <w:rsid w:val="00E3781E"/>
    <w:rsid w:val="00E415DF"/>
    <w:rsid w:val="00E416F3"/>
    <w:rsid w:val="00E41807"/>
    <w:rsid w:val="00E41CEF"/>
    <w:rsid w:val="00E41E1B"/>
    <w:rsid w:val="00E41E87"/>
    <w:rsid w:val="00E420FE"/>
    <w:rsid w:val="00E42109"/>
    <w:rsid w:val="00E42253"/>
    <w:rsid w:val="00E42B92"/>
    <w:rsid w:val="00E43304"/>
    <w:rsid w:val="00E4378B"/>
    <w:rsid w:val="00E43F61"/>
    <w:rsid w:val="00E440FD"/>
    <w:rsid w:val="00E44340"/>
    <w:rsid w:val="00E4488D"/>
    <w:rsid w:val="00E44F73"/>
    <w:rsid w:val="00E45218"/>
    <w:rsid w:val="00E45226"/>
    <w:rsid w:val="00E45837"/>
    <w:rsid w:val="00E45BA4"/>
    <w:rsid w:val="00E46939"/>
    <w:rsid w:val="00E46BCA"/>
    <w:rsid w:val="00E46D2D"/>
    <w:rsid w:val="00E46DD2"/>
    <w:rsid w:val="00E47428"/>
    <w:rsid w:val="00E4777F"/>
    <w:rsid w:val="00E4785E"/>
    <w:rsid w:val="00E5034A"/>
    <w:rsid w:val="00E50FE4"/>
    <w:rsid w:val="00E52017"/>
    <w:rsid w:val="00E535C7"/>
    <w:rsid w:val="00E53F0B"/>
    <w:rsid w:val="00E53F9D"/>
    <w:rsid w:val="00E5449F"/>
    <w:rsid w:val="00E546ED"/>
    <w:rsid w:val="00E55548"/>
    <w:rsid w:val="00E55E49"/>
    <w:rsid w:val="00E56324"/>
    <w:rsid w:val="00E56C8E"/>
    <w:rsid w:val="00E5716B"/>
    <w:rsid w:val="00E572C0"/>
    <w:rsid w:val="00E576BD"/>
    <w:rsid w:val="00E57709"/>
    <w:rsid w:val="00E57F1F"/>
    <w:rsid w:val="00E600C5"/>
    <w:rsid w:val="00E6059C"/>
    <w:rsid w:val="00E60726"/>
    <w:rsid w:val="00E60A75"/>
    <w:rsid w:val="00E60B2A"/>
    <w:rsid w:val="00E60BA6"/>
    <w:rsid w:val="00E60C40"/>
    <w:rsid w:val="00E60D6D"/>
    <w:rsid w:val="00E61BE2"/>
    <w:rsid w:val="00E621F5"/>
    <w:rsid w:val="00E62388"/>
    <w:rsid w:val="00E6260F"/>
    <w:rsid w:val="00E6396B"/>
    <w:rsid w:val="00E63F1E"/>
    <w:rsid w:val="00E646B8"/>
    <w:rsid w:val="00E6477D"/>
    <w:rsid w:val="00E650D1"/>
    <w:rsid w:val="00E652F1"/>
    <w:rsid w:val="00E65424"/>
    <w:rsid w:val="00E65763"/>
    <w:rsid w:val="00E66478"/>
    <w:rsid w:val="00E667AE"/>
    <w:rsid w:val="00E66B9F"/>
    <w:rsid w:val="00E67A57"/>
    <w:rsid w:val="00E67B96"/>
    <w:rsid w:val="00E70A6A"/>
    <w:rsid w:val="00E70C6F"/>
    <w:rsid w:val="00E7103A"/>
    <w:rsid w:val="00E710D6"/>
    <w:rsid w:val="00E717DF"/>
    <w:rsid w:val="00E721A5"/>
    <w:rsid w:val="00E72D2D"/>
    <w:rsid w:val="00E735DA"/>
    <w:rsid w:val="00E736A0"/>
    <w:rsid w:val="00E736BD"/>
    <w:rsid w:val="00E7370F"/>
    <w:rsid w:val="00E73DA4"/>
    <w:rsid w:val="00E742FE"/>
    <w:rsid w:val="00E744D5"/>
    <w:rsid w:val="00E757F2"/>
    <w:rsid w:val="00E76E45"/>
    <w:rsid w:val="00E76F91"/>
    <w:rsid w:val="00E77179"/>
    <w:rsid w:val="00E7738C"/>
    <w:rsid w:val="00E777C9"/>
    <w:rsid w:val="00E803CA"/>
    <w:rsid w:val="00E81116"/>
    <w:rsid w:val="00E8136E"/>
    <w:rsid w:val="00E813DD"/>
    <w:rsid w:val="00E8173E"/>
    <w:rsid w:val="00E81DA6"/>
    <w:rsid w:val="00E823A0"/>
    <w:rsid w:val="00E82CBF"/>
    <w:rsid w:val="00E82DC9"/>
    <w:rsid w:val="00E8372C"/>
    <w:rsid w:val="00E84212"/>
    <w:rsid w:val="00E84812"/>
    <w:rsid w:val="00E84D0B"/>
    <w:rsid w:val="00E86279"/>
    <w:rsid w:val="00E86453"/>
    <w:rsid w:val="00E86769"/>
    <w:rsid w:val="00E86F3B"/>
    <w:rsid w:val="00E87046"/>
    <w:rsid w:val="00E87800"/>
    <w:rsid w:val="00E878C1"/>
    <w:rsid w:val="00E87FE2"/>
    <w:rsid w:val="00E9086C"/>
    <w:rsid w:val="00E909B8"/>
    <w:rsid w:val="00E90AAA"/>
    <w:rsid w:val="00E91152"/>
    <w:rsid w:val="00E91400"/>
    <w:rsid w:val="00E9177F"/>
    <w:rsid w:val="00E9199A"/>
    <w:rsid w:val="00E91A0F"/>
    <w:rsid w:val="00E91F9F"/>
    <w:rsid w:val="00E928E7"/>
    <w:rsid w:val="00E92DAC"/>
    <w:rsid w:val="00E92FBE"/>
    <w:rsid w:val="00E930F5"/>
    <w:rsid w:val="00E938D6"/>
    <w:rsid w:val="00E94096"/>
    <w:rsid w:val="00E940C1"/>
    <w:rsid w:val="00E94132"/>
    <w:rsid w:val="00E94829"/>
    <w:rsid w:val="00E94A71"/>
    <w:rsid w:val="00E94B86"/>
    <w:rsid w:val="00E94CBF"/>
    <w:rsid w:val="00E94DC8"/>
    <w:rsid w:val="00E95282"/>
    <w:rsid w:val="00E96017"/>
    <w:rsid w:val="00E967A6"/>
    <w:rsid w:val="00E968BA"/>
    <w:rsid w:val="00E969B2"/>
    <w:rsid w:val="00E973E6"/>
    <w:rsid w:val="00E97B24"/>
    <w:rsid w:val="00EA03CE"/>
    <w:rsid w:val="00EA0593"/>
    <w:rsid w:val="00EA06B5"/>
    <w:rsid w:val="00EA1A31"/>
    <w:rsid w:val="00EA22E5"/>
    <w:rsid w:val="00EA23E5"/>
    <w:rsid w:val="00EA2FBD"/>
    <w:rsid w:val="00EA3086"/>
    <w:rsid w:val="00EA3213"/>
    <w:rsid w:val="00EA39AB"/>
    <w:rsid w:val="00EA3EF4"/>
    <w:rsid w:val="00EA3F90"/>
    <w:rsid w:val="00EA437C"/>
    <w:rsid w:val="00EA4C2A"/>
    <w:rsid w:val="00EA4E2E"/>
    <w:rsid w:val="00EA54BB"/>
    <w:rsid w:val="00EA554A"/>
    <w:rsid w:val="00EA5999"/>
    <w:rsid w:val="00EA5A41"/>
    <w:rsid w:val="00EA5E86"/>
    <w:rsid w:val="00EA6821"/>
    <w:rsid w:val="00EA697A"/>
    <w:rsid w:val="00EA707C"/>
    <w:rsid w:val="00EA7517"/>
    <w:rsid w:val="00EA75BF"/>
    <w:rsid w:val="00EA7AEF"/>
    <w:rsid w:val="00EA7AFC"/>
    <w:rsid w:val="00EA7C0A"/>
    <w:rsid w:val="00EB0E50"/>
    <w:rsid w:val="00EB10DA"/>
    <w:rsid w:val="00EB156A"/>
    <w:rsid w:val="00EB189A"/>
    <w:rsid w:val="00EB20DC"/>
    <w:rsid w:val="00EB2417"/>
    <w:rsid w:val="00EB284D"/>
    <w:rsid w:val="00EB28BB"/>
    <w:rsid w:val="00EB2CCB"/>
    <w:rsid w:val="00EB2EB4"/>
    <w:rsid w:val="00EB2F68"/>
    <w:rsid w:val="00EB3135"/>
    <w:rsid w:val="00EB3503"/>
    <w:rsid w:val="00EB35AA"/>
    <w:rsid w:val="00EB3B4D"/>
    <w:rsid w:val="00EB3F9D"/>
    <w:rsid w:val="00EB46E9"/>
    <w:rsid w:val="00EB4A99"/>
    <w:rsid w:val="00EB4AFC"/>
    <w:rsid w:val="00EB4E8C"/>
    <w:rsid w:val="00EB5198"/>
    <w:rsid w:val="00EB53D7"/>
    <w:rsid w:val="00EB582C"/>
    <w:rsid w:val="00EB6108"/>
    <w:rsid w:val="00EB6C37"/>
    <w:rsid w:val="00EB7282"/>
    <w:rsid w:val="00EB7A25"/>
    <w:rsid w:val="00EB7AE2"/>
    <w:rsid w:val="00EC011A"/>
    <w:rsid w:val="00EC05C5"/>
    <w:rsid w:val="00EC07D1"/>
    <w:rsid w:val="00EC0F3E"/>
    <w:rsid w:val="00EC0FE2"/>
    <w:rsid w:val="00EC1508"/>
    <w:rsid w:val="00EC1895"/>
    <w:rsid w:val="00EC197F"/>
    <w:rsid w:val="00EC1B5B"/>
    <w:rsid w:val="00EC1DC9"/>
    <w:rsid w:val="00EC26EC"/>
    <w:rsid w:val="00EC2C9B"/>
    <w:rsid w:val="00EC302C"/>
    <w:rsid w:val="00EC33DD"/>
    <w:rsid w:val="00EC3C43"/>
    <w:rsid w:val="00EC4081"/>
    <w:rsid w:val="00EC445E"/>
    <w:rsid w:val="00EC4DFA"/>
    <w:rsid w:val="00EC57A7"/>
    <w:rsid w:val="00EC6239"/>
    <w:rsid w:val="00EC635D"/>
    <w:rsid w:val="00EC6592"/>
    <w:rsid w:val="00EC6656"/>
    <w:rsid w:val="00EC6A42"/>
    <w:rsid w:val="00EC6D2A"/>
    <w:rsid w:val="00EC723D"/>
    <w:rsid w:val="00EC7512"/>
    <w:rsid w:val="00EC7E00"/>
    <w:rsid w:val="00ED0817"/>
    <w:rsid w:val="00ED0C14"/>
    <w:rsid w:val="00ED1040"/>
    <w:rsid w:val="00ED24D3"/>
    <w:rsid w:val="00ED2C24"/>
    <w:rsid w:val="00ED34DA"/>
    <w:rsid w:val="00ED3B9C"/>
    <w:rsid w:val="00ED3D98"/>
    <w:rsid w:val="00ED4022"/>
    <w:rsid w:val="00ED5388"/>
    <w:rsid w:val="00ED5E87"/>
    <w:rsid w:val="00ED6437"/>
    <w:rsid w:val="00ED6994"/>
    <w:rsid w:val="00ED6A4D"/>
    <w:rsid w:val="00ED6C17"/>
    <w:rsid w:val="00ED6CAE"/>
    <w:rsid w:val="00ED795A"/>
    <w:rsid w:val="00ED7DD9"/>
    <w:rsid w:val="00ED7E2C"/>
    <w:rsid w:val="00EE0047"/>
    <w:rsid w:val="00EE02C2"/>
    <w:rsid w:val="00EE04A5"/>
    <w:rsid w:val="00EE057C"/>
    <w:rsid w:val="00EE096A"/>
    <w:rsid w:val="00EE0D6F"/>
    <w:rsid w:val="00EE11AC"/>
    <w:rsid w:val="00EE170A"/>
    <w:rsid w:val="00EE1848"/>
    <w:rsid w:val="00EE19A5"/>
    <w:rsid w:val="00EE293F"/>
    <w:rsid w:val="00EE3020"/>
    <w:rsid w:val="00EE30F4"/>
    <w:rsid w:val="00EE31B4"/>
    <w:rsid w:val="00EE3287"/>
    <w:rsid w:val="00EE33F9"/>
    <w:rsid w:val="00EE3C22"/>
    <w:rsid w:val="00EE3D64"/>
    <w:rsid w:val="00EE3FA5"/>
    <w:rsid w:val="00EE445B"/>
    <w:rsid w:val="00EE5735"/>
    <w:rsid w:val="00EE5DB5"/>
    <w:rsid w:val="00EE638C"/>
    <w:rsid w:val="00EE6E49"/>
    <w:rsid w:val="00EE7BC5"/>
    <w:rsid w:val="00EF0800"/>
    <w:rsid w:val="00EF091F"/>
    <w:rsid w:val="00EF0B45"/>
    <w:rsid w:val="00EF112F"/>
    <w:rsid w:val="00EF1A01"/>
    <w:rsid w:val="00EF1A2F"/>
    <w:rsid w:val="00EF1F69"/>
    <w:rsid w:val="00EF1F6B"/>
    <w:rsid w:val="00EF240E"/>
    <w:rsid w:val="00EF2577"/>
    <w:rsid w:val="00EF3113"/>
    <w:rsid w:val="00EF320C"/>
    <w:rsid w:val="00EF39F0"/>
    <w:rsid w:val="00EF3B51"/>
    <w:rsid w:val="00EF3F84"/>
    <w:rsid w:val="00EF54C3"/>
    <w:rsid w:val="00EF5CC1"/>
    <w:rsid w:val="00EF6D58"/>
    <w:rsid w:val="00EF6F29"/>
    <w:rsid w:val="00EF73B1"/>
    <w:rsid w:val="00EF7786"/>
    <w:rsid w:val="00F0024D"/>
    <w:rsid w:val="00F008BB"/>
    <w:rsid w:val="00F01505"/>
    <w:rsid w:val="00F0156E"/>
    <w:rsid w:val="00F017C4"/>
    <w:rsid w:val="00F01A58"/>
    <w:rsid w:val="00F01B4B"/>
    <w:rsid w:val="00F01BAF"/>
    <w:rsid w:val="00F01CB0"/>
    <w:rsid w:val="00F01FEE"/>
    <w:rsid w:val="00F02695"/>
    <w:rsid w:val="00F028B8"/>
    <w:rsid w:val="00F02A76"/>
    <w:rsid w:val="00F02ED7"/>
    <w:rsid w:val="00F02F06"/>
    <w:rsid w:val="00F0315C"/>
    <w:rsid w:val="00F0351E"/>
    <w:rsid w:val="00F0540F"/>
    <w:rsid w:val="00F05BFD"/>
    <w:rsid w:val="00F064EB"/>
    <w:rsid w:val="00F0662F"/>
    <w:rsid w:val="00F06C05"/>
    <w:rsid w:val="00F06EC3"/>
    <w:rsid w:val="00F075C4"/>
    <w:rsid w:val="00F07A7D"/>
    <w:rsid w:val="00F10AD1"/>
    <w:rsid w:val="00F10C33"/>
    <w:rsid w:val="00F10D3F"/>
    <w:rsid w:val="00F10D7B"/>
    <w:rsid w:val="00F119DE"/>
    <w:rsid w:val="00F11E69"/>
    <w:rsid w:val="00F1335F"/>
    <w:rsid w:val="00F13A24"/>
    <w:rsid w:val="00F1478F"/>
    <w:rsid w:val="00F15570"/>
    <w:rsid w:val="00F15C00"/>
    <w:rsid w:val="00F1620A"/>
    <w:rsid w:val="00F162A8"/>
    <w:rsid w:val="00F16750"/>
    <w:rsid w:val="00F16CC8"/>
    <w:rsid w:val="00F176AC"/>
    <w:rsid w:val="00F17BB1"/>
    <w:rsid w:val="00F17C24"/>
    <w:rsid w:val="00F204B4"/>
    <w:rsid w:val="00F20887"/>
    <w:rsid w:val="00F20AEE"/>
    <w:rsid w:val="00F20F84"/>
    <w:rsid w:val="00F2167D"/>
    <w:rsid w:val="00F218D8"/>
    <w:rsid w:val="00F225C3"/>
    <w:rsid w:val="00F2281B"/>
    <w:rsid w:val="00F22F3C"/>
    <w:rsid w:val="00F235E3"/>
    <w:rsid w:val="00F239BE"/>
    <w:rsid w:val="00F23ADD"/>
    <w:rsid w:val="00F23F40"/>
    <w:rsid w:val="00F24863"/>
    <w:rsid w:val="00F24D8A"/>
    <w:rsid w:val="00F25734"/>
    <w:rsid w:val="00F266A5"/>
    <w:rsid w:val="00F26DF3"/>
    <w:rsid w:val="00F26F28"/>
    <w:rsid w:val="00F26FE1"/>
    <w:rsid w:val="00F27491"/>
    <w:rsid w:val="00F27533"/>
    <w:rsid w:val="00F27577"/>
    <w:rsid w:val="00F27714"/>
    <w:rsid w:val="00F27CD4"/>
    <w:rsid w:val="00F27D87"/>
    <w:rsid w:val="00F30227"/>
    <w:rsid w:val="00F30ABC"/>
    <w:rsid w:val="00F31011"/>
    <w:rsid w:val="00F320C5"/>
    <w:rsid w:val="00F32340"/>
    <w:rsid w:val="00F325CC"/>
    <w:rsid w:val="00F3276E"/>
    <w:rsid w:val="00F32CE7"/>
    <w:rsid w:val="00F32ED6"/>
    <w:rsid w:val="00F32FEE"/>
    <w:rsid w:val="00F33449"/>
    <w:rsid w:val="00F33874"/>
    <w:rsid w:val="00F33D3C"/>
    <w:rsid w:val="00F33EA8"/>
    <w:rsid w:val="00F33FAB"/>
    <w:rsid w:val="00F35133"/>
    <w:rsid w:val="00F357B5"/>
    <w:rsid w:val="00F36265"/>
    <w:rsid w:val="00F362C0"/>
    <w:rsid w:val="00F363B9"/>
    <w:rsid w:val="00F3667B"/>
    <w:rsid w:val="00F36BF3"/>
    <w:rsid w:val="00F375B4"/>
    <w:rsid w:val="00F37A91"/>
    <w:rsid w:val="00F408A0"/>
    <w:rsid w:val="00F408A7"/>
    <w:rsid w:val="00F408A9"/>
    <w:rsid w:val="00F4188A"/>
    <w:rsid w:val="00F41C3F"/>
    <w:rsid w:val="00F42A14"/>
    <w:rsid w:val="00F441F1"/>
    <w:rsid w:val="00F44A04"/>
    <w:rsid w:val="00F458C3"/>
    <w:rsid w:val="00F45C48"/>
    <w:rsid w:val="00F45CCF"/>
    <w:rsid w:val="00F45CF5"/>
    <w:rsid w:val="00F46037"/>
    <w:rsid w:val="00F464BC"/>
    <w:rsid w:val="00F4699E"/>
    <w:rsid w:val="00F46C34"/>
    <w:rsid w:val="00F47048"/>
    <w:rsid w:val="00F47817"/>
    <w:rsid w:val="00F47DB0"/>
    <w:rsid w:val="00F47FE2"/>
    <w:rsid w:val="00F5060F"/>
    <w:rsid w:val="00F50C3F"/>
    <w:rsid w:val="00F50E34"/>
    <w:rsid w:val="00F51906"/>
    <w:rsid w:val="00F51AFB"/>
    <w:rsid w:val="00F51B0C"/>
    <w:rsid w:val="00F5221C"/>
    <w:rsid w:val="00F52552"/>
    <w:rsid w:val="00F52905"/>
    <w:rsid w:val="00F52E0A"/>
    <w:rsid w:val="00F531CE"/>
    <w:rsid w:val="00F53674"/>
    <w:rsid w:val="00F53EF7"/>
    <w:rsid w:val="00F54585"/>
    <w:rsid w:val="00F545DA"/>
    <w:rsid w:val="00F54BF2"/>
    <w:rsid w:val="00F54FB7"/>
    <w:rsid w:val="00F55144"/>
    <w:rsid w:val="00F55344"/>
    <w:rsid w:val="00F557B8"/>
    <w:rsid w:val="00F5601A"/>
    <w:rsid w:val="00F57330"/>
    <w:rsid w:val="00F57713"/>
    <w:rsid w:val="00F57D99"/>
    <w:rsid w:val="00F603A4"/>
    <w:rsid w:val="00F60524"/>
    <w:rsid w:val="00F60593"/>
    <w:rsid w:val="00F608EA"/>
    <w:rsid w:val="00F6092C"/>
    <w:rsid w:val="00F619F1"/>
    <w:rsid w:val="00F6288A"/>
    <w:rsid w:val="00F62DAF"/>
    <w:rsid w:val="00F64068"/>
    <w:rsid w:val="00F6532B"/>
    <w:rsid w:val="00F6592D"/>
    <w:rsid w:val="00F66400"/>
    <w:rsid w:val="00F66C9D"/>
    <w:rsid w:val="00F66CF0"/>
    <w:rsid w:val="00F67305"/>
    <w:rsid w:val="00F67E39"/>
    <w:rsid w:val="00F70321"/>
    <w:rsid w:val="00F70552"/>
    <w:rsid w:val="00F70841"/>
    <w:rsid w:val="00F70AB9"/>
    <w:rsid w:val="00F70DF6"/>
    <w:rsid w:val="00F71DF6"/>
    <w:rsid w:val="00F71EFD"/>
    <w:rsid w:val="00F72356"/>
    <w:rsid w:val="00F72442"/>
    <w:rsid w:val="00F7263B"/>
    <w:rsid w:val="00F72EBE"/>
    <w:rsid w:val="00F735E6"/>
    <w:rsid w:val="00F7360E"/>
    <w:rsid w:val="00F74898"/>
    <w:rsid w:val="00F74F37"/>
    <w:rsid w:val="00F758C2"/>
    <w:rsid w:val="00F75C03"/>
    <w:rsid w:val="00F76007"/>
    <w:rsid w:val="00F768BE"/>
    <w:rsid w:val="00F76C52"/>
    <w:rsid w:val="00F76F41"/>
    <w:rsid w:val="00F7754A"/>
    <w:rsid w:val="00F775AC"/>
    <w:rsid w:val="00F775E7"/>
    <w:rsid w:val="00F7774C"/>
    <w:rsid w:val="00F77BC5"/>
    <w:rsid w:val="00F806D4"/>
    <w:rsid w:val="00F809DD"/>
    <w:rsid w:val="00F80D4F"/>
    <w:rsid w:val="00F80F5A"/>
    <w:rsid w:val="00F81C54"/>
    <w:rsid w:val="00F82216"/>
    <w:rsid w:val="00F83B1C"/>
    <w:rsid w:val="00F83E0F"/>
    <w:rsid w:val="00F84144"/>
    <w:rsid w:val="00F845E8"/>
    <w:rsid w:val="00F852AC"/>
    <w:rsid w:val="00F85CAA"/>
    <w:rsid w:val="00F86067"/>
    <w:rsid w:val="00F8776D"/>
    <w:rsid w:val="00F8792F"/>
    <w:rsid w:val="00F87A4C"/>
    <w:rsid w:val="00F87E3D"/>
    <w:rsid w:val="00F906B8"/>
    <w:rsid w:val="00F907CF"/>
    <w:rsid w:val="00F90E59"/>
    <w:rsid w:val="00F90F0C"/>
    <w:rsid w:val="00F916DF"/>
    <w:rsid w:val="00F917E7"/>
    <w:rsid w:val="00F91B8E"/>
    <w:rsid w:val="00F91D78"/>
    <w:rsid w:val="00F9214D"/>
    <w:rsid w:val="00F92355"/>
    <w:rsid w:val="00F92B3B"/>
    <w:rsid w:val="00F92B80"/>
    <w:rsid w:val="00F93051"/>
    <w:rsid w:val="00F93127"/>
    <w:rsid w:val="00F9321A"/>
    <w:rsid w:val="00F935AD"/>
    <w:rsid w:val="00F9369E"/>
    <w:rsid w:val="00F93963"/>
    <w:rsid w:val="00F93E7E"/>
    <w:rsid w:val="00F9427C"/>
    <w:rsid w:val="00F94291"/>
    <w:rsid w:val="00F942D2"/>
    <w:rsid w:val="00F94833"/>
    <w:rsid w:val="00F9488B"/>
    <w:rsid w:val="00F948CF"/>
    <w:rsid w:val="00F94EDD"/>
    <w:rsid w:val="00F94F0B"/>
    <w:rsid w:val="00F951A2"/>
    <w:rsid w:val="00F95AD9"/>
    <w:rsid w:val="00F95B1D"/>
    <w:rsid w:val="00F95CCF"/>
    <w:rsid w:val="00F96397"/>
    <w:rsid w:val="00F97046"/>
    <w:rsid w:val="00F972E4"/>
    <w:rsid w:val="00F973FA"/>
    <w:rsid w:val="00F9746C"/>
    <w:rsid w:val="00FA0596"/>
    <w:rsid w:val="00FA0F76"/>
    <w:rsid w:val="00FA123A"/>
    <w:rsid w:val="00FA1CF8"/>
    <w:rsid w:val="00FA20B8"/>
    <w:rsid w:val="00FA298A"/>
    <w:rsid w:val="00FA29E1"/>
    <w:rsid w:val="00FA2D3B"/>
    <w:rsid w:val="00FA34B2"/>
    <w:rsid w:val="00FA42F6"/>
    <w:rsid w:val="00FA4A7A"/>
    <w:rsid w:val="00FA5B66"/>
    <w:rsid w:val="00FA6455"/>
    <w:rsid w:val="00FA675E"/>
    <w:rsid w:val="00FA6B7E"/>
    <w:rsid w:val="00FA6F1D"/>
    <w:rsid w:val="00FA6FCF"/>
    <w:rsid w:val="00FA71E3"/>
    <w:rsid w:val="00FA7A36"/>
    <w:rsid w:val="00FA7DB4"/>
    <w:rsid w:val="00FB013A"/>
    <w:rsid w:val="00FB059C"/>
    <w:rsid w:val="00FB061B"/>
    <w:rsid w:val="00FB0B9C"/>
    <w:rsid w:val="00FB17CA"/>
    <w:rsid w:val="00FB184B"/>
    <w:rsid w:val="00FB2830"/>
    <w:rsid w:val="00FB2A5A"/>
    <w:rsid w:val="00FB30EB"/>
    <w:rsid w:val="00FB32E1"/>
    <w:rsid w:val="00FB38A5"/>
    <w:rsid w:val="00FB4768"/>
    <w:rsid w:val="00FB6085"/>
    <w:rsid w:val="00FB623C"/>
    <w:rsid w:val="00FB6282"/>
    <w:rsid w:val="00FB63F2"/>
    <w:rsid w:val="00FB6825"/>
    <w:rsid w:val="00FB690E"/>
    <w:rsid w:val="00FB6ABE"/>
    <w:rsid w:val="00FB6E4F"/>
    <w:rsid w:val="00FB7070"/>
    <w:rsid w:val="00FB7318"/>
    <w:rsid w:val="00FB7982"/>
    <w:rsid w:val="00FB7F0D"/>
    <w:rsid w:val="00FC01DC"/>
    <w:rsid w:val="00FC0330"/>
    <w:rsid w:val="00FC0734"/>
    <w:rsid w:val="00FC078B"/>
    <w:rsid w:val="00FC0978"/>
    <w:rsid w:val="00FC0FC5"/>
    <w:rsid w:val="00FC1363"/>
    <w:rsid w:val="00FC1601"/>
    <w:rsid w:val="00FC24DF"/>
    <w:rsid w:val="00FC4449"/>
    <w:rsid w:val="00FC4AE4"/>
    <w:rsid w:val="00FC561B"/>
    <w:rsid w:val="00FC588F"/>
    <w:rsid w:val="00FC5994"/>
    <w:rsid w:val="00FC5D17"/>
    <w:rsid w:val="00FC63A1"/>
    <w:rsid w:val="00FC66DD"/>
    <w:rsid w:val="00FC6879"/>
    <w:rsid w:val="00FC6F8F"/>
    <w:rsid w:val="00FD0353"/>
    <w:rsid w:val="00FD04CD"/>
    <w:rsid w:val="00FD0A50"/>
    <w:rsid w:val="00FD0AC5"/>
    <w:rsid w:val="00FD17A4"/>
    <w:rsid w:val="00FD253B"/>
    <w:rsid w:val="00FD2E42"/>
    <w:rsid w:val="00FD43C2"/>
    <w:rsid w:val="00FD57CC"/>
    <w:rsid w:val="00FD5BD7"/>
    <w:rsid w:val="00FD5F10"/>
    <w:rsid w:val="00FD6767"/>
    <w:rsid w:val="00FD6C24"/>
    <w:rsid w:val="00FD7843"/>
    <w:rsid w:val="00FD7B44"/>
    <w:rsid w:val="00FD7B9C"/>
    <w:rsid w:val="00FD7FE5"/>
    <w:rsid w:val="00FE0976"/>
    <w:rsid w:val="00FE0DBC"/>
    <w:rsid w:val="00FE106F"/>
    <w:rsid w:val="00FE1B30"/>
    <w:rsid w:val="00FE1FC9"/>
    <w:rsid w:val="00FE2A8C"/>
    <w:rsid w:val="00FE2B8B"/>
    <w:rsid w:val="00FE3208"/>
    <w:rsid w:val="00FE3D95"/>
    <w:rsid w:val="00FE45AA"/>
    <w:rsid w:val="00FE4B99"/>
    <w:rsid w:val="00FE5065"/>
    <w:rsid w:val="00FE5434"/>
    <w:rsid w:val="00FE5767"/>
    <w:rsid w:val="00FE64D1"/>
    <w:rsid w:val="00FE6A3C"/>
    <w:rsid w:val="00FE6B73"/>
    <w:rsid w:val="00FE6BDA"/>
    <w:rsid w:val="00FE6C18"/>
    <w:rsid w:val="00FE76CB"/>
    <w:rsid w:val="00FE7B44"/>
    <w:rsid w:val="00FE7CF4"/>
    <w:rsid w:val="00FF0800"/>
    <w:rsid w:val="00FF2256"/>
    <w:rsid w:val="00FF2328"/>
    <w:rsid w:val="00FF2F8E"/>
    <w:rsid w:val="00FF30E0"/>
    <w:rsid w:val="00FF35A4"/>
    <w:rsid w:val="00FF3E13"/>
    <w:rsid w:val="00FF45DB"/>
    <w:rsid w:val="00FF51FF"/>
    <w:rsid w:val="00FF5529"/>
    <w:rsid w:val="00FF55D7"/>
    <w:rsid w:val="00FF5990"/>
    <w:rsid w:val="00FF5EE2"/>
    <w:rsid w:val="00FF6D62"/>
    <w:rsid w:val="00FF70FB"/>
    <w:rsid w:val="00FF772A"/>
    <w:rsid w:val="00FF78C7"/>
    <w:rsid w:val="00FF7B3A"/>
    <w:rsid w:val="00FF7BE8"/>
    <w:rsid w:val="00FF7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D9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0E38"/>
    <w:pPr>
      <w:spacing w:line="360" w:lineRule="auto"/>
      <w:jc w:val="both"/>
    </w:pPr>
    <w:rPr>
      <w:sz w:val="24"/>
      <w:lang w:eastAsia="en-US"/>
    </w:rPr>
  </w:style>
  <w:style w:type="paragraph" w:styleId="Heading1">
    <w:name w:val="heading 1"/>
    <w:basedOn w:val="Normal"/>
    <w:next w:val="ParaNumbering"/>
    <w:qFormat/>
    <w:rsid w:val="00960E38"/>
    <w:pPr>
      <w:keepNext/>
      <w:spacing w:before="240" w:after="60" w:line="240" w:lineRule="auto"/>
      <w:outlineLvl w:val="0"/>
    </w:pPr>
    <w:rPr>
      <w:b/>
      <w:caps/>
      <w:kern w:val="28"/>
    </w:rPr>
  </w:style>
  <w:style w:type="paragraph" w:styleId="Heading2">
    <w:name w:val="heading 2"/>
    <w:basedOn w:val="Normal"/>
    <w:next w:val="ParaNumbering"/>
    <w:qFormat/>
    <w:rsid w:val="00960E38"/>
    <w:pPr>
      <w:keepNext/>
      <w:spacing w:before="240" w:after="60" w:line="240" w:lineRule="auto"/>
      <w:outlineLvl w:val="1"/>
    </w:pPr>
    <w:rPr>
      <w:b/>
      <w:szCs w:val="24"/>
    </w:rPr>
  </w:style>
  <w:style w:type="paragraph" w:styleId="Heading3">
    <w:name w:val="heading 3"/>
    <w:basedOn w:val="Normal"/>
    <w:next w:val="ParaNumbering"/>
    <w:qFormat/>
    <w:rsid w:val="00960E38"/>
    <w:pPr>
      <w:keepNext/>
      <w:spacing w:before="240" w:after="60" w:line="240" w:lineRule="auto"/>
      <w:outlineLvl w:val="2"/>
    </w:pPr>
    <w:rPr>
      <w:b/>
      <w:i/>
    </w:rPr>
  </w:style>
  <w:style w:type="paragraph" w:styleId="Heading4">
    <w:name w:val="heading 4"/>
    <w:basedOn w:val="Normal"/>
    <w:next w:val="ParaNumbering"/>
    <w:qFormat/>
    <w:rsid w:val="00960E38"/>
    <w:pPr>
      <w:keepNext/>
      <w:spacing w:before="240" w:after="60" w:line="240" w:lineRule="auto"/>
      <w:jc w:val="left"/>
      <w:outlineLvl w:val="3"/>
    </w:pPr>
    <w:rPr>
      <w:i/>
      <w:szCs w:val="24"/>
    </w:rPr>
  </w:style>
  <w:style w:type="paragraph" w:styleId="Heading5">
    <w:name w:val="heading 5"/>
    <w:basedOn w:val="fcHeading1"/>
    <w:next w:val="ParaNumbering"/>
    <w:qFormat/>
    <w:rsid w:val="00960E38"/>
    <w:pPr>
      <w:outlineLvl w:val="4"/>
    </w:pPr>
    <w:rPr>
      <w:caps w:val="0"/>
    </w:rPr>
  </w:style>
  <w:style w:type="paragraph" w:styleId="Heading6">
    <w:name w:val="heading 6"/>
    <w:basedOn w:val="fcHeading2"/>
    <w:next w:val="ParaNumbering"/>
    <w:qFormat/>
    <w:rsid w:val="00960E38"/>
    <w:pPr>
      <w:outlineLvl w:val="5"/>
    </w:pPr>
  </w:style>
  <w:style w:type="paragraph" w:styleId="Heading7">
    <w:name w:val="heading 7"/>
    <w:basedOn w:val="fcHeading3"/>
    <w:next w:val="ParaNumbering"/>
    <w:qFormat/>
    <w:rsid w:val="00960E38"/>
    <w:pPr>
      <w:outlineLvl w:val="6"/>
    </w:pPr>
    <w:rPr>
      <w:i w:val="0"/>
    </w:rPr>
  </w:style>
  <w:style w:type="paragraph" w:styleId="Heading8">
    <w:name w:val="heading 8"/>
    <w:basedOn w:val="fcHeading4"/>
    <w:next w:val="ParaNumbering"/>
    <w:rsid w:val="00960E38"/>
    <w:pPr>
      <w:outlineLvl w:val="7"/>
    </w:pPr>
    <w:rPr>
      <w:smallCaps w:val="0"/>
    </w:rPr>
  </w:style>
  <w:style w:type="paragraph" w:styleId="Heading9">
    <w:name w:val="heading 9"/>
    <w:basedOn w:val="fcHeading5"/>
    <w:next w:val="ParaNumbering"/>
    <w:rsid w:val="00960E38"/>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960E38"/>
    <w:pPr>
      <w:spacing w:line="240" w:lineRule="auto"/>
    </w:pPr>
  </w:style>
  <w:style w:type="paragraph" w:styleId="Header">
    <w:name w:val="header"/>
    <w:basedOn w:val="Normal"/>
    <w:semiHidden/>
    <w:rsid w:val="00960E38"/>
    <w:pPr>
      <w:tabs>
        <w:tab w:val="center" w:pos="4320"/>
        <w:tab w:val="right" w:pos="8640"/>
      </w:tabs>
    </w:pPr>
  </w:style>
  <w:style w:type="paragraph" w:styleId="Footer">
    <w:name w:val="footer"/>
    <w:basedOn w:val="Normal"/>
    <w:semiHidden/>
    <w:rsid w:val="00960E38"/>
    <w:pPr>
      <w:tabs>
        <w:tab w:val="center" w:pos="4320"/>
        <w:tab w:val="right" w:pos="8640"/>
      </w:tabs>
    </w:pPr>
  </w:style>
  <w:style w:type="paragraph" w:customStyle="1" w:styleId="ParaNumbering">
    <w:name w:val="ParaNumbering"/>
    <w:basedOn w:val="Normal"/>
    <w:rsid w:val="00960E38"/>
    <w:pPr>
      <w:numPr>
        <w:numId w:val="1"/>
      </w:numPr>
      <w:tabs>
        <w:tab w:val="clear" w:pos="720"/>
      </w:tabs>
      <w:spacing w:before="180" w:after="180"/>
    </w:pPr>
  </w:style>
  <w:style w:type="paragraph" w:customStyle="1" w:styleId="Quote1">
    <w:name w:val="Quote1"/>
    <w:rsid w:val="00960E38"/>
    <w:pPr>
      <w:widowControl w:val="0"/>
      <w:spacing w:after="180"/>
      <w:ind w:left="737" w:right="737"/>
      <w:jc w:val="both"/>
    </w:pPr>
    <w:rPr>
      <w:sz w:val="22"/>
      <w:lang w:eastAsia="en-US"/>
    </w:rPr>
  </w:style>
  <w:style w:type="paragraph" w:customStyle="1" w:styleId="NormalHeadings">
    <w:name w:val="Normal Headings"/>
    <w:link w:val="NormalHeadingsChar"/>
    <w:rsid w:val="00960E38"/>
    <w:pPr>
      <w:widowControl w:val="0"/>
      <w:jc w:val="both"/>
    </w:pPr>
    <w:rPr>
      <w:b/>
      <w:sz w:val="24"/>
      <w:lang w:eastAsia="en-US"/>
    </w:rPr>
  </w:style>
  <w:style w:type="table" w:styleId="TableGrid">
    <w:name w:val="Table Grid"/>
    <w:basedOn w:val="TableNormal"/>
    <w:semiHidden/>
    <w:rsid w:val="00960E3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960E38"/>
    <w:pPr>
      <w:spacing w:before="20" w:after="20"/>
      <w:jc w:val="center"/>
    </w:pPr>
    <w:rPr>
      <w:b/>
      <w:sz w:val="26"/>
    </w:rPr>
  </w:style>
  <w:style w:type="paragraph" w:customStyle="1" w:styleId="Normal1linespace">
    <w:name w:val="Normal1linespace"/>
    <w:basedOn w:val="Normal"/>
    <w:rsid w:val="00960E38"/>
    <w:pPr>
      <w:spacing w:line="240" w:lineRule="auto"/>
    </w:pPr>
  </w:style>
  <w:style w:type="paragraph" w:styleId="BalloonText">
    <w:name w:val="Balloon Text"/>
    <w:basedOn w:val="Normal"/>
    <w:semiHidden/>
    <w:rsid w:val="00960E38"/>
    <w:rPr>
      <w:rFonts w:ascii="Tahoma" w:hAnsi="Tahoma" w:cs="Tahoma"/>
      <w:sz w:val="16"/>
      <w:szCs w:val="16"/>
    </w:rPr>
  </w:style>
  <w:style w:type="paragraph" w:customStyle="1" w:styleId="StyleBold">
    <w:name w:val="Style Bold"/>
    <w:basedOn w:val="Normal"/>
    <w:next w:val="BodyText"/>
    <w:semiHidden/>
    <w:rsid w:val="00960E38"/>
    <w:rPr>
      <w:szCs w:val="24"/>
    </w:rPr>
  </w:style>
  <w:style w:type="paragraph" w:customStyle="1" w:styleId="Bold">
    <w:name w:val="Bold"/>
    <w:basedOn w:val="Normal"/>
    <w:next w:val="Normal"/>
    <w:semiHidden/>
    <w:rsid w:val="00960E38"/>
    <w:pPr>
      <w:suppressAutoHyphens/>
      <w:jc w:val="left"/>
    </w:pPr>
    <w:rPr>
      <w:b/>
      <w:szCs w:val="24"/>
    </w:rPr>
  </w:style>
  <w:style w:type="paragraph" w:customStyle="1" w:styleId="Certify">
    <w:name w:val="Certify"/>
    <w:basedOn w:val="Normal"/>
    <w:link w:val="CertifyChar"/>
    <w:semiHidden/>
    <w:rsid w:val="00960E38"/>
    <w:pPr>
      <w:spacing w:line="240" w:lineRule="auto"/>
    </w:pPr>
    <w:rPr>
      <w:szCs w:val="24"/>
    </w:rPr>
  </w:style>
  <w:style w:type="character" w:styleId="CommentReference">
    <w:name w:val="annotation reference"/>
    <w:semiHidden/>
    <w:rsid w:val="00960E38"/>
    <w:rPr>
      <w:sz w:val="16"/>
      <w:szCs w:val="16"/>
    </w:rPr>
  </w:style>
  <w:style w:type="paragraph" w:styleId="CommentText">
    <w:name w:val="annotation text"/>
    <w:basedOn w:val="Normal"/>
    <w:semiHidden/>
    <w:rsid w:val="00960E38"/>
    <w:rPr>
      <w:sz w:val="20"/>
    </w:rPr>
  </w:style>
  <w:style w:type="paragraph" w:styleId="CommentSubject">
    <w:name w:val="annotation subject"/>
    <w:basedOn w:val="CommentText"/>
    <w:next w:val="CommentText"/>
    <w:semiHidden/>
    <w:rsid w:val="00960E38"/>
    <w:rPr>
      <w:b/>
      <w:bCs/>
    </w:rPr>
  </w:style>
  <w:style w:type="paragraph" w:customStyle="1" w:styleId="FCBullets">
    <w:name w:val="FCBullets"/>
    <w:basedOn w:val="Normal"/>
    <w:rsid w:val="00960E38"/>
    <w:pPr>
      <w:numPr>
        <w:numId w:val="25"/>
      </w:numPr>
      <w:spacing w:before="60" w:after="60"/>
    </w:pPr>
  </w:style>
  <w:style w:type="paragraph" w:customStyle="1" w:styleId="JudgeStyle">
    <w:name w:val="JudgeStyle"/>
    <w:basedOn w:val="Heading1"/>
    <w:next w:val="ParaNumbering"/>
    <w:semiHidden/>
    <w:rsid w:val="00960E38"/>
  </w:style>
  <w:style w:type="paragraph" w:styleId="TOC1">
    <w:name w:val="toc 1"/>
    <w:basedOn w:val="Normal"/>
    <w:next w:val="Normal"/>
    <w:autoRedefine/>
    <w:semiHidden/>
    <w:rsid w:val="00960E38"/>
    <w:pPr>
      <w:tabs>
        <w:tab w:val="right" w:leader="dot" w:pos="9071"/>
      </w:tabs>
    </w:pPr>
  </w:style>
  <w:style w:type="paragraph" w:styleId="TOC2">
    <w:name w:val="toc 2"/>
    <w:basedOn w:val="Normal"/>
    <w:next w:val="Normal"/>
    <w:autoRedefine/>
    <w:semiHidden/>
    <w:rsid w:val="00960E38"/>
    <w:pPr>
      <w:tabs>
        <w:tab w:val="right" w:leader="dot" w:pos="9071"/>
      </w:tabs>
      <w:ind w:left="240"/>
    </w:pPr>
  </w:style>
  <w:style w:type="paragraph" w:styleId="TOC3">
    <w:name w:val="toc 3"/>
    <w:basedOn w:val="Normal"/>
    <w:next w:val="Normal"/>
    <w:autoRedefine/>
    <w:semiHidden/>
    <w:rsid w:val="00960E38"/>
    <w:pPr>
      <w:tabs>
        <w:tab w:val="right" w:leader="dot" w:pos="9071"/>
      </w:tabs>
      <w:ind w:left="480"/>
    </w:pPr>
  </w:style>
  <w:style w:type="paragraph" w:styleId="TOC4">
    <w:name w:val="toc 4"/>
    <w:basedOn w:val="Normal"/>
    <w:next w:val="Normal"/>
    <w:autoRedefine/>
    <w:semiHidden/>
    <w:rsid w:val="00960E38"/>
    <w:pPr>
      <w:tabs>
        <w:tab w:val="right" w:leader="dot" w:pos="9071"/>
      </w:tabs>
      <w:ind w:left="720"/>
    </w:pPr>
  </w:style>
  <w:style w:type="paragraph" w:customStyle="1" w:styleId="NoNum">
    <w:name w:val="No Num"/>
    <w:basedOn w:val="Normal1linespace"/>
    <w:rsid w:val="00960E38"/>
    <w:pPr>
      <w:spacing w:before="120" w:after="180" w:line="360" w:lineRule="auto"/>
    </w:pPr>
  </w:style>
  <w:style w:type="paragraph" w:customStyle="1" w:styleId="AppealTable">
    <w:name w:val="AppealTable"/>
    <w:basedOn w:val="Normal"/>
    <w:unhideWhenUsed/>
    <w:rsid w:val="00960E38"/>
    <w:pPr>
      <w:spacing w:line="240" w:lineRule="auto"/>
      <w:jc w:val="left"/>
    </w:pPr>
    <w:rPr>
      <w:b/>
      <w:caps/>
      <w:sz w:val="22"/>
      <w:szCs w:val="22"/>
    </w:rPr>
  </w:style>
  <w:style w:type="paragraph" w:customStyle="1" w:styleId="Quote3">
    <w:name w:val="Quote3"/>
    <w:basedOn w:val="Quote1"/>
    <w:rsid w:val="00960E38"/>
    <w:pPr>
      <w:ind w:left="2160"/>
    </w:pPr>
  </w:style>
  <w:style w:type="paragraph" w:customStyle="1" w:styleId="Quote2">
    <w:name w:val="Quote2"/>
    <w:basedOn w:val="Quote1"/>
    <w:rsid w:val="00960E38"/>
    <w:pPr>
      <w:ind w:left="1440"/>
    </w:pPr>
  </w:style>
  <w:style w:type="paragraph" w:customStyle="1" w:styleId="FTOC1">
    <w:name w:val="FTOC 1"/>
    <w:basedOn w:val="Normal"/>
    <w:semiHidden/>
    <w:rsid w:val="00960E38"/>
    <w:pPr>
      <w:tabs>
        <w:tab w:val="right" w:leader="dot" w:pos="9072"/>
      </w:tabs>
      <w:spacing w:before="120" w:after="60" w:line="240" w:lineRule="auto"/>
      <w:jc w:val="left"/>
    </w:pPr>
    <w:rPr>
      <w:b/>
      <w:caps/>
      <w:kern w:val="28"/>
    </w:rPr>
  </w:style>
  <w:style w:type="paragraph" w:customStyle="1" w:styleId="ListNo1">
    <w:name w:val="List No 1"/>
    <w:basedOn w:val="Normal"/>
    <w:rsid w:val="00960E38"/>
    <w:pPr>
      <w:numPr>
        <w:numId w:val="22"/>
      </w:numPr>
      <w:spacing w:before="60" w:after="60"/>
    </w:pPr>
  </w:style>
  <w:style w:type="paragraph" w:customStyle="1" w:styleId="FTOC2">
    <w:name w:val="FTOC 2"/>
    <w:basedOn w:val="Normal"/>
    <w:semiHidden/>
    <w:rsid w:val="00960E38"/>
    <w:pPr>
      <w:tabs>
        <w:tab w:val="right" w:leader="dot" w:pos="9072"/>
      </w:tabs>
      <w:spacing w:before="120" w:after="60" w:line="240" w:lineRule="auto"/>
      <w:ind w:left="238"/>
      <w:jc w:val="left"/>
    </w:pPr>
    <w:rPr>
      <w:b/>
    </w:rPr>
  </w:style>
  <w:style w:type="paragraph" w:customStyle="1" w:styleId="FTOC3">
    <w:name w:val="FTOC 3"/>
    <w:basedOn w:val="Normal"/>
    <w:semiHidden/>
    <w:rsid w:val="00960E38"/>
    <w:pPr>
      <w:tabs>
        <w:tab w:val="right" w:leader="dot" w:pos="9072"/>
      </w:tabs>
      <w:spacing w:before="120" w:after="60" w:line="240" w:lineRule="auto"/>
      <w:ind w:left="482"/>
      <w:jc w:val="left"/>
    </w:pPr>
    <w:rPr>
      <w:b/>
      <w:i/>
    </w:rPr>
  </w:style>
  <w:style w:type="paragraph" w:customStyle="1" w:styleId="FTOC4">
    <w:name w:val="FTOC 4"/>
    <w:basedOn w:val="Normal"/>
    <w:semiHidden/>
    <w:rsid w:val="00960E38"/>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960E38"/>
    <w:pPr>
      <w:tabs>
        <w:tab w:val="right" w:leader="dot" w:pos="9072"/>
      </w:tabs>
      <w:ind w:left="960"/>
    </w:pPr>
  </w:style>
  <w:style w:type="numbering" w:styleId="111111">
    <w:name w:val="Outline List 2"/>
    <w:basedOn w:val="NoList"/>
    <w:semiHidden/>
    <w:rsid w:val="00960E38"/>
    <w:pPr>
      <w:numPr>
        <w:numId w:val="12"/>
      </w:numPr>
    </w:pPr>
  </w:style>
  <w:style w:type="numbering" w:styleId="1ai">
    <w:name w:val="Outline List 1"/>
    <w:basedOn w:val="NoList"/>
    <w:semiHidden/>
    <w:rsid w:val="00960E38"/>
    <w:pPr>
      <w:numPr>
        <w:numId w:val="13"/>
      </w:numPr>
    </w:pPr>
  </w:style>
  <w:style w:type="numbering" w:styleId="ArticleSection">
    <w:name w:val="Outline List 3"/>
    <w:basedOn w:val="NoList"/>
    <w:semiHidden/>
    <w:rsid w:val="00960E38"/>
    <w:pPr>
      <w:numPr>
        <w:numId w:val="14"/>
      </w:numPr>
    </w:pPr>
  </w:style>
  <w:style w:type="paragraph" w:styleId="BodyText">
    <w:name w:val="Body Text"/>
    <w:basedOn w:val="Normal"/>
    <w:link w:val="BodyTextChar"/>
    <w:qFormat/>
    <w:rsid w:val="00960E38"/>
  </w:style>
  <w:style w:type="paragraph" w:styleId="BodyText2">
    <w:name w:val="Body Text 2"/>
    <w:basedOn w:val="Normal"/>
    <w:semiHidden/>
    <w:rsid w:val="00960E38"/>
    <w:pPr>
      <w:spacing w:after="120" w:line="480" w:lineRule="auto"/>
    </w:pPr>
  </w:style>
  <w:style w:type="paragraph" w:styleId="BodyText3">
    <w:name w:val="Body Text 3"/>
    <w:basedOn w:val="Normal"/>
    <w:semiHidden/>
    <w:rsid w:val="00960E38"/>
    <w:pPr>
      <w:spacing w:after="120"/>
    </w:pPr>
    <w:rPr>
      <w:sz w:val="16"/>
      <w:szCs w:val="16"/>
    </w:rPr>
  </w:style>
  <w:style w:type="paragraph" w:styleId="BodyTextFirstIndent">
    <w:name w:val="Body Text First Indent"/>
    <w:basedOn w:val="BodyText"/>
    <w:semiHidden/>
    <w:rsid w:val="00960E38"/>
    <w:pPr>
      <w:ind w:firstLine="210"/>
    </w:pPr>
  </w:style>
  <w:style w:type="paragraph" w:styleId="BodyTextIndent">
    <w:name w:val="Body Text Indent"/>
    <w:basedOn w:val="Normal"/>
    <w:semiHidden/>
    <w:rsid w:val="00960E38"/>
    <w:pPr>
      <w:spacing w:after="120"/>
      <w:ind w:left="283"/>
    </w:pPr>
  </w:style>
  <w:style w:type="paragraph" w:styleId="BodyTextFirstIndent2">
    <w:name w:val="Body Text First Indent 2"/>
    <w:basedOn w:val="BodyTextIndent"/>
    <w:semiHidden/>
    <w:rsid w:val="00960E38"/>
    <w:pPr>
      <w:ind w:firstLine="210"/>
    </w:pPr>
  </w:style>
  <w:style w:type="paragraph" w:styleId="BodyTextIndent2">
    <w:name w:val="Body Text Indent 2"/>
    <w:basedOn w:val="Normal"/>
    <w:semiHidden/>
    <w:rsid w:val="00960E38"/>
    <w:pPr>
      <w:spacing w:after="120" w:line="480" w:lineRule="auto"/>
      <w:ind w:left="283"/>
    </w:pPr>
  </w:style>
  <w:style w:type="paragraph" w:styleId="BodyTextIndent3">
    <w:name w:val="Body Text Indent 3"/>
    <w:basedOn w:val="Normal"/>
    <w:semiHidden/>
    <w:rsid w:val="00960E38"/>
    <w:pPr>
      <w:spacing w:after="120"/>
      <w:ind w:left="283"/>
    </w:pPr>
    <w:rPr>
      <w:sz w:val="16"/>
      <w:szCs w:val="16"/>
    </w:rPr>
  </w:style>
  <w:style w:type="paragraph" w:styleId="Closing">
    <w:name w:val="Closing"/>
    <w:basedOn w:val="Normal"/>
    <w:semiHidden/>
    <w:rsid w:val="00960E38"/>
    <w:pPr>
      <w:ind w:left="4252"/>
    </w:pPr>
  </w:style>
  <w:style w:type="paragraph" w:styleId="Date">
    <w:name w:val="Date"/>
    <w:basedOn w:val="Normal"/>
    <w:next w:val="Normal"/>
    <w:semiHidden/>
    <w:rsid w:val="00960E38"/>
  </w:style>
  <w:style w:type="paragraph" w:styleId="E-mailSignature">
    <w:name w:val="E-mail Signature"/>
    <w:basedOn w:val="Normal"/>
    <w:semiHidden/>
    <w:rsid w:val="00960E38"/>
  </w:style>
  <w:style w:type="character" w:styleId="Emphasis">
    <w:name w:val="Emphasis"/>
    <w:semiHidden/>
    <w:rsid w:val="00960E38"/>
    <w:rPr>
      <w:i/>
      <w:iCs/>
    </w:rPr>
  </w:style>
  <w:style w:type="paragraph" w:styleId="EnvelopeAddress">
    <w:name w:val="envelope address"/>
    <w:basedOn w:val="Normal"/>
    <w:semiHidden/>
    <w:rsid w:val="00960E3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960E38"/>
    <w:rPr>
      <w:rFonts w:ascii="Arial" w:hAnsi="Arial" w:cs="Arial"/>
      <w:sz w:val="20"/>
    </w:rPr>
  </w:style>
  <w:style w:type="character" w:styleId="FollowedHyperlink">
    <w:name w:val="FollowedHyperlink"/>
    <w:semiHidden/>
    <w:rsid w:val="00960E38"/>
    <w:rPr>
      <w:color w:val="800080"/>
      <w:u w:val="single"/>
    </w:rPr>
  </w:style>
  <w:style w:type="character" w:styleId="HTMLAcronym">
    <w:name w:val="HTML Acronym"/>
    <w:basedOn w:val="DefaultParagraphFont"/>
    <w:semiHidden/>
    <w:rsid w:val="00960E38"/>
  </w:style>
  <w:style w:type="paragraph" w:styleId="HTMLAddress">
    <w:name w:val="HTML Address"/>
    <w:basedOn w:val="Normal"/>
    <w:semiHidden/>
    <w:rsid w:val="00960E38"/>
    <w:rPr>
      <w:i/>
      <w:iCs/>
    </w:rPr>
  </w:style>
  <w:style w:type="character" w:styleId="HTMLCite">
    <w:name w:val="HTML Cite"/>
    <w:semiHidden/>
    <w:rsid w:val="00960E38"/>
    <w:rPr>
      <w:i/>
      <w:iCs/>
    </w:rPr>
  </w:style>
  <w:style w:type="character" w:styleId="HTMLCode">
    <w:name w:val="HTML Code"/>
    <w:semiHidden/>
    <w:rsid w:val="00960E38"/>
    <w:rPr>
      <w:rFonts w:ascii="Courier New" w:hAnsi="Courier New" w:cs="Courier New"/>
      <w:sz w:val="20"/>
      <w:szCs w:val="20"/>
    </w:rPr>
  </w:style>
  <w:style w:type="character" w:styleId="HTMLDefinition">
    <w:name w:val="HTML Definition"/>
    <w:semiHidden/>
    <w:rsid w:val="00960E38"/>
    <w:rPr>
      <w:i/>
      <w:iCs/>
    </w:rPr>
  </w:style>
  <w:style w:type="character" w:styleId="HTMLKeyboard">
    <w:name w:val="HTML Keyboard"/>
    <w:semiHidden/>
    <w:rsid w:val="00960E38"/>
    <w:rPr>
      <w:rFonts w:ascii="Courier New" w:hAnsi="Courier New" w:cs="Courier New"/>
      <w:sz w:val="20"/>
      <w:szCs w:val="20"/>
    </w:rPr>
  </w:style>
  <w:style w:type="paragraph" w:styleId="HTMLPreformatted">
    <w:name w:val="HTML Preformatted"/>
    <w:basedOn w:val="Normal"/>
    <w:semiHidden/>
    <w:rsid w:val="00960E38"/>
    <w:rPr>
      <w:rFonts w:ascii="Courier New" w:hAnsi="Courier New" w:cs="Courier New"/>
      <w:sz w:val="20"/>
    </w:rPr>
  </w:style>
  <w:style w:type="character" w:styleId="HTMLSample">
    <w:name w:val="HTML Sample"/>
    <w:semiHidden/>
    <w:rsid w:val="00960E38"/>
    <w:rPr>
      <w:rFonts w:ascii="Courier New" w:hAnsi="Courier New" w:cs="Courier New"/>
    </w:rPr>
  </w:style>
  <w:style w:type="character" w:styleId="HTMLTypewriter">
    <w:name w:val="HTML Typewriter"/>
    <w:semiHidden/>
    <w:rsid w:val="00960E38"/>
    <w:rPr>
      <w:rFonts w:ascii="Courier New" w:hAnsi="Courier New" w:cs="Courier New"/>
      <w:sz w:val="20"/>
      <w:szCs w:val="20"/>
    </w:rPr>
  </w:style>
  <w:style w:type="character" w:styleId="HTMLVariable">
    <w:name w:val="HTML Variable"/>
    <w:semiHidden/>
    <w:rsid w:val="00960E38"/>
    <w:rPr>
      <w:i/>
      <w:iCs/>
    </w:rPr>
  </w:style>
  <w:style w:type="character" w:styleId="Hyperlink">
    <w:name w:val="Hyperlink"/>
    <w:semiHidden/>
    <w:rsid w:val="00960E38"/>
    <w:rPr>
      <w:color w:val="0000FF"/>
      <w:u w:val="single"/>
    </w:rPr>
  </w:style>
  <w:style w:type="character" w:styleId="LineNumber">
    <w:name w:val="line number"/>
    <w:basedOn w:val="DefaultParagraphFont"/>
    <w:semiHidden/>
    <w:rsid w:val="00960E38"/>
  </w:style>
  <w:style w:type="paragraph" w:styleId="List">
    <w:name w:val="List"/>
    <w:basedOn w:val="Normal"/>
    <w:semiHidden/>
    <w:rsid w:val="00960E38"/>
    <w:pPr>
      <w:ind w:left="283" w:hanging="283"/>
    </w:pPr>
  </w:style>
  <w:style w:type="paragraph" w:styleId="List2">
    <w:name w:val="List 2"/>
    <w:basedOn w:val="Normal"/>
    <w:semiHidden/>
    <w:rsid w:val="00960E38"/>
    <w:pPr>
      <w:ind w:left="566" w:hanging="283"/>
    </w:pPr>
  </w:style>
  <w:style w:type="paragraph" w:styleId="List3">
    <w:name w:val="List 3"/>
    <w:basedOn w:val="Normal"/>
    <w:semiHidden/>
    <w:rsid w:val="00960E38"/>
    <w:pPr>
      <w:ind w:left="849" w:hanging="283"/>
    </w:pPr>
  </w:style>
  <w:style w:type="paragraph" w:styleId="List4">
    <w:name w:val="List 4"/>
    <w:basedOn w:val="Normal"/>
    <w:semiHidden/>
    <w:rsid w:val="00960E38"/>
    <w:pPr>
      <w:ind w:left="1132" w:hanging="283"/>
    </w:pPr>
  </w:style>
  <w:style w:type="paragraph" w:styleId="List5">
    <w:name w:val="List 5"/>
    <w:basedOn w:val="Normal"/>
    <w:semiHidden/>
    <w:rsid w:val="00960E38"/>
    <w:pPr>
      <w:ind w:left="1415" w:hanging="283"/>
    </w:pPr>
  </w:style>
  <w:style w:type="paragraph" w:styleId="ListBullet">
    <w:name w:val="List Bullet"/>
    <w:basedOn w:val="Normal"/>
    <w:semiHidden/>
    <w:rsid w:val="00960E38"/>
    <w:pPr>
      <w:numPr>
        <w:numId w:val="2"/>
      </w:numPr>
    </w:pPr>
  </w:style>
  <w:style w:type="paragraph" w:styleId="ListBullet2">
    <w:name w:val="List Bullet 2"/>
    <w:basedOn w:val="Normal"/>
    <w:semiHidden/>
    <w:rsid w:val="00960E38"/>
    <w:pPr>
      <w:numPr>
        <w:numId w:val="3"/>
      </w:numPr>
    </w:pPr>
  </w:style>
  <w:style w:type="paragraph" w:styleId="ListBullet3">
    <w:name w:val="List Bullet 3"/>
    <w:basedOn w:val="Normal"/>
    <w:semiHidden/>
    <w:rsid w:val="00960E38"/>
    <w:pPr>
      <w:numPr>
        <w:numId w:val="4"/>
      </w:numPr>
    </w:pPr>
  </w:style>
  <w:style w:type="paragraph" w:styleId="ListBullet4">
    <w:name w:val="List Bullet 4"/>
    <w:basedOn w:val="Normal"/>
    <w:semiHidden/>
    <w:rsid w:val="00960E38"/>
    <w:pPr>
      <w:numPr>
        <w:numId w:val="5"/>
      </w:numPr>
    </w:pPr>
  </w:style>
  <w:style w:type="paragraph" w:styleId="ListBullet5">
    <w:name w:val="List Bullet 5"/>
    <w:basedOn w:val="Normal"/>
    <w:semiHidden/>
    <w:rsid w:val="00960E38"/>
    <w:pPr>
      <w:numPr>
        <w:numId w:val="6"/>
      </w:numPr>
    </w:pPr>
  </w:style>
  <w:style w:type="paragraph" w:styleId="ListContinue">
    <w:name w:val="List Continue"/>
    <w:basedOn w:val="Normal"/>
    <w:semiHidden/>
    <w:rsid w:val="00960E38"/>
    <w:pPr>
      <w:spacing w:after="120"/>
      <w:ind w:left="283"/>
    </w:pPr>
  </w:style>
  <w:style w:type="paragraph" w:styleId="ListContinue2">
    <w:name w:val="List Continue 2"/>
    <w:basedOn w:val="Normal"/>
    <w:semiHidden/>
    <w:rsid w:val="00960E38"/>
    <w:pPr>
      <w:spacing w:after="120"/>
      <w:ind w:left="566"/>
    </w:pPr>
  </w:style>
  <w:style w:type="paragraph" w:styleId="ListContinue3">
    <w:name w:val="List Continue 3"/>
    <w:basedOn w:val="Normal"/>
    <w:semiHidden/>
    <w:rsid w:val="00960E38"/>
    <w:pPr>
      <w:spacing w:after="120"/>
      <w:ind w:left="849"/>
    </w:pPr>
  </w:style>
  <w:style w:type="paragraph" w:styleId="ListContinue4">
    <w:name w:val="List Continue 4"/>
    <w:basedOn w:val="Normal"/>
    <w:semiHidden/>
    <w:rsid w:val="00960E38"/>
    <w:pPr>
      <w:spacing w:after="120"/>
      <w:ind w:left="1132"/>
    </w:pPr>
  </w:style>
  <w:style w:type="paragraph" w:styleId="ListContinue5">
    <w:name w:val="List Continue 5"/>
    <w:basedOn w:val="Normal"/>
    <w:semiHidden/>
    <w:rsid w:val="00960E38"/>
    <w:pPr>
      <w:spacing w:after="120"/>
      <w:ind w:left="1415"/>
    </w:pPr>
  </w:style>
  <w:style w:type="paragraph" w:styleId="ListNumber">
    <w:name w:val="List Number"/>
    <w:basedOn w:val="Normal"/>
    <w:semiHidden/>
    <w:rsid w:val="00960E38"/>
    <w:pPr>
      <w:numPr>
        <w:numId w:val="7"/>
      </w:numPr>
    </w:pPr>
  </w:style>
  <w:style w:type="paragraph" w:styleId="ListNumber2">
    <w:name w:val="List Number 2"/>
    <w:basedOn w:val="Normal"/>
    <w:semiHidden/>
    <w:rsid w:val="00960E38"/>
    <w:pPr>
      <w:numPr>
        <w:numId w:val="8"/>
      </w:numPr>
    </w:pPr>
  </w:style>
  <w:style w:type="paragraph" w:styleId="ListNumber3">
    <w:name w:val="List Number 3"/>
    <w:basedOn w:val="Normal"/>
    <w:semiHidden/>
    <w:rsid w:val="00960E38"/>
    <w:pPr>
      <w:numPr>
        <w:numId w:val="9"/>
      </w:numPr>
    </w:pPr>
  </w:style>
  <w:style w:type="paragraph" w:styleId="ListNumber4">
    <w:name w:val="List Number 4"/>
    <w:basedOn w:val="Normal"/>
    <w:semiHidden/>
    <w:rsid w:val="00960E38"/>
    <w:pPr>
      <w:numPr>
        <w:numId w:val="10"/>
      </w:numPr>
    </w:pPr>
  </w:style>
  <w:style w:type="paragraph" w:styleId="ListNumber5">
    <w:name w:val="List Number 5"/>
    <w:basedOn w:val="Normal"/>
    <w:semiHidden/>
    <w:rsid w:val="00960E38"/>
    <w:pPr>
      <w:numPr>
        <w:numId w:val="11"/>
      </w:numPr>
    </w:pPr>
  </w:style>
  <w:style w:type="paragraph" w:styleId="MessageHeader">
    <w:name w:val="Message Header"/>
    <w:basedOn w:val="Normal"/>
    <w:semiHidden/>
    <w:rsid w:val="00960E3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960E38"/>
    <w:rPr>
      <w:szCs w:val="24"/>
    </w:rPr>
  </w:style>
  <w:style w:type="paragraph" w:styleId="NormalIndent">
    <w:name w:val="Normal Indent"/>
    <w:basedOn w:val="Normal"/>
    <w:semiHidden/>
    <w:rsid w:val="00960E38"/>
    <w:pPr>
      <w:ind w:left="720"/>
    </w:pPr>
  </w:style>
  <w:style w:type="paragraph" w:styleId="NoteHeading">
    <w:name w:val="Note Heading"/>
    <w:basedOn w:val="Normal"/>
    <w:next w:val="Normal"/>
    <w:semiHidden/>
    <w:rsid w:val="00960E38"/>
  </w:style>
  <w:style w:type="character" w:styleId="PageNumber">
    <w:name w:val="page number"/>
    <w:basedOn w:val="DefaultParagraphFont"/>
    <w:semiHidden/>
    <w:rsid w:val="00960E38"/>
  </w:style>
  <w:style w:type="paragraph" w:styleId="PlainText">
    <w:name w:val="Plain Text"/>
    <w:basedOn w:val="Normal"/>
    <w:semiHidden/>
    <w:rsid w:val="00960E38"/>
    <w:rPr>
      <w:rFonts w:ascii="Courier New" w:hAnsi="Courier New" w:cs="Courier New"/>
      <w:sz w:val="20"/>
    </w:rPr>
  </w:style>
  <w:style w:type="paragraph" w:styleId="Salutation">
    <w:name w:val="Salutation"/>
    <w:basedOn w:val="Normal"/>
    <w:next w:val="Normal"/>
    <w:semiHidden/>
    <w:rsid w:val="00960E38"/>
  </w:style>
  <w:style w:type="paragraph" w:styleId="Signature">
    <w:name w:val="Signature"/>
    <w:basedOn w:val="Normal"/>
    <w:semiHidden/>
    <w:rsid w:val="00960E38"/>
    <w:pPr>
      <w:ind w:left="4252"/>
    </w:pPr>
  </w:style>
  <w:style w:type="character" w:styleId="Strong">
    <w:name w:val="Strong"/>
    <w:semiHidden/>
    <w:rsid w:val="00960E38"/>
    <w:rPr>
      <w:b/>
      <w:bCs/>
    </w:rPr>
  </w:style>
  <w:style w:type="paragraph" w:styleId="Subtitle">
    <w:name w:val="Subtitle"/>
    <w:basedOn w:val="Normal"/>
    <w:semiHidden/>
    <w:rsid w:val="00960E38"/>
    <w:pPr>
      <w:spacing w:after="60"/>
      <w:jc w:val="center"/>
      <w:outlineLvl w:val="1"/>
    </w:pPr>
    <w:rPr>
      <w:rFonts w:ascii="Arial" w:hAnsi="Arial" w:cs="Arial"/>
      <w:szCs w:val="24"/>
    </w:rPr>
  </w:style>
  <w:style w:type="table" w:styleId="Table3Deffects1">
    <w:name w:val="Table 3D effects 1"/>
    <w:basedOn w:val="TableNormal"/>
    <w:semiHidden/>
    <w:rsid w:val="00960E38"/>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0E38"/>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0E38"/>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0E38"/>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0E38"/>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0E38"/>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0E38"/>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0E38"/>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0E38"/>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0E38"/>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0E38"/>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0E38"/>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0E38"/>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0E38"/>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0E38"/>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0E38"/>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0E38"/>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60E3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0E38"/>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0E38"/>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0E38"/>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0E3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0E38"/>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0E38"/>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0E38"/>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0E38"/>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0E38"/>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0E38"/>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0E38"/>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0E3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0E38"/>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0E38"/>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0E38"/>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0E38"/>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0E38"/>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0E38"/>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0E3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0E38"/>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0E38"/>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0E38"/>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60E3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0E38"/>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0E38"/>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960E38"/>
    <w:pPr>
      <w:spacing w:before="120" w:after="60" w:line="240" w:lineRule="auto"/>
      <w:jc w:val="left"/>
    </w:pPr>
  </w:style>
  <w:style w:type="paragraph" w:customStyle="1" w:styleId="bTOC2">
    <w:name w:val="bTOC 2"/>
    <w:basedOn w:val="TOC2"/>
    <w:semiHidden/>
    <w:rsid w:val="00960E38"/>
    <w:pPr>
      <w:spacing w:before="120" w:after="60" w:line="240" w:lineRule="auto"/>
      <w:ind w:left="238"/>
      <w:jc w:val="left"/>
    </w:pPr>
  </w:style>
  <w:style w:type="paragraph" w:customStyle="1" w:styleId="bTOC3">
    <w:name w:val="bTOC 3"/>
    <w:basedOn w:val="TOC3"/>
    <w:semiHidden/>
    <w:rsid w:val="00960E38"/>
    <w:pPr>
      <w:spacing w:before="120" w:after="60" w:line="240" w:lineRule="auto"/>
      <w:ind w:left="482"/>
      <w:jc w:val="left"/>
    </w:pPr>
  </w:style>
  <w:style w:type="paragraph" w:customStyle="1" w:styleId="bTOC4">
    <w:name w:val="bTOC 4"/>
    <w:basedOn w:val="TOC4"/>
    <w:semiHidden/>
    <w:rsid w:val="00960E38"/>
    <w:pPr>
      <w:spacing w:before="120" w:after="60" w:line="240" w:lineRule="auto"/>
      <w:jc w:val="left"/>
    </w:pPr>
  </w:style>
  <w:style w:type="paragraph" w:customStyle="1" w:styleId="Counsel">
    <w:name w:val="Counsel"/>
    <w:basedOn w:val="Normal"/>
    <w:unhideWhenUsed/>
    <w:rsid w:val="00960E38"/>
    <w:pPr>
      <w:widowControl w:val="0"/>
      <w:suppressAutoHyphens/>
      <w:spacing w:line="240" w:lineRule="auto"/>
    </w:pPr>
  </w:style>
  <w:style w:type="character" w:customStyle="1" w:styleId="CertifyChar">
    <w:name w:val="Certify Char"/>
    <w:link w:val="Certify"/>
    <w:semiHidden/>
    <w:rsid w:val="00960E38"/>
    <w:rPr>
      <w:sz w:val="24"/>
      <w:szCs w:val="24"/>
      <w:lang w:eastAsia="en-US"/>
    </w:rPr>
  </w:style>
  <w:style w:type="paragraph" w:customStyle="1" w:styleId="fcHeading1">
    <w:name w:val="fcHeading 1"/>
    <w:basedOn w:val="Normal"/>
    <w:next w:val="ParaNumbering"/>
    <w:semiHidden/>
    <w:rsid w:val="00960E38"/>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60E38"/>
    <w:pPr>
      <w:keepNext/>
      <w:numPr>
        <w:ilvl w:val="1"/>
        <w:numId w:val="15"/>
      </w:numPr>
      <w:spacing w:before="240" w:after="60" w:line="240" w:lineRule="auto"/>
    </w:pPr>
    <w:rPr>
      <w:b/>
    </w:rPr>
  </w:style>
  <w:style w:type="paragraph" w:customStyle="1" w:styleId="fcHeading3">
    <w:name w:val="fcHeading 3"/>
    <w:basedOn w:val="Normal"/>
    <w:next w:val="ParaNumbering"/>
    <w:semiHidden/>
    <w:rsid w:val="00960E38"/>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60E38"/>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60E38"/>
    <w:pPr>
      <w:keepNext/>
      <w:numPr>
        <w:ilvl w:val="4"/>
        <w:numId w:val="15"/>
      </w:numPr>
      <w:spacing w:before="240" w:after="60" w:line="240" w:lineRule="auto"/>
    </w:pPr>
    <w:rPr>
      <w:b/>
      <w:caps/>
    </w:rPr>
  </w:style>
  <w:style w:type="paragraph" w:customStyle="1" w:styleId="FTOC5">
    <w:name w:val="FTOC 5"/>
    <w:basedOn w:val="Normal"/>
    <w:semiHidden/>
    <w:rsid w:val="00960E3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960E3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960E3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960E3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960E3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960E38"/>
    <w:pPr>
      <w:tabs>
        <w:tab w:val="right" w:leader="dot" w:pos="9072"/>
      </w:tabs>
      <w:spacing w:before="120" w:after="60" w:line="240" w:lineRule="auto"/>
      <w:ind w:left="709" w:hanging="709"/>
      <w:jc w:val="left"/>
    </w:pPr>
  </w:style>
  <w:style w:type="paragraph" w:customStyle="1" w:styleId="bTOC6">
    <w:name w:val="bTOC 6"/>
    <w:basedOn w:val="Normal"/>
    <w:semiHidden/>
    <w:rsid w:val="00960E38"/>
    <w:pPr>
      <w:tabs>
        <w:tab w:val="right" w:leader="dot" w:pos="9072"/>
      </w:tabs>
      <w:spacing w:before="120" w:after="60" w:line="240" w:lineRule="auto"/>
      <w:ind w:left="1418" w:hanging="709"/>
      <w:jc w:val="left"/>
    </w:pPr>
  </w:style>
  <w:style w:type="paragraph" w:customStyle="1" w:styleId="bTOC7">
    <w:name w:val="bTOC 7"/>
    <w:basedOn w:val="Normal"/>
    <w:semiHidden/>
    <w:rsid w:val="00960E38"/>
    <w:pPr>
      <w:tabs>
        <w:tab w:val="right" w:leader="dot" w:pos="9072"/>
      </w:tabs>
      <w:spacing w:before="120" w:after="60" w:line="240" w:lineRule="auto"/>
      <w:ind w:left="2240" w:hanging="822"/>
      <w:jc w:val="left"/>
    </w:pPr>
  </w:style>
  <w:style w:type="paragraph" w:customStyle="1" w:styleId="bTOC8">
    <w:name w:val="bTOC 8"/>
    <w:basedOn w:val="Normal"/>
    <w:semiHidden/>
    <w:rsid w:val="00960E38"/>
    <w:pPr>
      <w:keepNext/>
      <w:tabs>
        <w:tab w:val="right" w:leader="dot" w:pos="9072"/>
      </w:tabs>
      <w:spacing w:before="120" w:after="60" w:line="240" w:lineRule="auto"/>
      <w:ind w:left="3373" w:hanging="1247"/>
      <w:jc w:val="left"/>
    </w:pPr>
  </w:style>
  <w:style w:type="paragraph" w:customStyle="1" w:styleId="bTOC9">
    <w:name w:val="bTOC 9"/>
    <w:basedOn w:val="Normal"/>
    <w:semiHidden/>
    <w:rsid w:val="00960E38"/>
    <w:pPr>
      <w:keepNext/>
      <w:tabs>
        <w:tab w:val="right" w:leader="dot" w:pos="9072"/>
      </w:tabs>
      <w:spacing w:before="120" w:after="60" w:line="240" w:lineRule="auto"/>
      <w:ind w:left="4082" w:hanging="1247"/>
      <w:jc w:val="left"/>
    </w:pPr>
  </w:style>
  <w:style w:type="paragraph" w:customStyle="1" w:styleId="ListNo2">
    <w:name w:val="List No 2"/>
    <w:basedOn w:val="ListNo1"/>
    <w:rsid w:val="00960E38"/>
    <w:pPr>
      <w:numPr>
        <w:ilvl w:val="1"/>
      </w:numPr>
    </w:pPr>
  </w:style>
  <w:style w:type="paragraph" w:customStyle="1" w:styleId="ListNo3">
    <w:name w:val="List No 3"/>
    <w:basedOn w:val="ListNo2"/>
    <w:rsid w:val="00960E38"/>
    <w:pPr>
      <w:numPr>
        <w:ilvl w:val="2"/>
      </w:numPr>
    </w:pPr>
  </w:style>
  <w:style w:type="numbering" w:customStyle="1" w:styleId="FCListNo">
    <w:name w:val="FCListNo"/>
    <w:uiPriority w:val="99"/>
    <w:rsid w:val="00960E38"/>
    <w:pPr>
      <w:numPr>
        <w:numId w:val="16"/>
      </w:numPr>
    </w:pPr>
  </w:style>
  <w:style w:type="paragraph" w:customStyle="1" w:styleId="SingleSpace">
    <w:name w:val="SingleSpace"/>
    <w:basedOn w:val="Normal"/>
    <w:rsid w:val="00960E38"/>
    <w:pPr>
      <w:spacing w:line="240" w:lineRule="auto"/>
    </w:pPr>
    <w:rPr>
      <w:szCs w:val="22"/>
    </w:rPr>
  </w:style>
  <w:style w:type="paragraph" w:customStyle="1" w:styleId="Quote1Bullet">
    <w:name w:val="Quote1 Bullet"/>
    <w:basedOn w:val="Quote1"/>
    <w:rsid w:val="00960E38"/>
    <w:pPr>
      <w:numPr>
        <w:numId w:val="17"/>
      </w:numPr>
      <w:ind w:left="1440" w:hanging="720"/>
    </w:pPr>
  </w:style>
  <w:style w:type="paragraph" w:customStyle="1" w:styleId="Quote2Bullet">
    <w:name w:val="Quote2 Bullet"/>
    <w:basedOn w:val="Quote2"/>
    <w:rsid w:val="00960E38"/>
    <w:pPr>
      <w:numPr>
        <w:numId w:val="18"/>
      </w:numPr>
      <w:ind w:hanging="720"/>
    </w:pPr>
  </w:style>
  <w:style w:type="paragraph" w:customStyle="1" w:styleId="Quote3Bullet">
    <w:name w:val="Quote3 Bullet"/>
    <w:basedOn w:val="Quote3"/>
    <w:rsid w:val="00960E38"/>
    <w:pPr>
      <w:numPr>
        <w:numId w:val="19"/>
      </w:numPr>
      <w:ind w:hanging="720"/>
    </w:pPr>
  </w:style>
  <w:style w:type="paragraph" w:customStyle="1" w:styleId="Order1">
    <w:name w:val="Order 1"/>
    <w:basedOn w:val="Normal"/>
    <w:rsid w:val="00960E38"/>
    <w:pPr>
      <w:numPr>
        <w:numId w:val="20"/>
      </w:numPr>
      <w:spacing w:before="60" w:after="60"/>
    </w:pPr>
  </w:style>
  <w:style w:type="numbering" w:customStyle="1" w:styleId="FCOrders">
    <w:name w:val="FCOrders"/>
    <w:uiPriority w:val="99"/>
    <w:rsid w:val="00960E38"/>
    <w:pPr>
      <w:numPr>
        <w:numId w:val="20"/>
      </w:numPr>
    </w:pPr>
  </w:style>
  <w:style w:type="paragraph" w:customStyle="1" w:styleId="BodyTextBold">
    <w:name w:val="Body Text Bold"/>
    <w:basedOn w:val="BodyText"/>
    <w:rsid w:val="00960E38"/>
    <w:rPr>
      <w:b/>
    </w:rPr>
  </w:style>
  <w:style w:type="paragraph" w:customStyle="1" w:styleId="GeneralHeading">
    <w:name w:val="General Heading"/>
    <w:basedOn w:val="BodyTextBold"/>
    <w:next w:val="BodyText"/>
    <w:rsid w:val="00960E38"/>
    <w:pPr>
      <w:spacing w:line="480" w:lineRule="auto"/>
      <w:jc w:val="center"/>
    </w:pPr>
    <w:rPr>
      <w:sz w:val="28"/>
    </w:rPr>
  </w:style>
  <w:style w:type="paragraph" w:customStyle="1" w:styleId="ReasonJudge">
    <w:name w:val="Reason Judge"/>
    <w:basedOn w:val="BodyText"/>
    <w:next w:val="BodyText"/>
    <w:rsid w:val="00960E38"/>
    <w:pPr>
      <w:jc w:val="left"/>
    </w:pPr>
    <w:rPr>
      <w:b/>
      <w:sz w:val="26"/>
    </w:rPr>
  </w:style>
  <w:style w:type="paragraph" w:customStyle="1" w:styleId="FileNo">
    <w:name w:val="FileNo"/>
    <w:basedOn w:val="NormalHeadings"/>
    <w:rsid w:val="00960E38"/>
    <w:pPr>
      <w:tabs>
        <w:tab w:val="right" w:pos="3609"/>
      </w:tabs>
      <w:spacing w:line="276" w:lineRule="auto"/>
      <w:jc w:val="right"/>
    </w:pPr>
    <w:rPr>
      <w:szCs w:val="24"/>
    </w:rPr>
  </w:style>
  <w:style w:type="paragraph" w:customStyle="1" w:styleId="CasesLegislationAppealFrom">
    <w:name w:val="Cases Legislation Appeal From"/>
    <w:basedOn w:val="Normal1linespace"/>
    <w:rsid w:val="00960E38"/>
    <w:pPr>
      <w:widowControl w:val="0"/>
      <w:spacing w:after="100"/>
      <w:jc w:val="left"/>
    </w:pPr>
  </w:style>
  <w:style w:type="paragraph" w:customStyle="1" w:styleId="PartyName">
    <w:name w:val="Party Name"/>
    <w:basedOn w:val="NormalHeadings"/>
    <w:rsid w:val="00960E38"/>
    <w:pPr>
      <w:jc w:val="left"/>
    </w:pPr>
    <w:rPr>
      <w:szCs w:val="24"/>
    </w:rPr>
  </w:style>
  <w:style w:type="paragraph" w:customStyle="1" w:styleId="PartyType">
    <w:name w:val="Party Type"/>
    <w:basedOn w:val="PartyName"/>
    <w:rsid w:val="00960E38"/>
    <w:rPr>
      <w:b w:val="0"/>
    </w:rPr>
  </w:style>
  <w:style w:type="paragraph" w:customStyle="1" w:styleId="Small-TableswithinQuotes">
    <w:name w:val="Small - Tables within Quotes"/>
    <w:basedOn w:val="BodyText"/>
    <w:rsid w:val="00960E38"/>
    <w:pPr>
      <w:spacing w:line="240" w:lineRule="auto"/>
      <w:jc w:val="left"/>
    </w:pPr>
    <w:rPr>
      <w:sz w:val="22"/>
    </w:rPr>
  </w:style>
  <w:style w:type="character" w:customStyle="1" w:styleId="BodyTextChar">
    <w:name w:val="Body Text Char"/>
    <w:basedOn w:val="DefaultParagraphFont"/>
    <w:link w:val="BodyText"/>
    <w:rsid w:val="00960E38"/>
    <w:rPr>
      <w:sz w:val="24"/>
      <w:lang w:eastAsia="en-US"/>
    </w:rPr>
  </w:style>
  <w:style w:type="character" w:customStyle="1" w:styleId="NormalHeadingsChar">
    <w:name w:val="Normal Headings Char"/>
    <w:basedOn w:val="DefaultParagraphFont"/>
    <w:link w:val="NormalHeadings"/>
    <w:rsid w:val="00960E38"/>
    <w:rPr>
      <w:b/>
      <w:sz w:val="24"/>
      <w:lang w:eastAsia="en-US"/>
    </w:rPr>
  </w:style>
  <w:style w:type="paragraph" w:customStyle="1" w:styleId="CourtTitle">
    <w:name w:val="CourtTitle"/>
    <w:basedOn w:val="NormalHeadings"/>
    <w:rsid w:val="00960E38"/>
    <w:pPr>
      <w:jc w:val="center"/>
    </w:pPr>
    <w:rPr>
      <w:caps/>
      <w:sz w:val="32"/>
    </w:rPr>
  </w:style>
  <w:style w:type="paragraph" w:customStyle="1" w:styleId="MNC">
    <w:name w:val="MNC"/>
    <w:basedOn w:val="MediaNeutralStyle"/>
    <w:rsid w:val="00960E38"/>
    <w:pPr>
      <w:spacing w:after="240"/>
    </w:pPr>
    <w:rPr>
      <w:sz w:val="28"/>
    </w:rPr>
  </w:style>
  <w:style w:type="paragraph" w:customStyle="1" w:styleId="Quote4">
    <w:name w:val="Quote4"/>
    <w:basedOn w:val="Quote1"/>
    <w:rsid w:val="00960E38"/>
    <w:pPr>
      <w:ind w:left="2880"/>
    </w:pPr>
  </w:style>
  <w:style w:type="paragraph" w:customStyle="1" w:styleId="Quote4Bullet">
    <w:name w:val="Quote4 Bullet"/>
    <w:basedOn w:val="Quote4"/>
    <w:rsid w:val="00960E38"/>
    <w:pPr>
      <w:numPr>
        <w:numId w:val="21"/>
      </w:numPr>
      <w:ind w:hanging="720"/>
    </w:pPr>
  </w:style>
  <w:style w:type="character" w:styleId="PlaceholderText">
    <w:name w:val="Placeholder Text"/>
    <w:basedOn w:val="DefaultParagraphFont"/>
    <w:uiPriority w:val="99"/>
    <w:semiHidden/>
    <w:rsid w:val="00960E38"/>
    <w:rPr>
      <w:color w:val="808080"/>
    </w:rPr>
  </w:style>
  <w:style w:type="paragraph" w:customStyle="1" w:styleId="Order2">
    <w:name w:val="Order 2"/>
    <w:basedOn w:val="Order1"/>
    <w:rsid w:val="00960E38"/>
    <w:pPr>
      <w:numPr>
        <w:ilvl w:val="1"/>
      </w:numPr>
    </w:pPr>
  </w:style>
  <w:style w:type="paragraph" w:customStyle="1" w:styleId="Order3">
    <w:name w:val="Order 3"/>
    <w:basedOn w:val="Order2"/>
    <w:rsid w:val="00960E38"/>
    <w:pPr>
      <w:numPr>
        <w:ilvl w:val="2"/>
      </w:numPr>
    </w:pPr>
  </w:style>
  <w:style w:type="paragraph" w:customStyle="1" w:styleId="ListNo1alt">
    <w:name w:val="List No 1 (alt)"/>
    <w:basedOn w:val="Normal"/>
    <w:rsid w:val="00960E38"/>
    <w:pPr>
      <w:numPr>
        <w:numId w:val="77"/>
      </w:numPr>
      <w:spacing w:before="60" w:after="60"/>
    </w:pPr>
  </w:style>
  <w:style w:type="paragraph" w:customStyle="1" w:styleId="ListNo2alt">
    <w:name w:val="List No 2 (alt)"/>
    <w:basedOn w:val="ListNo1alt"/>
    <w:rsid w:val="00960E38"/>
    <w:pPr>
      <w:numPr>
        <w:ilvl w:val="1"/>
      </w:numPr>
    </w:pPr>
  </w:style>
  <w:style w:type="paragraph" w:customStyle="1" w:styleId="ListNo3alt">
    <w:name w:val="List No 3 (alt)"/>
    <w:basedOn w:val="ListNo2alt"/>
    <w:rsid w:val="00960E38"/>
    <w:pPr>
      <w:numPr>
        <w:ilvl w:val="2"/>
      </w:numPr>
    </w:pPr>
  </w:style>
  <w:style w:type="numbering" w:customStyle="1" w:styleId="FCListNoalt">
    <w:name w:val="FC List No (alt)"/>
    <w:uiPriority w:val="99"/>
    <w:rsid w:val="00960E38"/>
    <w:pPr>
      <w:numPr>
        <w:numId w:val="77"/>
      </w:numPr>
    </w:pPr>
  </w:style>
  <w:style w:type="paragraph" w:customStyle="1" w:styleId="Order4">
    <w:name w:val="Order 4"/>
    <w:basedOn w:val="Order3"/>
    <w:rsid w:val="00960E38"/>
    <w:pPr>
      <w:numPr>
        <w:ilvl w:val="3"/>
      </w:numPr>
    </w:pPr>
  </w:style>
  <w:style w:type="paragraph" w:styleId="FootnoteText">
    <w:name w:val="footnote text"/>
    <w:basedOn w:val="Normal"/>
    <w:link w:val="FootnoteTextChar"/>
    <w:semiHidden/>
    <w:unhideWhenUsed/>
    <w:rsid w:val="00960E38"/>
    <w:pPr>
      <w:spacing w:line="240" w:lineRule="auto"/>
    </w:pPr>
    <w:rPr>
      <w:sz w:val="20"/>
    </w:rPr>
  </w:style>
  <w:style w:type="character" w:customStyle="1" w:styleId="FootnoteTextChar">
    <w:name w:val="Footnote Text Char"/>
    <w:basedOn w:val="DefaultParagraphFont"/>
    <w:link w:val="FootnoteText"/>
    <w:semiHidden/>
    <w:rsid w:val="00960E38"/>
    <w:rPr>
      <w:lang w:eastAsia="en-US"/>
    </w:rPr>
  </w:style>
  <w:style w:type="character" w:styleId="FootnoteReference">
    <w:name w:val="footnote reference"/>
    <w:basedOn w:val="DefaultParagraphFont"/>
    <w:semiHidden/>
    <w:unhideWhenUsed/>
    <w:rsid w:val="00960E38"/>
    <w:rPr>
      <w:vertAlign w:val="superscript"/>
    </w:rPr>
  </w:style>
  <w:style w:type="paragraph" w:customStyle="1" w:styleId="FCBullets2">
    <w:name w:val="FCBullets2"/>
    <w:basedOn w:val="FCBullets"/>
    <w:rsid w:val="00960E38"/>
    <w:pPr>
      <w:numPr>
        <w:ilvl w:val="1"/>
      </w:numPr>
    </w:pPr>
  </w:style>
  <w:style w:type="numbering" w:customStyle="1" w:styleId="FCNotes">
    <w:name w:val="FCNotes"/>
    <w:uiPriority w:val="99"/>
    <w:rsid w:val="00960E38"/>
    <w:pPr>
      <w:numPr>
        <w:numId w:val="26"/>
      </w:numPr>
    </w:pPr>
  </w:style>
  <w:style w:type="paragraph" w:customStyle="1" w:styleId="Notes">
    <w:name w:val="Notes"/>
    <w:basedOn w:val="Normal"/>
    <w:rsid w:val="00960E38"/>
    <w:pPr>
      <w:numPr>
        <w:numId w:val="26"/>
      </w:numPr>
      <w:spacing w:before="60" w:after="60"/>
    </w:pPr>
  </w:style>
  <w:style w:type="paragraph" w:customStyle="1" w:styleId="OrdersHeading1">
    <w:name w:val="Orders Heading 1"/>
    <w:basedOn w:val="Normal"/>
    <w:next w:val="BodyText"/>
    <w:rsid w:val="00960E38"/>
    <w:pPr>
      <w:keepNext/>
      <w:spacing w:before="240" w:after="180" w:line="240" w:lineRule="auto"/>
    </w:pPr>
    <w:rPr>
      <w:b/>
      <w:caps/>
    </w:rPr>
  </w:style>
  <w:style w:type="paragraph" w:customStyle="1" w:styleId="OrdersHeading2">
    <w:name w:val="Orders Heading 2"/>
    <w:basedOn w:val="Normal"/>
    <w:next w:val="BodyText"/>
    <w:rsid w:val="00960E38"/>
    <w:pPr>
      <w:keepNext/>
      <w:spacing w:before="240" w:after="180" w:line="240" w:lineRule="auto"/>
    </w:pPr>
    <w:rPr>
      <w:b/>
    </w:rPr>
  </w:style>
  <w:style w:type="paragraph" w:customStyle="1" w:styleId="jade-outdent">
    <w:name w:val="jade-outdent"/>
    <w:basedOn w:val="Normal"/>
    <w:rsid w:val="00A014CB"/>
    <w:pPr>
      <w:spacing w:before="100" w:beforeAutospacing="1" w:after="100" w:afterAutospacing="1" w:line="240" w:lineRule="auto"/>
      <w:jc w:val="left"/>
    </w:pPr>
    <w:rPr>
      <w:rFonts w:eastAsia="Times New Roman"/>
      <w:szCs w:val="24"/>
      <w:lang w:eastAsia="en-AU"/>
    </w:rPr>
  </w:style>
  <w:style w:type="character" w:customStyle="1" w:styleId="jade-ts-11">
    <w:name w:val="jade-ts-11"/>
    <w:basedOn w:val="DefaultParagraphFont"/>
    <w:rsid w:val="00A014CB"/>
  </w:style>
  <w:style w:type="character" w:customStyle="1" w:styleId="jade-ts-10">
    <w:name w:val="jade-ts-10"/>
    <w:basedOn w:val="DefaultParagraphFont"/>
    <w:rsid w:val="00A014CB"/>
  </w:style>
  <w:style w:type="paragraph" w:styleId="ListParagraph">
    <w:name w:val="List Paragraph"/>
    <w:basedOn w:val="Normal"/>
    <w:uiPriority w:val="1"/>
    <w:qFormat/>
    <w:rsid w:val="006823E6"/>
    <w:pPr>
      <w:widowControl w:val="0"/>
      <w:autoSpaceDE w:val="0"/>
      <w:autoSpaceDN w:val="0"/>
      <w:spacing w:before="119" w:line="240" w:lineRule="auto"/>
      <w:ind w:left="838" w:hanging="720"/>
      <w:jc w:val="left"/>
    </w:pPr>
    <w:rPr>
      <w:rFonts w:ascii="Arial" w:eastAsia="Arial" w:hAnsi="Arial" w:cs="Arial"/>
      <w:sz w:val="22"/>
      <w:szCs w:val="22"/>
      <w:lang w:val="en-US"/>
    </w:rPr>
  </w:style>
  <w:style w:type="paragraph" w:customStyle="1" w:styleId="Default">
    <w:name w:val="Default"/>
    <w:rsid w:val="0099645A"/>
    <w:pPr>
      <w:autoSpaceDE w:val="0"/>
      <w:autoSpaceDN w:val="0"/>
      <w:adjustRightInd w:val="0"/>
    </w:pPr>
    <w:rPr>
      <w:color w:val="000000"/>
      <w:sz w:val="24"/>
      <w:szCs w:val="24"/>
    </w:rPr>
  </w:style>
  <w:style w:type="paragraph" w:styleId="Revision">
    <w:name w:val="Revision"/>
    <w:hidden/>
    <w:uiPriority w:val="99"/>
    <w:semiHidden/>
    <w:rsid w:val="00A43098"/>
    <w:rPr>
      <w:sz w:val="24"/>
      <w:lang w:eastAsia="en-US"/>
    </w:rPr>
  </w:style>
  <w:style w:type="paragraph" w:customStyle="1" w:styleId="TableParagraph">
    <w:name w:val="Table Paragraph"/>
    <w:basedOn w:val="Normal"/>
    <w:uiPriority w:val="1"/>
    <w:qFormat/>
    <w:rsid w:val="00AE19D8"/>
    <w:pPr>
      <w:widowControl w:val="0"/>
      <w:autoSpaceDE w:val="0"/>
      <w:autoSpaceDN w:val="0"/>
      <w:spacing w:line="210" w:lineRule="exact"/>
      <w:jc w:val="left"/>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8851">
      <w:bodyDiv w:val="1"/>
      <w:marLeft w:val="0"/>
      <w:marRight w:val="0"/>
      <w:marTop w:val="0"/>
      <w:marBottom w:val="0"/>
      <w:divBdr>
        <w:top w:val="none" w:sz="0" w:space="0" w:color="auto"/>
        <w:left w:val="none" w:sz="0" w:space="0" w:color="auto"/>
        <w:bottom w:val="none" w:sz="0" w:space="0" w:color="auto"/>
        <w:right w:val="none" w:sz="0" w:space="0" w:color="auto"/>
      </w:divBdr>
      <w:divsChild>
        <w:div w:id="60178760">
          <w:marLeft w:val="0"/>
          <w:marRight w:val="0"/>
          <w:marTop w:val="0"/>
          <w:marBottom w:val="0"/>
          <w:divBdr>
            <w:top w:val="none" w:sz="0" w:space="0" w:color="auto"/>
            <w:left w:val="none" w:sz="0" w:space="0" w:color="auto"/>
            <w:bottom w:val="none" w:sz="0" w:space="0" w:color="auto"/>
            <w:right w:val="none" w:sz="0" w:space="0" w:color="auto"/>
          </w:divBdr>
          <w:divsChild>
            <w:div w:id="51734585">
              <w:marLeft w:val="0"/>
              <w:marRight w:val="0"/>
              <w:marTop w:val="0"/>
              <w:marBottom w:val="0"/>
              <w:divBdr>
                <w:top w:val="none" w:sz="0" w:space="0" w:color="auto"/>
                <w:left w:val="none" w:sz="0" w:space="0" w:color="auto"/>
                <w:bottom w:val="none" w:sz="0" w:space="0" w:color="auto"/>
                <w:right w:val="none" w:sz="0" w:space="0" w:color="auto"/>
              </w:divBdr>
              <w:divsChild>
                <w:div w:id="4752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384">
          <w:marLeft w:val="0"/>
          <w:marRight w:val="0"/>
          <w:marTop w:val="0"/>
          <w:marBottom w:val="0"/>
          <w:divBdr>
            <w:top w:val="none" w:sz="0" w:space="0" w:color="auto"/>
            <w:left w:val="none" w:sz="0" w:space="0" w:color="auto"/>
            <w:bottom w:val="none" w:sz="0" w:space="0" w:color="auto"/>
            <w:right w:val="none" w:sz="0" w:space="0" w:color="auto"/>
          </w:divBdr>
          <w:divsChild>
            <w:div w:id="1966279054">
              <w:marLeft w:val="0"/>
              <w:marRight w:val="0"/>
              <w:marTop w:val="0"/>
              <w:marBottom w:val="0"/>
              <w:divBdr>
                <w:top w:val="none" w:sz="0" w:space="0" w:color="auto"/>
                <w:left w:val="none" w:sz="0" w:space="0" w:color="auto"/>
                <w:bottom w:val="none" w:sz="0" w:space="0" w:color="auto"/>
                <w:right w:val="none" w:sz="0" w:space="0" w:color="auto"/>
              </w:divBdr>
              <w:divsChild>
                <w:div w:id="6840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1771">
          <w:marLeft w:val="0"/>
          <w:marRight w:val="0"/>
          <w:marTop w:val="0"/>
          <w:marBottom w:val="0"/>
          <w:divBdr>
            <w:top w:val="none" w:sz="0" w:space="0" w:color="auto"/>
            <w:left w:val="none" w:sz="0" w:space="0" w:color="auto"/>
            <w:bottom w:val="none" w:sz="0" w:space="0" w:color="auto"/>
            <w:right w:val="none" w:sz="0" w:space="0" w:color="auto"/>
          </w:divBdr>
          <w:divsChild>
            <w:div w:id="836267454">
              <w:marLeft w:val="0"/>
              <w:marRight w:val="0"/>
              <w:marTop w:val="0"/>
              <w:marBottom w:val="0"/>
              <w:divBdr>
                <w:top w:val="none" w:sz="0" w:space="0" w:color="auto"/>
                <w:left w:val="none" w:sz="0" w:space="0" w:color="auto"/>
                <w:bottom w:val="none" w:sz="0" w:space="0" w:color="auto"/>
                <w:right w:val="none" w:sz="0" w:space="0" w:color="auto"/>
              </w:divBdr>
              <w:divsChild>
                <w:div w:id="18749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0344">
          <w:marLeft w:val="0"/>
          <w:marRight w:val="0"/>
          <w:marTop w:val="0"/>
          <w:marBottom w:val="0"/>
          <w:divBdr>
            <w:top w:val="none" w:sz="0" w:space="0" w:color="auto"/>
            <w:left w:val="none" w:sz="0" w:space="0" w:color="auto"/>
            <w:bottom w:val="none" w:sz="0" w:space="0" w:color="auto"/>
            <w:right w:val="none" w:sz="0" w:space="0" w:color="auto"/>
          </w:divBdr>
          <w:divsChild>
            <w:div w:id="344749242">
              <w:marLeft w:val="0"/>
              <w:marRight w:val="0"/>
              <w:marTop w:val="0"/>
              <w:marBottom w:val="0"/>
              <w:divBdr>
                <w:top w:val="none" w:sz="0" w:space="0" w:color="auto"/>
                <w:left w:val="none" w:sz="0" w:space="0" w:color="auto"/>
                <w:bottom w:val="none" w:sz="0" w:space="0" w:color="auto"/>
                <w:right w:val="none" w:sz="0" w:space="0" w:color="auto"/>
              </w:divBdr>
              <w:divsChild>
                <w:div w:id="7210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2341">
          <w:marLeft w:val="0"/>
          <w:marRight w:val="0"/>
          <w:marTop w:val="0"/>
          <w:marBottom w:val="0"/>
          <w:divBdr>
            <w:top w:val="none" w:sz="0" w:space="0" w:color="auto"/>
            <w:left w:val="none" w:sz="0" w:space="0" w:color="auto"/>
            <w:bottom w:val="none" w:sz="0" w:space="0" w:color="auto"/>
            <w:right w:val="none" w:sz="0" w:space="0" w:color="auto"/>
          </w:divBdr>
          <w:divsChild>
            <w:div w:id="992872961">
              <w:marLeft w:val="0"/>
              <w:marRight w:val="0"/>
              <w:marTop w:val="0"/>
              <w:marBottom w:val="0"/>
              <w:divBdr>
                <w:top w:val="none" w:sz="0" w:space="0" w:color="auto"/>
                <w:left w:val="none" w:sz="0" w:space="0" w:color="auto"/>
                <w:bottom w:val="none" w:sz="0" w:space="0" w:color="auto"/>
                <w:right w:val="none" w:sz="0" w:space="0" w:color="auto"/>
              </w:divBdr>
              <w:divsChild>
                <w:div w:id="6032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5228">
      <w:bodyDiv w:val="1"/>
      <w:marLeft w:val="0"/>
      <w:marRight w:val="0"/>
      <w:marTop w:val="0"/>
      <w:marBottom w:val="0"/>
      <w:divBdr>
        <w:top w:val="none" w:sz="0" w:space="0" w:color="auto"/>
        <w:left w:val="none" w:sz="0" w:space="0" w:color="auto"/>
        <w:bottom w:val="none" w:sz="0" w:space="0" w:color="auto"/>
        <w:right w:val="none" w:sz="0" w:space="0" w:color="auto"/>
      </w:divBdr>
    </w:div>
    <w:div w:id="287665736">
      <w:bodyDiv w:val="1"/>
      <w:marLeft w:val="0"/>
      <w:marRight w:val="0"/>
      <w:marTop w:val="0"/>
      <w:marBottom w:val="0"/>
      <w:divBdr>
        <w:top w:val="none" w:sz="0" w:space="0" w:color="auto"/>
        <w:left w:val="none" w:sz="0" w:space="0" w:color="auto"/>
        <w:bottom w:val="none" w:sz="0" w:space="0" w:color="auto"/>
        <w:right w:val="none" w:sz="0" w:space="0" w:color="auto"/>
      </w:divBdr>
    </w:div>
    <w:div w:id="293800090">
      <w:bodyDiv w:val="1"/>
      <w:marLeft w:val="0"/>
      <w:marRight w:val="0"/>
      <w:marTop w:val="0"/>
      <w:marBottom w:val="0"/>
      <w:divBdr>
        <w:top w:val="none" w:sz="0" w:space="0" w:color="auto"/>
        <w:left w:val="none" w:sz="0" w:space="0" w:color="auto"/>
        <w:bottom w:val="none" w:sz="0" w:space="0" w:color="auto"/>
        <w:right w:val="none" w:sz="0" w:space="0" w:color="auto"/>
      </w:divBdr>
    </w:div>
    <w:div w:id="335379565">
      <w:bodyDiv w:val="1"/>
      <w:marLeft w:val="0"/>
      <w:marRight w:val="0"/>
      <w:marTop w:val="0"/>
      <w:marBottom w:val="0"/>
      <w:divBdr>
        <w:top w:val="none" w:sz="0" w:space="0" w:color="auto"/>
        <w:left w:val="none" w:sz="0" w:space="0" w:color="auto"/>
        <w:bottom w:val="none" w:sz="0" w:space="0" w:color="auto"/>
        <w:right w:val="none" w:sz="0" w:space="0" w:color="auto"/>
      </w:divBdr>
    </w:div>
    <w:div w:id="356195112">
      <w:bodyDiv w:val="1"/>
      <w:marLeft w:val="0"/>
      <w:marRight w:val="0"/>
      <w:marTop w:val="0"/>
      <w:marBottom w:val="0"/>
      <w:divBdr>
        <w:top w:val="none" w:sz="0" w:space="0" w:color="auto"/>
        <w:left w:val="none" w:sz="0" w:space="0" w:color="auto"/>
        <w:bottom w:val="none" w:sz="0" w:space="0" w:color="auto"/>
        <w:right w:val="none" w:sz="0" w:space="0" w:color="auto"/>
      </w:divBdr>
    </w:div>
    <w:div w:id="378432117">
      <w:bodyDiv w:val="1"/>
      <w:marLeft w:val="0"/>
      <w:marRight w:val="0"/>
      <w:marTop w:val="0"/>
      <w:marBottom w:val="0"/>
      <w:divBdr>
        <w:top w:val="none" w:sz="0" w:space="0" w:color="auto"/>
        <w:left w:val="none" w:sz="0" w:space="0" w:color="auto"/>
        <w:bottom w:val="none" w:sz="0" w:space="0" w:color="auto"/>
        <w:right w:val="none" w:sz="0" w:space="0" w:color="auto"/>
      </w:divBdr>
    </w:div>
    <w:div w:id="812253367">
      <w:bodyDiv w:val="1"/>
      <w:marLeft w:val="0"/>
      <w:marRight w:val="0"/>
      <w:marTop w:val="0"/>
      <w:marBottom w:val="0"/>
      <w:divBdr>
        <w:top w:val="none" w:sz="0" w:space="0" w:color="auto"/>
        <w:left w:val="none" w:sz="0" w:space="0" w:color="auto"/>
        <w:bottom w:val="none" w:sz="0" w:space="0" w:color="auto"/>
        <w:right w:val="none" w:sz="0" w:space="0" w:color="auto"/>
      </w:divBdr>
    </w:div>
    <w:div w:id="887953225">
      <w:bodyDiv w:val="1"/>
      <w:marLeft w:val="0"/>
      <w:marRight w:val="0"/>
      <w:marTop w:val="0"/>
      <w:marBottom w:val="0"/>
      <w:divBdr>
        <w:top w:val="none" w:sz="0" w:space="0" w:color="auto"/>
        <w:left w:val="none" w:sz="0" w:space="0" w:color="auto"/>
        <w:bottom w:val="none" w:sz="0" w:space="0" w:color="auto"/>
        <w:right w:val="none" w:sz="0" w:space="0" w:color="auto"/>
      </w:divBdr>
      <w:divsChild>
        <w:div w:id="133275652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94604424">
      <w:bodyDiv w:val="1"/>
      <w:marLeft w:val="0"/>
      <w:marRight w:val="0"/>
      <w:marTop w:val="0"/>
      <w:marBottom w:val="0"/>
      <w:divBdr>
        <w:top w:val="none" w:sz="0" w:space="0" w:color="auto"/>
        <w:left w:val="none" w:sz="0" w:space="0" w:color="auto"/>
        <w:bottom w:val="none" w:sz="0" w:space="0" w:color="auto"/>
        <w:right w:val="none" w:sz="0" w:space="0" w:color="auto"/>
      </w:divBdr>
    </w:div>
    <w:div w:id="1157919374">
      <w:bodyDiv w:val="1"/>
      <w:marLeft w:val="0"/>
      <w:marRight w:val="0"/>
      <w:marTop w:val="0"/>
      <w:marBottom w:val="0"/>
      <w:divBdr>
        <w:top w:val="none" w:sz="0" w:space="0" w:color="auto"/>
        <w:left w:val="none" w:sz="0" w:space="0" w:color="auto"/>
        <w:bottom w:val="none" w:sz="0" w:space="0" w:color="auto"/>
        <w:right w:val="none" w:sz="0" w:space="0" w:color="auto"/>
      </w:divBdr>
    </w:div>
    <w:div w:id="1202016926">
      <w:bodyDiv w:val="1"/>
      <w:marLeft w:val="0"/>
      <w:marRight w:val="0"/>
      <w:marTop w:val="0"/>
      <w:marBottom w:val="0"/>
      <w:divBdr>
        <w:top w:val="none" w:sz="0" w:space="0" w:color="auto"/>
        <w:left w:val="none" w:sz="0" w:space="0" w:color="auto"/>
        <w:bottom w:val="none" w:sz="0" w:space="0" w:color="auto"/>
        <w:right w:val="none" w:sz="0" w:space="0" w:color="auto"/>
      </w:divBdr>
    </w:div>
    <w:div w:id="1235121991">
      <w:bodyDiv w:val="1"/>
      <w:marLeft w:val="0"/>
      <w:marRight w:val="0"/>
      <w:marTop w:val="0"/>
      <w:marBottom w:val="0"/>
      <w:divBdr>
        <w:top w:val="none" w:sz="0" w:space="0" w:color="auto"/>
        <w:left w:val="none" w:sz="0" w:space="0" w:color="auto"/>
        <w:bottom w:val="none" w:sz="0" w:space="0" w:color="auto"/>
        <w:right w:val="none" w:sz="0" w:space="0" w:color="auto"/>
      </w:divBdr>
    </w:div>
    <w:div w:id="1415514375">
      <w:bodyDiv w:val="1"/>
      <w:marLeft w:val="0"/>
      <w:marRight w:val="0"/>
      <w:marTop w:val="0"/>
      <w:marBottom w:val="0"/>
      <w:divBdr>
        <w:top w:val="none" w:sz="0" w:space="0" w:color="auto"/>
        <w:left w:val="none" w:sz="0" w:space="0" w:color="auto"/>
        <w:bottom w:val="none" w:sz="0" w:space="0" w:color="auto"/>
        <w:right w:val="none" w:sz="0" w:space="0" w:color="auto"/>
      </w:divBdr>
    </w:div>
    <w:div w:id="1429616103">
      <w:bodyDiv w:val="1"/>
      <w:marLeft w:val="0"/>
      <w:marRight w:val="0"/>
      <w:marTop w:val="0"/>
      <w:marBottom w:val="0"/>
      <w:divBdr>
        <w:top w:val="none" w:sz="0" w:space="0" w:color="auto"/>
        <w:left w:val="none" w:sz="0" w:space="0" w:color="auto"/>
        <w:bottom w:val="none" w:sz="0" w:space="0" w:color="auto"/>
        <w:right w:val="none" w:sz="0" w:space="0" w:color="auto"/>
      </w:divBdr>
    </w:div>
    <w:div w:id="1470782032">
      <w:bodyDiv w:val="1"/>
      <w:marLeft w:val="0"/>
      <w:marRight w:val="0"/>
      <w:marTop w:val="0"/>
      <w:marBottom w:val="0"/>
      <w:divBdr>
        <w:top w:val="none" w:sz="0" w:space="0" w:color="auto"/>
        <w:left w:val="none" w:sz="0" w:space="0" w:color="auto"/>
        <w:bottom w:val="none" w:sz="0" w:space="0" w:color="auto"/>
        <w:right w:val="none" w:sz="0" w:space="0" w:color="auto"/>
      </w:divBdr>
    </w:div>
    <w:div w:id="1483498174">
      <w:bodyDiv w:val="1"/>
      <w:marLeft w:val="0"/>
      <w:marRight w:val="0"/>
      <w:marTop w:val="0"/>
      <w:marBottom w:val="0"/>
      <w:divBdr>
        <w:top w:val="none" w:sz="0" w:space="0" w:color="auto"/>
        <w:left w:val="none" w:sz="0" w:space="0" w:color="auto"/>
        <w:bottom w:val="none" w:sz="0" w:space="0" w:color="auto"/>
        <w:right w:val="none" w:sz="0" w:space="0" w:color="auto"/>
      </w:divBdr>
    </w:div>
    <w:div w:id="1524203506">
      <w:bodyDiv w:val="1"/>
      <w:marLeft w:val="0"/>
      <w:marRight w:val="0"/>
      <w:marTop w:val="0"/>
      <w:marBottom w:val="0"/>
      <w:divBdr>
        <w:top w:val="none" w:sz="0" w:space="0" w:color="auto"/>
        <w:left w:val="none" w:sz="0" w:space="0" w:color="auto"/>
        <w:bottom w:val="none" w:sz="0" w:space="0" w:color="auto"/>
        <w:right w:val="none" w:sz="0" w:space="0" w:color="auto"/>
      </w:divBdr>
    </w:div>
    <w:div w:id="1526213460">
      <w:bodyDiv w:val="1"/>
      <w:marLeft w:val="0"/>
      <w:marRight w:val="0"/>
      <w:marTop w:val="0"/>
      <w:marBottom w:val="0"/>
      <w:divBdr>
        <w:top w:val="none" w:sz="0" w:space="0" w:color="auto"/>
        <w:left w:val="none" w:sz="0" w:space="0" w:color="auto"/>
        <w:bottom w:val="none" w:sz="0" w:space="0" w:color="auto"/>
        <w:right w:val="none" w:sz="0" w:space="0" w:color="auto"/>
      </w:divBdr>
    </w:div>
    <w:div w:id="1530295012">
      <w:bodyDiv w:val="1"/>
      <w:marLeft w:val="0"/>
      <w:marRight w:val="0"/>
      <w:marTop w:val="0"/>
      <w:marBottom w:val="0"/>
      <w:divBdr>
        <w:top w:val="none" w:sz="0" w:space="0" w:color="auto"/>
        <w:left w:val="none" w:sz="0" w:space="0" w:color="auto"/>
        <w:bottom w:val="none" w:sz="0" w:space="0" w:color="auto"/>
        <w:right w:val="none" w:sz="0" w:space="0" w:color="auto"/>
      </w:divBdr>
    </w:div>
    <w:div w:id="1640261683">
      <w:bodyDiv w:val="1"/>
      <w:marLeft w:val="0"/>
      <w:marRight w:val="0"/>
      <w:marTop w:val="0"/>
      <w:marBottom w:val="0"/>
      <w:divBdr>
        <w:top w:val="none" w:sz="0" w:space="0" w:color="auto"/>
        <w:left w:val="none" w:sz="0" w:space="0" w:color="auto"/>
        <w:bottom w:val="none" w:sz="0" w:space="0" w:color="auto"/>
        <w:right w:val="none" w:sz="0" w:space="0" w:color="auto"/>
      </w:divBdr>
    </w:div>
    <w:div w:id="1640917994">
      <w:bodyDiv w:val="1"/>
      <w:marLeft w:val="0"/>
      <w:marRight w:val="0"/>
      <w:marTop w:val="0"/>
      <w:marBottom w:val="0"/>
      <w:divBdr>
        <w:top w:val="none" w:sz="0" w:space="0" w:color="auto"/>
        <w:left w:val="none" w:sz="0" w:space="0" w:color="auto"/>
        <w:bottom w:val="none" w:sz="0" w:space="0" w:color="auto"/>
        <w:right w:val="none" w:sz="0" w:space="0" w:color="auto"/>
      </w:divBdr>
      <w:divsChild>
        <w:div w:id="429201973">
          <w:marLeft w:val="0"/>
          <w:marRight w:val="0"/>
          <w:marTop w:val="0"/>
          <w:marBottom w:val="0"/>
          <w:divBdr>
            <w:top w:val="none" w:sz="0" w:space="0" w:color="auto"/>
            <w:left w:val="none" w:sz="0" w:space="0" w:color="auto"/>
            <w:bottom w:val="none" w:sz="0" w:space="0" w:color="auto"/>
            <w:right w:val="none" w:sz="0" w:space="0" w:color="auto"/>
          </w:divBdr>
          <w:divsChild>
            <w:div w:id="135148305">
              <w:marLeft w:val="0"/>
              <w:marRight w:val="0"/>
              <w:marTop w:val="0"/>
              <w:marBottom w:val="0"/>
              <w:divBdr>
                <w:top w:val="none" w:sz="0" w:space="0" w:color="auto"/>
                <w:left w:val="none" w:sz="0" w:space="0" w:color="auto"/>
                <w:bottom w:val="none" w:sz="0" w:space="0" w:color="auto"/>
                <w:right w:val="none" w:sz="0" w:space="0" w:color="auto"/>
              </w:divBdr>
              <w:divsChild>
                <w:div w:id="18030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6799">
          <w:marLeft w:val="0"/>
          <w:marRight w:val="0"/>
          <w:marTop w:val="0"/>
          <w:marBottom w:val="0"/>
          <w:divBdr>
            <w:top w:val="none" w:sz="0" w:space="0" w:color="auto"/>
            <w:left w:val="none" w:sz="0" w:space="0" w:color="auto"/>
            <w:bottom w:val="none" w:sz="0" w:space="0" w:color="auto"/>
            <w:right w:val="none" w:sz="0" w:space="0" w:color="auto"/>
          </w:divBdr>
          <w:divsChild>
            <w:div w:id="1199244238">
              <w:marLeft w:val="0"/>
              <w:marRight w:val="0"/>
              <w:marTop w:val="0"/>
              <w:marBottom w:val="0"/>
              <w:divBdr>
                <w:top w:val="none" w:sz="0" w:space="0" w:color="auto"/>
                <w:left w:val="none" w:sz="0" w:space="0" w:color="auto"/>
                <w:bottom w:val="none" w:sz="0" w:space="0" w:color="auto"/>
                <w:right w:val="none" w:sz="0" w:space="0" w:color="auto"/>
              </w:divBdr>
              <w:divsChild>
                <w:div w:id="103623211">
                  <w:marLeft w:val="0"/>
                  <w:marRight w:val="0"/>
                  <w:marTop w:val="0"/>
                  <w:marBottom w:val="0"/>
                  <w:divBdr>
                    <w:top w:val="none" w:sz="0" w:space="0" w:color="auto"/>
                    <w:left w:val="none" w:sz="0" w:space="0" w:color="auto"/>
                    <w:bottom w:val="none" w:sz="0" w:space="0" w:color="auto"/>
                    <w:right w:val="none" w:sz="0" w:space="0" w:color="auto"/>
                  </w:divBdr>
                </w:div>
              </w:divsChild>
            </w:div>
            <w:div w:id="1336372917">
              <w:marLeft w:val="0"/>
              <w:marRight w:val="0"/>
              <w:marTop w:val="0"/>
              <w:marBottom w:val="0"/>
              <w:divBdr>
                <w:top w:val="none" w:sz="0" w:space="0" w:color="auto"/>
                <w:left w:val="none" w:sz="0" w:space="0" w:color="auto"/>
                <w:bottom w:val="none" w:sz="0" w:space="0" w:color="auto"/>
                <w:right w:val="none" w:sz="0" w:space="0" w:color="auto"/>
              </w:divBdr>
              <w:divsChild>
                <w:div w:id="74653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1751">
                      <w:marLeft w:val="0"/>
                      <w:marRight w:val="0"/>
                      <w:marTop w:val="0"/>
                      <w:marBottom w:val="0"/>
                      <w:divBdr>
                        <w:top w:val="none" w:sz="0" w:space="0" w:color="auto"/>
                        <w:left w:val="none" w:sz="0" w:space="0" w:color="auto"/>
                        <w:bottom w:val="none" w:sz="0" w:space="0" w:color="auto"/>
                        <w:right w:val="none" w:sz="0" w:space="0" w:color="auto"/>
                      </w:divBdr>
                      <w:divsChild>
                        <w:div w:id="2142765436">
                          <w:marLeft w:val="0"/>
                          <w:marRight w:val="0"/>
                          <w:marTop w:val="0"/>
                          <w:marBottom w:val="0"/>
                          <w:divBdr>
                            <w:top w:val="none" w:sz="0" w:space="0" w:color="auto"/>
                            <w:left w:val="none" w:sz="0" w:space="0" w:color="auto"/>
                            <w:bottom w:val="none" w:sz="0" w:space="0" w:color="auto"/>
                            <w:right w:val="none" w:sz="0" w:space="0" w:color="auto"/>
                          </w:divBdr>
                        </w:div>
                      </w:divsChild>
                    </w:div>
                    <w:div w:id="2128113649">
                      <w:marLeft w:val="0"/>
                      <w:marRight w:val="0"/>
                      <w:marTop w:val="0"/>
                      <w:marBottom w:val="0"/>
                      <w:divBdr>
                        <w:top w:val="none" w:sz="0" w:space="0" w:color="auto"/>
                        <w:left w:val="none" w:sz="0" w:space="0" w:color="auto"/>
                        <w:bottom w:val="none" w:sz="0" w:space="0" w:color="auto"/>
                        <w:right w:val="none" w:sz="0" w:space="0" w:color="auto"/>
                      </w:divBdr>
                      <w:divsChild>
                        <w:div w:id="16055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9459">
          <w:marLeft w:val="0"/>
          <w:marRight w:val="0"/>
          <w:marTop w:val="0"/>
          <w:marBottom w:val="0"/>
          <w:divBdr>
            <w:top w:val="none" w:sz="0" w:space="0" w:color="auto"/>
            <w:left w:val="none" w:sz="0" w:space="0" w:color="auto"/>
            <w:bottom w:val="none" w:sz="0" w:space="0" w:color="auto"/>
            <w:right w:val="none" w:sz="0" w:space="0" w:color="auto"/>
          </w:divBdr>
          <w:divsChild>
            <w:div w:id="1200125380">
              <w:marLeft w:val="0"/>
              <w:marRight w:val="0"/>
              <w:marTop w:val="0"/>
              <w:marBottom w:val="0"/>
              <w:divBdr>
                <w:top w:val="none" w:sz="0" w:space="0" w:color="auto"/>
                <w:left w:val="none" w:sz="0" w:space="0" w:color="auto"/>
                <w:bottom w:val="none" w:sz="0" w:space="0" w:color="auto"/>
                <w:right w:val="none" w:sz="0" w:space="0" w:color="auto"/>
              </w:divBdr>
              <w:divsChild>
                <w:div w:id="500971839">
                  <w:marLeft w:val="0"/>
                  <w:marRight w:val="0"/>
                  <w:marTop w:val="0"/>
                  <w:marBottom w:val="0"/>
                  <w:divBdr>
                    <w:top w:val="none" w:sz="0" w:space="0" w:color="auto"/>
                    <w:left w:val="none" w:sz="0" w:space="0" w:color="auto"/>
                    <w:bottom w:val="none" w:sz="0" w:space="0" w:color="auto"/>
                    <w:right w:val="none" w:sz="0" w:space="0" w:color="auto"/>
                  </w:divBdr>
                </w:div>
              </w:divsChild>
            </w:div>
            <w:div w:id="1404641194">
              <w:marLeft w:val="0"/>
              <w:marRight w:val="0"/>
              <w:marTop w:val="0"/>
              <w:marBottom w:val="0"/>
              <w:divBdr>
                <w:top w:val="none" w:sz="0" w:space="0" w:color="auto"/>
                <w:left w:val="none" w:sz="0" w:space="0" w:color="auto"/>
                <w:bottom w:val="none" w:sz="0" w:space="0" w:color="auto"/>
                <w:right w:val="none" w:sz="0" w:space="0" w:color="auto"/>
              </w:divBdr>
              <w:divsChild>
                <w:div w:id="172621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1964">
                      <w:marLeft w:val="0"/>
                      <w:marRight w:val="0"/>
                      <w:marTop w:val="0"/>
                      <w:marBottom w:val="0"/>
                      <w:divBdr>
                        <w:top w:val="none" w:sz="0" w:space="0" w:color="auto"/>
                        <w:left w:val="none" w:sz="0" w:space="0" w:color="auto"/>
                        <w:bottom w:val="none" w:sz="0" w:space="0" w:color="auto"/>
                        <w:right w:val="none" w:sz="0" w:space="0" w:color="auto"/>
                      </w:divBdr>
                      <w:divsChild>
                        <w:div w:id="325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2857">
          <w:marLeft w:val="0"/>
          <w:marRight w:val="0"/>
          <w:marTop w:val="0"/>
          <w:marBottom w:val="0"/>
          <w:divBdr>
            <w:top w:val="none" w:sz="0" w:space="0" w:color="auto"/>
            <w:left w:val="none" w:sz="0" w:space="0" w:color="auto"/>
            <w:bottom w:val="none" w:sz="0" w:space="0" w:color="auto"/>
            <w:right w:val="none" w:sz="0" w:space="0" w:color="auto"/>
          </w:divBdr>
          <w:divsChild>
            <w:div w:id="667903876">
              <w:marLeft w:val="0"/>
              <w:marRight w:val="0"/>
              <w:marTop w:val="0"/>
              <w:marBottom w:val="0"/>
              <w:divBdr>
                <w:top w:val="none" w:sz="0" w:space="0" w:color="auto"/>
                <w:left w:val="none" w:sz="0" w:space="0" w:color="auto"/>
                <w:bottom w:val="none" w:sz="0" w:space="0" w:color="auto"/>
                <w:right w:val="none" w:sz="0" w:space="0" w:color="auto"/>
              </w:divBdr>
              <w:divsChild>
                <w:div w:id="32548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767915">
                      <w:marLeft w:val="0"/>
                      <w:marRight w:val="0"/>
                      <w:marTop w:val="0"/>
                      <w:marBottom w:val="0"/>
                      <w:divBdr>
                        <w:top w:val="none" w:sz="0" w:space="0" w:color="auto"/>
                        <w:left w:val="none" w:sz="0" w:space="0" w:color="auto"/>
                        <w:bottom w:val="none" w:sz="0" w:space="0" w:color="auto"/>
                        <w:right w:val="none" w:sz="0" w:space="0" w:color="auto"/>
                      </w:divBdr>
                      <w:divsChild>
                        <w:div w:id="915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6866">
              <w:marLeft w:val="0"/>
              <w:marRight w:val="0"/>
              <w:marTop w:val="0"/>
              <w:marBottom w:val="0"/>
              <w:divBdr>
                <w:top w:val="none" w:sz="0" w:space="0" w:color="auto"/>
                <w:left w:val="none" w:sz="0" w:space="0" w:color="auto"/>
                <w:bottom w:val="none" w:sz="0" w:space="0" w:color="auto"/>
                <w:right w:val="none" w:sz="0" w:space="0" w:color="auto"/>
              </w:divBdr>
              <w:divsChild>
                <w:div w:id="1523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6538">
      <w:bodyDiv w:val="1"/>
      <w:marLeft w:val="0"/>
      <w:marRight w:val="0"/>
      <w:marTop w:val="0"/>
      <w:marBottom w:val="0"/>
      <w:divBdr>
        <w:top w:val="none" w:sz="0" w:space="0" w:color="auto"/>
        <w:left w:val="none" w:sz="0" w:space="0" w:color="auto"/>
        <w:bottom w:val="none" w:sz="0" w:space="0" w:color="auto"/>
        <w:right w:val="none" w:sz="0" w:space="0" w:color="auto"/>
      </w:divBdr>
    </w:div>
    <w:div w:id="1708606184">
      <w:bodyDiv w:val="1"/>
      <w:marLeft w:val="0"/>
      <w:marRight w:val="0"/>
      <w:marTop w:val="0"/>
      <w:marBottom w:val="0"/>
      <w:divBdr>
        <w:top w:val="none" w:sz="0" w:space="0" w:color="auto"/>
        <w:left w:val="none" w:sz="0" w:space="0" w:color="auto"/>
        <w:bottom w:val="none" w:sz="0" w:space="0" w:color="auto"/>
        <w:right w:val="none" w:sz="0" w:space="0" w:color="auto"/>
      </w:divBdr>
    </w:div>
    <w:div w:id="1946038667">
      <w:bodyDiv w:val="1"/>
      <w:marLeft w:val="0"/>
      <w:marRight w:val="0"/>
      <w:marTop w:val="0"/>
      <w:marBottom w:val="0"/>
      <w:divBdr>
        <w:top w:val="none" w:sz="0" w:space="0" w:color="auto"/>
        <w:left w:val="none" w:sz="0" w:space="0" w:color="auto"/>
        <w:bottom w:val="none" w:sz="0" w:space="0" w:color="auto"/>
        <w:right w:val="none" w:sz="0" w:space="0" w:color="auto"/>
      </w:divBdr>
      <w:divsChild>
        <w:div w:id="623386539">
          <w:marLeft w:val="0"/>
          <w:marRight w:val="0"/>
          <w:marTop w:val="0"/>
          <w:marBottom w:val="0"/>
          <w:divBdr>
            <w:top w:val="none" w:sz="0" w:space="0" w:color="auto"/>
            <w:left w:val="none" w:sz="0" w:space="0" w:color="auto"/>
            <w:bottom w:val="none" w:sz="0" w:space="0" w:color="auto"/>
            <w:right w:val="none" w:sz="0" w:space="0" w:color="auto"/>
          </w:divBdr>
        </w:div>
      </w:divsChild>
    </w:div>
    <w:div w:id="2017267748">
      <w:bodyDiv w:val="1"/>
      <w:marLeft w:val="0"/>
      <w:marRight w:val="0"/>
      <w:marTop w:val="0"/>
      <w:marBottom w:val="0"/>
      <w:divBdr>
        <w:top w:val="none" w:sz="0" w:space="0" w:color="auto"/>
        <w:left w:val="none" w:sz="0" w:space="0" w:color="auto"/>
        <w:bottom w:val="none" w:sz="0" w:space="0" w:color="auto"/>
        <w:right w:val="none" w:sz="0" w:space="0" w:color="auto"/>
      </w:divBdr>
    </w:div>
    <w:div w:id="2129473799">
      <w:bodyDiv w:val="1"/>
      <w:marLeft w:val="0"/>
      <w:marRight w:val="0"/>
      <w:marTop w:val="0"/>
      <w:marBottom w:val="0"/>
      <w:divBdr>
        <w:top w:val="none" w:sz="0" w:space="0" w:color="auto"/>
        <w:left w:val="none" w:sz="0" w:space="0" w:color="auto"/>
        <w:bottom w:val="none" w:sz="0" w:space="0" w:color="auto"/>
        <w:right w:val="none" w:sz="0" w:space="0" w:color="auto"/>
      </w:divBdr>
    </w:div>
    <w:div w:id="2137677920">
      <w:bodyDiv w:val="1"/>
      <w:marLeft w:val="0"/>
      <w:marRight w:val="0"/>
      <w:marTop w:val="0"/>
      <w:marBottom w:val="0"/>
      <w:divBdr>
        <w:top w:val="none" w:sz="0" w:space="0" w:color="auto"/>
        <w:left w:val="none" w:sz="0" w:space="0" w:color="auto"/>
        <w:bottom w:val="none" w:sz="0" w:space="0" w:color="auto"/>
        <w:right w:val="none" w:sz="0" w:space="0" w:color="auto"/>
      </w:divBdr>
      <w:divsChild>
        <w:div w:id="8513799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jpeg"/><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jpeg"/><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4B76C637704BA683B50E152F66716D"/>
        <w:category>
          <w:name w:val="General"/>
          <w:gallery w:val="placeholder"/>
        </w:category>
        <w:types>
          <w:type w:val="bbPlcHdr"/>
        </w:types>
        <w:behaviors>
          <w:behavior w:val="content"/>
        </w:behaviors>
        <w:guid w:val="{864F7DB6-2B47-4027-9402-4344B7549462}"/>
      </w:docPartPr>
      <w:docPartBody>
        <w:p w:rsidR="003840DF" w:rsidRDefault="003840DF">
          <w:pPr>
            <w:pStyle w:val="F04B76C637704BA683B50E152F66716D"/>
          </w:pPr>
          <w:r>
            <w:rPr>
              <w:rStyle w:val="PlaceholderText"/>
            </w:rPr>
            <w:t>MNC Text</w:t>
          </w:r>
        </w:p>
      </w:docPartBody>
    </w:docPart>
    <w:docPart>
      <w:docPartPr>
        <w:name w:val="282F229B86994C4DA41F3F3AAAE92477"/>
        <w:category>
          <w:name w:val="General"/>
          <w:gallery w:val="placeholder"/>
        </w:category>
        <w:types>
          <w:type w:val="bbPlcHdr"/>
        </w:types>
        <w:behaviors>
          <w:behavior w:val="content"/>
        </w:behaviors>
        <w:guid w:val="{5BD14FE5-F29A-4F42-BF8E-E2D9889F4D4C}"/>
      </w:docPartPr>
      <w:docPartBody>
        <w:p w:rsidR="003840DF" w:rsidRDefault="003840DF">
          <w:pPr>
            <w:pStyle w:val="282F229B86994C4DA41F3F3AAAE92477"/>
          </w:pPr>
          <w:r w:rsidRPr="005C44BE">
            <w:rPr>
              <w:rStyle w:val="PlaceholderText"/>
            </w:rPr>
            <w:t>Click or tap here to enter text.</w:t>
          </w:r>
        </w:p>
      </w:docPartBody>
    </w:docPart>
    <w:docPart>
      <w:docPartPr>
        <w:name w:val="F9D2F92A769344D685D580126CD53FA0"/>
        <w:category>
          <w:name w:val="General"/>
          <w:gallery w:val="placeholder"/>
        </w:category>
        <w:types>
          <w:type w:val="bbPlcHdr"/>
        </w:types>
        <w:behaviors>
          <w:behavior w:val="content"/>
        </w:behaviors>
        <w:guid w:val="{AD5EDF50-D097-4316-AB1F-7A2C1EF33BED}"/>
      </w:docPartPr>
      <w:docPartBody>
        <w:p w:rsidR="003840DF" w:rsidRDefault="003840DF">
          <w:pPr>
            <w:pStyle w:val="F9D2F92A769344D685D580126CD53FA0"/>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DF"/>
    <w:rsid w:val="000A428F"/>
    <w:rsid w:val="001B0494"/>
    <w:rsid w:val="001D45C3"/>
    <w:rsid w:val="001D6D0B"/>
    <w:rsid w:val="00242238"/>
    <w:rsid w:val="002E3466"/>
    <w:rsid w:val="00334E9F"/>
    <w:rsid w:val="003840DF"/>
    <w:rsid w:val="003861F0"/>
    <w:rsid w:val="004007B8"/>
    <w:rsid w:val="00482CEE"/>
    <w:rsid w:val="004B2B11"/>
    <w:rsid w:val="004F1BCE"/>
    <w:rsid w:val="005654A6"/>
    <w:rsid w:val="005A518F"/>
    <w:rsid w:val="005D1CA8"/>
    <w:rsid w:val="006019B7"/>
    <w:rsid w:val="00604007"/>
    <w:rsid w:val="006041CA"/>
    <w:rsid w:val="00742C4E"/>
    <w:rsid w:val="008744BC"/>
    <w:rsid w:val="008831B2"/>
    <w:rsid w:val="00895921"/>
    <w:rsid w:val="008B17FC"/>
    <w:rsid w:val="0098067B"/>
    <w:rsid w:val="00990534"/>
    <w:rsid w:val="00994A05"/>
    <w:rsid w:val="009D15B8"/>
    <w:rsid w:val="00A83C23"/>
    <w:rsid w:val="00A90246"/>
    <w:rsid w:val="00AD7114"/>
    <w:rsid w:val="00AF3888"/>
    <w:rsid w:val="00C56DC7"/>
    <w:rsid w:val="00CA14B5"/>
    <w:rsid w:val="00D15D63"/>
    <w:rsid w:val="00D37C5B"/>
    <w:rsid w:val="00D91198"/>
    <w:rsid w:val="00DE207B"/>
    <w:rsid w:val="00E300B3"/>
    <w:rsid w:val="00F05BDD"/>
    <w:rsid w:val="00F4268F"/>
    <w:rsid w:val="00FB1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4B76C637704BA683B50E152F66716D">
    <w:name w:val="F04B76C637704BA683B50E152F66716D"/>
  </w:style>
  <w:style w:type="paragraph" w:customStyle="1" w:styleId="282F229B86994C4DA41F3F3AAAE92477">
    <w:name w:val="282F229B86994C4DA41F3F3AAAE92477"/>
  </w:style>
  <w:style w:type="paragraph" w:customStyle="1" w:styleId="F9D2F92A769344D685D580126CD53FA0">
    <w:name w:val="F9D2F92A769344D685D580126CD53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6E21F7A5ED04387901D30F649857B" ma:contentTypeVersion="13" ma:contentTypeDescription="Create a new document." ma:contentTypeScope="" ma:versionID="fe4d990cdb6a22ce25ac27d52cc2b9cb">
  <xsd:schema xmlns:xsd="http://www.w3.org/2001/XMLSchema" xmlns:xs="http://www.w3.org/2001/XMLSchema" xmlns:p="http://schemas.microsoft.com/office/2006/metadata/properties" xmlns:ns3="519779f5-9e34-4ce5-8a32-cbb046083036" xmlns:ns4="c64b8e9e-2d96-4cce-a0c5-07c21b0901cc" targetNamespace="http://schemas.microsoft.com/office/2006/metadata/properties" ma:root="true" ma:fieldsID="a4b50a38dceea61a2f80d42e952480d8" ns3:_="" ns4:_="">
    <xsd:import namespace="519779f5-9e34-4ce5-8a32-cbb046083036"/>
    <xsd:import namespace="c64b8e9e-2d96-4cce-a0c5-07c21b0901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779f5-9e34-4ce5-8a32-cbb046083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b8e9e-2d96-4cce-a0c5-07c21b0901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xmlns="http://schemas.globalmacros.com/FCA">
  <Name>Kite (Trustee), in the matter of Murray (a Bankrupt) v Murray [2023] FCA 198 </Nam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D897-F1D1-4796-A29D-DECB48D1CEB8}">
  <ds:schemaRefs>
    <ds:schemaRef ds:uri="http://schemas.microsoft.com/sharepoint/v3/contenttype/forms"/>
  </ds:schemaRefs>
</ds:datastoreItem>
</file>

<file path=customXml/itemProps2.xml><?xml version="1.0" encoding="utf-8"?>
<ds:datastoreItem xmlns:ds="http://schemas.openxmlformats.org/officeDocument/2006/customXml" ds:itemID="{F30DD335-A062-4FD2-B531-CAB2C9D5A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779f5-9e34-4ce5-8a32-cbb046083036"/>
    <ds:schemaRef ds:uri="c64b8e9e-2d96-4cce-a0c5-07c21b090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F03F0-7C05-4410-9B86-1F572C1E8E92}">
  <ds:schemaRefs>
    <ds:schemaRef ds:uri="http://schemas.openxmlformats.org/package/2006/metadata/core-properties"/>
    <ds:schemaRef ds:uri="http://purl.org/dc/elements/1.1/"/>
    <ds:schemaRef ds:uri="http://schemas.microsoft.com/office/2006/metadata/properties"/>
    <ds:schemaRef ds:uri="519779f5-9e34-4ce5-8a32-cbb046083036"/>
    <ds:schemaRef ds:uri="http://purl.org/dc/terms/"/>
    <ds:schemaRef ds:uri="http://schemas.microsoft.com/office/infopath/2007/PartnerControls"/>
    <ds:schemaRef ds:uri="http://schemas.microsoft.com/office/2006/documentManagement/types"/>
    <ds:schemaRef ds:uri="c64b8e9e-2d96-4cce-a0c5-07c21b0901cc"/>
    <ds:schemaRef ds:uri="http://www.w3.org/XML/1998/namespace"/>
    <ds:schemaRef ds:uri="http://purl.org/dc/dcmitype/"/>
  </ds:schemaRefs>
</ds:datastoreItem>
</file>

<file path=customXml/itemProps4.xml><?xml version="1.0" encoding="utf-8"?>
<ds:datastoreItem xmlns:ds="http://schemas.openxmlformats.org/officeDocument/2006/customXml" ds:itemID="{687E7CCB-4AA5-44E7-B148-17BA2B6F57C0}">
  <ds:schemaRefs>
    <ds:schemaRef ds:uri="http://schemas.globalmacros.com/FCA"/>
  </ds:schemaRefs>
</ds:datastoreItem>
</file>

<file path=customXml/itemProps5.xml><?xml version="1.0" encoding="utf-8"?>
<ds:datastoreItem xmlns:ds="http://schemas.openxmlformats.org/officeDocument/2006/customXml" ds:itemID="{F288D18F-4545-4262-8178-8D04E1C4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78</Pages>
  <Words>30792</Words>
  <Characters>156320</Characters>
  <Application>Microsoft Office Word</Application>
  <DocSecurity>0</DocSecurity>
  <PresentationFormat/>
  <Lines>3006</Lines>
  <Paragraphs>1290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2023-03-10T00:43:00Z</cp:lastPrinted>
  <dcterms:created xsi:type="dcterms:W3CDTF">2023-03-10T00:44:00Z</dcterms:created>
  <dcterms:modified xsi:type="dcterms:W3CDTF">2023-03-10T00:55:00Z</dcterms:modified>
  <cp:category/>
  <cp:contentStatus/>
  <dc:language/>
  <cp:version/>
</cp:coreProperties>
</file>