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8D3677" w:rsidP="00A22932">
      <w:pPr>
        <w:pStyle w:val="CourtTitle"/>
      </w:pPr>
      <w:r>
        <w:fldChar w:fldCharType="begin"/>
      </w:r>
      <w:r>
        <w:instrText xml:space="preserve"> DOCPROPERTY  Court  \* MERGEFORMAT </w:instrText>
      </w:r>
      <w:r>
        <w:fldChar w:fldCharType="separate"/>
      </w:r>
      <w:r w:rsidR="004A1C7E">
        <w:t>Federal Court of Australia</w:t>
      </w:r>
      <w:r>
        <w:fldChar w:fldCharType="end"/>
      </w:r>
    </w:p>
    <w:p w:rsidR="004D7950" w:rsidRDefault="004D7950">
      <w:pPr>
        <w:pStyle w:val="NormalHeadings"/>
        <w:jc w:val="center"/>
        <w:rPr>
          <w:sz w:val="32"/>
        </w:rPr>
      </w:pPr>
    </w:p>
    <w:bookmarkStart w:id="0" w:name="MNC"/>
    <w:p w:rsidR="00374CC4" w:rsidRDefault="005F42BD" w:rsidP="001A2B40">
      <w:pPr>
        <w:pStyle w:val="MNC"/>
      </w:pPr>
      <w:sdt>
        <w:sdtPr>
          <w:rPr>
            <w:color w:val="000000"/>
            <w:szCs w:val="24"/>
            <w:lang w:eastAsia="en-AU"/>
          </w:rPr>
          <w:alias w:val="MNC"/>
          <w:tag w:val="MNC"/>
          <w:id w:val="343289786"/>
          <w:lock w:val="sdtLocked"/>
          <w:placeholder>
            <w:docPart w:val="EAE85191E8504AE7B1D87B3051EBA4D7"/>
          </w:placeholder>
          <w:dataBinding w:prefixMappings="xmlns:ns0='http://schemas.globalmacros.com/FCA'" w:xpath="/ns0:root[1]/ns0:Name[1]" w:storeItemID="{687E7CCB-4AA5-44E7-B148-17BA2B6F57C0}"/>
          <w:text w:multiLine="1"/>
        </w:sdtPr>
        <w:sdtEndPr/>
        <w:sdtContent>
          <w:proofErr w:type="spellStart"/>
          <w:r w:rsidR="00F90215" w:rsidRPr="004A1C7E">
            <w:rPr>
              <w:color w:val="000000"/>
              <w:szCs w:val="24"/>
              <w:lang w:eastAsia="en-AU"/>
            </w:rPr>
            <w:t>Campaigntrack</w:t>
          </w:r>
          <w:proofErr w:type="spellEnd"/>
          <w:r w:rsidR="00F90215" w:rsidRPr="004A1C7E">
            <w:rPr>
              <w:color w:val="000000"/>
              <w:szCs w:val="24"/>
              <w:lang w:eastAsia="en-AU"/>
            </w:rPr>
            <w:t xml:space="preserve"> Pty Ltd v Real Estate Tool Box Pty Ltd </w:t>
          </w:r>
          <w:r w:rsidR="00F90215">
            <w:rPr>
              <w:color w:val="000000"/>
              <w:szCs w:val="24"/>
              <w:lang w:eastAsia="en-AU"/>
            </w:rPr>
            <w:t xml:space="preserve">(No 2) </w:t>
          </w:r>
          <w:r w:rsidR="00F90215" w:rsidRPr="004A1C7E">
            <w:rPr>
              <w:color w:val="000000"/>
              <w:szCs w:val="24"/>
              <w:lang w:eastAsia="en-AU"/>
            </w:rPr>
            <w:t>[2022] FCAFC</w:t>
          </w:r>
          <w:r w:rsidR="00F90215">
            <w:rPr>
              <w:color w:val="000000"/>
              <w:szCs w:val="24"/>
              <w:lang w:eastAsia="en-AU"/>
            </w:rPr>
            <w:t xml:space="preserve"> </w:t>
          </w:r>
          <w:r w:rsidR="008D3677">
            <w:rPr>
              <w:color w:val="000000"/>
              <w:szCs w:val="24"/>
              <w:lang w:eastAsia="en-AU"/>
            </w:rPr>
            <w:t>121</w:t>
          </w:r>
          <w:r w:rsidR="00F90215" w:rsidRPr="004A1C7E">
            <w:rPr>
              <w:color w:val="000000"/>
              <w:szCs w:val="24"/>
              <w:lang w:eastAsia="en-AU"/>
            </w:rPr>
            <w:t xml:space="preserve"> </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89"/>
      </w:tblGrid>
      <w:tr w:rsidR="004A1C7E" w:rsidTr="003B6E77">
        <w:tc>
          <w:tcPr>
            <w:tcW w:w="3083" w:type="dxa"/>
            <w:shd w:val="clear" w:color="auto" w:fill="auto"/>
          </w:tcPr>
          <w:p w:rsidR="004A1C7E" w:rsidRDefault="004A1C7E" w:rsidP="002539B3">
            <w:pPr>
              <w:pStyle w:val="Normal1linespace"/>
              <w:widowControl w:val="0"/>
              <w:spacing w:after="60"/>
              <w:jc w:val="left"/>
            </w:pPr>
            <w:bookmarkStart w:id="1" w:name="AppealFrom_row" w:colFirst="0" w:colLast="1"/>
            <w:r>
              <w:t>Appeal from:</w:t>
            </w:r>
          </w:p>
        </w:tc>
        <w:tc>
          <w:tcPr>
            <w:tcW w:w="5989" w:type="dxa"/>
            <w:shd w:val="clear" w:color="auto" w:fill="auto"/>
          </w:tcPr>
          <w:p w:rsidR="004A1C7E" w:rsidRDefault="008D3677" w:rsidP="002539B3">
            <w:pPr>
              <w:pStyle w:val="CasesLegislationAppealFrom"/>
              <w:spacing w:after="60"/>
            </w:pPr>
            <w:r>
              <w:fldChar w:fldCharType="begin"/>
            </w:r>
            <w:r>
              <w:instrText xml:space="preserve"> DOCPROPERTY  AppealFrom  \* MERGEFORMAT </w:instrText>
            </w:r>
            <w:r>
              <w:fldChar w:fldCharType="separate"/>
            </w:r>
            <w:proofErr w:type="spellStart"/>
            <w:r w:rsidR="004A1C7E">
              <w:t>Campaigntrack</w:t>
            </w:r>
            <w:proofErr w:type="spellEnd"/>
            <w:r w:rsidR="004A1C7E">
              <w:t xml:space="preserve"> Pty Ltd v Real Estate Tool Box Pty Ltd [2021] FCA 809</w:t>
            </w:r>
            <w:r>
              <w:fldChar w:fldCharType="end"/>
            </w:r>
          </w:p>
        </w:tc>
      </w:tr>
      <w:tr w:rsidR="004A1C7E" w:rsidTr="003B6E77">
        <w:tc>
          <w:tcPr>
            <w:tcW w:w="3083" w:type="dxa"/>
            <w:shd w:val="clear" w:color="auto" w:fill="auto"/>
          </w:tcPr>
          <w:p w:rsidR="004A1C7E" w:rsidRDefault="004A1C7E" w:rsidP="00663878">
            <w:pPr>
              <w:pStyle w:val="Normal1linespace"/>
              <w:widowControl w:val="0"/>
              <w:jc w:val="left"/>
            </w:pPr>
          </w:p>
        </w:tc>
        <w:tc>
          <w:tcPr>
            <w:tcW w:w="5989" w:type="dxa"/>
            <w:shd w:val="clear" w:color="auto" w:fill="auto"/>
          </w:tcPr>
          <w:p w:rsidR="004A1C7E" w:rsidRDefault="004A1C7E" w:rsidP="00663878">
            <w:pPr>
              <w:pStyle w:val="Normal1linespace"/>
              <w:widowControl w:val="0"/>
              <w:jc w:val="left"/>
            </w:pPr>
          </w:p>
        </w:tc>
      </w:tr>
      <w:bookmarkEnd w:id="1"/>
      <w:tr w:rsidR="00395B24" w:rsidTr="003B6E77">
        <w:tc>
          <w:tcPr>
            <w:tcW w:w="3083"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4A1C7E" w:rsidRDefault="0044435F" w:rsidP="004A1C7E">
            <w:pPr>
              <w:pStyle w:val="Normal1linespace"/>
              <w:jc w:val="left"/>
            </w:pPr>
            <w:fldSimple w:instr=" REF  FileNo  \* MERGEFORMAT " w:fldLock="1">
              <w:r w:rsidR="004A1C7E" w:rsidRPr="004A1C7E">
                <w:t>NSD 1015 of 2021</w:t>
              </w:r>
            </w:fldSimple>
          </w:p>
        </w:tc>
      </w:tr>
      <w:tr w:rsidR="00395B24" w:rsidTr="003B6E77">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B6E77">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4A1C7E">
              <w:rPr>
                <w:b/>
              </w:rPr>
              <w:fldChar w:fldCharType="begin" w:fldLock="1"/>
            </w:r>
            <w:r w:rsidRPr="004A1C7E">
              <w:rPr>
                <w:b/>
              </w:rPr>
              <w:instrText xml:space="preserve"> REF  Judge  \* MERGEFORMAT </w:instrText>
            </w:r>
            <w:r w:rsidRPr="004A1C7E">
              <w:rPr>
                <w:b/>
              </w:rPr>
              <w:fldChar w:fldCharType="separate"/>
            </w:r>
            <w:r w:rsidR="004A1C7E" w:rsidRPr="004A1C7E">
              <w:rPr>
                <w:b/>
                <w:caps/>
                <w:szCs w:val="24"/>
              </w:rPr>
              <w:t>GREENWOOD, CHEESEMAN AND MCELWAINE JJ</w:t>
            </w:r>
            <w:r w:rsidRPr="004A1C7E">
              <w:rPr>
                <w:b/>
              </w:rPr>
              <w:fldChar w:fldCharType="end"/>
            </w:r>
          </w:p>
        </w:tc>
      </w:tr>
      <w:tr w:rsidR="00395B24" w:rsidTr="003B6E77">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B6E77">
        <w:tc>
          <w:tcPr>
            <w:tcW w:w="3083"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3B6E77" w:rsidP="003B6E77">
            <w:pPr>
              <w:pStyle w:val="Normal1linespace"/>
              <w:widowControl w:val="0"/>
              <w:jc w:val="left"/>
            </w:pPr>
            <w:bookmarkStart w:id="2" w:name="JudgmentDate"/>
            <w:r>
              <w:t>19 July 2022</w:t>
            </w:r>
            <w:bookmarkEnd w:id="2"/>
          </w:p>
        </w:tc>
      </w:tr>
      <w:tr w:rsidR="00395B24" w:rsidTr="003B6E77">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B6E77">
        <w:tc>
          <w:tcPr>
            <w:tcW w:w="3083"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13075B" w:rsidP="008154A7">
            <w:pPr>
              <w:pStyle w:val="Normal1linespace"/>
              <w:widowControl w:val="0"/>
              <w:jc w:val="left"/>
            </w:pPr>
            <w:bookmarkStart w:id="3" w:name="Catchwords"/>
            <w:r>
              <w:t xml:space="preserve">COSTS – </w:t>
            </w:r>
            <w:r w:rsidR="000E5FC1">
              <w:t xml:space="preserve">determination of costs on appeal and first instance proceeding – </w:t>
            </w:r>
            <w:r>
              <w:t>application for an order that the respondents pay the appellant’s costs on an indemnity basis –</w:t>
            </w:r>
            <w:r w:rsidR="000E5FC1">
              <w:t xml:space="preserve"> where</w:t>
            </w:r>
            <w:r>
              <w:t xml:space="preserve"> offer of compromise </w:t>
            </w:r>
            <w:r w:rsidR="000E5FC1">
              <w:t xml:space="preserve">– where </w:t>
            </w:r>
            <w:r>
              <w:t xml:space="preserve">no reason to depart from </w:t>
            </w:r>
            <w:r w:rsidR="00CC7204">
              <w:t>guiding</w:t>
            </w:r>
            <w:r w:rsidR="000E5FC1">
              <w:t xml:space="preserve"> </w:t>
            </w:r>
            <w:r w:rsidR="00CC7204">
              <w:t>princip</w:t>
            </w:r>
            <w:r w:rsidR="00257997">
              <w:t>le</w:t>
            </w:r>
            <w:r w:rsidR="00F5286E">
              <w:t xml:space="preserve"> </w:t>
            </w:r>
            <w:r w:rsidR="008154A7">
              <w:t>for the award of indemnity costs</w:t>
            </w:r>
            <w:r w:rsidR="00CC7204">
              <w:t>– where not unreasonable to not accept offer of compromise</w:t>
            </w:r>
            <w:bookmarkEnd w:id="3"/>
          </w:p>
        </w:tc>
      </w:tr>
      <w:tr w:rsidR="00395B24" w:rsidTr="003B6E77">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B6E77">
        <w:tc>
          <w:tcPr>
            <w:tcW w:w="3083"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0E5FC1" w:rsidP="008154A7">
            <w:pPr>
              <w:pStyle w:val="CasesLegislationAppealFrom"/>
              <w:spacing w:after="60"/>
            </w:pPr>
            <w:bookmarkStart w:id="4" w:name="Legislation"/>
            <w:r w:rsidRPr="00FE6122">
              <w:rPr>
                <w:i/>
              </w:rPr>
              <w:t xml:space="preserve">Federal Court </w:t>
            </w:r>
            <w:r w:rsidR="00F5286E">
              <w:rPr>
                <w:i/>
              </w:rPr>
              <w:t>R</w:t>
            </w:r>
            <w:r w:rsidRPr="00FE6122">
              <w:rPr>
                <w:i/>
              </w:rPr>
              <w:t>ules 2011</w:t>
            </w:r>
            <w:r>
              <w:t xml:space="preserve"> (</w:t>
            </w:r>
            <w:proofErr w:type="spellStart"/>
            <w:r>
              <w:t>Cth</w:t>
            </w:r>
            <w:proofErr w:type="spellEnd"/>
            <w:r>
              <w:t>)</w:t>
            </w:r>
            <w:r w:rsidR="00B52B65">
              <w:t xml:space="preserve"> </w:t>
            </w:r>
            <w:r w:rsidR="008154A7">
              <w:t>s 40.02(b)</w:t>
            </w:r>
            <w:r w:rsidR="002C7385">
              <w:t xml:space="preserve"> </w:t>
            </w:r>
            <w:bookmarkEnd w:id="4"/>
          </w:p>
        </w:tc>
      </w:tr>
      <w:tr w:rsidR="00395B24" w:rsidTr="003B6E77">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B6E77">
        <w:tc>
          <w:tcPr>
            <w:tcW w:w="3083"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95B24" w:rsidRDefault="000E5FC1" w:rsidP="008154A7">
            <w:pPr>
              <w:pStyle w:val="CasesLegislationAppealFrom"/>
              <w:spacing w:after="60"/>
            </w:pPr>
            <w:bookmarkStart w:id="5" w:name="Cases_Cited"/>
            <w:r w:rsidRPr="00FE6122">
              <w:rPr>
                <w:i/>
              </w:rPr>
              <w:t xml:space="preserve">Wills v Chief </w:t>
            </w:r>
            <w:r>
              <w:rPr>
                <w:i/>
              </w:rPr>
              <w:t>E</w:t>
            </w:r>
            <w:r w:rsidRPr="00FE6122">
              <w:rPr>
                <w:i/>
              </w:rPr>
              <w:t xml:space="preserve">xecutive </w:t>
            </w:r>
            <w:r>
              <w:rPr>
                <w:i/>
              </w:rPr>
              <w:t>O</w:t>
            </w:r>
            <w:r w:rsidRPr="00FE6122">
              <w:rPr>
                <w:i/>
              </w:rPr>
              <w:t>fficer of the Australian Skills</w:t>
            </w:r>
            <w:r>
              <w:rPr>
                <w:i/>
              </w:rPr>
              <w:t xml:space="preserve"> Quality</w:t>
            </w:r>
            <w:r w:rsidRPr="00FE6122">
              <w:rPr>
                <w:i/>
              </w:rPr>
              <w:t xml:space="preserve"> Authority (Costs)</w:t>
            </w:r>
            <w:r>
              <w:t xml:space="preserve"> [2022] FCAFC 43</w:t>
            </w:r>
            <w:r w:rsidR="002C7385">
              <w:t xml:space="preserve"> </w:t>
            </w:r>
            <w:bookmarkEnd w:id="5"/>
          </w:p>
        </w:tc>
      </w:tr>
      <w:tr w:rsidR="004A1C7E" w:rsidTr="003B6E77">
        <w:tc>
          <w:tcPr>
            <w:tcW w:w="3083" w:type="dxa"/>
            <w:shd w:val="clear" w:color="auto" w:fill="auto"/>
          </w:tcPr>
          <w:p w:rsidR="004A1C7E" w:rsidRDefault="004A1C7E" w:rsidP="002F7154">
            <w:pPr>
              <w:pStyle w:val="Normal1linespace"/>
              <w:widowControl w:val="0"/>
            </w:pPr>
          </w:p>
        </w:tc>
        <w:tc>
          <w:tcPr>
            <w:tcW w:w="5989" w:type="dxa"/>
            <w:shd w:val="clear" w:color="auto" w:fill="auto"/>
          </w:tcPr>
          <w:p w:rsidR="004A1C7E" w:rsidRDefault="004A1C7E" w:rsidP="002F7154">
            <w:pPr>
              <w:pStyle w:val="Normal1linespace"/>
              <w:widowControl w:val="0"/>
              <w:jc w:val="left"/>
            </w:pPr>
          </w:p>
        </w:tc>
      </w:tr>
      <w:tr w:rsidR="004A1C7E" w:rsidTr="003B6E77">
        <w:tc>
          <w:tcPr>
            <w:tcW w:w="3083" w:type="dxa"/>
            <w:shd w:val="clear" w:color="auto" w:fill="auto"/>
          </w:tcPr>
          <w:p w:rsidR="004A1C7E" w:rsidRDefault="004A1C7E" w:rsidP="00501A12">
            <w:pPr>
              <w:pStyle w:val="Normal1linespace"/>
              <w:widowControl w:val="0"/>
            </w:pPr>
            <w:r>
              <w:t>Division:</w:t>
            </w:r>
          </w:p>
        </w:tc>
        <w:tc>
          <w:tcPr>
            <w:tcW w:w="5989" w:type="dxa"/>
            <w:shd w:val="clear" w:color="auto" w:fill="auto"/>
          </w:tcPr>
          <w:p w:rsidR="004A1C7E" w:rsidRPr="00F17599" w:rsidRDefault="005F42BD" w:rsidP="00501A12">
            <w:pPr>
              <w:pStyle w:val="Normal1linespace"/>
              <w:widowControl w:val="0"/>
              <w:jc w:val="left"/>
            </w:pPr>
            <w:r>
              <w:fldChar w:fldCharType="begin"/>
            </w:r>
            <w:r>
              <w:instrText xml:space="preserve"> DOCPROPERTY  Division </w:instrText>
            </w:r>
            <w:r>
              <w:fldChar w:fldCharType="separate"/>
            </w:r>
            <w:r w:rsidR="004A1C7E">
              <w:t>General Division</w:t>
            </w:r>
            <w:r>
              <w:fldChar w:fldCharType="end"/>
            </w:r>
          </w:p>
        </w:tc>
      </w:tr>
      <w:tr w:rsidR="004A1C7E" w:rsidTr="003B6E77">
        <w:tc>
          <w:tcPr>
            <w:tcW w:w="3083" w:type="dxa"/>
            <w:shd w:val="clear" w:color="auto" w:fill="auto"/>
          </w:tcPr>
          <w:p w:rsidR="004A1C7E" w:rsidRDefault="004A1C7E" w:rsidP="00501A12">
            <w:pPr>
              <w:pStyle w:val="Normal1linespace"/>
              <w:widowControl w:val="0"/>
            </w:pPr>
            <w:bookmarkStart w:id="6" w:name="Registry_rows" w:colFirst="0" w:colLast="1"/>
          </w:p>
        </w:tc>
        <w:tc>
          <w:tcPr>
            <w:tcW w:w="5989" w:type="dxa"/>
            <w:shd w:val="clear" w:color="auto" w:fill="auto"/>
          </w:tcPr>
          <w:p w:rsidR="004A1C7E" w:rsidRDefault="004A1C7E" w:rsidP="00501A12">
            <w:pPr>
              <w:pStyle w:val="Normal1linespace"/>
              <w:widowControl w:val="0"/>
              <w:jc w:val="left"/>
            </w:pPr>
          </w:p>
        </w:tc>
      </w:tr>
      <w:tr w:rsidR="004A1C7E" w:rsidTr="003B6E77">
        <w:tc>
          <w:tcPr>
            <w:tcW w:w="3083" w:type="dxa"/>
            <w:shd w:val="clear" w:color="auto" w:fill="auto"/>
          </w:tcPr>
          <w:p w:rsidR="004A1C7E" w:rsidRDefault="004A1C7E" w:rsidP="00501A12">
            <w:pPr>
              <w:pStyle w:val="Normal1linespace"/>
              <w:widowControl w:val="0"/>
            </w:pPr>
            <w:r>
              <w:t>Registry:</w:t>
            </w:r>
          </w:p>
        </w:tc>
        <w:tc>
          <w:tcPr>
            <w:tcW w:w="5989" w:type="dxa"/>
            <w:shd w:val="clear" w:color="auto" w:fill="auto"/>
          </w:tcPr>
          <w:p w:rsidR="004A1C7E" w:rsidRPr="00F17599" w:rsidRDefault="0044435F" w:rsidP="00501A12">
            <w:pPr>
              <w:pStyle w:val="Normal1linespace"/>
              <w:widowControl w:val="0"/>
              <w:jc w:val="left"/>
            </w:pPr>
            <w:fldSimple w:instr=" DOCPROPERTY  Registry ">
              <w:r w:rsidR="004A1C7E">
                <w:t>Victoria</w:t>
              </w:r>
            </w:fldSimple>
          </w:p>
        </w:tc>
      </w:tr>
      <w:tr w:rsidR="004A1C7E" w:rsidTr="003B6E77">
        <w:tc>
          <w:tcPr>
            <w:tcW w:w="3083" w:type="dxa"/>
            <w:shd w:val="clear" w:color="auto" w:fill="auto"/>
          </w:tcPr>
          <w:p w:rsidR="004A1C7E" w:rsidRDefault="004A1C7E" w:rsidP="00501A12">
            <w:pPr>
              <w:pStyle w:val="Normal1linespace"/>
              <w:widowControl w:val="0"/>
            </w:pPr>
            <w:bookmarkStart w:id="7" w:name="NPARow" w:colFirst="0" w:colLast="1"/>
            <w:bookmarkEnd w:id="6"/>
          </w:p>
        </w:tc>
        <w:tc>
          <w:tcPr>
            <w:tcW w:w="5989" w:type="dxa"/>
            <w:shd w:val="clear" w:color="auto" w:fill="auto"/>
          </w:tcPr>
          <w:p w:rsidR="004A1C7E" w:rsidRPr="00F17599" w:rsidRDefault="004A1C7E" w:rsidP="00501A12">
            <w:pPr>
              <w:pStyle w:val="Normal1linespace"/>
              <w:widowControl w:val="0"/>
              <w:jc w:val="left"/>
              <w:rPr>
                <w:b/>
              </w:rPr>
            </w:pPr>
          </w:p>
        </w:tc>
      </w:tr>
      <w:tr w:rsidR="004A1C7E" w:rsidTr="003B6E77">
        <w:tc>
          <w:tcPr>
            <w:tcW w:w="3083" w:type="dxa"/>
            <w:shd w:val="clear" w:color="auto" w:fill="auto"/>
          </w:tcPr>
          <w:p w:rsidR="004A1C7E" w:rsidRDefault="004A1C7E" w:rsidP="00501A12">
            <w:pPr>
              <w:pStyle w:val="Normal1linespace"/>
              <w:widowControl w:val="0"/>
            </w:pPr>
            <w:r>
              <w:t>National Practice Area:</w:t>
            </w:r>
          </w:p>
        </w:tc>
        <w:tc>
          <w:tcPr>
            <w:tcW w:w="5989" w:type="dxa"/>
            <w:shd w:val="clear" w:color="auto" w:fill="auto"/>
          </w:tcPr>
          <w:p w:rsidR="004A1C7E" w:rsidRPr="00F17599" w:rsidRDefault="0044435F" w:rsidP="00171DBB">
            <w:pPr>
              <w:pStyle w:val="Normal1linespace"/>
              <w:widowControl w:val="0"/>
              <w:jc w:val="left"/>
              <w:rPr>
                <w:b/>
              </w:rPr>
            </w:pPr>
            <w:fldSimple w:instr=" DOCPROPERTY  &quot;Practice Area&quot;  \* MERGEFORMAT ">
              <w:r w:rsidR="004A1C7E">
                <w:t>Intellectual Property</w:t>
              </w:r>
            </w:fldSimple>
          </w:p>
        </w:tc>
      </w:tr>
      <w:tr w:rsidR="004A1C7E" w:rsidTr="003B6E77">
        <w:tc>
          <w:tcPr>
            <w:tcW w:w="3083" w:type="dxa"/>
            <w:shd w:val="clear" w:color="auto" w:fill="auto"/>
          </w:tcPr>
          <w:p w:rsidR="004A1C7E" w:rsidRDefault="004A1C7E" w:rsidP="00501A12">
            <w:pPr>
              <w:pStyle w:val="Normal1linespace"/>
              <w:widowControl w:val="0"/>
            </w:pPr>
            <w:bookmarkStart w:id="8" w:name="SubAreaRow" w:colFirst="0" w:colLast="1"/>
            <w:bookmarkEnd w:id="7"/>
          </w:p>
        </w:tc>
        <w:tc>
          <w:tcPr>
            <w:tcW w:w="5989" w:type="dxa"/>
            <w:shd w:val="clear" w:color="auto" w:fill="auto"/>
          </w:tcPr>
          <w:p w:rsidR="004A1C7E" w:rsidRDefault="004A1C7E" w:rsidP="00171DBB">
            <w:pPr>
              <w:pStyle w:val="Normal1linespace"/>
              <w:widowControl w:val="0"/>
              <w:jc w:val="left"/>
            </w:pPr>
          </w:p>
        </w:tc>
      </w:tr>
      <w:tr w:rsidR="004A1C7E" w:rsidTr="003B6E77">
        <w:tc>
          <w:tcPr>
            <w:tcW w:w="3083" w:type="dxa"/>
            <w:shd w:val="clear" w:color="auto" w:fill="auto"/>
          </w:tcPr>
          <w:p w:rsidR="004A1C7E" w:rsidRDefault="004A1C7E" w:rsidP="00501A12">
            <w:pPr>
              <w:pStyle w:val="Normal1linespace"/>
              <w:widowControl w:val="0"/>
            </w:pPr>
            <w:r>
              <w:t>Sub-area:</w:t>
            </w:r>
          </w:p>
        </w:tc>
        <w:tc>
          <w:tcPr>
            <w:tcW w:w="5989" w:type="dxa"/>
            <w:shd w:val="clear" w:color="auto" w:fill="auto"/>
          </w:tcPr>
          <w:p w:rsidR="004A1C7E" w:rsidRPr="00837288" w:rsidRDefault="0044435F" w:rsidP="00435936">
            <w:pPr>
              <w:pStyle w:val="Normal1linespace"/>
              <w:widowControl w:val="0"/>
              <w:jc w:val="left"/>
            </w:pPr>
            <w:fldSimple w:instr=" DOCPROPERTY  &quot;Sub Area&quot;  \* MERGEFORMAT ">
              <w:r w:rsidR="004A1C7E" w:rsidRPr="004A1C7E">
                <w:rPr>
                  <w:lang w:val="en-US"/>
                </w:rPr>
                <w:t>Copyright and Industrial</w:t>
              </w:r>
              <w:r w:rsidR="004A1C7E">
                <w:t xml:space="preserve"> Designs</w:t>
              </w:r>
            </w:fldSimple>
          </w:p>
        </w:tc>
      </w:tr>
      <w:bookmarkEnd w:id="8"/>
      <w:tr w:rsidR="004A1C7E" w:rsidTr="003B6E77">
        <w:tc>
          <w:tcPr>
            <w:tcW w:w="3083" w:type="dxa"/>
            <w:shd w:val="clear" w:color="auto" w:fill="auto"/>
          </w:tcPr>
          <w:p w:rsidR="004A1C7E" w:rsidRDefault="004A1C7E" w:rsidP="00501A12">
            <w:pPr>
              <w:pStyle w:val="Normal1linespace"/>
              <w:widowControl w:val="0"/>
            </w:pPr>
          </w:p>
        </w:tc>
        <w:tc>
          <w:tcPr>
            <w:tcW w:w="5989" w:type="dxa"/>
            <w:shd w:val="clear" w:color="auto" w:fill="auto"/>
          </w:tcPr>
          <w:p w:rsidR="004A1C7E" w:rsidRDefault="004A1C7E" w:rsidP="00501A12">
            <w:pPr>
              <w:pStyle w:val="Normal1linespace"/>
              <w:widowControl w:val="0"/>
              <w:jc w:val="left"/>
            </w:pPr>
          </w:p>
        </w:tc>
      </w:tr>
      <w:tr w:rsidR="004A1C7E" w:rsidTr="003B6E77">
        <w:tc>
          <w:tcPr>
            <w:tcW w:w="3083" w:type="dxa"/>
            <w:shd w:val="clear" w:color="auto" w:fill="auto"/>
          </w:tcPr>
          <w:p w:rsidR="004A1C7E" w:rsidRDefault="004A1C7E" w:rsidP="00501A12">
            <w:pPr>
              <w:pStyle w:val="Normal1linespace"/>
              <w:widowControl w:val="0"/>
            </w:pPr>
            <w:r>
              <w:t>Number of paragraphs:</w:t>
            </w:r>
          </w:p>
        </w:tc>
        <w:tc>
          <w:tcPr>
            <w:tcW w:w="5989" w:type="dxa"/>
            <w:shd w:val="clear" w:color="auto" w:fill="auto"/>
          </w:tcPr>
          <w:p w:rsidR="004A1C7E" w:rsidRDefault="003B6E77" w:rsidP="00501A12">
            <w:pPr>
              <w:pStyle w:val="Normal1linespace"/>
              <w:widowControl w:val="0"/>
              <w:jc w:val="left"/>
            </w:pPr>
            <w:r>
              <w:t>9</w:t>
            </w:r>
          </w:p>
        </w:tc>
      </w:tr>
      <w:tr w:rsidR="004A1C7E" w:rsidTr="003B6E77">
        <w:tc>
          <w:tcPr>
            <w:tcW w:w="3083" w:type="dxa"/>
            <w:shd w:val="clear" w:color="auto" w:fill="auto"/>
          </w:tcPr>
          <w:p w:rsidR="004A1C7E" w:rsidRDefault="004A1C7E" w:rsidP="004A1C7E">
            <w:pPr>
              <w:pStyle w:val="Normal1linespace"/>
              <w:widowControl w:val="0"/>
              <w:jc w:val="left"/>
            </w:pPr>
          </w:p>
        </w:tc>
        <w:tc>
          <w:tcPr>
            <w:tcW w:w="5989" w:type="dxa"/>
            <w:shd w:val="clear" w:color="auto" w:fill="auto"/>
          </w:tcPr>
          <w:p w:rsidR="004A1C7E" w:rsidRDefault="004A1C7E" w:rsidP="004A1C7E">
            <w:pPr>
              <w:pStyle w:val="Normal1linespace"/>
              <w:widowControl w:val="0"/>
              <w:jc w:val="left"/>
            </w:pPr>
          </w:p>
        </w:tc>
      </w:tr>
      <w:tr w:rsidR="004A1C7E" w:rsidTr="003B6E77">
        <w:tc>
          <w:tcPr>
            <w:tcW w:w="3083" w:type="dxa"/>
            <w:shd w:val="clear" w:color="auto" w:fill="auto"/>
          </w:tcPr>
          <w:p w:rsidR="004A1C7E" w:rsidRDefault="004A1C7E" w:rsidP="004A1C7E">
            <w:pPr>
              <w:pStyle w:val="Normal1linespace"/>
              <w:widowControl w:val="0"/>
              <w:jc w:val="left"/>
            </w:pPr>
            <w:r>
              <w:t>Date of last submission/s:</w:t>
            </w:r>
          </w:p>
        </w:tc>
        <w:tc>
          <w:tcPr>
            <w:tcW w:w="5989" w:type="dxa"/>
            <w:shd w:val="clear" w:color="auto" w:fill="auto"/>
          </w:tcPr>
          <w:p w:rsidR="008154A7" w:rsidRDefault="008154A7" w:rsidP="008154A7">
            <w:pPr>
              <w:pStyle w:val="Normal1linespace"/>
              <w:widowControl w:val="0"/>
              <w:jc w:val="left"/>
            </w:pPr>
            <w:r>
              <w:t>Appellant: 13 July 2022</w:t>
            </w:r>
          </w:p>
          <w:p w:rsidR="004A1C7E" w:rsidRDefault="008154A7" w:rsidP="008154A7">
            <w:pPr>
              <w:pStyle w:val="Normal1linespace"/>
              <w:widowControl w:val="0"/>
              <w:jc w:val="left"/>
            </w:pPr>
            <w:r>
              <w:t xml:space="preserve">Respondent: 15 July 2022 </w:t>
            </w:r>
          </w:p>
        </w:tc>
      </w:tr>
      <w:tr w:rsidR="004A1C7E" w:rsidTr="003B6E77">
        <w:tc>
          <w:tcPr>
            <w:tcW w:w="3083" w:type="dxa"/>
            <w:shd w:val="clear" w:color="auto" w:fill="auto"/>
          </w:tcPr>
          <w:p w:rsidR="004A1C7E" w:rsidRDefault="004A1C7E" w:rsidP="004A1C7E">
            <w:pPr>
              <w:pStyle w:val="Normal1linespace"/>
              <w:widowControl w:val="0"/>
              <w:jc w:val="left"/>
            </w:pPr>
          </w:p>
        </w:tc>
        <w:tc>
          <w:tcPr>
            <w:tcW w:w="5989" w:type="dxa"/>
            <w:shd w:val="clear" w:color="auto" w:fill="auto"/>
          </w:tcPr>
          <w:p w:rsidR="004A1C7E" w:rsidRDefault="004A1C7E" w:rsidP="004A1C7E">
            <w:pPr>
              <w:pStyle w:val="Normal1linespace"/>
              <w:widowControl w:val="0"/>
              <w:jc w:val="left"/>
            </w:pPr>
          </w:p>
        </w:tc>
      </w:tr>
      <w:tr w:rsidR="004A1C7E" w:rsidTr="003B6E77">
        <w:tc>
          <w:tcPr>
            <w:tcW w:w="3083" w:type="dxa"/>
            <w:shd w:val="clear" w:color="auto" w:fill="auto"/>
          </w:tcPr>
          <w:p w:rsidR="004A1C7E" w:rsidRDefault="004A1C7E" w:rsidP="004A1C7E">
            <w:pPr>
              <w:pStyle w:val="Normal1linespace"/>
              <w:widowControl w:val="0"/>
              <w:jc w:val="left"/>
            </w:pPr>
            <w:bookmarkStart w:id="9" w:name="CounselDate" w:colFirst="0" w:colLast="2"/>
            <w:r w:rsidRPr="006A24E3">
              <w:t>Date of hearing:</w:t>
            </w:r>
          </w:p>
        </w:tc>
        <w:tc>
          <w:tcPr>
            <w:tcW w:w="5989" w:type="dxa"/>
            <w:shd w:val="clear" w:color="auto" w:fill="auto"/>
          </w:tcPr>
          <w:p w:rsidR="004A1C7E" w:rsidRDefault="008154A7" w:rsidP="008154A7">
            <w:pPr>
              <w:pStyle w:val="Normal1linespace"/>
              <w:widowControl w:val="0"/>
              <w:jc w:val="left"/>
            </w:pPr>
            <w:bookmarkStart w:id="10" w:name="HearingDate"/>
            <w:r>
              <w:t>Determined on the papers</w:t>
            </w:r>
            <w:bookmarkEnd w:id="10"/>
          </w:p>
        </w:tc>
      </w:tr>
      <w:tr w:rsidR="004A1C7E" w:rsidTr="003B6E77">
        <w:tc>
          <w:tcPr>
            <w:tcW w:w="3083" w:type="dxa"/>
            <w:shd w:val="clear" w:color="auto" w:fill="auto"/>
          </w:tcPr>
          <w:p w:rsidR="004A1C7E" w:rsidRDefault="004A1C7E" w:rsidP="004A1C7E">
            <w:pPr>
              <w:pStyle w:val="Normal1linespace"/>
              <w:widowControl w:val="0"/>
              <w:jc w:val="left"/>
            </w:pPr>
          </w:p>
        </w:tc>
        <w:tc>
          <w:tcPr>
            <w:tcW w:w="5989" w:type="dxa"/>
            <w:shd w:val="clear" w:color="auto" w:fill="auto"/>
          </w:tcPr>
          <w:p w:rsidR="004A1C7E" w:rsidRDefault="004A1C7E" w:rsidP="004A1C7E">
            <w:pPr>
              <w:pStyle w:val="Normal1linespace"/>
              <w:widowControl w:val="0"/>
              <w:jc w:val="left"/>
            </w:pPr>
          </w:p>
        </w:tc>
      </w:tr>
      <w:tr w:rsidR="008154A7" w:rsidTr="003B6E77">
        <w:tc>
          <w:tcPr>
            <w:tcW w:w="3083" w:type="dxa"/>
            <w:shd w:val="clear" w:color="auto" w:fill="auto"/>
          </w:tcPr>
          <w:p w:rsidR="008154A7" w:rsidRDefault="008154A7" w:rsidP="00B52B65">
            <w:pPr>
              <w:pStyle w:val="Normal1linespace"/>
              <w:widowControl w:val="0"/>
              <w:jc w:val="left"/>
            </w:pPr>
            <w:bookmarkStart w:id="11" w:name="Counsel" w:colFirst="0" w:colLast="2"/>
            <w:bookmarkStart w:id="12" w:name="CompletionTable"/>
            <w:bookmarkEnd w:id="9"/>
            <w:r>
              <w:t>Counsel for the Appellant:</w:t>
            </w:r>
          </w:p>
        </w:tc>
        <w:tc>
          <w:tcPr>
            <w:tcW w:w="5989" w:type="dxa"/>
            <w:shd w:val="clear" w:color="auto" w:fill="auto"/>
          </w:tcPr>
          <w:p w:rsidR="008154A7" w:rsidRDefault="008154A7" w:rsidP="008154A7">
            <w:pPr>
              <w:pStyle w:val="Normal1linespace"/>
              <w:widowControl w:val="0"/>
              <w:jc w:val="left"/>
            </w:pPr>
            <w:bookmarkStart w:id="13" w:name="AppCounsel"/>
            <w:bookmarkEnd w:id="13"/>
            <w:r>
              <w:t>Mr M Green and Mr W H Wu</w:t>
            </w:r>
          </w:p>
        </w:tc>
      </w:tr>
      <w:tr w:rsidR="008154A7" w:rsidTr="003B6E77">
        <w:tc>
          <w:tcPr>
            <w:tcW w:w="3083" w:type="dxa"/>
            <w:shd w:val="clear" w:color="auto" w:fill="auto"/>
          </w:tcPr>
          <w:p w:rsidR="008154A7" w:rsidRDefault="008154A7" w:rsidP="008154A7">
            <w:pPr>
              <w:pStyle w:val="Normal1linespace"/>
              <w:widowControl w:val="0"/>
              <w:jc w:val="left"/>
            </w:pPr>
          </w:p>
        </w:tc>
        <w:tc>
          <w:tcPr>
            <w:tcW w:w="5989" w:type="dxa"/>
            <w:shd w:val="clear" w:color="auto" w:fill="auto"/>
          </w:tcPr>
          <w:p w:rsidR="008154A7" w:rsidRDefault="008154A7" w:rsidP="008154A7">
            <w:pPr>
              <w:pStyle w:val="Normal1linespace"/>
              <w:widowControl w:val="0"/>
              <w:jc w:val="left"/>
            </w:pPr>
          </w:p>
        </w:tc>
      </w:tr>
      <w:tr w:rsidR="008154A7" w:rsidTr="003B6E77">
        <w:tc>
          <w:tcPr>
            <w:tcW w:w="3083" w:type="dxa"/>
            <w:shd w:val="clear" w:color="auto" w:fill="auto"/>
          </w:tcPr>
          <w:p w:rsidR="008154A7" w:rsidRDefault="008154A7" w:rsidP="008154A7">
            <w:pPr>
              <w:pStyle w:val="Normal1linespace"/>
              <w:widowControl w:val="0"/>
              <w:jc w:val="left"/>
            </w:pPr>
            <w:r>
              <w:t>Solicitor for the Appellant:</w:t>
            </w:r>
          </w:p>
        </w:tc>
        <w:tc>
          <w:tcPr>
            <w:tcW w:w="5989" w:type="dxa"/>
            <w:shd w:val="clear" w:color="auto" w:fill="auto"/>
          </w:tcPr>
          <w:p w:rsidR="008154A7" w:rsidRDefault="008154A7" w:rsidP="008154A7">
            <w:pPr>
              <w:pStyle w:val="Normal1linespace"/>
              <w:widowControl w:val="0"/>
              <w:jc w:val="left"/>
            </w:pPr>
            <w:r>
              <w:t>McLean &amp; Associates Solicitors</w:t>
            </w:r>
          </w:p>
        </w:tc>
      </w:tr>
      <w:tr w:rsidR="008154A7" w:rsidTr="003B6E77">
        <w:tc>
          <w:tcPr>
            <w:tcW w:w="3083" w:type="dxa"/>
            <w:shd w:val="clear" w:color="auto" w:fill="auto"/>
          </w:tcPr>
          <w:p w:rsidR="008154A7" w:rsidRDefault="008154A7" w:rsidP="008154A7">
            <w:pPr>
              <w:pStyle w:val="Normal1linespace"/>
              <w:widowControl w:val="0"/>
              <w:jc w:val="left"/>
            </w:pPr>
          </w:p>
        </w:tc>
        <w:tc>
          <w:tcPr>
            <w:tcW w:w="5989" w:type="dxa"/>
            <w:shd w:val="clear" w:color="auto" w:fill="auto"/>
          </w:tcPr>
          <w:p w:rsidR="008154A7" w:rsidRDefault="008154A7" w:rsidP="008154A7">
            <w:pPr>
              <w:pStyle w:val="Normal1linespace"/>
              <w:widowControl w:val="0"/>
              <w:jc w:val="left"/>
            </w:pPr>
          </w:p>
        </w:tc>
      </w:tr>
      <w:tr w:rsidR="008154A7" w:rsidTr="003B6E77">
        <w:tc>
          <w:tcPr>
            <w:tcW w:w="3083" w:type="dxa"/>
            <w:shd w:val="clear" w:color="auto" w:fill="auto"/>
          </w:tcPr>
          <w:p w:rsidR="008154A7" w:rsidRDefault="008154A7" w:rsidP="008154A7">
            <w:pPr>
              <w:pStyle w:val="Normal1linespace"/>
              <w:widowControl w:val="0"/>
              <w:jc w:val="left"/>
            </w:pPr>
            <w:r>
              <w:t xml:space="preserve">Counsel for the First, Second, </w:t>
            </w:r>
            <w:r>
              <w:lastRenderedPageBreak/>
              <w:t>Fourth, Fifth, Sixth and Seventh Respondents:</w:t>
            </w:r>
          </w:p>
        </w:tc>
        <w:tc>
          <w:tcPr>
            <w:tcW w:w="5989" w:type="dxa"/>
            <w:shd w:val="clear" w:color="auto" w:fill="auto"/>
          </w:tcPr>
          <w:p w:rsidR="008154A7" w:rsidRDefault="008154A7" w:rsidP="008154A7">
            <w:pPr>
              <w:pStyle w:val="Normal1linespace"/>
              <w:widowControl w:val="0"/>
              <w:jc w:val="left"/>
            </w:pPr>
            <w:r>
              <w:lastRenderedPageBreak/>
              <w:t>Mr H P T Bevan</w:t>
            </w:r>
          </w:p>
        </w:tc>
      </w:tr>
      <w:tr w:rsidR="008154A7" w:rsidTr="003B6E77">
        <w:tc>
          <w:tcPr>
            <w:tcW w:w="3083" w:type="dxa"/>
            <w:shd w:val="clear" w:color="auto" w:fill="auto"/>
          </w:tcPr>
          <w:p w:rsidR="008154A7" w:rsidRDefault="008154A7" w:rsidP="008154A7">
            <w:pPr>
              <w:pStyle w:val="Normal1linespace"/>
              <w:widowControl w:val="0"/>
              <w:jc w:val="left"/>
            </w:pPr>
          </w:p>
        </w:tc>
        <w:tc>
          <w:tcPr>
            <w:tcW w:w="5989" w:type="dxa"/>
            <w:shd w:val="clear" w:color="auto" w:fill="auto"/>
          </w:tcPr>
          <w:p w:rsidR="008154A7" w:rsidRDefault="008154A7" w:rsidP="008154A7">
            <w:pPr>
              <w:pStyle w:val="Normal1linespace"/>
              <w:widowControl w:val="0"/>
              <w:jc w:val="left"/>
            </w:pPr>
          </w:p>
        </w:tc>
      </w:tr>
      <w:tr w:rsidR="008154A7" w:rsidTr="003B6E77">
        <w:tc>
          <w:tcPr>
            <w:tcW w:w="3083" w:type="dxa"/>
            <w:shd w:val="clear" w:color="auto" w:fill="auto"/>
          </w:tcPr>
          <w:p w:rsidR="008154A7" w:rsidRDefault="008154A7" w:rsidP="008154A7">
            <w:pPr>
              <w:pStyle w:val="Normal1linespace"/>
              <w:widowControl w:val="0"/>
              <w:jc w:val="left"/>
            </w:pPr>
            <w:r>
              <w:t>Solicitor for the First, Second, Fourth, Fifth, Sixth and Seventh Respondents:</w:t>
            </w:r>
          </w:p>
        </w:tc>
        <w:tc>
          <w:tcPr>
            <w:tcW w:w="5989" w:type="dxa"/>
            <w:shd w:val="clear" w:color="auto" w:fill="auto"/>
          </w:tcPr>
          <w:p w:rsidR="008154A7" w:rsidRDefault="008154A7" w:rsidP="008154A7">
            <w:pPr>
              <w:pStyle w:val="Normal1linespace"/>
              <w:widowControl w:val="0"/>
              <w:jc w:val="left"/>
            </w:pPr>
            <w:r>
              <w:t>Mills Oakley</w:t>
            </w:r>
          </w:p>
        </w:tc>
      </w:tr>
      <w:bookmarkEnd w:id="11"/>
      <w:bookmarkEnd w:id="12"/>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4A1C7E" w:rsidP="00F92355">
            <w:pPr>
              <w:pStyle w:val="NormalHeadings"/>
              <w:jc w:val="right"/>
            </w:pPr>
            <w:bookmarkStart w:id="14" w:name="FileNo"/>
            <w:r>
              <w:t>NSD 1015 of 2021</w:t>
            </w:r>
            <w:bookmarkEnd w:id="14"/>
          </w:p>
        </w:tc>
      </w:tr>
      <w:tr w:rsidR="00A76C13" w:rsidTr="00F461A4">
        <w:tc>
          <w:tcPr>
            <w:tcW w:w="9242" w:type="dxa"/>
            <w:gridSpan w:val="3"/>
          </w:tcPr>
          <w:p w:rsidR="00A76C13" w:rsidRPr="00A76C13" w:rsidRDefault="004A1C7E" w:rsidP="004A1C7E">
            <w:pPr>
              <w:pStyle w:val="NormalHeadings"/>
              <w:jc w:val="left"/>
            </w:pPr>
            <w:bookmarkStart w:id="15" w:name="InTheMatterOf"/>
            <w:r>
              <w:t xml:space="preserve"> </w:t>
            </w:r>
            <w:bookmarkEnd w:id="15"/>
          </w:p>
        </w:tc>
      </w:tr>
      <w:tr w:rsidR="00A46CCC" w:rsidTr="005041F0">
        <w:trPr>
          <w:trHeight w:val="386"/>
        </w:trPr>
        <w:tc>
          <w:tcPr>
            <w:tcW w:w="2376" w:type="dxa"/>
          </w:tcPr>
          <w:p w:rsidR="00A46CCC" w:rsidRDefault="00A46CCC" w:rsidP="005041F0">
            <w:pPr>
              <w:pStyle w:val="NormalHeadings"/>
              <w:jc w:val="left"/>
              <w:rPr>
                <w:caps/>
                <w:szCs w:val="24"/>
              </w:rPr>
            </w:pPr>
            <w:bookmarkStart w:id="16" w:name="Parties"/>
            <w:r>
              <w:rPr>
                <w:caps/>
                <w:szCs w:val="24"/>
              </w:rPr>
              <w:t>BETWEEN:</w:t>
            </w:r>
          </w:p>
        </w:tc>
        <w:tc>
          <w:tcPr>
            <w:tcW w:w="6866" w:type="dxa"/>
            <w:gridSpan w:val="2"/>
          </w:tcPr>
          <w:p w:rsidR="004A1C7E" w:rsidRDefault="004A1C7E" w:rsidP="004A1C7E">
            <w:pPr>
              <w:pStyle w:val="NormalHeadings"/>
              <w:jc w:val="left"/>
            </w:pPr>
            <w:bookmarkStart w:id="17" w:name="Applicant"/>
            <w:r>
              <w:t>CAMPAIGNTRACK PTY LTD</w:t>
            </w:r>
          </w:p>
          <w:p w:rsidR="004A1C7E" w:rsidRDefault="008154A7" w:rsidP="004A1C7E">
            <w:pPr>
              <w:pStyle w:val="PartyType"/>
            </w:pPr>
            <w:r>
              <w:t>Appellant</w:t>
            </w:r>
          </w:p>
          <w:bookmarkEnd w:id="17"/>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4A1C7E" w:rsidRDefault="004A1C7E" w:rsidP="004A1C7E">
            <w:pPr>
              <w:pStyle w:val="NormalHeadings"/>
              <w:jc w:val="left"/>
            </w:pPr>
            <w:bookmarkStart w:id="18" w:name="Respondent"/>
            <w:r>
              <w:t>REAL ESTATE TOOL BOX PTY LTD</w:t>
            </w:r>
          </w:p>
          <w:p w:rsidR="004A1C7E" w:rsidRDefault="004A1C7E" w:rsidP="004A1C7E">
            <w:pPr>
              <w:pStyle w:val="PartyType"/>
            </w:pPr>
            <w:r>
              <w:t>First Respondent</w:t>
            </w:r>
          </w:p>
          <w:p w:rsidR="004A1C7E" w:rsidRDefault="004A1C7E" w:rsidP="005041F0">
            <w:pPr>
              <w:pStyle w:val="NormalHeadings"/>
              <w:jc w:val="left"/>
              <w:rPr>
                <w:szCs w:val="24"/>
              </w:rPr>
            </w:pPr>
          </w:p>
          <w:p w:rsidR="004A1C7E" w:rsidRDefault="004A1C7E" w:rsidP="004A1C7E">
            <w:pPr>
              <w:pStyle w:val="NormalHeadings"/>
              <w:jc w:val="left"/>
            </w:pPr>
            <w:r>
              <w:t>BIGGIN &amp; SCOTT PTY LTD</w:t>
            </w:r>
          </w:p>
          <w:p w:rsidR="004A1C7E" w:rsidRDefault="004A1C7E" w:rsidP="004A1C7E">
            <w:pPr>
              <w:pStyle w:val="PartyType"/>
            </w:pPr>
            <w:r>
              <w:t>Second Respondent</w:t>
            </w:r>
          </w:p>
          <w:p w:rsidR="004A1C7E" w:rsidRDefault="004A1C7E" w:rsidP="005041F0">
            <w:pPr>
              <w:pStyle w:val="NormalHeadings"/>
              <w:jc w:val="left"/>
              <w:rPr>
                <w:szCs w:val="24"/>
              </w:rPr>
            </w:pPr>
          </w:p>
          <w:p w:rsidR="004A1C7E" w:rsidRDefault="004A1C7E" w:rsidP="004A1C7E">
            <w:pPr>
              <w:pStyle w:val="NormalHeadings"/>
              <w:jc w:val="left"/>
            </w:pPr>
            <w:r>
              <w:t xml:space="preserve">DAVID SEMMENS </w:t>
            </w:r>
            <w:r w:rsidRPr="004A1C7E">
              <w:rPr>
                <w:b w:val="0"/>
              </w:rPr>
              <w:t>(and others named in the Schedule)</w:t>
            </w:r>
          </w:p>
          <w:p w:rsidR="004A1C7E" w:rsidRDefault="004A1C7E" w:rsidP="004A1C7E">
            <w:pPr>
              <w:pStyle w:val="PartyType"/>
            </w:pPr>
            <w:r>
              <w:t>Third Respondent</w:t>
            </w:r>
          </w:p>
          <w:bookmarkEnd w:id="18"/>
          <w:p w:rsidR="00A46CCC" w:rsidRPr="006555B4" w:rsidRDefault="00A46CCC" w:rsidP="005041F0">
            <w:pPr>
              <w:pStyle w:val="NormalHeadings"/>
              <w:jc w:val="left"/>
            </w:pPr>
          </w:p>
        </w:tc>
      </w:tr>
    </w:tbl>
    <w:p w:rsidR="00395B24" w:rsidRDefault="00395B24">
      <w:pPr>
        <w:pStyle w:val="NormalHeadings"/>
      </w:pPr>
      <w:bookmarkStart w:id="19" w:name="CrossClaimPosition"/>
      <w:bookmarkEnd w:id="16"/>
      <w:bookmarkEnd w:id="19"/>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20" w:name="JudgeText"/>
            <w:r>
              <w:rPr>
                <w:caps/>
                <w:szCs w:val="24"/>
              </w:rPr>
              <w:t>order made by</w:t>
            </w:r>
            <w:bookmarkEnd w:id="20"/>
            <w:r w:rsidR="002C7385">
              <w:rPr>
                <w:caps/>
                <w:szCs w:val="24"/>
              </w:rPr>
              <w:t>:</w:t>
            </w:r>
          </w:p>
        </w:tc>
        <w:tc>
          <w:tcPr>
            <w:tcW w:w="6866" w:type="dxa"/>
          </w:tcPr>
          <w:p w:rsidR="00395B24" w:rsidRDefault="004A1C7E">
            <w:pPr>
              <w:pStyle w:val="NormalHeadings"/>
              <w:jc w:val="left"/>
              <w:rPr>
                <w:caps/>
                <w:szCs w:val="24"/>
              </w:rPr>
            </w:pPr>
            <w:bookmarkStart w:id="21" w:name="Judge"/>
            <w:r>
              <w:rPr>
                <w:caps/>
                <w:szCs w:val="24"/>
              </w:rPr>
              <w:t>GREENWOOD, CHEESEMAN AND MCELWAINE JJ</w:t>
            </w:r>
            <w:bookmarkEnd w:id="21"/>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3B6E77" w:rsidP="003B6E77">
            <w:pPr>
              <w:pStyle w:val="NormalHeadings"/>
              <w:jc w:val="left"/>
              <w:rPr>
                <w:caps/>
                <w:szCs w:val="24"/>
              </w:rPr>
            </w:pPr>
            <w:bookmarkStart w:id="22" w:name="Judgment_Dated"/>
            <w:r>
              <w:rPr>
                <w:caps/>
                <w:szCs w:val="24"/>
              </w:rPr>
              <w:t>19 July 2022</w:t>
            </w:r>
            <w:bookmarkEnd w:id="22"/>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2C24A2" w:rsidRDefault="002C24A2" w:rsidP="002C24A2">
      <w:pPr>
        <w:pStyle w:val="Order1"/>
      </w:pPr>
      <w:r>
        <w:t xml:space="preserve">The first, second, fourth, fifth, sixth and seventh respondents must pay the appellant’s costs of the appeal to be determined on a party and party basis and awarded in a lump sum pursuant to rule 40.02(b) of the </w:t>
      </w:r>
      <w:r w:rsidRPr="00FE6122">
        <w:rPr>
          <w:i/>
        </w:rPr>
        <w:t xml:space="preserve">Federal Court </w:t>
      </w:r>
      <w:r w:rsidR="00F5286E">
        <w:rPr>
          <w:i/>
        </w:rPr>
        <w:t>R</w:t>
      </w:r>
      <w:r w:rsidRPr="00FE6122">
        <w:rPr>
          <w:i/>
        </w:rPr>
        <w:t>ules 2011</w:t>
      </w:r>
      <w:r>
        <w:t xml:space="preserve"> (</w:t>
      </w:r>
      <w:proofErr w:type="spellStart"/>
      <w:r>
        <w:t>Cth</w:t>
      </w:r>
      <w:proofErr w:type="spellEnd"/>
      <w:r>
        <w:t>) to be determined by a registrar of the court in such manner as the registrar deems fit, who shall then make an order fixing the amount of those costs, which are to be payable within 28 days of such order.</w:t>
      </w:r>
    </w:p>
    <w:p w:rsidR="001A6C52" w:rsidRDefault="002C24A2" w:rsidP="002C24A2">
      <w:pPr>
        <w:pStyle w:val="Order1"/>
      </w:pPr>
      <w:r>
        <w:t xml:space="preserve">The first, second, fourth, fifth, sixth and seventh respondents must pay the applicant’s costs of proceeding NSD772/2017 to be determined on a party and party basis and awarded in a lump sum pursuant to rule 40.02(b) of the </w:t>
      </w:r>
      <w:r w:rsidRPr="00FE6122">
        <w:rPr>
          <w:i/>
        </w:rPr>
        <w:t xml:space="preserve">Federal Court </w:t>
      </w:r>
      <w:r w:rsidR="00F5286E">
        <w:rPr>
          <w:i/>
        </w:rPr>
        <w:t>R</w:t>
      </w:r>
      <w:r w:rsidRPr="00FE6122">
        <w:rPr>
          <w:i/>
        </w:rPr>
        <w:t>ules 2011</w:t>
      </w:r>
      <w:r>
        <w:t xml:space="preserve"> (</w:t>
      </w:r>
      <w:proofErr w:type="spellStart"/>
      <w:r>
        <w:t>Cth</w:t>
      </w:r>
      <w:proofErr w:type="spellEnd"/>
      <w:r>
        <w:t>) to be determined by a registrar of the court in such manner as the registrar deems fit, who shall then make an order fixing the amount of those costs, which are to be payable within 28 days of such order.</w:t>
      </w:r>
    </w:p>
    <w:p w:rsidR="001A6C52" w:rsidRDefault="001A6C52" w:rsidP="001A6C52">
      <w:pPr>
        <w:pStyle w:val="BodyText"/>
      </w:pPr>
    </w:p>
    <w:p w:rsidR="0050309C" w:rsidRDefault="004A1C7E" w:rsidP="004D53E5">
      <w:pPr>
        <w:pStyle w:val="SingleSpace"/>
      </w:pPr>
      <w:bookmarkStart w:id="23" w:name="OrdersStatement"/>
      <w:r>
        <w:t>Note:</w:t>
      </w:r>
      <w:r>
        <w:tab/>
        <w:t xml:space="preserve">Entry of orders is dealt with in Rule 39.32 of the </w:t>
      </w:r>
      <w:r>
        <w:rPr>
          <w:i/>
        </w:rPr>
        <w:t>Federal Court Rules 2011</w:t>
      </w:r>
      <w:r>
        <w:t>.</w:t>
      </w:r>
      <w:bookmarkEnd w:id="23"/>
    </w:p>
    <w:p w:rsidR="00CF7172" w:rsidRDefault="00CF7172" w:rsidP="002B0E91">
      <w:pPr>
        <w:pStyle w:val="BodyText"/>
        <w:sectPr w:rsidR="00CF7172" w:rsidSect="00A84FD0">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pPr>
    </w:p>
    <w:p w:rsidR="00484F6D" w:rsidRPr="00045BB7" w:rsidRDefault="00484F6D" w:rsidP="00045BB7">
      <w:pPr>
        <w:pStyle w:val="NormalHeadings"/>
        <w:spacing w:line="480" w:lineRule="auto"/>
        <w:jc w:val="center"/>
        <w:rPr>
          <w:sz w:val="28"/>
          <w:szCs w:val="28"/>
        </w:rPr>
      </w:pPr>
      <w:bookmarkStart w:id="24" w:name="ReasonsPage"/>
      <w:bookmarkEnd w:id="24"/>
      <w:r w:rsidRPr="00045BB7">
        <w:rPr>
          <w:sz w:val="28"/>
          <w:szCs w:val="28"/>
        </w:rPr>
        <w:lastRenderedPageBreak/>
        <w:t>REASONS FOR JUDGMENT</w:t>
      </w:r>
    </w:p>
    <w:p w:rsidR="00694BEB" w:rsidRDefault="004A1C7E" w:rsidP="005E0510">
      <w:pPr>
        <w:pStyle w:val="NormalHeadings"/>
        <w:spacing w:line="360" w:lineRule="auto"/>
        <w:jc w:val="left"/>
        <w:rPr>
          <w:sz w:val="26"/>
          <w:szCs w:val="26"/>
        </w:rPr>
      </w:pPr>
      <w:r>
        <w:rPr>
          <w:sz w:val="26"/>
          <w:szCs w:val="26"/>
        </w:rPr>
        <w:t>THE COURT:</w:t>
      </w:r>
    </w:p>
    <w:p w:rsidR="00CD1346" w:rsidRDefault="000E48E1" w:rsidP="003B6E77">
      <w:pPr>
        <w:pStyle w:val="ParaNumbering"/>
      </w:pPr>
      <w:r>
        <w:t xml:space="preserve">We </w:t>
      </w:r>
      <w:r w:rsidR="00826826">
        <w:t>published reasons for judg</w:t>
      </w:r>
      <w:r>
        <w:t xml:space="preserve">ment in this matter on 6 July 2022: </w:t>
      </w:r>
      <w:proofErr w:type="spellStart"/>
      <w:r w:rsidRPr="00B52B65">
        <w:rPr>
          <w:i/>
        </w:rPr>
        <w:t>C</w:t>
      </w:r>
      <w:r w:rsidR="00ED6E7D" w:rsidRPr="00B52B65">
        <w:rPr>
          <w:i/>
        </w:rPr>
        <w:t>ampaigntrack</w:t>
      </w:r>
      <w:proofErr w:type="spellEnd"/>
      <w:r w:rsidRPr="00B52B65">
        <w:rPr>
          <w:i/>
        </w:rPr>
        <w:t xml:space="preserve"> Pty Ltd v </w:t>
      </w:r>
      <w:r w:rsidR="00DF08E6">
        <w:rPr>
          <w:i/>
        </w:rPr>
        <w:t>R</w:t>
      </w:r>
      <w:r w:rsidRPr="00B52B65">
        <w:rPr>
          <w:i/>
        </w:rPr>
        <w:t xml:space="preserve">eal </w:t>
      </w:r>
      <w:r w:rsidR="00DF08E6">
        <w:rPr>
          <w:i/>
        </w:rPr>
        <w:t>E</w:t>
      </w:r>
      <w:r w:rsidRPr="00B52B65">
        <w:rPr>
          <w:i/>
        </w:rPr>
        <w:t xml:space="preserve">state </w:t>
      </w:r>
      <w:r w:rsidR="00DF08E6">
        <w:rPr>
          <w:i/>
        </w:rPr>
        <w:t>T</w:t>
      </w:r>
      <w:r w:rsidRPr="00B52B65">
        <w:rPr>
          <w:i/>
        </w:rPr>
        <w:t xml:space="preserve">ool </w:t>
      </w:r>
      <w:r w:rsidR="00DF08E6">
        <w:rPr>
          <w:i/>
        </w:rPr>
        <w:t>B</w:t>
      </w:r>
      <w:r w:rsidRPr="00B52B65">
        <w:rPr>
          <w:i/>
        </w:rPr>
        <w:t xml:space="preserve">ox Pty </w:t>
      </w:r>
      <w:r w:rsidR="00DF08E6">
        <w:rPr>
          <w:i/>
        </w:rPr>
        <w:t>Ltd</w:t>
      </w:r>
      <w:r>
        <w:t xml:space="preserve"> [2022] FCAFC 112.</w:t>
      </w:r>
      <w:r w:rsidR="00826826">
        <w:t xml:space="preserve"> The appellant succeeded on the question of authorisation of copyright infringement</w:t>
      </w:r>
      <w:r w:rsidR="009B52BC">
        <w:t xml:space="preserve"> against</w:t>
      </w:r>
      <w:r w:rsidR="00826826">
        <w:t xml:space="preserve"> the first, second, fourth, fifth, sixth and seventh respondents (the </w:t>
      </w:r>
      <w:r w:rsidR="00826826" w:rsidRPr="00B52B65">
        <w:rPr>
          <w:b/>
        </w:rPr>
        <w:t>represented respondents</w:t>
      </w:r>
      <w:r w:rsidR="00826826">
        <w:t>).</w:t>
      </w:r>
      <w:r>
        <w:t xml:space="preserve">  Amongst other things, we ordered that the question of costs of the successful appeal</w:t>
      </w:r>
      <w:r w:rsidR="009B52BC">
        <w:t xml:space="preserve"> and the trial proceeding</w:t>
      </w:r>
      <w:r>
        <w:t xml:space="preserve"> be the subject of written submissions and be determined on the papers.  We have received and considered submissions from the appellant and the represented respondents.</w:t>
      </w:r>
    </w:p>
    <w:p w:rsidR="000E48E1" w:rsidRDefault="000E48E1" w:rsidP="003B6E77">
      <w:pPr>
        <w:pStyle w:val="ParaNumbering"/>
      </w:pPr>
      <w:r>
        <w:t>There is no dispute between the parties</w:t>
      </w:r>
      <w:r w:rsidR="009B52BC">
        <w:t xml:space="preserve"> that </w:t>
      </w:r>
      <w:r w:rsidR="00ED6E7D">
        <w:t>the appellant</w:t>
      </w:r>
      <w:r>
        <w:t xml:space="preserve"> should have its costs on a party and party basis of the appeal.  In our view</w:t>
      </w:r>
      <w:r w:rsidR="000E5FC1">
        <w:t>,</w:t>
      </w:r>
      <w:r>
        <w:t xml:space="preserve"> it is appropriate to make that order on a lump sum basis as provided for at rule 40.02(b) of the </w:t>
      </w:r>
      <w:r w:rsidRPr="00B52B65">
        <w:rPr>
          <w:i/>
        </w:rPr>
        <w:t>Federal Court rules 2011</w:t>
      </w:r>
      <w:r w:rsidR="008D1400">
        <w:t xml:space="preserve"> (</w:t>
      </w:r>
      <w:proofErr w:type="spellStart"/>
      <w:r w:rsidR="008D1400">
        <w:t>Cth</w:t>
      </w:r>
      <w:proofErr w:type="spellEnd"/>
      <w:r w:rsidR="008D1400">
        <w:t>)</w:t>
      </w:r>
      <w:r>
        <w:t xml:space="preserve"> having regard to the discretionary factors for the making of a lump sum costs order that are addressed at paragraph 4 of </w:t>
      </w:r>
      <w:r w:rsidR="00B52B65">
        <w:t xml:space="preserve">the </w:t>
      </w:r>
      <w:r w:rsidR="005F42BD" w:rsidRPr="00B52B65">
        <w:rPr>
          <w:i/>
        </w:rPr>
        <w:t xml:space="preserve">Costs Practice Note </w:t>
      </w:r>
      <w:r w:rsidR="005F42BD">
        <w:t>(</w:t>
      </w:r>
      <w:r w:rsidR="005F42BD" w:rsidRPr="00B52B65">
        <w:rPr>
          <w:i/>
        </w:rPr>
        <w:t>GPN – costs</w:t>
      </w:r>
      <w:r w:rsidR="005F42BD">
        <w:t>).</w:t>
      </w:r>
      <w:bookmarkStart w:id="25" w:name="_GoBack"/>
      <w:bookmarkEnd w:id="25"/>
    </w:p>
    <w:p w:rsidR="000E48E1" w:rsidRDefault="000E48E1" w:rsidP="003B6E77">
      <w:pPr>
        <w:pStyle w:val="ParaNumbering"/>
      </w:pPr>
      <w:r>
        <w:t>Nor is there any dispute that the appellant (applicant) should have its costs against the represented respondents</w:t>
      </w:r>
      <w:r w:rsidR="00826826">
        <w:t xml:space="preserve"> of the proceeding before the primary judge</w:t>
      </w:r>
      <w:r w:rsidR="008D1400">
        <w:t>,</w:t>
      </w:r>
      <w:r w:rsidR="00826826">
        <w:t xml:space="preserve"> to be determined in a lump sum in the event that the appellant does not obtain an indemnity costs order for, at least a portion of, the primary proceedings.  The limited dispute</w:t>
      </w:r>
      <w:r w:rsidR="009B52BC">
        <w:t xml:space="preserve"> on the question</w:t>
      </w:r>
      <w:r w:rsidR="00826826">
        <w:t xml:space="preserve"> of costs is whether</w:t>
      </w:r>
      <w:r w:rsidR="009B52BC">
        <w:t xml:space="preserve"> the </w:t>
      </w:r>
      <w:r w:rsidR="00ED6E7D">
        <w:t>appellant should</w:t>
      </w:r>
      <w:r w:rsidR="00826826">
        <w:t xml:space="preserve"> be awarded a partial indemnity costs order</w:t>
      </w:r>
      <w:r w:rsidR="000E5FC1">
        <w:t>,</w:t>
      </w:r>
      <w:r w:rsidR="00826826">
        <w:t xml:space="preserve"> which it frames as its first alterna</w:t>
      </w:r>
      <w:r w:rsidR="00826826" w:rsidRPr="00CC7204">
        <w:t>tive</w:t>
      </w:r>
      <w:r w:rsidR="00CC7204">
        <w:t>:</w:t>
      </w:r>
      <w:r w:rsidR="00826826" w:rsidRPr="00CC7204">
        <w:t xml:space="preserve"> </w:t>
      </w:r>
      <w:r w:rsidR="00CC7204">
        <w:t>i</w:t>
      </w:r>
      <w:r w:rsidR="00826826" w:rsidRPr="00CC7204">
        <w:t>n short,</w:t>
      </w:r>
      <w:r w:rsidR="009B52BC" w:rsidRPr="00CC7204">
        <w:t xml:space="preserve"> tha</w:t>
      </w:r>
      <w:r w:rsidR="009B52BC">
        <w:t xml:space="preserve">t it receive </w:t>
      </w:r>
      <w:r w:rsidR="00ED6E7D">
        <w:t>the costs</w:t>
      </w:r>
      <w:r w:rsidR="00826826">
        <w:t xml:space="preserve"> of the primary proceeding as between party and party until 11</w:t>
      </w:r>
      <w:r w:rsidR="008D1400">
        <w:t>.00am</w:t>
      </w:r>
      <w:r w:rsidR="00826826">
        <w:t xml:space="preserve"> on 23 June 2020 and thereafter on an indemnity basis.  The reason for drawing that distinction is that on 19 June 2020,</w:t>
      </w:r>
      <w:r w:rsidR="00AA5117">
        <w:t xml:space="preserve"> the </w:t>
      </w:r>
      <w:r w:rsidR="00ED6E7D">
        <w:t>appellant filed</w:t>
      </w:r>
      <w:r w:rsidR="00826826">
        <w:t xml:space="preserve"> and served an offer of compromise.</w:t>
      </w:r>
    </w:p>
    <w:p w:rsidR="00826826" w:rsidRDefault="00826826" w:rsidP="003B6E77">
      <w:pPr>
        <w:pStyle w:val="ParaNumbering"/>
      </w:pPr>
      <w:r>
        <w:t xml:space="preserve">The offer of compromise was not straightforward in its drafting.  It was addressed to each of the respondents.  It is important to understand that when it was served the third respondent, Mr Semmens, was not legally represented and was conducting his own defence.  It will be recalled that Mr Semmens was primarily the person responsible for committing each of the acts comprised </w:t>
      </w:r>
      <w:r w:rsidR="00EE56ED">
        <w:t xml:space="preserve">in </w:t>
      </w:r>
      <w:r>
        <w:t xml:space="preserve">the copyright of the </w:t>
      </w:r>
      <w:r w:rsidR="00ED6E7D">
        <w:t>appellant without</w:t>
      </w:r>
      <w:r>
        <w:t xml:space="preserve"> its authority.  The offer was framed as one made by the appellant to each of the respondents to the effect that</w:t>
      </w:r>
      <w:r w:rsidR="00AA5117">
        <w:t xml:space="preserve"> </w:t>
      </w:r>
      <w:r w:rsidR="00EE56ED">
        <w:t xml:space="preserve">(1) </w:t>
      </w:r>
      <w:r w:rsidR="00AA5117">
        <w:t>judg</w:t>
      </w:r>
      <w:r>
        <w:t>ment be entered in its favour against the first (R</w:t>
      </w:r>
      <w:r w:rsidR="00F5286E">
        <w:t>eal E</w:t>
      </w:r>
      <w:r>
        <w:t xml:space="preserve">state Tool Box Pty Ltd) </w:t>
      </w:r>
      <w:r w:rsidR="00AA5117">
        <w:t>and third respondent</w:t>
      </w:r>
      <w:r>
        <w:t xml:space="preserve"> upon each claim then maintained by </w:t>
      </w:r>
      <w:r w:rsidR="00AA5117">
        <w:t>it</w:t>
      </w:r>
      <w:r>
        <w:t xml:space="preserve"> and </w:t>
      </w:r>
      <w:r w:rsidR="00EE56ED">
        <w:t xml:space="preserve">(2) </w:t>
      </w:r>
      <w:r>
        <w:t xml:space="preserve">that the trial proceed against the represented respondents on the </w:t>
      </w:r>
      <w:r>
        <w:lastRenderedPageBreak/>
        <w:t>basis that they admit</w:t>
      </w:r>
      <w:r w:rsidR="00EE56ED">
        <w:t>:</w:t>
      </w:r>
      <w:r>
        <w:t xml:space="preserve"> copyright subsistence in the works as claimed</w:t>
      </w:r>
      <w:r w:rsidR="00EE56ED">
        <w:t xml:space="preserve">; </w:t>
      </w:r>
      <w:r>
        <w:t>the confidential nature of the source code</w:t>
      </w:r>
      <w:r w:rsidR="00EE56ED">
        <w:t xml:space="preserve">; </w:t>
      </w:r>
      <w:r w:rsidR="00191F4C">
        <w:t>the applicant’s ownership of copyright</w:t>
      </w:r>
      <w:r w:rsidR="00AA5117">
        <w:t xml:space="preserve"> in the works comprised in the </w:t>
      </w:r>
      <w:proofErr w:type="spellStart"/>
      <w:r w:rsidR="00AA5117">
        <w:t>DreamD</w:t>
      </w:r>
      <w:r w:rsidR="00191F4C">
        <w:t>esk</w:t>
      </w:r>
      <w:proofErr w:type="spellEnd"/>
      <w:r w:rsidR="00191F4C">
        <w:t xml:space="preserve"> system</w:t>
      </w:r>
      <w:r w:rsidR="00EE56ED">
        <w:t xml:space="preserve">; </w:t>
      </w:r>
      <w:r w:rsidR="00191F4C">
        <w:t>the applicant’s ownership of an</w:t>
      </w:r>
      <w:r w:rsidR="00AA5117">
        <w:t>d</w:t>
      </w:r>
      <w:r w:rsidR="00191F4C">
        <w:t xml:space="preserve"> entitlement to protect the confidence of the source code in its copyright works</w:t>
      </w:r>
      <w:r w:rsidR="00EE56ED">
        <w:t>;</w:t>
      </w:r>
      <w:r w:rsidR="00191F4C">
        <w:t xml:space="preserve"> the acts of infringement pleaded against the first and third named respondents</w:t>
      </w:r>
      <w:r w:rsidR="00EE56ED">
        <w:t xml:space="preserve">; </w:t>
      </w:r>
      <w:r w:rsidR="00AA5117">
        <w:t>the acts of mis</w:t>
      </w:r>
      <w:r w:rsidR="00191F4C">
        <w:t>use of confidential information pleaded against the first and third respondents</w:t>
      </w:r>
      <w:r w:rsidR="00EE56ED">
        <w:t>;</w:t>
      </w:r>
      <w:r w:rsidR="00AA5117">
        <w:t xml:space="preserve"> and  the breach</w:t>
      </w:r>
      <w:r w:rsidR="00191F4C">
        <w:t xml:space="preserve"> of the inte</w:t>
      </w:r>
      <w:r w:rsidR="00AA5117">
        <w:t xml:space="preserve">llectual property undertakings and </w:t>
      </w:r>
      <w:r w:rsidR="00191F4C">
        <w:t xml:space="preserve">the contract claim pleaded against the first respondent.  That offer expressly left open to the represented respondents their ability to “dispute their liability, howsoever arising” in relation to: the acts of copyright </w:t>
      </w:r>
      <w:r w:rsidR="00ED6E7D">
        <w:t>infringement, the</w:t>
      </w:r>
      <w:r w:rsidR="00191F4C">
        <w:t xml:space="preserve"> misuse of confidential information, the breaches of the intellectual property undertakings and each of the other breaches as pleaded against them in the proceeding.  Finally, the offer stated that “costs are in addition” to each of </w:t>
      </w:r>
      <w:r w:rsidR="00AA5117">
        <w:t>the offers but it failed to say how those costs would be apportioned against each of the respondents.</w:t>
      </w:r>
    </w:p>
    <w:p w:rsidR="00826826" w:rsidRDefault="00191F4C" w:rsidP="003B6E77">
      <w:pPr>
        <w:pStyle w:val="ParaNumbering"/>
      </w:pPr>
      <w:r>
        <w:t>In support of the application for an indemnity costs order from 23 June 2020, it is submitted</w:t>
      </w:r>
      <w:r w:rsidR="00AA5117">
        <w:t xml:space="preserve"> that the </w:t>
      </w:r>
      <w:r w:rsidR="00ED6E7D">
        <w:t>appellant has</w:t>
      </w:r>
      <w:r w:rsidR="00AA5117">
        <w:t xml:space="preserve"> ultimately obtained a judg</w:t>
      </w:r>
      <w:r>
        <w:t>ment more favourable than the offer and that it was unreasonable for the represented respondents not to have accepted the offer as it would have “significantly narrowed the issue</w:t>
      </w:r>
      <w:r w:rsidR="00AA5117">
        <w:t>s</w:t>
      </w:r>
      <w:r>
        <w:t xml:space="preserve"> and avoided disputes at trial about copyright subsistence, copyright ownership and infringements by Mr Semmens and </w:t>
      </w:r>
      <w:r w:rsidR="00DD4F90">
        <w:t>[R</w:t>
      </w:r>
      <w:r>
        <w:t xml:space="preserve">eal </w:t>
      </w:r>
      <w:r w:rsidR="00DD4F90">
        <w:t xml:space="preserve">Estate Tool Box </w:t>
      </w:r>
      <w:r>
        <w:t xml:space="preserve">Pty </w:t>
      </w:r>
      <w:r w:rsidR="00DD4F90">
        <w:t>Ltd]</w:t>
      </w:r>
      <w:r>
        <w:t>”.</w:t>
      </w:r>
    </w:p>
    <w:p w:rsidR="00191F4C" w:rsidRDefault="00191F4C" w:rsidP="003B6E77">
      <w:pPr>
        <w:pStyle w:val="ParaNumbering"/>
      </w:pPr>
      <w:r>
        <w:t>As is well understood, a costs order is not made to punish an unsuccessful party for, in this case, the maintenance of unsuccessful defences at trial.  The categories in which it is appropriate to make an indemnity costs order are not closed.  Each case turns upon its own circumstances.  However one guiding principle is clear</w:t>
      </w:r>
      <w:r w:rsidR="0013075B">
        <w:t>,</w:t>
      </w:r>
      <w:r>
        <w:t xml:space="preserve"> where the application is founded upon non</w:t>
      </w:r>
      <w:r w:rsidR="0013075B">
        <w:t>-</w:t>
      </w:r>
      <w:r>
        <w:t>acceptance of an offer of compromise</w:t>
      </w:r>
      <w:r w:rsidR="00F5286E">
        <w:t>,</w:t>
      </w:r>
      <w:r>
        <w:t xml:space="preserve"> the question is whether, at the time the offer was made, it was unreasonable for the recipient not to have accepted it</w:t>
      </w:r>
      <w:r w:rsidR="003F060D">
        <w:t xml:space="preserve">: </w:t>
      </w:r>
      <w:r w:rsidR="003F060D" w:rsidRPr="00B52B65">
        <w:rPr>
          <w:i/>
        </w:rPr>
        <w:t xml:space="preserve">Wills v Chief </w:t>
      </w:r>
      <w:r w:rsidR="0013075B">
        <w:rPr>
          <w:i/>
        </w:rPr>
        <w:t>E</w:t>
      </w:r>
      <w:r w:rsidR="003F060D" w:rsidRPr="00B52B65">
        <w:rPr>
          <w:i/>
        </w:rPr>
        <w:t xml:space="preserve">xecutive </w:t>
      </w:r>
      <w:r w:rsidR="0013075B">
        <w:rPr>
          <w:i/>
        </w:rPr>
        <w:t>O</w:t>
      </w:r>
      <w:r w:rsidR="0013075B" w:rsidRPr="00B52B65">
        <w:rPr>
          <w:i/>
        </w:rPr>
        <w:t xml:space="preserve">fficer </w:t>
      </w:r>
      <w:r w:rsidR="003F060D" w:rsidRPr="00B52B65">
        <w:rPr>
          <w:i/>
        </w:rPr>
        <w:t>of the Australian Skills</w:t>
      </w:r>
      <w:r w:rsidR="0013075B">
        <w:rPr>
          <w:i/>
        </w:rPr>
        <w:t xml:space="preserve"> Quality</w:t>
      </w:r>
      <w:r w:rsidR="003F060D" w:rsidRPr="00B52B65">
        <w:rPr>
          <w:i/>
        </w:rPr>
        <w:t xml:space="preserve"> Authority (Costs)</w:t>
      </w:r>
      <w:r w:rsidR="003F060D">
        <w:t xml:space="preserve"> [2022] FCAFC 43 at [22</w:t>
      </w:r>
      <w:proofErr w:type="gramStart"/>
      <w:r w:rsidR="003F060D">
        <w:t>]</w:t>
      </w:r>
      <w:r w:rsidR="00ED6E7D">
        <w:t>-</w:t>
      </w:r>
      <w:proofErr w:type="gramEnd"/>
      <w:r w:rsidR="00ED6E7D">
        <w:t xml:space="preserve"> [</w:t>
      </w:r>
      <w:r w:rsidR="003F060D">
        <w:t>23], Logan, Griffiths and Perry JJ.</w:t>
      </w:r>
    </w:p>
    <w:p w:rsidR="00AA5117" w:rsidRDefault="003F060D" w:rsidP="003B6E77">
      <w:pPr>
        <w:pStyle w:val="ParaNumbering"/>
      </w:pPr>
      <w:r>
        <w:t>In our view</w:t>
      </w:r>
      <w:r w:rsidR="00CC7204">
        <w:t>,</w:t>
      </w:r>
      <w:r>
        <w:t xml:space="preserve"> it was not unreasonable (or </w:t>
      </w:r>
      <w:r w:rsidR="00CC7204">
        <w:t xml:space="preserve">as </w:t>
      </w:r>
      <w:r>
        <w:t>it is sometimes said imprudent) for the represented respondents not to have accepted the offer of compromise when made in this proceeding</w:t>
      </w:r>
      <w:r w:rsidR="002C24A2">
        <w:t>,</w:t>
      </w:r>
      <w:r w:rsidR="00CC7204">
        <w:t xml:space="preserve"> </w:t>
      </w:r>
      <w:r>
        <w:t>primarily for the reasons submitted on behalf of the represented respondents.  On its face</w:t>
      </w:r>
      <w:r w:rsidR="0013075B">
        <w:t>,</w:t>
      </w:r>
      <w:r>
        <w:t xml:space="preserve"> the offer was only open to be accepted</w:t>
      </w:r>
      <w:r w:rsidR="00F5286E">
        <w:t xml:space="preserve"> if accepted</w:t>
      </w:r>
      <w:r>
        <w:t xml:space="preserve"> by each of the respondents to whom it was addressed.  It could not have been accepted only by the represented respondents.  At the time it was made</w:t>
      </w:r>
      <w:r w:rsidR="0013075B">
        <w:t>,</w:t>
      </w:r>
      <w:r>
        <w:t xml:space="preserve"> Mr Semmens was conducting his own defence of the proceeding and he denied </w:t>
      </w:r>
      <w:r>
        <w:lastRenderedPageBreak/>
        <w:t>each of the primary acts of copyright infringement as pleaded against him.  Further, and as correctly characterised by counsel for the represented respondents</w:t>
      </w:r>
      <w:r w:rsidR="00AA5117">
        <w:t>,</w:t>
      </w:r>
      <w:r>
        <w:t xml:space="preserve"> the offer “sought to bifurcate issues and sub-issues in the proceeding by way of proposed admissions, including admissions as to matters put against different and independent respondents.”  The framing of the offer in that way, in our view, meant that it could not be readily accepted by the represented respondents. </w:t>
      </w:r>
      <w:r w:rsidR="00AA5117">
        <w:t xml:space="preserve">The offer failed to address who would be liable for what portion of the applicant’s costs in the event of acceptance and was uncertain in that regard. For example, entry of judgment against the first and third respondents with costs would have left uncertain the costs liability of the remaining </w:t>
      </w:r>
      <w:r w:rsidR="00ED6E7D">
        <w:t>respondents who</w:t>
      </w:r>
      <w:r w:rsidR="00AA5117">
        <w:t xml:space="preserve"> would have been at liberty to continue their defence of the applicant’s claims on a limited basis.</w:t>
      </w:r>
      <w:r w:rsidR="00ED6E7D">
        <w:t xml:space="preserve">  </w:t>
      </w:r>
    </w:p>
    <w:p w:rsidR="00407D63" w:rsidRDefault="00AA5117" w:rsidP="003B6E77">
      <w:pPr>
        <w:pStyle w:val="ParaNumbering"/>
      </w:pPr>
      <w:r>
        <w:t>Finally, and on a separate question,</w:t>
      </w:r>
      <w:r w:rsidR="009E5BA6">
        <w:t xml:space="preserve"> it </w:t>
      </w:r>
      <w:r w:rsidR="00ED6E7D">
        <w:t>is the</w:t>
      </w:r>
      <w:r w:rsidR="00407D63">
        <w:t xml:space="preserve"> case that the appellant failed, before the primary judge and upon the appeal to this Court, on each of its misuse of confidential information, breach of contract and breach of undertakings claims.</w:t>
      </w:r>
      <w:r w:rsidR="009E5BA6">
        <w:t xml:space="preserve"> In that regard, the appellant did not ultimately achieve a result more favourable to it </w:t>
      </w:r>
      <w:r w:rsidR="00ED6E7D">
        <w:t>than the</w:t>
      </w:r>
      <w:r w:rsidR="009E5BA6">
        <w:t xml:space="preserve"> offer.</w:t>
      </w:r>
    </w:p>
    <w:p w:rsidR="00407D63" w:rsidRDefault="00407D63" w:rsidP="003B6E77">
      <w:pPr>
        <w:pStyle w:val="ParaNumbering"/>
      </w:pPr>
      <w:r>
        <w:t>For these reasons a principled exercise of the discretion to make costs orders in the</w:t>
      </w:r>
      <w:r w:rsidR="009E5BA6">
        <w:t xml:space="preserve"> trial</w:t>
      </w:r>
      <w:r>
        <w:t xml:space="preserve"> proceeding requires that the applicant should have its costs on the usual party and party basis to be determined in a lump sum.  Accordingly, we make the following orders:</w:t>
      </w:r>
    </w:p>
    <w:p w:rsidR="00407D63" w:rsidRDefault="00407D63" w:rsidP="00B52B65">
      <w:pPr>
        <w:pStyle w:val="Order1"/>
        <w:numPr>
          <w:ilvl w:val="0"/>
          <w:numId w:val="30"/>
        </w:numPr>
      </w:pPr>
      <w:r>
        <w:t>The first, second, fourth, fifth, sixth and seventh respondents must pay the appellant</w:t>
      </w:r>
      <w:r w:rsidR="0013075B">
        <w:t>’</w:t>
      </w:r>
      <w:r>
        <w:t xml:space="preserve">s costs of the appeal to be determined on a party and party basis and awarded in a lump sum pursuant to rule 40.02(b) of the </w:t>
      </w:r>
      <w:r w:rsidRPr="00B52B65">
        <w:rPr>
          <w:i/>
        </w:rPr>
        <w:t xml:space="preserve">Federal Court </w:t>
      </w:r>
      <w:r w:rsidR="00F5286E">
        <w:rPr>
          <w:i/>
        </w:rPr>
        <w:t>R</w:t>
      </w:r>
      <w:r w:rsidRPr="00B52B65">
        <w:rPr>
          <w:i/>
        </w:rPr>
        <w:t>ules 2011</w:t>
      </w:r>
      <w:r w:rsidR="0013075B">
        <w:t xml:space="preserve"> (</w:t>
      </w:r>
      <w:proofErr w:type="spellStart"/>
      <w:r w:rsidR="0013075B">
        <w:t>Cth</w:t>
      </w:r>
      <w:proofErr w:type="spellEnd"/>
      <w:r w:rsidR="0013075B">
        <w:t>)</w:t>
      </w:r>
      <w:r>
        <w:t xml:space="preserve"> to be determined by a registrar of the court in such manner as the registrar deems fit, who shall then make an order fixing the amount of those costs, which are to be payable within 28 days of such order</w:t>
      </w:r>
      <w:r w:rsidR="002C24A2">
        <w:t>.</w:t>
      </w:r>
    </w:p>
    <w:p w:rsidR="00CF7172" w:rsidRDefault="002C24A2" w:rsidP="0017300F">
      <w:pPr>
        <w:pStyle w:val="Order1"/>
        <w:numPr>
          <w:ilvl w:val="0"/>
          <w:numId w:val="30"/>
        </w:numPr>
      </w:pPr>
      <w:r>
        <w:t>T</w:t>
      </w:r>
      <w:r w:rsidR="00407D63">
        <w:t xml:space="preserve">he first, second, fourth, fifth, sixth and seventh respondents must pay the applicant’s costs of proceeding NSD772/2017 to be determined on a party and party basis and awarded in a lump sum pursuant to rule 40.02(b) of the </w:t>
      </w:r>
      <w:r w:rsidR="00F5286E" w:rsidRPr="0017300F">
        <w:rPr>
          <w:i/>
        </w:rPr>
        <w:t>Federal Court R</w:t>
      </w:r>
      <w:r w:rsidR="00407D63" w:rsidRPr="0017300F">
        <w:rPr>
          <w:i/>
        </w:rPr>
        <w:t>ules 2011</w:t>
      </w:r>
      <w:r w:rsidR="0013075B">
        <w:t xml:space="preserve"> (</w:t>
      </w:r>
      <w:proofErr w:type="spellStart"/>
      <w:r w:rsidR="0013075B">
        <w:t>Cth</w:t>
      </w:r>
      <w:proofErr w:type="spellEnd"/>
      <w:r w:rsidR="0013075B">
        <w:t>)</w:t>
      </w:r>
      <w:r w:rsidR="00407D63">
        <w:t xml:space="preserve"> to be determined by a registrar of the court in such manner as the registrar deems fit, who shall then make an order fixing the amount of those costs, which are to be payable within 28 days of such order</w:t>
      </w:r>
      <w:r>
        <w:t>.</w:t>
      </w:r>
    </w:p>
    <w:p w:rsidR="003B6E77" w:rsidRDefault="003B6E77" w:rsidP="003B6E77">
      <w:pPr>
        <w:pStyle w:val="Order1"/>
        <w:numPr>
          <w:ilvl w:val="0"/>
          <w:numId w:val="0"/>
        </w:numPr>
      </w:pPr>
    </w:p>
    <w:p w:rsidR="003B6E77" w:rsidRDefault="003B6E77" w:rsidP="00815065">
      <w:pPr>
        <w:pStyle w:val="BodyText"/>
      </w:pPr>
      <w:bookmarkStart w:id="26" w:name="Certification"/>
    </w:p>
    <w:tbl>
      <w:tblPr>
        <w:tblW w:w="0" w:type="auto"/>
        <w:tblLook w:val="04A0" w:firstRow="1" w:lastRow="0" w:firstColumn="1" w:lastColumn="0" w:noHBand="0" w:noVBand="1"/>
      </w:tblPr>
      <w:tblGrid>
        <w:gridCol w:w="3794"/>
      </w:tblGrid>
      <w:tr w:rsidR="003B6E77" w:rsidRPr="003B6E77">
        <w:tc>
          <w:tcPr>
            <w:tcW w:w="3794" w:type="dxa"/>
            <w:shd w:val="clear" w:color="auto" w:fill="auto"/>
          </w:tcPr>
          <w:p w:rsidR="003B6E77" w:rsidRPr="003B6E77" w:rsidRDefault="003B6E77" w:rsidP="003B6E77">
            <w:pPr>
              <w:pStyle w:val="Normal1linespace"/>
            </w:pPr>
            <w:r w:rsidRPr="003B6E77">
              <w:lastRenderedPageBreak/>
              <w:t xml:space="preserve">I certify that the preceding </w:t>
            </w:r>
            <w:r>
              <w:t>nine</w:t>
            </w:r>
            <w:r w:rsidRPr="003B6E77">
              <w:t xml:space="preserve"> (</w:t>
            </w:r>
            <w:r>
              <w:t>9</w:t>
            </w:r>
            <w:r w:rsidRPr="003B6E77">
              <w:t xml:space="preserve">) numbered </w:t>
            </w:r>
            <w:bookmarkStart w:id="27" w:name="CertPara"/>
            <w:r>
              <w:t>paragraphs are</w:t>
            </w:r>
            <w:bookmarkEnd w:id="27"/>
            <w:r w:rsidRPr="003B6E77">
              <w:t xml:space="preserve"> a true copy of the Reasons for Judgment of </w:t>
            </w:r>
            <w:bookmarkStart w:id="28" w:name="bkHonourable"/>
            <w:r w:rsidRPr="003B6E77">
              <w:t xml:space="preserve">the Honourable </w:t>
            </w:r>
            <w:bookmarkStart w:id="29" w:name="Justice"/>
            <w:bookmarkEnd w:id="28"/>
            <w:r>
              <w:t>Justices Greenwood, Cheeseman and McElwaine</w:t>
            </w:r>
            <w:bookmarkEnd w:id="29"/>
            <w:r w:rsidRPr="003B6E77">
              <w:t>.</w:t>
            </w:r>
          </w:p>
        </w:tc>
      </w:tr>
    </w:tbl>
    <w:p w:rsidR="003B6E77" w:rsidRDefault="003B6E77" w:rsidP="00815065">
      <w:pPr>
        <w:pStyle w:val="BodyText"/>
      </w:pPr>
    </w:p>
    <w:p w:rsidR="003B6E77" w:rsidRDefault="003B6E77" w:rsidP="00815065">
      <w:pPr>
        <w:pStyle w:val="BodyText"/>
      </w:pPr>
    </w:p>
    <w:p w:rsidR="003B6E77" w:rsidRDefault="003B6E77" w:rsidP="00815065">
      <w:pPr>
        <w:pStyle w:val="BodyText"/>
      </w:pPr>
    </w:p>
    <w:p w:rsidR="003B6E77" w:rsidRDefault="003B6E77" w:rsidP="00815065">
      <w:pPr>
        <w:pStyle w:val="BodyText"/>
      </w:pPr>
      <w:r>
        <w:t xml:space="preserve">Associate: </w:t>
      </w:r>
    </w:p>
    <w:p w:rsidR="0044435F" w:rsidRDefault="0044435F" w:rsidP="00815065">
      <w:pPr>
        <w:pStyle w:val="BodyText"/>
      </w:pPr>
    </w:p>
    <w:p w:rsidR="003B6E77" w:rsidRDefault="003B6E77" w:rsidP="00815065">
      <w:pPr>
        <w:pStyle w:val="BodyText"/>
        <w:tabs>
          <w:tab w:val="left" w:pos="1134"/>
        </w:tabs>
      </w:pPr>
      <w:r>
        <w:t>Dated:</w:t>
      </w:r>
      <w:r>
        <w:tab/>
      </w:r>
      <w:bookmarkStart w:id="30" w:name="CertifyDated"/>
      <w:r>
        <w:t>19 July 2022</w:t>
      </w:r>
      <w:bookmarkEnd w:id="30"/>
    </w:p>
    <w:p w:rsidR="003B6E77" w:rsidRDefault="003B6E77" w:rsidP="00815065">
      <w:pPr>
        <w:pStyle w:val="BodyText"/>
      </w:pPr>
    </w:p>
    <w:bookmarkEnd w:id="26"/>
    <w:p w:rsidR="003B6E77" w:rsidRDefault="003B6E77" w:rsidP="003B6E77">
      <w:pPr>
        <w:pStyle w:val="BodyText"/>
      </w:pPr>
    </w:p>
    <w:p w:rsidR="00CF7172" w:rsidRDefault="00CF7172">
      <w:pPr>
        <w:spacing w:line="240" w:lineRule="auto"/>
        <w:jc w:val="left"/>
      </w:pPr>
    </w:p>
    <w:p w:rsidR="003B6E77" w:rsidRDefault="003B6E77">
      <w:pPr>
        <w:spacing w:line="240" w:lineRule="auto"/>
        <w:jc w:val="left"/>
        <w:sectPr w:rsidR="003B6E77" w:rsidSect="00A84FD0">
          <w:endnotePr>
            <w:numFmt w:val="decimal"/>
          </w:endnotePr>
          <w:pgSz w:w="11907" w:h="16840" w:code="9"/>
          <w:pgMar w:top="1440" w:right="1440" w:bottom="1440" w:left="1440" w:header="851" w:footer="851" w:gutter="0"/>
          <w:pgNumType w:start="1"/>
          <w:cols w:space="720"/>
          <w:noEndnote/>
          <w:titlePg/>
        </w:sectPr>
      </w:pPr>
    </w:p>
    <w:p w:rsidR="004A1C7E" w:rsidRPr="00CD498A" w:rsidRDefault="004A1C7E" w:rsidP="00E91A0F">
      <w:pPr>
        <w:pStyle w:val="NormalHeadings"/>
        <w:spacing w:before="180" w:line="480" w:lineRule="auto"/>
        <w:jc w:val="center"/>
        <w:rPr>
          <w:sz w:val="28"/>
          <w:szCs w:val="28"/>
        </w:rPr>
      </w:pPr>
      <w:bookmarkStart w:id="31" w:name="SOP_Section"/>
      <w:r w:rsidRPr="00CD498A">
        <w:rPr>
          <w:sz w:val="28"/>
          <w:szCs w:val="28"/>
        </w:rPr>
        <w:lastRenderedPageBreak/>
        <w:t>SCHEDULE OF PARTIES</w:t>
      </w:r>
    </w:p>
    <w:p w:rsidR="004A1C7E" w:rsidRPr="00663089" w:rsidRDefault="004A1C7E" w:rsidP="00663089">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4A1C7E" w:rsidTr="004A1C7E">
        <w:tc>
          <w:tcPr>
            <w:tcW w:w="3368" w:type="dxa"/>
          </w:tcPr>
          <w:p w:rsidR="004A1C7E" w:rsidRDefault="004A1C7E" w:rsidP="004F5197">
            <w:pPr>
              <w:pStyle w:val="NormalHeadings"/>
              <w:jc w:val="left"/>
              <w:rPr>
                <w:caps/>
                <w:szCs w:val="24"/>
              </w:rPr>
            </w:pPr>
          </w:p>
        </w:tc>
        <w:tc>
          <w:tcPr>
            <w:tcW w:w="5874" w:type="dxa"/>
          </w:tcPr>
          <w:p w:rsidR="004A1C7E" w:rsidRDefault="005F42BD" w:rsidP="004F5197">
            <w:pPr>
              <w:pStyle w:val="NormalHeadings"/>
              <w:jc w:val="right"/>
            </w:pPr>
            <w:r>
              <w:fldChar w:fldCharType="begin" w:fldLock="1"/>
            </w:r>
            <w:r>
              <w:instrText xml:space="preserve"> REF  FileNo </w:instrText>
            </w:r>
            <w:r>
              <w:fldChar w:fldCharType="separate"/>
            </w:r>
            <w:r w:rsidR="004A1C7E">
              <w:t>NSD 1015 of 2021</w:t>
            </w:r>
            <w:r>
              <w:fldChar w:fldCharType="end"/>
            </w:r>
          </w:p>
        </w:tc>
      </w:tr>
      <w:tr w:rsidR="004A1C7E" w:rsidTr="004A1C7E">
        <w:trPr>
          <w:trHeight w:val="386"/>
        </w:trPr>
        <w:tc>
          <w:tcPr>
            <w:tcW w:w="3368" w:type="dxa"/>
          </w:tcPr>
          <w:p w:rsidR="004A1C7E" w:rsidRDefault="004A1C7E" w:rsidP="0087788E">
            <w:pPr>
              <w:pStyle w:val="BodyTextBold"/>
              <w:spacing w:before="180"/>
              <w:jc w:val="left"/>
            </w:pPr>
            <w:bookmarkStart w:id="32" w:name="SOP_RespondentsRows" w:colFirst="0" w:colLast="1"/>
            <w:r>
              <w:t>Respondents</w:t>
            </w:r>
          </w:p>
        </w:tc>
        <w:tc>
          <w:tcPr>
            <w:tcW w:w="5874" w:type="dxa"/>
            <w:tcMar>
              <w:left w:w="28" w:type="dxa"/>
            </w:tcMar>
          </w:tcPr>
          <w:p w:rsidR="004A1C7E" w:rsidRDefault="004A1C7E" w:rsidP="0087788E">
            <w:pPr>
              <w:pStyle w:val="BodyText"/>
              <w:jc w:val="left"/>
            </w:pPr>
          </w:p>
        </w:tc>
      </w:tr>
      <w:tr w:rsidR="004A1C7E" w:rsidTr="004A1C7E">
        <w:trPr>
          <w:trHeight w:val="386"/>
        </w:trPr>
        <w:tc>
          <w:tcPr>
            <w:tcW w:w="3368" w:type="dxa"/>
          </w:tcPr>
          <w:p w:rsidR="004A1C7E" w:rsidRDefault="004A1C7E" w:rsidP="00F2363B">
            <w:pPr>
              <w:pStyle w:val="BodyText"/>
              <w:spacing w:after="240" w:line="240" w:lineRule="auto"/>
              <w:jc w:val="left"/>
            </w:pPr>
            <w:bookmarkStart w:id="33" w:name="SOP_FirstRespondent"/>
            <w:bookmarkEnd w:id="33"/>
            <w:r>
              <w:t>Fourth Respondent:</w:t>
            </w:r>
          </w:p>
        </w:tc>
        <w:tc>
          <w:tcPr>
            <w:tcW w:w="5874" w:type="dxa"/>
            <w:tcMar>
              <w:left w:w="28" w:type="dxa"/>
            </w:tcMar>
          </w:tcPr>
          <w:p w:rsidR="004A1C7E" w:rsidRDefault="004A1C7E" w:rsidP="00F2363B">
            <w:pPr>
              <w:pStyle w:val="BodyText"/>
              <w:spacing w:after="240" w:line="240" w:lineRule="auto"/>
              <w:jc w:val="left"/>
            </w:pPr>
            <w:r>
              <w:t>DREAM DESK PTY LTD</w:t>
            </w:r>
          </w:p>
        </w:tc>
      </w:tr>
      <w:tr w:rsidR="004A1C7E" w:rsidTr="004A1C7E">
        <w:trPr>
          <w:trHeight w:val="386"/>
        </w:trPr>
        <w:tc>
          <w:tcPr>
            <w:tcW w:w="3368" w:type="dxa"/>
          </w:tcPr>
          <w:p w:rsidR="004A1C7E" w:rsidRDefault="004A1C7E" w:rsidP="00F2363B">
            <w:pPr>
              <w:pStyle w:val="BodyText"/>
              <w:spacing w:after="240" w:line="240" w:lineRule="auto"/>
              <w:jc w:val="left"/>
            </w:pPr>
            <w:r>
              <w:t>Fifth Respondent:</w:t>
            </w:r>
          </w:p>
        </w:tc>
        <w:tc>
          <w:tcPr>
            <w:tcW w:w="5874" w:type="dxa"/>
            <w:tcMar>
              <w:left w:w="28" w:type="dxa"/>
            </w:tcMar>
          </w:tcPr>
          <w:p w:rsidR="004A1C7E" w:rsidRDefault="004A1C7E" w:rsidP="00F2363B">
            <w:pPr>
              <w:pStyle w:val="BodyText"/>
              <w:spacing w:after="240" w:line="240" w:lineRule="auto"/>
              <w:jc w:val="left"/>
            </w:pPr>
            <w:r>
              <w:t>JONATHAN MICHAEL MEISSNER</w:t>
            </w:r>
          </w:p>
        </w:tc>
      </w:tr>
      <w:tr w:rsidR="004A1C7E" w:rsidTr="004A1C7E">
        <w:trPr>
          <w:trHeight w:val="386"/>
        </w:trPr>
        <w:tc>
          <w:tcPr>
            <w:tcW w:w="3368" w:type="dxa"/>
          </w:tcPr>
          <w:p w:rsidR="004A1C7E" w:rsidRDefault="004A1C7E" w:rsidP="00F2363B">
            <w:pPr>
              <w:pStyle w:val="BodyText"/>
              <w:spacing w:after="240" w:line="240" w:lineRule="auto"/>
              <w:jc w:val="left"/>
            </w:pPr>
            <w:r>
              <w:t>Sixth Respondent:</w:t>
            </w:r>
          </w:p>
        </w:tc>
        <w:tc>
          <w:tcPr>
            <w:tcW w:w="5874" w:type="dxa"/>
            <w:tcMar>
              <w:left w:w="28" w:type="dxa"/>
            </w:tcMar>
          </w:tcPr>
          <w:p w:rsidR="004A1C7E" w:rsidRDefault="004A1C7E" w:rsidP="00F2363B">
            <w:pPr>
              <w:pStyle w:val="BodyText"/>
              <w:spacing w:after="240" w:line="240" w:lineRule="auto"/>
              <w:jc w:val="left"/>
            </w:pPr>
            <w:r>
              <w:t>PAUL GEOFFREY STONER</w:t>
            </w:r>
          </w:p>
        </w:tc>
      </w:tr>
      <w:tr w:rsidR="004A1C7E" w:rsidTr="004A1C7E">
        <w:trPr>
          <w:trHeight w:val="386"/>
        </w:trPr>
        <w:tc>
          <w:tcPr>
            <w:tcW w:w="3368" w:type="dxa"/>
          </w:tcPr>
          <w:p w:rsidR="004A1C7E" w:rsidRDefault="004A1C7E" w:rsidP="00F2363B">
            <w:pPr>
              <w:pStyle w:val="BodyText"/>
              <w:spacing w:after="240" w:line="240" w:lineRule="auto"/>
              <w:jc w:val="left"/>
            </w:pPr>
            <w:r>
              <w:t>Seventh Respondent:</w:t>
            </w:r>
          </w:p>
        </w:tc>
        <w:tc>
          <w:tcPr>
            <w:tcW w:w="5874" w:type="dxa"/>
            <w:tcMar>
              <w:left w:w="28" w:type="dxa"/>
            </w:tcMar>
          </w:tcPr>
          <w:p w:rsidR="004A1C7E" w:rsidRDefault="004A1C7E" w:rsidP="00F2363B">
            <w:pPr>
              <w:pStyle w:val="BodyText"/>
              <w:spacing w:after="240" w:line="240" w:lineRule="auto"/>
              <w:jc w:val="left"/>
            </w:pPr>
            <w:r>
              <w:t>MICHELLE BARTELS</w:t>
            </w:r>
          </w:p>
        </w:tc>
      </w:tr>
      <w:bookmarkEnd w:id="32"/>
    </w:tbl>
    <w:p w:rsidR="004A1C7E" w:rsidRDefault="004A1C7E" w:rsidP="002B0E91">
      <w:pPr>
        <w:pStyle w:val="BodyText"/>
      </w:pPr>
    </w:p>
    <w:bookmarkEnd w:id="31"/>
    <w:p w:rsidR="004A1C7E" w:rsidRDefault="004A1C7E" w:rsidP="004A1C7E">
      <w:pPr>
        <w:pStyle w:val="BodyText"/>
      </w:pPr>
    </w:p>
    <w:sectPr w:rsidR="004A1C7E" w:rsidSect="00A84FD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7D1" w:rsidRDefault="00F657D1">
      <w:pPr>
        <w:spacing w:line="20" w:lineRule="exact"/>
      </w:pPr>
    </w:p>
    <w:p w:rsidR="00F657D1" w:rsidRDefault="00F657D1"/>
    <w:p w:rsidR="00F657D1" w:rsidRDefault="00F657D1"/>
  </w:endnote>
  <w:endnote w:type="continuationSeparator" w:id="0">
    <w:p w:rsidR="00F657D1" w:rsidRDefault="00F657D1">
      <w:r>
        <w:t xml:space="preserve"> </w:t>
      </w:r>
    </w:p>
    <w:p w:rsidR="00F657D1" w:rsidRDefault="00F657D1"/>
    <w:p w:rsidR="00F657D1" w:rsidRDefault="00F657D1"/>
  </w:endnote>
  <w:endnote w:type="continuationNotice" w:id="1">
    <w:p w:rsidR="00F657D1" w:rsidRDefault="00F657D1">
      <w:r>
        <w:t xml:space="preserve"> </w:t>
      </w:r>
    </w:p>
    <w:p w:rsidR="00F657D1" w:rsidRDefault="00F657D1"/>
    <w:p w:rsidR="00F657D1" w:rsidRDefault="00F65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5" w:rsidRDefault="00875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34FFE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sidR="008D3677">
          <w:rPr>
            <w:bCs/>
            <w:sz w:val="18"/>
            <w:szCs w:val="18"/>
          </w:rPr>
          <w:t>Campaigntrack</w:t>
        </w:r>
        <w:proofErr w:type="spellEnd"/>
        <w:r w:rsidR="008D3677">
          <w:rPr>
            <w:bCs/>
            <w:sz w:val="18"/>
            <w:szCs w:val="18"/>
          </w:rPr>
          <w:t xml:space="preserve"> Pty Ltd v Real Estate Tool Box Pty Ltd (No 2) [2022] FCAFC 121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875EE5" w:rsidRDefault="00395B24" w:rsidP="00875E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3F5CB9"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DDD97A5E473541BE9C9687369513EACA"/>
        </w:placeholder>
        <w:dataBinding w:prefixMappings="xmlns:ns0='http://schemas.globalmacros.com/FCA'" w:xpath="/ns0:root[1]/ns0:Name[1]" w:storeItemID="{687E7CCB-4AA5-44E7-B148-17BA2B6F57C0}"/>
        <w:text w:multiLine="1"/>
      </w:sdtPr>
      <w:sdtEndPr/>
      <w:sdtContent>
        <w:proofErr w:type="spellStart"/>
        <w:r w:rsidR="008D3677">
          <w:rPr>
            <w:bCs/>
            <w:sz w:val="18"/>
            <w:szCs w:val="18"/>
          </w:rPr>
          <w:t>Campaigntrack</w:t>
        </w:r>
        <w:proofErr w:type="spellEnd"/>
        <w:r w:rsidR="008D3677">
          <w:rPr>
            <w:bCs/>
            <w:sz w:val="18"/>
            <w:szCs w:val="18"/>
          </w:rPr>
          <w:t xml:space="preserve"> Pty Ltd v Real Estate Tool Box Pty Ltd (No 2) [2022] FCAFC 121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F42BD">
      <w:rPr>
        <w:bCs/>
        <w:noProof/>
        <w:sz w:val="20"/>
      </w:rPr>
      <w:t>4</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046FE0"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1196A60507204308827B36573CB74BEB"/>
        </w:placeholder>
        <w:dataBinding w:prefixMappings="xmlns:ns0='http://schemas.globalmacros.com/FCA'" w:xpath="/ns0:root[1]/ns0:Name[1]" w:storeItemID="{687E7CCB-4AA5-44E7-B148-17BA2B6F57C0}"/>
        <w:text w:multiLine="1"/>
      </w:sdtPr>
      <w:sdtEndPr/>
      <w:sdtContent>
        <w:proofErr w:type="spellStart"/>
        <w:r w:rsidR="008D3677">
          <w:rPr>
            <w:bCs/>
            <w:sz w:val="18"/>
            <w:szCs w:val="18"/>
          </w:rPr>
          <w:t>Campaigntrack</w:t>
        </w:r>
        <w:proofErr w:type="spellEnd"/>
        <w:r w:rsidR="008D3677">
          <w:rPr>
            <w:bCs/>
            <w:sz w:val="18"/>
            <w:szCs w:val="18"/>
          </w:rPr>
          <w:t xml:space="preserve"> Pty Ltd v Real Estate Tool Box Pty Ltd (No 2) [2022] FCAFC 121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F42BD">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7D1" w:rsidRDefault="00F657D1"/>
  </w:footnote>
  <w:footnote w:type="continuationSeparator" w:id="0">
    <w:p w:rsidR="00F657D1" w:rsidRDefault="00F657D1">
      <w:r>
        <w:continuationSeparator/>
      </w:r>
    </w:p>
    <w:p w:rsidR="00F657D1" w:rsidRDefault="00F657D1"/>
    <w:p w:rsidR="00F657D1" w:rsidRDefault="00F657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5" w:rsidRDefault="00875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5" w:rsidRDefault="00875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5" w:rsidRDefault="00875E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Campaigntrack Pty Ltd v Real Estate Tool Box Pty Ltd [2021] FCA 809"/>
    <w:docVar w:name="Applicant" w:val="Campaigntrack Pty Ltd"/>
    <w:docVar w:name="CounselParties" w:val="Applic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gnword-docGUID" w:val="{C3B15569-C968-477B-8F60-79CD04A0604E}"/>
    <w:docVar w:name="dgnword-eventsink" w:val="540107776"/>
    <w:docVar w:name="Division" w:val="FCA General Division"/>
    <w:docVar w:name="DocCreated" w:val="True"/>
    <w:docVar w:name="FileNumbers" w:val="NSD 1015 of 2021"/>
    <w:docVar w:name="Initiators" w:val="(and another named in the Schedule)"/>
    <w:docVar w:name="Judgdate" w:val="19 July 2022"/>
    <w:docVar w:name="Judge" w:val="Greenwood, Cheeseman and McElwaine"/>
    <w:docVar w:name="JudgeType" w:val="Justices"/>
    <w:docVar w:name="lstEntryList" w:val="-1"/>
    <w:docVar w:name="myEntryList" w:val="Counsel for the Applicant=Mr M Green and Mr W H Wu|Solicitor for the Applicant=McLean &amp; Associates Solicitors|Counsel for the First, Second, Fourth, Fifth, Sixth and Seventh Respondents=Mr H P T Bevan|Solicitor for the First, Second, Fourth, Fifth, Sixth and Seventh Respondents=Mills Oakley"/>
    <w:docVar w:name="NSD" w:val="NSD "/>
    <w:docVar w:name="NumApps" w:val="1"/>
    <w:docVar w:name="NumApps_" w:val="1"/>
    <w:docVar w:name="NumCrossResps" w:val="0"/>
    <w:docVar w:name="NumDefs" w:val="7"/>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Intellectual Property"/>
    <w:docVar w:name="RESAndAnother" w:val="False"/>
    <w:docVar w:name="RESAndOthers" w:val="True"/>
    <w:docVar w:name="Respondent" w:val="Real Estate Tool Box Pty Ltd|Biggin &amp; Scott Pty Ltd|David Semmens|Dream Desk Pty Ltd|Jonathan Michael Meissner|Paul Geoffrey Stoner|Michelle Bartels"/>
    <w:docVar w:name="ResState" w:val="Victoria"/>
    <w:docVar w:name="SubArea" w:val="Copyright and Industrial Designs (IP)"/>
  </w:docVars>
  <w:rsids>
    <w:rsidRoot w:val="004A1C7E"/>
    <w:rsid w:val="00000747"/>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7768"/>
    <w:rsid w:val="00081497"/>
    <w:rsid w:val="000831EC"/>
    <w:rsid w:val="00084126"/>
    <w:rsid w:val="00085255"/>
    <w:rsid w:val="000A2E76"/>
    <w:rsid w:val="000A4807"/>
    <w:rsid w:val="000A4BE4"/>
    <w:rsid w:val="000C023E"/>
    <w:rsid w:val="000C405D"/>
    <w:rsid w:val="000C5195"/>
    <w:rsid w:val="000C62EF"/>
    <w:rsid w:val="000D2137"/>
    <w:rsid w:val="000D3FD2"/>
    <w:rsid w:val="000D4B2E"/>
    <w:rsid w:val="000E3FC8"/>
    <w:rsid w:val="000E48E1"/>
    <w:rsid w:val="000E5FC1"/>
    <w:rsid w:val="000E7BAE"/>
    <w:rsid w:val="000F133D"/>
    <w:rsid w:val="0010536B"/>
    <w:rsid w:val="0011145C"/>
    <w:rsid w:val="001128BD"/>
    <w:rsid w:val="0011419D"/>
    <w:rsid w:val="00114B02"/>
    <w:rsid w:val="001226C0"/>
    <w:rsid w:val="00126EC8"/>
    <w:rsid w:val="0012731C"/>
    <w:rsid w:val="0013075B"/>
    <w:rsid w:val="00132054"/>
    <w:rsid w:val="00134964"/>
    <w:rsid w:val="001351B9"/>
    <w:rsid w:val="00155CD2"/>
    <w:rsid w:val="001727A4"/>
    <w:rsid w:val="0017300F"/>
    <w:rsid w:val="0017376C"/>
    <w:rsid w:val="001738AB"/>
    <w:rsid w:val="00175215"/>
    <w:rsid w:val="001765E0"/>
    <w:rsid w:val="00177759"/>
    <w:rsid w:val="00180BB3"/>
    <w:rsid w:val="00185DD6"/>
    <w:rsid w:val="00185E6B"/>
    <w:rsid w:val="00187BBC"/>
    <w:rsid w:val="00191F4C"/>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262C"/>
    <w:rsid w:val="00202723"/>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997"/>
    <w:rsid w:val="00257C3E"/>
    <w:rsid w:val="002602C2"/>
    <w:rsid w:val="002666C9"/>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24A2"/>
    <w:rsid w:val="002C31AD"/>
    <w:rsid w:val="002C7385"/>
    <w:rsid w:val="002D2DBB"/>
    <w:rsid w:val="002D37D8"/>
    <w:rsid w:val="002D54A6"/>
    <w:rsid w:val="002E3779"/>
    <w:rsid w:val="002E5BF9"/>
    <w:rsid w:val="002E6A7A"/>
    <w:rsid w:val="002F1E49"/>
    <w:rsid w:val="002F4E9C"/>
    <w:rsid w:val="002F6E15"/>
    <w:rsid w:val="00302F4E"/>
    <w:rsid w:val="0031256C"/>
    <w:rsid w:val="00314D6C"/>
    <w:rsid w:val="00316D2A"/>
    <w:rsid w:val="00322A7C"/>
    <w:rsid w:val="00322EEC"/>
    <w:rsid w:val="00323061"/>
    <w:rsid w:val="00325697"/>
    <w:rsid w:val="003402D3"/>
    <w:rsid w:val="0034068E"/>
    <w:rsid w:val="00343ABC"/>
    <w:rsid w:val="003463FE"/>
    <w:rsid w:val="003472FC"/>
    <w:rsid w:val="00347D41"/>
    <w:rsid w:val="003554B3"/>
    <w:rsid w:val="00356632"/>
    <w:rsid w:val="00357C7E"/>
    <w:rsid w:val="003653B6"/>
    <w:rsid w:val="00365884"/>
    <w:rsid w:val="00370327"/>
    <w:rsid w:val="00374CC4"/>
    <w:rsid w:val="003774B2"/>
    <w:rsid w:val="00380F2D"/>
    <w:rsid w:val="003845A9"/>
    <w:rsid w:val="003850C9"/>
    <w:rsid w:val="00390883"/>
    <w:rsid w:val="003922F8"/>
    <w:rsid w:val="00395B24"/>
    <w:rsid w:val="003A2D38"/>
    <w:rsid w:val="003A7ECC"/>
    <w:rsid w:val="003B2C72"/>
    <w:rsid w:val="003B58B4"/>
    <w:rsid w:val="003B6E77"/>
    <w:rsid w:val="003C1333"/>
    <w:rsid w:val="003C20FF"/>
    <w:rsid w:val="003C550A"/>
    <w:rsid w:val="003C6055"/>
    <w:rsid w:val="003D2650"/>
    <w:rsid w:val="003D560C"/>
    <w:rsid w:val="003D5C00"/>
    <w:rsid w:val="003E3154"/>
    <w:rsid w:val="003E5874"/>
    <w:rsid w:val="003E72D3"/>
    <w:rsid w:val="003F060D"/>
    <w:rsid w:val="003F193E"/>
    <w:rsid w:val="003F242C"/>
    <w:rsid w:val="003F34F1"/>
    <w:rsid w:val="004031D8"/>
    <w:rsid w:val="00407D63"/>
    <w:rsid w:val="004104B6"/>
    <w:rsid w:val="00411AE8"/>
    <w:rsid w:val="00413B74"/>
    <w:rsid w:val="004342F3"/>
    <w:rsid w:val="00435C5F"/>
    <w:rsid w:val="00436155"/>
    <w:rsid w:val="00436460"/>
    <w:rsid w:val="00441E98"/>
    <w:rsid w:val="0044435F"/>
    <w:rsid w:val="00450F3A"/>
    <w:rsid w:val="004532F7"/>
    <w:rsid w:val="00464D51"/>
    <w:rsid w:val="00472027"/>
    <w:rsid w:val="004804CF"/>
    <w:rsid w:val="00483314"/>
    <w:rsid w:val="00484962"/>
    <w:rsid w:val="00484F6D"/>
    <w:rsid w:val="00484FB7"/>
    <w:rsid w:val="0048554D"/>
    <w:rsid w:val="0049338A"/>
    <w:rsid w:val="0049417F"/>
    <w:rsid w:val="00496D41"/>
    <w:rsid w:val="004A1C7E"/>
    <w:rsid w:val="004A6602"/>
    <w:rsid w:val="004B3EFA"/>
    <w:rsid w:val="004C2A87"/>
    <w:rsid w:val="004C4D7B"/>
    <w:rsid w:val="004C4ED3"/>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2829"/>
    <w:rsid w:val="005629B3"/>
    <w:rsid w:val="0057128A"/>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5F42BD"/>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60EC0"/>
    <w:rsid w:val="007711BD"/>
    <w:rsid w:val="0077422D"/>
    <w:rsid w:val="0078003A"/>
    <w:rsid w:val="00780771"/>
    <w:rsid w:val="007929CF"/>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068E6"/>
    <w:rsid w:val="008154A7"/>
    <w:rsid w:val="008216E7"/>
    <w:rsid w:val="00825BE6"/>
    <w:rsid w:val="00826826"/>
    <w:rsid w:val="008276B4"/>
    <w:rsid w:val="0083089F"/>
    <w:rsid w:val="00831927"/>
    <w:rsid w:val="00837288"/>
    <w:rsid w:val="00841BD3"/>
    <w:rsid w:val="0084273D"/>
    <w:rsid w:val="00844E3F"/>
    <w:rsid w:val="00845A83"/>
    <w:rsid w:val="00846BB9"/>
    <w:rsid w:val="008649D5"/>
    <w:rsid w:val="008712BB"/>
    <w:rsid w:val="00875EE5"/>
    <w:rsid w:val="008830E7"/>
    <w:rsid w:val="00890EDE"/>
    <w:rsid w:val="00892B38"/>
    <w:rsid w:val="008A1741"/>
    <w:rsid w:val="008A2484"/>
    <w:rsid w:val="008A3BFE"/>
    <w:rsid w:val="008A52F3"/>
    <w:rsid w:val="008C26D9"/>
    <w:rsid w:val="008C6D50"/>
    <w:rsid w:val="008C7167"/>
    <w:rsid w:val="008C7503"/>
    <w:rsid w:val="008D1400"/>
    <w:rsid w:val="008D1617"/>
    <w:rsid w:val="008D330F"/>
    <w:rsid w:val="008D3677"/>
    <w:rsid w:val="008D48C1"/>
    <w:rsid w:val="008E6315"/>
    <w:rsid w:val="008F0480"/>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1E4C"/>
    <w:rsid w:val="009365E0"/>
    <w:rsid w:val="00942BA2"/>
    <w:rsid w:val="009432B7"/>
    <w:rsid w:val="00944C86"/>
    <w:rsid w:val="00947C02"/>
    <w:rsid w:val="00950BE6"/>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A3A9C"/>
    <w:rsid w:val="009B046C"/>
    <w:rsid w:val="009B13FA"/>
    <w:rsid w:val="009B1E2D"/>
    <w:rsid w:val="009B52BC"/>
    <w:rsid w:val="009C59FB"/>
    <w:rsid w:val="009C6F3B"/>
    <w:rsid w:val="009D1467"/>
    <w:rsid w:val="009D328D"/>
    <w:rsid w:val="009E4FA6"/>
    <w:rsid w:val="009E5B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E79"/>
    <w:rsid w:val="00A950B6"/>
    <w:rsid w:val="00A95D45"/>
    <w:rsid w:val="00AA3EA8"/>
    <w:rsid w:val="00AA5117"/>
    <w:rsid w:val="00AB41C1"/>
    <w:rsid w:val="00AB4CF2"/>
    <w:rsid w:val="00AB6CCA"/>
    <w:rsid w:val="00AC223F"/>
    <w:rsid w:val="00AC33B1"/>
    <w:rsid w:val="00AD12A8"/>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52B65"/>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E183D"/>
    <w:rsid w:val="00BF24C2"/>
    <w:rsid w:val="00BF2922"/>
    <w:rsid w:val="00BF5D7A"/>
    <w:rsid w:val="00C01C2E"/>
    <w:rsid w:val="00C02D33"/>
    <w:rsid w:val="00C04B53"/>
    <w:rsid w:val="00C1232C"/>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85982"/>
    <w:rsid w:val="00CA0466"/>
    <w:rsid w:val="00CA246D"/>
    <w:rsid w:val="00CA50D9"/>
    <w:rsid w:val="00CB3054"/>
    <w:rsid w:val="00CB5636"/>
    <w:rsid w:val="00CB5F30"/>
    <w:rsid w:val="00CC3EE5"/>
    <w:rsid w:val="00CC6E47"/>
    <w:rsid w:val="00CC7204"/>
    <w:rsid w:val="00CD1346"/>
    <w:rsid w:val="00CE425C"/>
    <w:rsid w:val="00CE437F"/>
    <w:rsid w:val="00CE4C3D"/>
    <w:rsid w:val="00CE58AC"/>
    <w:rsid w:val="00CF5A80"/>
    <w:rsid w:val="00CF7172"/>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4F90"/>
    <w:rsid w:val="00DD6957"/>
    <w:rsid w:val="00DD6E7A"/>
    <w:rsid w:val="00DE3067"/>
    <w:rsid w:val="00DF08E6"/>
    <w:rsid w:val="00DF3EEE"/>
    <w:rsid w:val="00DF75E1"/>
    <w:rsid w:val="00E027BC"/>
    <w:rsid w:val="00E045BE"/>
    <w:rsid w:val="00E10F0D"/>
    <w:rsid w:val="00E14EA5"/>
    <w:rsid w:val="00E2070E"/>
    <w:rsid w:val="00E21133"/>
    <w:rsid w:val="00E2327E"/>
    <w:rsid w:val="00E23577"/>
    <w:rsid w:val="00E266EF"/>
    <w:rsid w:val="00E326A8"/>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6E7D"/>
    <w:rsid w:val="00ED7DD9"/>
    <w:rsid w:val="00EE445B"/>
    <w:rsid w:val="00EE56ED"/>
    <w:rsid w:val="00EF3113"/>
    <w:rsid w:val="00EF3F84"/>
    <w:rsid w:val="00F176AC"/>
    <w:rsid w:val="00F26F28"/>
    <w:rsid w:val="00F27714"/>
    <w:rsid w:val="00F3276E"/>
    <w:rsid w:val="00F33D3C"/>
    <w:rsid w:val="00F37A91"/>
    <w:rsid w:val="00F408A0"/>
    <w:rsid w:val="00F45CF5"/>
    <w:rsid w:val="00F47DB0"/>
    <w:rsid w:val="00F50C3F"/>
    <w:rsid w:val="00F50E34"/>
    <w:rsid w:val="00F51AFB"/>
    <w:rsid w:val="00F5286E"/>
    <w:rsid w:val="00F53EF7"/>
    <w:rsid w:val="00F54BF2"/>
    <w:rsid w:val="00F657D1"/>
    <w:rsid w:val="00F775AC"/>
    <w:rsid w:val="00F8792F"/>
    <w:rsid w:val="00F90215"/>
    <w:rsid w:val="00F9214D"/>
    <w:rsid w:val="00F92355"/>
    <w:rsid w:val="00F93963"/>
    <w:rsid w:val="00F94291"/>
    <w:rsid w:val="00FA298A"/>
    <w:rsid w:val="00FA5B66"/>
    <w:rsid w:val="00FB0B9C"/>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4B082E3-3D82-4019-BDA1-E0ED45BA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Revision">
    <w:name w:val="Revision"/>
    <w:hidden/>
    <w:uiPriority w:val="99"/>
    <w:semiHidden/>
    <w:rsid w:val="00B52B6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E85191E8504AE7B1D87B3051EBA4D7"/>
        <w:category>
          <w:name w:val="General"/>
          <w:gallery w:val="placeholder"/>
        </w:category>
        <w:types>
          <w:type w:val="bbPlcHdr"/>
        </w:types>
        <w:behaviors>
          <w:behavior w:val="content"/>
        </w:behaviors>
        <w:guid w:val="{667DA497-9783-406E-8287-5F9A57D49629}"/>
      </w:docPartPr>
      <w:docPartBody>
        <w:p w:rsidR="00D66E4B" w:rsidRDefault="00FA225F">
          <w:pPr>
            <w:pStyle w:val="EAE85191E8504AE7B1D87B3051EBA4D7"/>
          </w:pPr>
          <w:r>
            <w:rPr>
              <w:rStyle w:val="PlaceholderText"/>
            </w:rPr>
            <w:t>MNC Text</w:t>
          </w:r>
        </w:p>
      </w:docPartBody>
    </w:docPart>
    <w:docPart>
      <w:docPartPr>
        <w:name w:val="DDD97A5E473541BE9C9687369513EACA"/>
        <w:category>
          <w:name w:val="General"/>
          <w:gallery w:val="placeholder"/>
        </w:category>
        <w:types>
          <w:type w:val="bbPlcHdr"/>
        </w:types>
        <w:behaviors>
          <w:behavior w:val="content"/>
        </w:behaviors>
        <w:guid w:val="{E1E6A58D-2800-4B42-B7F8-A9A2D1B77CC9}"/>
      </w:docPartPr>
      <w:docPartBody>
        <w:p w:rsidR="00D66E4B" w:rsidRDefault="00FA225F">
          <w:pPr>
            <w:pStyle w:val="DDD97A5E473541BE9C9687369513EACA"/>
          </w:pPr>
          <w:r w:rsidRPr="005C44BE">
            <w:rPr>
              <w:rStyle w:val="PlaceholderText"/>
            </w:rPr>
            <w:t>Click or tap here to enter text.</w:t>
          </w:r>
        </w:p>
      </w:docPartBody>
    </w:docPart>
    <w:docPart>
      <w:docPartPr>
        <w:name w:val="1196A60507204308827B36573CB74BEB"/>
        <w:category>
          <w:name w:val="General"/>
          <w:gallery w:val="placeholder"/>
        </w:category>
        <w:types>
          <w:type w:val="bbPlcHdr"/>
        </w:types>
        <w:behaviors>
          <w:behavior w:val="content"/>
        </w:behaviors>
        <w:guid w:val="{0D9C4804-6247-430A-9693-464F3363479A}"/>
      </w:docPartPr>
      <w:docPartBody>
        <w:p w:rsidR="00D66E4B" w:rsidRDefault="00FA225F">
          <w:pPr>
            <w:pStyle w:val="1196A60507204308827B36573CB74BEB"/>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4B"/>
    <w:rsid w:val="00920904"/>
    <w:rsid w:val="00D66E4B"/>
    <w:rsid w:val="00FA22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AE85191E8504AE7B1D87B3051EBA4D7">
    <w:name w:val="EAE85191E8504AE7B1D87B3051EBA4D7"/>
  </w:style>
  <w:style w:type="paragraph" w:customStyle="1" w:styleId="D15DD733F1BE401DB43095537D4A8FF7">
    <w:name w:val="D15DD733F1BE401DB43095537D4A8FF7"/>
  </w:style>
  <w:style w:type="paragraph" w:customStyle="1" w:styleId="488449183BBD418380EA0FDAFF6AB7CB">
    <w:name w:val="488449183BBD418380EA0FDAFF6AB7CB"/>
  </w:style>
  <w:style w:type="paragraph" w:customStyle="1" w:styleId="DDD97A5E473541BE9C9687369513EACA">
    <w:name w:val="DDD97A5E473541BE9C9687369513EACA"/>
  </w:style>
  <w:style w:type="paragraph" w:customStyle="1" w:styleId="1196A60507204308827B36573CB74BEB">
    <w:name w:val="1196A60507204308827B36573CB74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Campaigntrack Pty Ltd v Real Estate Tool Box Pty Ltd (No 2) [2022] FCAFC 121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3001E14E-CC24-482B-B3D1-589FCC88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8</Pages>
  <Words>1825</Words>
  <Characters>9512</Characters>
  <Application>Microsoft Office Word</Application>
  <DocSecurity>0</DocSecurity>
  <Lines>328</Lines>
  <Paragraphs>153</Paragraphs>
  <ScaleCrop>false</ScaleCrop>
  <HeadingPairs>
    <vt:vector size="2" baseType="variant">
      <vt:variant>
        <vt:lpstr>Title</vt:lpstr>
      </vt:variant>
      <vt:variant>
        <vt:i4>1</vt:i4>
      </vt:variant>
    </vt:vector>
  </HeadingPairs>
  <TitlesOfParts>
    <vt:vector size="1" baseType="lpstr">
      <vt:lpstr>Campaigntrack Pty Ltd v Real Estate Tool Box Pty Ltd (No 2) [2022] FCAFC 121 </vt:lpstr>
    </vt:vector>
  </TitlesOfParts>
  <Company>Federal Court of Australia</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Campaigntrack Pty Ltd v Real Estate Tool Box Pty Ltd (No 2) [2022] FCAFC 121</dc:title>
  <dc:creator>Eloise Callinan</dc:creator>
  <dc:description>v1.3</dc:description>
  <cp:lastModifiedBy>Amy Chan</cp:lastModifiedBy>
  <cp:revision>4</cp:revision>
  <cp:lastPrinted>2022-07-19T01:06:00Z</cp:lastPrinted>
  <dcterms:created xsi:type="dcterms:W3CDTF">2022-07-19T23:29:00Z</dcterms:created>
  <dcterms:modified xsi:type="dcterms:W3CDTF">2022-07-20T01:16:00Z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Intellectual Property</vt:lpwstr>
  </property>
  <property fmtid="{D5CDD505-2E9C-101B-9397-08002B2CF9AE}" pid="16" name="Court">
    <vt:lpwstr>Federal Court of Australia</vt:lpwstr>
  </property>
  <property fmtid="{D5CDD505-2E9C-101B-9397-08002B2CF9AE}" pid="17" name="Sub Area">
    <vt:lpwstr>Copyright and Industrial Designs</vt:lpwstr>
  </property>
  <property fmtid="{D5CDD505-2E9C-101B-9397-08002B2CF9AE}" pid="18" name="AppealFrom">
    <vt:lpwstr>Campaigntrack Pty Ltd v Real Estate Tool Box Pty Ltd [2021] FCA 809</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