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F3A1" w14:textId="0409555A" w:rsidR="00395B24" w:rsidRDefault="007C025B" w:rsidP="00A22932">
      <w:pPr>
        <w:pStyle w:val="CourtTitle"/>
      </w:pPr>
      <w:r>
        <w:fldChar w:fldCharType="begin"/>
      </w:r>
      <w:r>
        <w:instrText xml:space="preserve"> DOCPROPERTY  Court  \* MERGEFORMAT </w:instrText>
      </w:r>
      <w:r>
        <w:fldChar w:fldCharType="separate"/>
      </w:r>
      <w:r w:rsidR="00031C9E">
        <w:t>Federal Court of Australia</w:t>
      </w:r>
      <w:r>
        <w:fldChar w:fldCharType="end"/>
      </w:r>
    </w:p>
    <w:p w14:paraId="03C41E91" w14:textId="77777777" w:rsidR="00395B24" w:rsidRDefault="00395B24">
      <w:pPr>
        <w:pStyle w:val="NormalHeadings"/>
        <w:jc w:val="center"/>
        <w:rPr>
          <w:sz w:val="32"/>
        </w:rPr>
      </w:pPr>
    </w:p>
    <w:bookmarkStart w:id="0" w:name="MNC"/>
    <w:p w14:paraId="15D54133" w14:textId="66E160CB" w:rsidR="00374CC4" w:rsidRDefault="00B67991" w:rsidP="001A2B40">
      <w:pPr>
        <w:pStyle w:val="MNC"/>
      </w:pPr>
      <w:sdt>
        <w:sdtPr>
          <w:alias w:val="MNC"/>
          <w:tag w:val="MNC"/>
          <w:id w:val="343289786"/>
          <w:lock w:val="sdtLocked"/>
          <w:placeholder>
            <w:docPart w:val="6AE6898BD5484B99AB70ADF026E67767"/>
          </w:placeholder>
          <w:dataBinding w:prefixMappings="xmlns:ns0='http://schemas.globalmacros.com/FCA'" w:xpath="/ns0:root[1]/ns0:Name[1]" w:storeItemID="{687E7CCB-4AA5-44E7-B148-17BA2B6F57C0}"/>
          <w:text w:multiLine="1"/>
        </w:sdtPr>
        <w:sdtEndPr/>
        <w:sdtContent>
          <w:r w:rsidR="00586C71">
            <w:t>Mulley v Hayes [2021] FCA 1111</w:t>
          </w:r>
          <w:r w:rsidR="00325922">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AD01510" w14:textId="77777777" w:rsidTr="00B57747">
        <w:tc>
          <w:tcPr>
            <w:tcW w:w="3084" w:type="dxa"/>
            <w:shd w:val="clear" w:color="auto" w:fill="auto"/>
          </w:tcPr>
          <w:p w14:paraId="3132EE8F" w14:textId="77777777" w:rsidR="00395B24" w:rsidRDefault="00031C9E" w:rsidP="00663878">
            <w:pPr>
              <w:pStyle w:val="Normal1linespace"/>
              <w:widowControl w:val="0"/>
              <w:jc w:val="left"/>
            </w:pPr>
            <w:r>
              <w:t>File number</w:t>
            </w:r>
            <w:r w:rsidR="002C7385">
              <w:t>:</w:t>
            </w:r>
          </w:p>
        </w:tc>
        <w:tc>
          <w:tcPr>
            <w:tcW w:w="5989" w:type="dxa"/>
            <w:shd w:val="clear" w:color="auto" w:fill="auto"/>
          </w:tcPr>
          <w:p w14:paraId="09F6C429" w14:textId="77777777" w:rsidR="00395B24" w:rsidRPr="00031C9E" w:rsidRDefault="00B67991" w:rsidP="00031C9E">
            <w:pPr>
              <w:pStyle w:val="Normal1linespace"/>
              <w:jc w:val="left"/>
            </w:pPr>
            <w:r>
              <w:fldChar w:fldCharType="begin" w:fldLock="1"/>
            </w:r>
            <w:r>
              <w:instrText xml:space="preserve"> REF  FileNo  \* MERGEFORMAT </w:instrText>
            </w:r>
            <w:r>
              <w:fldChar w:fldCharType="separate"/>
            </w:r>
            <w:r w:rsidR="00031C9E" w:rsidRPr="00031C9E">
              <w:t>NSD 78 of 2021</w:t>
            </w:r>
            <w:r>
              <w:fldChar w:fldCharType="end"/>
            </w:r>
          </w:p>
        </w:tc>
      </w:tr>
      <w:tr w:rsidR="00395B24" w14:paraId="4AC9090D" w14:textId="77777777" w:rsidTr="00B57747">
        <w:tc>
          <w:tcPr>
            <w:tcW w:w="3084" w:type="dxa"/>
            <w:shd w:val="clear" w:color="auto" w:fill="auto"/>
          </w:tcPr>
          <w:p w14:paraId="7BC4DB2E" w14:textId="77777777" w:rsidR="00395B24" w:rsidRDefault="00395B24" w:rsidP="00663878">
            <w:pPr>
              <w:pStyle w:val="Normal1linespace"/>
              <w:widowControl w:val="0"/>
              <w:jc w:val="left"/>
            </w:pPr>
          </w:p>
        </w:tc>
        <w:tc>
          <w:tcPr>
            <w:tcW w:w="5989" w:type="dxa"/>
            <w:shd w:val="clear" w:color="auto" w:fill="auto"/>
          </w:tcPr>
          <w:p w14:paraId="4A1961C8" w14:textId="77777777" w:rsidR="00395B24" w:rsidRDefault="00395B24" w:rsidP="00663878">
            <w:pPr>
              <w:pStyle w:val="Normal1linespace"/>
              <w:widowControl w:val="0"/>
              <w:jc w:val="left"/>
            </w:pPr>
          </w:p>
        </w:tc>
      </w:tr>
      <w:tr w:rsidR="00395B24" w14:paraId="7E3FCFA4" w14:textId="77777777" w:rsidTr="00B57747">
        <w:tc>
          <w:tcPr>
            <w:tcW w:w="3084" w:type="dxa"/>
            <w:shd w:val="clear" w:color="auto" w:fill="auto"/>
          </w:tcPr>
          <w:p w14:paraId="1D6D17EF"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7D3BE7FD" w14:textId="77777777" w:rsidR="00395B24" w:rsidRDefault="002C7385" w:rsidP="00663878">
            <w:pPr>
              <w:pStyle w:val="Normal1linespace"/>
              <w:widowControl w:val="0"/>
              <w:jc w:val="left"/>
              <w:rPr>
                <w:b/>
              </w:rPr>
            </w:pPr>
            <w:r w:rsidRPr="00031C9E">
              <w:rPr>
                <w:b/>
              </w:rPr>
              <w:fldChar w:fldCharType="begin" w:fldLock="1"/>
            </w:r>
            <w:r w:rsidRPr="00031C9E">
              <w:rPr>
                <w:b/>
              </w:rPr>
              <w:instrText xml:space="preserve"> REF  Judge  \* MERGEFORMAT </w:instrText>
            </w:r>
            <w:r w:rsidRPr="00031C9E">
              <w:rPr>
                <w:b/>
              </w:rPr>
              <w:fldChar w:fldCharType="separate"/>
            </w:r>
            <w:r w:rsidR="00031C9E" w:rsidRPr="00031C9E">
              <w:rPr>
                <w:b/>
                <w:caps/>
                <w:szCs w:val="24"/>
              </w:rPr>
              <w:t>LEE J</w:t>
            </w:r>
            <w:r w:rsidRPr="00031C9E">
              <w:rPr>
                <w:b/>
              </w:rPr>
              <w:fldChar w:fldCharType="end"/>
            </w:r>
          </w:p>
        </w:tc>
      </w:tr>
      <w:tr w:rsidR="00395B24" w14:paraId="1A9EE218" w14:textId="77777777" w:rsidTr="00B57747">
        <w:tc>
          <w:tcPr>
            <w:tcW w:w="3084" w:type="dxa"/>
            <w:shd w:val="clear" w:color="auto" w:fill="auto"/>
          </w:tcPr>
          <w:p w14:paraId="710DB4CC" w14:textId="77777777" w:rsidR="00395B24" w:rsidRDefault="00395B24" w:rsidP="00663878">
            <w:pPr>
              <w:pStyle w:val="Normal1linespace"/>
              <w:widowControl w:val="0"/>
              <w:jc w:val="left"/>
            </w:pPr>
          </w:p>
        </w:tc>
        <w:tc>
          <w:tcPr>
            <w:tcW w:w="5989" w:type="dxa"/>
            <w:shd w:val="clear" w:color="auto" w:fill="auto"/>
          </w:tcPr>
          <w:p w14:paraId="35DDD771" w14:textId="77777777" w:rsidR="00395B24" w:rsidRDefault="00395B24" w:rsidP="00663878">
            <w:pPr>
              <w:pStyle w:val="Normal1linespace"/>
              <w:widowControl w:val="0"/>
              <w:jc w:val="left"/>
            </w:pPr>
          </w:p>
        </w:tc>
      </w:tr>
      <w:tr w:rsidR="00395B24" w14:paraId="33164A30" w14:textId="77777777" w:rsidTr="00B57747">
        <w:tc>
          <w:tcPr>
            <w:tcW w:w="3084" w:type="dxa"/>
            <w:shd w:val="clear" w:color="auto" w:fill="auto"/>
          </w:tcPr>
          <w:p w14:paraId="5C54769A" w14:textId="77777777" w:rsidR="00395B24" w:rsidRDefault="002C7385" w:rsidP="00663878">
            <w:pPr>
              <w:pStyle w:val="Normal1linespace"/>
              <w:widowControl w:val="0"/>
              <w:jc w:val="left"/>
            </w:pPr>
            <w:r>
              <w:t>Date of judgment:</w:t>
            </w:r>
          </w:p>
        </w:tc>
        <w:tc>
          <w:tcPr>
            <w:tcW w:w="5989" w:type="dxa"/>
            <w:shd w:val="clear" w:color="auto" w:fill="auto"/>
          </w:tcPr>
          <w:p w14:paraId="2F56E184" w14:textId="1E41992B" w:rsidR="00395B24" w:rsidRDefault="003265FE" w:rsidP="002B6873">
            <w:pPr>
              <w:pStyle w:val="Normal1linespace"/>
              <w:widowControl w:val="0"/>
              <w:jc w:val="left"/>
            </w:pPr>
            <w:bookmarkStart w:id="1" w:name="JudgmentDate"/>
            <w:r>
              <w:t>13</w:t>
            </w:r>
            <w:r w:rsidR="00020925">
              <w:t xml:space="preserve"> </w:t>
            </w:r>
            <w:r w:rsidR="002B6873">
              <w:t>September 2021</w:t>
            </w:r>
            <w:bookmarkEnd w:id="1"/>
          </w:p>
        </w:tc>
      </w:tr>
      <w:tr w:rsidR="00395B24" w14:paraId="6A0285F4" w14:textId="77777777" w:rsidTr="00B57747">
        <w:tc>
          <w:tcPr>
            <w:tcW w:w="3084" w:type="dxa"/>
            <w:shd w:val="clear" w:color="auto" w:fill="auto"/>
          </w:tcPr>
          <w:p w14:paraId="7928E6FB" w14:textId="77777777" w:rsidR="00395B24" w:rsidRDefault="00395B24" w:rsidP="00663878">
            <w:pPr>
              <w:pStyle w:val="Normal1linespace"/>
              <w:widowControl w:val="0"/>
              <w:jc w:val="left"/>
            </w:pPr>
          </w:p>
        </w:tc>
        <w:tc>
          <w:tcPr>
            <w:tcW w:w="5989" w:type="dxa"/>
            <w:shd w:val="clear" w:color="auto" w:fill="auto"/>
          </w:tcPr>
          <w:p w14:paraId="31321954" w14:textId="77777777" w:rsidR="00395B24" w:rsidRDefault="00395B24" w:rsidP="00663878">
            <w:pPr>
              <w:pStyle w:val="Normal1linespace"/>
              <w:widowControl w:val="0"/>
              <w:jc w:val="left"/>
            </w:pPr>
          </w:p>
        </w:tc>
      </w:tr>
      <w:tr w:rsidR="00395B24" w14:paraId="4BF2BF64" w14:textId="77777777" w:rsidTr="00B57747">
        <w:tc>
          <w:tcPr>
            <w:tcW w:w="3084" w:type="dxa"/>
            <w:shd w:val="clear" w:color="auto" w:fill="auto"/>
          </w:tcPr>
          <w:p w14:paraId="7DD9C4B1" w14:textId="77777777" w:rsidR="00395B24" w:rsidRDefault="002C7385" w:rsidP="00663878">
            <w:pPr>
              <w:pStyle w:val="Normal1linespace"/>
              <w:widowControl w:val="0"/>
              <w:jc w:val="left"/>
            </w:pPr>
            <w:r>
              <w:t>Catchwords:</w:t>
            </w:r>
          </w:p>
        </w:tc>
        <w:tc>
          <w:tcPr>
            <w:tcW w:w="5989" w:type="dxa"/>
            <w:shd w:val="clear" w:color="auto" w:fill="auto"/>
          </w:tcPr>
          <w:p w14:paraId="7BB7C1DF" w14:textId="5FA6FCED" w:rsidR="00395B24" w:rsidRPr="00784FD5" w:rsidRDefault="007C0CC1" w:rsidP="00F02127">
            <w:pPr>
              <w:pStyle w:val="Normal1linespace"/>
              <w:widowControl w:val="0"/>
              <w:jc w:val="left"/>
            </w:pPr>
            <w:bookmarkStart w:id="2" w:name="Catchwords"/>
            <w:r w:rsidRPr="00784FD5">
              <w:rPr>
                <w:b/>
              </w:rPr>
              <w:t>HIGH COURT AND FEDERAL COURT</w:t>
            </w:r>
            <w:r w:rsidRPr="00784FD5">
              <w:t xml:space="preserve"> – federal jurisdiction – </w:t>
            </w:r>
            <w:r w:rsidR="008C6643">
              <w:t xml:space="preserve">defamation proceeding – </w:t>
            </w:r>
            <w:r w:rsidR="00BF4F31">
              <w:t xml:space="preserve">width of principle in </w:t>
            </w:r>
            <w:r w:rsidR="00BF4F31" w:rsidRPr="002A23BB">
              <w:rPr>
                <w:i/>
                <w:lang w:eastAsia="en-AU"/>
              </w:rPr>
              <w:t>LNC Industries v BMW (Australia) Ltd</w:t>
            </w:r>
            <w:r w:rsidR="00BF4F31" w:rsidRPr="002A23BB">
              <w:rPr>
                <w:lang w:eastAsia="en-AU"/>
              </w:rPr>
              <w:t xml:space="preserve"> (1983) 151 CLR 575</w:t>
            </w:r>
            <w:r w:rsidR="00BF4F31">
              <w:rPr>
                <w:lang w:eastAsia="en-AU"/>
              </w:rPr>
              <w:t xml:space="preserve"> </w:t>
            </w:r>
            <w:r w:rsidR="00BF4F31" w:rsidRPr="00784FD5">
              <w:t>–</w:t>
            </w:r>
            <w:r w:rsidR="00BF4F31">
              <w:t xml:space="preserve"> </w:t>
            </w:r>
            <w:r w:rsidR="00BF4F31">
              <w:rPr>
                <w:lang w:eastAsia="en-AU"/>
              </w:rPr>
              <w:t xml:space="preserve">the interpretation or application of an aspect of a Commonwealth law need not </w:t>
            </w:r>
            <w:r w:rsidR="00BF4F31" w:rsidRPr="007707A0">
              <w:rPr>
                <w:lang w:eastAsia="en-AU"/>
              </w:rPr>
              <w:t>be in dispute</w:t>
            </w:r>
            <w:r w:rsidR="00BF4F31">
              <w:rPr>
                <w:lang w:eastAsia="en-AU"/>
              </w:rPr>
              <w:t xml:space="preserve"> for federal jurisdiction to exist</w:t>
            </w:r>
            <w:r w:rsidR="00BF4F31">
              <w:t xml:space="preserve"> </w:t>
            </w:r>
            <w:r w:rsidR="00BF4F31" w:rsidRPr="00784FD5">
              <w:t>–</w:t>
            </w:r>
            <w:r w:rsidR="00BF4F31">
              <w:t xml:space="preserve"> </w:t>
            </w:r>
            <w:r w:rsidR="008C6643">
              <w:t xml:space="preserve">consideration of </w:t>
            </w:r>
            <w:r w:rsidR="00BF4F31">
              <w:t xml:space="preserve">relevant </w:t>
            </w:r>
            <w:r w:rsidR="008C6643">
              <w:t xml:space="preserve">principles </w:t>
            </w:r>
            <w:r w:rsidR="0095120A" w:rsidRPr="00784FD5">
              <w:t>–</w:t>
            </w:r>
            <w:r w:rsidR="00C8671E">
              <w:t xml:space="preserve"> </w:t>
            </w:r>
            <w:r w:rsidR="008809EA">
              <w:t xml:space="preserve">scope of the federal matter – </w:t>
            </w:r>
            <w:r w:rsidR="005403D8" w:rsidRPr="00784FD5">
              <w:t xml:space="preserve">whether assertion of </w:t>
            </w:r>
            <w:r w:rsidR="0095120A" w:rsidRPr="00784FD5">
              <w:t>jurisdiction</w:t>
            </w:r>
            <w:r w:rsidR="00EF27D3">
              <w:t xml:space="preserve"> is</w:t>
            </w:r>
            <w:r w:rsidR="0095120A" w:rsidRPr="00784FD5">
              <w:t xml:space="preserve"> colourable</w:t>
            </w:r>
            <w:bookmarkEnd w:id="2"/>
            <w:r w:rsidR="008809EA">
              <w:t xml:space="preserve"> – </w:t>
            </w:r>
            <w:r w:rsidR="00BF4F31">
              <w:t xml:space="preserve">held </w:t>
            </w:r>
            <w:r w:rsidR="008809EA" w:rsidRPr="00784FD5">
              <w:t xml:space="preserve">jurisdiction of the Court </w:t>
            </w:r>
            <w:r w:rsidR="008809EA">
              <w:t>properly invoked</w:t>
            </w:r>
          </w:p>
          <w:p w14:paraId="602E00EF" w14:textId="77777777" w:rsidR="00784FD5" w:rsidRPr="00784FD5" w:rsidRDefault="00784FD5" w:rsidP="00F02127">
            <w:pPr>
              <w:pStyle w:val="Normal1linespace"/>
              <w:widowControl w:val="0"/>
              <w:jc w:val="left"/>
            </w:pPr>
          </w:p>
          <w:p w14:paraId="562317FD" w14:textId="773344FA" w:rsidR="00784FD5" w:rsidRPr="00784FD5" w:rsidRDefault="00784FD5" w:rsidP="00F02127">
            <w:pPr>
              <w:pStyle w:val="Normal1linespace"/>
              <w:widowControl w:val="0"/>
              <w:jc w:val="left"/>
            </w:pPr>
            <w:r w:rsidRPr="00784FD5">
              <w:rPr>
                <w:b/>
              </w:rPr>
              <w:t>DEFAMATION</w:t>
            </w:r>
            <w:r w:rsidRPr="00784FD5">
              <w:t xml:space="preserve"> – jurisdiction of the Federal Court in defamation matters</w:t>
            </w:r>
            <w:r w:rsidR="00E71BC7">
              <w:t xml:space="preserve"> </w:t>
            </w:r>
          </w:p>
          <w:p w14:paraId="08B8A6AA" w14:textId="77777777" w:rsidR="00784FD5" w:rsidRPr="00784FD5" w:rsidRDefault="00784FD5" w:rsidP="00F02127">
            <w:pPr>
              <w:pStyle w:val="Normal1linespace"/>
              <w:widowControl w:val="0"/>
              <w:jc w:val="left"/>
            </w:pPr>
          </w:p>
          <w:p w14:paraId="45F465D0" w14:textId="38A1ABBF" w:rsidR="00784FD5" w:rsidRPr="00784FD5" w:rsidRDefault="00784FD5" w:rsidP="00C8671E">
            <w:pPr>
              <w:pStyle w:val="Normal1linespace"/>
              <w:widowControl w:val="0"/>
              <w:jc w:val="left"/>
            </w:pPr>
            <w:r w:rsidRPr="00784FD5">
              <w:rPr>
                <w:b/>
              </w:rPr>
              <w:t>TORTS</w:t>
            </w:r>
            <w:r w:rsidRPr="00784FD5">
              <w:t xml:space="preserve"> </w:t>
            </w:r>
            <w:r w:rsidR="00C8671E" w:rsidRPr="00784FD5">
              <w:t>– claim relating to the loss conjugal</w:t>
            </w:r>
            <w:r w:rsidR="00C8671E" w:rsidRPr="00784FD5">
              <w:rPr>
                <w:spacing w:val="-12"/>
              </w:rPr>
              <w:t xml:space="preserve"> </w:t>
            </w:r>
            <w:r w:rsidR="00C8671E" w:rsidRPr="00784FD5">
              <w:t>rights</w:t>
            </w:r>
            <w:r w:rsidR="00C8671E" w:rsidRPr="00784FD5">
              <w:rPr>
                <w:spacing w:val="-12"/>
              </w:rPr>
              <w:t xml:space="preserve"> </w:t>
            </w:r>
            <w:r w:rsidR="00C8671E" w:rsidRPr="00784FD5">
              <w:t>and</w:t>
            </w:r>
            <w:r w:rsidR="00C8671E" w:rsidRPr="00784FD5">
              <w:rPr>
                <w:spacing w:val="-12"/>
              </w:rPr>
              <w:t xml:space="preserve"> </w:t>
            </w:r>
            <w:r w:rsidR="00C8671E" w:rsidRPr="00784FD5">
              <w:t xml:space="preserve">loss of consortium not maintainable </w:t>
            </w:r>
            <w:r w:rsidRPr="00784FD5">
              <w:t>–</w:t>
            </w:r>
            <w:r w:rsidR="00EF27D3">
              <w:t xml:space="preserve"> </w:t>
            </w:r>
            <w:r w:rsidRPr="00784FD5">
              <w:t xml:space="preserve">novel action </w:t>
            </w:r>
            <w:r w:rsidR="00095F23">
              <w:t xml:space="preserve">on the case existing </w:t>
            </w:r>
            <w:r w:rsidRPr="00784FD5">
              <w:t xml:space="preserve">independently of trespass, negligence </w:t>
            </w:r>
            <w:r w:rsidR="00EF27D3">
              <w:t>and</w:t>
            </w:r>
            <w:r w:rsidRPr="00784FD5">
              <w:t xml:space="preserve"> nuisance for damages </w:t>
            </w:r>
            <w:r>
              <w:t>by</w:t>
            </w:r>
            <w:r w:rsidRPr="00784FD5">
              <w:t xml:space="preserve"> a person who suffers harm or loss as the inevitable consequence of the unlawful, intentional and positive acts of another </w:t>
            </w:r>
            <w:r>
              <w:t xml:space="preserve">held to be arguable </w:t>
            </w:r>
            <w:r w:rsidR="000F5D9C" w:rsidRPr="00784FD5">
              <w:t>–</w:t>
            </w:r>
            <w:r w:rsidR="00095F23">
              <w:t xml:space="preserve"> </w:t>
            </w:r>
            <w:r>
              <w:t xml:space="preserve">allegation of unlawfulness </w:t>
            </w:r>
            <w:r w:rsidR="000F5D9C">
              <w:t xml:space="preserve">contrary to </w:t>
            </w:r>
            <w:r w:rsidR="000F5D9C" w:rsidRPr="005A543A">
              <w:t>s 474.17</w:t>
            </w:r>
            <w:r w:rsidR="000F5D9C">
              <w:t xml:space="preserve"> of the </w:t>
            </w:r>
            <w:r w:rsidR="000F5D9C" w:rsidRPr="007D4A6B">
              <w:rPr>
                <w:i/>
              </w:rPr>
              <w:t>Criminal Code</w:t>
            </w:r>
            <w:r w:rsidR="000F5D9C">
              <w:rPr>
                <w:i/>
              </w:rPr>
              <w:t xml:space="preserve"> </w:t>
            </w:r>
            <w:r w:rsidR="000F5D9C">
              <w:t>(</w:t>
            </w:r>
            <w:proofErr w:type="spellStart"/>
            <w:r w:rsidR="000F5D9C">
              <w:t>Cth</w:t>
            </w:r>
            <w:proofErr w:type="spellEnd"/>
            <w:r w:rsidR="000F5D9C">
              <w:t xml:space="preserve">) </w:t>
            </w:r>
          </w:p>
        </w:tc>
      </w:tr>
      <w:tr w:rsidR="00395B24" w14:paraId="2715DBF2" w14:textId="77777777" w:rsidTr="00B57747">
        <w:tc>
          <w:tcPr>
            <w:tcW w:w="3084" w:type="dxa"/>
            <w:shd w:val="clear" w:color="auto" w:fill="auto"/>
          </w:tcPr>
          <w:p w14:paraId="3AA54F92" w14:textId="77777777" w:rsidR="00395B24" w:rsidRDefault="00395B24" w:rsidP="00663878">
            <w:pPr>
              <w:pStyle w:val="Normal1linespace"/>
              <w:widowControl w:val="0"/>
              <w:jc w:val="left"/>
            </w:pPr>
          </w:p>
        </w:tc>
        <w:tc>
          <w:tcPr>
            <w:tcW w:w="5989" w:type="dxa"/>
            <w:shd w:val="clear" w:color="auto" w:fill="auto"/>
          </w:tcPr>
          <w:p w14:paraId="72EA719F" w14:textId="77777777" w:rsidR="00395B24" w:rsidRDefault="00395B24" w:rsidP="00663878">
            <w:pPr>
              <w:pStyle w:val="Normal1linespace"/>
              <w:widowControl w:val="0"/>
              <w:jc w:val="left"/>
            </w:pPr>
          </w:p>
        </w:tc>
      </w:tr>
      <w:tr w:rsidR="00395B24" w14:paraId="0263264B" w14:textId="77777777" w:rsidTr="00B57747">
        <w:tc>
          <w:tcPr>
            <w:tcW w:w="3084" w:type="dxa"/>
            <w:shd w:val="clear" w:color="auto" w:fill="auto"/>
          </w:tcPr>
          <w:p w14:paraId="0CA39E12" w14:textId="77777777" w:rsidR="00395B24" w:rsidRDefault="002C7385" w:rsidP="00663878">
            <w:pPr>
              <w:pStyle w:val="Normal1linespace"/>
              <w:widowControl w:val="0"/>
              <w:jc w:val="left"/>
            </w:pPr>
            <w:r>
              <w:t>Legislation:</w:t>
            </w:r>
          </w:p>
        </w:tc>
        <w:tc>
          <w:tcPr>
            <w:tcW w:w="5989" w:type="dxa"/>
            <w:shd w:val="clear" w:color="auto" w:fill="auto"/>
          </w:tcPr>
          <w:p w14:paraId="35DAB53D" w14:textId="495F3CC5" w:rsidR="00C10FA0" w:rsidRDefault="00C10FA0" w:rsidP="002A23BB">
            <w:pPr>
              <w:pStyle w:val="CasesLegislationAppealFrom"/>
              <w:spacing w:after="60"/>
              <w:rPr>
                <w:i/>
                <w:iCs/>
                <w:szCs w:val="24"/>
                <w:lang w:val="en"/>
              </w:rPr>
            </w:pPr>
            <w:bookmarkStart w:id="3" w:name="Legislation"/>
            <w:r w:rsidRPr="00C10FA0">
              <w:rPr>
                <w:i/>
              </w:rPr>
              <w:t>Constitution</w:t>
            </w:r>
            <w:r w:rsidR="00EC3D19">
              <w:t xml:space="preserve"> </w:t>
            </w:r>
            <w:proofErr w:type="spellStart"/>
            <w:r w:rsidR="00EC3D19">
              <w:t>Ch</w:t>
            </w:r>
            <w:proofErr w:type="spellEnd"/>
            <w:r w:rsidR="00EC3D19">
              <w:t xml:space="preserve"> III;</w:t>
            </w:r>
            <w:r>
              <w:t xml:space="preserve"> </w:t>
            </w:r>
            <w:proofErr w:type="spellStart"/>
            <w:r>
              <w:t>ss</w:t>
            </w:r>
            <w:proofErr w:type="spellEnd"/>
            <w:r>
              <w:t xml:space="preserve"> 75</w:t>
            </w:r>
            <w:r w:rsidR="00F10EAA">
              <w:t>,</w:t>
            </w:r>
            <w:r>
              <w:t xml:space="preserve"> 76</w:t>
            </w:r>
            <w:r w:rsidR="00F10EAA">
              <w:t>, 77</w:t>
            </w:r>
          </w:p>
          <w:p w14:paraId="7BF3D321" w14:textId="6E4706BF" w:rsidR="002A23BB" w:rsidRPr="00454152" w:rsidRDefault="002A23BB" w:rsidP="002A23BB">
            <w:pPr>
              <w:pStyle w:val="CasesLegislationAppealFrom"/>
              <w:spacing w:after="60"/>
              <w:rPr>
                <w:iCs/>
                <w:szCs w:val="24"/>
                <w:lang w:val="en"/>
              </w:rPr>
            </w:pPr>
            <w:r w:rsidRPr="00454152">
              <w:rPr>
                <w:i/>
                <w:iCs/>
                <w:szCs w:val="24"/>
                <w:lang w:val="en"/>
              </w:rPr>
              <w:t>Australia Act 1986</w:t>
            </w:r>
            <w:r w:rsidRPr="00454152">
              <w:rPr>
                <w:iCs/>
                <w:szCs w:val="24"/>
                <w:lang w:val="en"/>
              </w:rPr>
              <w:t xml:space="preserve"> (</w:t>
            </w:r>
            <w:proofErr w:type="spellStart"/>
            <w:r w:rsidRPr="00454152">
              <w:rPr>
                <w:iCs/>
                <w:szCs w:val="24"/>
                <w:lang w:val="en"/>
              </w:rPr>
              <w:t>Cth</w:t>
            </w:r>
            <w:proofErr w:type="spellEnd"/>
            <w:r w:rsidRPr="00454152">
              <w:rPr>
                <w:iCs/>
                <w:szCs w:val="24"/>
                <w:lang w:val="en"/>
              </w:rPr>
              <w:t>)</w:t>
            </w:r>
          </w:p>
          <w:p w14:paraId="5CFBFBB3" w14:textId="77777777" w:rsidR="002A23BB" w:rsidRPr="00454152" w:rsidRDefault="002A23BB" w:rsidP="002A23BB">
            <w:pPr>
              <w:pStyle w:val="CasesLegislationAppealFrom"/>
              <w:spacing w:after="60"/>
              <w:rPr>
                <w:w w:val="105"/>
                <w:szCs w:val="24"/>
              </w:rPr>
            </w:pPr>
            <w:r w:rsidRPr="00454152">
              <w:rPr>
                <w:i/>
                <w:w w:val="105"/>
                <w:szCs w:val="24"/>
              </w:rPr>
              <w:t>Broadcasting</w:t>
            </w:r>
            <w:r w:rsidRPr="00454152">
              <w:rPr>
                <w:i/>
                <w:spacing w:val="-12"/>
                <w:w w:val="105"/>
                <w:szCs w:val="24"/>
              </w:rPr>
              <w:t xml:space="preserve"> </w:t>
            </w:r>
            <w:r w:rsidRPr="00454152">
              <w:rPr>
                <w:i/>
                <w:w w:val="105"/>
                <w:szCs w:val="24"/>
              </w:rPr>
              <w:t>Services</w:t>
            </w:r>
            <w:r w:rsidRPr="00454152">
              <w:rPr>
                <w:i/>
                <w:spacing w:val="-15"/>
                <w:w w:val="105"/>
                <w:szCs w:val="24"/>
              </w:rPr>
              <w:t xml:space="preserve"> </w:t>
            </w:r>
            <w:r w:rsidRPr="00454152">
              <w:rPr>
                <w:i/>
                <w:w w:val="105"/>
                <w:szCs w:val="24"/>
              </w:rPr>
              <w:t>Act</w:t>
            </w:r>
            <w:r w:rsidRPr="00454152">
              <w:rPr>
                <w:i/>
                <w:spacing w:val="-14"/>
                <w:w w:val="105"/>
                <w:szCs w:val="24"/>
              </w:rPr>
              <w:t xml:space="preserve"> </w:t>
            </w:r>
            <w:r w:rsidRPr="00454152">
              <w:rPr>
                <w:i/>
                <w:w w:val="105"/>
                <w:szCs w:val="24"/>
              </w:rPr>
              <w:t xml:space="preserve">1992 </w:t>
            </w:r>
            <w:r w:rsidRPr="00454152">
              <w:rPr>
                <w:w w:val="105"/>
                <w:szCs w:val="24"/>
              </w:rPr>
              <w:t>(</w:t>
            </w:r>
            <w:proofErr w:type="spellStart"/>
            <w:r w:rsidRPr="00454152">
              <w:rPr>
                <w:w w:val="105"/>
                <w:szCs w:val="24"/>
              </w:rPr>
              <w:t>Cth</w:t>
            </w:r>
            <w:proofErr w:type="spellEnd"/>
            <w:r w:rsidRPr="00454152">
              <w:rPr>
                <w:w w:val="105"/>
                <w:szCs w:val="24"/>
              </w:rPr>
              <w:t>)</w:t>
            </w:r>
          </w:p>
          <w:p w14:paraId="49F3FAD0" w14:textId="10B51D16" w:rsidR="002A23BB" w:rsidRPr="00454152" w:rsidRDefault="002A23BB" w:rsidP="002A23BB">
            <w:pPr>
              <w:pStyle w:val="CasesLegislationAppealFrom"/>
              <w:spacing w:after="60"/>
              <w:rPr>
                <w:szCs w:val="24"/>
              </w:rPr>
            </w:pPr>
            <w:r w:rsidRPr="00454152">
              <w:rPr>
                <w:i/>
                <w:szCs w:val="24"/>
              </w:rPr>
              <w:t>Corporations Act 2001</w:t>
            </w:r>
            <w:r w:rsidRPr="00454152">
              <w:rPr>
                <w:szCs w:val="24"/>
              </w:rPr>
              <w:t xml:space="preserve"> (</w:t>
            </w:r>
            <w:proofErr w:type="spellStart"/>
            <w:r w:rsidRPr="00454152">
              <w:rPr>
                <w:szCs w:val="24"/>
              </w:rPr>
              <w:t>C</w:t>
            </w:r>
            <w:r w:rsidRPr="00C10FA0">
              <w:rPr>
                <w:szCs w:val="24"/>
              </w:rPr>
              <w:t>th</w:t>
            </w:r>
            <w:proofErr w:type="spellEnd"/>
            <w:r w:rsidRPr="00C10FA0">
              <w:rPr>
                <w:szCs w:val="24"/>
              </w:rPr>
              <w:t>)</w:t>
            </w:r>
            <w:r w:rsidR="00BA0C0F" w:rsidRPr="00C10FA0">
              <w:rPr>
                <w:i/>
              </w:rPr>
              <w:t xml:space="preserve"> </w:t>
            </w:r>
            <w:proofErr w:type="spellStart"/>
            <w:r w:rsidR="00C10FA0" w:rsidRPr="00C10FA0">
              <w:t>C</w:t>
            </w:r>
            <w:r w:rsidR="00BA0C0F" w:rsidRPr="00C10FA0">
              <w:t>h</w:t>
            </w:r>
            <w:proofErr w:type="spellEnd"/>
            <w:r w:rsidR="00BA0C0F" w:rsidRPr="00C10FA0">
              <w:t xml:space="preserve"> 2B</w:t>
            </w:r>
            <w:r w:rsidR="00EC3D19">
              <w:t>;</w:t>
            </w:r>
            <w:r w:rsidR="00BA0C0F" w:rsidRPr="00C10FA0">
              <w:t xml:space="preserve"> s 124</w:t>
            </w:r>
          </w:p>
          <w:p w14:paraId="2FE9CFE9" w14:textId="50489602" w:rsidR="002A23BB" w:rsidRPr="00454152" w:rsidRDefault="002A23BB" w:rsidP="002A23BB">
            <w:pPr>
              <w:pStyle w:val="CasesLegislationAppealFrom"/>
              <w:spacing w:after="60"/>
              <w:rPr>
                <w:szCs w:val="24"/>
              </w:rPr>
            </w:pPr>
            <w:r w:rsidRPr="00454152">
              <w:rPr>
                <w:i/>
                <w:szCs w:val="24"/>
              </w:rPr>
              <w:t>Criminal Code Act 1995</w:t>
            </w:r>
            <w:r w:rsidRPr="00454152">
              <w:rPr>
                <w:szCs w:val="24"/>
              </w:rPr>
              <w:t xml:space="preserve"> (</w:t>
            </w:r>
            <w:proofErr w:type="spellStart"/>
            <w:r w:rsidRPr="00454152">
              <w:rPr>
                <w:szCs w:val="24"/>
              </w:rPr>
              <w:t>Cth</w:t>
            </w:r>
            <w:proofErr w:type="spellEnd"/>
            <w:r w:rsidRPr="00454152">
              <w:rPr>
                <w:szCs w:val="24"/>
              </w:rPr>
              <w:t>)</w:t>
            </w:r>
            <w:r w:rsidR="005A543A">
              <w:rPr>
                <w:szCs w:val="24"/>
              </w:rPr>
              <w:t xml:space="preserve"> s 474</w:t>
            </w:r>
            <w:r w:rsidR="00454152">
              <w:rPr>
                <w:szCs w:val="24"/>
              </w:rPr>
              <w:t>.17</w:t>
            </w:r>
          </w:p>
          <w:p w14:paraId="37D9E906" w14:textId="77777777" w:rsidR="002A23BB" w:rsidRPr="00454152" w:rsidRDefault="002A23BB" w:rsidP="002A23BB">
            <w:pPr>
              <w:pStyle w:val="CasesLegislationAppealFrom"/>
              <w:spacing w:after="60"/>
              <w:rPr>
                <w:szCs w:val="24"/>
                <w:lang w:eastAsia="en-AU"/>
              </w:rPr>
            </w:pPr>
            <w:r w:rsidRPr="00454152">
              <w:rPr>
                <w:i/>
                <w:szCs w:val="24"/>
                <w:lang w:eastAsia="en-AU"/>
              </w:rPr>
              <w:t xml:space="preserve">Customs Act 1901 </w:t>
            </w:r>
            <w:r w:rsidRPr="00454152">
              <w:rPr>
                <w:szCs w:val="24"/>
                <w:lang w:eastAsia="en-AU"/>
              </w:rPr>
              <w:t>(</w:t>
            </w:r>
            <w:proofErr w:type="spellStart"/>
            <w:r w:rsidRPr="00454152">
              <w:rPr>
                <w:szCs w:val="24"/>
                <w:lang w:eastAsia="en-AU"/>
              </w:rPr>
              <w:t>Cth</w:t>
            </w:r>
            <w:proofErr w:type="spellEnd"/>
            <w:r w:rsidRPr="00454152">
              <w:rPr>
                <w:szCs w:val="24"/>
                <w:lang w:eastAsia="en-AU"/>
              </w:rPr>
              <w:t>)</w:t>
            </w:r>
          </w:p>
          <w:p w14:paraId="45B88CE7" w14:textId="6C318684" w:rsidR="00FE7653" w:rsidRPr="001E45A6" w:rsidRDefault="002A23BB" w:rsidP="002A23BB">
            <w:pPr>
              <w:pStyle w:val="CasesLegislationAppealFrom"/>
              <w:spacing w:after="60"/>
            </w:pPr>
            <w:r w:rsidRPr="00454152">
              <w:rPr>
                <w:i/>
                <w:szCs w:val="24"/>
              </w:rPr>
              <w:t>Evidence Act 1</w:t>
            </w:r>
            <w:r w:rsidRPr="002A23BB">
              <w:rPr>
                <w:i/>
              </w:rPr>
              <w:t xml:space="preserve">995 </w:t>
            </w:r>
            <w:r w:rsidRPr="002A23BB">
              <w:t>(</w:t>
            </w:r>
            <w:proofErr w:type="spellStart"/>
            <w:r w:rsidRPr="002A23BB">
              <w:t>Cth</w:t>
            </w:r>
            <w:proofErr w:type="spellEnd"/>
            <w:r w:rsidRPr="002A23BB">
              <w:t>)</w:t>
            </w:r>
            <w:r w:rsidR="00454152">
              <w:t xml:space="preserve"> s 140</w:t>
            </w:r>
          </w:p>
          <w:p w14:paraId="0A1C9457" w14:textId="77777777" w:rsidR="002A23BB" w:rsidRPr="002A23BB" w:rsidRDefault="002A23BB" w:rsidP="002A23BB">
            <w:pPr>
              <w:pStyle w:val="CasesLegislationAppealFrom"/>
              <w:spacing w:after="60"/>
            </w:pPr>
            <w:r w:rsidRPr="002A23BB">
              <w:rPr>
                <w:i/>
              </w:rPr>
              <w:t>Family Law Act 1975</w:t>
            </w:r>
            <w:r w:rsidRPr="002A23BB">
              <w:rPr>
                <w:spacing w:val="-8"/>
              </w:rPr>
              <w:t xml:space="preserve"> </w:t>
            </w:r>
            <w:r w:rsidRPr="002A23BB">
              <w:t>(</w:t>
            </w:r>
            <w:proofErr w:type="spellStart"/>
            <w:r w:rsidRPr="002A23BB">
              <w:t>Cth</w:t>
            </w:r>
            <w:proofErr w:type="spellEnd"/>
            <w:r w:rsidRPr="002A23BB">
              <w:t>)</w:t>
            </w:r>
            <w:r w:rsidR="00454152">
              <w:t xml:space="preserve"> s 114</w:t>
            </w:r>
          </w:p>
          <w:p w14:paraId="057379E4" w14:textId="77777777" w:rsidR="002A23BB" w:rsidRPr="002A23BB" w:rsidRDefault="002A23BB" w:rsidP="002A23BB">
            <w:pPr>
              <w:pStyle w:val="CasesLegislationAppealFrom"/>
              <w:spacing w:after="60"/>
            </w:pPr>
            <w:r w:rsidRPr="002A23BB">
              <w:rPr>
                <w:i/>
              </w:rPr>
              <w:t>Family Law Amendment (Family Violence And Other Measures)</w:t>
            </w:r>
            <w:r w:rsidRPr="002A23BB">
              <w:rPr>
                <w:i/>
                <w:spacing w:val="-7"/>
              </w:rPr>
              <w:t xml:space="preserve"> </w:t>
            </w:r>
            <w:r w:rsidRPr="002A23BB">
              <w:rPr>
                <w:i/>
              </w:rPr>
              <w:t>Act</w:t>
            </w:r>
            <w:r w:rsidRPr="002A23BB">
              <w:rPr>
                <w:i/>
                <w:spacing w:val="-7"/>
              </w:rPr>
              <w:t xml:space="preserve"> </w:t>
            </w:r>
            <w:r w:rsidRPr="002A23BB">
              <w:rPr>
                <w:i/>
              </w:rPr>
              <w:t>2018</w:t>
            </w:r>
            <w:r w:rsidRPr="002A23BB">
              <w:rPr>
                <w:i/>
                <w:spacing w:val="-7"/>
              </w:rPr>
              <w:t xml:space="preserve"> </w:t>
            </w:r>
            <w:r w:rsidRPr="002A23BB">
              <w:t>(</w:t>
            </w:r>
            <w:proofErr w:type="spellStart"/>
            <w:r w:rsidRPr="002A23BB">
              <w:t>Cth</w:t>
            </w:r>
            <w:proofErr w:type="spellEnd"/>
            <w:r w:rsidRPr="002A23BB">
              <w:t>)</w:t>
            </w:r>
          </w:p>
          <w:p w14:paraId="3A17E0B7" w14:textId="32F5239F" w:rsidR="002A23BB" w:rsidRDefault="002A23BB" w:rsidP="002A23BB">
            <w:pPr>
              <w:pStyle w:val="CasesLegislationAppealFrom"/>
              <w:spacing w:after="60"/>
            </w:pPr>
            <w:r w:rsidRPr="002A23BB">
              <w:rPr>
                <w:i/>
              </w:rPr>
              <w:t>Federal Court of Australia Act 1976</w:t>
            </w:r>
            <w:r w:rsidRPr="002A23BB">
              <w:t xml:space="preserve"> (</w:t>
            </w:r>
            <w:proofErr w:type="spellStart"/>
            <w:r w:rsidRPr="002A23BB">
              <w:t>Cth</w:t>
            </w:r>
            <w:proofErr w:type="spellEnd"/>
            <w:r w:rsidRPr="002A23BB">
              <w:t>)</w:t>
            </w:r>
            <w:r w:rsidR="00454152">
              <w:t xml:space="preserve"> </w:t>
            </w:r>
            <w:proofErr w:type="spellStart"/>
            <w:r w:rsidR="00454152">
              <w:t>ss</w:t>
            </w:r>
            <w:proofErr w:type="spellEnd"/>
            <w:r w:rsidR="00454152">
              <w:t xml:space="preserve"> </w:t>
            </w:r>
            <w:r w:rsidR="00144F4D">
              <w:t xml:space="preserve">32, </w:t>
            </w:r>
            <w:r w:rsidR="00454152">
              <w:t>33(4B), 37P</w:t>
            </w:r>
          </w:p>
          <w:p w14:paraId="01646355" w14:textId="36983AA9" w:rsidR="001E45A6" w:rsidRPr="002A23BB" w:rsidRDefault="001E45A6" w:rsidP="002A23BB">
            <w:pPr>
              <w:pStyle w:val="CasesLegislationAppealFrom"/>
              <w:spacing w:after="60"/>
            </w:pPr>
            <w:r>
              <w:rPr>
                <w:i/>
              </w:rPr>
              <w:t>Federal Court Rules 201</w:t>
            </w:r>
            <w:r w:rsidRPr="002A23BB">
              <w:rPr>
                <w:i/>
              </w:rPr>
              <w:t>1</w:t>
            </w:r>
            <w:r w:rsidRPr="002A23BB">
              <w:t xml:space="preserve"> (</w:t>
            </w:r>
            <w:proofErr w:type="spellStart"/>
            <w:r w:rsidRPr="002A23BB">
              <w:t>Cth</w:t>
            </w:r>
            <w:proofErr w:type="spellEnd"/>
            <w:r w:rsidRPr="002A23BB">
              <w:t>)</w:t>
            </w:r>
            <w:r>
              <w:t xml:space="preserve"> </w:t>
            </w:r>
            <w:proofErr w:type="spellStart"/>
            <w:r>
              <w:t>rr</w:t>
            </w:r>
            <w:proofErr w:type="spellEnd"/>
            <w:r>
              <w:t xml:space="preserve"> </w:t>
            </w:r>
            <w:r w:rsidRPr="00727332">
              <w:t>4.12</w:t>
            </w:r>
            <w:r>
              <w:t>, 7.23, 30.01</w:t>
            </w:r>
          </w:p>
          <w:p w14:paraId="031DE868" w14:textId="78C5F12A" w:rsidR="008721B3" w:rsidRPr="002A23BB" w:rsidRDefault="008721B3" w:rsidP="002A23BB">
            <w:pPr>
              <w:pStyle w:val="CasesLegislationAppealFrom"/>
              <w:spacing w:after="60"/>
            </w:pPr>
            <w:r w:rsidRPr="00E1065D">
              <w:rPr>
                <w:i/>
                <w:iCs/>
                <w:lang w:eastAsia="en-AU"/>
              </w:rPr>
              <w:t>Judiciary Act 1903</w:t>
            </w:r>
            <w:r w:rsidRPr="00E1065D">
              <w:rPr>
                <w:lang w:eastAsia="en-AU"/>
              </w:rPr>
              <w:t> (</w:t>
            </w:r>
            <w:proofErr w:type="spellStart"/>
            <w:r w:rsidRPr="00E1065D">
              <w:rPr>
                <w:lang w:eastAsia="en-AU"/>
              </w:rPr>
              <w:t>Cth</w:t>
            </w:r>
            <w:proofErr w:type="spellEnd"/>
            <w:r w:rsidRPr="00E1065D">
              <w:rPr>
                <w:lang w:eastAsia="en-AU"/>
              </w:rPr>
              <w:t>)</w:t>
            </w:r>
            <w:r>
              <w:rPr>
                <w:lang w:eastAsia="en-AU"/>
              </w:rPr>
              <w:t xml:space="preserve"> </w:t>
            </w:r>
            <w:proofErr w:type="spellStart"/>
            <w:r w:rsidR="00C10FA0">
              <w:rPr>
                <w:lang w:eastAsia="en-AU"/>
              </w:rPr>
              <w:t>ss</w:t>
            </w:r>
            <w:proofErr w:type="spellEnd"/>
            <w:r w:rsidR="00C10FA0">
              <w:rPr>
                <w:lang w:eastAsia="en-AU"/>
              </w:rPr>
              <w:t xml:space="preserve"> 39(2)(a), 39B(1A)(c), 64</w:t>
            </w:r>
          </w:p>
          <w:p w14:paraId="51F8158B" w14:textId="30F2E5B5" w:rsidR="002A23BB" w:rsidRDefault="002A23BB" w:rsidP="002A23BB">
            <w:pPr>
              <w:pStyle w:val="CasesLegislationAppealFrom"/>
              <w:spacing w:after="60"/>
              <w:rPr>
                <w:iCs/>
                <w:lang w:val="en"/>
              </w:rPr>
            </w:pPr>
            <w:r w:rsidRPr="002A23BB">
              <w:rPr>
                <w:i/>
                <w:iCs/>
                <w:lang w:val="en"/>
              </w:rPr>
              <w:lastRenderedPageBreak/>
              <w:t>Insurance Contracts Act 1984</w:t>
            </w:r>
            <w:r w:rsidRPr="002A23BB">
              <w:rPr>
                <w:iCs/>
                <w:lang w:val="en"/>
              </w:rPr>
              <w:t xml:space="preserve"> (</w:t>
            </w:r>
            <w:proofErr w:type="spellStart"/>
            <w:r w:rsidRPr="002A23BB">
              <w:rPr>
                <w:iCs/>
                <w:lang w:val="en"/>
              </w:rPr>
              <w:t>Cth</w:t>
            </w:r>
            <w:proofErr w:type="spellEnd"/>
            <w:r w:rsidRPr="002A23BB">
              <w:rPr>
                <w:iCs/>
                <w:lang w:val="en"/>
              </w:rPr>
              <w:t>)</w:t>
            </w:r>
            <w:r w:rsidR="003B44E3">
              <w:rPr>
                <w:iCs/>
                <w:lang w:val="en"/>
              </w:rPr>
              <w:t xml:space="preserve"> s 57</w:t>
            </w:r>
          </w:p>
          <w:p w14:paraId="71630EDE" w14:textId="003E4ABF" w:rsidR="00FD1046" w:rsidRPr="002A23BB" w:rsidRDefault="00FD1046" w:rsidP="002A23BB">
            <w:pPr>
              <w:pStyle w:val="CasesLegislationAppealFrom"/>
              <w:spacing w:after="60"/>
              <w:rPr>
                <w:iCs/>
                <w:lang w:val="en"/>
              </w:rPr>
            </w:pPr>
            <w:r w:rsidRPr="00F90292">
              <w:rPr>
                <w:i/>
                <w:iCs/>
                <w:lang w:val="en"/>
              </w:rPr>
              <w:t>International Arbitration Act 1974</w:t>
            </w:r>
            <w:r>
              <w:rPr>
                <w:iCs/>
                <w:lang w:val="en"/>
              </w:rPr>
              <w:t xml:space="preserve"> (</w:t>
            </w:r>
            <w:proofErr w:type="spellStart"/>
            <w:r>
              <w:rPr>
                <w:iCs/>
                <w:lang w:val="en"/>
              </w:rPr>
              <w:t>Cth</w:t>
            </w:r>
            <w:proofErr w:type="spellEnd"/>
            <w:r>
              <w:rPr>
                <w:iCs/>
                <w:lang w:val="en"/>
              </w:rPr>
              <w:t>)</w:t>
            </w:r>
          </w:p>
          <w:p w14:paraId="2702CA6E" w14:textId="77777777" w:rsidR="002A23BB" w:rsidRPr="002A23BB" w:rsidRDefault="002A23BB" w:rsidP="002A23BB">
            <w:pPr>
              <w:pStyle w:val="CasesLegislationAppealFrom"/>
              <w:spacing w:after="60"/>
              <w:rPr>
                <w:iCs/>
                <w:lang w:val="en"/>
              </w:rPr>
            </w:pPr>
            <w:r w:rsidRPr="003B44E3">
              <w:rPr>
                <w:i/>
                <w:lang w:val="en"/>
              </w:rPr>
              <w:t>Native Title Act</w:t>
            </w:r>
            <w:r w:rsidRPr="003B44E3">
              <w:rPr>
                <w:i/>
                <w:iCs/>
                <w:lang w:val="en"/>
              </w:rPr>
              <w:t xml:space="preserve"> 1993 </w:t>
            </w:r>
            <w:r w:rsidRPr="002A23BB">
              <w:rPr>
                <w:iCs/>
                <w:lang w:val="en"/>
              </w:rPr>
              <w:t>(</w:t>
            </w:r>
            <w:proofErr w:type="spellStart"/>
            <w:r w:rsidRPr="002A23BB">
              <w:rPr>
                <w:iCs/>
                <w:lang w:val="en"/>
              </w:rPr>
              <w:t>Cth</w:t>
            </w:r>
            <w:proofErr w:type="spellEnd"/>
            <w:r w:rsidRPr="002A23BB">
              <w:rPr>
                <w:iCs/>
                <w:lang w:val="en"/>
              </w:rPr>
              <w:t>)</w:t>
            </w:r>
          </w:p>
          <w:p w14:paraId="32DE6683" w14:textId="77777777" w:rsidR="002A23BB" w:rsidRPr="002A23BB" w:rsidRDefault="002A23BB" w:rsidP="002A23BB">
            <w:pPr>
              <w:pStyle w:val="CasesLegislationAppealFrom"/>
              <w:spacing w:after="60"/>
            </w:pPr>
            <w:r w:rsidRPr="002A23BB">
              <w:rPr>
                <w:i/>
              </w:rPr>
              <w:t>Telecommunications Act 1997</w:t>
            </w:r>
            <w:r w:rsidRPr="002A23BB">
              <w:t xml:space="preserve"> (</w:t>
            </w:r>
            <w:proofErr w:type="spellStart"/>
            <w:r w:rsidRPr="002A23BB">
              <w:t>Cth</w:t>
            </w:r>
            <w:proofErr w:type="spellEnd"/>
            <w:r w:rsidRPr="002A23BB">
              <w:t>)</w:t>
            </w:r>
            <w:r w:rsidR="008A2032">
              <w:t xml:space="preserve"> s 7</w:t>
            </w:r>
          </w:p>
          <w:p w14:paraId="4F697CBA" w14:textId="18854E37" w:rsidR="00C10FA0" w:rsidRDefault="002A23BB" w:rsidP="00AB65A8">
            <w:pPr>
              <w:pStyle w:val="CasesLegislationAppealFrom"/>
              <w:spacing w:after="60"/>
              <w:rPr>
                <w:bCs/>
                <w:iCs/>
              </w:rPr>
            </w:pPr>
            <w:r w:rsidRPr="002A23BB">
              <w:rPr>
                <w:bCs/>
                <w:i/>
              </w:rPr>
              <w:t xml:space="preserve">Trade Practices Act 1974 </w:t>
            </w:r>
            <w:r w:rsidRPr="002A23BB">
              <w:rPr>
                <w:bCs/>
                <w:iCs/>
              </w:rPr>
              <w:t>(</w:t>
            </w:r>
            <w:proofErr w:type="spellStart"/>
            <w:r w:rsidRPr="002A23BB">
              <w:rPr>
                <w:bCs/>
                <w:iCs/>
              </w:rPr>
              <w:t>Cth</w:t>
            </w:r>
            <w:proofErr w:type="spellEnd"/>
            <w:r w:rsidR="00C10FA0">
              <w:rPr>
                <w:bCs/>
                <w:iCs/>
              </w:rPr>
              <w:t>)</w:t>
            </w:r>
          </w:p>
          <w:p w14:paraId="61C76656" w14:textId="4533C610" w:rsidR="00C10FA0" w:rsidRDefault="00C10FA0" w:rsidP="00AB65A8">
            <w:pPr>
              <w:pStyle w:val="CasesLegislationAppealFrom"/>
              <w:spacing w:after="60"/>
            </w:pPr>
            <w:r w:rsidRPr="002A23BB">
              <w:rPr>
                <w:i/>
              </w:rPr>
              <w:t xml:space="preserve">Law Reform (Marital Consortium) Act 1984 </w:t>
            </w:r>
            <w:r w:rsidRPr="002A23BB">
              <w:t>(NSW)</w:t>
            </w:r>
            <w:r>
              <w:t xml:space="preserve"> s 3</w:t>
            </w:r>
          </w:p>
          <w:p w14:paraId="6E4227F4" w14:textId="1ADB1528" w:rsidR="00C10FA0" w:rsidRDefault="00C10FA0" w:rsidP="00AB65A8">
            <w:pPr>
              <w:pStyle w:val="CasesLegislationAppealFrom"/>
              <w:spacing w:after="60"/>
              <w:rPr>
                <w:bCs/>
                <w:iCs/>
              </w:rPr>
            </w:pPr>
            <w:r w:rsidRPr="002A23BB">
              <w:rPr>
                <w:i/>
                <w:iCs/>
                <w:lang w:val="en"/>
              </w:rPr>
              <w:t>Petroleum Act 1923</w:t>
            </w:r>
            <w:r w:rsidRPr="002A23BB">
              <w:rPr>
                <w:iCs/>
                <w:lang w:val="en"/>
              </w:rPr>
              <w:t xml:space="preserve"> (</w:t>
            </w:r>
            <w:proofErr w:type="spellStart"/>
            <w:r w:rsidRPr="002A23BB">
              <w:rPr>
                <w:iCs/>
                <w:lang w:val="en"/>
              </w:rPr>
              <w:t>Qld</w:t>
            </w:r>
            <w:proofErr w:type="spellEnd"/>
            <w:r w:rsidRPr="002A23BB">
              <w:rPr>
                <w:iCs/>
                <w:lang w:val="en"/>
              </w:rPr>
              <w:t>)</w:t>
            </w:r>
          </w:p>
          <w:p w14:paraId="190F7E0B" w14:textId="2107BC13" w:rsidR="00394DD3" w:rsidRPr="00294B3D" w:rsidRDefault="00C10FA0" w:rsidP="00C10FA0">
            <w:pPr>
              <w:pStyle w:val="CasesLegislationAppealFrom"/>
              <w:spacing w:after="60"/>
              <w:rPr>
                <w:bCs/>
                <w:iCs/>
              </w:rPr>
            </w:pPr>
            <w:r w:rsidRPr="00FE7653">
              <w:rPr>
                <w:i/>
                <w:iCs/>
                <w:szCs w:val="24"/>
                <w:lang w:val="en"/>
              </w:rPr>
              <w:t>Australia Act 1986</w:t>
            </w:r>
            <w:r w:rsidRPr="00374F13">
              <w:rPr>
                <w:iCs/>
                <w:szCs w:val="24"/>
                <w:lang w:val="en"/>
              </w:rPr>
              <w:t xml:space="preserve"> </w:t>
            </w:r>
            <w:r w:rsidRPr="00454152">
              <w:rPr>
                <w:iCs/>
                <w:szCs w:val="24"/>
                <w:lang w:val="en"/>
              </w:rPr>
              <w:t>(UK)</w:t>
            </w:r>
            <w:bookmarkEnd w:id="3"/>
          </w:p>
        </w:tc>
      </w:tr>
      <w:tr w:rsidR="00395B24" w14:paraId="1B8EFA6C" w14:textId="77777777" w:rsidTr="00B57747">
        <w:tc>
          <w:tcPr>
            <w:tcW w:w="3084" w:type="dxa"/>
            <w:shd w:val="clear" w:color="auto" w:fill="auto"/>
          </w:tcPr>
          <w:p w14:paraId="30C0CADD" w14:textId="77777777" w:rsidR="00395B24" w:rsidRDefault="00395B24" w:rsidP="00663878">
            <w:pPr>
              <w:pStyle w:val="Normal1linespace"/>
              <w:widowControl w:val="0"/>
              <w:jc w:val="left"/>
            </w:pPr>
          </w:p>
        </w:tc>
        <w:tc>
          <w:tcPr>
            <w:tcW w:w="5989" w:type="dxa"/>
            <w:shd w:val="clear" w:color="auto" w:fill="auto"/>
          </w:tcPr>
          <w:p w14:paraId="6F333BEE" w14:textId="77777777" w:rsidR="00395B24" w:rsidRDefault="00395B24" w:rsidP="00663878">
            <w:pPr>
              <w:pStyle w:val="Normal1linespace"/>
              <w:widowControl w:val="0"/>
              <w:jc w:val="left"/>
            </w:pPr>
          </w:p>
        </w:tc>
      </w:tr>
      <w:tr w:rsidR="00395B24" w14:paraId="538ACDC4" w14:textId="77777777" w:rsidTr="00B57747">
        <w:tc>
          <w:tcPr>
            <w:tcW w:w="3084" w:type="dxa"/>
            <w:shd w:val="clear" w:color="auto" w:fill="auto"/>
          </w:tcPr>
          <w:p w14:paraId="5729B682" w14:textId="77777777" w:rsidR="00395B24" w:rsidRDefault="002C7385" w:rsidP="00663878">
            <w:pPr>
              <w:pStyle w:val="Normal1linespace"/>
              <w:widowControl w:val="0"/>
              <w:jc w:val="left"/>
            </w:pPr>
            <w:r>
              <w:t>Cases cited:</w:t>
            </w:r>
          </w:p>
        </w:tc>
        <w:tc>
          <w:tcPr>
            <w:tcW w:w="5989" w:type="dxa"/>
            <w:shd w:val="clear" w:color="auto" w:fill="auto"/>
          </w:tcPr>
          <w:p w14:paraId="764B78AF" w14:textId="585FAAF8" w:rsidR="002A23BB" w:rsidRDefault="002A23BB" w:rsidP="002A23BB">
            <w:pPr>
              <w:pStyle w:val="CasesLegislationAppealFrom"/>
              <w:spacing w:after="60"/>
              <w:rPr>
                <w:iCs/>
                <w:lang w:val="en"/>
              </w:rPr>
            </w:pPr>
            <w:bookmarkStart w:id="4" w:name="Cases_Cited"/>
            <w:proofErr w:type="spellStart"/>
            <w:r w:rsidRPr="002A23BB">
              <w:rPr>
                <w:i/>
                <w:iCs/>
                <w:lang w:val="en"/>
              </w:rPr>
              <w:t>Agtrack</w:t>
            </w:r>
            <w:proofErr w:type="spellEnd"/>
            <w:r w:rsidRPr="002A23BB">
              <w:rPr>
                <w:i/>
                <w:iCs/>
                <w:lang w:val="en"/>
              </w:rPr>
              <w:t xml:space="preserve"> (NT) Pty Ltd v Hatfield </w:t>
            </w:r>
            <w:r w:rsidRPr="002A23BB">
              <w:rPr>
                <w:iCs/>
              </w:rPr>
              <w:t>[2005] HCA 38;</w:t>
            </w:r>
            <w:r w:rsidRPr="002A23BB">
              <w:rPr>
                <w:i/>
                <w:iCs/>
                <w:lang w:val="en"/>
              </w:rPr>
              <w:t xml:space="preserve"> </w:t>
            </w:r>
            <w:r w:rsidRPr="002A23BB">
              <w:rPr>
                <w:iCs/>
                <w:lang w:val="en"/>
              </w:rPr>
              <w:t>(2005) 223 CLR 251</w:t>
            </w:r>
          </w:p>
          <w:p w14:paraId="73E86986" w14:textId="455C7D23" w:rsidR="00144F4D" w:rsidRPr="002A23BB" w:rsidRDefault="00144F4D" w:rsidP="002A23BB">
            <w:pPr>
              <w:pStyle w:val="CasesLegislationAppealFrom"/>
              <w:spacing w:after="60"/>
              <w:rPr>
                <w:iCs/>
                <w:lang w:val="en"/>
              </w:rPr>
            </w:pPr>
            <w:r w:rsidRPr="00144F4D">
              <w:rPr>
                <w:i/>
                <w:iCs/>
              </w:rPr>
              <w:t>Assistant Commissioner Condon v Pompano Pty Ltd</w:t>
            </w:r>
            <w:r w:rsidRPr="00144F4D">
              <w:rPr>
                <w:iCs/>
              </w:rPr>
              <w:t> [2013] HCA 7; (2013) 252 CLR 38</w:t>
            </w:r>
          </w:p>
          <w:p w14:paraId="4861BB26" w14:textId="77777777" w:rsidR="002A23BB" w:rsidRPr="002A23BB" w:rsidRDefault="002A23BB" w:rsidP="002A23BB">
            <w:pPr>
              <w:pStyle w:val="CasesLegislationAppealFrom"/>
              <w:spacing w:after="60"/>
              <w:rPr>
                <w:iCs/>
                <w:lang w:val="en"/>
              </w:rPr>
            </w:pPr>
            <w:r w:rsidRPr="002A23BB">
              <w:rPr>
                <w:i/>
                <w:iCs/>
                <w:lang w:val="en"/>
              </w:rPr>
              <w:t>Baxter v Commissioners of Taxation (NSW)</w:t>
            </w:r>
            <w:r w:rsidRPr="002A23BB">
              <w:rPr>
                <w:iCs/>
                <w:lang w:val="en"/>
              </w:rPr>
              <w:t xml:space="preserve"> (1907) 4 CLR 1087</w:t>
            </w:r>
          </w:p>
          <w:p w14:paraId="68557818" w14:textId="77777777" w:rsidR="002A23BB" w:rsidRPr="002A23BB" w:rsidRDefault="002A23BB" w:rsidP="002A23BB">
            <w:pPr>
              <w:pStyle w:val="CasesLegislationAppealFrom"/>
              <w:spacing w:after="60"/>
            </w:pPr>
            <w:r w:rsidRPr="002A23BB">
              <w:rPr>
                <w:i/>
              </w:rPr>
              <w:t>Beaudesert</w:t>
            </w:r>
            <w:r w:rsidRPr="002A23BB">
              <w:rPr>
                <w:i/>
                <w:spacing w:val="-10"/>
              </w:rPr>
              <w:t xml:space="preserve"> </w:t>
            </w:r>
            <w:r w:rsidRPr="002A23BB">
              <w:rPr>
                <w:i/>
              </w:rPr>
              <w:t>Shire</w:t>
            </w:r>
            <w:r w:rsidRPr="002A23BB">
              <w:rPr>
                <w:i/>
                <w:spacing w:val="-10"/>
              </w:rPr>
              <w:t xml:space="preserve"> </w:t>
            </w:r>
            <w:r w:rsidRPr="002A23BB">
              <w:rPr>
                <w:i/>
              </w:rPr>
              <w:t>Council</w:t>
            </w:r>
            <w:r w:rsidRPr="002A23BB">
              <w:rPr>
                <w:i/>
                <w:spacing w:val="-10"/>
              </w:rPr>
              <w:t xml:space="preserve"> </w:t>
            </w:r>
            <w:r w:rsidRPr="002A23BB">
              <w:rPr>
                <w:i/>
              </w:rPr>
              <w:t>v</w:t>
            </w:r>
            <w:r w:rsidRPr="002A23BB">
              <w:rPr>
                <w:i/>
                <w:spacing w:val="-10"/>
              </w:rPr>
              <w:t xml:space="preserve"> </w:t>
            </w:r>
            <w:r w:rsidRPr="002A23BB">
              <w:rPr>
                <w:i/>
              </w:rPr>
              <w:t>Smith</w:t>
            </w:r>
            <w:r w:rsidRPr="002A23BB">
              <w:rPr>
                <w:i/>
                <w:spacing w:val="-10"/>
              </w:rPr>
              <w:t xml:space="preserve"> </w:t>
            </w:r>
            <w:r w:rsidRPr="002A23BB">
              <w:t>(1966)</w:t>
            </w:r>
            <w:r w:rsidRPr="002A23BB">
              <w:rPr>
                <w:spacing w:val="-10"/>
              </w:rPr>
              <w:t xml:space="preserve"> </w:t>
            </w:r>
            <w:r w:rsidRPr="002A23BB">
              <w:t>120</w:t>
            </w:r>
            <w:r w:rsidRPr="002A23BB">
              <w:rPr>
                <w:spacing w:val="-10"/>
              </w:rPr>
              <w:t xml:space="preserve"> </w:t>
            </w:r>
            <w:r w:rsidRPr="002A23BB">
              <w:t>CLR</w:t>
            </w:r>
            <w:r w:rsidRPr="002A23BB">
              <w:rPr>
                <w:spacing w:val="-10"/>
              </w:rPr>
              <w:t xml:space="preserve"> </w:t>
            </w:r>
            <w:r w:rsidRPr="002A23BB">
              <w:t>145</w:t>
            </w:r>
          </w:p>
          <w:p w14:paraId="31ED2203" w14:textId="77777777" w:rsidR="002A23BB" w:rsidRPr="002A23BB" w:rsidRDefault="002A23BB" w:rsidP="002A23BB">
            <w:pPr>
              <w:pStyle w:val="CasesLegislationAppealFrom"/>
              <w:spacing w:after="60"/>
              <w:rPr>
                <w:lang w:eastAsia="en-AU"/>
              </w:rPr>
            </w:pPr>
            <w:proofErr w:type="spellStart"/>
            <w:r w:rsidRPr="002A23BB">
              <w:rPr>
                <w:i/>
                <w:lang w:eastAsia="en-AU"/>
              </w:rPr>
              <w:t>Buckee</w:t>
            </w:r>
            <w:proofErr w:type="spellEnd"/>
            <w:r w:rsidRPr="002A23BB">
              <w:rPr>
                <w:i/>
                <w:lang w:eastAsia="en-AU"/>
              </w:rPr>
              <w:t xml:space="preserve"> v Commonwealth</w:t>
            </w:r>
            <w:r w:rsidR="00173453">
              <w:rPr>
                <w:i/>
                <w:lang w:eastAsia="en-AU"/>
              </w:rPr>
              <w:t xml:space="preserve"> of Australia</w:t>
            </w:r>
            <w:r w:rsidRPr="002A23BB">
              <w:rPr>
                <w:lang w:eastAsia="en-AU"/>
              </w:rPr>
              <w:t xml:space="preserve"> </w:t>
            </w:r>
            <w:r w:rsidRPr="002A23BB">
              <w:rPr>
                <w:bCs/>
                <w:lang w:eastAsia="en-AU"/>
              </w:rPr>
              <w:t>[2014] FCA 242</w:t>
            </w:r>
            <w:r w:rsidRPr="002A23BB">
              <w:rPr>
                <w:lang w:eastAsia="en-AU"/>
              </w:rPr>
              <w:t>; (2014) 220 FCR 541</w:t>
            </w:r>
          </w:p>
          <w:p w14:paraId="713E9924" w14:textId="77777777" w:rsidR="002A23BB" w:rsidRPr="002A23BB" w:rsidRDefault="002A23BB" w:rsidP="002A23BB">
            <w:pPr>
              <w:pStyle w:val="CasesLegislationAppealFrom"/>
              <w:spacing w:after="60"/>
            </w:pPr>
            <w:r w:rsidRPr="002A23BB">
              <w:rPr>
                <w:i/>
              </w:rPr>
              <w:t>Burgundy Royale Investments Pty Ltd v Westpac Banking Corporation</w:t>
            </w:r>
            <w:r w:rsidRPr="002A23BB">
              <w:t> (1987) 18 FCR 212</w:t>
            </w:r>
          </w:p>
          <w:p w14:paraId="0985E1EF" w14:textId="14A56E2B" w:rsidR="002A23BB" w:rsidRPr="002A23BB" w:rsidRDefault="002A23BB" w:rsidP="002A23BB">
            <w:pPr>
              <w:pStyle w:val="CasesLegislationAppealFrom"/>
              <w:spacing w:after="60"/>
            </w:pPr>
            <w:r w:rsidRPr="002A23BB">
              <w:rPr>
                <w:i/>
              </w:rPr>
              <w:t>Burns v Corbett</w:t>
            </w:r>
            <w:r w:rsidRPr="002A23BB">
              <w:t xml:space="preserve"> [2018] HCA 15; </w:t>
            </w:r>
            <w:r w:rsidR="00EC3D19">
              <w:t xml:space="preserve">(2018) </w:t>
            </w:r>
            <w:r w:rsidRPr="002A23BB">
              <w:t>265 CLR 304</w:t>
            </w:r>
          </w:p>
          <w:p w14:paraId="70393802" w14:textId="77777777" w:rsidR="002A23BB" w:rsidRPr="002A23BB" w:rsidRDefault="002A23BB" w:rsidP="002A23BB">
            <w:pPr>
              <w:pStyle w:val="CasesLegislationAppealFrom"/>
              <w:spacing w:after="60"/>
              <w:rPr>
                <w:lang w:eastAsia="en-AU"/>
              </w:rPr>
            </w:pPr>
            <w:r w:rsidRPr="002A23BB">
              <w:rPr>
                <w:i/>
                <w:lang w:eastAsia="en-AU"/>
              </w:rPr>
              <w:t>CGU Insurance Ltd v Blakeley</w:t>
            </w:r>
            <w:r w:rsidRPr="002A23BB">
              <w:rPr>
                <w:lang w:eastAsia="en-AU"/>
              </w:rPr>
              <w:t xml:space="preserve"> [2016] HCA 2; (2016) 259 CLR 339</w:t>
            </w:r>
          </w:p>
          <w:p w14:paraId="5E2688AE" w14:textId="77777777" w:rsidR="002A23BB" w:rsidRPr="002A23BB" w:rsidRDefault="002A23BB" w:rsidP="002A23BB">
            <w:pPr>
              <w:pStyle w:val="CasesLegislationAppealFrom"/>
              <w:spacing w:after="60"/>
            </w:pPr>
            <w:r w:rsidRPr="002A23BB">
              <w:rPr>
                <w:i/>
              </w:rPr>
              <w:t>Clarence City Council v Commonwealth of Australia</w:t>
            </w:r>
            <w:r w:rsidRPr="002A23BB">
              <w:t xml:space="preserve"> [2020] FCAFC 134; </w:t>
            </w:r>
            <w:r w:rsidR="00E93E8A">
              <w:t xml:space="preserve">(2020) </w:t>
            </w:r>
            <w:r w:rsidR="00E93E8A" w:rsidRPr="00E93E8A">
              <w:t>280 FCR 265</w:t>
            </w:r>
          </w:p>
          <w:p w14:paraId="0756610B" w14:textId="272D2E67" w:rsidR="002A23BB" w:rsidRPr="002A23BB" w:rsidRDefault="002A23BB" w:rsidP="002A23BB">
            <w:pPr>
              <w:pStyle w:val="CasesLegislationAppealFrom"/>
              <w:spacing w:after="60"/>
            </w:pPr>
            <w:r w:rsidRPr="002A23BB">
              <w:rPr>
                <w:i/>
              </w:rPr>
              <w:t>Commercial Union Assurance Company of Australia Limited v</w:t>
            </w:r>
            <w:r w:rsidR="00C92F1A">
              <w:rPr>
                <w:i/>
              </w:rPr>
              <w:t xml:space="preserve"> </w:t>
            </w:r>
            <w:proofErr w:type="spellStart"/>
            <w:r w:rsidRPr="002A23BB">
              <w:rPr>
                <w:i/>
              </w:rPr>
              <w:t>Ferrcom</w:t>
            </w:r>
            <w:proofErr w:type="spellEnd"/>
            <w:r w:rsidRPr="002A23BB">
              <w:rPr>
                <w:i/>
              </w:rPr>
              <w:t> Pty Limited</w:t>
            </w:r>
            <w:r w:rsidRPr="002A23BB">
              <w:t> (1991) 22 NSWLR 389</w:t>
            </w:r>
          </w:p>
          <w:p w14:paraId="17D590B5" w14:textId="77777777" w:rsidR="002A23BB" w:rsidRPr="002A23BB" w:rsidRDefault="002A23BB" w:rsidP="002A23BB">
            <w:pPr>
              <w:pStyle w:val="CasesLegislationAppealFrom"/>
              <w:spacing w:after="60"/>
            </w:pPr>
            <w:r w:rsidRPr="002A23BB">
              <w:rPr>
                <w:i/>
              </w:rPr>
              <w:t xml:space="preserve">Dow Jones &amp; Co </w:t>
            </w:r>
            <w:proofErr w:type="spellStart"/>
            <w:r w:rsidRPr="002A23BB">
              <w:rPr>
                <w:i/>
              </w:rPr>
              <w:t>Inc</w:t>
            </w:r>
            <w:proofErr w:type="spellEnd"/>
            <w:r w:rsidRPr="002A23BB">
              <w:rPr>
                <w:i/>
              </w:rPr>
              <w:t xml:space="preserve"> v </w:t>
            </w:r>
            <w:proofErr w:type="spellStart"/>
            <w:r w:rsidRPr="002A23BB">
              <w:rPr>
                <w:i/>
              </w:rPr>
              <w:t>Gutnick</w:t>
            </w:r>
            <w:proofErr w:type="spellEnd"/>
            <w:r w:rsidRPr="002A23BB">
              <w:t xml:space="preserve"> [2002] HCA 56; (2002) 210 CLR 575</w:t>
            </w:r>
          </w:p>
          <w:p w14:paraId="771D1B95" w14:textId="77777777" w:rsidR="002A23BB" w:rsidRPr="002A23BB" w:rsidRDefault="003B44E3" w:rsidP="002A23BB">
            <w:pPr>
              <w:pStyle w:val="CasesLegislationAppealFrom"/>
              <w:spacing w:after="60"/>
              <w:rPr>
                <w:lang w:eastAsia="en-AU"/>
              </w:rPr>
            </w:pPr>
            <w:r w:rsidRPr="002A23BB">
              <w:rPr>
                <w:i/>
                <w:lang w:eastAsia="en-AU"/>
              </w:rPr>
              <w:t>Edwards v S</w:t>
            </w:r>
            <w:r w:rsidRPr="003B44E3">
              <w:rPr>
                <w:i/>
                <w:lang w:eastAsia="en-AU"/>
              </w:rPr>
              <w:t>antos Ltd</w:t>
            </w:r>
            <w:r w:rsidRPr="003B44E3">
              <w:rPr>
                <w:lang w:eastAsia="en-AU"/>
              </w:rPr>
              <w:t xml:space="preserve"> [2011] HCA 8; (2011) 242 CLR 421</w:t>
            </w:r>
          </w:p>
          <w:p w14:paraId="32B82D4C" w14:textId="77777777" w:rsidR="002A23BB" w:rsidRPr="002A23BB" w:rsidRDefault="002A23BB" w:rsidP="002A23BB">
            <w:pPr>
              <w:pStyle w:val="CasesLegislationAppealFrom"/>
              <w:spacing w:after="60"/>
            </w:pPr>
            <w:proofErr w:type="spellStart"/>
            <w:r w:rsidRPr="002A23BB">
              <w:rPr>
                <w:i/>
              </w:rPr>
              <w:t>Hafertepen</w:t>
            </w:r>
            <w:proofErr w:type="spellEnd"/>
            <w:r w:rsidRPr="002A23BB">
              <w:rPr>
                <w:i/>
              </w:rPr>
              <w:t xml:space="preserve"> v Network Ten Pty Limited</w:t>
            </w:r>
            <w:r w:rsidRPr="002A23BB">
              <w:t xml:space="preserve"> [2020] FCA 1456</w:t>
            </w:r>
          </w:p>
          <w:p w14:paraId="5EAE9459" w14:textId="5CEC4BD9" w:rsidR="002A23BB" w:rsidRPr="002A23BB" w:rsidRDefault="002A23BB" w:rsidP="002A23BB">
            <w:pPr>
              <w:pStyle w:val="CasesLegislationAppealFrom"/>
              <w:spacing w:after="60"/>
              <w:rPr>
                <w:bCs/>
              </w:rPr>
            </w:pPr>
            <w:r w:rsidRPr="002A23BB">
              <w:rPr>
                <w:bCs/>
                <w:i/>
              </w:rPr>
              <w:t>Hunt Australia Pty Ltd v Davidson</w:t>
            </w:r>
            <w:r w:rsidR="001173A2">
              <w:rPr>
                <w:bCs/>
                <w:i/>
              </w:rPr>
              <w:t>’</w:t>
            </w:r>
            <w:r w:rsidRPr="002A23BB">
              <w:rPr>
                <w:bCs/>
                <w:i/>
              </w:rPr>
              <w:t>s </w:t>
            </w:r>
            <w:proofErr w:type="spellStart"/>
            <w:r w:rsidRPr="002A23BB">
              <w:rPr>
                <w:bCs/>
                <w:i/>
              </w:rPr>
              <w:t>Arnhemland</w:t>
            </w:r>
            <w:proofErr w:type="spellEnd"/>
            <w:r w:rsidRPr="002A23BB">
              <w:rPr>
                <w:bCs/>
                <w:i/>
              </w:rPr>
              <w:t xml:space="preserve"> Safaris Pty Ltd </w:t>
            </w:r>
            <w:r w:rsidRPr="002A23BB">
              <w:rPr>
                <w:bCs/>
              </w:rPr>
              <w:t>[2000] FCA 1690; (2000)</w:t>
            </w:r>
            <w:r w:rsidRPr="002A23BB">
              <w:t xml:space="preserve"> </w:t>
            </w:r>
            <w:r w:rsidRPr="002A23BB">
              <w:rPr>
                <w:bCs/>
              </w:rPr>
              <w:t>179 ALR 738</w:t>
            </w:r>
          </w:p>
          <w:p w14:paraId="6A7E0F11" w14:textId="5FEAB63C" w:rsidR="002A23BB" w:rsidRPr="002A23BB" w:rsidRDefault="002A23BB" w:rsidP="002A23BB">
            <w:pPr>
              <w:pStyle w:val="CasesLegislationAppealFrom"/>
              <w:spacing w:after="60"/>
            </w:pPr>
            <w:r w:rsidRPr="002A23BB">
              <w:rPr>
                <w:i/>
              </w:rPr>
              <w:t xml:space="preserve">Kitano v Commonwealth </w:t>
            </w:r>
            <w:r w:rsidRPr="002A23BB">
              <w:t>(1974) 129 CLR 151</w:t>
            </w:r>
          </w:p>
          <w:p w14:paraId="0114FF3B" w14:textId="77777777" w:rsidR="002A23BB" w:rsidRPr="002A23BB" w:rsidRDefault="002A23BB" w:rsidP="002A23BB">
            <w:pPr>
              <w:pStyle w:val="CasesLegislationAppealFrom"/>
              <w:spacing w:after="60"/>
            </w:pPr>
            <w:r w:rsidRPr="002A23BB">
              <w:rPr>
                <w:i/>
                <w:iCs/>
              </w:rPr>
              <w:t xml:space="preserve">Kowalski v MMAL Staff Superannuation Fund Pty Ltd </w:t>
            </w:r>
            <w:r w:rsidRPr="002A23BB">
              <w:rPr>
                <w:iCs/>
              </w:rPr>
              <w:t>[2007] FCA 1069;</w:t>
            </w:r>
            <w:r w:rsidRPr="002A23BB">
              <w:rPr>
                <w:i/>
                <w:iCs/>
              </w:rPr>
              <w:t xml:space="preserve"> </w:t>
            </w:r>
            <w:r w:rsidRPr="002A23BB">
              <w:t>(2007) 242 ALR 370</w:t>
            </w:r>
          </w:p>
          <w:p w14:paraId="1D903E2C" w14:textId="77777777" w:rsidR="002A23BB" w:rsidRPr="002A23BB" w:rsidRDefault="002A23BB" w:rsidP="002A23BB">
            <w:pPr>
              <w:pStyle w:val="CasesLegislationAppealFrom"/>
              <w:spacing w:after="60"/>
              <w:rPr>
                <w:lang w:eastAsia="en-AU"/>
              </w:rPr>
            </w:pPr>
            <w:r w:rsidRPr="002A23BB">
              <w:rPr>
                <w:i/>
                <w:lang w:eastAsia="en-AU"/>
              </w:rPr>
              <w:t>LNC Industries v BMW (Australia) Ltd</w:t>
            </w:r>
            <w:r w:rsidRPr="002A23BB">
              <w:rPr>
                <w:lang w:eastAsia="en-AU"/>
              </w:rPr>
              <w:t xml:space="preserve"> (1983) 151 CLR 575</w:t>
            </w:r>
          </w:p>
          <w:p w14:paraId="41ADD941" w14:textId="3DF3B76E" w:rsidR="002A23BB" w:rsidRPr="002A23BB" w:rsidRDefault="002A23BB" w:rsidP="002A23BB">
            <w:pPr>
              <w:pStyle w:val="CasesLegislationAppealFrom"/>
              <w:spacing w:after="60"/>
            </w:pPr>
            <w:proofErr w:type="spellStart"/>
            <w:r w:rsidRPr="002A23BB">
              <w:rPr>
                <w:i/>
              </w:rPr>
              <w:t>Macteldir</w:t>
            </w:r>
            <w:proofErr w:type="spellEnd"/>
            <w:r w:rsidRPr="002A23BB">
              <w:rPr>
                <w:i/>
              </w:rPr>
              <w:t xml:space="preserve"> Pty Ltd v </w:t>
            </w:r>
            <w:proofErr w:type="spellStart"/>
            <w:r w:rsidRPr="002A23BB">
              <w:rPr>
                <w:i/>
              </w:rPr>
              <w:t>Dimovski</w:t>
            </w:r>
            <w:proofErr w:type="spellEnd"/>
            <w:r w:rsidR="007F2CC9">
              <w:t xml:space="preserve"> [2005] FCA 1528</w:t>
            </w:r>
          </w:p>
          <w:p w14:paraId="45746B97" w14:textId="77777777" w:rsidR="002A23BB" w:rsidRPr="002A23BB" w:rsidRDefault="002A23BB" w:rsidP="002A23BB">
            <w:pPr>
              <w:pStyle w:val="CasesLegislationAppealFrom"/>
              <w:spacing w:after="60"/>
            </w:pPr>
            <w:proofErr w:type="spellStart"/>
            <w:r w:rsidRPr="002A23BB">
              <w:rPr>
                <w:i/>
              </w:rPr>
              <w:t>McCully</w:t>
            </w:r>
            <w:proofErr w:type="spellEnd"/>
            <w:r w:rsidRPr="002A23BB">
              <w:rPr>
                <w:i/>
              </w:rPr>
              <w:t xml:space="preserve"> v Sydney Trains</w:t>
            </w:r>
            <w:r w:rsidRPr="002A23BB">
              <w:t xml:space="preserve"> [2021] FCA 562</w:t>
            </w:r>
          </w:p>
          <w:p w14:paraId="1E506144" w14:textId="77777777" w:rsidR="002A23BB" w:rsidRPr="002A23BB" w:rsidRDefault="002A23BB" w:rsidP="002A23BB">
            <w:pPr>
              <w:pStyle w:val="CasesLegislationAppealFrom"/>
              <w:spacing w:after="60"/>
            </w:pPr>
            <w:r w:rsidRPr="002A23BB">
              <w:rPr>
                <w:i/>
              </w:rPr>
              <w:t xml:space="preserve">Mercator Property Consultants Pty Ltd v Christmas Island Resort Pty </w:t>
            </w:r>
            <w:r w:rsidR="008928C0">
              <w:rPr>
                <w:i/>
              </w:rPr>
              <w:t>Ltd</w:t>
            </w:r>
            <w:r w:rsidRPr="002A23BB">
              <w:t xml:space="preserve"> [1999] FCA 1572; (1999) 94 FCR 384</w:t>
            </w:r>
          </w:p>
          <w:p w14:paraId="0CB02647" w14:textId="77777777" w:rsidR="002A23BB" w:rsidRPr="002A23BB" w:rsidRDefault="002A23BB" w:rsidP="002A23BB">
            <w:pPr>
              <w:pStyle w:val="CasesLegislationAppealFrom"/>
              <w:spacing w:after="60"/>
            </w:pPr>
            <w:r w:rsidRPr="002A23BB">
              <w:rPr>
                <w:i/>
              </w:rPr>
              <w:t>Moorgate Tobacco Co Ltd v Philip Morris Ltd</w:t>
            </w:r>
            <w:r w:rsidRPr="002A23BB">
              <w:t xml:space="preserve"> (1980) 145 CLR 457</w:t>
            </w:r>
          </w:p>
          <w:p w14:paraId="5CB92A96" w14:textId="77777777" w:rsidR="002A23BB" w:rsidRPr="002A23BB" w:rsidRDefault="002A23BB" w:rsidP="002A23BB">
            <w:pPr>
              <w:pStyle w:val="CasesLegislationAppealFrom"/>
              <w:spacing w:after="60"/>
            </w:pPr>
            <w:r w:rsidRPr="002A23BB">
              <w:rPr>
                <w:i/>
              </w:rPr>
              <w:lastRenderedPageBreak/>
              <w:t xml:space="preserve">News </w:t>
            </w:r>
            <w:r w:rsidR="008928C0">
              <w:rPr>
                <w:i/>
              </w:rPr>
              <w:t>Limited</w:t>
            </w:r>
            <w:r w:rsidRPr="002A23BB">
              <w:rPr>
                <w:i/>
              </w:rPr>
              <w:t xml:space="preserve"> v Australian Rugby </w:t>
            </w:r>
            <w:r w:rsidR="008928C0">
              <w:rPr>
                <w:i/>
              </w:rPr>
              <w:t xml:space="preserve">Football </w:t>
            </w:r>
            <w:r w:rsidRPr="002A23BB">
              <w:rPr>
                <w:i/>
              </w:rPr>
              <w:t>League</w:t>
            </w:r>
            <w:r w:rsidR="008928C0">
              <w:rPr>
                <w:i/>
              </w:rPr>
              <w:t xml:space="preserve"> Limited</w:t>
            </w:r>
            <w:r w:rsidRPr="002A23BB">
              <w:t xml:space="preserve"> (1996) 64 FCR 410</w:t>
            </w:r>
          </w:p>
          <w:p w14:paraId="46A3B08E" w14:textId="77777777" w:rsidR="002A23BB" w:rsidRPr="002A23BB" w:rsidRDefault="002A23BB" w:rsidP="002A23BB">
            <w:pPr>
              <w:pStyle w:val="CasesLegislationAppealFrom"/>
              <w:spacing w:after="60"/>
            </w:pPr>
            <w:r w:rsidRPr="002A23BB">
              <w:rPr>
                <w:i/>
              </w:rPr>
              <w:t xml:space="preserve">Northern Territory v </w:t>
            </w:r>
            <w:proofErr w:type="spellStart"/>
            <w:r w:rsidRPr="002A23BB">
              <w:rPr>
                <w:i/>
              </w:rPr>
              <w:t>Mengel</w:t>
            </w:r>
            <w:proofErr w:type="spellEnd"/>
            <w:r w:rsidRPr="002A23BB">
              <w:t xml:space="preserve"> (1995) 185 CLR 307</w:t>
            </w:r>
          </w:p>
          <w:p w14:paraId="10B91F4A" w14:textId="3B6F9C8E" w:rsidR="002A23BB" w:rsidRDefault="002A23BB" w:rsidP="002A23BB">
            <w:pPr>
              <w:pStyle w:val="CasesLegislationAppealFrom"/>
              <w:spacing w:after="60"/>
            </w:pPr>
            <w:r w:rsidRPr="002A23BB">
              <w:rPr>
                <w:i/>
              </w:rPr>
              <w:t>Oliver v Nine Network Australia Pty Ltd</w:t>
            </w:r>
            <w:r w:rsidRPr="002A23BB">
              <w:t xml:space="preserve"> [2019] FCA 583</w:t>
            </w:r>
          </w:p>
          <w:p w14:paraId="43D5D31F" w14:textId="7D111670" w:rsidR="00144F4D" w:rsidRDefault="00144F4D" w:rsidP="002A23BB">
            <w:pPr>
              <w:pStyle w:val="CasesLegislationAppealFrom"/>
              <w:spacing w:after="60"/>
            </w:pPr>
            <w:r w:rsidRPr="00E27256">
              <w:rPr>
                <w:i/>
                <w:iCs/>
                <w:lang w:eastAsia="en-AU"/>
              </w:rPr>
              <w:t xml:space="preserve">Page v Sydney Seaplanes Pty Ltd </w:t>
            </w:r>
            <w:r w:rsidRPr="00E27256">
              <w:rPr>
                <w:lang w:eastAsia="en-AU"/>
              </w:rPr>
              <w:t>[2020] FCA 537</w:t>
            </w:r>
            <w:r>
              <w:rPr>
                <w:lang w:eastAsia="en-AU"/>
              </w:rPr>
              <w:t xml:space="preserve">; (2020) </w:t>
            </w:r>
            <w:r w:rsidRPr="00E27256">
              <w:rPr>
                <w:lang w:eastAsia="en-AU"/>
              </w:rPr>
              <w:t>277 FCR 658</w:t>
            </w:r>
          </w:p>
          <w:p w14:paraId="73AE7F0B" w14:textId="08127D7D" w:rsidR="00FD1046" w:rsidRPr="002A23BB" w:rsidRDefault="00FD1046" w:rsidP="002A23BB">
            <w:pPr>
              <w:pStyle w:val="CasesLegislationAppealFrom"/>
              <w:spacing w:after="60"/>
            </w:pPr>
            <w:r w:rsidRPr="00881CB8">
              <w:rPr>
                <w:i/>
                <w:lang w:eastAsia="en-AU"/>
              </w:rPr>
              <w:t>PT Bayan Resources TBK v BCBC Singapore PTE Ltd</w:t>
            </w:r>
            <w:r>
              <w:rPr>
                <w:lang w:eastAsia="en-AU"/>
              </w:rPr>
              <w:t xml:space="preserve"> </w:t>
            </w:r>
            <w:r w:rsidRPr="00B53198">
              <w:rPr>
                <w:lang w:eastAsia="en-AU"/>
              </w:rPr>
              <w:t>[2015] HCA 36</w:t>
            </w:r>
            <w:r>
              <w:rPr>
                <w:lang w:eastAsia="en-AU"/>
              </w:rPr>
              <w:t>; (2015) 258 CLR 1</w:t>
            </w:r>
          </w:p>
          <w:p w14:paraId="28F21C59" w14:textId="0B5CC2E1" w:rsidR="002A23BB" w:rsidRDefault="002A23BB" w:rsidP="002A23BB">
            <w:pPr>
              <w:pStyle w:val="CasesLegislationAppealFrom"/>
              <w:spacing w:after="60"/>
            </w:pPr>
            <w:r w:rsidRPr="002A23BB">
              <w:rPr>
                <w:i/>
              </w:rPr>
              <w:t xml:space="preserve">Qantas Airways Limited v </w:t>
            </w:r>
            <w:proofErr w:type="spellStart"/>
            <w:r w:rsidRPr="002A23BB">
              <w:rPr>
                <w:i/>
              </w:rPr>
              <w:t>Lustig</w:t>
            </w:r>
            <w:proofErr w:type="spellEnd"/>
            <w:r w:rsidRPr="002A23BB">
              <w:t xml:space="preserve"> [2015] FCA 253; (2015) 228 FCR 148</w:t>
            </w:r>
          </w:p>
          <w:p w14:paraId="00ACF6FA" w14:textId="7AA80AFD" w:rsidR="001734A6" w:rsidRPr="002A23BB" w:rsidRDefault="001734A6" w:rsidP="002A23BB">
            <w:pPr>
              <w:pStyle w:val="CasesLegislationAppealFrom"/>
              <w:spacing w:after="60"/>
            </w:pPr>
            <w:r w:rsidRPr="003E2175">
              <w:rPr>
                <w:i/>
                <w:lang w:eastAsia="en-AU"/>
              </w:rPr>
              <w:t>R v Commonwealth Court of Conciliation and Arbitration; Ex parte Barrett</w:t>
            </w:r>
            <w:r>
              <w:rPr>
                <w:i/>
                <w:lang w:eastAsia="en-AU"/>
              </w:rPr>
              <w:t xml:space="preserve"> </w:t>
            </w:r>
            <w:r w:rsidRPr="006B3535">
              <w:rPr>
                <w:lang w:eastAsia="en-AU"/>
              </w:rPr>
              <w:t>(1945) 70 CLR 141</w:t>
            </w:r>
          </w:p>
          <w:p w14:paraId="6B363A3A" w14:textId="7A75492A" w:rsidR="002A23BB" w:rsidRDefault="002A23BB" w:rsidP="002A23BB">
            <w:pPr>
              <w:pStyle w:val="CasesLegislationAppealFrom"/>
              <w:spacing w:after="60"/>
              <w:rPr>
                <w:lang w:eastAsia="en-AU"/>
              </w:rPr>
            </w:pPr>
            <w:r w:rsidRPr="002A23BB">
              <w:rPr>
                <w:i/>
                <w:lang w:eastAsia="en-AU"/>
              </w:rPr>
              <w:t xml:space="preserve">Rana v Google </w:t>
            </w:r>
            <w:proofErr w:type="spellStart"/>
            <w:r w:rsidRPr="002A23BB">
              <w:rPr>
                <w:i/>
                <w:lang w:eastAsia="en-AU"/>
              </w:rPr>
              <w:t>Inc</w:t>
            </w:r>
            <w:proofErr w:type="spellEnd"/>
            <w:r w:rsidRPr="002A23BB">
              <w:rPr>
                <w:lang w:eastAsia="en-AU"/>
              </w:rPr>
              <w:t xml:space="preserve"> [2017] FCAFC 156; (2017) 254 FCR 1</w:t>
            </w:r>
          </w:p>
          <w:p w14:paraId="0084C3F4" w14:textId="0B2DE329" w:rsidR="00144F4D" w:rsidRPr="002A23BB" w:rsidRDefault="00144F4D" w:rsidP="002A23BB">
            <w:pPr>
              <w:pStyle w:val="CasesLegislationAppealFrom"/>
              <w:spacing w:after="60"/>
              <w:rPr>
                <w:lang w:eastAsia="en-AU"/>
              </w:rPr>
            </w:pPr>
            <w:proofErr w:type="spellStart"/>
            <w:r w:rsidRPr="00144F4D">
              <w:rPr>
                <w:i/>
                <w:lang w:eastAsia="en-AU"/>
              </w:rPr>
              <w:t>Rizeq</w:t>
            </w:r>
            <w:proofErr w:type="spellEnd"/>
            <w:r w:rsidRPr="00144F4D">
              <w:rPr>
                <w:i/>
                <w:lang w:eastAsia="en-AU"/>
              </w:rPr>
              <w:t xml:space="preserve"> v Western Australia</w:t>
            </w:r>
            <w:r w:rsidRPr="00144F4D">
              <w:rPr>
                <w:lang w:eastAsia="en-AU"/>
              </w:rPr>
              <w:t> [2017] HCA 23; (2017) 262 CLR 1</w:t>
            </w:r>
          </w:p>
          <w:p w14:paraId="1A64B03E" w14:textId="77777777" w:rsidR="002A23BB" w:rsidRPr="002A23BB" w:rsidRDefault="002A23BB" w:rsidP="002A23BB">
            <w:pPr>
              <w:pStyle w:val="CasesLegislationAppealFrom"/>
              <w:spacing w:after="60"/>
              <w:rPr>
                <w:lang w:eastAsia="en-AU"/>
              </w:rPr>
            </w:pPr>
            <w:r w:rsidRPr="002A23BB">
              <w:rPr>
                <w:i/>
                <w:lang w:eastAsia="en-AU"/>
              </w:rPr>
              <w:t>RNB Equities Pty Ltd v Credit Suisse Investment Services (Australia) Limited</w:t>
            </w:r>
            <w:r w:rsidRPr="002A23BB">
              <w:rPr>
                <w:lang w:eastAsia="en-AU"/>
              </w:rPr>
              <w:t xml:space="preserve"> [2019] FCA 760; (2019) 370 ALR 88</w:t>
            </w:r>
          </w:p>
          <w:p w14:paraId="23CA0707" w14:textId="77777777" w:rsidR="002A23BB" w:rsidRPr="002A23BB" w:rsidRDefault="002A23BB" w:rsidP="002A23BB">
            <w:pPr>
              <w:pStyle w:val="CasesLegislationAppealFrom"/>
              <w:spacing w:after="60"/>
              <w:rPr>
                <w:iCs/>
                <w:lang w:val="en"/>
              </w:rPr>
            </w:pPr>
            <w:r w:rsidRPr="002A23BB">
              <w:rPr>
                <w:i/>
                <w:lang w:eastAsia="en-AU"/>
              </w:rPr>
              <w:t>Sagacious Legal Pty Ltd v Wesfarmers General Insurance Ltd (No 4)</w:t>
            </w:r>
            <w:r w:rsidRPr="002A23BB">
              <w:rPr>
                <w:lang w:eastAsia="en-AU"/>
              </w:rPr>
              <w:t xml:space="preserve"> [2010</w:t>
            </w:r>
            <w:r w:rsidRPr="002A23BB">
              <w:rPr>
                <w:iCs/>
                <w:lang w:val="en"/>
              </w:rPr>
              <w:t>] FCA 482; (2010) 268 ALR 108</w:t>
            </w:r>
          </w:p>
          <w:p w14:paraId="187C5C7B" w14:textId="77777777" w:rsidR="002A23BB" w:rsidRPr="002A23BB" w:rsidRDefault="002A23BB" w:rsidP="002A23BB">
            <w:pPr>
              <w:pStyle w:val="CasesLegislationAppealFrom"/>
              <w:spacing w:after="60"/>
            </w:pPr>
            <w:r w:rsidRPr="002A23BB">
              <w:rPr>
                <w:i/>
              </w:rPr>
              <w:t>Scott v Human Rights and Equal Opportunity Commission</w:t>
            </w:r>
            <w:r w:rsidRPr="002A23BB">
              <w:t xml:space="preserve"> [2010] FCA 1323</w:t>
            </w:r>
          </w:p>
          <w:p w14:paraId="75F4925A" w14:textId="77777777" w:rsidR="002A23BB" w:rsidRPr="002A23BB" w:rsidRDefault="002A23BB" w:rsidP="002A23BB">
            <w:pPr>
              <w:pStyle w:val="CasesLegislationAppealFrom"/>
              <w:spacing w:after="60"/>
            </w:pPr>
            <w:r w:rsidRPr="002A23BB">
              <w:rPr>
                <w:i/>
              </w:rPr>
              <w:t>Scott v Secretary, Department of Social Security</w:t>
            </w:r>
            <w:r w:rsidRPr="002A23BB">
              <w:t xml:space="preserve"> [2000] FCA 1241; (2000) 65 ALD 79</w:t>
            </w:r>
          </w:p>
          <w:p w14:paraId="429F8553" w14:textId="0F31AF18" w:rsidR="002A23BB" w:rsidRDefault="002A23BB" w:rsidP="002A23BB">
            <w:pPr>
              <w:pStyle w:val="CasesLegislationAppealFrom"/>
              <w:spacing w:after="60"/>
            </w:pPr>
            <w:r w:rsidRPr="002A23BB">
              <w:rPr>
                <w:i/>
              </w:rPr>
              <w:t>Seven Network v Cricket Australia</w:t>
            </w:r>
            <w:r w:rsidRPr="002A23BB">
              <w:t xml:space="preserve"> [2021] FCA 1031</w:t>
            </w:r>
          </w:p>
          <w:p w14:paraId="0016DB61" w14:textId="4865DEB3" w:rsidR="00144F4D" w:rsidRDefault="00144F4D" w:rsidP="002A23BB">
            <w:pPr>
              <w:pStyle w:val="CasesLegislationAppealFrom"/>
              <w:spacing w:after="60"/>
            </w:pPr>
            <w:r w:rsidRPr="00144F4D">
              <w:rPr>
                <w:i/>
                <w:iCs/>
              </w:rPr>
              <w:t>Sydney Seaplanes Pty Ltd v Page</w:t>
            </w:r>
            <w:r w:rsidRPr="00144F4D">
              <w:t xml:space="preserve"> [2021] NSWCA 204</w:t>
            </w:r>
          </w:p>
          <w:p w14:paraId="28A358A4" w14:textId="28C4743B" w:rsidR="00FD1046" w:rsidRPr="002A23BB" w:rsidRDefault="00FD1046" w:rsidP="002A23BB">
            <w:pPr>
              <w:pStyle w:val="CasesLegislationAppealFrom"/>
              <w:spacing w:after="60"/>
            </w:pPr>
            <w:r w:rsidRPr="00F90292">
              <w:rPr>
                <w:i/>
                <w:lang w:eastAsia="en-AU"/>
              </w:rPr>
              <w:t>TCL Air Co</w:t>
            </w:r>
            <w:r>
              <w:rPr>
                <w:i/>
                <w:lang w:eastAsia="en-AU"/>
              </w:rPr>
              <w:t>nditioner (</w:t>
            </w:r>
            <w:proofErr w:type="spellStart"/>
            <w:r>
              <w:rPr>
                <w:i/>
                <w:lang w:eastAsia="en-AU"/>
              </w:rPr>
              <w:t>Zhongshan</w:t>
            </w:r>
            <w:proofErr w:type="spellEnd"/>
            <w:r>
              <w:rPr>
                <w:i/>
                <w:lang w:eastAsia="en-AU"/>
              </w:rPr>
              <w:t xml:space="preserve">) Co Ltd v </w:t>
            </w:r>
            <w:r w:rsidRPr="00F90292">
              <w:rPr>
                <w:i/>
                <w:lang w:eastAsia="en-AU"/>
              </w:rPr>
              <w:t>Judges of the Federal Court of Australia</w:t>
            </w:r>
            <w:r>
              <w:rPr>
                <w:lang w:eastAsia="en-AU"/>
              </w:rPr>
              <w:t xml:space="preserve"> </w:t>
            </w:r>
            <w:r w:rsidRPr="00B53198">
              <w:rPr>
                <w:lang w:eastAsia="en-AU"/>
              </w:rPr>
              <w:t>[2013] HCA 5</w:t>
            </w:r>
            <w:r>
              <w:rPr>
                <w:lang w:eastAsia="en-AU"/>
              </w:rPr>
              <w:t>; (2013) 251 CLR 533</w:t>
            </w:r>
          </w:p>
          <w:p w14:paraId="7CCA9A17" w14:textId="77777777" w:rsidR="002A23BB" w:rsidRPr="002A23BB" w:rsidRDefault="002A23BB" w:rsidP="002A23BB">
            <w:pPr>
              <w:pStyle w:val="CasesLegislationAppealFrom"/>
              <w:spacing w:after="60"/>
            </w:pPr>
            <w:r w:rsidRPr="002A23BB">
              <w:rPr>
                <w:i/>
              </w:rPr>
              <w:t xml:space="preserve">Tucker v McKee </w:t>
            </w:r>
            <w:r w:rsidRPr="002A23BB">
              <w:t>[2021] FCA 828</w:t>
            </w:r>
          </w:p>
          <w:p w14:paraId="03865580" w14:textId="77777777" w:rsidR="002A23BB" w:rsidRPr="002A23BB" w:rsidRDefault="002A23BB" w:rsidP="002D71DE">
            <w:pPr>
              <w:pStyle w:val="CasesLegislationAppealFrom"/>
              <w:spacing w:after="60"/>
            </w:pPr>
            <w:r w:rsidRPr="002A23BB">
              <w:rPr>
                <w:i/>
                <w:iCs/>
                <w:lang w:val="en"/>
              </w:rPr>
              <w:t xml:space="preserve">Webb v </w:t>
            </w:r>
            <w:proofErr w:type="spellStart"/>
            <w:r w:rsidRPr="002A23BB">
              <w:rPr>
                <w:i/>
                <w:iCs/>
                <w:lang w:val="en"/>
              </w:rPr>
              <w:t>Outtrim</w:t>
            </w:r>
            <w:proofErr w:type="spellEnd"/>
            <w:r w:rsidRPr="002A23BB">
              <w:rPr>
                <w:iCs/>
                <w:lang w:val="en"/>
              </w:rPr>
              <w:t xml:space="preserve"> (1906) 4 CLR 3</w:t>
            </w:r>
            <w:r w:rsidR="002D71DE">
              <w:rPr>
                <w:iCs/>
                <w:lang w:val="en"/>
              </w:rPr>
              <w:t>56</w:t>
            </w:r>
            <w:bookmarkEnd w:id="4"/>
          </w:p>
        </w:tc>
      </w:tr>
      <w:tr w:rsidR="00031C9E" w14:paraId="273177AF" w14:textId="77777777" w:rsidTr="00B57747">
        <w:tc>
          <w:tcPr>
            <w:tcW w:w="3084" w:type="dxa"/>
            <w:shd w:val="clear" w:color="auto" w:fill="auto"/>
          </w:tcPr>
          <w:p w14:paraId="0F04AFDF" w14:textId="77777777" w:rsidR="00031C9E" w:rsidRDefault="00031C9E" w:rsidP="003740C5">
            <w:pPr>
              <w:pStyle w:val="Normal1linespace"/>
              <w:widowControl w:val="0"/>
            </w:pPr>
          </w:p>
        </w:tc>
        <w:tc>
          <w:tcPr>
            <w:tcW w:w="5989" w:type="dxa"/>
            <w:shd w:val="clear" w:color="auto" w:fill="auto"/>
          </w:tcPr>
          <w:p w14:paraId="41DBC56B" w14:textId="77777777" w:rsidR="00031C9E" w:rsidRDefault="00031C9E" w:rsidP="003740C5">
            <w:pPr>
              <w:pStyle w:val="Normal1linespace"/>
              <w:widowControl w:val="0"/>
              <w:jc w:val="left"/>
            </w:pPr>
          </w:p>
        </w:tc>
      </w:tr>
      <w:tr w:rsidR="00456A67" w14:paraId="4FFD968A" w14:textId="77777777" w:rsidTr="00B57747">
        <w:tc>
          <w:tcPr>
            <w:tcW w:w="3084" w:type="dxa"/>
            <w:shd w:val="clear" w:color="auto" w:fill="auto"/>
          </w:tcPr>
          <w:p w14:paraId="2FC937F0" w14:textId="5AFA73A0" w:rsidR="00456A67" w:rsidRPr="00F33919" w:rsidRDefault="00456A67" w:rsidP="003740C5">
            <w:pPr>
              <w:pStyle w:val="Normal1linespace"/>
              <w:widowControl w:val="0"/>
            </w:pPr>
          </w:p>
        </w:tc>
        <w:tc>
          <w:tcPr>
            <w:tcW w:w="5989" w:type="dxa"/>
            <w:shd w:val="clear" w:color="auto" w:fill="auto"/>
          </w:tcPr>
          <w:p w14:paraId="7C7284BB" w14:textId="45F66943" w:rsidR="00C0596F" w:rsidRDefault="00C0596F" w:rsidP="003740C5">
            <w:pPr>
              <w:pStyle w:val="Normal1linespace"/>
              <w:widowControl w:val="0"/>
              <w:jc w:val="left"/>
              <w:rPr>
                <w:lang w:val="en"/>
              </w:rPr>
            </w:pPr>
            <w:r w:rsidRPr="00C0596F">
              <w:rPr>
                <w:lang w:val="en"/>
              </w:rPr>
              <w:t xml:space="preserve">Australian Law Reform Commission, </w:t>
            </w:r>
            <w:r w:rsidRPr="00C0596F">
              <w:rPr>
                <w:i/>
                <w:lang w:val="en"/>
              </w:rPr>
              <w:t xml:space="preserve">The Judicial Power of the Commonwealth: A Review of the Judiciary Act and related legislation </w:t>
            </w:r>
            <w:r w:rsidRPr="00C0596F">
              <w:rPr>
                <w:lang w:val="en"/>
              </w:rPr>
              <w:t>(</w:t>
            </w:r>
            <w:r w:rsidR="009A2B53">
              <w:rPr>
                <w:iCs/>
                <w:lang w:val="en"/>
              </w:rPr>
              <w:t>DP</w:t>
            </w:r>
            <w:r w:rsidRPr="00C0596F">
              <w:rPr>
                <w:lang w:val="en"/>
              </w:rPr>
              <w:t xml:space="preserve"> 64, December 2000)</w:t>
            </w:r>
          </w:p>
          <w:p w14:paraId="5B28C85D" w14:textId="4074CB61" w:rsidR="00003264" w:rsidRDefault="00003264" w:rsidP="003740C5">
            <w:pPr>
              <w:pStyle w:val="Normal1linespace"/>
              <w:widowControl w:val="0"/>
              <w:jc w:val="left"/>
              <w:rPr>
                <w:lang w:val="en"/>
              </w:rPr>
            </w:pPr>
            <w:r w:rsidRPr="00003264">
              <w:t>Cardozo B</w:t>
            </w:r>
            <w:r w:rsidR="00DC7DE1">
              <w:t xml:space="preserve"> </w:t>
            </w:r>
            <w:r w:rsidRPr="00003264">
              <w:t>N,</w:t>
            </w:r>
            <w:r w:rsidRPr="00003264">
              <w:rPr>
                <w:i/>
                <w:iCs/>
              </w:rPr>
              <w:t xml:space="preserve"> The Nature of the Judicial Process</w:t>
            </w:r>
            <w:r w:rsidRPr="00003264">
              <w:t> (Yale University Press, 1921)</w:t>
            </w:r>
          </w:p>
          <w:p w14:paraId="3BC10EC5" w14:textId="7860806B" w:rsidR="002B6873" w:rsidRPr="00F33919" w:rsidRDefault="002B6873" w:rsidP="003740C5">
            <w:pPr>
              <w:pStyle w:val="Normal1linespace"/>
              <w:widowControl w:val="0"/>
              <w:jc w:val="left"/>
            </w:pPr>
            <w:r w:rsidRPr="00F33919">
              <w:rPr>
                <w:bCs/>
                <w:iCs/>
              </w:rPr>
              <w:t>Explanatory Memorandum, Family Law Amendment (Family Violence and Other Measures) Bill 2018</w:t>
            </w:r>
          </w:p>
          <w:p w14:paraId="1A8E7E02" w14:textId="4B4E2585" w:rsidR="00F33919" w:rsidRPr="00F33919" w:rsidRDefault="00095F23" w:rsidP="006A3FC9">
            <w:pPr>
              <w:pStyle w:val="Normal1linespace"/>
              <w:widowControl w:val="0"/>
              <w:jc w:val="left"/>
            </w:pPr>
            <w:proofErr w:type="spellStart"/>
            <w:r>
              <w:t>Kiralfy</w:t>
            </w:r>
            <w:proofErr w:type="spellEnd"/>
            <w:r>
              <w:t xml:space="preserve"> A K</w:t>
            </w:r>
            <w:r w:rsidR="00F33919" w:rsidRPr="00F33919">
              <w:t xml:space="preserve">, </w:t>
            </w:r>
            <w:r w:rsidR="00F33919" w:rsidRPr="00F33919">
              <w:rPr>
                <w:i/>
              </w:rPr>
              <w:t>The Action on the Case</w:t>
            </w:r>
            <w:r w:rsidR="00F33919" w:rsidRPr="00F33919">
              <w:t xml:space="preserve"> (Sweet &amp; Maxwell, 1951)</w:t>
            </w:r>
          </w:p>
          <w:p w14:paraId="018EEF95" w14:textId="77777777" w:rsidR="00F33919" w:rsidRPr="00F33919" w:rsidRDefault="006A3FC9" w:rsidP="006A3FC9">
            <w:pPr>
              <w:pStyle w:val="Normal1linespace"/>
              <w:widowControl w:val="0"/>
              <w:jc w:val="left"/>
            </w:pPr>
            <w:r w:rsidRPr="00F33919">
              <w:t xml:space="preserve">Leeming M, </w:t>
            </w:r>
            <w:r w:rsidRPr="00F33919">
              <w:rPr>
                <w:i/>
              </w:rPr>
              <w:t>Authority to Decide: The Law of Jurisdiction in Australia</w:t>
            </w:r>
            <w:r w:rsidRPr="00F33919">
              <w:t xml:space="preserve"> (</w:t>
            </w:r>
            <w:r w:rsidR="00F33919" w:rsidRPr="00F33919">
              <w:t xml:space="preserve">2nd </w:t>
            </w:r>
            <w:proofErr w:type="spellStart"/>
            <w:r w:rsidR="00F33919" w:rsidRPr="00F33919">
              <w:t>ed</w:t>
            </w:r>
            <w:proofErr w:type="spellEnd"/>
            <w:r w:rsidR="00F33919" w:rsidRPr="00F33919">
              <w:t>, Federation Press, 2020)</w:t>
            </w:r>
          </w:p>
          <w:p w14:paraId="6BA743BC" w14:textId="77777777" w:rsidR="00230672" w:rsidRDefault="002E0D7A" w:rsidP="006A3FC9">
            <w:pPr>
              <w:pStyle w:val="Normal1linespace"/>
              <w:widowControl w:val="0"/>
              <w:jc w:val="left"/>
              <w:rPr>
                <w:bCs/>
                <w:iCs/>
              </w:rPr>
            </w:pPr>
            <w:r w:rsidRPr="002E0D7A">
              <w:rPr>
                <w:bCs/>
                <w:iCs/>
              </w:rPr>
              <w:t>Royal Commission on the Co</w:t>
            </w:r>
            <w:r w:rsidR="00EC3D19">
              <w:rPr>
                <w:bCs/>
                <w:iCs/>
              </w:rPr>
              <w:t>nstitution of the Commonwealth (</w:t>
            </w:r>
            <w:r w:rsidRPr="002E0D7A">
              <w:rPr>
                <w:bCs/>
                <w:iCs/>
              </w:rPr>
              <w:t>Minutes of Evidence, 13 December 1927</w:t>
            </w:r>
            <w:r w:rsidR="00EC3D19">
              <w:rPr>
                <w:bCs/>
                <w:iCs/>
              </w:rPr>
              <w:t>)</w:t>
            </w:r>
          </w:p>
          <w:p w14:paraId="464E96D7" w14:textId="0DBD9782" w:rsidR="00625DFD" w:rsidRPr="002E0D7A" w:rsidRDefault="00625DFD" w:rsidP="006A3FC9">
            <w:pPr>
              <w:pStyle w:val="Normal1linespace"/>
              <w:widowControl w:val="0"/>
              <w:jc w:val="left"/>
              <w:rPr>
                <w:bCs/>
                <w:iCs/>
              </w:rPr>
            </w:pPr>
            <w:r>
              <w:rPr>
                <w:lang w:eastAsia="en-AU"/>
              </w:rPr>
              <w:t xml:space="preserve">Zines L, </w:t>
            </w:r>
            <w:r w:rsidRPr="00E66603">
              <w:rPr>
                <w:i/>
                <w:lang w:eastAsia="en-AU"/>
              </w:rPr>
              <w:t xml:space="preserve">Cowen and </w:t>
            </w:r>
            <w:proofErr w:type="spellStart"/>
            <w:r w:rsidRPr="00E66603">
              <w:rPr>
                <w:i/>
                <w:lang w:eastAsia="en-AU"/>
              </w:rPr>
              <w:t>Zines’s</w:t>
            </w:r>
            <w:proofErr w:type="spellEnd"/>
            <w:r w:rsidRPr="007707A0">
              <w:rPr>
                <w:lang w:eastAsia="en-AU"/>
              </w:rPr>
              <w:t> </w:t>
            </w:r>
            <w:r w:rsidRPr="007707A0">
              <w:rPr>
                <w:i/>
                <w:iCs/>
                <w:lang w:eastAsia="en-AU"/>
              </w:rPr>
              <w:t>Federal Jurisdiction in Australia</w:t>
            </w:r>
            <w:r>
              <w:rPr>
                <w:i/>
                <w:iCs/>
                <w:lang w:eastAsia="en-AU"/>
              </w:rPr>
              <w:t xml:space="preserve"> </w:t>
            </w:r>
            <w:r>
              <w:rPr>
                <w:iCs/>
                <w:lang w:eastAsia="en-AU"/>
              </w:rPr>
              <w:t xml:space="preserve">(4th </w:t>
            </w:r>
            <w:proofErr w:type="spellStart"/>
            <w:r>
              <w:rPr>
                <w:iCs/>
                <w:lang w:eastAsia="en-AU"/>
              </w:rPr>
              <w:t>ed</w:t>
            </w:r>
            <w:proofErr w:type="spellEnd"/>
            <w:r w:rsidRPr="007707A0">
              <w:rPr>
                <w:lang w:eastAsia="en-AU"/>
              </w:rPr>
              <w:t>,</w:t>
            </w:r>
            <w:r>
              <w:rPr>
                <w:lang w:eastAsia="en-AU"/>
              </w:rPr>
              <w:t xml:space="preserve"> Federation Press, 2016)</w:t>
            </w:r>
          </w:p>
        </w:tc>
      </w:tr>
      <w:tr w:rsidR="00456A67" w14:paraId="1D47AD2C" w14:textId="77777777" w:rsidTr="00B57747">
        <w:tc>
          <w:tcPr>
            <w:tcW w:w="3084" w:type="dxa"/>
            <w:shd w:val="clear" w:color="auto" w:fill="auto"/>
          </w:tcPr>
          <w:p w14:paraId="4E84FD34" w14:textId="77777777" w:rsidR="00456A67" w:rsidRDefault="00456A67" w:rsidP="003740C5">
            <w:pPr>
              <w:pStyle w:val="Normal1linespace"/>
              <w:widowControl w:val="0"/>
            </w:pPr>
          </w:p>
        </w:tc>
        <w:tc>
          <w:tcPr>
            <w:tcW w:w="5989" w:type="dxa"/>
            <w:shd w:val="clear" w:color="auto" w:fill="auto"/>
          </w:tcPr>
          <w:p w14:paraId="5EF2A242" w14:textId="77777777" w:rsidR="00456A67" w:rsidRDefault="00456A67" w:rsidP="003740C5">
            <w:pPr>
              <w:pStyle w:val="Normal1linespace"/>
              <w:widowControl w:val="0"/>
              <w:jc w:val="left"/>
            </w:pPr>
          </w:p>
        </w:tc>
      </w:tr>
      <w:tr w:rsidR="00031C9E" w14:paraId="7066C478" w14:textId="77777777" w:rsidTr="00B57747">
        <w:tc>
          <w:tcPr>
            <w:tcW w:w="3084" w:type="dxa"/>
            <w:shd w:val="clear" w:color="auto" w:fill="auto"/>
          </w:tcPr>
          <w:p w14:paraId="61CB39BD" w14:textId="77777777" w:rsidR="00031C9E" w:rsidRDefault="00031C9E" w:rsidP="00501A12">
            <w:pPr>
              <w:pStyle w:val="Normal1linespace"/>
              <w:widowControl w:val="0"/>
            </w:pPr>
            <w:r>
              <w:t>Division:</w:t>
            </w:r>
          </w:p>
        </w:tc>
        <w:tc>
          <w:tcPr>
            <w:tcW w:w="5989" w:type="dxa"/>
            <w:shd w:val="clear" w:color="auto" w:fill="auto"/>
          </w:tcPr>
          <w:p w14:paraId="4C72EFCF" w14:textId="77777777" w:rsidR="00031C9E" w:rsidRPr="00F17599" w:rsidRDefault="007C025B" w:rsidP="00501A12">
            <w:pPr>
              <w:pStyle w:val="Normal1linespace"/>
              <w:widowControl w:val="0"/>
              <w:jc w:val="left"/>
            </w:pPr>
            <w:fldSimple w:instr=" DOCPROPERTY  Division ">
              <w:r w:rsidR="00031C9E">
                <w:t>General Division</w:t>
              </w:r>
            </w:fldSimple>
          </w:p>
        </w:tc>
      </w:tr>
      <w:tr w:rsidR="00031C9E" w14:paraId="24D997AE" w14:textId="77777777" w:rsidTr="00B57747">
        <w:tc>
          <w:tcPr>
            <w:tcW w:w="3084" w:type="dxa"/>
            <w:shd w:val="clear" w:color="auto" w:fill="auto"/>
          </w:tcPr>
          <w:p w14:paraId="318C1B7E" w14:textId="77777777" w:rsidR="00031C9E" w:rsidRDefault="00031C9E" w:rsidP="00501A12">
            <w:pPr>
              <w:pStyle w:val="Normal1linespace"/>
              <w:widowControl w:val="0"/>
            </w:pPr>
            <w:bookmarkStart w:id="5" w:name="Registry_rows" w:colFirst="0" w:colLast="1"/>
          </w:p>
        </w:tc>
        <w:tc>
          <w:tcPr>
            <w:tcW w:w="5989" w:type="dxa"/>
            <w:shd w:val="clear" w:color="auto" w:fill="auto"/>
          </w:tcPr>
          <w:p w14:paraId="670779D4" w14:textId="77777777" w:rsidR="00031C9E" w:rsidRDefault="00031C9E" w:rsidP="00501A12">
            <w:pPr>
              <w:pStyle w:val="Normal1linespace"/>
              <w:widowControl w:val="0"/>
              <w:jc w:val="left"/>
            </w:pPr>
          </w:p>
        </w:tc>
      </w:tr>
      <w:tr w:rsidR="00031C9E" w14:paraId="53A53138" w14:textId="77777777" w:rsidTr="00B57747">
        <w:tc>
          <w:tcPr>
            <w:tcW w:w="3084" w:type="dxa"/>
            <w:shd w:val="clear" w:color="auto" w:fill="auto"/>
          </w:tcPr>
          <w:p w14:paraId="4A9CA3A2" w14:textId="77777777" w:rsidR="00031C9E" w:rsidRDefault="00031C9E" w:rsidP="00501A12">
            <w:pPr>
              <w:pStyle w:val="Normal1linespace"/>
              <w:widowControl w:val="0"/>
            </w:pPr>
            <w:r>
              <w:t>Registry:</w:t>
            </w:r>
          </w:p>
        </w:tc>
        <w:tc>
          <w:tcPr>
            <w:tcW w:w="5989" w:type="dxa"/>
            <w:shd w:val="clear" w:color="auto" w:fill="auto"/>
          </w:tcPr>
          <w:p w14:paraId="763E6B3E" w14:textId="77777777" w:rsidR="00031C9E" w:rsidRPr="00F17599" w:rsidRDefault="007C025B" w:rsidP="00501A12">
            <w:pPr>
              <w:pStyle w:val="Normal1linespace"/>
              <w:widowControl w:val="0"/>
              <w:jc w:val="left"/>
            </w:pPr>
            <w:fldSimple w:instr=" DOCPROPERTY  Registry ">
              <w:r w:rsidR="00031C9E">
                <w:t>New South Wales</w:t>
              </w:r>
            </w:fldSimple>
          </w:p>
        </w:tc>
      </w:tr>
      <w:tr w:rsidR="00031C9E" w14:paraId="55641A66" w14:textId="77777777" w:rsidTr="00B57747">
        <w:tc>
          <w:tcPr>
            <w:tcW w:w="3084" w:type="dxa"/>
            <w:shd w:val="clear" w:color="auto" w:fill="auto"/>
          </w:tcPr>
          <w:p w14:paraId="035E0963" w14:textId="77777777" w:rsidR="00031C9E" w:rsidRDefault="00031C9E" w:rsidP="00501A12">
            <w:pPr>
              <w:pStyle w:val="Normal1linespace"/>
              <w:widowControl w:val="0"/>
            </w:pPr>
            <w:bookmarkStart w:id="6" w:name="NPARow" w:colFirst="0" w:colLast="1"/>
            <w:bookmarkEnd w:id="5"/>
          </w:p>
        </w:tc>
        <w:tc>
          <w:tcPr>
            <w:tcW w:w="5989" w:type="dxa"/>
            <w:shd w:val="clear" w:color="auto" w:fill="auto"/>
          </w:tcPr>
          <w:p w14:paraId="499ADEDA" w14:textId="77777777" w:rsidR="00031C9E" w:rsidRPr="00F17599" w:rsidRDefault="00031C9E" w:rsidP="00501A12">
            <w:pPr>
              <w:pStyle w:val="Normal1linespace"/>
              <w:widowControl w:val="0"/>
              <w:jc w:val="left"/>
              <w:rPr>
                <w:b/>
              </w:rPr>
            </w:pPr>
          </w:p>
        </w:tc>
      </w:tr>
      <w:tr w:rsidR="00031C9E" w14:paraId="4AFE8DD6" w14:textId="77777777" w:rsidTr="00B57747">
        <w:tc>
          <w:tcPr>
            <w:tcW w:w="3084" w:type="dxa"/>
            <w:shd w:val="clear" w:color="auto" w:fill="auto"/>
          </w:tcPr>
          <w:p w14:paraId="7C55A6A6" w14:textId="77777777" w:rsidR="00031C9E" w:rsidRDefault="00031C9E" w:rsidP="00501A12">
            <w:pPr>
              <w:pStyle w:val="Normal1linespace"/>
              <w:widowControl w:val="0"/>
            </w:pPr>
            <w:r>
              <w:t>National Practice Area:</w:t>
            </w:r>
          </w:p>
        </w:tc>
        <w:tc>
          <w:tcPr>
            <w:tcW w:w="5989" w:type="dxa"/>
            <w:shd w:val="clear" w:color="auto" w:fill="auto"/>
          </w:tcPr>
          <w:p w14:paraId="7CE72836" w14:textId="77777777" w:rsidR="00031C9E" w:rsidRPr="00F17599" w:rsidRDefault="00B67991" w:rsidP="003740C5">
            <w:pPr>
              <w:pStyle w:val="Normal1linespace"/>
              <w:widowControl w:val="0"/>
              <w:jc w:val="left"/>
              <w:rPr>
                <w:b/>
              </w:rPr>
            </w:pPr>
            <w:r>
              <w:fldChar w:fldCharType="begin"/>
            </w:r>
            <w:r>
              <w:instrText xml:space="preserve"> DOCPROPERTY  "Practice Area"  \* MERGEFORMAT </w:instrText>
            </w:r>
            <w:r>
              <w:fldChar w:fldCharType="separate"/>
            </w:r>
            <w:r w:rsidR="00031C9E">
              <w:t>Other Federal Jurisdiction</w:t>
            </w:r>
            <w:r>
              <w:fldChar w:fldCharType="end"/>
            </w:r>
          </w:p>
        </w:tc>
      </w:tr>
      <w:bookmarkEnd w:id="6"/>
      <w:tr w:rsidR="00031C9E" w14:paraId="22D3A3EE" w14:textId="77777777" w:rsidTr="00B57747">
        <w:tc>
          <w:tcPr>
            <w:tcW w:w="3084" w:type="dxa"/>
            <w:shd w:val="clear" w:color="auto" w:fill="auto"/>
          </w:tcPr>
          <w:p w14:paraId="22942C13" w14:textId="77777777" w:rsidR="00031C9E" w:rsidRDefault="00031C9E" w:rsidP="00501A12">
            <w:pPr>
              <w:pStyle w:val="Normal1linespace"/>
              <w:widowControl w:val="0"/>
            </w:pPr>
          </w:p>
        </w:tc>
        <w:tc>
          <w:tcPr>
            <w:tcW w:w="5989" w:type="dxa"/>
            <w:shd w:val="clear" w:color="auto" w:fill="auto"/>
          </w:tcPr>
          <w:p w14:paraId="296BACDF" w14:textId="77777777" w:rsidR="00031C9E" w:rsidRDefault="00031C9E" w:rsidP="00501A12">
            <w:pPr>
              <w:pStyle w:val="Normal1linespace"/>
              <w:widowControl w:val="0"/>
              <w:jc w:val="left"/>
            </w:pPr>
          </w:p>
        </w:tc>
      </w:tr>
      <w:tr w:rsidR="00031C9E" w14:paraId="25976198" w14:textId="77777777" w:rsidTr="00B57747">
        <w:tc>
          <w:tcPr>
            <w:tcW w:w="3084" w:type="dxa"/>
            <w:shd w:val="clear" w:color="auto" w:fill="auto"/>
          </w:tcPr>
          <w:p w14:paraId="2C44AECA" w14:textId="77777777" w:rsidR="00031C9E" w:rsidRDefault="00031C9E" w:rsidP="00501A12">
            <w:pPr>
              <w:pStyle w:val="Normal1linespace"/>
              <w:widowControl w:val="0"/>
            </w:pPr>
            <w:r>
              <w:t>Number of paragraphs:</w:t>
            </w:r>
          </w:p>
        </w:tc>
        <w:tc>
          <w:tcPr>
            <w:tcW w:w="5989" w:type="dxa"/>
            <w:shd w:val="clear" w:color="auto" w:fill="auto"/>
          </w:tcPr>
          <w:p w14:paraId="61F2403D" w14:textId="58A3848C" w:rsidR="00031C9E" w:rsidRDefault="00B100FB" w:rsidP="00DF03AA">
            <w:pPr>
              <w:pStyle w:val="Normal1linespace"/>
              <w:widowControl w:val="0"/>
              <w:jc w:val="left"/>
            </w:pPr>
            <w:bookmarkStart w:id="7" w:name="PlaceCategoryParagraphs"/>
            <w:r>
              <w:t>7</w:t>
            </w:r>
            <w:bookmarkEnd w:id="7"/>
            <w:r w:rsidR="00095F23">
              <w:t>9</w:t>
            </w:r>
          </w:p>
        </w:tc>
      </w:tr>
      <w:tr w:rsidR="00031C9E" w14:paraId="732A41E9" w14:textId="77777777" w:rsidTr="00B57747">
        <w:tc>
          <w:tcPr>
            <w:tcW w:w="3084" w:type="dxa"/>
            <w:shd w:val="clear" w:color="auto" w:fill="auto"/>
          </w:tcPr>
          <w:p w14:paraId="3B87BA3E" w14:textId="77777777" w:rsidR="00031C9E" w:rsidRDefault="00031C9E" w:rsidP="00031C9E">
            <w:pPr>
              <w:pStyle w:val="Normal1linespace"/>
              <w:widowControl w:val="0"/>
              <w:jc w:val="left"/>
            </w:pPr>
          </w:p>
        </w:tc>
        <w:tc>
          <w:tcPr>
            <w:tcW w:w="5989" w:type="dxa"/>
            <w:shd w:val="clear" w:color="auto" w:fill="auto"/>
          </w:tcPr>
          <w:p w14:paraId="6100B4F0" w14:textId="77777777" w:rsidR="00031C9E" w:rsidRDefault="00031C9E" w:rsidP="00031C9E">
            <w:pPr>
              <w:pStyle w:val="Normal1linespace"/>
              <w:widowControl w:val="0"/>
              <w:jc w:val="left"/>
            </w:pPr>
          </w:p>
        </w:tc>
      </w:tr>
      <w:tr w:rsidR="00031C9E" w14:paraId="4F7E5F5A" w14:textId="77777777" w:rsidTr="00B57747">
        <w:tc>
          <w:tcPr>
            <w:tcW w:w="3084" w:type="dxa"/>
            <w:shd w:val="clear" w:color="auto" w:fill="auto"/>
          </w:tcPr>
          <w:p w14:paraId="372F88F9" w14:textId="77777777" w:rsidR="00031C9E" w:rsidRDefault="00031C9E" w:rsidP="00031C9E">
            <w:pPr>
              <w:pStyle w:val="Normal1linespace"/>
              <w:widowControl w:val="0"/>
              <w:jc w:val="left"/>
            </w:pPr>
            <w:bookmarkStart w:id="8" w:name="CounselDate" w:colFirst="0" w:colLast="2"/>
            <w:r w:rsidRPr="006A24E3">
              <w:t>Date</w:t>
            </w:r>
            <w:r w:rsidR="00693E23">
              <w:t>s</w:t>
            </w:r>
            <w:r w:rsidRPr="006A24E3">
              <w:t xml:space="preserve"> of hearing:</w:t>
            </w:r>
          </w:p>
        </w:tc>
        <w:tc>
          <w:tcPr>
            <w:tcW w:w="5989" w:type="dxa"/>
            <w:shd w:val="clear" w:color="auto" w:fill="auto"/>
          </w:tcPr>
          <w:p w14:paraId="35A67FB7" w14:textId="77777777" w:rsidR="00031C9E" w:rsidRDefault="00693E23" w:rsidP="00031C9E">
            <w:pPr>
              <w:pStyle w:val="Normal1linespace"/>
              <w:widowControl w:val="0"/>
              <w:jc w:val="left"/>
            </w:pPr>
            <w:bookmarkStart w:id="9" w:name="HearingDate"/>
            <w:r>
              <w:t xml:space="preserve">15 June 2021 and </w:t>
            </w:r>
            <w:r w:rsidR="004039A4">
              <w:t>16 August 2021</w:t>
            </w:r>
            <w:r w:rsidR="00031C9E">
              <w:t xml:space="preserve"> </w:t>
            </w:r>
            <w:bookmarkEnd w:id="9"/>
          </w:p>
        </w:tc>
      </w:tr>
      <w:tr w:rsidR="00031C9E" w14:paraId="15DDAF3D" w14:textId="77777777" w:rsidTr="00B57747">
        <w:tc>
          <w:tcPr>
            <w:tcW w:w="3084" w:type="dxa"/>
            <w:shd w:val="clear" w:color="auto" w:fill="auto"/>
          </w:tcPr>
          <w:p w14:paraId="3E1CF1A9" w14:textId="77777777" w:rsidR="00031C9E" w:rsidRDefault="00031C9E" w:rsidP="00031C9E">
            <w:pPr>
              <w:pStyle w:val="Normal1linespace"/>
              <w:widowControl w:val="0"/>
              <w:jc w:val="left"/>
            </w:pPr>
          </w:p>
        </w:tc>
        <w:tc>
          <w:tcPr>
            <w:tcW w:w="5989" w:type="dxa"/>
            <w:shd w:val="clear" w:color="auto" w:fill="auto"/>
          </w:tcPr>
          <w:p w14:paraId="776FC4CC" w14:textId="77777777" w:rsidR="00031C9E" w:rsidRDefault="00031C9E" w:rsidP="00031C9E">
            <w:pPr>
              <w:pStyle w:val="Normal1linespace"/>
              <w:widowControl w:val="0"/>
              <w:jc w:val="left"/>
            </w:pPr>
          </w:p>
        </w:tc>
      </w:tr>
      <w:tr w:rsidR="009E31E4" w14:paraId="25D058FE" w14:textId="77777777" w:rsidTr="0011347E">
        <w:tc>
          <w:tcPr>
            <w:tcW w:w="3084" w:type="dxa"/>
            <w:shd w:val="clear" w:color="auto" w:fill="auto"/>
          </w:tcPr>
          <w:p w14:paraId="119F6F41" w14:textId="179AA59B" w:rsidR="009E31E4" w:rsidRDefault="00B100FB" w:rsidP="00B57747">
            <w:pPr>
              <w:pStyle w:val="Normal1linespace"/>
              <w:widowControl w:val="0"/>
              <w:jc w:val="left"/>
            </w:pPr>
            <w:bookmarkStart w:id="10" w:name="Counsel" w:colFirst="0" w:colLast="2"/>
            <w:bookmarkEnd w:id="8"/>
            <w:r>
              <w:t>Counsel for the Applicant:</w:t>
            </w:r>
          </w:p>
        </w:tc>
        <w:tc>
          <w:tcPr>
            <w:tcW w:w="5989" w:type="dxa"/>
            <w:shd w:val="clear" w:color="auto" w:fill="auto"/>
          </w:tcPr>
          <w:p w14:paraId="2C7BD613" w14:textId="22CFEC93" w:rsidR="009E31E4" w:rsidRDefault="00B100FB" w:rsidP="00B57747">
            <w:pPr>
              <w:pStyle w:val="Normal1linespace"/>
              <w:widowControl w:val="0"/>
              <w:jc w:val="left"/>
            </w:pPr>
            <w:r>
              <w:t xml:space="preserve">Mr G O’L Reynolds SC with Mr D </w:t>
            </w:r>
            <w:proofErr w:type="spellStart"/>
            <w:r>
              <w:t>Farinha</w:t>
            </w:r>
            <w:proofErr w:type="spellEnd"/>
          </w:p>
        </w:tc>
      </w:tr>
      <w:tr w:rsidR="009E31E4" w14:paraId="2A6E8F09" w14:textId="77777777" w:rsidTr="0011347E">
        <w:tc>
          <w:tcPr>
            <w:tcW w:w="3084" w:type="dxa"/>
            <w:shd w:val="clear" w:color="auto" w:fill="auto"/>
          </w:tcPr>
          <w:p w14:paraId="44F2C3B1" w14:textId="77777777" w:rsidR="009E31E4" w:rsidRDefault="009E31E4" w:rsidP="00B57747">
            <w:pPr>
              <w:pStyle w:val="Normal1linespace"/>
              <w:widowControl w:val="0"/>
              <w:jc w:val="left"/>
            </w:pPr>
          </w:p>
        </w:tc>
        <w:tc>
          <w:tcPr>
            <w:tcW w:w="5989" w:type="dxa"/>
            <w:shd w:val="clear" w:color="auto" w:fill="auto"/>
          </w:tcPr>
          <w:p w14:paraId="304A38B7" w14:textId="77777777" w:rsidR="009E31E4" w:rsidRPr="009E31E4" w:rsidRDefault="009E31E4" w:rsidP="00B57747">
            <w:pPr>
              <w:pStyle w:val="Normal1linespace"/>
              <w:widowControl w:val="0"/>
              <w:jc w:val="left"/>
            </w:pPr>
          </w:p>
        </w:tc>
      </w:tr>
      <w:tr w:rsidR="0011347E" w14:paraId="4ACC79E9" w14:textId="77777777" w:rsidTr="0011347E">
        <w:tc>
          <w:tcPr>
            <w:tcW w:w="3084" w:type="dxa"/>
            <w:shd w:val="clear" w:color="auto" w:fill="auto"/>
          </w:tcPr>
          <w:p w14:paraId="6E721BD7" w14:textId="1DB37EE6" w:rsidR="0011347E" w:rsidRDefault="00B100FB" w:rsidP="0011347E">
            <w:pPr>
              <w:pStyle w:val="Normal1linespace"/>
              <w:widowControl w:val="0"/>
              <w:jc w:val="left"/>
            </w:pPr>
            <w:r>
              <w:t>Solicitor for the Respondent:</w:t>
            </w:r>
          </w:p>
        </w:tc>
        <w:tc>
          <w:tcPr>
            <w:tcW w:w="5989" w:type="dxa"/>
            <w:shd w:val="clear" w:color="auto" w:fill="auto"/>
          </w:tcPr>
          <w:p w14:paraId="2AA30390" w14:textId="1F4A01ED" w:rsidR="0011347E" w:rsidRDefault="00095F23" w:rsidP="0011347E">
            <w:pPr>
              <w:pStyle w:val="Normal1linespace"/>
              <w:widowControl w:val="0"/>
              <w:jc w:val="left"/>
            </w:pPr>
            <w:proofErr w:type="spellStart"/>
            <w:r>
              <w:t>Gorval</w:t>
            </w:r>
            <w:proofErr w:type="spellEnd"/>
            <w:r>
              <w:t xml:space="preserve"> Lynch</w:t>
            </w:r>
          </w:p>
        </w:tc>
      </w:tr>
      <w:tr w:rsidR="00B100FB" w14:paraId="0AF06B28" w14:textId="77777777" w:rsidTr="0011347E">
        <w:tc>
          <w:tcPr>
            <w:tcW w:w="3084" w:type="dxa"/>
            <w:shd w:val="clear" w:color="auto" w:fill="auto"/>
          </w:tcPr>
          <w:p w14:paraId="2F3CBE01" w14:textId="77777777" w:rsidR="00B100FB" w:rsidRDefault="00B100FB" w:rsidP="0011347E">
            <w:pPr>
              <w:pStyle w:val="Normal1linespace"/>
              <w:widowControl w:val="0"/>
              <w:jc w:val="left"/>
            </w:pPr>
          </w:p>
        </w:tc>
        <w:tc>
          <w:tcPr>
            <w:tcW w:w="5989" w:type="dxa"/>
            <w:shd w:val="clear" w:color="auto" w:fill="auto"/>
          </w:tcPr>
          <w:p w14:paraId="4851F352" w14:textId="77777777" w:rsidR="00B100FB" w:rsidRDefault="00B100FB" w:rsidP="0011347E">
            <w:pPr>
              <w:pStyle w:val="Normal1linespace"/>
              <w:widowControl w:val="0"/>
              <w:jc w:val="left"/>
            </w:pPr>
          </w:p>
        </w:tc>
      </w:tr>
      <w:tr w:rsidR="00B100FB" w14:paraId="587BC35A" w14:textId="77777777" w:rsidTr="0011347E">
        <w:tc>
          <w:tcPr>
            <w:tcW w:w="3084" w:type="dxa"/>
            <w:shd w:val="clear" w:color="auto" w:fill="auto"/>
          </w:tcPr>
          <w:p w14:paraId="06874CC0" w14:textId="33715CE6" w:rsidR="00B100FB" w:rsidRDefault="00DB59E2" w:rsidP="0011347E">
            <w:pPr>
              <w:pStyle w:val="Normal1linespace"/>
              <w:widowControl w:val="0"/>
              <w:jc w:val="left"/>
            </w:pPr>
            <w:r>
              <w:t>Amici</w:t>
            </w:r>
            <w:r w:rsidR="005E766E">
              <w:t xml:space="preserve"> Curiae</w:t>
            </w:r>
            <w:r w:rsidR="00B100FB">
              <w:t>:</w:t>
            </w:r>
          </w:p>
        </w:tc>
        <w:tc>
          <w:tcPr>
            <w:tcW w:w="5989" w:type="dxa"/>
            <w:shd w:val="clear" w:color="auto" w:fill="auto"/>
          </w:tcPr>
          <w:p w14:paraId="0F981574" w14:textId="54403850" w:rsidR="00B100FB" w:rsidRDefault="00B100FB" w:rsidP="00B100FB">
            <w:pPr>
              <w:pStyle w:val="Normal1linespace"/>
              <w:widowControl w:val="0"/>
              <w:jc w:val="left"/>
            </w:pPr>
            <w:r>
              <w:t>Mr W A D</w:t>
            </w:r>
            <w:r w:rsidRPr="00A601E5">
              <w:t xml:space="preserve"> Edwards</w:t>
            </w:r>
            <w:r>
              <w:t xml:space="preserve"> with Mr J Mack</w:t>
            </w:r>
          </w:p>
        </w:tc>
      </w:tr>
      <w:bookmarkEnd w:id="10"/>
    </w:tbl>
    <w:p w14:paraId="216DCE3E" w14:textId="77777777" w:rsidR="007470BD" w:rsidRDefault="007470BD">
      <w:pPr>
        <w:pStyle w:val="Normal1linespace"/>
      </w:pPr>
    </w:p>
    <w:p w14:paraId="38A04EF3" w14:textId="47FC9F97" w:rsidR="00395B24" w:rsidRDefault="00395B24">
      <w:pPr>
        <w:pStyle w:val="Normal1linespace"/>
        <w:sectPr w:rsidR="00395B24" w:rsidSect="001F2473">
          <w:footerReference w:type="defaul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7901832F"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11ED023" w14:textId="77777777" w:rsidTr="00E81DA6">
        <w:tc>
          <w:tcPr>
            <w:tcW w:w="6912" w:type="dxa"/>
            <w:gridSpan w:val="2"/>
          </w:tcPr>
          <w:p w14:paraId="4A12AA25" w14:textId="77777777" w:rsidR="00A46CCC" w:rsidRPr="001765E0" w:rsidRDefault="00A46CCC" w:rsidP="00525A49">
            <w:pPr>
              <w:pStyle w:val="NormalHeadings"/>
            </w:pPr>
          </w:p>
        </w:tc>
        <w:tc>
          <w:tcPr>
            <w:tcW w:w="2330" w:type="dxa"/>
          </w:tcPr>
          <w:p w14:paraId="491621E3" w14:textId="77777777" w:rsidR="00A46CCC" w:rsidRDefault="00031C9E" w:rsidP="00F92355">
            <w:pPr>
              <w:pStyle w:val="NormalHeadings"/>
              <w:jc w:val="right"/>
            </w:pPr>
            <w:bookmarkStart w:id="11" w:name="FileNo"/>
            <w:r>
              <w:t>NSD 78 of 2021</w:t>
            </w:r>
            <w:bookmarkEnd w:id="11"/>
          </w:p>
        </w:tc>
      </w:tr>
      <w:tr w:rsidR="00A76C13" w14:paraId="652DB17B" w14:textId="77777777" w:rsidTr="003740C5">
        <w:tc>
          <w:tcPr>
            <w:tcW w:w="9242" w:type="dxa"/>
            <w:gridSpan w:val="3"/>
          </w:tcPr>
          <w:p w14:paraId="4623C447" w14:textId="77777777" w:rsidR="00A76C13" w:rsidRPr="00A76C13" w:rsidRDefault="00031C9E" w:rsidP="00031C9E">
            <w:pPr>
              <w:pStyle w:val="NormalHeadings"/>
              <w:jc w:val="left"/>
            </w:pPr>
            <w:bookmarkStart w:id="12" w:name="InTheMatterOf"/>
            <w:r>
              <w:t xml:space="preserve"> </w:t>
            </w:r>
            <w:bookmarkEnd w:id="12"/>
          </w:p>
        </w:tc>
      </w:tr>
      <w:tr w:rsidR="00A46CCC" w14:paraId="646BDA3E" w14:textId="77777777" w:rsidTr="003740C5">
        <w:trPr>
          <w:trHeight w:val="386"/>
        </w:trPr>
        <w:tc>
          <w:tcPr>
            <w:tcW w:w="2376" w:type="dxa"/>
          </w:tcPr>
          <w:p w14:paraId="24FEA5C9" w14:textId="77777777" w:rsidR="00A46CCC" w:rsidRDefault="00A46CCC" w:rsidP="003740C5">
            <w:pPr>
              <w:pStyle w:val="NormalHeadings"/>
              <w:jc w:val="left"/>
              <w:rPr>
                <w:caps/>
                <w:szCs w:val="24"/>
              </w:rPr>
            </w:pPr>
            <w:bookmarkStart w:id="13" w:name="Parties"/>
            <w:r>
              <w:rPr>
                <w:caps/>
                <w:szCs w:val="24"/>
              </w:rPr>
              <w:t>BETWEEN:</w:t>
            </w:r>
          </w:p>
        </w:tc>
        <w:tc>
          <w:tcPr>
            <w:tcW w:w="6866" w:type="dxa"/>
            <w:gridSpan w:val="2"/>
          </w:tcPr>
          <w:p w14:paraId="582ACB49" w14:textId="0EACB002" w:rsidR="00031C9E" w:rsidRDefault="00031C9E" w:rsidP="00031C9E">
            <w:pPr>
              <w:pStyle w:val="NormalHeadings"/>
              <w:jc w:val="left"/>
            </w:pPr>
            <w:bookmarkStart w:id="14" w:name="Applicant"/>
            <w:r>
              <w:t>ROBERT GORDON MULLEY</w:t>
            </w:r>
          </w:p>
          <w:p w14:paraId="7CC5A35B" w14:textId="77777777" w:rsidR="00031C9E" w:rsidRDefault="00031C9E" w:rsidP="00031C9E">
            <w:pPr>
              <w:pStyle w:val="PartyType"/>
            </w:pPr>
            <w:r>
              <w:t>Applicant</w:t>
            </w:r>
          </w:p>
          <w:bookmarkEnd w:id="14"/>
          <w:p w14:paraId="4518D338" w14:textId="77777777" w:rsidR="00A46CCC" w:rsidRPr="006555B4" w:rsidRDefault="00A46CCC" w:rsidP="003740C5">
            <w:pPr>
              <w:pStyle w:val="NormalHeadings"/>
              <w:jc w:val="left"/>
            </w:pPr>
          </w:p>
        </w:tc>
      </w:tr>
      <w:tr w:rsidR="00A46CCC" w14:paraId="7C2D7D2C" w14:textId="77777777" w:rsidTr="003740C5">
        <w:trPr>
          <w:trHeight w:val="386"/>
        </w:trPr>
        <w:tc>
          <w:tcPr>
            <w:tcW w:w="2376" w:type="dxa"/>
          </w:tcPr>
          <w:p w14:paraId="18A060A1" w14:textId="77777777" w:rsidR="00A46CCC" w:rsidRDefault="00A46CCC" w:rsidP="003740C5">
            <w:pPr>
              <w:pStyle w:val="NormalHeadings"/>
              <w:jc w:val="left"/>
              <w:rPr>
                <w:caps/>
                <w:szCs w:val="24"/>
              </w:rPr>
            </w:pPr>
            <w:r>
              <w:rPr>
                <w:caps/>
                <w:szCs w:val="24"/>
              </w:rPr>
              <w:t>AND:</w:t>
            </w:r>
          </w:p>
        </w:tc>
        <w:tc>
          <w:tcPr>
            <w:tcW w:w="6866" w:type="dxa"/>
            <w:gridSpan w:val="2"/>
          </w:tcPr>
          <w:p w14:paraId="5BA7CDBD" w14:textId="0CEB77D6" w:rsidR="00031C9E" w:rsidRDefault="00031C9E" w:rsidP="00031C9E">
            <w:pPr>
              <w:pStyle w:val="NormalHeadings"/>
              <w:jc w:val="left"/>
            </w:pPr>
            <w:bookmarkStart w:id="15" w:name="Respondent"/>
            <w:r>
              <w:t>WARREN HAYES</w:t>
            </w:r>
          </w:p>
          <w:p w14:paraId="4F8CAFEA" w14:textId="77777777" w:rsidR="00031C9E" w:rsidRDefault="00031C9E" w:rsidP="00031C9E">
            <w:pPr>
              <w:pStyle w:val="PartyType"/>
            </w:pPr>
            <w:r>
              <w:t>Respondent</w:t>
            </w:r>
          </w:p>
          <w:bookmarkEnd w:id="15"/>
          <w:p w14:paraId="63457F32" w14:textId="77777777" w:rsidR="00A46CCC" w:rsidRPr="006555B4" w:rsidRDefault="00A46CCC" w:rsidP="003740C5">
            <w:pPr>
              <w:pStyle w:val="NormalHeadings"/>
              <w:jc w:val="left"/>
            </w:pPr>
          </w:p>
        </w:tc>
      </w:tr>
    </w:tbl>
    <w:p w14:paraId="78280348"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7514D0F9" w14:textId="77777777">
        <w:tc>
          <w:tcPr>
            <w:tcW w:w="2376" w:type="dxa"/>
          </w:tcPr>
          <w:p w14:paraId="3212DC90"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18A46073" w14:textId="77777777" w:rsidR="00395B24" w:rsidRDefault="00031C9E">
            <w:pPr>
              <w:pStyle w:val="NormalHeadings"/>
              <w:jc w:val="left"/>
              <w:rPr>
                <w:caps/>
                <w:szCs w:val="24"/>
              </w:rPr>
            </w:pPr>
            <w:bookmarkStart w:id="18" w:name="Judge"/>
            <w:r>
              <w:rPr>
                <w:caps/>
                <w:szCs w:val="24"/>
              </w:rPr>
              <w:t>LEE J</w:t>
            </w:r>
            <w:bookmarkEnd w:id="18"/>
          </w:p>
        </w:tc>
      </w:tr>
      <w:tr w:rsidR="00395B24" w14:paraId="0BF12468" w14:textId="77777777">
        <w:tc>
          <w:tcPr>
            <w:tcW w:w="2376" w:type="dxa"/>
          </w:tcPr>
          <w:p w14:paraId="3AA1DF50" w14:textId="77777777" w:rsidR="00395B24" w:rsidRDefault="002C7385">
            <w:pPr>
              <w:pStyle w:val="NormalHeadings"/>
              <w:spacing w:after="120"/>
              <w:jc w:val="left"/>
              <w:rPr>
                <w:caps/>
                <w:szCs w:val="24"/>
              </w:rPr>
            </w:pPr>
            <w:r>
              <w:rPr>
                <w:caps/>
                <w:szCs w:val="24"/>
              </w:rPr>
              <w:t>DATE OF ORDER:</w:t>
            </w:r>
          </w:p>
        </w:tc>
        <w:tc>
          <w:tcPr>
            <w:tcW w:w="6866" w:type="dxa"/>
          </w:tcPr>
          <w:p w14:paraId="6F00C777" w14:textId="3697ED28" w:rsidR="00395B24" w:rsidRDefault="00020925" w:rsidP="002B6873">
            <w:pPr>
              <w:pStyle w:val="NormalHeadings"/>
              <w:jc w:val="left"/>
              <w:rPr>
                <w:caps/>
                <w:szCs w:val="24"/>
              </w:rPr>
            </w:pPr>
            <w:bookmarkStart w:id="19" w:name="Judgment_Dated"/>
            <w:r>
              <w:rPr>
                <w:caps/>
                <w:szCs w:val="24"/>
              </w:rPr>
              <w:t>1</w:t>
            </w:r>
            <w:r w:rsidR="003265FE">
              <w:rPr>
                <w:caps/>
                <w:szCs w:val="24"/>
              </w:rPr>
              <w:t>3</w:t>
            </w:r>
            <w:r w:rsidR="002B6873">
              <w:rPr>
                <w:caps/>
                <w:szCs w:val="24"/>
              </w:rPr>
              <w:t xml:space="preserve"> September 2021</w:t>
            </w:r>
            <w:bookmarkEnd w:id="19"/>
          </w:p>
        </w:tc>
      </w:tr>
    </w:tbl>
    <w:p w14:paraId="3D0E6D24" w14:textId="77777777" w:rsidR="00395B24" w:rsidRDefault="00395B24">
      <w:pPr>
        <w:pStyle w:val="NormalHeadings"/>
        <w:rPr>
          <w:b w:val="0"/>
        </w:rPr>
      </w:pPr>
    </w:p>
    <w:p w14:paraId="6D7DE33B" w14:textId="77777777" w:rsidR="008D1617" w:rsidRDefault="008D1617">
      <w:pPr>
        <w:pStyle w:val="NormalHeadings"/>
        <w:rPr>
          <w:b w:val="0"/>
        </w:rPr>
      </w:pPr>
    </w:p>
    <w:p w14:paraId="11833085" w14:textId="77777777" w:rsidR="00395B24" w:rsidRDefault="002C7385">
      <w:pPr>
        <w:pStyle w:val="NormalHeadings"/>
      </w:pPr>
      <w:r>
        <w:t>THE COURT ORDERS THAT:</w:t>
      </w:r>
    </w:p>
    <w:p w14:paraId="70E908F3" w14:textId="77777777" w:rsidR="007F60DF" w:rsidRDefault="007F60DF" w:rsidP="00243E5E">
      <w:pPr>
        <w:pStyle w:val="NormalHeadings"/>
      </w:pPr>
    </w:p>
    <w:p w14:paraId="386E9912" w14:textId="361F906B" w:rsidR="005465A6" w:rsidRDefault="005465A6" w:rsidP="00CF5AED">
      <w:pPr>
        <w:pStyle w:val="Order1"/>
      </w:pPr>
      <w:r w:rsidRPr="005465A6">
        <w:t>The separat</w:t>
      </w:r>
      <w:r>
        <w:t>e question identified by Order 1</w:t>
      </w:r>
      <w:r w:rsidRPr="005465A6">
        <w:t xml:space="preserve"> of the orders made on 16 March 2021 be answered as follows: </w:t>
      </w:r>
    </w:p>
    <w:p w14:paraId="47FBDE69" w14:textId="1D1E780B" w:rsidR="00DF03AA" w:rsidRPr="00452339" w:rsidRDefault="00452339" w:rsidP="00CF5AED">
      <w:pPr>
        <w:pStyle w:val="Order1"/>
        <w:numPr>
          <w:ilvl w:val="0"/>
          <w:numId w:val="0"/>
        </w:numPr>
        <w:ind w:left="1440" w:right="1230"/>
        <w:rPr>
          <w:i/>
        </w:rPr>
      </w:pPr>
      <w:r w:rsidRPr="00452339">
        <w:rPr>
          <w:i/>
        </w:rPr>
        <w:t xml:space="preserve">Yes, </w:t>
      </w:r>
      <w:r w:rsidR="00A82F23" w:rsidRPr="00452339">
        <w:rPr>
          <w:i/>
        </w:rPr>
        <w:t>the</w:t>
      </w:r>
      <w:r w:rsidR="00196130">
        <w:rPr>
          <w:i/>
        </w:rPr>
        <w:t xml:space="preserve"> jurisdiction of the</w:t>
      </w:r>
      <w:r w:rsidR="00A82F23" w:rsidRPr="00452339">
        <w:rPr>
          <w:i/>
        </w:rPr>
        <w:t xml:space="preserve"> </w:t>
      </w:r>
      <w:r w:rsidR="00020925">
        <w:rPr>
          <w:i/>
        </w:rPr>
        <w:t xml:space="preserve">Federal Court of Australia has </w:t>
      </w:r>
      <w:r w:rsidR="00196130" w:rsidRPr="00196130">
        <w:rPr>
          <w:i/>
        </w:rPr>
        <w:t>been properly invoked</w:t>
      </w:r>
      <w:r w:rsidR="00A82F23" w:rsidRPr="00452339">
        <w:rPr>
          <w:i/>
        </w:rPr>
        <w:t>.</w:t>
      </w:r>
    </w:p>
    <w:p w14:paraId="77F69529" w14:textId="0CB15AD2" w:rsidR="001A6C52" w:rsidRDefault="00DF03AA" w:rsidP="00CF5AED">
      <w:pPr>
        <w:pStyle w:val="Order1"/>
      </w:pPr>
      <w:r w:rsidRPr="00DF03AA">
        <w:t xml:space="preserve">The respondent pay the applicant’s costs of the </w:t>
      </w:r>
      <w:r w:rsidR="00BE7DAF">
        <w:t xml:space="preserve">hearing of the </w:t>
      </w:r>
      <w:r w:rsidR="005B6CDB">
        <w:t>separate q</w:t>
      </w:r>
      <w:r>
        <w:t xml:space="preserve">uestion. </w:t>
      </w:r>
    </w:p>
    <w:p w14:paraId="5243345D" w14:textId="23E84896" w:rsidR="001B07EE" w:rsidRDefault="001B07EE" w:rsidP="00CF5AED">
      <w:pPr>
        <w:pStyle w:val="Order1"/>
      </w:pPr>
      <w:r>
        <w:t>The proceeding be listed for a case management hearing at 2.15pm on 23 September 2021.</w:t>
      </w:r>
    </w:p>
    <w:p w14:paraId="49C534A3" w14:textId="77777777" w:rsidR="00A431E6" w:rsidRDefault="00A431E6" w:rsidP="001A6C52">
      <w:pPr>
        <w:pStyle w:val="BodyText"/>
      </w:pPr>
    </w:p>
    <w:p w14:paraId="2D813D0A" w14:textId="77777777" w:rsidR="0050309C" w:rsidRDefault="00031C9E"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520F6AB8" w14:textId="77777777" w:rsidR="009D328D" w:rsidRDefault="009D328D" w:rsidP="002B0E91">
      <w:pPr>
        <w:pStyle w:val="BodyText"/>
      </w:pPr>
    </w:p>
    <w:p w14:paraId="347DF6A0" w14:textId="77777777" w:rsidR="00395B24" w:rsidRDefault="00395B24">
      <w:pPr>
        <w:pStyle w:val="NormalHeadings"/>
        <w:spacing w:before="240" w:after="120"/>
        <w:rPr>
          <w:b w:val="0"/>
        </w:rPr>
      </w:pPr>
    </w:p>
    <w:p w14:paraId="5F6B3389" w14:textId="77777777" w:rsidR="003D1BFB" w:rsidRDefault="003D1BFB">
      <w:pPr>
        <w:pStyle w:val="NormalHeadings"/>
        <w:spacing w:before="240" w:after="120"/>
        <w:rPr>
          <w:b w:val="0"/>
        </w:rPr>
      </w:pPr>
    </w:p>
    <w:p w14:paraId="0AF1D284" w14:textId="1DDF98A1" w:rsidR="00E13430" w:rsidRDefault="00E13430" w:rsidP="002E7181">
      <w:pPr>
        <w:pStyle w:val="NormalHeadings"/>
        <w:spacing w:before="240" w:after="120"/>
        <w:rPr>
          <w:b w:val="0"/>
          <w:noProof/>
          <w:lang w:eastAsia="en-AU"/>
        </w:rPr>
      </w:pPr>
    </w:p>
    <w:p w14:paraId="7A25C1AE" w14:textId="77777777" w:rsidR="00E13430" w:rsidRDefault="00E13430" w:rsidP="002E7181">
      <w:pPr>
        <w:pStyle w:val="NormalHeadings"/>
        <w:spacing w:before="240" w:after="120"/>
        <w:rPr>
          <w:b w:val="0"/>
          <w:noProof/>
          <w:lang w:eastAsia="en-AU"/>
        </w:rPr>
      </w:pPr>
    </w:p>
    <w:p w14:paraId="1584251A" w14:textId="77777777" w:rsidR="00E13430" w:rsidRDefault="00E13430" w:rsidP="002E7181">
      <w:pPr>
        <w:pStyle w:val="NormalHeadings"/>
        <w:spacing w:before="240" w:after="120"/>
        <w:rPr>
          <w:b w:val="0"/>
          <w:noProof/>
          <w:lang w:eastAsia="en-AU"/>
        </w:rPr>
      </w:pPr>
    </w:p>
    <w:p w14:paraId="099017B6" w14:textId="17848761" w:rsidR="00E13430" w:rsidRDefault="00E13430" w:rsidP="002E7181">
      <w:pPr>
        <w:pStyle w:val="NormalHeadings"/>
        <w:spacing w:before="240" w:after="120"/>
        <w:rPr>
          <w:b w:val="0"/>
          <w:noProof/>
          <w:lang w:eastAsia="en-AU"/>
        </w:rPr>
      </w:pPr>
    </w:p>
    <w:p w14:paraId="74EFAF0D" w14:textId="3185D151" w:rsidR="001B07EE" w:rsidRDefault="001B07EE">
      <w:pPr>
        <w:rPr>
          <w:rFonts w:eastAsia="Batang"/>
          <w:noProof/>
          <w:szCs w:val="20"/>
          <w:lang w:eastAsia="en-AU"/>
        </w:rPr>
      </w:pPr>
      <w:r>
        <w:rPr>
          <w:b/>
          <w:noProof/>
          <w:lang w:eastAsia="en-AU"/>
        </w:rPr>
        <w:br w:type="page"/>
      </w:r>
    </w:p>
    <w:p w14:paraId="75BBD7D4" w14:textId="77777777" w:rsidR="00E13430" w:rsidRDefault="00E13430" w:rsidP="002E7181">
      <w:pPr>
        <w:pStyle w:val="NormalHeadings"/>
        <w:spacing w:before="240" w:after="120"/>
        <w:rPr>
          <w:b w:val="0"/>
          <w:noProof/>
          <w:lang w:eastAsia="en-AU"/>
        </w:rPr>
      </w:pPr>
    </w:p>
    <w:p w14:paraId="7A080835"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t>REASONS FOR JUDGMENT</w:t>
      </w:r>
    </w:p>
    <w:p w14:paraId="668F8A98" w14:textId="7D9B4AF9" w:rsidR="00AF035D" w:rsidRDefault="00B57747" w:rsidP="005E0510">
      <w:pPr>
        <w:pStyle w:val="NormalHeadings"/>
        <w:spacing w:line="360" w:lineRule="auto"/>
        <w:jc w:val="left"/>
        <w:rPr>
          <w:sz w:val="26"/>
          <w:szCs w:val="26"/>
        </w:rPr>
      </w:pPr>
      <w:r>
        <w:rPr>
          <w:sz w:val="26"/>
          <w:szCs w:val="26"/>
        </w:rPr>
        <w:t>LEE</w:t>
      </w:r>
      <w:r w:rsidR="00D81565">
        <w:rPr>
          <w:sz w:val="26"/>
          <w:szCs w:val="26"/>
        </w:rPr>
        <w:t xml:space="preserve"> J</w:t>
      </w:r>
      <w:r>
        <w:rPr>
          <w:sz w:val="26"/>
          <w:szCs w:val="26"/>
        </w:rPr>
        <w:t>:</w:t>
      </w:r>
    </w:p>
    <w:p w14:paraId="430C96CE" w14:textId="77777777" w:rsidR="00677914" w:rsidRDefault="00125266" w:rsidP="00677914">
      <w:pPr>
        <w:pStyle w:val="Heading1"/>
      </w:pPr>
      <w:bookmarkStart w:id="22" w:name="_Ref82003791"/>
      <w:r>
        <w:t>A</w:t>
      </w:r>
      <w:r>
        <w:tab/>
      </w:r>
      <w:r w:rsidR="00677914">
        <w:t>INTRODUCTION</w:t>
      </w:r>
      <w:r w:rsidR="006D02D5">
        <w:t xml:space="preserve"> and BACKGROUND</w:t>
      </w:r>
      <w:bookmarkEnd w:id="22"/>
    </w:p>
    <w:p w14:paraId="55024330" w14:textId="4F1EA548" w:rsidR="00677914" w:rsidRDefault="00677914" w:rsidP="006632FA">
      <w:pPr>
        <w:pStyle w:val="ParaNumbering"/>
        <w:ind w:left="0"/>
      </w:pPr>
      <w:r>
        <w:t xml:space="preserve">This matter raises novel issues </w:t>
      </w:r>
      <w:r w:rsidR="00A431E3">
        <w:t>as</w:t>
      </w:r>
      <w:r>
        <w:t xml:space="preserve"> to the metes and bound</w:t>
      </w:r>
      <w:r w:rsidR="00D341C3">
        <w:t>s of this Court’s jurisdiction.</w:t>
      </w:r>
      <w:r>
        <w:t xml:space="preserve"> I have previously had occasion to consider the jurisdiction of the Court in what is sometimes described as </w:t>
      </w:r>
      <w:r w:rsidR="004D73B4">
        <w:t xml:space="preserve">a </w:t>
      </w:r>
      <w:r>
        <w:t>“pure” defamation matter</w:t>
      </w:r>
      <w:r w:rsidR="00C610B1">
        <w:t>;</w:t>
      </w:r>
      <w:r w:rsidR="00C31840">
        <w:t xml:space="preserve"> </w:t>
      </w:r>
      <w:r w:rsidR="003740C5">
        <w:t>but</w:t>
      </w:r>
      <w:r w:rsidR="00C610B1">
        <w:t>,</w:t>
      </w:r>
      <w:r w:rsidR="003740C5">
        <w:t xml:space="preserve"> for </w:t>
      </w:r>
      <w:r w:rsidR="005A03C5">
        <w:t>reasons that will become evident</w:t>
      </w:r>
      <w:r w:rsidR="00A431E3">
        <w:t>,</w:t>
      </w:r>
      <w:r w:rsidR="005A03C5">
        <w:t xml:space="preserve"> </w:t>
      </w:r>
      <w:r w:rsidR="00A431E3">
        <w:t xml:space="preserve">the present </w:t>
      </w:r>
      <w:r w:rsidR="005A03C5">
        <w:t xml:space="preserve">proceeding </w:t>
      </w:r>
      <w:r w:rsidR="00A431E3">
        <w:t>can</w:t>
      </w:r>
      <w:r w:rsidR="00BF4F31">
        <w:t>not</w:t>
      </w:r>
      <w:r w:rsidR="00A431E3">
        <w:t xml:space="preserve"> be accurately characterised </w:t>
      </w:r>
      <w:r w:rsidR="005A03C5">
        <w:t>as a “pure” defamation proceeding.</w:t>
      </w:r>
      <w:r w:rsidR="000354A8">
        <w:t xml:space="preserve"> </w:t>
      </w:r>
    </w:p>
    <w:p w14:paraId="45266701" w14:textId="6CC7A08A" w:rsidR="00566BD0" w:rsidRDefault="000354A8" w:rsidP="00E11EA0">
      <w:pPr>
        <w:pStyle w:val="ParaNumbering"/>
        <w:ind w:left="0"/>
      </w:pPr>
      <w:r>
        <w:t>A</w:t>
      </w:r>
      <w:r w:rsidR="00596A5D">
        <w:t xml:space="preserve"> </w:t>
      </w:r>
      <w:r w:rsidR="00A37BAD">
        <w:t xml:space="preserve">preliminary </w:t>
      </w:r>
      <w:r>
        <w:t xml:space="preserve">point </w:t>
      </w:r>
      <w:r w:rsidR="00A37BAD">
        <w:t>should be made</w:t>
      </w:r>
      <w:r>
        <w:t xml:space="preserve">. </w:t>
      </w:r>
      <w:r w:rsidR="004F7FD1">
        <w:t>The vast bulk of</w:t>
      </w:r>
      <w:r>
        <w:t xml:space="preserve"> disputes as to this Court’s subject</w:t>
      </w:r>
      <w:r w:rsidR="00837F3D">
        <w:t>-matter</w:t>
      </w:r>
      <w:r>
        <w:t xml:space="preserve"> jurisdiction are determined by </w:t>
      </w:r>
      <w:r w:rsidR="00E11EA0">
        <w:t xml:space="preserve">simply </w:t>
      </w:r>
      <w:r>
        <w:t xml:space="preserve">ascertaining whether the </w:t>
      </w:r>
      <w:r w:rsidR="00C96D88">
        <w:t>proceeding</w:t>
      </w:r>
      <w:r>
        <w:t xml:space="preserve"> is in federal jurisdiction</w:t>
      </w:r>
      <w:r w:rsidR="00C96D88">
        <w:t>. T</w:t>
      </w:r>
      <w:r>
        <w:t>his is because</w:t>
      </w:r>
      <w:r w:rsidR="00837F3D">
        <w:t xml:space="preserve">, </w:t>
      </w:r>
      <w:r w:rsidR="00C96D88">
        <w:t xml:space="preserve">as explained below, for </w:t>
      </w:r>
      <w:r>
        <w:t xml:space="preserve">almost a quarter of a century, this </w:t>
      </w:r>
      <w:r w:rsidR="000F48F7">
        <w:t xml:space="preserve">Court </w:t>
      </w:r>
      <w:r>
        <w:t xml:space="preserve">has been </w:t>
      </w:r>
      <w:r w:rsidR="000F48F7">
        <w:t>one</w:t>
      </w:r>
      <w:r>
        <w:t xml:space="preserve"> of general federal jurisdiction in civil matters.</w:t>
      </w:r>
      <w:r w:rsidR="001173A2">
        <w:t xml:space="preserve"> </w:t>
      </w:r>
      <w:r>
        <w:t xml:space="preserve">But this is a different case. </w:t>
      </w:r>
      <w:r w:rsidR="00C96D88">
        <w:t>The applicant is resident in New South Wales and the respondent is resident in Queensla</w:t>
      </w:r>
      <w:r w:rsidR="00B35061">
        <w:t>nd.</w:t>
      </w:r>
      <w:r w:rsidR="001173A2">
        <w:t xml:space="preserve"> </w:t>
      </w:r>
      <w:r w:rsidR="00B35061">
        <w:t xml:space="preserve">Both are natural persons. </w:t>
      </w:r>
      <w:r w:rsidR="00C96D88">
        <w:t xml:space="preserve">It follows that </w:t>
      </w:r>
      <w:r w:rsidR="00566BD0">
        <w:t xml:space="preserve">there is </w:t>
      </w:r>
      <w:r w:rsidR="00566BD0" w:rsidRPr="00566BD0">
        <w:t>a matter between residents of different States within the meaning of s 75(iv) of the </w:t>
      </w:r>
      <w:r w:rsidR="00566BD0" w:rsidRPr="00566BD0">
        <w:rPr>
          <w:i/>
        </w:rPr>
        <w:t>Constitution</w:t>
      </w:r>
      <w:r w:rsidR="00BF4F31">
        <w:t xml:space="preserve"> and, as a consequence, </w:t>
      </w:r>
      <w:r w:rsidR="00566BD0">
        <w:t xml:space="preserve">this matter </w:t>
      </w:r>
      <w:r w:rsidR="00BF4F31">
        <w:t xml:space="preserve">is </w:t>
      </w:r>
      <w:r w:rsidR="000F48F7">
        <w:t xml:space="preserve">indubitably </w:t>
      </w:r>
      <w:r w:rsidR="00722C50">
        <w:t>in federal jurisdiction.</w:t>
      </w:r>
      <w:r w:rsidR="00BF4F31">
        <w:t xml:space="preserve"> But</w:t>
      </w:r>
      <w:r w:rsidR="00566BD0">
        <w:t xml:space="preserve"> </w:t>
      </w:r>
      <w:r w:rsidR="004F7FD1">
        <w:t>this is not an answer to whether this Court has authority to decide</w:t>
      </w:r>
      <w:r w:rsidR="00095F23">
        <w:t xml:space="preserve"> the matter</w:t>
      </w:r>
      <w:r w:rsidR="004F7FD1">
        <w:t xml:space="preserve"> because </w:t>
      </w:r>
      <w:r w:rsidR="00566BD0" w:rsidRPr="00566BD0">
        <w:t xml:space="preserve">there is no </w:t>
      </w:r>
      <w:r w:rsidR="00A37BAD">
        <w:t xml:space="preserve">general </w:t>
      </w:r>
      <w:r w:rsidR="00566BD0" w:rsidRPr="00566BD0">
        <w:t xml:space="preserve">conferral of </w:t>
      </w:r>
      <w:r w:rsidR="00566BD0">
        <w:t xml:space="preserve">this </w:t>
      </w:r>
      <w:r w:rsidR="00566BD0" w:rsidRPr="00566BD0">
        <w:t>diversity jurisdiction on the Federal Court</w:t>
      </w:r>
      <w:r w:rsidR="00566BD0">
        <w:t xml:space="preserve">. </w:t>
      </w:r>
      <w:r w:rsidR="00355CD7">
        <w:t>There are</w:t>
      </w:r>
      <w:r w:rsidR="00A37BAD">
        <w:t>, of course,</w:t>
      </w:r>
      <w:r w:rsidR="00355CD7">
        <w:t xml:space="preserve"> other examples w</w:t>
      </w:r>
      <w:r w:rsidR="00641B60">
        <w:t>h</w:t>
      </w:r>
      <w:r w:rsidR="00355CD7">
        <w:t xml:space="preserve">ere this Court lacks jurisdiction in </w:t>
      </w:r>
      <w:r w:rsidR="00E11EA0">
        <w:t xml:space="preserve">a federal matter </w:t>
      </w:r>
      <w:r w:rsidR="00C84204" w:rsidRPr="00E11EA0">
        <w:t xml:space="preserve">because a law </w:t>
      </w:r>
      <w:r w:rsidR="00355CD7">
        <w:t xml:space="preserve">enacted pursuant to s </w:t>
      </w:r>
      <w:r w:rsidR="00C84204" w:rsidRPr="00E11EA0">
        <w:t>77(ii)</w:t>
      </w:r>
      <w:r w:rsidR="00355CD7">
        <w:t xml:space="preserve"> of the </w:t>
      </w:r>
      <w:r w:rsidR="00C84204" w:rsidRPr="00E11EA0">
        <w:rPr>
          <w:i/>
          <w:iCs/>
        </w:rPr>
        <w:t>Constitution</w:t>
      </w:r>
      <w:r w:rsidR="00355CD7">
        <w:rPr>
          <w:i/>
          <w:iCs/>
        </w:rPr>
        <w:t xml:space="preserve"> </w:t>
      </w:r>
      <w:r w:rsidR="00C84204" w:rsidRPr="00E11EA0">
        <w:t>mak</w:t>
      </w:r>
      <w:r w:rsidR="00E11EA0">
        <w:t>es</w:t>
      </w:r>
      <w:r w:rsidR="00355CD7">
        <w:t xml:space="preserve"> the </w:t>
      </w:r>
      <w:r w:rsidR="00C84204" w:rsidRPr="00E11EA0">
        <w:t>juris</w:t>
      </w:r>
      <w:r w:rsidR="00355CD7">
        <w:t xml:space="preserve">diction of another federal </w:t>
      </w:r>
      <w:r w:rsidR="00C84204" w:rsidRPr="00E11EA0">
        <w:t>court exclusive, but th</w:t>
      </w:r>
      <w:r w:rsidR="006B1752">
        <w:t xml:space="preserve">ese aspects of federal jurisdiction </w:t>
      </w:r>
      <w:r w:rsidR="00C84204" w:rsidRPr="00E11EA0">
        <w:t>need not detain us.</w:t>
      </w:r>
      <w:r w:rsidR="001173A2">
        <w:t xml:space="preserve"> </w:t>
      </w:r>
      <w:r w:rsidR="00E11EA0" w:rsidRPr="00E11EA0">
        <w:t xml:space="preserve">I simply make the point to emphasise that the </w:t>
      </w:r>
      <w:r w:rsidR="00566BD0">
        <w:t>question that arises in this case is not simply whether there is a matter in federal jurisdiction</w:t>
      </w:r>
      <w:r w:rsidR="004F7FD1">
        <w:t>,</w:t>
      </w:r>
      <w:r w:rsidR="00566BD0">
        <w:t xml:space="preserve"> but rather</w:t>
      </w:r>
      <w:r w:rsidR="00837F3D">
        <w:t xml:space="preserve"> a more precise one: </w:t>
      </w:r>
      <w:r w:rsidR="00566BD0">
        <w:t>whether this is a proceeding relating to a matter</w:t>
      </w:r>
      <w:r w:rsidR="00837F3D">
        <w:t>,</w:t>
      </w:r>
      <w:r w:rsidR="00566BD0">
        <w:t xml:space="preserve"> which attracts the </w:t>
      </w:r>
      <w:r w:rsidR="004F7FD1">
        <w:t xml:space="preserve">subject-matter </w:t>
      </w:r>
      <w:r w:rsidR="00566BD0">
        <w:t>jurisdiction of th</w:t>
      </w:r>
      <w:r w:rsidR="00A37BAD">
        <w:t>e Federal Court</w:t>
      </w:r>
      <w:r w:rsidR="00837F3D">
        <w:t>?</w:t>
      </w:r>
    </w:p>
    <w:p w14:paraId="13E01039" w14:textId="77777777" w:rsidR="00EC3D19" w:rsidRDefault="005A03C5" w:rsidP="006632FA">
      <w:pPr>
        <w:pStyle w:val="ParaNumbering"/>
        <w:ind w:left="0"/>
      </w:pPr>
      <w:r>
        <w:t>Th</w:t>
      </w:r>
      <w:r w:rsidR="00A431E3">
        <w:t>e basal facts are ones that in the age of social media have</w:t>
      </w:r>
      <w:r w:rsidR="00EC3D19">
        <w:t xml:space="preserve"> become common:</w:t>
      </w:r>
      <w:r w:rsidR="00575CC4">
        <w:t xml:space="preserve"> </w:t>
      </w:r>
      <w:r w:rsidR="00EC3D19">
        <w:t>t</w:t>
      </w:r>
      <w:r w:rsidR="00A13FBF">
        <w:t>hey</w:t>
      </w:r>
      <w:r w:rsidR="00BF498A">
        <w:t xml:space="preserve"> involve</w:t>
      </w:r>
      <w:r w:rsidR="00A431E3">
        <w:t xml:space="preserve"> the </w:t>
      </w:r>
      <w:r w:rsidR="00217113">
        <w:t>sending</w:t>
      </w:r>
      <w:r w:rsidR="00A431E3">
        <w:t xml:space="preserve"> of </w:t>
      </w:r>
      <w:r w:rsidR="00575CC4">
        <w:t>message</w:t>
      </w:r>
      <w:r w:rsidR="00A431E3">
        <w:t>s</w:t>
      </w:r>
      <w:r w:rsidR="00575CC4">
        <w:t xml:space="preserve"> on “Facebook Messenger”</w:t>
      </w:r>
      <w:r w:rsidR="00D341C3">
        <w:t>.</w:t>
      </w:r>
      <w:r w:rsidR="00A431E3">
        <w:t xml:space="preserve"> </w:t>
      </w:r>
      <w:r w:rsidR="00EC3D19">
        <w:t>The following</w:t>
      </w:r>
      <w:r w:rsidR="00A82229">
        <w:t xml:space="preserve"> is not in dispute</w:t>
      </w:r>
      <w:r w:rsidR="00EC3D19">
        <w:t xml:space="preserve">: </w:t>
      </w:r>
    </w:p>
    <w:p w14:paraId="1E3AC42E" w14:textId="3664DAFA" w:rsidR="00EC3D19" w:rsidRDefault="00020925" w:rsidP="00EC3D19">
      <w:pPr>
        <w:pStyle w:val="ListNo1"/>
      </w:pPr>
      <w:r>
        <w:t>t</w:t>
      </w:r>
      <w:r w:rsidR="00EC3D19">
        <w:t>he</w:t>
      </w:r>
      <w:r w:rsidR="00A431E3">
        <w:t xml:space="preserve"> </w:t>
      </w:r>
      <w:r w:rsidR="00A431E3" w:rsidRPr="006632FA">
        <w:t>first</w:t>
      </w:r>
      <w:r w:rsidR="00A431E3">
        <w:t xml:space="preserve"> </w:t>
      </w:r>
      <w:r>
        <w:t xml:space="preserve">relevant </w:t>
      </w:r>
      <w:r w:rsidR="00A82229">
        <w:t xml:space="preserve">message </w:t>
      </w:r>
      <w:r w:rsidR="00A431E3">
        <w:t xml:space="preserve">was </w:t>
      </w:r>
      <w:r w:rsidR="00A82229">
        <w:t xml:space="preserve">sent </w:t>
      </w:r>
      <w:r w:rsidR="00A431E3">
        <w:t xml:space="preserve">on 10 January 2020 </w:t>
      </w:r>
      <w:r w:rsidR="00A82229">
        <w:t>by</w:t>
      </w:r>
      <w:r w:rsidR="00575CC4">
        <w:t xml:space="preserve"> the </w:t>
      </w:r>
      <w:r w:rsidR="00A431E3">
        <w:t>respondent, Mr Hayes,</w:t>
      </w:r>
      <w:r w:rsidR="00575CC4">
        <w:t xml:space="preserve"> </w:t>
      </w:r>
      <w:r w:rsidR="00A82229">
        <w:t>to</w:t>
      </w:r>
      <w:r w:rsidR="00575CC4">
        <w:t xml:space="preserve"> </w:t>
      </w:r>
      <w:r w:rsidR="00A431E3">
        <w:t>the applicant, Mr Mulley (</w:t>
      </w:r>
      <w:r w:rsidR="00A431E3" w:rsidRPr="00897CEA">
        <w:rPr>
          <w:b/>
        </w:rPr>
        <w:t>January Message</w:t>
      </w:r>
      <w:r w:rsidR="00A431E3">
        <w:t>)</w:t>
      </w:r>
      <w:r w:rsidR="000F5D9C">
        <w:t>; t</w:t>
      </w:r>
      <w:r w:rsidR="00EC3D19">
        <w:t>he January Message</w:t>
      </w:r>
      <w:r>
        <w:t xml:space="preserve"> was received only by Mr Mulley;</w:t>
      </w:r>
      <w:r w:rsidR="002C003C">
        <w:t xml:space="preserve"> and</w:t>
      </w:r>
    </w:p>
    <w:p w14:paraId="19EC279D" w14:textId="66C6CE9E" w:rsidR="000F5D9C" w:rsidRDefault="00020925" w:rsidP="00EC3D19">
      <w:pPr>
        <w:pStyle w:val="ListNo1"/>
      </w:pPr>
      <w:r>
        <w:t>t</w:t>
      </w:r>
      <w:r w:rsidR="00EC3D19">
        <w:t>he</w:t>
      </w:r>
      <w:r w:rsidR="00A431E3">
        <w:t xml:space="preserve"> </w:t>
      </w:r>
      <w:r w:rsidR="00A431E3" w:rsidRPr="006632FA">
        <w:t>second</w:t>
      </w:r>
      <w:r w:rsidR="00DB59E2">
        <w:t xml:space="preserve"> </w:t>
      </w:r>
      <w:r w:rsidR="00837F3D">
        <w:t>(</w:t>
      </w:r>
      <w:r w:rsidR="00DB59E2">
        <w:t>and only other relevant</w:t>
      </w:r>
      <w:r w:rsidR="00837F3D">
        <w:t>)</w:t>
      </w:r>
      <w:r>
        <w:t xml:space="preserve"> </w:t>
      </w:r>
      <w:r w:rsidR="00A82229">
        <w:t xml:space="preserve">message </w:t>
      </w:r>
      <w:r w:rsidR="00A431E3">
        <w:t xml:space="preserve">was </w:t>
      </w:r>
      <w:r w:rsidR="00A82229">
        <w:t xml:space="preserve">sent </w:t>
      </w:r>
      <w:r w:rsidR="00217113">
        <w:t>on 6 February</w:t>
      </w:r>
      <w:r w:rsidR="00A431E3">
        <w:t xml:space="preserve"> 2020</w:t>
      </w:r>
      <w:r w:rsidR="00A82229">
        <w:t>,</w:t>
      </w:r>
      <w:r w:rsidR="00A431E3">
        <w:t xml:space="preserve"> </w:t>
      </w:r>
      <w:r w:rsidR="00A82229">
        <w:t>by</w:t>
      </w:r>
      <w:r w:rsidR="00A431E3">
        <w:t xml:space="preserve"> Mr Hayes </w:t>
      </w:r>
      <w:r w:rsidR="00A82229">
        <w:t>to</w:t>
      </w:r>
      <w:r w:rsidR="00A431E3">
        <w:t xml:space="preserve"> Mrs Mulley, the wife of Mr Mulley (</w:t>
      </w:r>
      <w:r w:rsidR="00A431E3" w:rsidRPr="00897CEA">
        <w:rPr>
          <w:b/>
        </w:rPr>
        <w:t>February Message</w:t>
      </w:r>
      <w:r w:rsidR="000F5D9C">
        <w:t>); t</w:t>
      </w:r>
      <w:r w:rsidR="006D02D5">
        <w:t>he</w:t>
      </w:r>
      <w:r w:rsidR="00217113">
        <w:t xml:space="preserve"> February Message</w:t>
      </w:r>
      <w:r w:rsidR="00C610B1">
        <w:t xml:space="preserve"> – although</w:t>
      </w:r>
      <w:r w:rsidR="00217113">
        <w:t xml:space="preserve"> </w:t>
      </w:r>
      <w:r w:rsidR="00C610B1">
        <w:t xml:space="preserve">subsequently seen by Mr Mulley – </w:t>
      </w:r>
      <w:r w:rsidR="00217113">
        <w:t xml:space="preserve">was initially published </w:t>
      </w:r>
      <w:r w:rsidR="006D02D5">
        <w:t>only to his</w:t>
      </w:r>
      <w:r w:rsidR="00217113">
        <w:t xml:space="preserve"> wife</w:t>
      </w:r>
      <w:r w:rsidR="00A431E3">
        <w:t>.</w:t>
      </w:r>
      <w:r w:rsidR="00217113">
        <w:t xml:space="preserve"> </w:t>
      </w:r>
    </w:p>
    <w:p w14:paraId="52D866EC" w14:textId="2E4D3BEA" w:rsidR="00A431E3" w:rsidRDefault="000F5D9C" w:rsidP="000F5D9C">
      <w:pPr>
        <w:pStyle w:val="ParaNumbering"/>
        <w:ind w:left="0"/>
      </w:pPr>
      <w:r>
        <w:lastRenderedPageBreak/>
        <w:t xml:space="preserve">A copy of </w:t>
      </w:r>
      <w:r w:rsidR="006D6FF0">
        <w:t>the January Mess</w:t>
      </w:r>
      <w:r>
        <w:t>age and a copy of the February Message are</w:t>
      </w:r>
      <w:r w:rsidR="006D6FF0">
        <w:t xml:space="preserve"> </w:t>
      </w:r>
      <w:r w:rsidR="00D81565">
        <w:t xml:space="preserve">reproduced </w:t>
      </w:r>
      <w:r w:rsidR="00F7353B">
        <w:t>as</w:t>
      </w:r>
      <w:r w:rsidR="006D6FF0">
        <w:t xml:space="preserve"> Annexures A and B to these reasons.</w:t>
      </w:r>
    </w:p>
    <w:p w14:paraId="52F14772" w14:textId="37CD7A24" w:rsidR="00A82229" w:rsidRDefault="00020925" w:rsidP="006632FA">
      <w:pPr>
        <w:pStyle w:val="ParaNumbering"/>
        <w:ind w:left="0"/>
      </w:pPr>
      <w:r>
        <w:t>By way of background, it is worth recording that w</w:t>
      </w:r>
      <w:r w:rsidR="00217113">
        <w:t xml:space="preserve">hen the proceeding </w:t>
      </w:r>
      <w:r w:rsidR="00A82229">
        <w:t>came before me for a first case management hearing (</w:t>
      </w:r>
      <w:r w:rsidR="00A82229" w:rsidRPr="00897CEA">
        <w:rPr>
          <w:b/>
        </w:rPr>
        <w:t>FCMH</w:t>
      </w:r>
      <w:r w:rsidR="00A82229">
        <w:t>) on 5 March 2021,</w:t>
      </w:r>
      <w:r w:rsidR="00217113">
        <w:t xml:space="preserve"> the originating applicati</w:t>
      </w:r>
      <w:r w:rsidR="00C21ED2">
        <w:t>on had one prayer for relief (“[d]</w:t>
      </w:r>
      <w:proofErr w:type="spellStart"/>
      <w:r w:rsidR="00217113">
        <w:t>amages</w:t>
      </w:r>
      <w:proofErr w:type="spellEnd"/>
      <w:r w:rsidR="00217113">
        <w:t xml:space="preserve"> for defamation”) and the statement of claim (</w:t>
      </w:r>
      <w:r w:rsidR="00217113" w:rsidRPr="00897CEA">
        <w:rPr>
          <w:b/>
        </w:rPr>
        <w:t>SOC</w:t>
      </w:r>
      <w:r w:rsidR="00217113">
        <w:t xml:space="preserve">) relied upon </w:t>
      </w:r>
      <w:r w:rsidR="00C21ED2">
        <w:t xml:space="preserve">one allegedly defamatory publication, </w:t>
      </w:r>
      <w:r w:rsidR="00A82229">
        <w:t xml:space="preserve">being the February </w:t>
      </w:r>
      <w:r w:rsidR="00C21ED2">
        <w:t>Message</w:t>
      </w:r>
      <w:r w:rsidR="00A82229">
        <w:t xml:space="preserve"> that had been </w:t>
      </w:r>
      <w:r w:rsidR="00C21ED2">
        <w:t>sent</w:t>
      </w:r>
      <w:r w:rsidR="00A82229">
        <w:t xml:space="preserve"> to Mrs Mulley.</w:t>
      </w:r>
    </w:p>
    <w:p w14:paraId="0D4EC6D8" w14:textId="3133F518" w:rsidR="006525E4" w:rsidRPr="00F02127" w:rsidRDefault="006525E4" w:rsidP="006632FA">
      <w:pPr>
        <w:pStyle w:val="ParaNumbering"/>
        <w:ind w:left="0"/>
      </w:pPr>
      <w:r w:rsidRPr="00F02127">
        <w:t>Mr Mulley is a retired solicitor</w:t>
      </w:r>
      <w:r w:rsidR="003266C0" w:rsidRPr="00F02127">
        <w:t xml:space="preserve">. </w:t>
      </w:r>
      <w:r w:rsidR="00217113" w:rsidRPr="00F02127">
        <w:t xml:space="preserve">At </w:t>
      </w:r>
      <w:r w:rsidRPr="00F02127">
        <w:t xml:space="preserve">the </w:t>
      </w:r>
      <w:r w:rsidR="00A82229" w:rsidRPr="00F02127">
        <w:t>FCMH</w:t>
      </w:r>
      <w:r w:rsidR="00C21ED2" w:rsidRPr="00F02127">
        <w:t>,</w:t>
      </w:r>
      <w:r w:rsidR="00A82229" w:rsidRPr="00F02127">
        <w:t xml:space="preserve"> he</w:t>
      </w:r>
      <w:r w:rsidRPr="00F02127">
        <w:t xml:space="preserve"> told me that during his professional life he worked “almost</w:t>
      </w:r>
      <w:r w:rsidR="00DB59E2">
        <w:t xml:space="preserve"> entirely in indictable crime”: </w:t>
      </w:r>
      <w:r w:rsidRPr="005403D8">
        <w:t>T</w:t>
      </w:r>
      <w:r w:rsidR="00217113" w:rsidRPr="005403D8">
        <w:t>2</w:t>
      </w:r>
      <w:r w:rsidR="00B528F7" w:rsidRPr="005403D8">
        <w:t>.17</w:t>
      </w:r>
      <w:r w:rsidR="00A82229" w:rsidRPr="005403D8">
        <w:t>.</w:t>
      </w:r>
      <w:r w:rsidR="00A82229" w:rsidRPr="00F02127">
        <w:t xml:space="preserve"> </w:t>
      </w:r>
      <w:r w:rsidR="00CB2516" w:rsidRPr="00F02127">
        <w:t xml:space="preserve">I indicated to Mr Mulley </w:t>
      </w:r>
      <w:r w:rsidR="00946F68" w:rsidRPr="00F02127">
        <w:t xml:space="preserve">(at </w:t>
      </w:r>
      <w:r w:rsidR="00946F68" w:rsidRPr="005403D8">
        <w:t>T2</w:t>
      </w:r>
      <w:r w:rsidR="00946F68">
        <w:t>.26–7</w:t>
      </w:r>
      <w:r w:rsidR="00946F68" w:rsidRPr="005403D8">
        <w:t>)</w:t>
      </w:r>
      <w:r w:rsidR="00946F68">
        <w:t xml:space="preserve"> </w:t>
      </w:r>
      <w:r w:rsidR="00CB2516" w:rsidRPr="00F02127">
        <w:t>that it was not “immediately obvious to me</w:t>
      </w:r>
      <w:r w:rsidR="00217113" w:rsidRPr="00F02127">
        <w:t xml:space="preserve">” that the Federal Court </w:t>
      </w:r>
      <w:r w:rsidR="00C21ED2" w:rsidRPr="00F02127">
        <w:t>was</w:t>
      </w:r>
      <w:r w:rsidR="00A82229" w:rsidRPr="00F02127">
        <w:t xml:space="preserve"> seized with</w:t>
      </w:r>
      <w:r w:rsidR="00CB2516" w:rsidRPr="00F02127">
        <w:t xml:space="preserve"> jurisdictio</w:t>
      </w:r>
      <w:r w:rsidR="00A82229" w:rsidRPr="00F02127">
        <w:t>n</w:t>
      </w:r>
      <w:r w:rsidR="004F7FD1">
        <w:t>,</w:t>
      </w:r>
      <w:r w:rsidR="00020925">
        <w:t xml:space="preserve"> and </w:t>
      </w:r>
      <w:r w:rsidR="00CB2516" w:rsidRPr="00F02127">
        <w:t>I entreated hi</w:t>
      </w:r>
      <w:r w:rsidR="00020925">
        <w:t>m to take legal advice as to this issue</w:t>
      </w:r>
      <w:r w:rsidR="00D515C6" w:rsidRPr="00F02127">
        <w:t xml:space="preserve">. Further, I </w:t>
      </w:r>
      <w:r w:rsidR="00020925">
        <w:t>noted that I may</w:t>
      </w:r>
      <w:r w:rsidR="00CB2516" w:rsidRPr="00F02127">
        <w:t xml:space="preserve"> be </w:t>
      </w:r>
      <w:r w:rsidR="00267398" w:rsidRPr="00F02127">
        <w:t>amenable</w:t>
      </w:r>
      <w:r w:rsidR="00CB2516" w:rsidRPr="00F02127">
        <w:t xml:space="preserve"> to </w:t>
      </w:r>
      <w:r w:rsidR="00A82229" w:rsidRPr="00F02127">
        <w:t xml:space="preserve">granting him leave to </w:t>
      </w:r>
      <w:r w:rsidR="00CB2516" w:rsidRPr="00F02127">
        <w:t>discon</w:t>
      </w:r>
      <w:r w:rsidR="00A82229" w:rsidRPr="00F02127">
        <w:t xml:space="preserve">tinue the </w:t>
      </w:r>
      <w:r w:rsidR="00F7353B" w:rsidRPr="00F02127">
        <w:t xml:space="preserve">current </w:t>
      </w:r>
      <w:r w:rsidR="00A82229" w:rsidRPr="00F02127">
        <w:t>proceeding</w:t>
      </w:r>
      <w:r w:rsidR="00CB2516" w:rsidRPr="00F02127">
        <w:t xml:space="preserve"> with no order as to costs </w:t>
      </w:r>
      <w:r w:rsidR="00F7353B" w:rsidRPr="00F02127">
        <w:t>if,</w:t>
      </w:r>
      <w:r w:rsidR="00A82229" w:rsidRPr="00F02127">
        <w:t xml:space="preserve"> upon </w:t>
      </w:r>
      <w:r w:rsidR="00CB2516" w:rsidRPr="00F02127">
        <w:t xml:space="preserve">obtaining advice, </w:t>
      </w:r>
      <w:r w:rsidR="00267398" w:rsidRPr="00F02127">
        <w:t xml:space="preserve">he </w:t>
      </w:r>
      <w:r w:rsidR="00CB2516" w:rsidRPr="00F02127">
        <w:t xml:space="preserve">considered it appropriate to commence a </w:t>
      </w:r>
      <w:r w:rsidR="00F7353B" w:rsidRPr="00F02127">
        <w:t xml:space="preserve">substitute </w:t>
      </w:r>
      <w:r w:rsidR="00CB2516" w:rsidRPr="00F02127">
        <w:t>proceeding in the District Court of New South Wales.</w:t>
      </w:r>
      <w:r w:rsidR="00A82229" w:rsidRPr="00F02127">
        <w:t xml:space="preserve"> I </w:t>
      </w:r>
      <w:r w:rsidR="00D515C6" w:rsidRPr="00F02127">
        <w:t>also</w:t>
      </w:r>
      <w:r w:rsidR="00A82229" w:rsidRPr="00F02127">
        <w:t xml:space="preserve"> noted that if the Court was not seized with jurisdiction</w:t>
      </w:r>
      <w:r w:rsidR="009911CF" w:rsidRPr="00F02127">
        <w:t xml:space="preserve">, </w:t>
      </w:r>
      <w:r w:rsidR="00500857">
        <w:t>it was not apparent that</w:t>
      </w:r>
      <w:r w:rsidR="003266C0" w:rsidRPr="00F02127">
        <w:t xml:space="preserve"> this Court had power to cross</w:t>
      </w:r>
      <w:r w:rsidR="007D2D55">
        <w:t>-</w:t>
      </w:r>
      <w:r w:rsidR="003266C0" w:rsidRPr="00F02127">
        <w:t xml:space="preserve">vest the current proceeding to </w:t>
      </w:r>
      <w:r w:rsidR="00F7353B" w:rsidRPr="00F02127">
        <w:t>the</w:t>
      </w:r>
      <w:r w:rsidR="009911CF" w:rsidRPr="00F02127">
        <w:t xml:space="preserve"> Supreme Court (</w:t>
      </w:r>
      <w:r w:rsidR="003266C0" w:rsidRPr="00F02127">
        <w:t xml:space="preserve">with the possibility that it would </w:t>
      </w:r>
      <w:r w:rsidR="00F7353B" w:rsidRPr="00F02127">
        <w:t xml:space="preserve">thereafter </w:t>
      </w:r>
      <w:r w:rsidR="003266C0" w:rsidRPr="00F02127">
        <w:t>be transferred by t</w:t>
      </w:r>
      <w:r w:rsidR="008F701E" w:rsidRPr="00F02127">
        <w:t>hat Court to the District Court</w:t>
      </w:r>
      <w:r w:rsidR="009911CF" w:rsidRPr="00F02127">
        <w:t>)</w:t>
      </w:r>
      <w:r w:rsidR="003266C0" w:rsidRPr="00F02127">
        <w:t>.</w:t>
      </w:r>
    </w:p>
    <w:p w14:paraId="222F0B8F" w14:textId="1971389B" w:rsidR="003266C0" w:rsidRDefault="00CB2516" w:rsidP="006632FA">
      <w:pPr>
        <w:pStyle w:val="ParaNumbering"/>
        <w:ind w:left="0"/>
      </w:pPr>
      <w:r>
        <w:t>In</w:t>
      </w:r>
      <w:r w:rsidR="00DB59E2">
        <w:t xml:space="preserve"> the</w:t>
      </w:r>
      <w:r>
        <w:t xml:space="preserve"> light of th</w:t>
      </w:r>
      <w:r w:rsidR="00F7353B">
        <w:t>e information I conveyed to Mr Mulley at the FCMH,</w:t>
      </w:r>
      <w:r>
        <w:t xml:space="preserve"> I stood the matter over for </w:t>
      </w:r>
      <w:r w:rsidR="00160D1F">
        <w:t>almost a fortnight</w:t>
      </w:r>
      <w:r>
        <w:t>.</w:t>
      </w:r>
      <w:r w:rsidR="003266C0">
        <w:t xml:space="preserve"> When the matter retu</w:t>
      </w:r>
      <w:r w:rsidR="00F7353B">
        <w:t>r</w:t>
      </w:r>
      <w:r w:rsidR="003266C0">
        <w:t xml:space="preserve">ned for a further case management hearing, </w:t>
      </w:r>
      <w:r w:rsidRPr="00974E44">
        <w:t xml:space="preserve">Mr Mulley </w:t>
      </w:r>
      <w:r w:rsidR="00D515C6">
        <w:t xml:space="preserve">expressly </w:t>
      </w:r>
      <w:r w:rsidRPr="00974E44">
        <w:t xml:space="preserve">informed me that he wished to maintain </w:t>
      </w:r>
      <w:r w:rsidR="00DD5085">
        <w:t>his</w:t>
      </w:r>
      <w:r w:rsidR="003266C0">
        <w:t xml:space="preserve"> proceeding</w:t>
      </w:r>
      <w:r w:rsidR="00D341C3">
        <w:t xml:space="preserve"> in the Federal Court.</w:t>
      </w:r>
      <w:r w:rsidR="003266C0">
        <w:t xml:space="preserve"> Accordingly, </w:t>
      </w:r>
      <w:r w:rsidR="00D515C6">
        <w:t xml:space="preserve">this brought into focus </w:t>
      </w:r>
      <w:r w:rsidR="003266C0">
        <w:t xml:space="preserve">the issue as to whether this Court </w:t>
      </w:r>
      <w:r w:rsidR="00A13FBF">
        <w:t>has</w:t>
      </w:r>
      <w:r w:rsidR="003266C0">
        <w:t xml:space="preserve"> jurisdiction </w:t>
      </w:r>
      <w:r w:rsidR="007A09A0">
        <w:t>to deal with this matter</w:t>
      </w:r>
      <w:r w:rsidR="00020925">
        <w:t>, beyond</w:t>
      </w:r>
      <w:r w:rsidR="007A09A0">
        <w:t xml:space="preserve"> its so-called “preliminary jurisdiction” to deal with the question as to whether the Court has jurisdiction: see </w:t>
      </w:r>
      <w:r w:rsidR="007A09A0" w:rsidRPr="002A23BB">
        <w:rPr>
          <w:i/>
        </w:rPr>
        <w:t xml:space="preserve">Mercator Property Consultants Pty Ltd v Christmas Island Resort Pty </w:t>
      </w:r>
      <w:r w:rsidR="007A09A0">
        <w:rPr>
          <w:i/>
        </w:rPr>
        <w:t>Ltd</w:t>
      </w:r>
      <w:r w:rsidR="007A09A0" w:rsidRPr="002A23BB">
        <w:t xml:space="preserve"> [1999] FCA 1572; (1999) 94 FCR 384</w:t>
      </w:r>
      <w:r w:rsidR="007A09A0">
        <w:t xml:space="preserve"> </w:t>
      </w:r>
      <w:r w:rsidR="00D317AB">
        <w:t>(</w:t>
      </w:r>
      <w:r w:rsidR="007A09A0">
        <w:t>at</w:t>
      </w:r>
      <w:r w:rsidR="00D317AB">
        <w:t xml:space="preserve"> 389</w:t>
      </w:r>
      <w:r w:rsidR="007A09A0">
        <w:t xml:space="preserve"> [20] per French J). </w:t>
      </w:r>
    </w:p>
    <w:p w14:paraId="01DB448B" w14:textId="77777777" w:rsidR="00974E44" w:rsidRDefault="00CB2516" w:rsidP="006632FA">
      <w:pPr>
        <w:pStyle w:val="ParaNumbering"/>
        <w:ind w:left="0"/>
      </w:pPr>
      <w:r w:rsidRPr="00974E44">
        <w:t xml:space="preserve">I </w:t>
      </w:r>
      <w:r w:rsidR="003266C0">
        <w:t xml:space="preserve">then </w:t>
      </w:r>
      <w:r w:rsidRPr="00974E44">
        <w:t xml:space="preserve">indicated to </w:t>
      </w:r>
      <w:r w:rsidR="00F7353B">
        <w:t>the parties</w:t>
      </w:r>
      <w:r w:rsidRPr="00974E44">
        <w:t xml:space="preserve"> that </w:t>
      </w:r>
      <w:r w:rsidR="00974E44" w:rsidRPr="00974E44">
        <w:t xml:space="preserve">it was necessary </w:t>
      </w:r>
      <w:r w:rsidR="00DF762E">
        <w:t>for</w:t>
      </w:r>
      <w:r w:rsidR="00974E44" w:rsidRPr="00974E44">
        <w:t xml:space="preserve"> the issue of jurisdiction to be determined </w:t>
      </w:r>
      <w:r w:rsidR="003266C0">
        <w:t>wit</w:t>
      </w:r>
      <w:r w:rsidR="00E1065D">
        <w:t xml:space="preserve">h alacrity. </w:t>
      </w:r>
      <w:r w:rsidR="00FA64A4">
        <w:t>Hence, o</w:t>
      </w:r>
      <w:r w:rsidR="00974E44">
        <w:t>n 16 March 2021</w:t>
      </w:r>
      <w:r w:rsidR="00FA64A4">
        <w:t>,</w:t>
      </w:r>
      <w:r w:rsidR="00974E44">
        <w:t xml:space="preserve"> I made an order </w:t>
      </w:r>
      <w:r w:rsidR="007F2DBA">
        <w:t xml:space="preserve">that the question of whether the </w:t>
      </w:r>
      <w:r w:rsidR="002A1924">
        <w:t xml:space="preserve">jurisdiction </w:t>
      </w:r>
      <w:r w:rsidR="00A365D3">
        <w:t xml:space="preserve">of the </w:t>
      </w:r>
      <w:r w:rsidR="007F2DBA">
        <w:t xml:space="preserve">Court </w:t>
      </w:r>
      <w:r w:rsidR="00D317AB">
        <w:t>has been</w:t>
      </w:r>
      <w:r w:rsidR="002A1924">
        <w:t xml:space="preserve"> properly </w:t>
      </w:r>
      <w:r w:rsidR="003D1400">
        <w:t>invoked</w:t>
      </w:r>
      <w:r w:rsidR="007F2DBA">
        <w:t xml:space="preserve"> </w:t>
      </w:r>
      <w:r w:rsidR="002A1924">
        <w:t xml:space="preserve">be determined </w:t>
      </w:r>
      <w:r w:rsidR="003D1400">
        <w:t>separately</w:t>
      </w:r>
      <w:r w:rsidR="002A1924">
        <w:t xml:space="preserve"> </w:t>
      </w:r>
      <w:r w:rsidR="00A365D3">
        <w:t xml:space="preserve">and </w:t>
      </w:r>
      <w:r w:rsidR="002A1924">
        <w:t xml:space="preserve">before any other issue in the </w:t>
      </w:r>
      <w:r w:rsidR="003D1400">
        <w:t>proceeding</w:t>
      </w:r>
      <w:r w:rsidR="00CD6E97">
        <w:t xml:space="preserve"> (</w:t>
      </w:r>
      <w:r w:rsidR="00CD6E97" w:rsidRPr="00897CEA">
        <w:rPr>
          <w:b/>
        </w:rPr>
        <w:t>Separate Question</w:t>
      </w:r>
      <w:r w:rsidR="00CD6E97">
        <w:t>)</w:t>
      </w:r>
      <w:r w:rsidR="002A1924">
        <w:t xml:space="preserve"> </w:t>
      </w:r>
      <w:r w:rsidR="003D1400">
        <w:t>pursuant</w:t>
      </w:r>
      <w:r w:rsidR="002A1924">
        <w:t xml:space="preserve"> to s 37</w:t>
      </w:r>
      <w:r w:rsidR="00FA64A4">
        <w:t>P</w:t>
      </w:r>
      <w:r w:rsidR="002A1924">
        <w:t xml:space="preserve"> of the </w:t>
      </w:r>
      <w:r w:rsidR="002A1924" w:rsidRPr="002A23BB">
        <w:rPr>
          <w:i/>
        </w:rPr>
        <w:t>Federal Court of Australia Act 1976</w:t>
      </w:r>
      <w:r w:rsidR="002A1924" w:rsidRPr="002A23BB">
        <w:t xml:space="preserve"> (</w:t>
      </w:r>
      <w:proofErr w:type="spellStart"/>
      <w:r w:rsidR="002A1924" w:rsidRPr="002A23BB">
        <w:t>Cth</w:t>
      </w:r>
      <w:proofErr w:type="spellEnd"/>
      <w:r w:rsidR="002A1924" w:rsidRPr="002A23BB">
        <w:t>)</w:t>
      </w:r>
      <w:r w:rsidR="002A1924">
        <w:t xml:space="preserve"> </w:t>
      </w:r>
      <w:r w:rsidR="00FA64A4">
        <w:t>(</w:t>
      </w:r>
      <w:r w:rsidR="00FA64A4" w:rsidRPr="00897CEA">
        <w:rPr>
          <w:b/>
        </w:rPr>
        <w:t>FCAA</w:t>
      </w:r>
      <w:r w:rsidR="00FA64A4">
        <w:t xml:space="preserve">) </w:t>
      </w:r>
      <w:r w:rsidR="002A1924">
        <w:t xml:space="preserve">and </w:t>
      </w:r>
      <w:r w:rsidR="00765AD3">
        <w:t>r</w:t>
      </w:r>
      <w:r w:rsidR="00FA64A4">
        <w:t xml:space="preserve"> </w:t>
      </w:r>
      <w:r w:rsidR="002A1924">
        <w:t xml:space="preserve">30.01 of the </w:t>
      </w:r>
      <w:r w:rsidR="003B44E3">
        <w:rPr>
          <w:i/>
        </w:rPr>
        <w:t>Federal Court Rules 201</w:t>
      </w:r>
      <w:r w:rsidR="002A1924" w:rsidRPr="002A23BB">
        <w:rPr>
          <w:i/>
        </w:rPr>
        <w:t>1</w:t>
      </w:r>
      <w:r w:rsidR="002A1924" w:rsidRPr="002A23BB">
        <w:t xml:space="preserve"> (</w:t>
      </w:r>
      <w:proofErr w:type="spellStart"/>
      <w:r w:rsidR="002A1924" w:rsidRPr="002A23BB">
        <w:t>Cth</w:t>
      </w:r>
      <w:proofErr w:type="spellEnd"/>
      <w:r w:rsidR="002A1924" w:rsidRPr="002A23BB">
        <w:t>)</w:t>
      </w:r>
      <w:r w:rsidR="00FA64A4">
        <w:t xml:space="preserve"> (</w:t>
      </w:r>
      <w:r w:rsidR="00FA64A4" w:rsidRPr="00897CEA">
        <w:rPr>
          <w:b/>
        </w:rPr>
        <w:t>FCR</w:t>
      </w:r>
      <w:r w:rsidR="00FA64A4">
        <w:t>)</w:t>
      </w:r>
      <w:r w:rsidR="002A1924">
        <w:t>.</w:t>
      </w:r>
    </w:p>
    <w:p w14:paraId="53E148EF" w14:textId="45E1828B" w:rsidR="0087089B" w:rsidRPr="00F02127" w:rsidRDefault="00FA64A4" w:rsidP="006632FA">
      <w:pPr>
        <w:pStyle w:val="ParaNumbering"/>
        <w:ind w:left="0"/>
      </w:pPr>
      <w:r w:rsidRPr="00F02127">
        <w:t>Upon reflection</w:t>
      </w:r>
      <w:r w:rsidR="00F7353B" w:rsidRPr="00F02127">
        <w:t>,</w:t>
      </w:r>
      <w:r w:rsidRPr="00F02127">
        <w:t xml:space="preserve"> it seemed to me that </w:t>
      </w:r>
      <w:r w:rsidR="0087089B" w:rsidRPr="00F02127">
        <w:t xml:space="preserve">the </w:t>
      </w:r>
      <w:r w:rsidR="00D317AB" w:rsidRPr="00F02127">
        <w:t>Separate Question</w:t>
      </w:r>
      <w:r w:rsidR="0087089B" w:rsidRPr="00F02127">
        <w:t xml:space="preserve"> raise</w:t>
      </w:r>
      <w:r w:rsidR="00F7353B" w:rsidRPr="00F02127">
        <w:t>d</w:t>
      </w:r>
      <w:r w:rsidR="0087089B" w:rsidRPr="00F02127">
        <w:t xml:space="preserve"> issues of potential complexity</w:t>
      </w:r>
      <w:r w:rsidRPr="00F02127">
        <w:t xml:space="preserve"> and nov</w:t>
      </w:r>
      <w:r w:rsidR="00D341C3" w:rsidRPr="00F02127">
        <w:t>elty.</w:t>
      </w:r>
      <w:r w:rsidRPr="00F02127">
        <w:t xml:space="preserve"> </w:t>
      </w:r>
      <w:r w:rsidR="00F7353B" w:rsidRPr="00F02127">
        <w:t>Consequently</w:t>
      </w:r>
      <w:r w:rsidRPr="00F02127">
        <w:t>,</w:t>
      </w:r>
      <w:r w:rsidR="0087089B" w:rsidRPr="00F02127">
        <w:t xml:space="preserve"> I arranged for the Court to be assisted by an </w:t>
      </w:r>
      <w:r w:rsidR="005E766E" w:rsidRPr="00D53587">
        <w:rPr>
          <w:i/>
          <w:szCs w:val="22"/>
        </w:rPr>
        <w:t xml:space="preserve">amicus </w:t>
      </w:r>
      <w:r w:rsidR="005E766E" w:rsidRPr="00D53587">
        <w:rPr>
          <w:i/>
          <w:szCs w:val="22"/>
        </w:rPr>
        <w:lastRenderedPageBreak/>
        <w:t>curiae</w:t>
      </w:r>
      <w:r w:rsidR="005E766E" w:rsidRPr="00F02127">
        <w:t xml:space="preserve"> </w:t>
      </w:r>
      <w:r w:rsidR="0087089B" w:rsidRPr="00F02127">
        <w:t>and</w:t>
      </w:r>
      <w:r w:rsidRPr="00F02127">
        <w:t>,</w:t>
      </w:r>
      <w:r w:rsidR="0087089B" w:rsidRPr="00F02127">
        <w:t xml:space="preserve"> in due course</w:t>
      </w:r>
      <w:r w:rsidRPr="00F02127">
        <w:t>,</w:t>
      </w:r>
      <w:r w:rsidR="0087089B" w:rsidRPr="00F02127">
        <w:t xml:space="preserve"> granted Mr Mulley a certificate to receive pro bono legal assistance</w:t>
      </w:r>
      <w:r w:rsidR="00D317AB" w:rsidRPr="00F02127">
        <w:t xml:space="preserve"> pursuant to </w:t>
      </w:r>
      <w:r w:rsidR="005403D8" w:rsidRPr="005E766E">
        <w:rPr>
          <w:iCs/>
        </w:rPr>
        <w:t>FCR</w:t>
      </w:r>
      <w:r w:rsidR="005403D8" w:rsidRPr="00F02127">
        <w:t xml:space="preserve"> </w:t>
      </w:r>
      <w:r w:rsidR="00D317AB" w:rsidRPr="00F02127">
        <w:t>4.12</w:t>
      </w:r>
      <w:r w:rsidR="0087089B" w:rsidRPr="00F02127">
        <w:t xml:space="preserve">. </w:t>
      </w:r>
      <w:r w:rsidRPr="00F02127">
        <w:t>The Referral Certificate expressly provided that the extent of legal assistance was to prepare any necessary court documents and appear at the hear</w:t>
      </w:r>
      <w:r w:rsidR="00DF03AA">
        <w:t>ing of the Separate Q</w:t>
      </w:r>
      <w:r w:rsidR="00A13FBF" w:rsidRPr="00F02127">
        <w:t>uestion. F</w:t>
      </w:r>
      <w:r w:rsidRPr="00F02127">
        <w:t xml:space="preserve">or the avoidance of doubt, I noted that “the referral does not extend beyond matters raised by the Separate Question, nor does it extend to providing general advice to the applicant”. </w:t>
      </w:r>
      <w:r w:rsidR="0087089B" w:rsidRPr="00F02127">
        <w:t xml:space="preserve">I am grateful for the </w:t>
      </w:r>
      <w:r w:rsidR="00160D1F">
        <w:t xml:space="preserve">generous </w:t>
      </w:r>
      <w:r w:rsidR="0087089B" w:rsidRPr="00F02127">
        <w:t xml:space="preserve">assistance of the </w:t>
      </w:r>
      <w:r w:rsidR="0087089B" w:rsidRPr="00144DA8">
        <w:t>amicus</w:t>
      </w:r>
      <w:r w:rsidR="0087089B" w:rsidRPr="00F02127">
        <w:t xml:space="preserve"> and</w:t>
      </w:r>
      <w:r w:rsidR="00EC3D19">
        <w:t xml:space="preserve"> </w:t>
      </w:r>
      <w:r w:rsidR="00D317AB" w:rsidRPr="005E766E">
        <w:t>pro </w:t>
      </w:r>
      <w:r w:rsidR="00897CEA" w:rsidRPr="005E766E">
        <w:t>bono</w:t>
      </w:r>
      <w:r w:rsidR="00897CEA" w:rsidRPr="00F02127">
        <w:t xml:space="preserve"> </w:t>
      </w:r>
      <w:r w:rsidR="0087089B" w:rsidRPr="00F02127">
        <w:t xml:space="preserve">counsel for </w:t>
      </w:r>
      <w:r w:rsidR="00A37BAD">
        <w:t>Mr Mulley</w:t>
      </w:r>
      <w:r w:rsidR="0087089B" w:rsidRPr="00F02127">
        <w:t>.</w:t>
      </w:r>
    </w:p>
    <w:p w14:paraId="04B7DAC3" w14:textId="7B9EEDCA" w:rsidR="0087089B" w:rsidRDefault="00FA64A4" w:rsidP="006632FA">
      <w:pPr>
        <w:pStyle w:val="ParaNumbering"/>
        <w:ind w:left="0"/>
      </w:pPr>
      <w:r>
        <w:t>I</w:t>
      </w:r>
      <w:r w:rsidR="0087089B">
        <w:t xml:space="preserve">t is appropriate to commence by identifying </w:t>
      </w:r>
      <w:r>
        <w:t xml:space="preserve">some uncontroversial matters relating to jurisdiction before then coming to </w:t>
      </w:r>
      <w:r w:rsidR="0087089B">
        <w:t>the relevant facts and matters which give rise to the controversy that Mr Mulley asks the Federal Court to quell.</w:t>
      </w:r>
      <w:r w:rsidR="00C92F1A">
        <w:t xml:space="preserve"> </w:t>
      </w:r>
      <w:r w:rsidR="00B33636">
        <w:t>Absent limited exceptions not here relevant, whether this Court should exercise its jurisdiction if it is properly invoked is not to be</w:t>
      </w:r>
      <w:r w:rsidR="00EC3D19">
        <w:t xml:space="preserve"> seen as a matter of discretion;</w:t>
      </w:r>
      <w:r w:rsidR="00B33636">
        <w:t xml:space="preserve"> it is a matter of duty: see</w:t>
      </w:r>
      <w:r w:rsidR="00500857">
        <w:t xml:space="preserve"> the discussion in</w:t>
      </w:r>
      <w:r w:rsidR="00B33636">
        <w:t xml:space="preserve"> Leeming M, </w:t>
      </w:r>
      <w:r w:rsidR="00B33636" w:rsidRPr="00B33636">
        <w:rPr>
          <w:i/>
        </w:rPr>
        <w:t>Authority to Decide: The Law of Jurisdiction in Australia</w:t>
      </w:r>
      <w:r w:rsidR="00B33636">
        <w:t xml:space="preserve"> (</w:t>
      </w:r>
      <w:r w:rsidR="006A3FC9">
        <w:t xml:space="preserve">2nd </w:t>
      </w:r>
      <w:proofErr w:type="spellStart"/>
      <w:r w:rsidR="006A3FC9">
        <w:t>ed</w:t>
      </w:r>
      <w:proofErr w:type="spellEnd"/>
      <w:r w:rsidR="00B33636">
        <w:t>,</w:t>
      </w:r>
      <w:r w:rsidR="006A3FC9">
        <w:t xml:space="preserve"> Federation Press,</w:t>
      </w:r>
      <w:r w:rsidR="00B33636">
        <w:t xml:space="preserve"> 2020) </w:t>
      </w:r>
      <w:r w:rsidR="00DB59E2">
        <w:t xml:space="preserve">(at </w:t>
      </w:r>
      <w:r w:rsidR="00B33636">
        <w:t>pp</w:t>
      </w:r>
      <w:r w:rsidR="006A3FC9">
        <w:t xml:space="preserve"> </w:t>
      </w:r>
      <w:r w:rsidR="00D317AB">
        <w:t>111–</w:t>
      </w:r>
      <w:r w:rsidR="00B33636">
        <w:t>5</w:t>
      </w:r>
      <w:r w:rsidR="00DB59E2">
        <w:t>)</w:t>
      </w:r>
      <w:r w:rsidR="00B33636">
        <w:t>.</w:t>
      </w:r>
      <w:r w:rsidR="00C92F1A">
        <w:t xml:space="preserve"> </w:t>
      </w:r>
    </w:p>
    <w:p w14:paraId="1C501E78" w14:textId="77777777" w:rsidR="00FA64A4" w:rsidRPr="003740C5" w:rsidRDefault="00125266" w:rsidP="00A37A15">
      <w:pPr>
        <w:pStyle w:val="Heading1"/>
      </w:pPr>
      <w:bookmarkStart w:id="23" w:name="_Ref82003792"/>
      <w:r>
        <w:t>B</w:t>
      </w:r>
      <w:r>
        <w:tab/>
      </w:r>
      <w:r w:rsidR="003740C5" w:rsidRPr="003740C5">
        <w:t>THE COURT’S</w:t>
      </w:r>
      <w:r w:rsidR="003740C5">
        <w:t xml:space="preserve"> JURISDIC</w:t>
      </w:r>
      <w:r w:rsidR="003740C5" w:rsidRPr="003740C5">
        <w:t>T</w:t>
      </w:r>
      <w:r w:rsidR="003740C5">
        <w:t>I</w:t>
      </w:r>
      <w:r w:rsidR="003740C5" w:rsidRPr="003740C5">
        <w:t>ON</w:t>
      </w:r>
      <w:bookmarkEnd w:id="23"/>
    </w:p>
    <w:p w14:paraId="48AD9AD7" w14:textId="5ABFA11F" w:rsidR="003740C5" w:rsidRPr="00E1065D" w:rsidRDefault="003740C5" w:rsidP="006632FA">
      <w:pPr>
        <w:pStyle w:val="ParaNumbering"/>
        <w:ind w:left="0"/>
        <w:rPr>
          <w:sz w:val="22"/>
          <w:szCs w:val="22"/>
        </w:rPr>
      </w:pPr>
      <w:r>
        <w:t xml:space="preserve">Notwithstanding its length, </w:t>
      </w:r>
      <w:r w:rsidR="00187BED">
        <w:t xml:space="preserve">as to both general principles </w:t>
      </w:r>
      <w:r w:rsidR="00A37A15">
        <w:t>regarding</w:t>
      </w:r>
      <w:r w:rsidR="00187BED">
        <w:t xml:space="preserve"> jurisdiction and the necessity for such questions to be determined with celerity, </w:t>
      </w:r>
      <w:r>
        <w:t xml:space="preserve">it is convenient here to set out what I wrote in </w:t>
      </w:r>
      <w:r w:rsidRPr="002A23BB">
        <w:rPr>
          <w:i/>
        </w:rPr>
        <w:t>Oliver v Nine Network Australia Pty Ltd</w:t>
      </w:r>
      <w:r w:rsidR="00A37A15" w:rsidRPr="002A23BB">
        <w:t xml:space="preserve"> [2019] FCA 583</w:t>
      </w:r>
      <w:r w:rsidR="00A37A15">
        <w:t xml:space="preserve"> (at [7]</w:t>
      </w:r>
      <w:r w:rsidR="008F701E">
        <w:t>–</w:t>
      </w:r>
      <w:r>
        <w:t>[18]</w:t>
      </w:r>
      <w:r w:rsidR="008F701E">
        <w:t>)</w:t>
      </w:r>
      <w:r>
        <w:t xml:space="preserve">: </w:t>
      </w:r>
    </w:p>
    <w:p w14:paraId="4719FB41" w14:textId="15A07783" w:rsidR="003740C5" w:rsidRPr="00E1065D" w:rsidRDefault="00A37A15" w:rsidP="0004631D">
      <w:pPr>
        <w:pStyle w:val="Quote1"/>
        <w:rPr>
          <w:lang w:eastAsia="en-AU"/>
        </w:rPr>
      </w:pPr>
      <w:r>
        <w:rPr>
          <w:lang w:eastAsia="en-AU"/>
        </w:rPr>
        <w:t>7.</w:t>
      </w:r>
      <w:r>
        <w:rPr>
          <w:lang w:eastAsia="en-AU"/>
        </w:rPr>
        <w:tab/>
      </w:r>
      <w:r w:rsidR="00E1065D" w:rsidRPr="00E1065D">
        <w:rPr>
          <w:lang w:eastAsia="en-AU"/>
        </w:rPr>
        <w:t xml:space="preserve">… </w:t>
      </w:r>
      <w:r w:rsidR="003740C5" w:rsidRPr="00E1065D">
        <w:rPr>
          <w:lang w:eastAsia="en-AU"/>
        </w:rPr>
        <w:t>as the Full Court (Bennett, Perram and Robertson JJ) explained in </w:t>
      </w:r>
      <w:r w:rsidR="003740C5" w:rsidRPr="00E1065D">
        <w:rPr>
          <w:i/>
          <w:iCs/>
          <w:lang w:eastAsia="en-AU"/>
        </w:rPr>
        <w:t>Crosby v Kelly</w:t>
      </w:r>
      <w:r w:rsidR="003740C5" w:rsidRPr="00E1065D">
        <w:rPr>
          <w:lang w:eastAsia="en-AU"/>
        </w:rPr>
        <w:t> [2012] FCAFC 96; (2012) 203 FCR 451, s 9(3) of the </w:t>
      </w:r>
      <w:r w:rsidR="003740C5" w:rsidRPr="00E1065D">
        <w:rPr>
          <w:i/>
          <w:iCs/>
          <w:lang w:eastAsia="en-AU"/>
        </w:rPr>
        <w:t>Jurisdiction of Courts (Cross-Vesting) Act 1987</w:t>
      </w:r>
      <w:r w:rsidR="003740C5" w:rsidRPr="00E1065D">
        <w:rPr>
          <w:lang w:eastAsia="en-AU"/>
        </w:rPr>
        <w:t> (</w:t>
      </w:r>
      <w:proofErr w:type="spellStart"/>
      <w:r w:rsidR="003740C5" w:rsidRPr="00E1065D">
        <w:rPr>
          <w:lang w:eastAsia="en-AU"/>
        </w:rPr>
        <w:t>Cth</w:t>
      </w:r>
      <w:proofErr w:type="spellEnd"/>
      <w:r w:rsidR="003740C5" w:rsidRPr="00E1065D">
        <w:rPr>
          <w:lang w:eastAsia="en-AU"/>
        </w:rPr>
        <w:t xml:space="preserve">) has the effect of conferring upon this Court original jurisdiction over a proceeding that would be within the jurisdiction of the Australian Capital </w:t>
      </w:r>
      <w:r w:rsidR="00187BED">
        <w:rPr>
          <w:lang w:eastAsia="en-AU"/>
        </w:rPr>
        <w:t xml:space="preserve">Territory or Northern Territory </w:t>
      </w:r>
      <w:r w:rsidR="003740C5" w:rsidRPr="00E1065D">
        <w:rPr>
          <w:lang w:eastAsia="en-AU"/>
        </w:rPr>
        <w:t>Supreme Courts.</w:t>
      </w:r>
    </w:p>
    <w:p w14:paraId="4AC8BB96" w14:textId="77777777" w:rsidR="003740C5" w:rsidRPr="00E1065D" w:rsidRDefault="00A37A15" w:rsidP="00A37A15">
      <w:pPr>
        <w:pStyle w:val="Quote1"/>
        <w:rPr>
          <w:lang w:eastAsia="en-AU"/>
        </w:rPr>
      </w:pPr>
      <w:r>
        <w:rPr>
          <w:lang w:eastAsia="en-AU"/>
        </w:rPr>
        <w:t>8.</w:t>
      </w:r>
      <w:r>
        <w:rPr>
          <w:lang w:eastAsia="en-AU"/>
        </w:rPr>
        <w:tab/>
      </w:r>
      <w:r w:rsidR="003740C5" w:rsidRPr="00E1065D">
        <w:rPr>
          <w:lang w:eastAsia="en-AU"/>
        </w:rPr>
        <w:t>As another Full Court (Allsop CJ, Besanko and White JJ) put it in </w:t>
      </w:r>
      <w:r w:rsidR="003740C5" w:rsidRPr="00E1065D">
        <w:rPr>
          <w:i/>
          <w:iCs/>
          <w:lang w:eastAsia="en-AU"/>
        </w:rPr>
        <w:t xml:space="preserve">Rana v Google </w:t>
      </w:r>
      <w:proofErr w:type="spellStart"/>
      <w:r w:rsidR="003740C5" w:rsidRPr="00E1065D">
        <w:rPr>
          <w:i/>
          <w:iCs/>
          <w:lang w:eastAsia="en-AU"/>
        </w:rPr>
        <w:t>Inc</w:t>
      </w:r>
      <w:proofErr w:type="spellEnd"/>
      <w:r w:rsidR="003740C5" w:rsidRPr="00E1065D">
        <w:rPr>
          <w:lang w:eastAsia="en-AU"/>
        </w:rPr>
        <w:t> [2017] FCAFC 156; (2017) 254 FCR 1 at 8 [24]:</w:t>
      </w:r>
    </w:p>
    <w:p w14:paraId="11D15491" w14:textId="77777777" w:rsidR="003740C5" w:rsidRPr="00E1065D" w:rsidRDefault="003740C5" w:rsidP="00A37A15">
      <w:pPr>
        <w:pStyle w:val="Quote2"/>
        <w:rPr>
          <w:lang w:eastAsia="en-AU"/>
        </w:rPr>
      </w:pPr>
      <w:r w:rsidRPr="00E1065D">
        <w:rPr>
          <w:lang w:eastAsia="en-AU"/>
        </w:rPr>
        <w:t>… s 9(3) confers on the [Federal] Court the jurisdiction of those Territory Supreme Courts to hear and determine defamation matters that would be within their jurisdiction: </w:t>
      </w:r>
      <w:r w:rsidRPr="00E1065D">
        <w:rPr>
          <w:i/>
          <w:iCs/>
          <w:lang w:eastAsia="en-AU"/>
        </w:rPr>
        <w:t>Crosby v Kelly </w:t>
      </w:r>
      <w:r w:rsidRPr="00E1065D">
        <w:rPr>
          <w:lang w:eastAsia="en-AU"/>
        </w:rPr>
        <w:t>[2012] FCAFC 96; 203 FCR 451 at 458 [35] per Robertson J. As Perram J also explained at 203 FCR 452 [2], the provision creates a surrogate Commonwealth law by reference to the jurisdiction of those Territory Supreme Courts which then acts as a law of the Commonwealth under which matters may then arise.</w:t>
      </w:r>
    </w:p>
    <w:p w14:paraId="26A607CF" w14:textId="3669176D" w:rsidR="003740C5" w:rsidRPr="00E1065D" w:rsidRDefault="00A37A15" w:rsidP="00A37A15">
      <w:pPr>
        <w:pStyle w:val="Quote1"/>
        <w:rPr>
          <w:lang w:eastAsia="en-AU"/>
        </w:rPr>
      </w:pPr>
      <w:r>
        <w:rPr>
          <w:lang w:eastAsia="en-AU"/>
        </w:rPr>
        <w:t>9.</w:t>
      </w:r>
      <w:r>
        <w:rPr>
          <w:lang w:eastAsia="en-AU"/>
        </w:rPr>
        <w:tab/>
      </w:r>
      <w:r w:rsidR="00E1065D">
        <w:rPr>
          <w:lang w:eastAsia="en-AU"/>
        </w:rPr>
        <w:t>…</w:t>
      </w:r>
      <w:r w:rsidR="003740C5" w:rsidRPr="00E1065D">
        <w:rPr>
          <w:lang w:eastAsia="en-AU"/>
        </w:rPr>
        <w:t xml:space="preserve"> it is trite that jurisdiction cannot be conferred by agreement and the views of the parties are not determinativ</w:t>
      </w:r>
      <w:r w:rsidR="00DB59E2">
        <w:rPr>
          <w:lang w:eastAsia="en-AU"/>
        </w:rPr>
        <w:t>e of a jurisdictional question.</w:t>
      </w:r>
      <w:r w:rsidR="003740C5" w:rsidRPr="00E1065D">
        <w:rPr>
          <w:lang w:eastAsia="en-AU"/>
        </w:rPr>
        <w:t xml:space="preserve"> As Griffith CJ explained in </w:t>
      </w:r>
      <w:r w:rsidR="003740C5" w:rsidRPr="00E1065D">
        <w:rPr>
          <w:i/>
          <w:iCs/>
          <w:lang w:eastAsia="en-AU"/>
        </w:rPr>
        <w:t>Federated Engine-Drivers and Firemen’s Association of Australasia v The Broken Hill Proprietary Company Limited</w:t>
      </w:r>
      <w:r w:rsidR="003740C5" w:rsidRPr="00E1065D">
        <w:rPr>
          <w:lang w:eastAsia="en-AU"/>
        </w:rPr>
        <w:t xml:space="preserve"> (1911) 12 CLR 398 at 415, the “first duty of every judicial officer is to satisfy himself that he has jurisdiction”. This duty was referred to by </w:t>
      </w:r>
      <w:proofErr w:type="spellStart"/>
      <w:r w:rsidR="003740C5" w:rsidRPr="00E1065D">
        <w:rPr>
          <w:lang w:eastAsia="en-AU"/>
        </w:rPr>
        <w:t>Gageler</w:t>
      </w:r>
      <w:proofErr w:type="spellEnd"/>
      <w:r w:rsidR="003740C5" w:rsidRPr="00E1065D">
        <w:rPr>
          <w:lang w:eastAsia="en-AU"/>
        </w:rPr>
        <w:t xml:space="preserve"> J in </w:t>
      </w:r>
      <w:r w:rsidR="003740C5" w:rsidRPr="00E1065D">
        <w:rPr>
          <w:i/>
          <w:iCs/>
          <w:lang w:eastAsia="en-AU"/>
        </w:rPr>
        <w:t xml:space="preserve">Re </w:t>
      </w:r>
      <w:proofErr w:type="spellStart"/>
      <w:r w:rsidR="003740C5" w:rsidRPr="00E1065D">
        <w:rPr>
          <w:i/>
          <w:iCs/>
          <w:lang w:eastAsia="en-AU"/>
        </w:rPr>
        <w:t>Culleton</w:t>
      </w:r>
      <w:proofErr w:type="spellEnd"/>
      <w:r w:rsidR="003740C5" w:rsidRPr="00E1065D">
        <w:rPr>
          <w:lang w:eastAsia="en-AU"/>
        </w:rPr>
        <w:t xml:space="preserve"> [2017] HCA 3; (2017) 91 ALJR 302 at 306-307 [23]-[24], where his Honour regarded it of the “utmost importance” that a </w:t>
      </w:r>
      <w:r w:rsidR="003740C5" w:rsidRPr="00E1065D">
        <w:rPr>
          <w:lang w:eastAsia="en-AU"/>
        </w:rPr>
        <w:lastRenderedPageBreak/>
        <w:t>jurisdictional issue be raised at the earliest opportunity and for it to be considered and determined. For my part, in the light of the issue being raised, I consider it necessary that jurisdiction be established, regardless of the pragmatic approach adopted by the parties.</w:t>
      </w:r>
    </w:p>
    <w:p w14:paraId="4A864E77" w14:textId="33B892D9" w:rsidR="003740C5" w:rsidRPr="00E1065D" w:rsidRDefault="00A37A15" w:rsidP="00A37A15">
      <w:pPr>
        <w:pStyle w:val="Quote1"/>
        <w:rPr>
          <w:lang w:eastAsia="en-AU"/>
        </w:rPr>
      </w:pPr>
      <w:r>
        <w:rPr>
          <w:lang w:eastAsia="en-AU"/>
        </w:rPr>
        <w:t>10.</w:t>
      </w:r>
      <w:r>
        <w:rPr>
          <w:lang w:eastAsia="en-AU"/>
        </w:rPr>
        <w:tab/>
      </w:r>
      <w:r w:rsidR="00187BED">
        <w:rPr>
          <w:lang w:eastAsia="en-AU"/>
        </w:rPr>
        <w:t xml:space="preserve">… </w:t>
      </w:r>
      <w:r w:rsidR="003740C5" w:rsidRPr="00E1065D">
        <w:rPr>
          <w:lang w:eastAsia="en-AU"/>
        </w:rPr>
        <w:t>it is worth observing that it is now somewhat unusual for there to be any issue as to the jurisdiction of this Court where the complaint arises in relation to a mass medi</w:t>
      </w:r>
      <w:r w:rsidR="00DB59E2">
        <w:rPr>
          <w:lang w:eastAsia="en-AU"/>
        </w:rPr>
        <w:t>a or social media publication. </w:t>
      </w:r>
      <w:r w:rsidR="003740C5" w:rsidRPr="00E1065D">
        <w:rPr>
          <w:lang w:eastAsia="en-AU"/>
        </w:rPr>
        <w:t>Apart from the obvious point that most such publications would, one expects, be published to persons within the Territories, there are other bases upon which</w:t>
      </w:r>
      <w:r w:rsidR="00DB59E2">
        <w:rPr>
          <w:lang w:eastAsia="en-AU"/>
        </w:rPr>
        <w:t xml:space="preserve"> jurisdiction may be attracted.</w:t>
      </w:r>
      <w:r w:rsidR="003740C5" w:rsidRPr="00E1065D">
        <w:rPr>
          <w:lang w:eastAsia="en-AU"/>
        </w:rPr>
        <w:t xml:space="preserve"> Without seeking to delimit these circumstances, for the purposes of illustration, I will mention a few.</w:t>
      </w:r>
    </w:p>
    <w:p w14:paraId="1D7D02E6" w14:textId="0EEF0ED8" w:rsidR="003740C5" w:rsidRPr="00E1065D" w:rsidRDefault="00A37A15" w:rsidP="00A37A15">
      <w:pPr>
        <w:pStyle w:val="Quote1"/>
        <w:rPr>
          <w:lang w:eastAsia="en-AU"/>
        </w:rPr>
      </w:pPr>
      <w:r>
        <w:rPr>
          <w:lang w:eastAsia="en-AU"/>
        </w:rPr>
        <w:t>11.</w:t>
      </w:r>
      <w:r>
        <w:rPr>
          <w:lang w:eastAsia="en-AU"/>
        </w:rPr>
        <w:tab/>
      </w:r>
      <w:r w:rsidR="003740C5" w:rsidRPr="00E1065D">
        <w:rPr>
          <w:lang w:eastAsia="en-AU"/>
        </w:rPr>
        <w:t>The </w:t>
      </w:r>
      <w:r w:rsidR="003740C5" w:rsidRPr="00E1065D">
        <w:rPr>
          <w:i/>
          <w:iCs/>
          <w:lang w:eastAsia="en-AU"/>
        </w:rPr>
        <w:t>first</w:t>
      </w:r>
      <w:r w:rsidR="003740C5" w:rsidRPr="00E1065D">
        <w:rPr>
          <w:lang w:eastAsia="en-AU"/>
        </w:rPr>
        <w:t xml:space="preserve"> merits mentioning notwithstanding it requires a short explanation of </w:t>
      </w:r>
      <w:r w:rsidR="00DB59E2">
        <w:rPr>
          <w:lang w:eastAsia="en-AU"/>
        </w:rPr>
        <w:t>how federal jurisdiction works.</w:t>
      </w:r>
      <w:r w:rsidR="003740C5" w:rsidRPr="00E1065D">
        <w:rPr>
          <w:lang w:eastAsia="en-AU"/>
        </w:rPr>
        <w:t xml:space="preserve"> For those interested (and everyone practising in courts exercising federal jurisdiction should be), the principles are explained in detail by Allsop J (as the Chief Justice then was) writing </w:t>
      </w:r>
      <w:proofErr w:type="spellStart"/>
      <w:r w:rsidR="003740C5" w:rsidRPr="00E1065D">
        <w:rPr>
          <w:lang w:eastAsia="en-AU"/>
        </w:rPr>
        <w:t>extracurially</w:t>
      </w:r>
      <w:proofErr w:type="spellEnd"/>
      <w:r w:rsidR="003740C5" w:rsidRPr="00E1065D">
        <w:rPr>
          <w:lang w:eastAsia="en-AU"/>
        </w:rPr>
        <w:t xml:space="preserve"> in the article </w:t>
      </w:r>
      <w:r w:rsidR="003740C5" w:rsidRPr="00E1065D">
        <w:rPr>
          <w:i/>
          <w:iCs/>
          <w:lang w:eastAsia="en-AU"/>
        </w:rPr>
        <w:t>Federal Jurisdiction and the Jurisdiction of the Federal Court of Australia in 2002</w:t>
      </w:r>
      <w:r w:rsidR="003740C5" w:rsidRPr="00E1065D">
        <w:rPr>
          <w:lang w:eastAsia="en-AU"/>
        </w:rPr>
        <w:t xml:space="preserve"> (2002) 23 </w:t>
      </w:r>
      <w:proofErr w:type="spellStart"/>
      <w:r w:rsidR="003740C5" w:rsidRPr="00E1065D">
        <w:rPr>
          <w:lang w:eastAsia="en-AU"/>
        </w:rPr>
        <w:t>Aust</w:t>
      </w:r>
      <w:proofErr w:type="spellEnd"/>
      <w:r w:rsidR="003740C5" w:rsidRPr="00E1065D">
        <w:rPr>
          <w:lang w:eastAsia="en-AU"/>
        </w:rPr>
        <w:t xml:space="preserve"> Bar Rev </w:t>
      </w:r>
      <w:r w:rsidR="003740C5" w:rsidRPr="00F7353B">
        <w:rPr>
          <w:lang w:eastAsia="en-AU"/>
        </w:rPr>
        <w:t>29). The</w:t>
      </w:r>
      <w:r w:rsidR="00187BED">
        <w:rPr>
          <w:lang w:eastAsia="en-AU"/>
        </w:rPr>
        <w:t xml:space="preserve"> starting </w:t>
      </w:r>
      <w:r w:rsidR="003740C5" w:rsidRPr="00E1065D">
        <w:rPr>
          <w:lang w:eastAsia="en-AU"/>
        </w:rPr>
        <w:t>point is s 39B(1A)(c) of the </w:t>
      </w:r>
      <w:r w:rsidR="003740C5" w:rsidRPr="00E1065D">
        <w:rPr>
          <w:i/>
          <w:iCs/>
          <w:lang w:eastAsia="en-AU"/>
        </w:rPr>
        <w:t>Judiciary Act 1903</w:t>
      </w:r>
      <w:r w:rsidR="003740C5" w:rsidRPr="00E1065D">
        <w:rPr>
          <w:lang w:eastAsia="en-AU"/>
        </w:rPr>
        <w:t> (</w:t>
      </w:r>
      <w:proofErr w:type="spellStart"/>
      <w:r w:rsidR="003740C5" w:rsidRPr="00E1065D">
        <w:rPr>
          <w:lang w:eastAsia="en-AU"/>
        </w:rPr>
        <w:t>Cth</w:t>
      </w:r>
      <w:proofErr w:type="spellEnd"/>
      <w:r w:rsidR="003740C5" w:rsidRPr="00E1065D">
        <w:rPr>
          <w:lang w:eastAsia="en-AU"/>
        </w:rPr>
        <w:t>) (</w:t>
      </w:r>
      <w:r w:rsidR="003740C5" w:rsidRPr="00E1065D">
        <w:rPr>
          <w:b/>
          <w:bCs/>
          <w:lang w:eastAsia="en-AU"/>
        </w:rPr>
        <w:t>JA</w:t>
      </w:r>
      <w:r w:rsidR="003740C5" w:rsidRPr="00E1065D">
        <w:rPr>
          <w:lang w:eastAsia="en-AU"/>
        </w:rPr>
        <w:t>) which provides:</w:t>
      </w:r>
    </w:p>
    <w:p w14:paraId="5FE4F8F6" w14:textId="77777777" w:rsidR="003740C5" w:rsidRPr="00E1065D" w:rsidRDefault="003740C5" w:rsidP="00A37A15">
      <w:pPr>
        <w:pStyle w:val="Quote2"/>
        <w:rPr>
          <w:lang w:eastAsia="en-AU"/>
        </w:rPr>
      </w:pPr>
      <w:r w:rsidRPr="00E1065D">
        <w:rPr>
          <w:lang w:eastAsia="en-AU"/>
        </w:rPr>
        <w:t>The original jurisdiction of the Federal Court of Australia also includes jurisdiction </w:t>
      </w:r>
      <w:r w:rsidRPr="00E1065D">
        <w:rPr>
          <w:b/>
          <w:bCs/>
          <w:lang w:eastAsia="en-AU"/>
        </w:rPr>
        <w:t>in any matter</w:t>
      </w:r>
      <w:r w:rsidRPr="00E1065D">
        <w:rPr>
          <w:lang w:eastAsia="en-AU"/>
        </w:rPr>
        <w:t>: ... (c) arising under any laws made by the Parliament, other than a matter in respect of which a criminal prosecution is instituted or any other criminal matter.</w:t>
      </w:r>
    </w:p>
    <w:p w14:paraId="6E2FD32D" w14:textId="77777777" w:rsidR="003740C5" w:rsidRPr="00E1065D" w:rsidRDefault="003740C5" w:rsidP="00A37A15">
      <w:pPr>
        <w:pStyle w:val="Quote2"/>
        <w:rPr>
          <w:lang w:eastAsia="en-AU"/>
        </w:rPr>
      </w:pPr>
      <w:r w:rsidRPr="00E1065D">
        <w:rPr>
          <w:lang w:eastAsia="en-AU"/>
        </w:rPr>
        <w:t>(emphasis added)</w:t>
      </w:r>
    </w:p>
    <w:p w14:paraId="3BC54F12" w14:textId="73E505FE" w:rsidR="003740C5" w:rsidRPr="00E1065D" w:rsidRDefault="00A37A15" w:rsidP="00A37A15">
      <w:pPr>
        <w:pStyle w:val="Quote1"/>
        <w:rPr>
          <w:lang w:eastAsia="en-AU"/>
        </w:rPr>
      </w:pPr>
      <w:r>
        <w:rPr>
          <w:lang w:eastAsia="en-AU"/>
        </w:rPr>
        <w:t xml:space="preserve">12. </w:t>
      </w:r>
      <w:r>
        <w:rPr>
          <w:lang w:eastAsia="en-AU"/>
        </w:rPr>
        <w:tab/>
      </w:r>
      <w:r w:rsidR="003740C5" w:rsidRPr="00E1065D">
        <w:rPr>
          <w:lang w:eastAsia="en-AU"/>
        </w:rPr>
        <w:t>The “matter” is the justiciable controversy between the actors involved, comprised of the substratum of facts representing or amounting to the dispute or controversy between them.  It is not the cause of action and is identifiable independently of a proceeding or proceedings brought for its determination: </w:t>
      </w:r>
      <w:proofErr w:type="spellStart"/>
      <w:r w:rsidR="003740C5" w:rsidRPr="00E1065D">
        <w:rPr>
          <w:i/>
          <w:iCs/>
          <w:lang w:eastAsia="en-AU"/>
        </w:rPr>
        <w:t>Fencott</w:t>
      </w:r>
      <w:proofErr w:type="spellEnd"/>
      <w:r w:rsidR="003740C5" w:rsidRPr="00E1065D">
        <w:rPr>
          <w:i/>
          <w:iCs/>
          <w:lang w:eastAsia="en-AU"/>
        </w:rPr>
        <w:t xml:space="preserve"> v Muller</w:t>
      </w:r>
      <w:r w:rsidR="00DB59E2">
        <w:rPr>
          <w:lang w:eastAsia="en-AU"/>
        </w:rPr>
        <w:t xml:space="preserve"> (1983) 152 CLR 570 at 603-608; </w:t>
      </w:r>
      <w:r w:rsidR="003740C5" w:rsidRPr="00E1065D">
        <w:rPr>
          <w:i/>
          <w:iCs/>
          <w:lang w:eastAsia="en-AU"/>
        </w:rPr>
        <w:t>Australian Securities and Investments Commission v Edensor Nominees Pty Limited</w:t>
      </w:r>
      <w:r w:rsidR="003740C5" w:rsidRPr="00E1065D">
        <w:rPr>
          <w:lang w:eastAsia="en-AU"/>
        </w:rPr>
        <w:t> [2001] HCA 1; (2001) 204 CLR 559 at 584-585 [50].</w:t>
      </w:r>
    </w:p>
    <w:p w14:paraId="1B774AC5" w14:textId="77777777" w:rsidR="003740C5" w:rsidRPr="00E1065D" w:rsidRDefault="00A37A15" w:rsidP="00A37A15">
      <w:pPr>
        <w:pStyle w:val="Quote1"/>
        <w:rPr>
          <w:lang w:eastAsia="en-AU"/>
        </w:rPr>
      </w:pPr>
      <w:r>
        <w:rPr>
          <w:lang w:eastAsia="en-AU"/>
        </w:rPr>
        <w:t>13.</w:t>
      </w:r>
      <w:r>
        <w:rPr>
          <w:lang w:eastAsia="en-AU"/>
        </w:rPr>
        <w:tab/>
      </w:r>
      <w:r w:rsidR="003740C5" w:rsidRPr="00E1065D">
        <w:rPr>
          <w:lang w:eastAsia="en-AU"/>
        </w:rPr>
        <w:t xml:space="preserve">When s 39B(1A)(c) of the </w:t>
      </w:r>
      <w:r w:rsidR="003740C5" w:rsidRPr="005B27F7">
        <w:rPr>
          <w:lang w:eastAsia="en-AU"/>
        </w:rPr>
        <w:t>JA</w:t>
      </w:r>
      <w:r w:rsidR="003740C5" w:rsidRPr="00E1065D">
        <w:rPr>
          <w:lang w:eastAsia="en-AU"/>
        </w:rPr>
        <w:t xml:space="preserve"> was introduced in 1997, Parliament changed this Court from being a court of specific federal jurisdiction into a court of more general federal jurisdiction, extending its reach to all controversies or “matters” across all areas with respect to which the Parliament of the Commonwealth has made laws. So long as a “matter” can be said to “arise under” a law of the Parliament, then the Federal Court is vested with jurisdiction to hear the whole of the dispute. It follows that once the jurisdiction of the Court has been invoked by reference to a justiciable issue within federal jurisdiction (say, a related claim under a federal statute), the Court has “accrued” jurisdiction to determine the whole “matter” or controversy between the parties: </w:t>
      </w:r>
      <w:r w:rsidR="003740C5" w:rsidRPr="00E1065D">
        <w:rPr>
          <w:i/>
          <w:iCs/>
          <w:lang w:eastAsia="en-AU"/>
        </w:rPr>
        <w:t xml:space="preserve">Re </w:t>
      </w:r>
      <w:proofErr w:type="spellStart"/>
      <w:r w:rsidR="003740C5" w:rsidRPr="00E1065D">
        <w:rPr>
          <w:i/>
          <w:iCs/>
          <w:lang w:eastAsia="en-AU"/>
        </w:rPr>
        <w:t>Wakim</w:t>
      </w:r>
      <w:proofErr w:type="spellEnd"/>
      <w:r w:rsidR="003740C5" w:rsidRPr="00E1065D">
        <w:rPr>
          <w:i/>
          <w:iCs/>
          <w:lang w:eastAsia="en-AU"/>
        </w:rPr>
        <w:t>; Ex parte McNally </w:t>
      </w:r>
      <w:r w:rsidR="003740C5" w:rsidRPr="00E1065D">
        <w:rPr>
          <w:lang w:eastAsia="en-AU"/>
        </w:rPr>
        <w:t>[1999] HCA 27; (1999) 198 CLR 511 at 584-588 [136]-[147]. Accordingly, as a matter of impression and practical judgment, if a claim for defamation not otherwise within federal jurisdiction arises out of the same “matter” which is within federal jurisdiction, then it will form part of the one justiciable controversy and, if the jurisdiction of this Court is invoked, it will be the duty of this Court, exercising Chapter III judicial power, to quell the whole controversy. It is, of course, heterodox to speak of any notion of concurrent state and federal jurisdiction.</w:t>
      </w:r>
    </w:p>
    <w:p w14:paraId="4A7C2A41" w14:textId="77777777" w:rsidR="003740C5" w:rsidRPr="00E1065D" w:rsidRDefault="00A37A15" w:rsidP="00A37A15">
      <w:pPr>
        <w:pStyle w:val="Quote1"/>
        <w:rPr>
          <w:lang w:eastAsia="en-AU"/>
        </w:rPr>
      </w:pPr>
      <w:r w:rsidRPr="00A37A15">
        <w:rPr>
          <w:iCs/>
          <w:lang w:eastAsia="en-AU"/>
        </w:rPr>
        <w:t>14.</w:t>
      </w:r>
      <w:r w:rsidRPr="00A37A15">
        <w:rPr>
          <w:iCs/>
          <w:lang w:eastAsia="en-AU"/>
        </w:rPr>
        <w:tab/>
      </w:r>
      <w:r w:rsidR="003740C5" w:rsidRPr="00E1065D">
        <w:rPr>
          <w:i/>
          <w:iCs/>
          <w:lang w:eastAsia="en-AU"/>
        </w:rPr>
        <w:t>Secondly</w:t>
      </w:r>
      <w:r w:rsidR="003740C5" w:rsidRPr="00E1065D">
        <w:rPr>
          <w:lang w:eastAsia="en-AU"/>
        </w:rPr>
        <w:t>, the Federal Court has original jurisdiction to hear a “pure” defamation action (that is, without the addition of any other cause of action or defence arising under a federal statute) where the publication somehow involves the consideration of the implied constitutional freedom of communication on governmental and political matters even if, as will commonly be th</w:t>
      </w:r>
      <w:r w:rsidR="00187BED">
        <w:rPr>
          <w:lang w:eastAsia="en-AU"/>
        </w:rPr>
        <w:t xml:space="preserve">e case, </w:t>
      </w:r>
      <w:r w:rsidR="003740C5" w:rsidRPr="00E1065D">
        <w:rPr>
          <w:lang w:eastAsia="en-AU"/>
        </w:rPr>
        <w:t xml:space="preserve">it is </w:t>
      </w:r>
      <w:r w:rsidR="003740C5" w:rsidRPr="00E1065D">
        <w:rPr>
          <w:lang w:eastAsia="en-AU"/>
        </w:rPr>
        <w:lastRenderedPageBreak/>
        <w:t>contended that the implied constitutional freedom will be raised by a respondent by way of defence. I have already made reference above to s 39B(1A) of the JA. Subsection (b) of that section provides that the original jurisdiction of the Court also includes jurisdiction in any matter “arising under the Constitution, or involving its interpretation”.</w:t>
      </w:r>
    </w:p>
    <w:p w14:paraId="186DCC6B" w14:textId="77777777" w:rsidR="003740C5" w:rsidRPr="00E1065D" w:rsidRDefault="00A37A15" w:rsidP="00A37A15">
      <w:pPr>
        <w:pStyle w:val="Quote1"/>
        <w:rPr>
          <w:lang w:eastAsia="en-AU"/>
        </w:rPr>
      </w:pPr>
      <w:r>
        <w:rPr>
          <w:iCs/>
          <w:lang w:eastAsia="en-AU"/>
        </w:rPr>
        <w:t xml:space="preserve">15. </w:t>
      </w:r>
      <w:r>
        <w:rPr>
          <w:iCs/>
          <w:lang w:eastAsia="en-AU"/>
        </w:rPr>
        <w:tab/>
      </w:r>
      <w:r w:rsidR="003740C5" w:rsidRPr="00E1065D">
        <w:rPr>
          <w:i/>
          <w:iCs/>
          <w:lang w:eastAsia="en-AU"/>
        </w:rPr>
        <w:t>Thirdly</w:t>
      </w:r>
      <w:r w:rsidR="003740C5" w:rsidRPr="00E1065D">
        <w:rPr>
          <w:lang w:eastAsia="en-AU"/>
        </w:rPr>
        <w:t>, again focussing on s 39B(1A)(b) of the JA, where there is a publication in more than one “Australian jurisdictional area” being a State (see </w:t>
      </w:r>
      <w:proofErr w:type="spellStart"/>
      <w:r w:rsidR="003740C5" w:rsidRPr="00E1065D">
        <w:rPr>
          <w:lang w:eastAsia="en-AU"/>
        </w:rPr>
        <w:t>ss</w:t>
      </w:r>
      <w:proofErr w:type="spellEnd"/>
      <w:r w:rsidR="003740C5" w:rsidRPr="00E1065D">
        <w:rPr>
          <w:lang w:eastAsia="en-AU"/>
        </w:rPr>
        <w:t> 11(1) and (5) of the </w:t>
      </w:r>
      <w:r w:rsidR="003740C5" w:rsidRPr="00E1065D">
        <w:rPr>
          <w:i/>
          <w:iCs/>
          <w:lang w:eastAsia="en-AU"/>
        </w:rPr>
        <w:t>Defamation Act 2005</w:t>
      </w:r>
      <w:r w:rsidR="003740C5" w:rsidRPr="00E1065D">
        <w:rPr>
          <w:lang w:eastAsia="en-AU"/>
        </w:rPr>
        <w:t> (NSW) (</w:t>
      </w:r>
      <w:r w:rsidR="003740C5" w:rsidRPr="00E1065D">
        <w:rPr>
          <w:b/>
          <w:bCs/>
          <w:lang w:eastAsia="en-AU"/>
        </w:rPr>
        <w:t>Act</w:t>
      </w:r>
      <w:r w:rsidR="003740C5" w:rsidRPr="00E1065D">
        <w:rPr>
          <w:lang w:eastAsia="en-AU"/>
        </w:rPr>
        <w:t>) and its cognates), the full faith and credit provision of the Constitution (s 118) is engaged so as to enable courts to recognise and apply the provisions of the various uniform Defamation Acts as modifications of the laws of each Australian jurisdictional area and the common law of Australia. This is because where publications in more than one Australian jurisdictional area are sued upon, the law of each place of publication will create a substantive right to sue on that publication in that jurisdiction: see </w:t>
      </w:r>
      <w:r w:rsidR="003740C5" w:rsidRPr="00E1065D">
        <w:rPr>
          <w:i/>
          <w:iCs/>
          <w:lang w:eastAsia="en-AU"/>
        </w:rPr>
        <w:t xml:space="preserve">Dow Jones &amp; Co </w:t>
      </w:r>
      <w:proofErr w:type="spellStart"/>
      <w:r w:rsidR="003740C5" w:rsidRPr="00E1065D">
        <w:rPr>
          <w:i/>
          <w:iCs/>
          <w:lang w:eastAsia="en-AU"/>
        </w:rPr>
        <w:t>Inc</w:t>
      </w:r>
      <w:proofErr w:type="spellEnd"/>
      <w:r w:rsidR="003740C5" w:rsidRPr="00E1065D">
        <w:rPr>
          <w:i/>
          <w:iCs/>
          <w:lang w:eastAsia="en-AU"/>
        </w:rPr>
        <w:t xml:space="preserve"> v </w:t>
      </w:r>
      <w:proofErr w:type="spellStart"/>
      <w:r w:rsidR="003740C5" w:rsidRPr="00E1065D">
        <w:rPr>
          <w:i/>
          <w:iCs/>
          <w:lang w:eastAsia="en-AU"/>
        </w:rPr>
        <w:t>Gutnick</w:t>
      </w:r>
      <w:proofErr w:type="spellEnd"/>
      <w:r w:rsidR="003740C5" w:rsidRPr="00E1065D">
        <w:rPr>
          <w:i/>
          <w:iCs/>
          <w:lang w:eastAsia="en-AU"/>
        </w:rPr>
        <w:t> </w:t>
      </w:r>
      <w:r w:rsidR="003740C5" w:rsidRPr="00E1065D">
        <w:rPr>
          <w:lang w:eastAsia="en-AU"/>
        </w:rPr>
        <w:t>[2002] HCA 56; (2002) 210 CLR 575.</w:t>
      </w:r>
    </w:p>
    <w:p w14:paraId="4747DF51" w14:textId="0A63957E" w:rsidR="003740C5" w:rsidRPr="00E1065D" w:rsidRDefault="00A37A15" w:rsidP="00A37A15">
      <w:pPr>
        <w:pStyle w:val="Quote1"/>
        <w:rPr>
          <w:lang w:eastAsia="en-AU"/>
        </w:rPr>
      </w:pPr>
      <w:r>
        <w:rPr>
          <w:iCs/>
          <w:lang w:eastAsia="en-AU"/>
        </w:rPr>
        <w:t>16.</w:t>
      </w:r>
      <w:r>
        <w:rPr>
          <w:iCs/>
          <w:lang w:eastAsia="en-AU"/>
        </w:rPr>
        <w:tab/>
      </w:r>
      <w:r w:rsidR="003740C5" w:rsidRPr="00E1065D">
        <w:rPr>
          <w:i/>
          <w:iCs/>
          <w:lang w:eastAsia="en-AU"/>
        </w:rPr>
        <w:t>Fourthly</w:t>
      </w:r>
      <w:r w:rsidR="003740C5" w:rsidRPr="00E1065D">
        <w:rPr>
          <w:lang w:eastAsia="en-AU"/>
        </w:rPr>
        <w:t>, and more broadly, as Gibbs CJ, Mason, Wilson, Brennan, Deane and Dawson JJ explained in </w:t>
      </w:r>
      <w:r w:rsidR="003740C5" w:rsidRPr="00E1065D">
        <w:rPr>
          <w:i/>
          <w:iCs/>
          <w:lang w:eastAsia="en-AU"/>
        </w:rPr>
        <w:t>LNC Industries Limited v BMW (Australia) Limited </w:t>
      </w:r>
      <w:r w:rsidR="003740C5" w:rsidRPr="00E1065D">
        <w:rPr>
          <w:lang w:eastAsia="en-AU"/>
        </w:rPr>
        <w:t>(1983) 151 CLR 575 at 581, a federal matter arises if a right, duty or obligation in issue in the matter “owes its existence to federal law or depends upon federal law for its enforcement” including where the right claimed is in respect of a right or property that is the creation of federal law. Whether or not a matter arises does not depend upon the form of the relief sought: </w:t>
      </w:r>
      <w:r w:rsidR="003740C5" w:rsidRPr="00E1065D">
        <w:rPr>
          <w:i/>
          <w:iCs/>
          <w:lang w:eastAsia="en-AU"/>
        </w:rPr>
        <w:t>LNC Industries </w:t>
      </w:r>
      <w:r w:rsidR="003740C5" w:rsidRPr="00E1065D">
        <w:rPr>
          <w:lang w:eastAsia="en-AU"/>
        </w:rPr>
        <w:t>at 581. This would involve when a right or duty based on a Commonwealth statute in issue arises (even where it has not been pleaded by the parties, or a federal issue is unnecessary to decide). A common example illustrates the potential breadth of this concept. It seems to me arguable that if a respondent is a corporation, the relevant matter arises under a law made by the Parliament within the mea</w:t>
      </w:r>
      <w:r w:rsidR="00DB59E2">
        <w:rPr>
          <w:lang w:eastAsia="en-AU"/>
        </w:rPr>
        <w:t xml:space="preserve">ning of s 39B(1A)(c) of the JA. Chapter </w:t>
      </w:r>
      <w:r w:rsidR="003740C5" w:rsidRPr="00E1065D">
        <w:rPr>
          <w:lang w:eastAsia="en-AU"/>
        </w:rPr>
        <w:t>2B</w:t>
      </w:r>
      <w:r w:rsidR="00DB59E2">
        <w:rPr>
          <w:lang w:eastAsia="en-AU"/>
        </w:rPr>
        <w:t xml:space="preserve"> </w:t>
      </w:r>
      <w:r w:rsidR="003740C5" w:rsidRPr="00E1065D">
        <w:rPr>
          <w:lang w:eastAsia="en-AU"/>
        </w:rPr>
        <w:t>of the </w:t>
      </w:r>
      <w:r w:rsidR="003740C5" w:rsidRPr="00E1065D">
        <w:rPr>
          <w:i/>
          <w:iCs/>
          <w:lang w:eastAsia="en-AU"/>
        </w:rPr>
        <w:t>Corporations Act 2001</w:t>
      </w:r>
      <w:r w:rsidR="003740C5" w:rsidRPr="00E1065D">
        <w:rPr>
          <w:lang w:eastAsia="en-AU"/>
        </w:rPr>
        <w:t> (</w:t>
      </w:r>
      <w:proofErr w:type="spellStart"/>
      <w:r w:rsidR="003740C5" w:rsidRPr="00E1065D">
        <w:rPr>
          <w:lang w:eastAsia="en-AU"/>
        </w:rPr>
        <w:t>Cth</w:t>
      </w:r>
      <w:proofErr w:type="spellEnd"/>
      <w:r w:rsidR="003740C5" w:rsidRPr="00E1065D">
        <w:rPr>
          <w:lang w:eastAsia="en-AU"/>
        </w:rPr>
        <w:t>) provides for the basic features of a company. As is explained in </w:t>
      </w:r>
      <w:r w:rsidR="003740C5" w:rsidRPr="00E1065D">
        <w:rPr>
          <w:i/>
          <w:iCs/>
          <w:lang w:eastAsia="en-AU"/>
        </w:rPr>
        <w:t>Ford, Austin &amp; Ramsay’s Principles of Corporations Law</w:t>
      </w:r>
      <w:r w:rsidR="003740C5" w:rsidRPr="00E1065D">
        <w:rPr>
          <w:lang w:eastAsia="en-AU"/>
        </w:rPr>
        <w:t> (Lexis) at [4,050], the capacity of a company created under the </w:t>
      </w:r>
      <w:r w:rsidR="003740C5" w:rsidRPr="00E1065D">
        <w:rPr>
          <w:i/>
          <w:iCs/>
          <w:lang w:eastAsia="en-AU"/>
        </w:rPr>
        <w:t>Corporations Act</w:t>
      </w:r>
      <w:r w:rsidR="003740C5" w:rsidRPr="00E1065D">
        <w:rPr>
          <w:lang w:eastAsia="en-AU"/>
        </w:rPr>
        <w:t>, including its ability to be sued, is to be found in s 119 when it provides that a company on registration comes into existence as a body corporate. It is s 124(1) which gives the entity powers of a body corporate (as to a company registered before the commencement of the relevant Commonwealth law, being the </w:t>
      </w:r>
      <w:r w:rsidR="003740C5" w:rsidRPr="00E1065D">
        <w:rPr>
          <w:i/>
          <w:iCs/>
          <w:lang w:eastAsia="en-AU"/>
        </w:rPr>
        <w:t>Corporations Act</w:t>
      </w:r>
      <w:r w:rsidR="003740C5" w:rsidRPr="00E1065D">
        <w:rPr>
          <w:lang w:eastAsia="en-AU"/>
        </w:rPr>
        <w:t>, s 1378 provides that registration under earlier state law has effect as if it were registration under Pt 2A.2 of the </w:t>
      </w:r>
      <w:r w:rsidR="003740C5" w:rsidRPr="00E1065D">
        <w:rPr>
          <w:i/>
          <w:iCs/>
          <w:lang w:eastAsia="en-AU"/>
        </w:rPr>
        <w:t>Corporations Act</w:t>
      </w:r>
      <w:r w:rsidR="003740C5" w:rsidRPr="00E1065D">
        <w:rPr>
          <w:lang w:eastAsia="en-AU"/>
        </w:rPr>
        <w:t>). The ability to sue the respondent as an entity now arises under and depends upon a law of the Commonwealth.</w:t>
      </w:r>
    </w:p>
    <w:p w14:paraId="2B4EF3FA" w14:textId="67DB1C6E" w:rsidR="003740C5" w:rsidRPr="00E1065D" w:rsidRDefault="00A37A15" w:rsidP="00A37A15">
      <w:pPr>
        <w:pStyle w:val="Quote1"/>
        <w:rPr>
          <w:lang w:eastAsia="en-AU"/>
        </w:rPr>
      </w:pPr>
      <w:r>
        <w:rPr>
          <w:lang w:eastAsia="en-AU"/>
        </w:rPr>
        <w:t>17.</w:t>
      </w:r>
      <w:r>
        <w:rPr>
          <w:lang w:eastAsia="en-AU"/>
        </w:rPr>
        <w:tab/>
      </w:r>
      <w:r w:rsidR="003740C5" w:rsidRPr="00E1065D">
        <w:rPr>
          <w:lang w:eastAsia="en-AU"/>
        </w:rPr>
        <w:t>This and other recondite ways that jurisdiction is attracted can be put to one side for present purposes, however, because the invocation of federal jurisdiction in the presen</w:t>
      </w:r>
      <w:r w:rsidR="00187BED">
        <w:rPr>
          <w:lang w:eastAsia="en-AU"/>
        </w:rPr>
        <w:t>t case</w:t>
      </w:r>
      <w:r w:rsidR="003740C5" w:rsidRPr="00E1065D">
        <w:rPr>
          <w:lang w:eastAsia="en-AU"/>
        </w:rPr>
        <w:t> is quite straightforward. Even if I were to find, contrary to Mr Oliver’s assertion in the initial statement of claim, that upon consideration of the evidence there was no proof of publication outside New South Wales, that does not mean the matter has not always been within federal jurisdiction since the assertion was made: </w:t>
      </w:r>
      <w:r w:rsidR="003740C5" w:rsidRPr="00E1065D">
        <w:rPr>
          <w:i/>
          <w:iCs/>
          <w:lang w:eastAsia="en-AU"/>
        </w:rPr>
        <w:t>Burgundy Royale Investments Pty Ltd v Westpac Banking Corporation</w:t>
      </w:r>
      <w:r w:rsidR="003740C5" w:rsidRPr="00E1065D">
        <w:rPr>
          <w:lang w:eastAsia="en-AU"/>
        </w:rPr>
        <w:t xml:space="preserve"> (1987) 18 FCR 212 at 219. As the now Chief Justice noted in (2002) 23 </w:t>
      </w:r>
      <w:proofErr w:type="spellStart"/>
      <w:r w:rsidR="003740C5" w:rsidRPr="00E1065D">
        <w:rPr>
          <w:lang w:eastAsia="en-AU"/>
        </w:rPr>
        <w:t>Aust</w:t>
      </w:r>
      <w:proofErr w:type="spellEnd"/>
      <w:r w:rsidR="003740C5" w:rsidRPr="00E1065D">
        <w:rPr>
          <w:lang w:eastAsia="en-AU"/>
        </w:rPr>
        <w:t xml:space="preserve"> Bar Rev 29 at 45:</w:t>
      </w:r>
    </w:p>
    <w:p w14:paraId="0EF29796" w14:textId="77777777" w:rsidR="003740C5" w:rsidRPr="00E1065D" w:rsidRDefault="003740C5" w:rsidP="00A37A15">
      <w:pPr>
        <w:pStyle w:val="Quote2"/>
        <w:rPr>
          <w:lang w:eastAsia="en-AU"/>
        </w:rPr>
      </w:pPr>
      <w:r w:rsidRPr="00E1065D">
        <w:rPr>
          <w:lang w:eastAsia="en-AU"/>
        </w:rPr>
        <w:t>Once a non-colourable assertion is made, that clothes the court with federal jurisdiction, which, once gained, is never lost. Owen Dixon KC’s testimony to the Royal Commission on the Constitution in 1927 put the matter in pungent practical terms:</w:t>
      </w:r>
    </w:p>
    <w:p w14:paraId="0BAE2033" w14:textId="77777777" w:rsidR="003740C5" w:rsidRPr="00E1065D" w:rsidRDefault="003740C5" w:rsidP="00A37A15">
      <w:pPr>
        <w:pStyle w:val="Quote3"/>
        <w:rPr>
          <w:lang w:eastAsia="en-AU"/>
        </w:rPr>
      </w:pPr>
      <w:r w:rsidRPr="00E1065D">
        <w:rPr>
          <w:lang w:eastAsia="en-AU"/>
        </w:rPr>
        <w:t xml:space="preserve">So, if a tramp about to cross the bridge at Swan Hill is arrested for vagrancy and is intelligent enough to object that he is engaged in </w:t>
      </w:r>
      <w:r w:rsidRPr="00E1065D">
        <w:rPr>
          <w:lang w:eastAsia="en-AU"/>
        </w:rPr>
        <w:lastRenderedPageBreak/>
        <w:t>interstate commerce and cannot be obstructed, a matter arises under the Constitution. His objection may be constitutional nonsense, but his</w:t>
      </w:r>
      <w:r w:rsidR="00187BED">
        <w:rPr>
          <w:lang w:eastAsia="en-AU"/>
        </w:rPr>
        <w:t xml:space="preserve"> case</w:t>
      </w:r>
      <w:r w:rsidRPr="00E1065D">
        <w:rPr>
          <w:lang w:eastAsia="en-AU"/>
        </w:rPr>
        <w:t> is at once one of Federal jurisdiction.</w:t>
      </w:r>
    </w:p>
    <w:p w14:paraId="3215FBAD" w14:textId="77777777" w:rsidR="003740C5" w:rsidRPr="00E1065D" w:rsidRDefault="003740C5" w:rsidP="00A37A15">
      <w:pPr>
        <w:pStyle w:val="Quote2"/>
        <w:rPr>
          <w:lang w:eastAsia="en-AU"/>
        </w:rPr>
      </w:pPr>
      <w:r w:rsidRPr="00E1065D">
        <w:rPr>
          <w:lang w:eastAsia="en-AU"/>
        </w:rPr>
        <w:t>‘Colourable’ imports improper purpose, or a lack of </w:t>
      </w:r>
      <w:r w:rsidRPr="00E1065D">
        <w:rPr>
          <w:i/>
          <w:iCs/>
          <w:lang w:eastAsia="en-AU"/>
        </w:rPr>
        <w:t>bona fides</w:t>
      </w:r>
      <w:r w:rsidRPr="00E1065D">
        <w:rPr>
          <w:lang w:eastAsia="en-AU"/>
        </w:rPr>
        <w:t>. It is not judged by reference to the strength and weakness of the </w:t>
      </w:r>
      <w:r w:rsidR="00187BED">
        <w:rPr>
          <w:lang w:eastAsia="en-AU"/>
        </w:rPr>
        <w:t xml:space="preserve">case </w:t>
      </w:r>
      <w:r w:rsidRPr="00E1065D">
        <w:rPr>
          <w:lang w:eastAsia="en-AU"/>
        </w:rPr>
        <w:t>alone. Improper purpose or lack of </w:t>
      </w:r>
      <w:r w:rsidRPr="00E1065D">
        <w:rPr>
          <w:i/>
          <w:iCs/>
          <w:lang w:eastAsia="en-AU"/>
        </w:rPr>
        <w:t>bona fides </w:t>
      </w:r>
      <w:r w:rsidRPr="00E1065D">
        <w:rPr>
          <w:lang w:eastAsia="en-AU"/>
        </w:rPr>
        <w:t>carries with it the notion of an abuse of process.</w:t>
      </w:r>
    </w:p>
    <w:p w14:paraId="1064E9B4" w14:textId="2EA97C61" w:rsidR="003740C5" w:rsidRDefault="00A37A15" w:rsidP="00A37A15">
      <w:pPr>
        <w:pStyle w:val="Quote1"/>
        <w:rPr>
          <w:lang w:eastAsia="en-AU"/>
        </w:rPr>
      </w:pPr>
      <w:r>
        <w:rPr>
          <w:lang w:eastAsia="en-AU"/>
        </w:rPr>
        <w:t>18.</w:t>
      </w:r>
      <w:r>
        <w:rPr>
          <w:lang w:eastAsia="en-AU"/>
        </w:rPr>
        <w:tab/>
      </w:r>
      <w:r w:rsidR="003740C5" w:rsidRPr="00E1065D">
        <w:rPr>
          <w:lang w:eastAsia="en-AU"/>
        </w:rPr>
        <w:t>There is no suggestion here that that the relevant assertion as to publication in the Territories made in the initial statement of claim was colourable.  Federal jurisdiction was thereby attracted and once federal, the matter is always federal: </w:t>
      </w:r>
      <w:r w:rsidR="003740C5" w:rsidRPr="00E1065D">
        <w:rPr>
          <w:i/>
          <w:iCs/>
          <w:lang w:eastAsia="en-AU"/>
        </w:rPr>
        <w:t xml:space="preserve">Hooper v </w:t>
      </w:r>
      <w:proofErr w:type="spellStart"/>
      <w:r w:rsidR="003740C5" w:rsidRPr="00E1065D">
        <w:rPr>
          <w:i/>
          <w:iCs/>
          <w:lang w:eastAsia="en-AU"/>
        </w:rPr>
        <w:t>Kirella</w:t>
      </w:r>
      <w:proofErr w:type="spellEnd"/>
      <w:r w:rsidR="003740C5" w:rsidRPr="00E1065D">
        <w:rPr>
          <w:i/>
          <w:iCs/>
          <w:lang w:eastAsia="en-AU"/>
        </w:rPr>
        <w:t xml:space="preserve"> Pty Ltd </w:t>
      </w:r>
      <w:r w:rsidR="003740C5" w:rsidRPr="00E1065D">
        <w:rPr>
          <w:lang w:eastAsia="en-AU"/>
        </w:rPr>
        <w:t>[1999] </w:t>
      </w:r>
      <w:r w:rsidR="00187BED">
        <w:rPr>
          <w:lang w:eastAsia="en-AU"/>
        </w:rPr>
        <w:t xml:space="preserve">FCA </w:t>
      </w:r>
      <w:r w:rsidR="003740C5" w:rsidRPr="00E1065D">
        <w:rPr>
          <w:lang w:eastAsia="en-AU"/>
        </w:rPr>
        <w:t>1584; (1999) 96 FCR 1 at 13-16 [45]-[55]. If an allegation of publication in the Territories is made </w:t>
      </w:r>
      <w:r w:rsidR="003740C5" w:rsidRPr="00E1065D">
        <w:rPr>
          <w:i/>
          <w:iCs/>
          <w:lang w:eastAsia="en-AU"/>
        </w:rPr>
        <w:t>bona fide</w:t>
      </w:r>
      <w:r w:rsidR="003740C5" w:rsidRPr="00E1065D">
        <w:rPr>
          <w:lang w:eastAsia="en-AU"/>
        </w:rPr>
        <w:t>, the Court is properly seized with jurisdiction to deal with the controversy and always will be even if the non-colourable allegation was unnecessary to decide, abandoned, struck out, or otherwise rejected on the evidence adduced at trial. As it turns out in this</w:t>
      </w:r>
      <w:r w:rsidR="00187BED">
        <w:rPr>
          <w:lang w:eastAsia="en-AU"/>
        </w:rPr>
        <w:t xml:space="preserve"> case,</w:t>
      </w:r>
      <w:r w:rsidR="003740C5" w:rsidRPr="00E1065D">
        <w:rPr>
          <w:lang w:eastAsia="en-AU"/>
        </w:rPr>
        <w:t xml:space="preserve"> no evidence was adduced by Mr Oliver to prove publication in the Territories being a material fact pleaded and upon which issue was joined. As a consequence, the allegation fails for want of proof, but this does not mean that federal jurisdiction, properly invoked upon the </w:t>
      </w:r>
      <w:r w:rsidR="003740C5" w:rsidRPr="00E1065D">
        <w:rPr>
          <w:i/>
          <w:iCs/>
          <w:lang w:eastAsia="en-AU"/>
        </w:rPr>
        <w:t>bona fide</w:t>
      </w:r>
      <w:r w:rsidR="003740C5" w:rsidRPr="00E1065D">
        <w:rPr>
          <w:lang w:eastAsia="en-AU"/>
        </w:rPr>
        <w:t> making of the allegation, somehow disappeared like a will-o’-the-wisp.</w:t>
      </w:r>
    </w:p>
    <w:p w14:paraId="3715650A" w14:textId="002CE2AC" w:rsidR="00C84E7E" w:rsidRPr="00E1065D" w:rsidRDefault="00C84E7E" w:rsidP="00A37A15">
      <w:pPr>
        <w:pStyle w:val="Quote1"/>
        <w:rPr>
          <w:lang w:eastAsia="en-AU"/>
        </w:rPr>
      </w:pPr>
      <w:r>
        <w:rPr>
          <w:lang w:eastAsia="en-AU"/>
        </w:rPr>
        <w:t>(E</w:t>
      </w:r>
      <w:r w:rsidR="009A2B53">
        <w:rPr>
          <w:lang w:eastAsia="en-AU"/>
        </w:rPr>
        <w:t>mphasis in original</w:t>
      </w:r>
      <w:r>
        <w:rPr>
          <w:lang w:eastAsia="en-AU"/>
        </w:rPr>
        <w:t>)</w:t>
      </w:r>
      <w:r w:rsidR="009A2B53">
        <w:rPr>
          <w:lang w:eastAsia="en-AU"/>
        </w:rPr>
        <w:t>.</w:t>
      </w:r>
    </w:p>
    <w:p w14:paraId="3A93CB9C" w14:textId="6C3042BB" w:rsidR="005D65D4" w:rsidRPr="005D65D4" w:rsidRDefault="005D65D4" w:rsidP="005D65D4">
      <w:pPr>
        <w:pStyle w:val="ParaNumbering"/>
        <w:ind w:left="0"/>
      </w:pPr>
      <w:r>
        <w:t>This summary remains a</w:t>
      </w:r>
      <w:r w:rsidR="00095F23">
        <w:t>ccurate, although any reference to “</w:t>
      </w:r>
      <w:r w:rsidRPr="005D65D4">
        <w:t xml:space="preserve">accrued jurisdiction” </w:t>
      </w:r>
      <w:r>
        <w:t xml:space="preserve">is </w:t>
      </w:r>
      <w:r w:rsidRPr="005D65D4">
        <w:t>now best a</w:t>
      </w:r>
      <w:r w:rsidR="00F10EAA">
        <w:t xml:space="preserve">voided: see </w:t>
      </w:r>
      <w:proofErr w:type="spellStart"/>
      <w:r w:rsidRPr="00F10EAA">
        <w:rPr>
          <w:i/>
        </w:rPr>
        <w:t>Rizeq</w:t>
      </w:r>
      <w:proofErr w:type="spellEnd"/>
      <w:r w:rsidRPr="00F10EAA">
        <w:rPr>
          <w:i/>
        </w:rPr>
        <w:t xml:space="preserve"> v Western Australia</w:t>
      </w:r>
      <w:r w:rsidRPr="00F10EAA">
        <w:t> [2017] HCA 23; </w:t>
      </w:r>
      <w:r w:rsidR="00F10EAA">
        <w:t xml:space="preserve">(2017) </w:t>
      </w:r>
      <w:r w:rsidR="00F10EAA" w:rsidRPr="00F10EAA">
        <w:t>262 CLR 1</w:t>
      </w:r>
      <w:r w:rsidRPr="00F10EAA">
        <w:t> </w:t>
      </w:r>
      <w:r w:rsidR="00095F23">
        <w:t>(</w:t>
      </w:r>
      <w:r w:rsidRPr="00F10EAA">
        <w:t>at</w:t>
      </w:r>
      <w:r w:rsidR="00F10EAA">
        <w:t xml:space="preserve"> 24</w:t>
      </w:r>
      <w:r w:rsidRPr="00F10EAA">
        <w:t xml:space="preserve"> [55] per Bell, </w:t>
      </w:r>
      <w:proofErr w:type="spellStart"/>
      <w:r w:rsidRPr="00F10EAA">
        <w:t>Gageler</w:t>
      </w:r>
      <w:proofErr w:type="spellEnd"/>
      <w:r w:rsidRPr="00F10EAA">
        <w:t>, Keane, Nettle and Gordon JJ</w:t>
      </w:r>
      <w:r w:rsidR="00095F23">
        <w:t>)</w:t>
      </w:r>
      <w:r w:rsidRPr="00F10EAA">
        <w:t>.</w:t>
      </w:r>
      <w:r w:rsidR="001173A2" w:rsidRPr="00F10EAA">
        <w:t xml:space="preserve"> </w:t>
      </w:r>
      <w:r w:rsidRPr="00F10EAA">
        <w:t xml:space="preserve">Apart from the fact that </w:t>
      </w:r>
      <w:r w:rsidR="004D73B4">
        <w:t>“accrued jurisdiction”</w:t>
      </w:r>
      <w:r>
        <w:t xml:space="preserve"> has sometimes been confused with </w:t>
      </w:r>
      <w:r w:rsidR="004D73B4">
        <w:t>the</w:t>
      </w:r>
      <w:r>
        <w:t xml:space="preserve"> wholly distinct concept of “</w:t>
      </w:r>
      <w:r w:rsidRPr="005D65D4">
        <w:rPr>
          <w:rFonts w:eastAsia="Batang"/>
          <w:szCs w:val="20"/>
          <w:lang w:eastAsia="en-US"/>
        </w:rPr>
        <w:t>associated jurisdiction</w:t>
      </w:r>
      <w:r>
        <w:t>” in s 32 of the FCAA,</w:t>
      </w:r>
      <w:r w:rsidRPr="005D65D4">
        <w:rPr>
          <w:rFonts w:eastAsia="Batang"/>
          <w:szCs w:val="20"/>
          <w:lang w:eastAsia="en-US"/>
        </w:rPr>
        <w:t xml:space="preserve"> </w:t>
      </w:r>
      <w:r w:rsidR="00095F23">
        <w:t>the</w:t>
      </w:r>
      <w:r>
        <w:t xml:space="preserve"> use</w:t>
      </w:r>
      <w:r w:rsidR="00095F23">
        <w:t xml:space="preserve"> of the term “accrued jurisdiction”</w:t>
      </w:r>
      <w:r>
        <w:t xml:space="preserve"> tends to obscure the reality </w:t>
      </w:r>
      <w:r w:rsidR="00144F4D">
        <w:t>that</w:t>
      </w:r>
      <w:r>
        <w:t xml:space="preserve"> where </w:t>
      </w:r>
      <w:r w:rsidRPr="005D65D4">
        <w:rPr>
          <w:rFonts w:eastAsia="Batang"/>
          <w:szCs w:val="20"/>
          <w:lang w:eastAsia="en-US"/>
        </w:rPr>
        <w:t>federal and “non-federal” claims comprise the same justiciable controversy, a court will have jurisdiction to resolve the entire matter</w:t>
      </w:r>
      <w:r>
        <w:t>, which is wholly federal,</w:t>
      </w:r>
      <w:r w:rsidRPr="005D65D4">
        <w:rPr>
          <w:rFonts w:eastAsia="Batang"/>
          <w:szCs w:val="20"/>
          <w:lang w:eastAsia="en-US"/>
        </w:rPr>
        <w:t xml:space="preserve"> in the exercise of its federal jurisdiction.</w:t>
      </w:r>
    </w:p>
    <w:p w14:paraId="0A66474E" w14:textId="7A4F9CE8" w:rsidR="003740C5" w:rsidRDefault="006C61FF" w:rsidP="005D65D4">
      <w:pPr>
        <w:pStyle w:val="ParaNumbering"/>
        <w:ind w:left="0"/>
      </w:pPr>
      <w:r>
        <w:t xml:space="preserve">For reasons I will explain, using the numbering adopted in </w:t>
      </w:r>
      <w:r w:rsidRPr="005D65D4">
        <w:rPr>
          <w:i/>
        </w:rPr>
        <w:t>Oliver</w:t>
      </w:r>
      <w:r>
        <w:t xml:space="preserve">, it is the </w:t>
      </w:r>
      <w:r w:rsidRPr="005D65D4">
        <w:rPr>
          <w:i/>
        </w:rPr>
        <w:t>fourth</w:t>
      </w:r>
      <w:r>
        <w:t xml:space="preserve"> </w:t>
      </w:r>
      <w:r w:rsidR="005D65D4">
        <w:t xml:space="preserve">and </w:t>
      </w:r>
      <w:r>
        <w:t xml:space="preserve">potentially </w:t>
      </w:r>
      <w:r w:rsidR="00746E70">
        <w:t xml:space="preserve">the </w:t>
      </w:r>
      <w:r>
        <w:t>most complicated way th</w:t>
      </w:r>
      <w:r w:rsidR="00746E70">
        <w:t xml:space="preserve">at jurisdiction may be attracted </w:t>
      </w:r>
      <w:r w:rsidR="00B33636">
        <w:t xml:space="preserve">that is </w:t>
      </w:r>
      <w:r w:rsidR="003265FE">
        <w:t xml:space="preserve">presently </w:t>
      </w:r>
      <w:r w:rsidR="00B33636">
        <w:t>relevant</w:t>
      </w:r>
      <w:r w:rsidR="00160D1F">
        <w:t xml:space="preserve"> (although this point is necessarily related to the </w:t>
      </w:r>
      <w:r w:rsidR="00160D1F" w:rsidRPr="00160D1F">
        <w:rPr>
          <w:i/>
        </w:rPr>
        <w:t>first</w:t>
      </w:r>
      <w:r w:rsidR="00160D1F">
        <w:t xml:space="preserve"> point made in </w:t>
      </w:r>
      <w:r w:rsidR="00160D1F" w:rsidRPr="00160D1F">
        <w:rPr>
          <w:i/>
        </w:rPr>
        <w:t>Oliver</w:t>
      </w:r>
      <w:r w:rsidR="009A2B53">
        <w:t xml:space="preserve"> at [11]–</w:t>
      </w:r>
      <w:r w:rsidR="00160D1F">
        <w:t>[13])</w:t>
      </w:r>
      <w:r w:rsidR="006A3FC9">
        <w:t xml:space="preserve">. </w:t>
      </w:r>
      <w:r w:rsidR="00746E70">
        <w:t xml:space="preserve">Therefore, after outlining the nature of Mr Mulley’s claim in section C, </w:t>
      </w:r>
      <w:r w:rsidR="006C2074">
        <w:t>I w</w:t>
      </w:r>
      <w:r w:rsidR="002E7F06">
        <w:t>ill</w:t>
      </w:r>
      <w:r w:rsidR="00746E70">
        <w:t xml:space="preserve"> return to the issue in section D to expand on </w:t>
      </w:r>
      <w:r>
        <w:t xml:space="preserve">what I said </w:t>
      </w:r>
      <w:r w:rsidR="00B33636">
        <w:t xml:space="preserve">by way of </w:t>
      </w:r>
      <w:r w:rsidR="00B33636" w:rsidRPr="005D65D4">
        <w:rPr>
          <w:i/>
        </w:rPr>
        <w:t>obiter</w:t>
      </w:r>
      <w:r w:rsidR="00B33636">
        <w:t xml:space="preserve"> </w:t>
      </w:r>
      <w:r>
        <w:t xml:space="preserve">in </w:t>
      </w:r>
      <w:r w:rsidRPr="005D65D4">
        <w:rPr>
          <w:i/>
        </w:rPr>
        <w:t>Oliver</w:t>
      </w:r>
      <w:r>
        <w:t xml:space="preserve"> </w:t>
      </w:r>
      <w:r w:rsidR="00002B25">
        <w:t>(</w:t>
      </w:r>
      <w:r>
        <w:t>at [16]</w:t>
      </w:r>
      <w:r w:rsidR="00002B25">
        <w:t>)</w:t>
      </w:r>
      <w:r w:rsidR="00746E70">
        <w:t>.</w:t>
      </w:r>
    </w:p>
    <w:p w14:paraId="10CA358F" w14:textId="77777777" w:rsidR="0087089B" w:rsidRPr="00187BED" w:rsidRDefault="00187BED" w:rsidP="00A37A15">
      <w:pPr>
        <w:pStyle w:val="Heading1"/>
      </w:pPr>
      <w:bookmarkStart w:id="24" w:name="_Ref82003793"/>
      <w:r w:rsidRPr="00187BED">
        <w:t>C</w:t>
      </w:r>
      <w:r w:rsidR="00125266">
        <w:tab/>
      </w:r>
      <w:r w:rsidR="0087089B" w:rsidRPr="00187BED">
        <w:t>THE NATURE OF MR MULLEY’S CLAIM</w:t>
      </w:r>
      <w:bookmarkEnd w:id="24"/>
    </w:p>
    <w:p w14:paraId="38756799" w14:textId="77777777" w:rsidR="002F52B7" w:rsidRDefault="00F7353B" w:rsidP="006632FA">
      <w:pPr>
        <w:pStyle w:val="ParaNumbering"/>
        <w:ind w:left="0"/>
      </w:pPr>
      <w:r>
        <w:t xml:space="preserve">The </w:t>
      </w:r>
      <w:r w:rsidR="002F52B7">
        <w:t>amended statement of claim</w:t>
      </w:r>
      <w:r w:rsidR="006C515D">
        <w:t xml:space="preserve"> (</w:t>
      </w:r>
      <w:r w:rsidR="006C515D" w:rsidRPr="00120C8F">
        <w:rPr>
          <w:b/>
        </w:rPr>
        <w:t>ASOC</w:t>
      </w:r>
      <w:r w:rsidR="006C515D">
        <w:t>)</w:t>
      </w:r>
      <w:r w:rsidR="002F52B7">
        <w:t xml:space="preserve">, prepared </w:t>
      </w:r>
      <w:r>
        <w:t xml:space="preserve">by Mr Mulley </w:t>
      </w:r>
      <w:r w:rsidR="002F52B7">
        <w:t>without</w:t>
      </w:r>
      <w:r w:rsidR="006D6FF0">
        <w:t xml:space="preserve"> the assistance of lawyers, is not a model of drafting. </w:t>
      </w:r>
    </w:p>
    <w:p w14:paraId="0B141859" w14:textId="09377531" w:rsidR="00F55B94" w:rsidRDefault="000F48F7" w:rsidP="006632FA">
      <w:pPr>
        <w:pStyle w:val="ParaNumbering"/>
        <w:ind w:left="0"/>
      </w:pPr>
      <w:r>
        <w:t xml:space="preserve">As </w:t>
      </w:r>
      <w:r w:rsidR="005923C8">
        <w:t>pleaded,</w:t>
      </w:r>
      <w:r>
        <w:t xml:space="preserve"> it might be thought that </w:t>
      </w:r>
      <w:r w:rsidR="00BB5108">
        <w:t>th</w:t>
      </w:r>
      <w:r w:rsidR="000F73C1">
        <w:t>ere are four</w:t>
      </w:r>
      <w:r w:rsidR="00BB5108">
        <w:t xml:space="preserve"> aspects of Mr Mulley’s claim</w:t>
      </w:r>
      <w:r>
        <w:t>.</w:t>
      </w:r>
      <w:r w:rsidR="001173A2">
        <w:t xml:space="preserve"> </w:t>
      </w:r>
      <w:r>
        <w:t>I will proceed on th</w:t>
      </w:r>
      <w:r w:rsidR="005923C8">
        <w:t>is</w:t>
      </w:r>
      <w:r>
        <w:t xml:space="preserve"> basis notwithstanding it became apparent </w:t>
      </w:r>
      <w:r w:rsidR="005923C8">
        <w:t>during</w:t>
      </w:r>
      <w:r w:rsidR="00C302DD">
        <w:t xml:space="preserve"> argument </w:t>
      </w:r>
      <w:r>
        <w:t>that the</w:t>
      </w:r>
      <w:r w:rsidR="005923C8">
        <w:t xml:space="preserve"> first two </w:t>
      </w:r>
      <w:r w:rsidR="00C302DD">
        <w:t xml:space="preserve">aspects </w:t>
      </w:r>
      <w:r w:rsidR="005923C8">
        <w:t xml:space="preserve">are </w:t>
      </w:r>
      <w:r w:rsidR="00C302DD">
        <w:lastRenderedPageBreak/>
        <w:t xml:space="preserve">now </w:t>
      </w:r>
      <w:r w:rsidR="005923C8">
        <w:t>not pressed as distinct claims (although historically they were different causes of action)</w:t>
      </w:r>
      <w:r w:rsidR="00BB5108">
        <w:t xml:space="preserve">. </w:t>
      </w:r>
      <w:r w:rsidR="006D6FF0">
        <w:t xml:space="preserve">For present purposes, </w:t>
      </w:r>
      <w:r w:rsidR="000F73C1">
        <w:t xml:space="preserve">two </w:t>
      </w:r>
      <w:r w:rsidR="005923C8">
        <w:t xml:space="preserve">related </w:t>
      </w:r>
      <w:r w:rsidR="00DF1E86">
        <w:t xml:space="preserve">aspects of the </w:t>
      </w:r>
      <w:r w:rsidR="005923C8">
        <w:t xml:space="preserve">pleaded </w:t>
      </w:r>
      <w:r w:rsidR="00DF1E86">
        <w:t xml:space="preserve">claim </w:t>
      </w:r>
      <w:r w:rsidR="00BB5108">
        <w:t xml:space="preserve">are untenable </w:t>
      </w:r>
      <w:r w:rsidR="00B85D1A">
        <w:t xml:space="preserve">and </w:t>
      </w:r>
      <w:r w:rsidR="00DF1E86">
        <w:t xml:space="preserve">can be </w:t>
      </w:r>
      <w:r w:rsidR="00DF1E86" w:rsidRPr="00AB65A8">
        <w:t xml:space="preserve">put to one side </w:t>
      </w:r>
      <w:r w:rsidR="00B85D1A" w:rsidRPr="00AB65A8">
        <w:t xml:space="preserve">(and </w:t>
      </w:r>
      <w:r w:rsidR="006C2074" w:rsidRPr="00AB65A8">
        <w:t xml:space="preserve">are </w:t>
      </w:r>
      <w:r w:rsidR="00B85D1A" w:rsidRPr="00AB65A8">
        <w:t xml:space="preserve">also irrelevant to the issue I am required to determine on the </w:t>
      </w:r>
      <w:r w:rsidR="00DF03AA">
        <w:t>Separate Q</w:t>
      </w:r>
      <w:r w:rsidR="00B85D1A" w:rsidRPr="00AB65A8">
        <w:t>uestion)</w:t>
      </w:r>
      <w:r w:rsidR="00D341C3">
        <w:t>.</w:t>
      </w:r>
      <w:r w:rsidR="00DF1E86">
        <w:t xml:space="preserve"> </w:t>
      </w:r>
      <w:r w:rsidR="006D6FF0">
        <w:t xml:space="preserve">The </w:t>
      </w:r>
      <w:r w:rsidR="00F55B94">
        <w:rPr>
          <w:i/>
        </w:rPr>
        <w:t>first</w:t>
      </w:r>
      <w:r w:rsidR="000F73C1">
        <w:t xml:space="preserve"> </w:t>
      </w:r>
      <w:r w:rsidR="00001F2C">
        <w:t xml:space="preserve">is </w:t>
      </w:r>
      <w:r w:rsidR="00120C8F">
        <w:t>a c</w:t>
      </w:r>
      <w:r w:rsidR="00CD2DEC">
        <w:t>laim for the loss of “</w:t>
      </w:r>
      <w:proofErr w:type="spellStart"/>
      <w:r w:rsidR="00CD2DEC">
        <w:t>conjical</w:t>
      </w:r>
      <w:proofErr w:type="spellEnd"/>
      <w:r w:rsidR="00CD2DEC">
        <w:t xml:space="preserve"> [</w:t>
      </w:r>
      <w:r w:rsidR="00CD2DEC" w:rsidRPr="00CB5119">
        <w:rPr>
          <w:i/>
        </w:rPr>
        <w:t>sic</w:t>
      </w:r>
      <w:r w:rsidR="00CD2DEC">
        <w:t>]</w:t>
      </w:r>
      <w:r w:rsidR="00120C8F">
        <w:t xml:space="preserve"> rights and friendship”, which does not sound in damages</w:t>
      </w:r>
      <w:r>
        <w:t xml:space="preserve"> and is not pressed by Mr Mulley in a way that is distinct from his </w:t>
      </w:r>
      <w:r w:rsidR="00F55B94">
        <w:rPr>
          <w:i/>
        </w:rPr>
        <w:t>second</w:t>
      </w:r>
      <w:r w:rsidR="006D6FF0">
        <w:t xml:space="preserve"> </w:t>
      </w:r>
      <w:r>
        <w:t xml:space="preserve">pleaded </w:t>
      </w:r>
      <w:r w:rsidR="00120C8F">
        <w:t>claim</w:t>
      </w:r>
      <w:r>
        <w:t>, being</w:t>
      </w:r>
      <w:r w:rsidR="00120C8F">
        <w:t xml:space="preserve"> for damages in tort for loss of consortium</w:t>
      </w:r>
      <w:r w:rsidR="00D341C3">
        <w:t xml:space="preserve">. </w:t>
      </w:r>
      <w:r w:rsidR="00120C8F">
        <w:t>As to the</w:t>
      </w:r>
      <w:r>
        <w:t xml:space="preserve"> loss of </w:t>
      </w:r>
      <w:r w:rsidRPr="003A08DC">
        <w:t>conjugal</w:t>
      </w:r>
      <w:r>
        <w:t xml:space="preserve"> rights,</w:t>
      </w:r>
      <w:r w:rsidR="00120C8F">
        <w:t xml:space="preserve"> </w:t>
      </w:r>
      <w:r w:rsidR="00001F2C">
        <w:t>b</w:t>
      </w:r>
      <w:r w:rsidR="0017761B" w:rsidRPr="003A08DC">
        <w:t xml:space="preserve">efore </w:t>
      </w:r>
      <w:r w:rsidR="006A3FC9">
        <w:t>2018</w:t>
      </w:r>
      <w:r w:rsidR="008017E4">
        <w:t>,</w:t>
      </w:r>
      <w:r w:rsidR="006A3FC9">
        <w:t xml:space="preserve"> </w:t>
      </w:r>
      <w:r w:rsidR="0017761B" w:rsidRPr="003A08DC">
        <w:t xml:space="preserve">s 114(2) of the </w:t>
      </w:r>
      <w:r w:rsidR="0017761B" w:rsidRPr="002A23BB">
        <w:rPr>
          <w:i/>
        </w:rPr>
        <w:t>Family Law Act 1975</w:t>
      </w:r>
      <w:r w:rsidR="0017761B" w:rsidRPr="002A23BB">
        <w:rPr>
          <w:spacing w:val="-8"/>
        </w:rPr>
        <w:t xml:space="preserve"> </w:t>
      </w:r>
      <w:r w:rsidR="0017761B" w:rsidRPr="002A23BB">
        <w:t>(</w:t>
      </w:r>
      <w:proofErr w:type="spellStart"/>
      <w:r w:rsidR="0017761B" w:rsidRPr="002A23BB">
        <w:t>Cth</w:t>
      </w:r>
      <w:proofErr w:type="spellEnd"/>
      <w:r w:rsidR="0017761B" w:rsidRPr="002A23BB">
        <w:t>)</w:t>
      </w:r>
      <w:r w:rsidR="0017761B" w:rsidRPr="00001F2C">
        <w:rPr>
          <w:spacing w:val="-8"/>
        </w:rPr>
        <w:t xml:space="preserve"> </w:t>
      </w:r>
      <w:r w:rsidR="0017761B" w:rsidRPr="003A08DC">
        <w:t>provided</w:t>
      </w:r>
      <w:r w:rsidR="0017761B" w:rsidRPr="00001F2C">
        <w:rPr>
          <w:spacing w:val="-7"/>
        </w:rPr>
        <w:t xml:space="preserve"> </w:t>
      </w:r>
      <w:r w:rsidR="0017761B" w:rsidRPr="003A08DC">
        <w:t>that</w:t>
      </w:r>
      <w:r w:rsidR="0017761B" w:rsidRPr="00001F2C">
        <w:rPr>
          <w:spacing w:val="-7"/>
        </w:rPr>
        <w:t xml:space="preserve"> </w:t>
      </w:r>
      <w:r w:rsidR="0017761B" w:rsidRPr="003A08DC">
        <w:t>in</w:t>
      </w:r>
      <w:r w:rsidR="0017761B" w:rsidRPr="00001F2C">
        <w:rPr>
          <w:spacing w:val="-7"/>
        </w:rPr>
        <w:t xml:space="preserve"> </w:t>
      </w:r>
      <w:r w:rsidR="0017761B" w:rsidRPr="003A08DC">
        <w:t>exercising</w:t>
      </w:r>
      <w:r w:rsidR="0017761B" w:rsidRPr="00001F2C">
        <w:rPr>
          <w:spacing w:val="-7"/>
        </w:rPr>
        <w:t xml:space="preserve"> </w:t>
      </w:r>
      <w:r w:rsidR="0017761B" w:rsidRPr="003A08DC">
        <w:t>its</w:t>
      </w:r>
      <w:r w:rsidR="0017761B" w:rsidRPr="00001F2C">
        <w:rPr>
          <w:spacing w:val="-7"/>
        </w:rPr>
        <w:t xml:space="preserve"> </w:t>
      </w:r>
      <w:r w:rsidR="0017761B" w:rsidRPr="003A08DC">
        <w:t>power</w:t>
      </w:r>
      <w:r w:rsidR="0017761B" w:rsidRPr="00001F2C">
        <w:rPr>
          <w:spacing w:val="-7"/>
        </w:rPr>
        <w:t xml:space="preserve"> </w:t>
      </w:r>
      <w:r w:rsidR="0017761B" w:rsidRPr="003A08DC">
        <w:t>under</w:t>
      </w:r>
      <w:r w:rsidR="0017761B" w:rsidRPr="00001F2C">
        <w:rPr>
          <w:spacing w:val="-8"/>
        </w:rPr>
        <w:t xml:space="preserve"> </w:t>
      </w:r>
      <w:r w:rsidR="0017761B" w:rsidRPr="003A08DC">
        <w:t>s</w:t>
      </w:r>
      <w:r w:rsidR="0017761B" w:rsidRPr="00001F2C">
        <w:rPr>
          <w:spacing w:val="-7"/>
        </w:rPr>
        <w:t xml:space="preserve"> </w:t>
      </w:r>
      <w:r w:rsidR="0017761B" w:rsidRPr="003A08DC">
        <w:t>114(1)</w:t>
      </w:r>
      <w:r w:rsidR="00001F2C">
        <w:t>,</w:t>
      </w:r>
      <w:r w:rsidR="0017761B" w:rsidRPr="00001F2C">
        <w:rPr>
          <w:spacing w:val="-7"/>
        </w:rPr>
        <w:t xml:space="preserve"> </w:t>
      </w:r>
      <w:r w:rsidR="0017761B" w:rsidRPr="003A08DC">
        <w:t>the</w:t>
      </w:r>
      <w:r w:rsidR="0017761B" w:rsidRPr="00001F2C">
        <w:rPr>
          <w:spacing w:val="-7"/>
        </w:rPr>
        <w:t xml:space="preserve"> </w:t>
      </w:r>
      <w:r w:rsidR="0017761B" w:rsidRPr="003A08DC">
        <w:t>Court</w:t>
      </w:r>
      <w:r w:rsidR="0017761B" w:rsidRPr="00001F2C">
        <w:rPr>
          <w:spacing w:val="-7"/>
        </w:rPr>
        <w:t xml:space="preserve"> </w:t>
      </w:r>
      <w:r w:rsidR="0017761B" w:rsidRPr="003A08DC">
        <w:t>“may</w:t>
      </w:r>
      <w:r w:rsidR="0017761B" w:rsidRPr="00001F2C">
        <w:rPr>
          <w:spacing w:val="-7"/>
        </w:rPr>
        <w:t xml:space="preserve"> </w:t>
      </w:r>
      <w:r w:rsidR="0017761B" w:rsidRPr="003A08DC">
        <w:t>make an</w:t>
      </w:r>
      <w:r w:rsidR="0017761B" w:rsidRPr="00001F2C">
        <w:rPr>
          <w:spacing w:val="-14"/>
        </w:rPr>
        <w:t xml:space="preserve"> </w:t>
      </w:r>
      <w:r w:rsidR="0017761B" w:rsidRPr="003A08DC">
        <w:t>order</w:t>
      </w:r>
      <w:r w:rsidR="0017761B" w:rsidRPr="00001F2C">
        <w:rPr>
          <w:spacing w:val="-14"/>
        </w:rPr>
        <w:t xml:space="preserve"> </w:t>
      </w:r>
      <w:r w:rsidR="0017761B" w:rsidRPr="003A08DC">
        <w:t>relieving</w:t>
      </w:r>
      <w:r w:rsidR="0017761B" w:rsidRPr="00001F2C">
        <w:rPr>
          <w:spacing w:val="-13"/>
        </w:rPr>
        <w:t xml:space="preserve"> </w:t>
      </w:r>
      <w:r w:rsidR="0017761B" w:rsidRPr="003A08DC">
        <w:t>a</w:t>
      </w:r>
      <w:r w:rsidR="0017761B" w:rsidRPr="00001F2C">
        <w:rPr>
          <w:spacing w:val="-14"/>
        </w:rPr>
        <w:t xml:space="preserve"> </w:t>
      </w:r>
      <w:r w:rsidR="0017761B" w:rsidRPr="003A08DC">
        <w:t>party</w:t>
      </w:r>
      <w:r w:rsidR="0017761B" w:rsidRPr="00001F2C">
        <w:rPr>
          <w:spacing w:val="-13"/>
        </w:rPr>
        <w:t xml:space="preserve"> </w:t>
      </w:r>
      <w:r w:rsidR="0017761B" w:rsidRPr="003A08DC">
        <w:t>to</w:t>
      </w:r>
      <w:r w:rsidR="0017761B" w:rsidRPr="00001F2C">
        <w:rPr>
          <w:spacing w:val="-14"/>
        </w:rPr>
        <w:t xml:space="preserve"> </w:t>
      </w:r>
      <w:r w:rsidR="0017761B" w:rsidRPr="003A08DC">
        <w:t>a</w:t>
      </w:r>
      <w:r w:rsidR="0017761B" w:rsidRPr="00001F2C">
        <w:rPr>
          <w:spacing w:val="-13"/>
        </w:rPr>
        <w:t xml:space="preserve"> </w:t>
      </w:r>
      <w:r w:rsidR="0017761B" w:rsidRPr="003A08DC">
        <w:t>marriage</w:t>
      </w:r>
      <w:r w:rsidR="0017761B" w:rsidRPr="00001F2C">
        <w:rPr>
          <w:spacing w:val="-14"/>
        </w:rPr>
        <w:t xml:space="preserve"> </w:t>
      </w:r>
      <w:r w:rsidR="0017761B" w:rsidRPr="003A08DC">
        <w:t>from</w:t>
      </w:r>
      <w:r w:rsidR="0017761B" w:rsidRPr="00001F2C">
        <w:rPr>
          <w:spacing w:val="-13"/>
        </w:rPr>
        <w:t xml:space="preserve"> </w:t>
      </w:r>
      <w:r w:rsidR="0017761B" w:rsidRPr="003A08DC">
        <w:t>any</w:t>
      </w:r>
      <w:r w:rsidR="0017761B" w:rsidRPr="00001F2C">
        <w:rPr>
          <w:spacing w:val="-14"/>
        </w:rPr>
        <w:t xml:space="preserve"> </w:t>
      </w:r>
      <w:r w:rsidR="0017761B" w:rsidRPr="003A08DC">
        <w:t>obligation</w:t>
      </w:r>
      <w:r w:rsidR="0017761B" w:rsidRPr="00001F2C">
        <w:rPr>
          <w:spacing w:val="-13"/>
        </w:rPr>
        <w:t xml:space="preserve"> </w:t>
      </w:r>
      <w:r w:rsidR="0017761B" w:rsidRPr="003A08DC">
        <w:t>to</w:t>
      </w:r>
      <w:r w:rsidR="0017761B" w:rsidRPr="00001F2C">
        <w:rPr>
          <w:spacing w:val="-14"/>
        </w:rPr>
        <w:t xml:space="preserve"> </w:t>
      </w:r>
      <w:r w:rsidR="0017761B" w:rsidRPr="003A08DC">
        <w:t>perform</w:t>
      </w:r>
      <w:r w:rsidR="0017761B" w:rsidRPr="00001F2C">
        <w:rPr>
          <w:spacing w:val="-14"/>
        </w:rPr>
        <w:t xml:space="preserve"> </w:t>
      </w:r>
      <w:r w:rsidR="0017761B" w:rsidRPr="003A08DC">
        <w:t>marital</w:t>
      </w:r>
      <w:r w:rsidR="0017761B" w:rsidRPr="00001F2C">
        <w:rPr>
          <w:spacing w:val="-13"/>
        </w:rPr>
        <w:t xml:space="preserve"> </w:t>
      </w:r>
      <w:r w:rsidR="0017761B" w:rsidRPr="003A08DC">
        <w:t>services</w:t>
      </w:r>
      <w:r w:rsidR="0017761B" w:rsidRPr="00001F2C">
        <w:rPr>
          <w:spacing w:val="-14"/>
        </w:rPr>
        <w:t xml:space="preserve"> </w:t>
      </w:r>
      <w:r w:rsidR="0017761B" w:rsidRPr="003A08DC">
        <w:t>or</w:t>
      </w:r>
      <w:r w:rsidR="0017761B" w:rsidRPr="00001F2C">
        <w:rPr>
          <w:spacing w:val="-13"/>
        </w:rPr>
        <w:t xml:space="preserve"> </w:t>
      </w:r>
      <w:r w:rsidR="0017761B" w:rsidRPr="003A08DC">
        <w:t>render conjugal rights”</w:t>
      </w:r>
      <w:r w:rsidR="008017E4">
        <w:t>. However,</w:t>
      </w:r>
      <w:r w:rsidR="006A3FC9">
        <w:t xml:space="preserve"> </w:t>
      </w:r>
      <w:r w:rsidR="00F7353B">
        <w:t>t</w:t>
      </w:r>
      <w:r w:rsidR="0017761B" w:rsidRPr="003A08DC">
        <w:t xml:space="preserve">his section was </w:t>
      </w:r>
      <w:r w:rsidR="0017761B" w:rsidRPr="008017E4">
        <w:t xml:space="preserve">repealed by </w:t>
      </w:r>
      <w:r w:rsidR="006458B5" w:rsidRPr="008017E4">
        <w:t xml:space="preserve">the </w:t>
      </w:r>
      <w:r w:rsidR="0017761B" w:rsidRPr="008017E4">
        <w:rPr>
          <w:i/>
        </w:rPr>
        <w:t xml:space="preserve">Family </w:t>
      </w:r>
      <w:r w:rsidR="008B74C1">
        <w:rPr>
          <w:i/>
        </w:rPr>
        <w:t>Law Amendment (Family Violence a</w:t>
      </w:r>
      <w:r w:rsidR="0017761B" w:rsidRPr="008017E4">
        <w:rPr>
          <w:i/>
        </w:rPr>
        <w:t>nd Other Measures)</w:t>
      </w:r>
      <w:r w:rsidR="0017761B" w:rsidRPr="008017E4">
        <w:rPr>
          <w:i/>
          <w:spacing w:val="-7"/>
        </w:rPr>
        <w:t xml:space="preserve"> </w:t>
      </w:r>
      <w:r w:rsidR="0017761B" w:rsidRPr="008017E4">
        <w:rPr>
          <w:i/>
        </w:rPr>
        <w:t>Act</w:t>
      </w:r>
      <w:r w:rsidR="0017761B" w:rsidRPr="008017E4">
        <w:rPr>
          <w:i/>
          <w:spacing w:val="-7"/>
        </w:rPr>
        <w:t xml:space="preserve"> </w:t>
      </w:r>
      <w:r w:rsidR="0017761B" w:rsidRPr="008017E4">
        <w:rPr>
          <w:i/>
        </w:rPr>
        <w:t>2018</w:t>
      </w:r>
      <w:r w:rsidR="0017761B" w:rsidRPr="008017E4">
        <w:rPr>
          <w:i/>
          <w:spacing w:val="-7"/>
        </w:rPr>
        <w:t xml:space="preserve"> </w:t>
      </w:r>
      <w:r w:rsidR="0017761B" w:rsidRPr="008017E4">
        <w:t>(</w:t>
      </w:r>
      <w:proofErr w:type="spellStart"/>
      <w:r w:rsidR="0017761B" w:rsidRPr="008017E4">
        <w:t>Cth</w:t>
      </w:r>
      <w:proofErr w:type="spellEnd"/>
      <w:r w:rsidR="0017761B" w:rsidRPr="008017E4">
        <w:t>).</w:t>
      </w:r>
      <w:r w:rsidR="0017761B" w:rsidRPr="008017E4">
        <w:rPr>
          <w:spacing w:val="-7"/>
        </w:rPr>
        <w:t xml:space="preserve"> </w:t>
      </w:r>
      <w:r w:rsidR="0017761B" w:rsidRPr="008017E4">
        <w:t>The</w:t>
      </w:r>
      <w:r w:rsidR="0017761B" w:rsidRPr="008017E4">
        <w:rPr>
          <w:spacing w:val="-7"/>
        </w:rPr>
        <w:t xml:space="preserve"> </w:t>
      </w:r>
      <w:r w:rsidR="0017761B" w:rsidRPr="008017E4">
        <w:t>Explanatory</w:t>
      </w:r>
      <w:r w:rsidR="0017761B" w:rsidRPr="008017E4">
        <w:rPr>
          <w:spacing w:val="-6"/>
        </w:rPr>
        <w:t xml:space="preserve"> </w:t>
      </w:r>
      <w:r w:rsidR="0017761B" w:rsidRPr="008017E4">
        <w:t>Memorandum</w:t>
      </w:r>
      <w:r w:rsidR="0017761B" w:rsidRPr="008017E4">
        <w:rPr>
          <w:spacing w:val="-7"/>
        </w:rPr>
        <w:t xml:space="preserve"> </w:t>
      </w:r>
      <w:r w:rsidR="0017761B" w:rsidRPr="008017E4">
        <w:t>to</w:t>
      </w:r>
      <w:r w:rsidR="0017761B" w:rsidRPr="008017E4">
        <w:rPr>
          <w:spacing w:val="-7"/>
        </w:rPr>
        <w:t xml:space="preserve"> </w:t>
      </w:r>
      <w:r w:rsidR="0017761B" w:rsidRPr="008017E4">
        <w:t>this</w:t>
      </w:r>
      <w:r w:rsidR="0017761B" w:rsidRPr="008017E4">
        <w:rPr>
          <w:spacing w:val="-7"/>
        </w:rPr>
        <w:t xml:space="preserve"> </w:t>
      </w:r>
      <w:r w:rsidR="0017761B" w:rsidRPr="008017E4">
        <w:t>Act</w:t>
      </w:r>
      <w:r w:rsidR="0017761B" w:rsidRPr="008017E4">
        <w:rPr>
          <w:spacing w:val="-7"/>
        </w:rPr>
        <w:t xml:space="preserve"> </w:t>
      </w:r>
      <w:r w:rsidR="0017761B" w:rsidRPr="008017E4">
        <w:t>provided</w:t>
      </w:r>
      <w:r w:rsidR="0017761B" w:rsidRPr="008017E4">
        <w:rPr>
          <w:spacing w:val="-7"/>
        </w:rPr>
        <w:t xml:space="preserve"> </w:t>
      </w:r>
      <w:r w:rsidR="00C033E0" w:rsidRPr="008017E4">
        <w:t>(at [13])</w:t>
      </w:r>
      <w:r w:rsidR="00C033E0">
        <w:t xml:space="preserve"> </w:t>
      </w:r>
      <w:r w:rsidR="00DB59E2">
        <w:rPr>
          <w:spacing w:val="-7"/>
        </w:rPr>
        <w:t xml:space="preserve">that </w:t>
      </w:r>
      <w:r w:rsidR="0017761B" w:rsidRPr="008017E4">
        <w:t>“the</w:t>
      </w:r>
      <w:r w:rsidR="0017761B" w:rsidRPr="008017E4">
        <w:rPr>
          <w:spacing w:val="-6"/>
        </w:rPr>
        <w:t xml:space="preserve"> </w:t>
      </w:r>
      <w:r w:rsidR="0017761B" w:rsidRPr="008017E4">
        <w:t>[Act]</w:t>
      </w:r>
      <w:r w:rsidR="0017761B" w:rsidRPr="008017E4">
        <w:rPr>
          <w:spacing w:val="-7"/>
        </w:rPr>
        <w:t xml:space="preserve"> </w:t>
      </w:r>
      <w:r w:rsidR="0017761B" w:rsidRPr="008017E4">
        <w:t>would remove</w:t>
      </w:r>
      <w:r w:rsidR="0017761B" w:rsidRPr="008017E4">
        <w:rPr>
          <w:spacing w:val="-12"/>
        </w:rPr>
        <w:t xml:space="preserve"> </w:t>
      </w:r>
      <w:r w:rsidR="0017761B" w:rsidRPr="008017E4">
        <w:t>misleading</w:t>
      </w:r>
      <w:r w:rsidR="0017761B" w:rsidRPr="008017E4">
        <w:rPr>
          <w:spacing w:val="-12"/>
        </w:rPr>
        <w:t xml:space="preserve"> </w:t>
      </w:r>
      <w:r w:rsidR="0017761B" w:rsidRPr="008017E4">
        <w:t>and</w:t>
      </w:r>
      <w:r w:rsidR="0017761B" w:rsidRPr="008017E4">
        <w:rPr>
          <w:spacing w:val="-12"/>
        </w:rPr>
        <w:t xml:space="preserve"> </w:t>
      </w:r>
      <w:r w:rsidR="0017761B" w:rsidRPr="008017E4">
        <w:t>unnecessary</w:t>
      </w:r>
      <w:r w:rsidR="0017761B" w:rsidRPr="008017E4">
        <w:rPr>
          <w:spacing w:val="-12"/>
        </w:rPr>
        <w:t xml:space="preserve"> </w:t>
      </w:r>
      <w:r w:rsidR="0017761B" w:rsidRPr="008017E4">
        <w:t>wording</w:t>
      </w:r>
      <w:r w:rsidR="0017761B" w:rsidRPr="008017E4">
        <w:rPr>
          <w:spacing w:val="-12"/>
        </w:rPr>
        <w:t xml:space="preserve"> </w:t>
      </w:r>
      <w:r w:rsidR="0017761B" w:rsidRPr="008017E4">
        <w:t>that</w:t>
      </w:r>
      <w:r w:rsidR="0017761B" w:rsidRPr="008017E4">
        <w:rPr>
          <w:spacing w:val="-12"/>
        </w:rPr>
        <w:t xml:space="preserve"> </w:t>
      </w:r>
      <w:r w:rsidR="0017761B" w:rsidRPr="008017E4">
        <w:t>suggests</w:t>
      </w:r>
      <w:r w:rsidR="0017761B" w:rsidRPr="008017E4">
        <w:rPr>
          <w:spacing w:val="-12"/>
        </w:rPr>
        <w:t xml:space="preserve"> </w:t>
      </w:r>
      <w:r w:rsidR="0017761B" w:rsidRPr="008017E4">
        <w:t>that</w:t>
      </w:r>
      <w:r w:rsidR="0017761B" w:rsidRPr="008017E4">
        <w:rPr>
          <w:spacing w:val="-12"/>
        </w:rPr>
        <w:t xml:space="preserve"> </w:t>
      </w:r>
      <w:r w:rsidR="0017761B" w:rsidRPr="008017E4">
        <w:t>conjugal</w:t>
      </w:r>
      <w:r w:rsidR="0017761B" w:rsidRPr="008017E4">
        <w:rPr>
          <w:spacing w:val="-12"/>
        </w:rPr>
        <w:t xml:space="preserve"> </w:t>
      </w:r>
      <w:r w:rsidR="0017761B" w:rsidRPr="008017E4">
        <w:t>rights</w:t>
      </w:r>
      <w:r w:rsidR="0017761B" w:rsidRPr="008017E4">
        <w:rPr>
          <w:spacing w:val="-12"/>
        </w:rPr>
        <w:t xml:space="preserve"> </w:t>
      </w:r>
      <w:r w:rsidR="0017761B" w:rsidRPr="008017E4">
        <w:t>and</w:t>
      </w:r>
      <w:r w:rsidR="0017761B" w:rsidRPr="008017E4">
        <w:rPr>
          <w:spacing w:val="-12"/>
        </w:rPr>
        <w:t xml:space="preserve"> </w:t>
      </w:r>
      <w:r w:rsidR="0017761B" w:rsidRPr="008017E4">
        <w:t>an</w:t>
      </w:r>
      <w:r w:rsidR="0017761B" w:rsidRPr="008017E4">
        <w:rPr>
          <w:spacing w:val="-12"/>
        </w:rPr>
        <w:t xml:space="preserve"> </w:t>
      </w:r>
      <w:r w:rsidR="0017761B" w:rsidRPr="008017E4">
        <w:t>obligation to perform marital services still exist in Australian law</w:t>
      </w:r>
      <w:r w:rsidR="006D6FF0" w:rsidRPr="008017E4">
        <w:t>”</w:t>
      </w:r>
      <w:r w:rsidR="00BB5108" w:rsidRPr="008017E4">
        <w:t xml:space="preserve">. </w:t>
      </w:r>
      <w:r w:rsidR="00120C8F" w:rsidRPr="008017E4">
        <w:t>As</w:t>
      </w:r>
      <w:r w:rsidR="00120C8F">
        <w:t xml:space="preserve"> to the </w:t>
      </w:r>
      <w:r w:rsidR="00C033E0" w:rsidRPr="00C033E0">
        <w:t>claim for damages for loss of consortium</w:t>
      </w:r>
      <w:r w:rsidR="00120C8F" w:rsidRPr="00C033E0">
        <w:t xml:space="preserve">, it is sufficient </w:t>
      </w:r>
      <w:r w:rsidR="00500857">
        <w:t xml:space="preserve">for present purposes </w:t>
      </w:r>
      <w:r w:rsidR="00120C8F">
        <w:t xml:space="preserve">to note that the </w:t>
      </w:r>
      <w:r w:rsidR="00120C8F" w:rsidRPr="00120C8F">
        <w:rPr>
          <w:i/>
        </w:rPr>
        <w:t>Family Law Act</w:t>
      </w:r>
      <w:r w:rsidR="00160D1F">
        <w:t>, as a law of the Commonwealth,</w:t>
      </w:r>
      <w:r w:rsidR="00120C8F">
        <w:t xml:space="preserve"> </w:t>
      </w:r>
      <w:r w:rsidR="00500857">
        <w:t>did not provide the</w:t>
      </w:r>
      <w:r w:rsidR="00120C8F">
        <w:t xml:space="preserve"> basis upon which </w:t>
      </w:r>
      <w:r w:rsidR="00500857">
        <w:t>a</w:t>
      </w:r>
      <w:r w:rsidR="00120C8F">
        <w:t xml:space="preserve"> </w:t>
      </w:r>
      <w:r w:rsidR="00500857">
        <w:t xml:space="preserve">defence to the </w:t>
      </w:r>
      <w:r w:rsidR="00120C8F">
        <w:t xml:space="preserve">action for damages </w:t>
      </w:r>
      <w:r w:rsidR="00026DB8">
        <w:t xml:space="preserve">was </w:t>
      </w:r>
      <w:r w:rsidR="00500857">
        <w:t>created</w:t>
      </w:r>
      <w:r w:rsidR="00026DB8">
        <w:t>.</w:t>
      </w:r>
      <w:r w:rsidR="00C92F1A">
        <w:t xml:space="preserve"> </w:t>
      </w:r>
      <w:r w:rsidR="00026DB8">
        <w:t>Rather</w:t>
      </w:r>
      <w:r w:rsidR="00500857">
        <w:t xml:space="preserve">, the cause of action itself was abolished </w:t>
      </w:r>
      <w:r w:rsidR="00120C8F">
        <w:t>by reason of a state</w:t>
      </w:r>
      <w:r w:rsidR="00654FAD">
        <w:t xml:space="preserve"> law, being </w:t>
      </w:r>
      <w:r w:rsidR="00120C8F">
        <w:t xml:space="preserve">s 3 of the </w:t>
      </w:r>
      <w:r w:rsidR="00120C8F" w:rsidRPr="002A23BB">
        <w:rPr>
          <w:i/>
        </w:rPr>
        <w:t xml:space="preserve">Law Reform (Marital Consortium) Act 1984 </w:t>
      </w:r>
      <w:r w:rsidR="00120C8F" w:rsidRPr="002A23BB">
        <w:t>(NSW)</w:t>
      </w:r>
      <w:r w:rsidR="00654FAD">
        <w:t xml:space="preserve">. </w:t>
      </w:r>
      <w:r w:rsidR="0017761B" w:rsidRPr="003A08DC">
        <w:t xml:space="preserve">It is not necessary to consider </w:t>
      </w:r>
      <w:r w:rsidR="00001F2C">
        <w:t>the</w:t>
      </w:r>
      <w:r w:rsidR="005923C8">
        <w:t xml:space="preserve"> related</w:t>
      </w:r>
      <w:r w:rsidR="001173A2">
        <w:t xml:space="preserve"> </w:t>
      </w:r>
      <w:r w:rsidR="00A76247" w:rsidRPr="00A76247">
        <w:rPr>
          <w:i/>
          <w:iCs/>
        </w:rPr>
        <w:t>first</w:t>
      </w:r>
      <w:r w:rsidR="000F73C1">
        <w:t xml:space="preserve"> and </w:t>
      </w:r>
      <w:r w:rsidR="00A76247" w:rsidRPr="00A76247">
        <w:rPr>
          <w:i/>
          <w:iCs/>
        </w:rPr>
        <w:t>second</w:t>
      </w:r>
      <w:r w:rsidR="000F73C1">
        <w:t xml:space="preserve"> </w:t>
      </w:r>
      <w:r w:rsidR="00001F2C">
        <w:t xml:space="preserve">aspects </w:t>
      </w:r>
      <w:r w:rsidR="000F73C1">
        <w:t xml:space="preserve">of Mr Mulley’s claim </w:t>
      </w:r>
      <w:r w:rsidR="00001F2C">
        <w:t>further</w:t>
      </w:r>
      <w:r w:rsidR="000F73C1">
        <w:t>.</w:t>
      </w:r>
      <w:r w:rsidR="00F55B94">
        <w:t xml:space="preserve"> </w:t>
      </w:r>
    </w:p>
    <w:p w14:paraId="1CF6D7EA" w14:textId="08EF1A1F" w:rsidR="00F55B94" w:rsidRDefault="00F55B94" w:rsidP="006632FA">
      <w:pPr>
        <w:pStyle w:val="ParaNumbering"/>
        <w:ind w:left="0"/>
      </w:pPr>
      <w:r>
        <w:t xml:space="preserve">The </w:t>
      </w:r>
      <w:r w:rsidRPr="00654FAD">
        <w:rPr>
          <w:i/>
        </w:rPr>
        <w:t>third</w:t>
      </w:r>
      <w:r>
        <w:t xml:space="preserve"> aspect is a claim in defamation in relation to the February Message sent to Mr Mulley’</w:t>
      </w:r>
      <w:r w:rsidR="00BB7010">
        <w:t xml:space="preserve">s wife </w:t>
      </w:r>
      <w:r w:rsidR="00026DB8">
        <w:t>which</w:t>
      </w:r>
      <w:r w:rsidR="00BB7010">
        <w:t xml:space="preserve"> is said to carr</w:t>
      </w:r>
      <w:r w:rsidR="00BB7010" w:rsidRPr="0038789F">
        <w:t>y an imputation that Mr Mulley is a paedophile.</w:t>
      </w:r>
      <w:r w:rsidR="00BB5108">
        <w:t xml:space="preserve"> This requires no further elaboration for present purposes.</w:t>
      </w:r>
    </w:p>
    <w:p w14:paraId="44C5EDB8" w14:textId="61E6C951" w:rsidR="007D4A6B" w:rsidRDefault="00F55B94" w:rsidP="006632FA">
      <w:pPr>
        <w:pStyle w:val="ParaNumbering"/>
        <w:ind w:left="0"/>
      </w:pPr>
      <w:r>
        <w:t>The</w:t>
      </w:r>
      <w:r w:rsidR="000F73C1">
        <w:t xml:space="preserve"> </w:t>
      </w:r>
      <w:r w:rsidRPr="00654FAD">
        <w:rPr>
          <w:i/>
        </w:rPr>
        <w:t>fourth</w:t>
      </w:r>
      <w:r w:rsidR="000F73C1">
        <w:t xml:space="preserve"> aspect </w:t>
      </w:r>
      <w:r w:rsidR="006C515D">
        <w:t xml:space="preserve">of the claim </w:t>
      </w:r>
      <w:r w:rsidR="000F73C1">
        <w:t>requires</w:t>
      </w:r>
      <w:r w:rsidR="00BF498A">
        <w:t xml:space="preserve"> </w:t>
      </w:r>
      <w:r w:rsidR="00026DB8">
        <w:t xml:space="preserve">a </w:t>
      </w:r>
      <w:r w:rsidR="008A5B31">
        <w:t xml:space="preserve">detailed </w:t>
      </w:r>
      <w:r w:rsidR="000F73C1">
        <w:t>explanation.</w:t>
      </w:r>
      <w:r w:rsidR="006C515D">
        <w:t xml:space="preserve"> Mr</w:t>
      </w:r>
      <w:r w:rsidR="006C515D" w:rsidRPr="0004631D">
        <w:t xml:space="preserve"> </w:t>
      </w:r>
      <w:r w:rsidR="006C515D">
        <w:t>Mulley</w:t>
      </w:r>
      <w:r w:rsidR="006C515D" w:rsidRPr="0004631D">
        <w:t xml:space="preserve"> </w:t>
      </w:r>
      <w:r w:rsidR="006C515D">
        <w:t>claims</w:t>
      </w:r>
      <w:r w:rsidR="006C515D" w:rsidRPr="006632FA">
        <w:t xml:space="preserve"> </w:t>
      </w:r>
      <w:r w:rsidR="006C515D">
        <w:t>damages</w:t>
      </w:r>
      <w:r w:rsidR="006C515D" w:rsidRPr="006C515D">
        <w:rPr>
          <w:spacing w:val="-5"/>
        </w:rPr>
        <w:t xml:space="preserve"> </w:t>
      </w:r>
      <w:r w:rsidR="006C515D">
        <w:t>for</w:t>
      </w:r>
      <w:r w:rsidR="006C515D" w:rsidRPr="006C515D">
        <w:rPr>
          <w:spacing w:val="-6"/>
        </w:rPr>
        <w:t xml:space="preserve"> </w:t>
      </w:r>
      <w:r w:rsidR="006C515D">
        <w:t>alleged</w:t>
      </w:r>
      <w:r w:rsidR="006C515D" w:rsidRPr="006C515D">
        <w:rPr>
          <w:spacing w:val="-5"/>
        </w:rPr>
        <w:t xml:space="preserve"> </w:t>
      </w:r>
      <w:r w:rsidR="006C515D">
        <w:t>psychological injury</w:t>
      </w:r>
      <w:r w:rsidR="006C515D" w:rsidRPr="006C515D">
        <w:rPr>
          <w:spacing w:val="-9"/>
        </w:rPr>
        <w:t xml:space="preserve"> </w:t>
      </w:r>
      <w:r w:rsidR="006C515D">
        <w:t>caused</w:t>
      </w:r>
      <w:r w:rsidR="006C515D" w:rsidRPr="006C515D">
        <w:rPr>
          <w:spacing w:val="-9"/>
        </w:rPr>
        <w:t xml:space="preserve"> </w:t>
      </w:r>
      <w:r w:rsidR="006C515D">
        <w:t>by</w:t>
      </w:r>
      <w:r w:rsidR="006C515D" w:rsidRPr="006C515D">
        <w:rPr>
          <w:spacing w:val="-8"/>
        </w:rPr>
        <w:t xml:space="preserve"> </w:t>
      </w:r>
      <w:r w:rsidR="006C515D">
        <w:t>the January M</w:t>
      </w:r>
      <w:r w:rsidR="006458B5">
        <w:t>essage and the February Message,</w:t>
      </w:r>
      <w:r w:rsidR="006C515D" w:rsidRPr="006C515D">
        <w:rPr>
          <w:spacing w:val="-8"/>
        </w:rPr>
        <w:t xml:space="preserve"> </w:t>
      </w:r>
      <w:r w:rsidR="006C515D">
        <w:rPr>
          <w:spacing w:val="-8"/>
        </w:rPr>
        <w:t xml:space="preserve">the first of which, it will be recalled, </w:t>
      </w:r>
      <w:r w:rsidR="006C515D">
        <w:t>was</w:t>
      </w:r>
      <w:r w:rsidR="006C515D" w:rsidRPr="006C515D">
        <w:rPr>
          <w:spacing w:val="-9"/>
        </w:rPr>
        <w:t xml:space="preserve"> </w:t>
      </w:r>
      <w:r w:rsidR="006C515D">
        <w:t>sent</w:t>
      </w:r>
      <w:r w:rsidR="006C515D" w:rsidRPr="006C515D">
        <w:rPr>
          <w:spacing w:val="-8"/>
        </w:rPr>
        <w:t xml:space="preserve"> </w:t>
      </w:r>
      <w:r w:rsidR="008A5B31">
        <w:rPr>
          <w:spacing w:val="-8"/>
        </w:rPr>
        <w:t xml:space="preserve">only </w:t>
      </w:r>
      <w:r w:rsidR="006C515D">
        <w:t>to</w:t>
      </w:r>
      <w:r w:rsidR="006C515D" w:rsidRPr="006C515D">
        <w:rPr>
          <w:spacing w:val="-9"/>
        </w:rPr>
        <w:t xml:space="preserve"> </w:t>
      </w:r>
      <w:r w:rsidR="006C515D">
        <w:t>him</w:t>
      </w:r>
      <w:r w:rsidR="008A5B31">
        <w:t xml:space="preserve"> (and not otherwise conveyed to another person)</w:t>
      </w:r>
      <w:r w:rsidR="006C515D">
        <w:t>.</w:t>
      </w:r>
      <w:r w:rsidR="006C515D" w:rsidRPr="006C515D">
        <w:rPr>
          <w:spacing w:val="38"/>
        </w:rPr>
        <w:t xml:space="preserve"> </w:t>
      </w:r>
      <w:r w:rsidR="006C515D">
        <w:t>In</w:t>
      </w:r>
      <w:r w:rsidR="006C515D" w:rsidRPr="006C515D">
        <w:rPr>
          <w:spacing w:val="-9"/>
        </w:rPr>
        <w:t xml:space="preserve"> </w:t>
      </w:r>
      <w:r w:rsidR="008A5B31">
        <w:t>bringing this claim</w:t>
      </w:r>
      <w:r w:rsidR="006C515D">
        <w:t xml:space="preserve">, </w:t>
      </w:r>
      <w:r w:rsidR="008A5B31">
        <w:t>Mr Mulley</w:t>
      </w:r>
      <w:r w:rsidR="006C515D">
        <w:t xml:space="preserve"> has characterised </w:t>
      </w:r>
      <w:r w:rsidR="008A5B31">
        <w:t xml:space="preserve">the sending of </w:t>
      </w:r>
      <w:r w:rsidR="006C515D">
        <w:t>both</w:t>
      </w:r>
      <w:r w:rsidR="007D4A6B">
        <w:t xml:space="preserve"> </w:t>
      </w:r>
      <w:r w:rsidR="008A5B31">
        <w:t>the January Message and the February Message</w:t>
      </w:r>
      <w:r w:rsidR="007D4A6B">
        <w:t xml:space="preserve"> as </w:t>
      </w:r>
      <w:r w:rsidR="005A543A">
        <w:t>unlawful,</w:t>
      </w:r>
      <w:r w:rsidR="00B85D1A">
        <w:t xml:space="preserve"> amounting to</w:t>
      </w:r>
      <w:r w:rsidR="008A5B31">
        <w:t xml:space="preserve"> conduct by Mr Hayes </w:t>
      </w:r>
      <w:r w:rsidR="007D4A6B">
        <w:t xml:space="preserve">contrary to </w:t>
      </w:r>
      <w:r w:rsidR="007D4A6B" w:rsidRPr="005A543A">
        <w:t>s 474.17</w:t>
      </w:r>
      <w:r w:rsidR="006C515D">
        <w:t xml:space="preserve"> of the </w:t>
      </w:r>
      <w:r w:rsidR="006C515D" w:rsidRPr="007D4A6B">
        <w:rPr>
          <w:i/>
        </w:rPr>
        <w:t>Criminal Code</w:t>
      </w:r>
      <w:r w:rsidR="006C515D" w:rsidRPr="006C515D">
        <w:rPr>
          <w:i/>
        </w:rPr>
        <w:t xml:space="preserve"> </w:t>
      </w:r>
      <w:r w:rsidR="007D4A6B">
        <w:t xml:space="preserve">(being </w:t>
      </w:r>
      <w:r w:rsidR="005A543A">
        <w:t xml:space="preserve">in </w:t>
      </w:r>
      <w:r w:rsidR="007D4A6B">
        <w:t xml:space="preserve">the Schedule to the </w:t>
      </w:r>
      <w:r w:rsidR="007D4A6B" w:rsidRPr="002A23BB">
        <w:rPr>
          <w:i/>
        </w:rPr>
        <w:t>Criminal Code Act 1995</w:t>
      </w:r>
      <w:r w:rsidR="007D4A6B" w:rsidRPr="002A23BB">
        <w:t xml:space="preserve"> (</w:t>
      </w:r>
      <w:proofErr w:type="spellStart"/>
      <w:r w:rsidR="007D4A6B" w:rsidRPr="002A23BB">
        <w:t>Cth</w:t>
      </w:r>
      <w:proofErr w:type="spellEnd"/>
      <w:r w:rsidR="007D4A6B" w:rsidRPr="002A23BB">
        <w:t>)</w:t>
      </w:r>
      <w:r w:rsidR="007D4A6B">
        <w:t xml:space="preserve"> </w:t>
      </w:r>
      <w:r w:rsidR="006C515D">
        <w:t>(</w:t>
      </w:r>
      <w:r w:rsidR="006C515D" w:rsidRPr="007D4A6B">
        <w:rPr>
          <w:b/>
        </w:rPr>
        <w:t>C</w:t>
      </w:r>
      <w:r w:rsidR="007D4A6B" w:rsidRPr="007D4A6B">
        <w:rPr>
          <w:b/>
        </w:rPr>
        <w:t>ode</w:t>
      </w:r>
      <w:r w:rsidR="006C515D">
        <w:t>)</w:t>
      </w:r>
      <w:r w:rsidR="009911CF">
        <w:t>)</w:t>
      </w:r>
      <w:r w:rsidR="006C515D">
        <w:t xml:space="preserve">. </w:t>
      </w:r>
    </w:p>
    <w:p w14:paraId="783D9125" w14:textId="2A40E270" w:rsidR="007D4A6B" w:rsidRDefault="00F71CB2" w:rsidP="006632FA">
      <w:pPr>
        <w:pStyle w:val="ParaNumbering"/>
        <w:ind w:left="0"/>
      </w:pPr>
      <w:r>
        <w:t>S</w:t>
      </w:r>
      <w:r w:rsidR="005A543A">
        <w:t>ection 474</w:t>
      </w:r>
      <w:r w:rsidR="007D4A6B">
        <w:t xml:space="preserve">.17 of the Code relevantly provides: </w:t>
      </w:r>
    </w:p>
    <w:p w14:paraId="6CF62875" w14:textId="77777777" w:rsidR="00F71CB2" w:rsidRPr="00A37A15" w:rsidRDefault="00F71CB2" w:rsidP="00A37A15">
      <w:pPr>
        <w:pStyle w:val="Quote1"/>
        <w:rPr>
          <w:b/>
          <w:lang w:val="en"/>
        </w:rPr>
      </w:pPr>
      <w:bookmarkStart w:id="25" w:name="_Toc69803706"/>
      <w:r w:rsidRPr="00F71CB2">
        <w:rPr>
          <w:rStyle w:val="charsectno"/>
          <w:b/>
          <w:szCs w:val="22"/>
          <w:lang w:val="en"/>
        </w:rPr>
        <w:t>474.17</w:t>
      </w:r>
      <w:r w:rsidRPr="00F71CB2">
        <w:rPr>
          <w:rStyle w:val="charsectno"/>
          <w:b/>
          <w:szCs w:val="22"/>
          <w:lang w:val="en"/>
        </w:rPr>
        <w:tab/>
      </w:r>
      <w:r w:rsidR="007D4A6B" w:rsidRPr="00A37A15">
        <w:rPr>
          <w:b/>
          <w:lang w:val="en"/>
        </w:rPr>
        <w:t xml:space="preserve">Using a carriage service to menace, harass or cause offence </w:t>
      </w:r>
      <w:bookmarkEnd w:id="25"/>
    </w:p>
    <w:p w14:paraId="3A7AFFA0" w14:textId="346B2D2E" w:rsidR="007D4A6B" w:rsidRPr="005D559B" w:rsidRDefault="007D4A6B" w:rsidP="00A37A15">
      <w:pPr>
        <w:pStyle w:val="Quote2"/>
        <w:rPr>
          <w:lang w:val="en"/>
        </w:rPr>
      </w:pPr>
      <w:r w:rsidRPr="005D559B">
        <w:rPr>
          <w:lang w:val="en"/>
        </w:rPr>
        <w:t>(1)</w:t>
      </w:r>
      <w:r w:rsidR="00C92F1A">
        <w:rPr>
          <w:lang w:val="en"/>
        </w:rPr>
        <w:t xml:space="preserve"> </w:t>
      </w:r>
      <w:r w:rsidR="00F71CB2">
        <w:rPr>
          <w:lang w:val="en"/>
        </w:rPr>
        <w:tab/>
      </w:r>
      <w:r w:rsidRPr="005D559B">
        <w:rPr>
          <w:lang w:val="en"/>
        </w:rPr>
        <w:t xml:space="preserve">A person commits an offence if: </w:t>
      </w:r>
    </w:p>
    <w:p w14:paraId="1BAD5EFD" w14:textId="55B4BBCF" w:rsidR="007D4A6B" w:rsidRPr="005D559B" w:rsidRDefault="007D4A6B" w:rsidP="00B67991">
      <w:pPr>
        <w:pStyle w:val="Quote3"/>
        <w:ind w:left="2880" w:hanging="720"/>
        <w:rPr>
          <w:lang w:val="en"/>
        </w:rPr>
      </w:pPr>
      <w:r w:rsidRPr="005D559B">
        <w:rPr>
          <w:lang w:val="en"/>
        </w:rPr>
        <w:t>(a)</w:t>
      </w:r>
      <w:r w:rsidR="00C92F1A">
        <w:rPr>
          <w:lang w:val="en"/>
        </w:rPr>
        <w:t xml:space="preserve"> </w:t>
      </w:r>
      <w:r w:rsidR="00F71CB2">
        <w:rPr>
          <w:lang w:val="en"/>
        </w:rPr>
        <w:tab/>
      </w:r>
      <w:r w:rsidRPr="005D559B">
        <w:rPr>
          <w:lang w:val="en"/>
        </w:rPr>
        <w:t xml:space="preserve">the person uses a carriage service; and </w:t>
      </w:r>
    </w:p>
    <w:p w14:paraId="6521DCC9" w14:textId="0CEA6711" w:rsidR="007D4A6B" w:rsidRPr="005D559B" w:rsidRDefault="007D4A6B" w:rsidP="00B67991">
      <w:pPr>
        <w:pStyle w:val="Quote3"/>
        <w:ind w:left="2880" w:hanging="720"/>
        <w:rPr>
          <w:lang w:val="en"/>
        </w:rPr>
      </w:pPr>
      <w:r w:rsidRPr="005D559B">
        <w:rPr>
          <w:lang w:val="en"/>
        </w:rPr>
        <w:t>(b)</w:t>
      </w:r>
      <w:r w:rsidR="00C92F1A">
        <w:rPr>
          <w:lang w:val="en"/>
        </w:rPr>
        <w:t xml:space="preserve"> </w:t>
      </w:r>
      <w:r w:rsidR="00F71CB2">
        <w:rPr>
          <w:lang w:val="en"/>
        </w:rPr>
        <w:tab/>
      </w:r>
      <w:r w:rsidRPr="005D559B">
        <w:rPr>
          <w:lang w:val="en"/>
        </w:rPr>
        <w:t xml:space="preserve">the person does so in a way (whether by the method of use or </w:t>
      </w:r>
      <w:r w:rsidRPr="005D559B">
        <w:rPr>
          <w:lang w:val="en"/>
        </w:rPr>
        <w:lastRenderedPageBreak/>
        <w:t xml:space="preserve">the content of a communication, or both) that reasonable persons would regard as being, in all the circumstances, menacing, harassing or offensive. </w:t>
      </w:r>
    </w:p>
    <w:p w14:paraId="5F1FF2CB" w14:textId="77777777" w:rsidR="007D4A6B" w:rsidRPr="005D559B" w:rsidRDefault="007D4A6B" w:rsidP="00A37A15">
      <w:pPr>
        <w:pStyle w:val="penalelty"/>
      </w:pPr>
      <w:r w:rsidRPr="005D559B">
        <w:t xml:space="preserve">Penalty:  Imprisonment for 3 years. </w:t>
      </w:r>
    </w:p>
    <w:p w14:paraId="1AA20FB5" w14:textId="683E9C1C" w:rsidR="00002B25" w:rsidRDefault="00446B81" w:rsidP="00002B25">
      <w:pPr>
        <w:pStyle w:val="ParaNumbering"/>
        <w:ind w:left="0"/>
      </w:pPr>
      <w:r>
        <w:t xml:space="preserve">The Dictionary provides that a </w:t>
      </w:r>
      <w:r w:rsidR="005D559B">
        <w:t>“carriage service”</w:t>
      </w:r>
      <w:r w:rsidRPr="00446B81">
        <w:t xml:space="preserve"> has the same meaning as in the </w:t>
      </w:r>
      <w:r w:rsidRPr="002A23BB">
        <w:rPr>
          <w:i/>
        </w:rPr>
        <w:t>Telecommunications Act 1997</w:t>
      </w:r>
      <w:r w:rsidRPr="002A23BB">
        <w:t xml:space="preserve"> (</w:t>
      </w:r>
      <w:proofErr w:type="spellStart"/>
      <w:r w:rsidRPr="002A23BB">
        <w:t>Cth</w:t>
      </w:r>
      <w:proofErr w:type="spellEnd"/>
      <w:r w:rsidRPr="002A23BB">
        <w:t>)</w:t>
      </w:r>
      <w:r w:rsidRPr="00446B81">
        <w:t>, which in tu</w:t>
      </w:r>
      <w:r w:rsidR="00F71CB2">
        <w:t>rn, by s 7 of that Act, provides</w:t>
      </w:r>
      <w:r w:rsidRPr="00446B81">
        <w:t xml:space="preserve"> </w:t>
      </w:r>
      <w:r w:rsidR="005A543A">
        <w:t xml:space="preserve">that </w:t>
      </w:r>
      <w:r w:rsidRPr="00446B81">
        <w:t>it “means a service for carrying communications by means</w:t>
      </w:r>
      <w:r w:rsidRPr="0004631D">
        <w:t xml:space="preserve"> of guided and/or unguided electromagnetic energy”. It is not in dispute that it is arguable that the sending of </w:t>
      </w:r>
      <w:r>
        <w:t>the January Message and the February Message involved the use of a carriage service</w:t>
      </w:r>
      <w:r w:rsidR="000565BB" w:rsidRPr="000565BB">
        <w:t xml:space="preserve"> </w:t>
      </w:r>
      <w:r w:rsidR="000565BB">
        <w:t>by Mr Hayes</w:t>
      </w:r>
      <w:r>
        <w:t>.</w:t>
      </w:r>
      <w:r w:rsidR="001173A2">
        <w:t xml:space="preserve"> </w:t>
      </w:r>
    </w:p>
    <w:p w14:paraId="625E0973" w14:textId="7E7E936A" w:rsidR="00002B25" w:rsidRPr="00002B25" w:rsidRDefault="000565BB" w:rsidP="00002B25">
      <w:pPr>
        <w:pStyle w:val="ParaNumbering"/>
        <w:ind w:left="0"/>
      </w:pPr>
      <w:r>
        <w:t>It seems to me that w</w:t>
      </w:r>
      <w:r w:rsidR="005D74A8">
        <w:t xml:space="preserve">hat Mr Mulley </w:t>
      </w:r>
      <w:r w:rsidR="008A5B31">
        <w:t xml:space="preserve">is </w:t>
      </w:r>
      <w:r w:rsidR="005D74A8">
        <w:t xml:space="preserve">now </w:t>
      </w:r>
      <w:r w:rsidR="008A5B31">
        <w:t xml:space="preserve">doing </w:t>
      </w:r>
      <w:r>
        <w:t>is</w:t>
      </w:r>
      <w:r w:rsidR="008A5B31">
        <w:t xml:space="preserve"> </w:t>
      </w:r>
      <w:r w:rsidR="005D74A8">
        <w:t>seek</w:t>
      </w:r>
      <w:r w:rsidR="008A5B31">
        <w:t>ing</w:t>
      </w:r>
      <w:r w:rsidR="005D74A8">
        <w:t xml:space="preserve"> relief by way of </w:t>
      </w:r>
      <w:r w:rsidR="008A5B31">
        <w:t xml:space="preserve">common law </w:t>
      </w:r>
      <w:r w:rsidR="005D74A8">
        <w:t xml:space="preserve">damages arising from </w:t>
      </w:r>
      <w:r w:rsidR="00446B81">
        <w:t>a</w:t>
      </w:r>
      <w:r w:rsidR="00446B81" w:rsidRPr="00002B25">
        <w:rPr>
          <w:spacing w:val="-4"/>
        </w:rPr>
        <w:t xml:space="preserve"> </w:t>
      </w:r>
      <w:r w:rsidR="00446B81">
        <w:t>tort</w:t>
      </w:r>
      <w:r w:rsidR="00446B81" w:rsidRPr="00002B25">
        <w:rPr>
          <w:spacing w:val="-4"/>
        </w:rPr>
        <w:t xml:space="preserve"> </w:t>
      </w:r>
      <w:r w:rsidR="00446B81">
        <w:t>of</w:t>
      </w:r>
      <w:r w:rsidR="00446B81" w:rsidRPr="00002B25">
        <w:rPr>
          <w:spacing w:val="-3"/>
        </w:rPr>
        <w:t xml:space="preserve"> </w:t>
      </w:r>
      <w:r w:rsidR="00446B81">
        <w:t>the</w:t>
      </w:r>
      <w:r w:rsidR="00446B81" w:rsidRPr="00002B25">
        <w:rPr>
          <w:spacing w:val="-4"/>
        </w:rPr>
        <w:t xml:space="preserve"> </w:t>
      </w:r>
      <w:r w:rsidR="00446B81">
        <w:t xml:space="preserve">kind </w:t>
      </w:r>
      <w:r w:rsidR="00B85D1A">
        <w:t xml:space="preserve">arguably </w:t>
      </w:r>
      <w:r w:rsidR="00446B81">
        <w:t>left</w:t>
      </w:r>
      <w:r w:rsidR="00446B81" w:rsidRPr="00002B25">
        <w:rPr>
          <w:spacing w:val="-10"/>
        </w:rPr>
        <w:t xml:space="preserve"> </w:t>
      </w:r>
      <w:r w:rsidR="00DB59E2">
        <w:t>open in</w:t>
      </w:r>
      <w:r w:rsidR="00DB59E2">
        <w:rPr>
          <w:spacing w:val="-10"/>
        </w:rPr>
        <w:t xml:space="preserve"> </w:t>
      </w:r>
      <w:r w:rsidR="00EC3D19" w:rsidRPr="002A23BB">
        <w:rPr>
          <w:i/>
        </w:rPr>
        <w:t xml:space="preserve">Northern Territory v </w:t>
      </w:r>
      <w:proofErr w:type="spellStart"/>
      <w:r w:rsidR="00EC3D19" w:rsidRPr="002A23BB">
        <w:rPr>
          <w:i/>
        </w:rPr>
        <w:t>Mengel</w:t>
      </w:r>
      <w:proofErr w:type="spellEnd"/>
      <w:r w:rsidR="00EC3D19" w:rsidRPr="002A23BB">
        <w:t xml:space="preserve"> (1995) 185 CLR 307</w:t>
      </w:r>
      <w:r w:rsidR="00EC3D19">
        <w:t>, which overruled</w:t>
      </w:r>
      <w:r w:rsidR="00446B81" w:rsidRPr="00002B25">
        <w:rPr>
          <w:spacing w:val="-10"/>
        </w:rPr>
        <w:t xml:space="preserve"> </w:t>
      </w:r>
      <w:r w:rsidR="00446B81" w:rsidRPr="00002B25">
        <w:rPr>
          <w:i/>
        </w:rPr>
        <w:t>Beaudesert</w:t>
      </w:r>
      <w:r w:rsidR="00446B81" w:rsidRPr="00002B25">
        <w:rPr>
          <w:i/>
          <w:spacing w:val="-10"/>
        </w:rPr>
        <w:t xml:space="preserve"> </w:t>
      </w:r>
      <w:r w:rsidR="00446B81" w:rsidRPr="00002B25">
        <w:rPr>
          <w:i/>
        </w:rPr>
        <w:t>Shire</w:t>
      </w:r>
      <w:r w:rsidR="00446B81" w:rsidRPr="00002B25">
        <w:rPr>
          <w:i/>
          <w:spacing w:val="-10"/>
        </w:rPr>
        <w:t xml:space="preserve"> </w:t>
      </w:r>
      <w:r w:rsidR="00446B81" w:rsidRPr="00002B25">
        <w:rPr>
          <w:i/>
        </w:rPr>
        <w:t>Council</w:t>
      </w:r>
      <w:r w:rsidR="00446B81" w:rsidRPr="00002B25">
        <w:rPr>
          <w:i/>
          <w:spacing w:val="-10"/>
        </w:rPr>
        <w:t xml:space="preserve"> </w:t>
      </w:r>
      <w:r w:rsidR="00446B81" w:rsidRPr="00002B25">
        <w:rPr>
          <w:i/>
        </w:rPr>
        <w:t>v</w:t>
      </w:r>
      <w:r w:rsidR="00446B81" w:rsidRPr="00002B25">
        <w:rPr>
          <w:i/>
          <w:spacing w:val="-10"/>
        </w:rPr>
        <w:t xml:space="preserve"> </w:t>
      </w:r>
      <w:r w:rsidR="00446B81" w:rsidRPr="00002B25">
        <w:rPr>
          <w:i/>
        </w:rPr>
        <w:t>Smith</w:t>
      </w:r>
      <w:r w:rsidR="00446B81" w:rsidRPr="00002B25">
        <w:rPr>
          <w:i/>
          <w:spacing w:val="-10"/>
        </w:rPr>
        <w:t xml:space="preserve"> </w:t>
      </w:r>
      <w:r w:rsidR="00446B81" w:rsidRPr="002A23BB">
        <w:t>(1966)</w:t>
      </w:r>
      <w:r w:rsidR="00446B81" w:rsidRPr="00002B25">
        <w:rPr>
          <w:spacing w:val="-10"/>
        </w:rPr>
        <w:t xml:space="preserve"> </w:t>
      </w:r>
      <w:r w:rsidR="00446B81" w:rsidRPr="002A23BB">
        <w:t>120</w:t>
      </w:r>
      <w:r w:rsidR="00446B81" w:rsidRPr="00002B25">
        <w:rPr>
          <w:spacing w:val="-10"/>
        </w:rPr>
        <w:t xml:space="preserve"> </w:t>
      </w:r>
      <w:r w:rsidR="00446B81" w:rsidRPr="002A23BB">
        <w:t>CLR</w:t>
      </w:r>
      <w:r w:rsidR="00446B81" w:rsidRPr="00002B25">
        <w:rPr>
          <w:spacing w:val="-10"/>
        </w:rPr>
        <w:t xml:space="preserve"> </w:t>
      </w:r>
      <w:r w:rsidR="00446B81" w:rsidRPr="002A23BB">
        <w:t>145</w:t>
      </w:r>
      <w:r w:rsidR="00A05D86">
        <w:t xml:space="preserve"> (Taylor, </w:t>
      </w:r>
      <w:r w:rsidR="00A05D86" w:rsidRPr="00A05D86">
        <w:t>Menzies</w:t>
      </w:r>
      <w:r w:rsidR="00A05D86">
        <w:t xml:space="preserve"> and </w:t>
      </w:r>
      <w:r w:rsidR="00A05D86" w:rsidRPr="00A05D86">
        <w:t xml:space="preserve">Owen </w:t>
      </w:r>
      <w:r w:rsidR="00A05D86">
        <w:t>J</w:t>
      </w:r>
      <w:r w:rsidR="00A05D86" w:rsidRPr="00A05D86">
        <w:t>J</w:t>
      </w:r>
      <w:r w:rsidR="00A05D86">
        <w:t>)</w:t>
      </w:r>
      <w:r w:rsidR="006A3FC9">
        <w:t xml:space="preserve">: see also </w:t>
      </w:r>
      <w:r w:rsidR="006A3FC9" w:rsidRPr="00002B25">
        <w:rPr>
          <w:i/>
        </w:rPr>
        <w:t xml:space="preserve">Kitano v Commonwealth </w:t>
      </w:r>
      <w:r w:rsidR="006A3FC9" w:rsidRPr="002A23BB">
        <w:t>(1974) 129 CLR 151</w:t>
      </w:r>
      <w:r w:rsidR="006A3FC9">
        <w:t xml:space="preserve"> </w:t>
      </w:r>
      <w:r w:rsidR="00A05D86">
        <w:t>(</w:t>
      </w:r>
      <w:r w:rsidR="006A3FC9">
        <w:t>at</w:t>
      </w:r>
      <w:r w:rsidR="006A3FC9" w:rsidRPr="00002B25">
        <w:rPr>
          <w:spacing w:val="-7"/>
        </w:rPr>
        <w:t xml:space="preserve"> </w:t>
      </w:r>
      <w:r w:rsidR="00A05D86">
        <w:t>173–</w:t>
      </w:r>
      <w:r w:rsidR="006A3FC9">
        <w:t>5</w:t>
      </w:r>
      <w:r w:rsidR="006A3FC9" w:rsidRPr="00002B25">
        <w:rPr>
          <w:spacing w:val="-7"/>
        </w:rPr>
        <w:t xml:space="preserve"> </w:t>
      </w:r>
      <w:r w:rsidR="006A3FC9">
        <w:t>per</w:t>
      </w:r>
      <w:r w:rsidR="006A3FC9" w:rsidRPr="00002B25">
        <w:rPr>
          <w:spacing w:val="-6"/>
        </w:rPr>
        <w:t xml:space="preserve"> </w:t>
      </w:r>
      <w:r w:rsidR="006A3FC9">
        <w:t>Mason</w:t>
      </w:r>
      <w:r w:rsidR="006A3FC9" w:rsidRPr="00002B25">
        <w:rPr>
          <w:spacing w:val="-3"/>
        </w:rPr>
        <w:t xml:space="preserve"> </w:t>
      </w:r>
      <w:r w:rsidR="006A3FC9">
        <w:t>J</w:t>
      </w:r>
      <w:r w:rsidR="00A05D86">
        <w:t>)</w:t>
      </w:r>
      <w:r w:rsidR="00446B81">
        <w:t>.</w:t>
      </w:r>
      <w:r w:rsidR="00446B81" w:rsidRPr="00002B25">
        <w:rPr>
          <w:spacing w:val="36"/>
        </w:rPr>
        <w:t xml:space="preserve"> </w:t>
      </w:r>
    </w:p>
    <w:p w14:paraId="3D229946" w14:textId="156F1AA6" w:rsidR="00F71CB2" w:rsidRDefault="005D559B" w:rsidP="00002B25">
      <w:pPr>
        <w:pStyle w:val="ParaNumbering"/>
        <w:ind w:left="0"/>
      </w:pPr>
      <w:r>
        <w:t xml:space="preserve">In </w:t>
      </w:r>
      <w:r w:rsidR="006A3FC9" w:rsidRPr="00002B25">
        <w:rPr>
          <w:i/>
        </w:rPr>
        <w:t>Beaudesert</w:t>
      </w:r>
      <w:r w:rsidR="006A3FC9" w:rsidRPr="00002B25">
        <w:rPr>
          <w:i/>
          <w:spacing w:val="-10"/>
        </w:rPr>
        <w:t xml:space="preserve"> </w:t>
      </w:r>
      <w:r w:rsidR="006A3FC9" w:rsidRPr="00002B25">
        <w:rPr>
          <w:i/>
        </w:rPr>
        <w:t>Shire</w:t>
      </w:r>
      <w:r w:rsidR="006A3FC9" w:rsidRPr="00002B25">
        <w:rPr>
          <w:i/>
          <w:spacing w:val="-10"/>
        </w:rPr>
        <w:t xml:space="preserve"> </w:t>
      </w:r>
      <w:r w:rsidR="006A3FC9" w:rsidRPr="00002B25">
        <w:rPr>
          <w:i/>
        </w:rPr>
        <w:t>Council</w:t>
      </w:r>
      <w:r w:rsidR="006A3FC9" w:rsidRPr="00002B25">
        <w:rPr>
          <w:i/>
          <w:spacing w:val="-10"/>
        </w:rPr>
        <w:t xml:space="preserve"> </w:t>
      </w:r>
      <w:r w:rsidR="006A3FC9" w:rsidRPr="00002B25">
        <w:rPr>
          <w:i/>
        </w:rPr>
        <w:t>v</w:t>
      </w:r>
      <w:r w:rsidR="006A3FC9" w:rsidRPr="00002B25">
        <w:rPr>
          <w:i/>
          <w:spacing w:val="-10"/>
        </w:rPr>
        <w:t xml:space="preserve"> </w:t>
      </w:r>
      <w:r w:rsidR="006A3FC9" w:rsidRPr="00002B25">
        <w:rPr>
          <w:i/>
        </w:rPr>
        <w:t>Smith</w:t>
      </w:r>
      <w:r w:rsidR="00446B81">
        <w:t xml:space="preserve">, Taylor, Menzies and Owen JJ </w:t>
      </w:r>
      <w:r w:rsidR="005D74A8">
        <w:t>observed</w:t>
      </w:r>
      <w:r w:rsidR="00F71CB2">
        <w:t xml:space="preserve"> (at 156):</w:t>
      </w:r>
    </w:p>
    <w:p w14:paraId="735ED99C" w14:textId="7A4A21C0" w:rsidR="006A3FC9" w:rsidRDefault="00DB59E2" w:rsidP="00F33919">
      <w:pPr>
        <w:pStyle w:val="Quote1"/>
      </w:pPr>
      <w:r>
        <w:t>…</w:t>
      </w:r>
      <w:r w:rsidR="005F70A6">
        <w:t xml:space="preserve"> it appears that the authorities cited do justify a proposition that, </w:t>
      </w:r>
      <w:r w:rsidR="00446B81">
        <w:t xml:space="preserve">independently of trespass, negligence or nuisance but by an action for damages upon the case, a person who suffers harm or loss as the inevitable consequence of the </w:t>
      </w:r>
      <w:r w:rsidR="00446B81" w:rsidRPr="005F70A6">
        <w:rPr>
          <w:b/>
        </w:rPr>
        <w:t>unlawful</w:t>
      </w:r>
      <w:r w:rsidR="00446B81" w:rsidRPr="005F70A6">
        <w:t>,</w:t>
      </w:r>
      <w:r w:rsidR="00446B81">
        <w:t xml:space="preserve"> intentional and positive acts of another is entitled to recover </w:t>
      </w:r>
      <w:r w:rsidR="00F71CB2">
        <w:t>damages from that other</w:t>
      </w:r>
      <w:r w:rsidR="00C033E0">
        <w:t>.</w:t>
      </w:r>
    </w:p>
    <w:p w14:paraId="3A29C99F" w14:textId="5A8C63F1" w:rsidR="00F33919" w:rsidRDefault="00B85D1A" w:rsidP="00F33919">
      <w:pPr>
        <w:pStyle w:val="Quote1"/>
      </w:pPr>
      <w:r>
        <w:t>(</w:t>
      </w:r>
      <w:r w:rsidR="006A3FC9">
        <w:t>E</w:t>
      </w:r>
      <w:r>
        <w:t>mphasis added)</w:t>
      </w:r>
      <w:r w:rsidR="00DB59E2">
        <w:t>.</w:t>
      </w:r>
    </w:p>
    <w:p w14:paraId="7C4889BB" w14:textId="5D28C86C" w:rsidR="00F33919" w:rsidRDefault="00F33919" w:rsidP="006632FA">
      <w:pPr>
        <w:pStyle w:val="ParaNumbering"/>
        <w:ind w:left="0"/>
      </w:pPr>
      <w:r>
        <w:t>In</w:t>
      </w:r>
      <w:r w:rsidR="00EC3D19">
        <w:t xml:space="preserve"> </w:t>
      </w:r>
      <w:r w:rsidR="00EC3D19" w:rsidRPr="002A23BB">
        <w:rPr>
          <w:i/>
        </w:rPr>
        <w:t xml:space="preserve">Northern Territory v </w:t>
      </w:r>
      <w:proofErr w:type="spellStart"/>
      <w:r w:rsidR="00EC3D19" w:rsidRPr="002A23BB">
        <w:rPr>
          <w:i/>
        </w:rPr>
        <w:t>Mengel</w:t>
      </w:r>
      <w:proofErr w:type="spellEnd"/>
      <w:r>
        <w:t>,</w:t>
      </w:r>
      <w:r w:rsidRPr="0004631D">
        <w:t xml:space="preserve"> </w:t>
      </w:r>
      <w:r>
        <w:t>the</w:t>
      </w:r>
      <w:r w:rsidRPr="005D74A8">
        <w:t xml:space="preserve"> </w:t>
      </w:r>
      <w:r>
        <w:t>High</w:t>
      </w:r>
      <w:r w:rsidRPr="005D74A8">
        <w:t xml:space="preserve"> </w:t>
      </w:r>
      <w:r>
        <w:t>Court rejected</w:t>
      </w:r>
      <w:r w:rsidRPr="005D74A8">
        <w:t xml:space="preserve"> </w:t>
      </w:r>
      <w:r>
        <w:t>the</w:t>
      </w:r>
      <w:r w:rsidRPr="005D74A8">
        <w:t xml:space="preserve"> </w:t>
      </w:r>
      <w:r>
        <w:t>principle</w:t>
      </w:r>
      <w:r w:rsidRPr="005D74A8">
        <w:t xml:space="preserve"> articulated in </w:t>
      </w:r>
      <w:r w:rsidRPr="00654FAD">
        <w:rPr>
          <w:i/>
        </w:rPr>
        <w:t>Beaudesert</w:t>
      </w:r>
      <w:r w:rsidRPr="005D74A8">
        <w:t xml:space="preserve"> </w:t>
      </w:r>
      <w:r w:rsidRPr="00F33919">
        <w:t xml:space="preserve">because it went further than the authorities cited in support of it, most of </w:t>
      </w:r>
      <w:r w:rsidR="00DB59E2">
        <w:t xml:space="preserve">which were taken from </w:t>
      </w:r>
      <w:proofErr w:type="spellStart"/>
      <w:r w:rsidR="00DB59E2">
        <w:t>Kiralfy</w:t>
      </w:r>
      <w:proofErr w:type="spellEnd"/>
      <w:r w:rsidR="00DB59E2">
        <w:t xml:space="preserve"> A K</w:t>
      </w:r>
      <w:r w:rsidRPr="00F33919">
        <w:t xml:space="preserve">, </w:t>
      </w:r>
      <w:r w:rsidRPr="00F33919">
        <w:rPr>
          <w:i/>
        </w:rPr>
        <w:t>The Action on the Case</w:t>
      </w:r>
      <w:r w:rsidRPr="00F33919">
        <w:t xml:space="preserve"> (Sweet &amp; Maxwell, 1951).</w:t>
      </w:r>
      <w:r>
        <w:t xml:space="preserve"> Despite this, and importantly for present purposes, Mason CJ, Dawson, </w:t>
      </w:r>
      <w:proofErr w:type="spellStart"/>
      <w:r>
        <w:t>Toohey</w:t>
      </w:r>
      <w:proofErr w:type="spellEnd"/>
      <w:r>
        <w:t>,</w:t>
      </w:r>
      <w:r w:rsidR="00002B25">
        <w:t xml:space="preserve"> </w:t>
      </w:r>
      <w:proofErr w:type="spellStart"/>
      <w:r w:rsidR="00002B25">
        <w:t>Gaudron</w:t>
      </w:r>
      <w:proofErr w:type="spellEnd"/>
      <w:r w:rsidR="00002B25">
        <w:t xml:space="preserve"> and McHugh JJ (at 344–</w:t>
      </w:r>
      <w:r>
        <w:t xml:space="preserve">5) “left open the question whether the law of Australia recognises tortious liability for harm caused by unlawful acts directed against an applicant”: </w:t>
      </w:r>
      <w:r w:rsidRPr="002A23BB">
        <w:rPr>
          <w:i/>
        </w:rPr>
        <w:t>News Limited v Australian Rugby</w:t>
      </w:r>
      <w:r>
        <w:rPr>
          <w:i/>
        </w:rPr>
        <w:t xml:space="preserve"> Football</w:t>
      </w:r>
      <w:r w:rsidRPr="002A23BB">
        <w:rPr>
          <w:i/>
        </w:rPr>
        <w:t xml:space="preserve"> League</w:t>
      </w:r>
      <w:r>
        <w:rPr>
          <w:i/>
        </w:rPr>
        <w:t xml:space="preserve"> Limited</w:t>
      </w:r>
      <w:r w:rsidRPr="002A23BB">
        <w:t xml:space="preserve"> (1996) 64 FCR 410</w:t>
      </w:r>
      <w:r w:rsidRPr="0004631D">
        <w:t xml:space="preserve"> </w:t>
      </w:r>
      <w:r w:rsidR="00002B25">
        <w:t>(</w:t>
      </w:r>
      <w:r>
        <w:t>at</w:t>
      </w:r>
      <w:r w:rsidRPr="0004631D">
        <w:t xml:space="preserve"> </w:t>
      </w:r>
      <w:r>
        <w:t>517</w:t>
      </w:r>
      <w:r w:rsidRPr="0004631D">
        <w:t xml:space="preserve"> </w:t>
      </w:r>
      <w:r>
        <w:t>per</w:t>
      </w:r>
      <w:r w:rsidRPr="0004631D">
        <w:t xml:space="preserve"> </w:t>
      </w:r>
      <w:r>
        <w:t>Lockhart,</w:t>
      </w:r>
      <w:r w:rsidRPr="005D559B">
        <w:t xml:space="preserve"> </w:t>
      </w:r>
      <w:r>
        <w:t>von</w:t>
      </w:r>
      <w:r w:rsidRPr="005D559B">
        <w:t xml:space="preserve"> </w:t>
      </w:r>
      <w:proofErr w:type="spellStart"/>
      <w:r>
        <w:t>Doussa</w:t>
      </w:r>
      <w:proofErr w:type="spellEnd"/>
      <w:r w:rsidRPr="005D559B">
        <w:t xml:space="preserve"> and Sackville JJ</w:t>
      </w:r>
      <w:r w:rsidR="00002B25">
        <w:t>)</w:t>
      </w:r>
      <w:r w:rsidRPr="005D559B">
        <w:t xml:space="preserve">; see also </w:t>
      </w:r>
      <w:r w:rsidRPr="002A23BB">
        <w:rPr>
          <w:i/>
        </w:rPr>
        <w:t>Scott v Secretary, Department of Social Security</w:t>
      </w:r>
      <w:r w:rsidRPr="002A23BB">
        <w:t xml:space="preserve"> [2000] FCA 1241; (2000) 65 ALD 79</w:t>
      </w:r>
      <w:r w:rsidRPr="005D559B">
        <w:t xml:space="preserve"> </w:t>
      </w:r>
      <w:r w:rsidR="0076313B">
        <w:t>(</w:t>
      </w:r>
      <w:r w:rsidRPr="005D559B">
        <w:t>at</w:t>
      </w:r>
      <w:r w:rsidR="0076313B">
        <w:t xml:space="preserve"> 87</w:t>
      </w:r>
      <w:r w:rsidRPr="005D559B">
        <w:t xml:space="preserve"> [16] per Beaumont and French JJ</w:t>
      </w:r>
      <w:r w:rsidR="0076313B">
        <w:t>)</w:t>
      </w:r>
      <w:r w:rsidRPr="005D559B">
        <w:t xml:space="preserve">; </w:t>
      </w:r>
      <w:r w:rsidRPr="002A23BB">
        <w:rPr>
          <w:i/>
        </w:rPr>
        <w:t>Scott v Human Rights and Equal Opportunity Commission</w:t>
      </w:r>
      <w:r w:rsidRPr="002A23BB">
        <w:t xml:space="preserve"> [2010] FCA 1323</w:t>
      </w:r>
      <w:r w:rsidRPr="005D559B">
        <w:t xml:space="preserve"> </w:t>
      </w:r>
      <w:r w:rsidR="0076313B">
        <w:t>(</w:t>
      </w:r>
      <w:r w:rsidRPr="005D559B">
        <w:t>at [82] per North J</w:t>
      </w:r>
      <w:r w:rsidR="0076313B">
        <w:t>)</w:t>
      </w:r>
      <w:r w:rsidRPr="005D559B">
        <w:t>.</w:t>
      </w:r>
    </w:p>
    <w:p w14:paraId="03459E55" w14:textId="352C90AD" w:rsidR="00EA275D" w:rsidRPr="005D559B" w:rsidRDefault="006C515D" w:rsidP="006632FA">
      <w:pPr>
        <w:pStyle w:val="ParaNumbering"/>
        <w:ind w:left="0"/>
      </w:pPr>
      <w:r>
        <w:t xml:space="preserve">Unlike the </w:t>
      </w:r>
      <w:r w:rsidR="005D74A8">
        <w:t xml:space="preserve">cause of action in defamation </w:t>
      </w:r>
      <w:r>
        <w:t>based on the</w:t>
      </w:r>
      <w:r w:rsidR="005D74A8">
        <w:t xml:space="preserve"> publication of the February Message which, it is alleged, conveyed the</w:t>
      </w:r>
      <w:r>
        <w:t xml:space="preserve"> imputation of paedophilia, th</w:t>
      </w:r>
      <w:r w:rsidR="00B85D1A">
        <w:t>is</w:t>
      </w:r>
      <w:r w:rsidR="008A5B31">
        <w:t xml:space="preserve"> </w:t>
      </w:r>
      <w:r w:rsidR="008A5B31" w:rsidRPr="00654FAD">
        <w:rPr>
          <w:i/>
        </w:rPr>
        <w:t>fourth</w:t>
      </w:r>
      <w:r w:rsidR="008A5B31" w:rsidRPr="006632FA">
        <w:t xml:space="preserve"> </w:t>
      </w:r>
      <w:r w:rsidR="008A5B31">
        <w:t xml:space="preserve">aspect of Mr Mulley’s case </w:t>
      </w:r>
      <w:r w:rsidR="005D74A8">
        <w:t xml:space="preserve">is </w:t>
      </w:r>
      <w:r w:rsidR="008A5B31">
        <w:t xml:space="preserve">a </w:t>
      </w:r>
      <w:r w:rsidR="005D74A8">
        <w:t xml:space="preserve">distinct action on the case based upon the </w:t>
      </w:r>
      <w:r w:rsidR="0076313B">
        <w:t>allegation of</w:t>
      </w:r>
      <w:r w:rsidR="005D74A8">
        <w:t xml:space="preserve"> unlawful acts directed against </w:t>
      </w:r>
      <w:r w:rsidR="005D74A8">
        <w:lastRenderedPageBreak/>
        <w:t xml:space="preserve">Mr Mulley by </w:t>
      </w:r>
      <w:r w:rsidR="00EA275D">
        <w:t xml:space="preserve">Mr Hayes using </w:t>
      </w:r>
      <w:r w:rsidR="00EA275D" w:rsidRPr="006632FA">
        <w:t xml:space="preserve">a carriage service to send </w:t>
      </w:r>
      <w:r w:rsidR="005D559B" w:rsidRPr="006632FA">
        <w:t xml:space="preserve">both </w:t>
      </w:r>
      <w:r w:rsidR="00EA275D" w:rsidRPr="006632FA">
        <w:t>the January Message and the February Message in a way that reasonable persons would regard as being, in all the circumstances, menacing, harassing or offensive</w:t>
      </w:r>
      <w:r w:rsidR="005D559B" w:rsidRPr="006632FA">
        <w:t>, and causing damage to Mr Mulley</w:t>
      </w:r>
      <w:r w:rsidR="000A3C68" w:rsidRPr="006632FA">
        <w:t>.</w:t>
      </w:r>
      <w:r w:rsidR="001173A2">
        <w:t xml:space="preserve"> </w:t>
      </w:r>
    </w:p>
    <w:p w14:paraId="20D7E50B" w14:textId="7C2214D5" w:rsidR="006C515D" w:rsidRDefault="009911CF" w:rsidP="006632FA">
      <w:pPr>
        <w:pStyle w:val="ParaNumbering"/>
        <w:ind w:left="0"/>
      </w:pPr>
      <w:r>
        <w:t>No</w:t>
      </w:r>
      <w:r w:rsidR="008A5B31">
        <w:t xml:space="preserve"> doubt it is obvious</w:t>
      </w:r>
      <w:r w:rsidR="001926CD">
        <w:t>,</w:t>
      </w:r>
      <w:r w:rsidR="008A5B31">
        <w:t xml:space="preserve"> but </w:t>
      </w:r>
      <w:r w:rsidR="001926CD">
        <w:t xml:space="preserve">it </w:t>
      </w:r>
      <w:r w:rsidR="008A5B31">
        <w:t xml:space="preserve">merits recording that </w:t>
      </w:r>
      <w:r w:rsidR="005D559B">
        <w:t xml:space="preserve">this distinct </w:t>
      </w:r>
      <w:r w:rsidR="008A5B31" w:rsidRPr="00654FAD">
        <w:rPr>
          <w:i/>
        </w:rPr>
        <w:t>fourth</w:t>
      </w:r>
      <w:r w:rsidR="008A5B31">
        <w:t xml:space="preserve"> </w:t>
      </w:r>
      <w:r w:rsidR="006C515D">
        <w:t>claim</w:t>
      </w:r>
      <w:r w:rsidR="005D559B">
        <w:t>,</w:t>
      </w:r>
      <w:r w:rsidR="006C515D" w:rsidRPr="0004631D">
        <w:t xml:space="preserve"> </w:t>
      </w:r>
      <w:r w:rsidR="006C515D">
        <w:t>based</w:t>
      </w:r>
      <w:r w:rsidR="006C515D" w:rsidRPr="0004631D">
        <w:t xml:space="preserve"> </w:t>
      </w:r>
      <w:r w:rsidR="008A5B31" w:rsidRPr="0004631D">
        <w:t>up</w:t>
      </w:r>
      <w:r w:rsidR="006C515D">
        <w:t>on</w:t>
      </w:r>
      <w:r w:rsidR="006C515D" w:rsidRPr="0004631D">
        <w:t xml:space="preserve"> </w:t>
      </w:r>
      <w:r w:rsidR="006C515D">
        <w:t>the</w:t>
      </w:r>
      <w:r w:rsidR="005D559B">
        <w:t xml:space="preserve"> alleged unlawful conveyance of </w:t>
      </w:r>
      <w:r w:rsidR="005D559B" w:rsidRPr="0004631D">
        <w:t xml:space="preserve">the January Message and the February Message, </w:t>
      </w:r>
      <w:r w:rsidR="006C515D">
        <w:t>is</w:t>
      </w:r>
      <w:r w:rsidR="006C515D" w:rsidRPr="0004631D">
        <w:t xml:space="preserve"> </w:t>
      </w:r>
      <w:r w:rsidR="005D559B" w:rsidRPr="0004631D">
        <w:t>not</w:t>
      </w:r>
      <w:r w:rsidR="006C515D" w:rsidRPr="0004631D">
        <w:t xml:space="preserve"> </w:t>
      </w:r>
      <w:r w:rsidR="006C515D">
        <w:t>a</w:t>
      </w:r>
      <w:r w:rsidR="006C515D" w:rsidRPr="0004631D">
        <w:t xml:space="preserve"> </w:t>
      </w:r>
      <w:r w:rsidR="006C515D">
        <w:t>tort</w:t>
      </w:r>
      <w:r w:rsidR="006C515D" w:rsidRPr="0004631D">
        <w:t xml:space="preserve"> </w:t>
      </w:r>
      <w:r w:rsidR="006C515D">
        <w:t>concerned</w:t>
      </w:r>
      <w:r w:rsidR="006C515D" w:rsidRPr="0004631D">
        <w:t xml:space="preserve"> </w:t>
      </w:r>
      <w:r w:rsidR="006C515D">
        <w:t>with</w:t>
      </w:r>
      <w:r w:rsidR="006C515D" w:rsidRPr="0004631D">
        <w:t xml:space="preserve"> </w:t>
      </w:r>
      <w:r w:rsidR="006C515D">
        <w:t>damage</w:t>
      </w:r>
      <w:r w:rsidR="006C515D" w:rsidRPr="0004631D">
        <w:t xml:space="preserve"> </w:t>
      </w:r>
      <w:r w:rsidR="006C515D">
        <w:t>to reputation</w:t>
      </w:r>
      <w:r w:rsidR="006C515D" w:rsidRPr="0004631D">
        <w:t xml:space="preserve"> </w:t>
      </w:r>
      <w:r w:rsidR="006C515D">
        <w:t>in</w:t>
      </w:r>
      <w:r w:rsidR="006C515D" w:rsidRPr="0004631D">
        <w:t xml:space="preserve"> </w:t>
      </w:r>
      <w:r w:rsidR="006C515D">
        <w:t>which</w:t>
      </w:r>
      <w:r w:rsidR="006C515D" w:rsidRPr="0004631D">
        <w:t xml:space="preserve"> </w:t>
      </w:r>
      <w:r w:rsidR="006C515D">
        <w:t>publication</w:t>
      </w:r>
      <w:r w:rsidR="006C515D" w:rsidRPr="0004631D">
        <w:t xml:space="preserve"> </w:t>
      </w:r>
      <w:r w:rsidR="006C515D">
        <w:t>to</w:t>
      </w:r>
      <w:r w:rsidR="006C515D" w:rsidRPr="0004631D">
        <w:t xml:space="preserve"> </w:t>
      </w:r>
      <w:r w:rsidR="006C515D">
        <w:t>a</w:t>
      </w:r>
      <w:r w:rsidR="006C515D" w:rsidRPr="0004631D">
        <w:t xml:space="preserve"> </w:t>
      </w:r>
      <w:r w:rsidR="006C515D">
        <w:t>third</w:t>
      </w:r>
      <w:r w:rsidR="006C515D" w:rsidRPr="0004631D">
        <w:t xml:space="preserve"> </w:t>
      </w:r>
      <w:r w:rsidR="006C515D">
        <w:t>party</w:t>
      </w:r>
      <w:r w:rsidR="006C515D" w:rsidRPr="0004631D">
        <w:t xml:space="preserve"> </w:t>
      </w:r>
      <w:r w:rsidR="006C515D">
        <w:t>is</w:t>
      </w:r>
      <w:r w:rsidR="006C515D" w:rsidRPr="0004631D">
        <w:t xml:space="preserve"> </w:t>
      </w:r>
      <w:r w:rsidR="006C515D">
        <w:t>thus</w:t>
      </w:r>
      <w:r w:rsidR="006C515D" w:rsidRPr="0004631D">
        <w:t xml:space="preserve"> </w:t>
      </w:r>
      <w:r w:rsidR="006C515D">
        <w:t>essential:</w:t>
      </w:r>
      <w:r w:rsidR="006C515D" w:rsidRPr="0004631D">
        <w:t xml:space="preserve"> </w:t>
      </w:r>
      <w:r w:rsidR="006C515D" w:rsidRPr="002A23BB">
        <w:rPr>
          <w:i/>
        </w:rPr>
        <w:t xml:space="preserve">Dow Jones &amp; Co </w:t>
      </w:r>
      <w:proofErr w:type="spellStart"/>
      <w:r w:rsidR="006C515D" w:rsidRPr="002A23BB">
        <w:rPr>
          <w:i/>
        </w:rPr>
        <w:t>Inc</w:t>
      </w:r>
      <w:proofErr w:type="spellEnd"/>
      <w:r w:rsidR="006C515D" w:rsidRPr="002A23BB">
        <w:rPr>
          <w:i/>
        </w:rPr>
        <w:t xml:space="preserve"> v </w:t>
      </w:r>
      <w:proofErr w:type="spellStart"/>
      <w:r w:rsidR="006C515D" w:rsidRPr="002A23BB">
        <w:rPr>
          <w:i/>
        </w:rPr>
        <w:t>Gutnick</w:t>
      </w:r>
      <w:proofErr w:type="spellEnd"/>
      <w:r w:rsidR="006C515D" w:rsidRPr="002A23BB">
        <w:t xml:space="preserve"> </w:t>
      </w:r>
      <w:r w:rsidR="005F335A" w:rsidRPr="002A23BB">
        <w:t xml:space="preserve">[2002] HCA 56; </w:t>
      </w:r>
      <w:r w:rsidR="006C515D" w:rsidRPr="002A23BB">
        <w:t>(2002) 210 CLR 575</w:t>
      </w:r>
      <w:r w:rsidR="006C515D">
        <w:t xml:space="preserve"> </w:t>
      </w:r>
      <w:r w:rsidR="0076313B">
        <w:t>(</w:t>
      </w:r>
      <w:r w:rsidR="006C515D">
        <w:t xml:space="preserve">at </w:t>
      </w:r>
      <w:r w:rsidR="0076313B">
        <w:t xml:space="preserve">600 </w:t>
      </w:r>
      <w:r w:rsidR="006C515D">
        <w:t>[26],</w:t>
      </w:r>
      <w:r w:rsidR="006B3535">
        <w:t xml:space="preserve"> 606</w:t>
      </w:r>
      <w:r w:rsidR="006C515D">
        <w:t xml:space="preserve"> [42] per Gleeson CJ, McHugh, </w:t>
      </w:r>
      <w:proofErr w:type="spellStart"/>
      <w:r w:rsidR="006C515D">
        <w:t>Gummow</w:t>
      </w:r>
      <w:proofErr w:type="spellEnd"/>
      <w:r w:rsidR="006C515D">
        <w:t xml:space="preserve"> and Hayne</w:t>
      </w:r>
      <w:r w:rsidR="006C515D" w:rsidRPr="0004631D">
        <w:t xml:space="preserve"> </w:t>
      </w:r>
      <w:r w:rsidR="006C515D">
        <w:t>JJ</w:t>
      </w:r>
      <w:r w:rsidR="006B3535">
        <w:t>)</w:t>
      </w:r>
      <w:r w:rsidR="006C515D">
        <w:t>.</w:t>
      </w:r>
    </w:p>
    <w:p w14:paraId="52B62E57" w14:textId="64636529" w:rsidR="00602380" w:rsidRDefault="00EC0E1C" w:rsidP="006632FA">
      <w:pPr>
        <w:pStyle w:val="ParaNumbering"/>
        <w:ind w:left="0"/>
        <w:rPr>
          <w:lang w:eastAsia="en-US"/>
        </w:rPr>
      </w:pPr>
      <w:r>
        <w:t xml:space="preserve">As can be seen, the </w:t>
      </w:r>
      <w:r w:rsidRPr="00A80023">
        <w:rPr>
          <w:i/>
          <w:iCs/>
        </w:rPr>
        <w:t>fourth</w:t>
      </w:r>
      <w:r>
        <w:t xml:space="preserve"> claim has, as it</w:t>
      </w:r>
      <w:r w:rsidR="00A80023">
        <w:t xml:space="preserve">s </w:t>
      </w:r>
      <w:r>
        <w:t>foundation, a</w:t>
      </w:r>
      <w:r w:rsidR="00A80023">
        <w:t>n</w:t>
      </w:r>
      <w:r>
        <w:t xml:space="preserve"> allegation of a breach of </w:t>
      </w:r>
      <w:r w:rsidR="00A80023">
        <w:t xml:space="preserve">a </w:t>
      </w:r>
      <w:r>
        <w:t>criminal norm contai</w:t>
      </w:r>
      <w:r w:rsidR="00A42062">
        <w:t>ned in a law of the Parliament (</w:t>
      </w:r>
      <w:r>
        <w:t>being the Code</w:t>
      </w:r>
      <w:r w:rsidR="00A42062">
        <w:t>)</w:t>
      </w:r>
      <w:r w:rsidR="007868CC">
        <w:t xml:space="preserve">. </w:t>
      </w:r>
      <w:r w:rsidR="005923C8">
        <w:t xml:space="preserve">Although </w:t>
      </w:r>
      <w:r w:rsidR="00C302DD" w:rsidRPr="00C302DD">
        <w:t xml:space="preserve">the justiciable controversy is in federal jurisdiction </w:t>
      </w:r>
      <w:r w:rsidR="00421218">
        <w:t>(</w:t>
      </w:r>
      <w:r w:rsidR="005923C8">
        <w:t>for</w:t>
      </w:r>
      <w:r w:rsidR="00C302DD">
        <w:t xml:space="preserve"> the</w:t>
      </w:r>
      <w:r w:rsidR="004D73B4">
        <w:t xml:space="preserve"> reason </w:t>
      </w:r>
      <w:r w:rsidR="005923C8">
        <w:t xml:space="preserve">explained </w:t>
      </w:r>
      <w:r w:rsidR="00421218">
        <w:t>at [2] above)</w:t>
      </w:r>
      <w:r w:rsidR="00602380">
        <w:t>,</w:t>
      </w:r>
      <w:r w:rsidR="00C302DD">
        <w:t xml:space="preserve"> </w:t>
      </w:r>
      <w:r w:rsidR="005923C8">
        <w:t xml:space="preserve">the question </w:t>
      </w:r>
      <w:r w:rsidR="00602380">
        <w:t xml:space="preserve">that </w:t>
      </w:r>
      <w:r w:rsidR="005923C8">
        <w:t>arises is</w:t>
      </w:r>
      <w:r w:rsidR="004D73B4">
        <w:t>:</w:t>
      </w:r>
      <w:r w:rsidR="005923C8">
        <w:t xml:space="preserve"> whether </w:t>
      </w:r>
      <w:r w:rsidR="00602380">
        <w:t xml:space="preserve">the assertion of </w:t>
      </w:r>
      <w:r w:rsidR="005923C8">
        <w:t>t</w:t>
      </w:r>
      <w:r w:rsidR="00D24A2A">
        <w:t>his</w:t>
      </w:r>
      <w:r w:rsidR="006C2074">
        <w:rPr>
          <w:lang w:eastAsia="en-AU"/>
        </w:rPr>
        <w:t xml:space="preserve"> novel common law action on the case </w:t>
      </w:r>
      <w:r w:rsidR="00602380">
        <w:rPr>
          <w:lang w:eastAsia="en-AU"/>
        </w:rPr>
        <w:t xml:space="preserve">by Mr Mulley </w:t>
      </w:r>
      <w:r w:rsidR="005923C8">
        <w:rPr>
          <w:lang w:eastAsia="en-AU"/>
        </w:rPr>
        <w:t xml:space="preserve">means the </w:t>
      </w:r>
      <w:r w:rsidR="00602380">
        <w:rPr>
          <w:lang w:eastAsia="en-AU"/>
        </w:rPr>
        <w:t>Federal</w:t>
      </w:r>
      <w:r w:rsidR="005923C8">
        <w:rPr>
          <w:lang w:eastAsia="en-AU"/>
        </w:rPr>
        <w:t xml:space="preserve"> Court has subject-matter </w:t>
      </w:r>
      <w:r w:rsidR="00602380">
        <w:rPr>
          <w:lang w:eastAsia="en-AU"/>
        </w:rPr>
        <w:t>jurisdiction</w:t>
      </w:r>
      <w:r w:rsidR="005923C8">
        <w:rPr>
          <w:lang w:eastAsia="en-AU"/>
        </w:rPr>
        <w:t xml:space="preserve"> to quell</w:t>
      </w:r>
      <w:r w:rsidR="00602380">
        <w:rPr>
          <w:lang w:eastAsia="en-AU"/>
        </w:rPr>
        <w:t xml:space="preserve"> the dispute?</w:t>
      </w:r>
    </w:p>
    <w:p w14:paraId="7641A329" w14:textId="77777777" w:rsidR="006C2074" w:rsidRPr="00D01986" w:rsidRDefault="002E7F06" w:rsidP="00125266">
      <w:pPr>
        <w:pStyle w:val="Heading1"/>
      </w:pPr>
      <w:bookmarkStart w:id="26" w:name="_Ref82003794"/>
      <w:r w:rsidRPr="002E7F06">
        <w:rPr>
          <w:lang w:eastAsia="en-AU"/>
        </w:rPr>
        <w:t>D</w:t>
      </w:r>
      <w:r w:rsidR="00125266">
        <w:rPr>
          <w:lang w:eastAsia="en-AU"/>
        </w:rPr>
        <w:tab/>
      </w:r>
      <w:r w:rsidR="004C521F" w:rsidRPr="00D01986">
        <w:rPr>
          <w:lang w:eastAsia="en-AU"/>
        </w:rPr>
        <w:t xml:space="preserve">THE </w:t>
      </w:r>
      <w:r w:rsidR="00D01986" w:rsidRPr="00D01986">
        <w:rPr>
          <w:lang w:eastAsia="en-AU"/>
        </w:rPr>
        <w:t>RE</w:t>
      </w:r>
      <w:r w:rsidR="004C521F" w:rsidRPr="00D01986">
        <w:rPr>
          <w:lang w:eastAsia="en-AU"/>
        </w:rPr>
        <w:t>L</w:t>
      </w:r>
      <w:r w:rsidR="00D01986" w:rsidRPr="00D01986">
        <w:rPr>
          <w:lang w:eastAsia="en-AU"/>
        </w:rPr>
        <w:t>E</w:t>
      </w:r>
      <w:r w:rsidR="000E641F">
        <w:rPr>
          <w:lang w:eastAsia="en-AU"/>
        </w:rPr>
        <w:t>VANT PRINCIPLES</w:t>
      </w:r>
      <w:bookmarkEnd w:id="26"/>
    </w:p>
    <w:p w14:paraId="4F1D4BB0" w14:textId="36012889" w:rsidR="009D5FC0" w:rsidRPr="009D5FC0" w:rsidRDefault="00602380" w:rsidP="006632FA">
      <w:pPr>
        <w:pStyle w:val="ParaNumbering"/>
        <w:ind w:left="0"/>
        <w:rPr>
          <w:lang w:eastAsia="en-AU"/>
        </w:rPr>
      </w:pPr>
      <w:r>
        <w:rPr>
          <w:lang w:eastAsia="en-AU"/>
        </w:rPr>
        <w:t xml:space="preserve">It is appropriate to commence answering this question by outlining the relevant principles and, in doing so, saying something </w:t>
      </w:r>
      <w:r w:rsidR="009D5FC0">
        <w:rPr>
          <w:lang w:eastAsia="en-AU"/>
        </w:rPr>
        <w:t xml:space="preserve">more about what I described in </w:t>
      </w:r>
      <w:r w:rsidR="009D5FC0" w:rsidRPr="00654FAD">
        <w:rPr>
          <w:i/>
          <w:lang w:eastAsia="en-AU"/>
        </w:rPr>
        <w:t>Oliver</w:t>
      </w:r>
      <w:r w:rsidR="009D5FC0">
        <w:rPr>
          <w:lang w:eastAsia="en-AU"/>
        </w:rPr>
        <w:t xml:space="preserve"> as the more recondite way that jurisdiction may be attracted.</w:t>
      </w:r>
    </w:p>
    <w:p w14:paraId="31ED7914" w14:textId="01D5C3FF" w:rsidR="003B4F92" w:rsidRPr="003B4F92" w:rsidRDefault="00CD2DEC" w:rsidP="00CD2DEC">
      <w:pPr>
        <w:pStyle w:val="Heading2"/>
        <w:rPr>
          <w:lang w:eastAsia="en-AU"/>
        </w:rPr>
      </w:pPr>
      <w:bookmarkStart w:id="27" w:name="_Ref82003795"/>
      <w:r>
        <w:rPr>
          <w:lang w:eastAsia="en-AU"/>
        </w:rPr>
        <w:t>D.1</w:t>
      </w:r>
      <w:r>
        <w:rPr>
          <w:lang w:eastAsia="en-AU"/>
        </w:rPr>
        <w:tab/>
      </w:r>
      <w:r w:rsidR="003B4F92" w:rsidRPr="00CD2DEC">
        <w:rPr>
          <w:i/>
          <w:lang w:eastAsia="en-AU"/>
        </w:rPr>
        <w:t>LNC Industries</w:t>
      </w:r>
      <w:r w:rsidR="009A0DD4">
        <w:rPr>
          <w:lang w:eastAsia="en-AU"/>
        </w:rPr>
        <w:t xml:space="preserve"> and its a</w:t>
      </w:r>
      <w:r w:rsidR="003B4F92" w:rsidRPr="003B4F92">
        <w:rPr>
          <w:lang w:eastAsia="en-AU"/>
        </w:rPr>
        <w:t>pplication</w:t>
      </w:r>
      <w:bookmarkEnd w:id="27"/>
      <w:r w:rsidR="003B4F92" w:rsidRPr="003B4F92">
        <w:rPr>
          <w:lang w:eastAsia="en-AU"/>
        </w:rPr>
        <w:t xml:space="preserve"> </w:t>
      </w:r>
    </w:p>
    <w:p w14:paraId="301009CB" w14:textId="145946D7" w:rsidR="009D5FC0" w:rsidRDefault="000E641F" w:rsidP="006632FA">
      <w:pPr>
        <w:pStyle w:val="ParaNumbering"/>
        <w:ind w:left="0"/>
        <w:rPr>
          <w:lang w:eastAsia="en-AU"/>
        </w:rPr>
      </w:pPr>
      <w:r>
        <w:t>Of course, as has been explained many times, a</w:t>
      </w:r>
      <w:r w:rsidRPr="009D5FC0">
        <w:t xml:space="preserve"> </w:t>
      </w:r>
      <w:r>
        <w:t>“</w:t>
      </w:r>
      <w:r w:rsidRPr="009D5FC0">
        <w:t>matter</w:t>
      </w:r>
      <w:r>
        <w:t>”</w:t>
      </w:r>
      <w:r w:rsidRPr="009D5FC0">
        <w:t xml:space="preserve"> will “arise under” a law of the Parliament in a number of ways. </w:t>
      </w:r>
      <w:r>
        <w:t xml:space="preserve">As </w:t>
      </w:r>
      <w:r w:rsidRPr="009D5FC0">
        <w:rPr>
          <w:lang w:eastAsia="en-AU"/>
        </w:rPr>
        <w:t>A</w:t>
      </w:r>
      <w:r>
        <w:rPr>
          <w:lang w:eastAsia="en-AU"/>
        </w:rPr>
        <w:t>llsop CJ, Besanko and White JJ noted</w:t>
      </w:r>
      <w:r w:rsidRPr="00686212">
        <w:rPr>
          <w:lang w:eastAsia="en-AU"/>
        </w:rPr>
        <w:t xml:space="preserve"> in</w:t>
      </w:r>
      <w:r w:rsidRPr="00686212">
        <w:rPr>
          <w:i/>
          <w:lang w:eastAsia="en-AU"/>
        </w:rPr>
        <w:t xml:space="preserve"> </w:t>
      </w:r>
      <w:r w:rsidR="009D5FC0" w:rsidRPr="002A23BB">
        <w:rPr>
          <w:i/>
          <w:lang w:eastAsia="en-AU"/>
        </w:rPr>
        <w:t xml:space="preserve">Rana v Google </w:t>
      </w:r>
      <w:proofErr w:type="spellStart"/>
      <w:r w:rsidR="009D5FC0" w:rsidRPr="002A23BB">
        <w:rPr>
          <w:i/>
          <w:lang w:eastAsia="en-AU"/>
        </w:rPr>
        <w:t>Inc</w:t>
      </w:r>
      <w:proofErr w:type="spellEnd"/>
      <w:r w:rsidR="009D5FC0" w:rsidRPr="002A23BB">
        <w:rPr>
          <w:lang w:eastAsia="en-AU"/>
        </w:rPr>
        <w:t xml:space="preserve"> </w:t>
      </w:r>
      <w:r w:rsidR="00686212" w:rsidRPr="002A23BB">
        <w:rPr>
          <w:lang w:eastAsia="en-AU"/>
        </w:rPr>
        <w:t xml:space="preserve">[2017] FCAFC 156; </w:t>
      </w:r>
      <w:r w:rsidR="009D5FC0" w:rsidRPr="002A23BB">
        <w:rPr>
          <w:lang w:eastAsia="en-AU"/>
        </w:rPr>
        <w:t>(2017) 254 FCR 1</w:t>
      </w:r>
      <w:r w:rsidR="009D5FC0" w:rsidRPr="00686212">
        <w:rPr>
          <w:lang w:eastAsia="en-AU"/>
        </w:rPr>
        <w:t xml:space="preserve"> </w:t>
      </w:r>
      <w:r w:rsidR="00002B25">
        <w:rPr>
          <w:lang w:eastAsia="en-AU"/>
        </w:rPr>
        <w:t>(</w:t>
      </w:r>
      <w:r w:rsidR="009D5FC0" w:rsidRPr="00686212">
        <w:rPr>
          <w:lang w:eastAsia="en-AU"/>
        </w:rPr>
        <w:t>at 5</w:t>
      </w:r>
      <w:r w:rsidR="001734A6">
        <w:rPr>
          <w:lang w:eastAsia="en-AU"/>
        </w:rPr>
        <w:t>–6</w:t>
      </w:r>
      <w:r w:rsidR="009D5FC0" w:rsidRPr="00686212">
        <w:rPr>
          <w:lang w:eastAsia="en-AU"/>
        </w:rPr>
        <w:t xml:space="preserve"> [18]</w:t>
      </w:r>
      <w:r w:rsidR="00002B25">
        <w:rPr>
          <w:lang w:eastAsia="en-AU"/>
        </w:rPr>
        <w:t>)</w:t>
      </w:r>
      <w:r w:rsidR="009D5FC0" w:rsidRPr="00686212">
        <w:rPr>
          <w:lang w:eastAsia="en-AU"/>
        </w:rPr>
        <w:t>,</w:t>
      </w:r>
      <w:r w:rsidRPr="00686212">
        <w:rPr>
          <w:lang w:eastAsia="en-AU"/>
        </w:rPr>
        <w:t xml:space="preserve"> examples include</w:t>
      </w:r>
      <w:r w:rsidR="009D5FC0" w:rsidRPr="00686212">
        <w:rPr>
          <w:lang w:eastAsia="en-AU"/>
        </w:rPr>
        <w:t>:</w:t>
      </w:r>
    </w:p>
    <w:p w14:paraId="72547BAC" w14:textId="7E8FB199" w:rsidR="00765AD3" w:rsidRPr="001734A6" w:rsidRDefault="00765AD3" w:rsidP="001734A6">
      <w:pPr>
        <w:pStyle w:val="Quote1"/>
        <w:rPr>
          <w:w w:val="105"/>
          <w:szCs w:val="22"/>
        </w:rPr>
      </w:pPr>
      <w:r w:rsidRPr="001734A6">
        <w:rPr>
          <w:b/>
          <w:szCs w:val="22"/>
        </w:rPr>
        <w:t>[W]</w:t>
      </w:r>
      <w:r w:rsidR="009D5FC0" w:rsidRPr="001734A6">
        <w:rPr>
          <w:b/>
          <w:szCs w:val="22"/>
        </w:rPr>
        <w:t>here a cause of action is created by a Commonwealth statute; where a Commonwealth statute is relied upon as establishing a right to be vindicated</w:t>
      </w:r>
      <w:r w:rsidR="009D5FC0" w:rsidRPr="001734A6">
        <w:rPr>
          <w:szCs w:val="22"/>
        </w:rPr>
        <w:t xml:space="preserve">; where a Commonwealth statute is the source of a defence that is asserted; where the subject matter of the controversy owes its existence to Commonwealth legislation – that is where the claim is in respect of or over a right which owes its existence to federal law; where it is necessary to decide whether a right or duty based on a Commonwealth statute exists even </w:t>
      </w:r>
      <w:r w:rsidR="009D5FC0" w:rsidRPr="001734A6">
        <w:rPr>
          <w:w w:val="105"/>
          <w:szCs w:val="22"/>
        </w:rPr>
        <w:t>where that has not been pleaded by the parties, or where a federal issue is raised on the pleadings but it is unnecessary to decide</w:t>
      </w:r>
      <w:r w:rsidR="00D55E26">
        <w:rPr>
          <w:w w:val="105"/>
          <w:szCs w:val="22"/>
        </w:rPr>
        <w:t>.</w:t>
      </w:r>
    </w:p>
    <w:p w14:paraId="2E1967E7" w14:textId="77777777" w:rsidR="009D5FC0" w:rsidRPr="001734A6" w:rsidRDefault="009D5FC0" w:rsidP="001734A6">
      <w:pPr>
        <w:pStyle w:val="Quote1"/>
        <w:rPr>
          <w:szCs w:val="22"/>
        </w:rPr>
      </w:pPr>
      <w:r w:rsidRPr="001734A6">
        <w:rPr>
          <w:w w:val="103"/>
          <w:szCs w:val="22"/>
        </w:rPr>
        <w:t>…</w:t>
      </w:r>
    </w:p>
    <w:p w14:paraId="1FB3CA7C" w14:textId="77777777" w:rsidR="009D5FC0" w:rsidRPr="001734A6" w:rsidRDefault="009D5FC0" w:rsidP="001734A6">
      <w:pPr>
        <w:pStyle w:val="Quote1"/>
        <w:rPr>
          <w:szCs w:val="22"/>
        </w:rPr>
      </w:pPr>
      <w:r w:rsidRPr="001734A6">
        <w:rPr>
          <w:szCs w:val="22"/>
        </w:rPr>
        <w:t>There is a difference, however, between a matter “arising under” a law of the Parliament and a matter that merely involves the interpretation of a federal law (and which will not on its own attract federal jurisdiction): see [</w:t>
      </w:r>
      <w:r w:rsidRPr="001734A6">
        <w:rPr>
          <w:i/>
          <w:szCs w:val="22"/>
        </w:rPr>
        <w:t>Felton v Mulligan</w:t>
      </w:r>
      <w:r w:rsidRPr="001734A6">
        <w:rPr>
          <w:szCs w:val="22"/>
        </w:rPr>
        <w:t xml:space="preserve"> (1971) 124 CLR 367] at 374, 408-409, 416.</w:t>
      </w:r>
    </w:p>
    <w:p w14:paraId="4F6BA80D" w14:textId="2C12D6F2" w:rsidR="000E641F" w:rsidRPr="009D5FC0" w:rsidRDefault="00CD2DEC" w:rsidP="001734A6">
      <w:pPr>
        <w:pStyle w:val="Quote1"/>
      </w:pPr>
      <w:r w:rsidRPr="001734A6">
        <w:rPr>
          <w:szCs w:val="22"/>
        </w:rPr>
        <w:t>(E</w:t>
      </w:r>
      <w:r w:rsidR="000E641F" w:rsidRPr="001734A6">
        <w:rPr>
          <w:szCs w:val="22"/>
        </w:rPr>
        <w:t>mphasis added)</w:t>
      </w:r>
      <w:r w:rsidR="00602950">
        <w:rPr>
          <w:szCs w:val="22"/>
        </w:rPr>
        <w:t>.</w:t>
      </w:r>
    </w:p>
    <w:p w14:paraId="26548455" w14:textId="77777777" w:rsidR="00602380" w:rsidRDefault="00654FAD" w:rsidP="00B9746F">
      <w:pPr>
        <w:pStyle w:val="ParaNumbering"/>
        <w:ind w:left="0"/>
        <w:rPr>
          <w:lang w:eastAsia="en-AU"/>
        </w:rPr>
      </w:pPr>
      <w:r>
        <w:rPr>
          <w:lang w:eastAsia="en-AU"/>
        </w:rPr>
        <w:lastRenderedPageBreak/>
        <w:t>But this difference</w:t>
      </w:r>
      <w:r w:rsidR="000E641F">
        <w:rPr>
          <w:lang w:eastAsia="en-AU"/>
        </w:rPr>
        <w:t xml:space="preserve"> explained by the Full Court</w:t>
      </w:r>
      <w:r w:rsidR="00EC3D19">
        <w:rPr>
          <w:lang w:eastAsia="en-AU"/>
        </w:rPr>
        <w:t xml:space="preserve"> as to the limits of a</w:t>
      </w:r>
      <w:r w:rsidR="00EC3D19" w:rsidRPr="00EC3D19">
        <w:rPr>
          <w:szCs w:val="22"/>
        </w:rPr>
        <w:t xml:space="preserve"> </w:t>
      </w:r>
      <w:r w:rsidR="00EC3D19" w:rsidRPr="001734A6">
        <w:rPr>
          <w:szCs w:val="22"/>
        </w:rPr>
        <w:t>matter “arising under” a law of the Parliament</w:t>
      </w:r>
      <w:r>
        <w:rPr>
          <w:lang w:eastAsia="en-AU"/>
        </w:rPr>
        <w:t xml:space="preserve">, although important, </w:t>
      </w:r>
      <w:r w:rsidR="000E641F">
        <w:rPr>
          <w:lang w:eastAsia="en-AU"/>
        </w:rPr>
        <w:t>can</w:t>
      </w:r>
      <w:r>
        <w:rPr>
          <w:lang w:eastAsia="en-AU"/>
        </w:rPr>
        <w:t xml:space="preserve"> at the margins </w:t>
      </w:r>
      <w:r w:rsidR="000E641F">
        <w:rPr>
          <w:lang w:eastAsia="en-AU"/>
        </w:rPr>
        <w:t xml:space="preserve">be </w:t>
      </w:r>
      <w:r>
        <w:rPr>
          <w:lang w:eastAsia="en-AU"/>
        </w:rPr>
        <w:t>somewhat difficult to draw</w:t>
      </w:r>
      <w:r w:rsidR="000E641F">
        <w:rPr>
          <w:lang w:eastAsia="en-AU"/>
        </w:rPr>
        <w:t>.</w:t>
      </w:r>
      <w:r w:rsidR="00A42062">
        <w:rPr>
          <w:lang w:eastAsia="en-AU"/>
        </w:rPr>
        <w:t xml:space="preserve"> </w:t>
      </w:r>
    </w:p>
    <w:p w14:paraId="2E19F10E" w14:textId="444E5089" w:rsidR="00B9746F" w:rsidRPr="009D5FC0" w:rsidRDefault="00602380" w:rsidP="00B9746F">
      <w:pPr>
        <w:pStyle w:val="ParaNumbering"/>
        <w:ind w:left="0"/>
        <w:rPr>
          <w:lang w:eastAsia="en-AU"/>
        </w:rPr>
      </w:pPr>
      <w:r>
        <w:rPr>
          <w:lang w:eastAsia="en-AU"/>
        </w:rPr>
        <w:t>By way of background, i</w:t>
      </w:r>
      <w:r w:rsidR="00697413" w:rsidRPr="0004631D">
        <w:rPr>
          <w:lang w:eastAsia="en-AU"/>
        </w:rPr>
        <w:t>t is</w:t>
      </w:r>
      <w:r w:rsidR="0079369B">
        <w:rPr>
          <w:lang w:eastAsia="en-AU"/>
        </w:rPr>
        <w:t xml:space="preserve"> </w:t>
      </w:r>
      <w:r w:rsidR="00697413" w:rsidRPr="0004631D">
        <w:rPr>
          <w:lang w:eastAsia="en-AU"/>
        </w:rPr>
        <w:t xml:space="preserve">useful to </w:t>
      </w:r>
      <w:r w:rsidR="000E641F">
        <w:rPr>
          <w:lang w:eastAsia="en-AU"/>
        </w:rPr>
        <w:t xml:space="preserve">step back and </w:t>
      </w:r>
      <w:r w:rsidR="00697413" w:rsidRPr="0004631D">
        <w:rPr>
          <w:lang w:eastAsia="en-AU"/>
        </w:rPr>
        <w:t xml:space="preserve">contextualise </w:t>
      </w:r>
      <w:r w:rsidR="0073314B" w:rsidRPr="002A23BB">
        <w:rPr>
          <w:i/>
          <w:lang w:eastAsia="en-AU"/>
        </w:rPr>
        <w:t>LNC Industries v BMW (Australia) Ltd</w:t>
      </w:r>
      <w:r w:rsidR="0073314B" w:rsidRPr="002A23BB">
        <w:rPr>
          <w:lang w:eastAsia="en-AU"/>
        </w:rPr>
        <w:t xml:space="preserve"> (1983) 151 CLR 575</w:t>
      </w:r>
      <w:r w:rsidR="00BF498A">
        <w:rPr>
          <w:lang w:eastAsia="en-AU"/>
        </w:rPr>
        <w:t xml:space="preserve">, as </w:t>
      </w:r>
      <w:r w:rsidR="0073314B">
        <w:rPr>
          <w:lang w:eastAsia="en-AU"/>
        </w:rPr>
        <w:t xml:space="preserve">the restatement in that case of the conclusion of Latham CJ in </w:t>
      </w:r>
      <w:r w:rsidR="0073314B" w:rsidRPr="00697413">
        <w:rPr>
          <w:i/>
        </w:rPr>
        <w:t>R v Commonwealth Court of Conciliation and Arbitration; Ex parte Barrett</w:t>
      </w:r>
      <w:r w:rsidR="0073314B">
        <w:rPr>
          <w:i/>
        </w:rPr>
        <w:t xml:space="preserve"> </w:t>
      </w:r>
      <w:r w:rsidR="0073314B">
        <w:t>(</w:t>
      </w:r>
      <w:r w:rsidR="0073314B" w:rsidRPr="003E2175">
        <w:t>1945) 70 CLR 141 </w:t>
      </w:r>
      <w:r w:rsidR="00602950">
        <w:t>(</w:t>
      </w:r>
      <w:r w:rsidR="0073314B" w:rsidRPr="003E2175">
        <w:t>at 154</w:t>
      </w:r>
      <w:r w:rsidR="00602950">
        <w:t>)</w:t>
      </w:r>
      <w:r w:rsidR="0073314B">
        <w:t>,</w:t>
      </w:r>
      <w:r w:rsidR="00697413" w:rsidRPr="0004631D">
        <w:rPr>
          <w:lang w:eastAsia="en-AU"/>
        </w:rPr>
        <w:t xml:space="preserve"> is often cited as marking the outer limits of </w:t>
      </w:r>
      <w:r w:rsidR="00417097" w:rsidRPr="0004631D">
        <w:rPr>
          <w:lang w:eastAsia="en-AU"/>
        </w:rPr>
        <w:t>matters “arising under” a law of the Parliament</w:t>
      </w:r>
      <w:r w:rsidR="0073314B">
        <w:rPr>
          <w:lang w:eastAsia="en-AU"/>
        </w:rPr>
        <w:t xml:space="preserve">. In </w:t>
      </w:r>
      <w:r w:rsidR="0073314B" w:rsidRPr="002A23BB">
        <w:rPr>
          <w:i/>
          <w:lang w:eastAsia="en-AU"/>
        </w:rPr>
        <w:t>LNC Industries</w:t>
      </w:r>
      <w:r w:rsidR="0073314B">
        <w:rPr>
          <w:lang w:eastAsia="en-AU"/>
        </w:rPr>
        <w:t xml:space="preserve">, </w:t>
      </w:r>
      <w:r w:rsidR="00B9746F">
        <w:rPr>
          <w:lang w:eastAsia="en-AU"/>
        </w:rPr>
        <w:t>Gibbs CJ, Mason, Wilso</w:t>
      </w:r>
      <w:r w:rsidR="0073314B">
        <w:rPr>
          <w:lang w:eastAsia="en-AU"/>
        </w:rPr>
        <w:t>n, Brennan, Deane and Dawson JJ explained</w:t>
      </w:r>
      <w:r w:rsidR="00602950">
        <w:rPr>
          <w:lang w:eastAsia="en-AU"/>
        </w:rPr>
        <w:t xml:space="preserve"> (at 581)</w:t>
      </w:r>
      <w:r w:rsidR="00B9746F">
        <w:rPr>
          <w:lang w:eastAsia="en-AU"/>
        </w:rPr>
        <w:t>:</w:t>
      </w:r>
    </w:p>
    <w:p w14:paraId="3441622E" w14:textId="77777777" w:rsidR="00B9746F" w:rsidRDefault="00B9746F" w:rsidP="00B9746F">
      <w:pPr>
        <w:pStyle w:val="Quote1"/>
      </w:pPr>
      <w:r w:rsidRPr="009D5FC0">
        <w:t xml:space="preserve">[A] matter may arise under a law of the Parliament although the interpretation or validity of the law is not involved: </w:t>
      </w:r>
      <w:r w:rsidRPr="00697413">
        <w:rPr>
          <w:i/>
        </w:rPr>
        <w:t>R v Commonwealth Court of Conciliation and Arbitration; Ex parte Barrett</w:t>
      </w:r>
      <w:r>
        <w:rPr>
          <w:i/>
        </w:rPr>
        <w:t xml:space="preserve"> </w:t>
      </w:r>
      <w:r>
        <w:t>[(</w:t>
      </w:r>
      <w:r w:rsidRPr="003E2175">
        <w:t>1945) 70 CLR 141 at 154]</w:t>
      </w:r>
      <w:r w:rsidRPr="009D5FC0">
        <w:t xml:space="preserve">. The conclusion reached by Latham CJ in that case, and stated in a passage that has often been cited with approval, is “that a matter may properly be said to arise under a federal law if the right or duty in question in the matter owes its existence to federal law </w:t>
      </w:r>
      <w:r w:rsidRPr="003E6DB3">
        <w:rPr>
          <w:b/>
        </w:rPr>
        <w:t>or depends upon federal law for its enforcement</w:t>
      </w:r>
      <w:r w:rsidRPr="009D5FC0">
        <w:t>, whether or not the determination of the controversy involves the interpret</w:t>
      </w:r>
      <w:r>
        <w:t>ation (or validity) of the law”</w:t>
      </w:r>
    </w:p>
    <w:p w14:paraId="4B604C1D" w14:textId="77777777" w:rsidR="00B9746F" w:rsidRDefault="00B9746F" w:rsidP="00B9746F">
      <w:pPr>
        <w:pStyle w:val="Quote1"/>
      </w:pPr>
      <w:r>
        <w:t>…</w:t>
      </w:r>
    </w:p>
    <w:p w14:paraId="4854C05D" w14:textId="77777777" w:rsidR="00B9746F" w:rsidRDefault="00B9746F" w:rsidP="00B9746F">
      <w:pPr>
        <w:pStyle w:val="Quote1"/>
      </w:pPr>
      <w:r w:rsidRPr="009D5FC0">
        <w:t>A claim for damages for breach or for specific performance of a contract, or a claim for relief for breach of trust, is a claim for relief of a kind which is available under State law, but if the contract or trust is in respect of a right or property which is the creation of federal law, the claim arises under federal law. The subject matter of the contract or trust in such a case exists as a result of the federal law.</w:t>
      </w:r>
    </w:p>
    <w:p w14:paraId="7579CB1D" w14:textId="5CF6C5DB" w:rsidR="00B9746F" w:rsidRDefault="00B9746F" w:rsidP="00B9746F">
      <w:pPr>
        <w:pStyle w:val="Quote1"/>
      </w:pPr>
      <w:r w:rsidRPr="00C84E7E">
        <w:t>(</w:t>
      </w:r>
      <w:r w:rsidR="00C84E7E" w:rsidRPr="00C84E7E">
        <w:t>Footnotes omitted, e</w:t>
      </w:r>
      <w:r w:rsidR="00602950">
        <w:t>mphasis added</w:t>
      </w:r>
      <w:r>
        <w:t>)</w:t>
      </w:r>
      <w:r w:rsidR="00602950">
        <w:t>.</w:t>
      </w:r>
    </w:p>
    <w:p w14:paraId="48480559" w14:textId="6F37D97B" w:rsidR="007A12CC" w:rsidRDefault="0073314B" w:rsidP="007A12CC">
      <w:pPr>
        <w:pStyle w:val="ParaNumbering"/>
        <w:ind w:left="0"/>
        <w:rPr>
          <w:lang w:eastAsia="en-AU"/>
        </w:rPr>
      </w:pPr>
      <w:r>
        <w:rPr>
          <w:lang w:eastAsia="en-AU"/>
        </w:rPr>
        <w:t>The emphasised part of the</w:t>
      </w:r>
      <w:r w:rsidR="007A12CC">
        <w:rPr>
          <w:lang w:eastAsia="en-AU"/>
        </w:rPr>
        <w:t xml:space="preserve"> quotation taken from Latham CJ</w:t>
      </w:r>
      <w:r>
        <w:rPr>
          <w:lang w:eastAsia="en-AU"/>
        </w:rPr>
        <w:t xml:space="preserve"> </w:t>
      </w:r>
      <w:r w:rsidR="007A12CC">
        <w:rPr>
          <w:lang w:eastAsia="en-AU"/>
        </w:rPr>
        <w:t>is of some importance, and I will return to it below.</w:t>
      </w:r>
    </w:p>
    <w:p w14:paraId="36F9752C" w14:textId="34D7F9CC" w:rsidR="00C0596F" w:rsidRDefault="00697413" w:rsidP="00C0596F">
      <w:pPr>
        <w:pStyle w:val="ParaNumbering"/>
        <w:ind w:left="0"/>
        <w:rPr>
          <w:lang w:eastAsia="en-AU"/>
        </w:rPr>
      </w:pPr>
      <w:r w:rsidRPr="00384344">
        <w:rPr>
          <w:i/>
          <w:lang w:eastAsia="en-AU"/>
        </w:rPr>
        <w:t>LNC Industries</w:t>
      </w:r>
      <w:r w:rsidRPr="0004631D">
        <w:rPr>
          <w:lang w:eastAsia="en-AU"/>
        </w:rPr>
        <w:t xml:space="preserve"> was a case relating to the contractual sale of quota entitlements for the importation of vehicles into Australia pursuant to the </w:t>
      </w:r>
      <w:r w:rsidR="005D27E3">
        <w:rPr>
          <w:i/>
          <w:lang w:eastAsia="en-AU"/>
        </w:rPr>
        <w:t>Customs (Import Licens</w:t>
      </w:r>
      <w:r w:rsidRPr="0073314B">
        <w:rPr>
          <w:i/>
          <w:lang w:eastAsia="en-AU"/>
        </w:rPr>
        <w:t>ing) Regulations</w:t>
      </w:r>
      <w:r w:rsidRPr="00686212">
        <w:rPr>
          <w:lang w:eastAsia="en-AU"/>
        </w:rPr>
        <w:t xml:space="preserve"> </w:t>
      </w:r>
      <w:r w:rsidRPr="0004631D">
        <w:rPr>
          <w:lang w:eastAsia="en-AU"/>
        </w:rPr>
        <w:t xml:space="preserve">made under the </w:t>
      </w:r>
      <w:r w:rsidRPr="00B9746F">
        <w:rPr>
          <w:i/>
          <w:lang w:eastAsia="en-AU"/>
        </w:rPr>
        <w:t xml:space="preserve">Customs Act 1901 </w:t>
      </w:r>
      <w:r w:rsidRPr="00B9746F">
        <w:rPr>
          <w:lang w:eastAsia="en-AU"/>
        </w:rPr>
        <w:t>(</w:t>
      </w:r>
      <w:proofErr w:type="spellStart"/>
      <w:r w:rsidRPr="00B9746F">
        <w:rPr>
          <w:lang w:eastAsia="en-AU"/>
        </w:rPr>
        <w:t>Cth</w:t>
      </w:r>
      <w:proofErr w:type="spellEnd"/>
      <w:r w:rsidRPr="00B9746F">
        <w:rPr>
          <w:lang w:eastAsia="en-AU"/>
        </w:rPr>
        <w:t>)</w:t>
      </w:r>
      <w:r w:rsidRPr="003E2175">
        <w:rPr>
          <w:lang w:eastAsia="en-AU"/>
        </w:rPr>
        <w:t>.</w:t>
      </w:r>
      <w:r w:rsidRPr="0004631D">
        <w:rPr>
          <w:lang w:eastAsia="en-AU"/>
        </w:rPr>
        <w:t xml:space="preserve"> The High Court held</w:t>
      </w:r>
      <w:r w:rsidR="001734A6">
        <w:rPr>
          <w:lang w:eastAsia="en-AU"/>
        </w:rPr>
        <w:t xml:space="preserve"> (at 582)</w:t>
      </w:r>
      <w:r w:rsidRPr="0004631D">
        <w:rPr>
          <w:lang w:eastAsia="en-AU"/>
        </w:rPr>
        <w:t xml:space="preserve"> that the claim was within federal jurisdiction on the basis that the contract</w:t>
      </w:r>
      <w:r w:rsidR="005B6922" w:rsidRPr="0004631D">
        <w:rPr>
          <w:lang w:eastAsia="en-AU"/>
        </w:rPr>
        <w:t xml:space="preserve">s </w:t>
      </w:r>
      <w:r w:rsidR="001734A6">
        <w:rPr>
          <w:lang w:eastAsia="en-AU"/>
        </w:rPr>
        <w:t xml:space="preserve">being </w:t>
      </w:r>
      <w:r w:rsidR="005B6922" w:rsidRPr="0004631D">
        <w:rPr>
          <w:lang w:eastAsia="en-AU"/>
        </w:rPr>
        <w:t>considered were “</w:t>
      </w:r>
      <w:r w:rsidRPr="0004631D">
        <w:rPr>
          <w:lang w:eastAsia="en-AU"/>
        </w:rPr>
        <w:t xml:space="preserve">concerned solely with entitlements </w:t>
      </w:r>
      <w:r w:rsidR="005B6922" w:rsidRPr="0004631D">
        <w:rPr>
          <w:lang w:eastAsia="en-AU"/>
        </w:rPr>
        <w:t>under the Regulations”</w:t>
      </w:r>
      <w:r w:rsidRPr="0004631D">
        <w:rPr>
          <w:lang w:eastAsia="en-AU"/>
        </w:rPr>
        <w:t xml:space="preserve"> and that “the very subject of the issue between the parties </w:t>
      </w:r>
      <w:r w:rsidR="00B9746F">
        <w:rPr>
          <w:lang w:eastAsia="en-AU"/>
        </w:rPr>
        <w:t>[was]</w:t>
      </w:r>
      <w:r w:rsidRPr="0004631D">
        <w:rPr>
          <w:lang w:eastAsia="en-AU"/>
        </w:rPr>
        <w:t xml:space="preserve"> an entitlement under the Regulations”.</w:t>
      </w:r>
      <w:r w:rsidR="001173A2">
        <w:rPr>
          <w:lang w:eastAsia="en-AU"/>
        </w:rPr>
        <w:t xml:space="preserve"> </w:t>
      </w:r>
    </w:p>
    <w:p w14:paraId="681BE986" w14:textId="06441A8D" w:rsidR="0075478D" w:rsidRPr="00C0596F" w:rsidRDefault="00C0596F" w:rsidP="00C0596F">
      <w:pPr>
        <w:pStyle w:val="ParaNumbering"/>
        <w:ind w:left="0"/>
        <w:rPr>
          <w:lang w:eastAsia="en-AU"/>
        </w:rPr>
      </w:pPr>
      <w:r w:rsidRPr="00C0596F">
        <w:rPr>
          <w:lang w:val="en"/>
        </w:rPr>
        <w:t>I</w:t>
      </w:r>
      <w:r w:rsidR="00765AD3" w:rsidRPr="00C0596F">
        <w:rPr>
          <w:lang w:val="en"/>
        </w:rPr>
        <w:t xml:space="preserve">t is clear why </w:t>
      </w:r>
      <w:r w:rsidR="00A26E93" w:rsidRPr="00C0596F">
        <w:rPr>
          <w:lang w:val="en"/>
        </w:rPr>
        <w:t xml:space="preserve">the principled outer </w:t>
      </w:r>
      <w:r w:rsidR="00697413" w:rsidRPr="00C0596F">
        <w:rPr>
          <w:lang w:val="en"/>
        </w:rPr>
        <w:t>limits of federal jurisdiction</w:t>
      </w:r>
      <w:r w:rsidR="0075478D" w:rsidRPr="00C0596F">
        <w:rPr>
          <w:lang w:val="en"/>
        </w:rPr>
        <w:t xml:space="preserve"> </w:t>
      </w:r>
      <w:r w:rsidR="00541FEE" w:rsidRPr="00C0596F">
        <w:rPr>
          <w:lang w:val="en"/>
        </w:rPr>
        <w:t xml:space="preserve">were brought into sharp </w:t>
      </w:r>
      <w:r w:rsidR="00EF24A6">
        <w:rPr>
          <w:lang w:val="en"/>
        </w:rPr>
        <w:t>relief</w:t>
      </w:r>
      <w:r w:rsidR="00765AD3" w:rsidRPr="00C0596F">
        <w:rPr>
          <w:lang w:val="en"/>
        </w:rPr>
        <w:t xml:space="preserve"> around the time </w:t>
      </w:r>
      <w:r w:rsidR="00765AD3" w:rsidRPr="00C0596F">
        <w:rPr>
          <w:i/>
          <w:lang w:val="en"/>
        </w:rPr>
        <w:t>LNC Industries</w:t>
      </w:r>
      <w:r w:rsidR="00765AD3" w:rsidRPr="00C0596F">
        <w:rPr>
          <w:lang w:val="en"/>
        </w:rPr>
        <w:t xml:space="preserve"> was decided</w:t>
      </w:r>
      <w:r w:rsidR="00A26E93" w:rsidRPr="00C0596F">
        <w:rPr>
          <w:lang w:val="en"/>
        </w:rPr>
        <w:t xml:space="preserve">: </w:t>
      </w:r>
      <w:r w:rsidR="00417097" w:rsidRPr="00C0596F">
        <w:rPr>
          <w:lang w:val="en"/>
        </w:rPr>
        <w:t>it had</w:t>
      </w:r>
      <w:r w:rsidR="005B6922" w:rsidRPr="00C0596F">
        <w:rPr>
          <w:lang w:val="en"/>
        </w:rPr>
        <w:t xml:space="preserve"> relevance </w:t>
      </w:r>
      <w:r w:rsidR="00A26E93" w:rsidRPr="00C0596F">
        <w:rPr>
          <w:lang w:val="en"/>
        </w:rPr>
        <w:t xml:space="preserve">in the </w:t>
      </w:r>
      <w:r w:rsidR="0073314B">
        <w:rPr>
          <w:lang w:val="en"/>
        </w:rPr>
        <w:t>last stages</w:t>
      </w:r>
      <w:r w:rsidR="00A26E93" w:rsidRPr="00C0596F">
        <w:rPr>
          <w:lang w:val="en"/>
        </w:rPr>
        <w:t xml:space="preserve"> of the complicated </w:t>
      </w:r>
      <w:r w:rsidR="0075478D" w:rsidRPr="00C0596F">
        <w:rPr>
          <w:lang w:val="en"/>
        </w:rPr>
        <w:t>process of</w:t>
      </w:r>
      <w:r w:rsidR="002C003C">
        <w:rPr>
          <w:lang w:val="en"/>
        </w:rPr>
        <w:t xml:space="preserve"> the</w:t>
      </w:r>
      <w:r w:rsidR="0075478D" w:rsidRPr="00C0596F">
        <w:rPr>
          <w:lang w:val="en"/>
        </w:rPr>
        <w:t xml:space="preserve"> abolition of Privy Council appeals. From 1903, the condition imposed by s 39(2)(a) of </w:t>
      </w:r>
      <w:r w:rsidR="008721B3" w:rsidRPr="00E1065D">
        <w:rPr>
          <w:i/>
          <w:iCs/>
          <w:lang w:eastAsia="en-AU"/>
        </w:rPr>
        <w:t>Judiciary Act 1903</w:t>
      </w:r>
      <w:r w:rsidR="008721B3" w:rsidRPr="00E1065D">
        <w:rPr>
          <w:lang w:eastAsia="en-AU"/>
        </w:rPr>
        <w:t> (</w:t>
      </w:r>
      <w:proofErr w:type="spellStart"/>
      <w:r w:rsidR="008721B3" w:rsidRPr="00E1065D">
        <w:rPr>
          <w:lang w:eastAsia="en-AU"/>
        </w:rPr>
        <w:t>Cth</w:t>
      </w:r>
      <w:proofErr w:type="spellEnd"/>
      <w:r w:rsidR="008721B3" w:rsidRPr="00E1065D">
        <w:rPr>
          <w:lang w:eastAsia="en-AU"/>
        </w:rPr>
        <w:t xml:space="preserve">) </w:t>
      </w:r>
      <w:r w:rsidR="0075478D" w:rsidRPr="00C0596F">
        <w:rPr>
          <w:lang w:val="en"/>
        </w:rPr>
        <w:t>on the exercise of federa</w:t>
      </w:r>
      <w:r w:rsidRPr="00C0596F">
        <w:rPr>
          <w:lang w:val="en"/>
        </w:rPr>
        <w:t xml:space="preserve">l jurisdiction by state courts </w:t>
      </w:r>
      <w:r w:rsidR="0075478D" w:rsidRPr="00C0596F">
        <w:rPr>
          <w:lang w:val="en"/>
        </w:rPr>
        <w:t xml:space="preserve">had the effect of making the exercise of federal jurisdiction by a state Supreme </w:t>
      </w:r>
      <w:r w:rsidR="0075478D" w:rsidRPr="00C0596F">
        <w:rPr>
          <w:lang w:val="en"/>
        </w:rPr>
        <w:lastRenderedPageBreak/>
        <w:t>Court final except fo</w:t>
      </w:r>
      <w:r w:rsidRPr="00C0596F">
        <w:rPr>
          <w:lang w:val="en"/>
        </w:rPr>
        <w:t xml:space="preserve">r an appeal to the High Court </w:t>
      </w:r>
      <w:r w:rsidR="00541FEE" w:rsidRPr="00C0596F">
        <w:rPr>
          <w:lang w:val="en"/>
        </w:rPr>
        <w:t>(although th</w:t>
      </w:r>
      <w:r w:rsidR="0075478D" w:rsidRPr="00C0596F">
        <w:rPr>
          <w:lang w:val="en"/>
        </w:rPr>
        <w:t xml:space="preserve">e Privy Council decided in </w:t>
      </w:r>
      <w:r w:rsidR="0075478D" w:rsidRPr="00C0596F">
        <w:rPr>
          <w:i/>
          <w:lang w:val="en"/>
        </w:rPr>
        <w:t xml:space="preserve">Webb v </w:t>
      </w:r>
      <w:proofErr w:type="spellStart"/>
      <w:r w:rsidR="0075478D" w:rsidRPr="00C0596F">
        <w:rPr>
          <w:i/>
          <w:lang w:val="en"/>
        </w:rPr>
        <w:t>Outtrim</w:t>
      </w:r>
      <w:proofErr w:type="spellEnd"/>
      <w:r w:rsidR="0075478D" w:rsidRPr="00C0596F">
        <w:rPr>
          <w:lang w:val="en"/>
        </w:rPr>
        <w:t xml:space="preserve"> (1906) 4 CLR 35</w:t>
      </w:r>
      <w:r w:rsidR="002D71DE" w:rsidRPr="00C0596F">
        <w:rPr>
          <w:lang w:val="en"/>
        </w:rPr>
        <w:t>6</w:t>
      </w:r>
      <w:r w:rsidR="0075478D" w:rsidRPr="00C0596F">
        <w:rPr>
          <w:lang w:val="en"/>
        </w:rPr>
        <w:t xml:space="preserve"> that this did not prevent an appeal from a state court to the Privy Council in the exercise of invested federal jurisdiction</w:t>
      </w:r>
      <w:r w:rsidR="00541FEE" w:rsidRPr="00C0596F">
        <w:rPr>
          <w:lang w:val="en"/>
        </w:rPr>
        <w:t xml:space="preserve">, </w:t>
      </w:r>
      <w:r w:rsidR="0075478D" w:rsidRPr="00C0596F">
        <w:rPr>
          <w:lang w:val="en"/>
        </w:rPr>
        <w:t xml:space="preserve">the High Court refused to follow </w:t>
      </w:r>
      <w:r w:rsidR="005B6922" w:rsidRPr="00C0596F">
        <w:rPr>
          <w:lang w:val="en"/>
        </w:rPr>
        <w:t xml:space="preserve">this approach </w:t>
      </w:r>
      <w:r w:rsidR="0075478D" w:rsidRPr="00C0596F">
        <w:rPr>
          <w:lang w:val="en"/>
        </w:rPr>
        <w:t xml:space="preserve">in </w:t>
      </w:r>
      <w:r w:rsidR="0075478D" w:rsidRPr="00C0596F">
        <w:rPr>
          <w:i/>
          <w:lang w:val="en"/>
        </w:rPr>
        <w:t>Baxter v Commissioners of Taxation (NSW)</w:t>
      </w:r>
      <w:r w:rsidR="0075478D" w:rsidRPr="00C0596F">
        <w:rPr>
          <w:lang w:val="en"/>
        </w:rPr>
        <w:t xml:space="preserve"> (1907) 4 CLR 1087</w:t>
      </w:r>
      <w:r w:rsidR="002D1D4A" w:rsidRPr="00C0596F">
        <w:rPr>
          <w:lang w:val="en"/>
        </w:rPr>
        <w:t xml:space="preserve"> </w:t>
      </w:r>
      <w:r w:rsidR="00002B25">
        <w:rPr>
          <w:lang w:val="en"/>
        </w:rPr>
        <w:t>(</w:t>
      </w:r>
      <w:r w:rsidR="002D1D4A" w:rsidRPr="00C0596F">
        <w:rPr>
          <w:lang w:val="en"/>
        </w:rPr>
        <w:t xml:space="preserve">at </w:t>
      </w:r>
      <w:r w:rsidR="0075478D" w:rsidRPr="00C0596F">
        <w:rPr>
          <w:lang w:val="en"/>
        </w:rPr>
        <w:t>1137–40</w:t>
      </w:r>
      <w:r w:rsidR="00541FEE" w:rsidRPr="00C0596F">
        <w:rPr>
          <w:lang w:val="en"/>
        </w:rPr>
        <w:t>)</w:t>
      </w:r>
      <w:r w:rsidR="00002B25">
        <w:rPr>
          <w:lang w:val="en"/>
        </w:rPr>
        <w:t>)</w:t>
      </w:r>
      <w:r w:rsidR="00AB65A8">
        <w:rPr>
          <w:lang w:val="en"/>
        </w:rPr>
        <w:t>.</w:t>
      </w:r>
      <w:r w:rsidR="0075478D" w:rsidRPr="00C0596F">
        <w:rPr>
          <w:lang w:val="en"/>
        </w:rPr>
        <w:t xml:space="preserve"> </w:t>
      </w:r>
      <w:r w:rsidR="0079369B">
        <w:rPr>
          <w:lang w:val="en"/>
        </w:rPr>
        <w:t>I</w:t>
      </w:r>
      <w:r w:rsidR="0075478D" w:rsidRPr="00C0596F">
        <w:rPr>
          <w:lang w:val="en"/>
        </w:rPr>
        <w:t xml:space="preserve">t was not until the passage of the </w:t>
      </w:r>
      <w:r w:rsidR="0075478D" w:rsidRPr="00C0596F">
        <w:rPr>
          <w:i/>
          <w:lang w:val="en"/>
        </w:rPr>
        <w:t>Australia Act 1986</w:t>
      </w:r>
      <w:r w:rsidR="0075478D" w:rsidRPr="00C0596F">
        <w:rPr>
          <w:lang w:val="en"/>
        </w:rPr>
        <w:t xml:space="preserve"> (</w:t>
      </w:r>
      <w:proofErr w:type="spellStart"/>
      <w:r w:rsidR="0075478D" w:rsidRPr="00C0596F">
        <w:rPr>
          <w:lang w:val="en"/>
        </w:rPr>
        <w:t>Cth</w:t>
      </w:r>
      <w:proofErr w:type="spellEnd"/>
      <w:r w:rsidR="0075478D" w:rsidRPr="00C0596F">
        <w:rPr>
          <w:lang w:val="en"/>
        </w:rPr>
        <w:t>)</w:t>
      </w:r>
      <w:r w:rsidR="00541FEE" w:rsidRPr="00C0596F">
        <w:rPr>
          <w:i/>
          <w:lang w:val="en"/>
        </w:rPr>
        <w:t xml:space="preserve"> </w:t>
      </w:r>
      <w:r w:rsidR="00541FEE" w:rsidRPr="00C0596F">
        <w:rPr>
          <w:lang w:val="en"/>
        </w:rPr>
        <w:t xml:space="preserve">and the </w:t>
      </w:r>
      <w:r w:rsidR="00541FEE" w:rsidRPr="00A37BAD">
        <w:rPr>
          <w:i/>
          <w:lang w:val="en"/>
        </w:rPr>
        <w:t>Australia Act 1986</w:t>
      </w:r>
      <w:r w:rsidR="00541FEE" w:rsidRPr="00C0596F">
        <w:rPr>
          <w:lang w:val="en"/>
        </w:rPr>
        <w:t xml:space="preserve"> (UK) </w:t>
      </w:r>
      <w:r w:rsidR="0075478D" w:rsidRPr="00C0596F">
        <w:rPr>
          <w:lang w:val="en"/>
        </w:rPr>
        <w:t xml:space="preserve">that the remaining channel of appeal to the Privy Council from state Supreme Courts in matters of state law was </w:t>
      </w:r>
      <w:r w:rsidR="00A26E93" w:rsidRPr="00C0596F">
        <w:rPr>
          <w:lang w:val="en"/>
        </w:rPr>
        <w:t>eliminated</w:t>
      </w:r>
      <w:r w:rsidR="0079369B">
        <w:rPr>
          <w:lang w:val="en"/>
        </w:rPr>
        <w:t xml:space="preserve">. This </w:t>
      </w:r>
      <w:r w:rsidR="0075478D" w:rsidRPr="00C0596F">
        <w:rPr>
          <w:lang w:val="en"/>
        </w:rPr>
        <w:t xml:space="preserve">removed the </w:t>
      </w:r>
      <w:r w:rsidR="00417097" w:rsidRPr="00C0596F">
        <w:rPr>
          <w:lang w:val="en"/>
        </w:rPr>
        <w:t xml:space="preserve">perceived </w:t>
      </w:r>
      <w:r w:rsidR="0075478D" w:rsidRPr="00C0596F">
        <w:rPr>
          <w:lang w:val="en"/>
        </w:rPr>
        <w:t>difficulty existing since 1975 that in matters of state law there were two final courts of appeal</w:t>
      </w:r>
      <w:r w:rsidR="007A12CC">
        <w:rPr>
          <w:lang w:val="en"/>
        </w:rPr>
        <w:t xml:space="preserve">: </w:t>
      </w:r>
      <w:r w:rsidR="0075478D" w:rsidRPr="00C0596F">
        <w:rPr>
          <w:lang w:val="en"/>
        </w:rPr>
        <w:t>the High Court and the Privy Council</w:t>
      </w:r>
      <w:r w:rsidR="00A26E93" w:rsidRPr="00C0596F">
        <w:rPr>
          <w:lang w:val="en"/>
        </w:rPr>
        <w:t xml:space="preserve">: see Australian Law Reform Commission, </w:t>
      </w:r>
      <w:r w:rsidR="00A26E93" w:rsidRPr="00C0596F">
        <w:rPr>
          <w:i/>
          <w:lang w:val="en"/>
        </w:rPr>
        <w:t>The Judicial Power of the Commonwealth: A Review of the Judic</w:t>
      </w:r>
      <w:r w:rsidRPr="00C0596F">
        <w:rPr>
          <w:i/>
          <w:lang w:val="en"/>
        </w:rPr>
        <w:t xml:space="preserve">iary Act and related legislation </w:t>
      </w:r>
      <w:r w:rsidRPr="00C0596F">
        <w:rPr>
          <w:lang w:val="en"/>
        </w:rPr>
        <w:t>(</w:t>
      </w:r>
      <w:r w:rsidR="00EF24A6">
        <w:rPr>
          <w:iCs/>
          <w:lang w:val="en"/>
        </w:rPr>
        <w:t>DP</w:t>
      </w:r>
      <w:r w:rsidR="00765AD3" w:rsidRPr="00C0596F">
        <w:rPr>
          <w:lang w:val="en"/>
        </w:rPr>
        <w:t xml:space="preserve"> 64, December 2000</w:t>
      </w:r>
      <w:r w:rsidRPr="00C0596F">
        <w:rPr>
          <w:lang w:val="en"/>
        </w:rPr>
        <w:t>)</w:t>
      </w:r>
      <w:r w:rsidR="00C31098">
        <w:rPr>
          <w:lang w:val="en"/>
        </w:rPr>
        <w:t xml:space="preserve"> </w:t>
      </w:r>
      <w:r w:rsidR="007A5EBF">
        <w:rPr>
          <w:lang w:val="en"/>
        </w:rPr>
        <w:t xml:space="preserve">(at </w:t>
      </w:r>
      <w:r w:rsidR="00C31098" w:rsidRPr="007A12CC">
        <w:rPr>
          <w:lang w:val="en"/>
        </w:rPr>
        <w:t>pp</w:t>
      </w:r>
      <w:r w:rsidR="00765AD3" w:rsidRPr="007A12CC">
        <w:rPr>
          <w:lang w:val="en"/>
        </w:rPr>
        <w:t xml:space="preserve"> 106</w:t>
      </w:r>
      <w:r w:rsidR="00765AD3" w:rsidRPr="007A12CC">
        <w:t>–</w:t>
      </w:r>
      <w:r w:rsidR="00A26E93" w:rsidRPr="007A12CC">
        <w:rPr>
          <w:lang w:val="en"/>
        </w:rPr>
        <w:t>7</w:t>
      </w:r>
      <w:r w:rsidR="007A5EBF">
        <w:rPr>
          <w:lang w:val="en"/>
        </w:rPr>
        <w:t>)</w:t>
      </w:r>
      <w:r w:rsidR="0075478D" w:rsidRPr="007A12CC">
        <w:rPr>
          <w:lang w:val="en"/>
        </w:rPr>
        <w:t>.</w:t>
      </w:r>
      <w:r w:rsidR="0075478D" w:rsidRPr="00C0596F">
        <w:rPr>
          <w:lang w:val="en"/>
        </w:rPr>
        <w:t xml:space="preserve"> </w:t>
      </w:r>
    </w:p>
    <w:p w14:paraId="60FF5CDA" w14:textId="77777777" w:rsidR="0079369B" w:rsidRDefault="005B6922" w:rsidP="0079369B">
      <w:pPr>
        <w:pStyle w:val="ParaNumbering"/>
        <w:ind w:left="0"/>
        <w:rPr>
          <w:lang w:eastAsia="en-AU"/>
        </w:rPr>
      </w:pPr>
      <w:r>
        <w:rPr>
          <w:lang w:eastAsia="en-AU"/>
        </w:rPr>
        <w:t xml:space="preserve">In any event, </w:t>
      </w:r>
      <w:r w:rsidR="00654FAD">
        <w:rPr>
          <w:lang w:eastAsia="en-AU"/>
        </w:rPr>
        <w:t xml:space="preserve">as noted above, </w:t>
      </w:r>
      <w:r>
        <w:rPr>
          <w:lang w:eastAsia="en-AU"/>
        </w:rPr>
        <w:t xml:space="preserve">the limits of the application </w:t>
      </w:r>
      <w:r w:rsidR="000E641F">
        <w:rPr>
          <w:lang w:eastAsia="en-AU"/>
        </w:rPr>
        <w:t xml:space="preserve">of what was said in </w:t>
      </w:r>
      <w:r w:rsidRPr="006632FA">
        <w:rPr>
          <w:i/>
          <w:lang w:eastAsia="en-AU"/>
        </w:rPr>
        <w:t>LNC Industries</w:t>
      </w:r>
      <w:r w:rsidRPr="0004631D">
        <w:rPr>
          <w:lang w:eastAsia="en-AU"/>
        </w:rPr>
        <w:t xml:space="preserve"> </w:t>
      </w:r>
      <w:r>
        <w:rPr>
          <w:lang w:eastAsia="en-AU"/>
        </w:rPr>
        <w:t>can somet</w:t>
      </w:r>
      <w:r w:rsidR="00425325">
        <w:rPr>
          <w:lang w:eastAsia="en-AU"/>
        </w:rPr>
        <w:t xml:space="preserve">imes be difficult to identify. </w:t>
      </w:r>
      <w:r w:rsidR="0079369B">
        <w:rPr>
          <w:lang w:eastAsia="en-AU"/>
        </w:rPr>
        <w:t>Nine</w:t>
      </w:r>
      <w:r w:rsidR="006532C8">
        <w:rPr>
          <w:lang w:eastAsia="en-AU"/>
        </w:rPr>
        <w:t xml:space="preserve"> </w:t>
      </w:r>
      <w:r>
        <w:rPr>
          <w:lang w:eastAsia="en-AU"/>
        </w:rPr>
        <w:t>examples</w:t>
      </w:r>
      <w:r w:rsidR="000E641F">
        <w:rPr>
          <w:lang w:eastAsia="en-AU"/>
        </w:rPr>
        <w:t xml:space="preserve">, including two very </w:t>
      </w:r>
      <w:r w:rsidR="00C31098">
        <w:rPr>
          <w:lang w:eastAsia="en-AU"/>
        </w:rPr>
        <w:t xml:space="preserve">recent </w:t>
      </w:r>
      <w:r w:rsidR="000E641F">
        <w:rPr>
          <w:lang w:eastAsia="en-AU"/>
        </w:rPr>
        <w:t>ones,</w:t>
      </w:r>
      <w:r>
        <w:rPr>
          <w:lang w:eastAsia="en-AU"/>
        </w:rPr>
        <w:t xml:space="preserve"> are </w:t>
      </w:r>
      <w:r w:rsidR="00425325">
        <w:rPr>
          <w:lang w:eastAsia="en-AU"/>
        </w:rPr>
        <w:t>worth mentioning</w:t>
      </w:r>
      <w:r>
        <w:rPr>
          <w:lang w:eastAsia="en-AU"/>
        </w:rPr>
        <w:t>.</w:t>
      </w:r>
      <w:r w:rsidR="00384344">
        <w:rPr>
          <w:lang w:eastAsia="en-AU"/>
        </w:rPr>
        <w:t xml:space="preserve"> </w:t>
      </w:r>
    </w:p>
    <w:p w14:paraId="0D289B26" w14:textId="08567058" w:rsidR="00384344" w:rsidRPr="0079369B" w:rsidRDefault="00384344" w:rsidP="0079369B">
      <w:pPr>
        <w:pStyle w:val="ParaNumbering"/>
        <w:ind w:left="0"/>
        <w:rPr>
          <w:lang w:eastAsia="en-AU"/>
        </w:rPr>
      </w:pPr>
      <w:r w:rsidRPr="0079369B">
        <w:rPr>
          <w:i/>
          <w:lang w:eastAsia="en-AU"/>
        </w:rPr>
        <w:t>First</w:t>
      </w:r>
      <w:r w:rsidR="00EF24A6">
        <w:rPr>
          <w:lang w:eastAsia="en-AU"/>
        </w:rPr>
        <w:t>,</w:t>
      </w:r>
      <w:r w:rsidR="00BF498A">
        <w:rPr>
          <w:lang w:eastAsia="en-AU"/>
        </w:rPr>
        <w:t xml:space="preserve"> </w:t>
      </w:r>
      <w:r>
        <w:rPr>
          <w:lang w:eastAsia="en-AU"/>
        </w:rPr>
        <w:t xml:space="preserve">is </w:t>
      </w:r>
      <w:r w:rsidRPr="0079369B">
        <w:rPr>
          <w:i/>
          <w:lang w:eastAsia="en-AU"/>
        </w:rPr>
        <w:t>Edwards v Santos Ltd</w:t>
      </w:r>
      <w:r w:rsidRPr="003B44E3">
        <w:rPr>
          <w:lang w:eastAsia="en-AU"/>
        </w:rPr>
        <w:t xml:space="preserve"> </w:t>
      </w:r>
      <w:r w:rsidR="003B44E3" w:rsidRPr="003B44E3">
        <w:rPr>
          <w:lang w:eastAsia="en-AU"/>
        </w:rPr>
        <w:t xml:space="preserve">[2011] HCA 8; </w:t>
      </w:r>
      <w:r w:rsidRPr="003B44E3">
        <w:rPr>
          <w:lang w:eastAsia="en-AU"/>
        </w:rPr>
        <w:t>(2011) 242 CLR 421.</w:t>
      </w:r>
      <w:r>
        <w:rPr>
          <w:lang w:eastAsia="en-AU"/>
        </w:rPr>
        <w:t xml:space="preserve"> </w:t>
      </w:r>
      <w:r w:rsidR="008058CD" w:rsidRPr="0079369B">
        <w:rPr>
          <w:lang w:val="en"/>
        </w:rPr>
        <w:t>The plaintiffs were registered native title claimants and had commenced negotiations for an Indigenous Land Use Agreement (</w:t>
      </w:r>
      <w:r w:rsidR="008058CD" w:rsidRPr="0079369B">
        <w:rPr>
          <w:b/>
          <w:lang w:val="en"/>
        </w:rPr>
        <w:t>ILUA</w:t>
      </w:r>
      <w:r w:rsidR="008058CD" w:rsidRPr="0079369B">
        <w:rPr>
          <w:lang w:val="en"/>
        </w:rPr>
        <w:t>) under the </w:t>
      </w:r>
      <w:r w:rsidR="008058CD" w:rsidRPr="0079369B">
        <w:rPr>
          <w:i/>
          <w:lang w:val="en"/>
        </w:rPr>
        <w:t>Native Title Act</w:t>
      </w:r>
      <w:r w:rsidR="008058CD" w:rsidRPr="0079369B">
        <w:rPr>
          <w:lang w:val="en"/>
        </w:rPr>
        <w:t> </w:t>
      </w:r>
      <w:r w:rsidR="008058CD" w:rsidRPr="0079369B">
        <w:rPr>
          <w:i/>
          <w:lang w:val="en"/>
        </w:rPr>
        <w:t>1993</w:t>
      </w:r>
      <w:r w:rsidR="008058CD" w:rsidRPr="0079369B">
        <w:rPr>
          <w:lang w:val="en"/>
        </w:rPr>
        <w:t xml:space="preserve"> (</w:t>
      </w:r>
      <w:proofErr w:type="spellStart"/>
      <w:r w:rsidR="008058CD" w:rsidRPr="0079369B">
        <w:rPr>
          <w:lang w:val="en"/>
        </w:rPr>
        <w:t>Cth</w:t>
      </w:r>
      <w:proofErr w:type="spellEnd"/>
      <w:r w:rsidR="008058CD" w:rsidRPr="0079369B">
        <w:rPr>
          <w:lang w:val="en"/>
        </w:rPr>
        <w:t>) (</w:t>
      </w:r>
      <w:r w:rsidR="008058CD" w:rsidRPr="0079369B">
        <w:rPr>
          <w:b/>
          <w:lang w:val="en"/>
        </w:rPr>
        <w:t>NTA</w:t>
      </w:r>
      <w:r w:rsidR="00AB65A8" w:rsidRPr="0079369B">
        <w:rPr>
          <w:lang w:val="en"/>
        </w:rPr>
        <w:t>). </w:t>
      </w:r>
      <w:r w:rsidR="008058CD" w:rsidRPr="0079369B">
        <w:rPr>
          <w:lang w:val="en"/>
        </w:rPr>
        <w:t>Two of the defendants held an authority to prospect in respect of land in Queensland falling within the boundaries of the claimed land (</w:t>
      </w:r>
      <w:r w:rsidR="008058CD" w:rsidRPr="0079369B">
        <w:rPr>
          <w:b/>
          <w:lang w:val="en"/>
        </w:rPr>
        <w:t>petroleum defendants</w:t>
      </w:r>
      <w:r w:rsidR="008058CD" w:rsidRPr="0079369B">
        <w:rPr>
          <w:lang w:val="en"/>
        </w:rPr>
        <w:t xml:space="preserve">). The authority to prospect was granted by </w:t>
      </w:r>
      <w:r w:rsidR="0079369B" w:rsidRPr="0079369B">
        <w:rPr>
          <w:lang w:val="en"/>
        </w:rPr>
        <w:t xml:space="preserve">the </w:t>
      </w:r>
      <w:r w:rsidR="0079369B" w:rsidRPr="0079369B">
        <w:rPr>
          <w:iCs/>
          <w:lang w:val="en"/>
        </w:rPr>
        <w:t>State of Queensland</w:t>
      </w:r>
      <w:r w:rsidR="008058CD" w:rsidRPr="0079369B">
        <w:rPr>
          <w:lang w:val="en"/>
        </w:rPr>
        <w:t>, under the </w:t>
      </w:r>
      <w:r w:rsidR="008058CD" w:rsidRPr="0079369B">
        <w:rPr>
          <w:i/>
          <w:lang w:val="en"/>
        </w:rPr>
        <w:t>Petroleum Act 1923</w:t>
      </w:r>
      <w:r w:rsidR="008058CD" w:rsidRPr="0079369B">
        <w:rPr>
          <w:lang w:val="en"/>
        </w:rPr>
        <w:t xml:space="preserve"> (</w:t>
      </w:r>
      <w:proofErr w:type="spellStart"/>
      <w:r w:rsidR="008058CD" w:rsidRPr="0079369B">
        <w:rPr>
          <w:lang w:val="en"/>
        </w:rPr>
        <w:t>Qld</w:t>
      </w:r>
      <w:proofErr w:type="spellEnd"/>
      <w:r w:rsidR="008058CD" w:rsidRPr="0079369B">
        <w:rPr>
          <w:lang w:val="en"/>
        </w:rPr>
        <w:t xml:space="preserve">). The </w:t>
      </w:r>
      <w:r w:rsidR="00C65DB3" w:rsidRPr="0079369B">
        <w:rPr>
          <w:lang w:val="en"/>
        </w:rPr>
        <w:t>plaintiffs</w:t>
      </w:r>
      <w:r w:rsidR="008058CD" w:rsidRPr="0079369B">
        <w:rPr>
          <w:lang w:val="en"/>
        </w:rPr>
        <w:t xml:space="preserve"> and the petroleum defendants negotiated entry into an ILUA in relation t</w:t>
      </w:r>
      <w:r w:rsidR="00F0228A" w:rsidRPr="0079369B">
        <w:rPr>
          <w:lang w:val="en"/>
        </w:rPr>
        <w:t>o future grants which might be “future acts”</w:t>
      </w:r>
      <w:r w:rsidR="008058CD" w:rsidRPr="0079369B">
        <w:rPr>
          <w:lang w:val="en"/>
        </w:rPr>
        <w:t xml:space="preserve"> within the meaning of the NTA. The petroleum defendants asserted that the authority to prospect </w:t>
      </w:r>
      <w:r w:rsidR="00F0228A" w:rsidRPr="0079369B">
        <w:rPr>
          <w:lang w:val="en"/>
        </w:rPr>
        <w:t xml:space="preserve">was </w:t>
      </w:r>
      <w:r w:rsidR="00C65DB3" w:rsidRPr="0079369B">
        <w:rPr>
          <w:lang w:val="en"/>
        </w:rPr>
        <w:t>not subject to the “right to negotiate”</w:t>
      </w:r>
      <w:r w:rsidR="008058CD" w:rsidRPr="0079369B">
        <w:rPr>
          <w:lang w:val="en"/>
        </w:rPr>
        <w:t xml:space="preserve"> under the NTA. Th</w:t>
      </w:r>
      <w:r w:rsidR="00C65DB3" w:rsidRPr="0079369B">
        <w:rPr>
          <w:lang w:val="en"/>
        </w:rPr>
        <w:t>e plaintiffs took issue with this</w:t>
      </w:r>
      <w:r w:rsidR="008058CD" w:rsidRPr="0079369B">
        <w:rPr>
          <w:lang w:val="en"/>
        </w:rPr>
        <w:t xml:space="preserve"> contention and instituted proceedings in the Federal Court seeking declaratory and injunctive relief.</w:t>
      </w:r>
      <w:r w:rsidR="00C92F1A" w:rsidRPr="0079369B">
        <w:rPr>
          <w:lang w:val="en"/>
        </w:rPr>
        <w:t xml:space="preserve"> </w:t>
      </w:r>
      <w:r w:rsidR="00C65DB3" w:rsidRPr="0079369B">
        <w:rPr>
          <w:lang w:val="en"/>
        </w:rPr>
        <w:t>The proceeding was dismissed summarily by the primary judge for want of jurisdiction and leave</w:t>
      </w:r>
      <w:r w:rsidR="00C92F1A" w:rsidRPr="0079369B">
        <w:rPr>
          <w:lang w:val="en"/>
        </w:rPr>
        <w:t xml:space="preserve"> to appeal was refused.</w:t>
      </w:r>
      <w:r w:rsidR="00F0228A" w:rsidRPr="0079369B">
        <w:rPr>
          <w:lang w:val="en"/>
        </w:rPr>
        <w:t xml:space="preserve"> </w:t>
      </w:r>
      <w:r w:rsidRPr="0079369B">
        <w:rPr>
          <w:lang w:val="en"/>
        </w:rPr>
        <w:t xml:space="preserve">Because no appeal lay against such a decision by virtue of s 33(4B)(a) of the </w:t>
      </w:r>
      <w:r w:rsidR="00686212" w:rsidRPr="0079369B">
        <w:rPr>
          <w:lang w:val="en"/>
        </w:rPr>
        <w:t>FCAA</w:t>
      </w:r>
      <w:r w:rsidRPr="0079369B">
        <w:rPr>
          <w:lang w:val="en"/>
        </w:rPr>
        <w:t xml:space="preserve">, relief was sought under s 75(v) of the </w:t>
      </w:r>
      <w:r w:rsidRPr="00F10EAA">
        <w:rPr>
          <w:i/>
          <w:lang w:val="en"/>
        </w:rPr>
        <w:t>Constitution</w:t>
      </w:r>
      <w:r w:rsidRPr="0079369B">
        <w:rPr>
          <w:lang w:val="en"/>
        </w:rPr>
        <w:t xml:space="preserve">, which was granted. In doing so, </w:t>
      </w:r>
      <w:proofErr w:type="spellStart"/>
      <w:r w:rsidRPr="0079369B">
        <w:rPr>
          <w:lang w:val="en"/>
        </w:rPr>
        <w:t>Heydon</w:t>
      </w:r>
      <w:proofErr w:type="spellEnd"/>
      <w:r w:rsidRPr="0079369B">
        <w:rPr>
          <w:lang w:val="en"/>
        </w:rPr>
        <w:t xml:space="preserve"> J (with who</w:t>
      </w:r>
      <w:r w:rsidR="0056136C">
        <w:rPr>
          <w:lang w:val="en"/>
        </w:rPr>
        <w:t>m</w:t>
      </w:r>
      <w:r w:rsidRPr="0079369B">
        <w:rPr>
          <w:lang w:val="en"/>
        </w:rPr>
        <w:t xml:space="preserve"> French CJ, </w:t>
      </w:r>
      <w:proofErr w:type="spellStart"/>
      <w:r w:rsidRPr="0079369B">
        <w:rPr>
          <w:lang w:val="en"/>
        </w:rPr>
        <w:t>Gummow</w:t>
      </w:r>
      <w:proofErr w:type="spellEnd"/>
      <w:r w:rsidRPr="0079369B">
        <w:rPr>
          <w:lang w:val="en"/>
        </w:rPr>
        <w:t xml:space="preserve">, </w:t>
      </w:r>
      <w:proofErr w:type="spellStart"/>
      <w:r w:rsidRPr="0079369B">
        <w:rPr>
          <w:lang w:val="en"/>
        </w:rPr>
        <w:t>Kiefel</w:t>
      </w:r>
      <w:proofErr w:type="spellEnd"/>
      <w:r w:rsidRPr="0079369B">
        <w:rPr>
          <w:lang w:val="en"/>
        </w:rPr>
        <w:t xml:space="preserve"> and Bell JJ agreed) </w:t>
      </w:r>
      <w:r w:rsidR="00F0228A" w:rsidRPr="0079369B">
        <w:rPr>
          <w:lang w:val="en"/>
        </w:rPr>
        <w:t>explained</w:t>
      </w:r>
      <w:r w:rsidR="003B44E3" w:rsidRPr="0079369B">
        <w:rPr>
          <w:lang w:val="en"/>
        </w:rPr>
        <w:t xml:space="preserve"> (at</w:t>
      </w:r>
      <w:r w:rsidR="0071535D" w:rsidRPr="0079369B">
        <w:rPr>
          <w:lang w:val="en"/>
        </w:rPr>
        <w:t xml:space="preserve"> 438–</w:t>
      </w:r>
      <w:r w:rsidR="00F24586" w:rsidRPr="0079369B">
        <w:rPr>
          <w:lang w:val="en"/>
        </w:rPr>
        <w:t>9</w:t>
      </w:r>
      <w:r w:rsidR="003B44E3" w:rsidRPr="0079369B">
        <w:rPr>
          <w:lang w:val="en"/>
        </w:rPr>
        <w:t xml:space="preserve"> [45])</w:t>
      </w:r>
      <w:r w:rsidR="00F0228A" w:rsidRPr="0079369B">
        <w:rPr>
          <w:lang w:val="en"/>
        </w:rPr>
        <w:t>:</w:t>
      </w:r>
      <w:r w:rsidR="001173A2">
        <w:rPr>
          <w:lang w:val="en"/>
        </w:rPr>
        <w:t xml:space="preserve"> </w:t>
      </w:r>
    </w:p>
    <w:p w14:paraId="69D4CA3B" w14:textId="77777777" w:rsidR="00384344" w:rsidRPr="00F0228A" w:rsidRDefault="00F0228A" w:rsidP="00C31098">
      <w:pPr>
        <w:pStyle w:val="Quote1"/>
        <w:rPr>
          <w:lang w:val="en"/>
        </w:rPr>
      </w:pPr>
      <w:r w:rsidRPr="00F0228A">
        <w:rPr>
          <w:shd w:val="clear" w:color="auto" w:fill="FFFFFF"/>
        </w:rPr>
        <w:t>While a claim to damages for breach of contract is a claim for relief under State law, if the contract is in respect of a right which is a creature of federal law, the claim arises under the federal law [</w:t>
      </w:r>
      <w:r>
        <w:rPr>
          <w:rStyle w:val="ssit"/>
          <w:i/>
          <w:iCs/>
          <w:szCs w:val="22"/>
          <w:bdr w:val="none" w:sz="0" w:space="0" w:color="auto" w:frame="1"/>
          <w:shd w:val="clear" w:color="auto" w:fill="FFFFFF"/>
        </w:rPr>
        <w:t>LNC Industries</w:t>
      </w:r>
      <w:r w:rsidRPr="00F0228A">
        <w:rPr>
          <w:shd w:val="clear" w:color="auto" w:fill="FFFFFF"/>
        </w:rPr>
        <w:t xml:space="preserve"> at </w:t>
      </w:r>
      <w:r w:rsidRPr="00F0228A">
        <w:rPr>
          <w:bdr w:val="none" w:sz="0" w:space="0" w:color="auto" w:frame="1"/>
          <w:shd w:val="clear" w:color="auto" w:fill="FFFFFF"/>
        </w:rPr>
        <w:t>581].</w:t>
      </w:r>
      <w:r w:rsidRPr="00F0228A">
        <w:rPr>
          <w:shd w:val="clear" w:color="auto" w:fill="FFFFFF"/>
        </w:rPr>
        <w:t xml:space="preserve"> That is true whether the State law is common law, like the law of contract, or statute law, like the position of the ATP in relation to the “production licences”, that is leases, under s 40 of the </w:t>
      </w:r>
      <w:r w:rsidRPr="00F0228A">
        <w:rPr>
          <w:i/>
          <w:shd w:val="clear" w:color="auto" w:fill="FFFFFF"/>
        </w:rPr>
        <w:t>Petroleum Act</w:t>
      </w:r>
      <w:r w:rsidRPr="00F0228A">
        <w:rPr>
          <w:shd w:val="clear" w:color="auto" w:fill="FFFFFF"/>
        </w:rPr>
        <w:t xml:space="preserve">. And there is also a matter arising under a federal law if the source of a defence which asserts that the defendant is immune from a liability or obligation of that defendant is </w:t>
      </w:r>
      <w:r w:rsidRPr="00F0228A">
        <w:rPr>
          <w:shd w:val="clear" w:color="auto" w:fill="FFFFFF"/>
        </w:rPr>
        <w:lastRenderedPageBreak/>
        <w:t>a law of the Commonwealth [</w:t>
      </w:r>
      <w:r w:rsidRPr="00F0228A">
        <w:rPr>
          <w:i/>
          <w:iCs/>
          <w:bdr w:val="none" w:sz="0" w:space="0" w:color="auto" w:frame="1"/>
          <w:shd w:val="clear" w:color="auto" w:fill="FFFFFF"/>
        </w:rPr>
        <w:t>Felton v Mulligan</w:t>
      </w:r>
      <w:r w:rsidRPr="00F0228A">
        <w:rPr>
          <w:shd w:val="clear" w:color="auto" w:fill="FFFFFF"/>
        </w:rPr>
        <w:t> </w:t>
      </w:r>
      <w:r w:rsidRPr="00F0228A">
        <w:rPr>
          <w:bdr w:val="none" w:sz="0" w:space="0" w:color="auto" w:frame="1"/>
          <w:shd w:val="clear" w:color="auto" w:fill="FFFFFF"/>
        </w:rPr>
        <w:t>(1971) 124 CLR 367</w:t>
      </w:r>
      <w:r w:rsidRPr="00F0228A">
        <w:rPr>
          <w:shd w:val="clear" w:color="auto" w:fill="FFFFFF"/>
        </w:rPr>
        <w:t> at </w:t>
      </w:r>
      <w:r w:rsidRPr="00F0228A">
        <w:rPr>
          <w:bdr w:val="none" w:sz="0" w:space="0" w:color="auto" w:frame="1"/>
          <w:shd w:val="clear" w:color="auto" w:fill="FFFFFF"/>
        </w:rPr>
        <w:t>408</w:t>
      </w:r>
      <w:r w:rsidRPr="00F0228A">
        <w:rPr>
          <w:shd w:val="clear" w:color="auto" w:fill="FFFFFF"/>
        </w:rPr>
        <w:t>; </w:t>
      </w:r>
      <w:proofErr w:type="spellStart"/>
      <w:r w:rsidRPr="00F0228A">
        <w:rPr>
          <w:i/>
          <w:iCs/>
          <w:bdr w:val="none" w:sz="0" w:space="0" w:color="auto" w:frame="1"/>
          <w:shd w:val="clear" w:color="auto" w:fill="FFFFFF"/>
        </w:rPr>
        <w:t>Agtrack</w:t>
      </w:r>
      <w:proofErr w:type="spellEnd"/>
      <w:r w:rsidRPr="00F0228A">
        <w:rPr>
          <w:i/>
          <w:iCs/>
          <w:bdr w:val="none" w:sz="0" w:space="0" w:color="auto" w:frame="1"/>
          <w:shd w:val="clear" w:color="auto" w:fill="FFFFFF"/>
        </w:rPr>
        <w:t xml:space="preserve"> (NT) Pty Ltd v Hatfield</w:t>
      </w:r>
      <w:r w:rsidRPr="00F0228A">
        <w:rPr>
          <w:shd w:val="clear" w:color="auto" w:fill="FFFFFF"/>
        </w:rPr>
        <w:t> </w:t>
      </w:r>
      <w:r w:rsidRPr="00F0228A">
        <w:rPr>
          <w:bdr w:val="none" w:sz="0" w:space="0" w:color="auto" w:frame="1"/>
          <w:shd w:val="clear" w:color="auto" w:fill="FFFFFF"/>
        </w:rPr>
        <w:t>(2005) 223 CLR 251]</w:t>
      </w:r>
      <w:r w:rsidRPr="00F0228A">
        <w:rPr>
          <w:shd w:val="clear" w:color="auto" w:fill="FFFFFF"/>
        </w:rPr>
        <w:t>. Here the petroleum defendants are alleging that they are immune from the “right to negotiate provisions of the NTA” because of the pre-existing rights based acts provisions of the NTA. Hence there is a matter arising under a federal law.</w:t>
      </w:r>
    </w:p>
    <w:p w14:paraId="6AEF68B5" w14:textId="68B5309E" w:rsidR="00EB351B" w:rsidRDefault="00EB351B" w:rsidP="00EB351B">
      <w:pPr>
        <w:pStyle w:val="ParaNumbering"/>
        <w:ind w:left="0"/>
        <w:rPr>
          <w:iCs/>
          <w:lang w:val="en"/>
        </w:rPr>
      </w:pPr>
      <w:r>
        <w:rPr>
          <w:i/>
          <w:lang w:eastAsia="en-AU"/>
        </w:rPr>
        <w:t>Secondly</w:t>
      </w:r>
      <w:r>
        <w:rPr>
          <w:lang w:eastAsia="en-AU"/>
        </w:rPr>
        <w:t xml:space="preserve">, in </w:t>
      </w:r>
      <w:r w:rsidRPr="00F90292">
        <w:rPr>
          <w:i/>
          <w:lang w:eastAsia="en-AU"/>
        </w:rPr>
        <w:t>TCL Air Co</w:t>
      </w:r>
      <w:r>
        <w:rPr>
          <w:i/>
          <w:lang w:eastAsia="en-AU"/>
        </w:rPr>
        <w:t>nditioner (</w:t>
      </w:r>
      <w:proofErr w:type="spellStart"/>
      <w:r>
        <w:rPr>
          <w:i/>
          <w:lang w:eastAsia="en-AU"/>
        </w:rPr>
        <w:t>Zhongshan</w:t>
      </w:r>
      <w:proofErr w:type="spellEnd"/>
      <w:r>
        <w:rPr>
          <w:i/>
          <w:lang w:eastAsia="en-AU"/>
        </w:rPr>
        <w:t xml:space="preserve">) Co Ltd v </w:t>
      </w:r>
      <w:r w:rsidRPr="00F90292">
        <w:rPr>
          <w:i/>
          <w:lang w:eastAsia="en-AU"/>
        </w:rPr>
        <w:t>Judges of the Federal Court of Australia</w:t>
      </w:r>
      <w:r>
        <w:rPr>
          <w:lang w:eastAsia="en-AU"/>
        </w:rPr>
        <w:t xml:space="preserve"> </w:t>
      </w:r>
      <w:r w:rsidRPr="00B53198">
        <w:rPr>
          <w:lang w:eastAsia="en-AU"/>
        </w:rPr>
        <w:t>[2013] HCA 5</w:t>
      </w:r>
      <w:r>
        <w:rPr>
          <w:lang w:eastAsia="en-AU"/>
        </w:rPr>
        <w:t xml:space="preserve">; (2013) 251 CLR 533, the </w:t>
      </w:r>
      <w:r w:rsidRPr="00F90292">
        <w:rPr>
          <w:iCs/>
          <w:lang w:val="en"/>
        </w:rPr>
        <w:t xml:space="preserve">High Court considered whether the </w:t>
      </w:r>
      <w:r w:rsidRPr="00F90292">
        <w:rPr>
          <w:i/>
          <w:iCs/>
          <w:lang w:val="en"/>
        </w:rPr>
        <w:t>International Arbitration Act 1974</w:t>
      </w:r>
      <w:r>
        <w:rPr>
          <w:iCs/>
          <w:lang w:val="en"/>
        </w:rPr>
        <w:t xml:space="preserve"> (</w:t>
      </w:r>
      <w:proofErr w:type="spellStart"/>
      <w:r>
        <w:rPr>
          <w:iCs/>
          <w:lang w:val="en"/>
        </w:rPr>
        <w:t>Cth</w:t>
      </w:r>
      <w:proofErr w:type="spellEnd"/>
      <w:r>
        <w:rPr>
          <w:iCs/>
          <w:lang w:val="en"/>
        </w:rPr>
        <w:t xml:space="preserve">) </w:t>
      </w:r>
      <w:r w:rsidRPr="00F90292">
        <w:rPr>
          <w:iCs/>
          <w:lang w:val="en"/>
        </w:rPr>
        <w:t>gave force of law in Australia to the UNCITRAL Model Law on International Commercial Arbitration.</w:t>
      </w:r>
      <w:r>
        <w:rPr>
          <w:iCs/>
          <w:lang w:val="en"/>
        </w:rPr>
        <w:t xml:space="preserve"> French CJ and </w:t>
      </w:r>
      <w:proofErr w:type="spellStart"/>
      <w:r>
        <w:rPr>
          <w:iCs/>
          <w:lang w:val="en"/>
        </w:rPr>
        <w:t>Gagelar</w:t>
      </w:r>
      <w:proofErr w:type="spellEnd"/>
      <w:r>
        <w:rPr>
          <w:iCs/>
          <w:lang w:val="en"/>
        </w:rPr>
        <w:t xml:space="preserve"> J determined </w:t>
      </w:r>
      <w:r w:rsidR="0056136C">
        <w:rPr>
          <w:iCs/>
          <w:lang w:val="en"/>
        </w:rPr>
        <w:t xml:space="preserve">(at 555 [32]) </w:t>
      </w:r>
      <w:r>
        <w:rPr>
          <w:iCs/>
          <w:lang w:val="en"/>
        </w:rPr>
        <w:t xml:space="preserve">that </w:t>
      </w:r>
      <w:r w:rsidRPr="00F90292">
        <w:rPr>
          <w:iCs/>
          <w:lang w:val="en"/>
        </w:rPr>
        <w:t>the enforcement of an arbitral award by a competent court under Art 35 of the Model Law is an exercise of the judicial power of the Commonwealth</w:t>
      </w:r>
      <w:r>
        <w:rPr>
          <w:iCs/>
          <w:lang w:val="en"/>
        </w:rPr>
        <w:t>.</w:t>
      </w:r>
      <w:r w:rsidRPr="00F90292">
        <w:rPr>
          <w:iCs/>
          <w:lang w:val="en"/>
        </w:rPr>
        <w:t xml:space="preserve"> </w:t>
      </w:r>
      <w:r>
        <w:rPr>
          <w:iCs/>
          <w:lang w:val="en"/>
        </w:rPr>
        <w:t xml:space="preserve">Their </w:t>
      </w:r>
      <w:proofErr w:type="spellStart"/>
      <w:r>
        <w:rPr>
          <w:iCs/>
          <w:lang w:val="en"/>
        </w:rPr>
        <w:t>Honours</w:t>
      </w:r>
      <w:proofErr w:type="spellEnd"/>
      <w:r>
        <w:rPr>
          <w:iCs/>
          <w:lang w:val="en"/>
        </w:rPr>
        <w:t xml:space="preserve">, applying </w:t>
      </w:r>
      <w:r w:rsidRPr="00881CB8">
        <w:rPr>
          <w:i/>
          <w:iCs/>
          <w:lang w:val="en"/>
        </w:rPr>
        <w:t>LNC Industries</w:t>
      </w:r>
      <w:r w:rsidR="0071535D">
        <w:rPr>
          <w:iCs/>
          <w:lang w:val="en"/>
        </w:rPr>
        <w:t>, noted (at 543–</w:t>
      </w:r>
      <w:r>
        <w:rPr>
          <w:iCs/>
          <w:lang w:val="en"/>
        </w:rPr>
        <w:t>4 [2]) that a</w:t>
      </w:r>
      <w:r w:rsidRPr="00881CB8">
        <w:rPr>
          <w:iCs/>
          <w:lang w:val="en"/>
        </w:rPr>
        <w:t>n application t</w:t>
      </w:r>
      <w:r>
        <w:rPr>
          <w:iCs/>
          <w:lang w:val="en"/>
        </w:rPr>
        <w:t>o enforce an arbitral award is:</w:t>
      </w:r>
    </w:p>
    <w:p w14:paraId="7D90C842" w14:textId="5191FDD0" w:rsidR="00EB351B" w:rsidRDefault="0056136C" w:rsidP="00EB351B">
      <w:pPr>
        <w:pStyle w:val="Quote1"/>
      </w:pPr>
      <w:r>
        <w:t xml:space="preserve">… </w:t>
      </w:r>
      <w:r w:rsidR="00EB351B">
        <w:t xml:space="preserve">a </w:t>
      </w:r>
      <w:r w:rsidR="00EB351B" w:rsidRPr="00E9729A">
        <w:t>“matter … arising under [a law] made by the [Commonwealth] Parliament</w:t>
      </w:r>
      <w:r w:rsidR="00EB351B">
        <w:t xml:space="preserve">” within s 76(ii) of the Constitution. That is </w:t>
      </w:r>
      <w:r w:rsidR="00EB351B" w:rsidRPr="00E9729A">
        <w:t xml:space="preserve">because rights in issue in the application depend on Art 35 of the Model Law </w:t>
      </w:r>
      <w:r w:rsidR="00EB351B" w:rsidRPr="0073314B">
        <w:rPr>
          <w:b/>
        </w:rPr>
        <w:t>for their recognition and enforcement</w:t>
      </w:r>
      <w:r w:rsidR="00EB351B" w:rsidRPr="00E9729A">
        <w:t xml:space="preserve"> and because the Model Law is a law made </w:t>
      </w:r>
      <w:r w:rsidR="00EB351B">
        <w:t>by the Commonwealth Parliament.</w:t>
      </w:r>
    </w:p>
    <w:p w14:paraId="365F8A62" w14:textId="502A07BD" w:rsidR="00EB351B" w:rsidRPr="00E9729A" w:rsidRDefault="00EB351B" w:rsidP="00EB351B">
      <w:pPr>
        <w:pStyle w:val="Quote1"/>
      </w:pPr>
      <w:r>
        <w:t>(</w:t>
      </w:r>
      <w:r w:rsidR="0079369B">
        <w:t>Fo</w:t>
      </w:r>
      <w:r w:rsidR="007A5EBF">
        <w:t>otnotes omitted, emphasis added</w:t>
      </w:r>
      <w:r>
        <w:t>)</w:t>
      </w:r>
      <w:r w:rsidR="007A5EBF">
        <w:t>.</w:t>
      </w:r>
    </w:p>
    <w:p w14:paraId="0A4C9591" w14:textId="254F41DC" w:rsidR="00EB351B" w:rsidRDefault="00EB351B" w:rsidP="00EB351B">
      <w:pPr>
        <w:pStyle w:val="ParaNumbering"/>
        <w:ind w:left="0"/>
        <w:rPr>
          <w:lang w:eastAsia="en-AU"/>
        </w:rPr>
      </w:pPr>
      <w:r>
        <w:rPr>
          <w:i/>
          <w:lang w:eastAsia="en-AU"/>
        </w:rPr>
        <w:t>Thirdly</w:t>
      </w:r>
      <w:r>
        <w:rPr>
          <w:lang w:eastAsia="en-AU"/>
        </w:rPr>
        <w:t xml:space="preserve">, in </w:t>
      </w:r>
      <w:r w:rsidRPr="00881CB8">
        <w:rPr>
          <w:i/>
          <w:lang w:eastAsia="en-AU"/>
        </w:rPr>
        <w:t>PT Bayan Resources TBK v BCBC Singapore PTE Ltd</w:t>
      </w:r>
      <w:r>
        <w:rPr>
          <w:lang w:eastAsia="en-AU"/>
        </w:rPr>
        <w:t xml:space="preserve"> </w:t>
      </w:r>
      <w:r w:rsidRPr="00B53198">
        <w:rPr>
          <w:lang w:eastAsia="en-AU"/>
        </w:rPr>
        <w:t>[2015] HCA 36</w:t>
      </w:r>
      <w:r>
        <w:rPr>
          <w:lang w:eastAsia="en-AU"/>
        </w:rPr>
        <w:t>; (2015) 258 CLR 1, t</w:t>
      </w:r>
      <w:r w:rsidRPr="00AA1A75">
        <w:rPr>
          <w:lang w:eastAsia="en-AU"/>
        </w:rPr>
        <w:t>he High Court held that it was wi</w:t>
      </w:r>
      <w:r>
        <w:rPr>
          <w:lang w:eastAsia="en-AU"/>
        </w:rPr>
        <w:t xml:space="preserve">thin the inherent power of the Supreme Court of Western Australia </w:t>
      </w:r>
      <w:r w:rsidRPr="00AA1A75">
        <w:rPr>
          <w:lang w:eastAsia="en-AU"/>
        </w:rPr>
        <w:t xml:space="preserve">to make a freezing order in relation to an anticipated judgment of a foreign court which, when delivered, would be registrable by order of the </w:t>
      </w:r>
      <w:r w:rsidR="00D206BB">
        <w:rPr>
          <w:lang w:eastAsia="en-AU"/>
        </w:rPr>
        <w:t>Supreme Court</w:t>
      </w:r>
      <w:r w:rsidRPr="00AA1A75">
        <w:rPr>
          <w:lang w:eastAsia="en-AU"/>
        </w:rPr>
        <w:t xml:space="preserve"> u</w:t>
      </w:r>
      <w:r>
        <w:rPr>
          <w:lang w:eastAsia="en-AU"/>
        </w:rPr>
        <w:t xml:space="preserve">nder the </w:t>
      </w:r>
      <w:r w:rsidRPr="00AA1A75">
        <w:rPr>
          <w:i/>
          <w:lang w:eastAsia="en-AU"/>
        </w:rPr>
        <w:t>Foreign Judgments Act 1991</w:t>
      </w:r>
      <w:r>
        <w:rPr>
          <w:lang w:eastAsia="en-AU"/>
        </w:rPr>
        <w:t xml:space="preserve"> (</w:t>
      </w:r>
      <w:proofErr w:type="spellStart"/>
      <w:r>
        <w:rPr>
          <w:lang w:eastAsia="en-AU"/>
        </w:rPr>
        <w:t>Cth</w:t>
      </w:r>
      <w:proofErr w:type="spellEnd"/>
      <w:r>
        <w:rPr>
          <w:lang w:eastAsia="en-AU"/>
        </w:rPr>
        <w:t>)</w:t>
      </w:r>
      <w:r w:rsidRPr="00AA1A75">
        <w:rPr>
          <w:lang w:eastAsia="en-AU"/>
        </w:rPr>
        <w:t>.</w:t>
      </w:r>
      <w:r w:rsidR="00C92F1A">
        <w:rPr>
          <w:lang w:eastAsia="en-AU"/>
        </w:rPr>
        <w:t xml:space="preserve"> </w:t>
      </w:r>
      <w:r w:rsidRPr="00A72394">
        <w:rPr>
          <w:lang w:eastAsia="en-AU"/>
        </w:rPr>
        <w:t xml:space="preserve">French CJ, </w:t>
      </w:r>
      <w:proofErr w:type="spellStart"/>
      <w:r w:rsidRPr="00A72394">
        <w:rPr>
          <w:lang w:eastAsia="en-AU"/>
        </w:rPr>
        <w:t>Kiefel</w:t>
      </w:r>
      <w:proofErr w:type="spellEnd"/>
      <w:r w:rsidRPr="00A72394">
        <w:rPr>
          <w:lang w:eastAsia="en-AU"/>
        </w:rPr>
        <w:t xml:space="preserve">, Bell, </w:t>
      </w:r>
      <w:proofErr w:type="spellStart"/>
      <w:r w:rsidRPr="00A72394">
        <w:rPr>
          <w:lang w:eastAsia="en-AU"/>
        </w:rPr>
        <w:t>Gageler</w:t>
      </w:r>
      <w:proofErr w:type="spellEnd"/>
      <w:r w:rsidRPr="00A72394">
        <w:rPr>
          <w:lang w:eastAsia="en-AU"/>
        </w:rPr>
        <w:t xml:space="preserve"> and Gordon JJ (with whom Keane and Nettle JJ agreed) held </w:t>
      </w:r>
      <w:r>
        <w:rPr>
          <w:lang w:eastAsia="en-AU"/>
        </w:rPr>
        <w:t>(at 22 [55]):</w:t>
      </w:r>
    </w:p>
    <w:p w14:paraId="43EDBC2D" w14:textId="7F03D2B3" w:rsidR="00EB351B" w:rsidRPr="00355CD7" w:rsidRDefault="00EB351B" w:rsidP="00355CD7">
      <w:pPr>
        <w:pStyle w:val="Quote1"/>
        <w:rPr>
          <w:b/>
        </w:rPr>
      </w:pPr>
      <w:r w:rsidRPr="00355CD7">
        <w:t xml:space="preserve">An application for a freezing order in relation to a prospective judgment of a foreign court, which when made would be registrable by order of the Supreme Court under the </w:t>
      </w:r>
      <w:r w:rsidRPr="00355CD7">
        <w:rPr>
          <w:i/>
          <w:iCs/>
        </w:rPr>
        <w:t>Foreign Judgments Act</w:t>
      </w:r>
      <w:r w:rsidRPr="00355CD7">
        <w:t xml:space="preserve">, is sufficiently characterised as a matter arising under a law of the Commonwealth </w:t>
      </w:r>
      <w:r w:rsidRPr="00355CD7">
        <w:rPr>
          <w:b/>
        </w:rPr>
        <w:t xml:space="preserve">on the basis that the prospective enforcement process to be protected by the making of the freezing order depends on the present existence of the </w:t>
      </w:r>
      <w:r w:rsidRPr="00355CD7">
        <w:rPr>
          <w:b/>
          <w:i/>
          <w:iCs/>
        </w:rPr>
        <w:t>Foreign Judgments Act</w:t>
      </w:r>
      <w:r w:rsidRPr="00355CD7">
        <w:rPr>
          <w:b/>
        </w:rPr>
        <w:t>.</w:t>
      </w:r>
    </w:p>
    <w:p w14:paraId="50B70FBE" w14:textId="468D5961" w:rsidR="0073314B" w:rsidRPr="0073314B" w:rsidRDefault="007D7387" w:rsidP="0073314B">
      <w:pPr>
        <w:pStyle w:val="Quote1"/>
      </w:pPr>
      <w:r>
        <w:t>(E</w:t>
      </w:r>
      <w:r w:rsidR="00824129">
        <w:t>mphasis added</w:t>
      </w:r>
      <w:r w:rsidR="0073314B">
        <w:t>)</w:t>
      </w:r>
      <w:r w:rsidR="00824129">
        <w:t>.</w:t>
      </w:r>
    </w:p>
    <w:p w14:paraId="5108478E" w14:textId="32FC191C" w:rsidR="0079369B" w:rsidRDefault="00FD1046" w:rsidP="00425325">
      <w:pPr>
        <w:pStyle w:val="ParaNumbering"/>
        <w:ind w:left="0"/>
        <w:rPr>
          <w:lang w:eastAsia="en-AU"/>
        </w:rPr>
      </w:pPr>
      <w:r>
        <w:rPr>
          <w:i/>
          <w:lang w:eastAsia="en-AU"/>
        </w:rPr>
        <w:t>Fourthly</w:t>
      </w:r>
      <w:r w:rsidR="006532C8" w:rsidRPr="00425325">
        <w:rPr>
          <w:lang w:eastAsia="en-AU"/>
        </w:rPr>
        <w:t xml:space="preserve">, </w:t>
      </w:r>
      <w:r w:rsidR="00C36436" w:rsidRPr="00425325">
        <w:rPr>
          <w:lang w:eastAsia="en-AU"/>
        </w:rPr>
        <w:t>in </w:t>
      </w:r>
      <w:r w:rsidR="00C36436" w:rsidRPr="002A23BB">
        <w:rPr>
          <w:i/>
          <w:lang w:eastAsia="en-AU"/>
        </w:rPr>
        <w:t>CGU Insurance Ltd v Blakeley</w:t>
      </w:r>
      <w:r w:rsidR="00C36436" w:rsidRPr="002A23BB">
        <w:rPr>
          <w:lang w:eastAsia="en-AU"/>
        </w:rPr>
        <w:t xml:space="preserve"> </w:t>
      </w:r>
      <w:r w:rsidR="00686212" w:rsidRPr="002A23BB">
        <w:rPr>
          <w:lang w:eastAsia="en-AU"/>
        </w:rPr>
        <w:t xml:space="preserve">[2016] HCA 2; </w:t>
      </w:r>
      <w:r w:rsidR="00C36436" w:rsidRPr="002A23BB">
        <w:rPr>
          <w:lang w:eastAsia="en-AU"/>
        </w:rPr>
        <w:t>(2016) 259 CLR 339</w:t>
      </w:r>
      <w:r w:rsidR="00425325">
        <w:rPr>
          <w:lang w:eastAsia="en-AU"/>
        </w:rPr>
        <w:t>,</w:t>
      </w:r>
      <w:r w:rsidR="005558E6" w:rsidRPr="00425325">
        <w:rPr>
          <w:lang w:eastAsia="en-AU"/>
        </w:rPr>
        <w:t xml:space="preserve"> claims brought by liquidators against CGU Insurance </w:t>
      </w:r>
      <w:r w:rsidR="00425325">
        <w:rPr>
          <w:lang w:eastAsia="en-AU"/>
        </w:rPr>
        <w:t>w</w:t>
      </w:r>
      <w:r w:rsidR="005558E6" w:rsidRPr="00425325">
        <w:rPr>
          <w:lang w:eastAsia="en-AU"/>
        </w:rPr>
        <w:t xml:space="preserve">ere identified as arising under </w:t>
      </w:r>
      <w:r w:rsidR="0056136C">
        <w:rPr>
          <w:lang w:eastAsia="en-AU"/>
        </w:rPr>
        <w:t>a</w:t>
      </w:r>
      <w:r w:rsidR="005558E6" w:rsidRPr="00425325">
        <w:rPr>
          <w:lang w:eastAsia="en-AU"/>
        </w:rPr>
        <w:t xml:space="preserve"> law of the Commonwealth. In doing</w:t>
      </w:r>
      <w:r w:rsidR="00425325">
        <w:rPr>
          <w:lang w:eastAsia="en-AU"/>
        </w:rPr>
        <w:t xml:space="preserve"> so</w:t>
      </w:r>
      <w:r w:rsidR="005558E6" w:rsidRPr="00425325">
        <w:rPr>
          <w:lang w:eastAsia="en-AU"/>
        </w:rPr>
        <w:t xml:space="preserve">, </w:t>
      </w:r>
      <w:r w:rsidR="00425325" w:rsidRPr="00425325">
        <w:rPr>
          <w:lang w:eastAsia="en-AU"/>
        </w:rPr>
        <w:t>Fre</w:t>
      </w:r>
      <w:r w:rsidR="00BF498A">
        <w:rPr>
          <w:lang w:eastAsia="en-AU"/>
        </w:rPr>
        <w:t>nch CJ</w:t>
      </w:r>
      <w:r w:rsidR="00BF498A" w:rsidRPr="00765AD3">
        <w:rPr>
          <w:lang w:eastAsia="en-AU"/>
        </w:rPr>
        <w:t xml:space="preserve">, </w:t>
      </w:r>
      <w:proofErr w:type="spellStart"/>
      <w:r w:rsidR="00BF498A" w:rsidRPr="00765AD3">
        <w:rPr>
          <w:lang w:eastAsia="en-AU"/>
        </w:rPr>
        <w:t>Kiefel</w:t>
      </w:r>
      <w:proofErr w:type="spellEnd"/>
      <w:r w:rsidR="00425325" w:rsidRPr="00765AD3">
        <w:rPr>
          <w:lang w:eastAsia="en-AU"/>
        </w:rPr>
        <w:t>, Bell</w:t>
      </w:r>
      <w:r w:rsidR="00765AD3" w:rsidRPr="00765AD3">
        <w:rPr>
          <w:lang w:eastAsia="en-AU"/>
        </w:rPr>
        <w:t xml:space="preserve"> and</w:t>
      </w:r>
      <w:r w:rsidR="00425325" w:rsidRPr="00765AD3">
        <w:rPr>
          <w:lang w:eastAsia="en-AU"/>
        </w:rPr>
        <w:t xml:space="preserve"> Keane J</w:t>
      </w:r>
      <w:r w:rsidR="00BF498A" w:rsidRPr="00765AD3">
        <w:rPr>
          <w:lang w:eastAsia="en-AU"/>
        </w:rPr>
        <w:t>J</w:t>
      </w:r>
      <w:r w:rsidR="00425325">
        <w:rPr>
          <w:lang w:eastAsia="en-AU"/>
        </w:rPr>
        <w:t xml:space="preserve">, </w:t>
      </w:r>
      <w:r w:rsidR="005558E6" w:rsidRPr="00425325">
        <w:rPr>
          <w:lang w:eastAsia="en-AU"/>
        </w:rPr>
        <w:t xml:space="preserve">referred </w:t>
      </w:r>
      <w:r w:rsidR="00361C5B">
        <w:rPr>
          <w:lang w:eastAsia="en-AU"/>
        </w:rPr>
        <w:t xml:space="preserve">specifically </w:t>
      </w:r>
      <w:r w:rsidR="005558E6" w:rsidRPr="00425325">
        <w:rPr>
          <w:lang w:eastAsia="en-AU"/>
        </w:rPr>
        <w:t>to the observation of Latham CJ</w:t>
      </w:r>
      <w:r w:rsidR="00425325">
        <w:rPr>
          <w:lang w:eastAsia="en-AU"/>
        </w:rPr>
        <w:t xml:space="preserve"> in</w:t>
      </w:r>
      <w:r w:rsidR="005558E6" w:rsidRPr="00425325">
        <w:rPr>
          <w:lang w:eastAsia="en-AU"/>
        </w:rPr>
        <w:t xml:space="preserve"> </w:t>
      </w:r>
      <w:r w:rsidR="00425325" w:rsidRPr="00425325">
        <w:rPr>
          <w:i/>
          <w:lang w:eastAsia="en-AU"/>
        </w:rPr>
        <w:t>R v Commonwealth Court of Conciliation and Arbitration; Ex parte Barrett</w:t>
      </w:r>
      <w:r w:rsidR="0079369B">
        <w:rPr>
          <w:lang w:eastAsia="en-AU"/>
        </w:rPr>
        <w:t>, stating</w:t>
      </w:r>
      <w:r w:rsidR="0056136C">
        <w:rPr>
          <w:lang w:eastAsia="en-AU"/>
        </w:rPr>
        <w:t xml:space="preserve"> (</w:t>
      </w:r>
      <w:r w:rsidR="0056136C" w:rsidRPr="00765AD3">
        <w:rPr>
          <w:lang w:eastAsia="en-AU"/>
        </w:rPr>
        <w:t>at</w:t>
      </w:r>
      <w:r w:rsidR="0056136C">
        <w:rPr>
          <w:lang w:eastAsia="en-AU"/>
        </w:rPr>
        <w:t xml:space="preserve"> 351–2 [29])</w:t>
      </w:r>
      <w:r w:rsidR="0079369B">
        <w:rPr>
          <w:lang w:eastAsia="en-AU"/>
        </w:rPr>
        <w:t>:</w:t>
      </w:r>
    </w:p>
    <w:p w14:paraId="2DF47385" w14:textId="3E2F1889" w:rsidR="0079369B" w:rsidRDefault="0079369B" w:rsidP="0079369B">
      <w:pPr>
        <w:pStyle w:val="Quote1"/>
        <w:rPr>
          <w:lang w:eastAsia="en-AU"/>
        </w:rPr>
      </w:pPr>
      <w:r>
        <w:rPr>
          <w:lang w:eastAsia="en-AU"/>
        </w:rPr>
        <w:t xml:space="preserve">It is a </w:t>
      </w:r>
      <w:r w:rsidRPr="00361C5B">
        <w:rPr>
          <w:b/>
          <w:lang w:eastAsia="en-AU"/>
        </w:rPr>
        <w:t>particular application of that general statement</w:t>
      </w:r>
      <w:r>
        <w:rPr>
          <w:lang w:eastAsia="en-AU"/>
        </w:rPr>
        <w:t xml:space="preserve"> to say that a matter will arise under a federal law if it involves a claim at common law or equity or under a law of a State where the claim is “in respect of</w:t>
      </w:r>
      <w:r w:rsidRPr="0079369B">
        <w:t xml:space="preserve"> </w:t>
      </w:r>
      <w:r>
        <w:rPr>
          <w:lang w:eastAsia="en-AU"/>
        </w:rPr>
        <w:t xml:space="preserve">a right or property which is the creation of </w:t>
      </w:r>
      <w:r>
        <w:rPr>
          <w:lang w:eastAsia="en-AU"/>
        </w:rPr>
        <w:lastRenderedPageBreak/>
        <w:t>federal law”. If the source of a defence to a claim at common law or equity or under a law of a State is a law of the Commonwealth, then on that account also the matter may be said to arise under federal law.</w:t>
      </w:r>
    </w:p>
    <w:p w14:paraId="2FCD18EF" w14:textId="36EEC4EB" w:rsidR="0079369B" w:rsidRDefault="0079369B" w:rsidP="0079369B">
      <w:pPr>
        <w:pStyle w:val="Quote1"/>
        <w:rPr>
          <w:lang w:eastAsia="en-AU"/>
        </w:rPr>
      </w:pPr>
      <w:r>
        <w:rPr>
          <w:lang w:eastAsia="en-AU"/>
        </w:rPr>
        <w:t>(Fo</w:t>
      </w:r>
      <w:r w:rsidR="007A5EBF">
        <w:rPr>
          <w:lang w:eastAsia="en-AU"/>
        </w:rPr>
        <w:t>otnotes omitted, emphasis added</w:t>
      </w:r>
      <w:r>
        <w:rPr>
          <w:lang w:eastAsia="en-AU"/>
        </w:rPr>
        <w:t>)</w:t>
      </w:r>
      <w:r w:rsidR="007A5EBF">
        <w:rPr>
          <w:lang w:eastAsia="en-AU"/>
        </w:rPr>
        <w:t>.</w:t>
      </w:r>
    </w:p>
    <w:p w14:paraId="173E735F" w14:textId="47F40F7D" w:rsidR="00FF2CA2" w:rsidRPr="00425325" w:rsidRDefault="00FD1046" w:rsidP="00425325">
      <w:pPr>
        <w:pStyle w:val="ParaNumbering"/>
        <w:ind w:left="0"/>
        <w:rPr>
          <w:iCs/>
          <w:lang w:val="en"/>
        </w:rPr>
      </w:pPr>
      <w:r>
        <w:rPr>
          <w:i/>
          <w:lang w:eastAsia="en-AU"/>
        </w:rPr>
        <w:t>Fifthly</w:t>
      </w:r>
      <w:r w:rsidR="00341E8F" w:rsidRPr="00425325">
        <w:rPr>
          <w:i/>
          <w:lang w:eastAsia="en-AU"/>
        </w:rPr>
        <w:t xml:space="preserve">, </w:t>
      </w:r>
      <w:r w:rsidR="00FF2CA2" w:rsidRPr="0004631D">
        <w:rPr>
          <w:lang w:eastAsia="en-AU"/>
        </w:rPr>
        <w:t xml:space="preserve">in </w:t>
      </w:r>
      <w:r w:rsidR="00FF2CA2" w:rsidRPr="002A23BB">
        <w:rPr>
          <w:i/>
          <w:lang w:eastAsia="en-AU"/>
        </w:rPr>
        <w:t>Sagacious Legal Pty Ltd v Wesfarmers General Insurance Ltd (No 4)</w:t>
      </w:r>
      <w:r w:rsidR="00FF2CA2" w:rsidRPr="002A23BB">
        <w:rPr>
          <w:lang w:eastAsia="en-AU"/>
        </w:rPr>
        <w:t xml:space="preserve"> [2010</w:t>
      </w:r>
      <w:r w:rsidR="00FF2CA2" w:rsidRPr="002A23BB">
        <w:rPr>
          <w:iCs/>
          <w:lang w:val="en"/>
        </w:rPr>
        <w:t>] FCA 482; (2010) 268 ALR 108</w:t>
      </w:r>
      <w:r w:rsidR="00FF2CA2" w:rsidRPr="00425325">
        <w:rPr>
          <w:iCs/>
          <w:lang w:val="en"/>
        </w:rPr>
        <w:t>, Rares J dealt with a claim for indemnity unde</w:t>
      </w:r>
      <w:r w:rsidR="00765AD3">
        <w:rPr>
          <w:iCs/>
          <w:lang w:val="en"/>
        </w:rPr>
        <w:t>r a motor car insurance policy.</w:t>
      </w:r>
      <w:r w:rsidR="00FF2CA2" w:rsidRPr="00425325">
        <w:rPr>
          <w:iCs/>
          <w:lang w:val="en"/>
        </w:rPr>
        <w:t xml:space="preserve"> </w:t>
      </w:r>
      <w:r w:rsidR="00765AD3">
        <w:rPr>
          <w:iCs/>
          <w:lang w:val="en"/>
        </w:rPr>
        <w:t>H</w:t>
      </w:r>
      <w:r w:rsidR="00FF2CA2" w:rsidRPr="00425325">
        <w:rPr>
          <w:iCs/>
          <w:lang w:val="en"/>
        </w:rPr>
        <w:t xml:space="preserve">is </w:t>
      </w:r>
      <w:proofErr w:type="spellStart"/>
      <w:r w:rsidR="00FF2CA2" w:rsidRPr="00425325">
        <w:rPr>
          <w:iCs/>
          <w:lang w:val="en"/>
        </w:rPr>
        <w:t>Honour</w:t>
      </w:r>
      <w:proofErr w:type="spellEnd"/>
      <w:r w:rsidR="00FF2CA2" w:rsidRPr="00425325">
        <w:rPr>
          <w:iCs/>
          <w:lang w:val="en"/>
        </w:rPr>
        <w:t xml:space="preserve"> referred </w:t>
      </w:r>
      <w:r w:rsidR="00765AD3">
        <w:rPr>
          <w:iCs/>
          <w:lang w:val="en"/>
        </w:rPr>
        <w:t xml:space="preserve">(at </w:t>
      </w:r>
      <w:r w:rsidR="00002B25">
        <w:rPr>
          <w:iCs/>
          <w:lang w:val="en"/>
        </w:rPr>
        <w:t>111–</w:t>
      </w:r>
      <w:r w:rsidR="008D0B76">
        <w:rPr>
          <w:iCs/>
          <w:lang w:val="en"/>
        </w:rPr>
        <w:t xml:space="preserve">2 </w:t>
      </w:r>
      <w:r w:rsidR="00765AD3">
        <w:rPr>
          <w:iCs/>
          <w:lang w:val="en"/>
        </w:rPr>
        <w:t xml:space="preserve">[6]) </w:t>
      </w:r>
      <w:r w:rsidR="00FF2CA2" w:rsidRPr="00425325">
        <w:rPr>
          <w:iCs/>
          <w:lang w:val="en"/>
        </w:rPr>
        <w:t>to the fact that the insured applicant pleaded a claim for interest under s 57 of the </w:t>
      </w:r>
      <w:r w:rsidR="00FF2CA2" w:rsidRPr="002A23BB">
        <w:rPr>
          <w:i/>
          <w:iCs/>
          <w:lang w:val="en"/>
        </w:rPr>
        <w:t>Insurance Contracts Act 1984</w:t>
      </w:r>
      <w:r w:rsidR="00FF2CA2" w:rsidRPr="002A23BB">
        <w:rPr>
          <w:iCs/>
          <w:lang w:val="en"/>
        </w:rPr>
        <w:t xml:space="preserve"> (</w:t>
      </w:r>
      <w:proofErr w:type="spellStart"/>
      <w:r w:rsidR="00FF2CA2" w:rsidRPr="002A23BB">
        <w:rPr>
          <w:iCs/>
          <w:lang w:val="en"/>
        </w:rPr>
        <w:t>Cth</w:t>
      </w:r>
      <w:proofErr w:type="spellEnd"/>
      <w:r w:rsidR="00FF2CA2" w:rsidRPr="002A23BB">
        <w:rPr>
          <w:iCs/>
          <w:lang w:val="en"/>
        </w:rPr>
        <w:t>)</w:t>
      </w:r>
      <w:r w:rsidR="00FF2CA2" w:rsidRPr="00425325">
        <w:rPr>
          <w:iCs/>
          <w:lang w:val="en"/>
        </w:rPr>
        <w:t xml:space="preserve"> </w:t>
      </w:r>
      <w:r w:rsidR="00C26BA0" w:rsidRPr="00425325">
        <w:rPr>
          <w:iCs/>
          <w:lang w:val="en"/>
        </w:rPr>
        <w:t>asserting</w:t>
      </w:r>
      <w:r w:rsidR="00FF2CA2" w:rsidRPr="00425325">
        <w:rPr>
          <w:iCs/>
          <w:lang w:val="en"/>
        </w:rPr>
        <w:t xml:space="preserve"> this enli</w:t>
      </w:r>
      <w:r w:rsidR="00654FAD" w:rsidRPr="00425325">
        <w:rPr>
          <w:iCs/>
          <w:lang w:val="en"/>
        </w:rPr>
        <w:t>vened the jurisdiction of this C</w:t>
      </w:r>
      <w:r w:rsidR="00FF2CA2" w:rsidRPr="00425325">
        <w:rPr>
          <w:iCs/>
          <w:lang w:val="en"/>
        </w:rPr>
        <w:t xml:space="preserve">ourt. However, Rares J noted </w:t>
      </w:r>
      <w:r w:rsidR="008D0B76">
        <w:rPr>
          <w:iCs/>
          <w:lang w:val="en"/>
        </w:rPr>
        <w:t>(at 111</w:t>
      </w:r>
      <w:r w:rsidR="005078BE">
        <w:rPr>
          <w:iCs/>
          <w:lang w:val="en"/>
        </w:rPr>
        <w:t>–2</w:t>
      </w:r>
      <w:r w:rsidR="008D0B76">
        <w:rPr>
          <w:iCs/>
          <w:lang w:val="en"/>
        </w:rPr>
        <w:t xml:space="preserve"> [5]</w:t>
      </w:r>
      <w:r w:rsidR="005078BE">
        <w:rPr>
          <w:iCs/>
          <w:lang w:val="en"/>
        </w:rPr>
        <w:t>–[6]</w:t>
      </w:r>
      <w:r w:rsidR="008D0B76">
        <w:rPr>
          <w:iCs/>
          <w:lang w:val="en"/>
        </w:rPr>
        <w:t xml:space="preserve">) </w:t>
      </w:r>
      <w:r w:rsidR="00FF2CA2" w:rsidRPr="00425325">
        <w:rPr>
          <w:iCs/>
          <w:lang w:val="en"/>
        </w:rPr>
        <w:t>that jurisdiction was attracted well before the pleading</w:t>
      </w:r>
      <w:r w:rsidR="00C26BA0" w:rsidRPr="00425325">
        <w:rPr>
          <w:iCs/>
          <w:lang w:val="en"/>
        </w:rPr>
        <w:t>,</w:t>
      </w:r>
      <w:r w:rsidR="00FF2CA2" w:rsidRPr="00425325">
        <w:rPr>
          <w:iCs/>
          <w:lang w:val="en"/>
        </w:rPr>
        <w:t xml:space="preserve"> and the matter had been in federal jurisdiction since at least the time of the insurer’s refusal of indemnity because (referring to </w:t>
      </w:r>
      <w:r w:rsidR="00FF2CA2" w:rsidRPr="00425325">
        <w:rPr>
          <w:i/>
          <w:iCs/>
          <w:lang w:val="en"/>
        </w:rPr>
        <w:t>LNC Industries</w:t>
      </w:r>
      <w:r w:rsidR="00FF2CA2" w:rsidRPr="00425325">
        <w:rPr>
          <w:iCs/>
          <w:lang w:val="en"/>
        </w:rPr>
        <w:t xml:space="preserve"> </w:t>
      </w:r>
      <w:r w:rsidR="00002B25">
        <w:rPr>
          <w:iCs/>
          <w:lang w:val="en"/>
        </w:rPr>
        <w:t>(</w:t>
      </w:r>
      <w:r w:rsidR="00FF2CA2" w:rsidRPr="00425325">
        <w:rPr>
          <w:iCs/>
          <w:lang w:val="en"/>
        </w:rPr>
        <w:t>at 581</w:t>
      </w:r>
      <w:r w:rsidR="00002B25">
        <w:rPr>
          <w:iCs/>
          <w:lang w:val="en"/>
        </w:rPr>
        <w:t>)</w:t>
      </w:r>
      <w:r w:rsidR="00FF2CA2" w:rsidRPr="00425325">
        <w:rPr>
          <w:iCs/>
          <w:lang w:val="en"/>
        </w:rPr>
        <w:t xml:space="preserve">) </w:t>
      </w:r>
      <w:r w:rsidR="000176E7" w:rsidRPr="00425325">
        <w:rPr>
          <w:iCs/>
          <w:lang w:val="en"/>
        </w:rPr>
        <w:t xml:space="preserve">the claim </w:t>
      </w:r>
      <w:r w:rsidR="00FF2CA2" w:rsidRPr="00425325">
        <w:rPr>
          <w:iCs/>
          <w:lang w:val="en"/>
        </w:rPr>
        <w:t>involved rights and liabilities under a contract of insurance that owed their existence to a federal law, namely the </w:t>
      </w:r>
      <w:r w:rsidR="00FF2CA2" w:rsidRPr="00425325">
        <w:rPr>
          <w:i/>
          <w:iCs/>
          <w:lang w:val="en"/>
        </w:rPr>
        <w:t>Insurance Contracts Act</w:t>
      </w:r>
      <w:r w:rsidR="00FF2CA2" w:rsidRPr="00425325">
        <w:rPr>
          <w:iCs/>
          <w:lang w:val="en"/>
        </w:rPr>
        <w:t>: </w:t>
      </w:r>
      <w:proofErr w:type="spellStart"/>
      <w:r w:rsidR="00FF2CA2" w:rsidRPr="00425325">
        <w:rPr>
          <w:iCs/>
          <w:lang w:val="en"/>
        </w:rPr>
        <w:t>cf</w:t>
      </w:r>
      <w:proofErr w:type="spellEnd"/>
      <w:r w:rsidR="00FF2CA2" w:rsidRPr="00425325">
        <w:rPr>
          <w:iCs/>
          <w:lang w:val="en"/>
        </w:rPr>
        <w:t xml:space="preserve"> </w:t>
      </w:r>
      <w:proofErr w:type="spellStart"/>
      <w:r w:rsidR="00FF2CA2" w:rsidRPr="002A23BB">
        <w:rPr>
          <w:i/>
          <w:iCs/>
          <w:lang w:val="en"/>
        </w:rPr>
        <w:t>Agtrack</w:t>
      </w:r>
      <w:proofErr w:type="spellEnd"/>
      <w:r w:rsidR="00FF2CA2" w:rsidRPr="002A23BB">
        <w:rPr>
          <w:i/>
          <w:iCs/>
          <w:lang w:val="en"/>
        </w:rPr>
        <w:t xml:space="preserve"> (NT) Pty Ltd v Hatfield </w:t>
      </w:r>
      <w:r w:rsidR="00686212" w:rsidRPr="002A23BB">
        <w:rPr>
          <w:iCs/>
        </w:rPr>
        <w:t>[2005] HCA 38;</w:t>
      </w:r>
      <w:r w:rsidR="00686212" w:rsidRPr="002A23BB">
        <w:rPr>
          <w:i/>
          <w:iCs/>
          <w:lang w:val="en"/>
        </w:rPr>
        <w:t xml:space="preserve"> </w:t>
      </w:r>
      <w:r w:rsidR="00FF2CA2" w:rsidRPr="002A23BB">
        <w:rPr>
          <w:iCs/>
          <w:lang w:val="en"/>
        </w:rPr>
        <w:t>(2005) 223 CLR 251</w:t>
      </w:r>
      <w:r w:rsidR="00FF2CA2" w:rsidRPr="00425325">
        <w:rPr>
          <w:iCs/>
          <w:lang w:val="en"/>
        </w:rPr>
        <w:t xml:space="preserve"> </w:t>
      </w:r>
      <w:r w:rsidR="00002B25">
        <w:rPr>
          <w:iCs/>
          <w:lang w:val="en"/>
        </w:rPr>
        <w:t>(</w:t>
      </w:r>
      <w:r w:rsidR="00FF2CA2" w:rsidRPr="00425325">
        <w:rPr>
          <w:iCs/>
          <w:lang w:val="en"/>
        </w:rPr>
        <w:t>at </w:t>
      </w:r>
      <w:r w:rsidR="00765AD3">
        <w:rPr>
          <w:iCs/>
          <w:lang w:val="en"/>
        </w:rPr>
        <w:t>262</w:t>
      </w:r>
      <w:r w:rsidR="00765AD3">
        <w:t>–</w:t>
      </w:r>
      <w:r w:rsidR="00FF2CA2" w:rsidRPr="00425325">
        <w:rPr>
          <w:iCs/>
          <w:lang w:val="en"/>
        </w:rPr>
        <w:t>3 </w:t>
      </w:r>
      <w:r w:rsidR="00FF2CA2" w:rsidRPr="008D0B76">
        <w:rPr>
          <w:iCs/>
          <w:lang w:val="en"/>
        </w:rPr>
        <w:t>[29], [32] per</w:t>
      </w:r>
      <w:r w:rsidR="00FF2CA2" w:rsidRPr="00425325">
        <w:rPr>
          <w:iCs/>
          <w:lang w:val="en"/>
        </w:rPr>
        <w:t xml:space="preserve"> Gleeson CJ, McHug</w:t>
      </w:r>
      <w:r w:rsidR="000176E7" w:rsidRPr="00425325">
        <w:rPr>
          <w:iCs/>
          <w:lang w:val="en"/>
        </w:rPr>
        <w:t xml:space="preserve">h, </w:t>
      </w:r>
      <w:proofErr w:type="spellStart"/>
      <w:r w:rsidR="000176E7" w:rsidRPr="00425325">
        <w:rPr>
          <w:iCs/>
          <w:lang w:val="en"/>
        </w:rPr>
        <w:t>Gummow</w:t>
      </w:r>
      <w:proofErr w:type="spellEnd"/>
      <w:r w:rsidR="000176E7" w:rsidRPr="00425325">
        <w:rPr>
          <w:iCs/>
          <w:lang w:val="en"/>
        </w:rPr>
        <w:t xml:space="preserve">, Hayne and </w:t>
      </w:r>
      <w:proofErr w:type="spellStart"/>
      <w:r w:rsidR="000176E7" w:rsidRPr="00425325">
        <w:rPr>
          <w:iCs/>
          <w:lang w:val="en"/>
        </w:rPr>
        <w:t>Heydon</w:t>
      </w:r>
      <w:proofErr w:type="spellEnd"/>
      <w:r w:rsidR="000176E7" w:rsidRPr="00425325">
        <w:rPr>
          <w:iCs/>
          <w:lang w:val="en"/>
        </w:rPr>
        <w:t xml:space="preserve"> JJ</w:t>
      </w:r>
      <w:r w:rsidR="00002B25">
        <w:rPr>
          <w:iCs/>
          <w:lang w:val="en"/>
        </w:rPr>
        <w:t>)</w:t>
      </w:r>
      <w:r w:rsidR="000176E7" w:rsidRPr="00425325">
        <w:rPr>
          <w:iCs/>
          <w:lang w:val="en"/>
        </w:rPr>
        <w:t>.</w:t>
      </w:r>
    </w:p>
    <w:p w14:paraId="51DCCC6B" w14:textId="714BED86" w:rsidR="002B19B6" w:rsidRPr="002B19B6" w:rsidRDefault="00FD1046" w:rsidP="006632FA">
      <w:pPr>
        <w:pStyle w:val="ParaNumbering"/>
        <w:ind w:left="0"/>
      </w:pPr>
      <w:r>
        <w:rPr>
          <w:i/>
          <w:lang w:eastAsia="en-AU"/>
        </w:rPr>
        <w:t>Sixthly</w:t>
      </w:r>
      <w:r w:rsidR="006532C8">
        <w:rPr>
          <w:lang w:eastAsia="en-AU"/>
        </w:rPr>
        <w:t xml:space="preserve">, </w:t>
      </w:r>
      <w:r w:rsidR="000176E7">
        <w:rPr>
          <w:lang w:eastAsia="en-AU"/>
        </w:rPr>
        <w:t xml:space="preserve">in </w:t>
      </w:r>
      <w:proofErr w:type="spellStart"/>
      <w:r w:rsidR="000176E7" w:rsidRPr="002A23BB">
        <w:rPr>
          <w:i/>
          <w:lang w:eastAsia="en-AU"/>
        </w:rPr>
        <w:t>Buckee</w:t>
      </w:r>
      <w:proofErr w:type="spellEnd"/>
      <w:r w:rsidR="000176E7" w:rsidRPr="002A23BB">
        <w:rPr>
          <w:i/>
          <w:lang w:eastAsia="en-AU"/>
        </w:rPr>
        <w:t xml:space="preserve"> v Commonwealth</w:t>
      </w:r>
      <w:r w:rsidR="00E93E8A">
        <w:rPr>
          <w:i/>
          <w:lang w:eastAsia="en-AU"/>
        </w:rPr>
        <w:t xml:space="preserve"> of Australia</w:t>
      </w:r>
      <w:r w:rsidR="000176E7" w:rsidRPr="002A23BB">
        <w:rPr>
          <w:lang w:eastAsia="en-AU"/>
        </w:rPr>
        <w:t xml:space="preserve"> </w:t>
      </w:r>
      <w:r w:rsidR="00917A67" w:rsidRPr="002A23BB">
        <w:rPr>
          <w:bCs/>
          <w:lang w:eastAsia="en-AU"/>
        </w:rPr>
        <w:t>[2014] FCA 242</w:t>
      </w:r>
      <w:r w:rsidR="00917A67" w:rsidRPr="002A23BB">
        <w:rPr>
          <w:lang w:eastAsia="en-AU"/>
        </w:rPr>
        <w:t xml:space="preserve">; </w:t>
      </w:r>
      <w:r w:rsidR="000176E7" w:rsidRPr="002A23BB">
        <w:rPr>
          <w:lang w:eastAsia="en-AU"/>
        </w:rPr>
        <w:t>(2014) 220 FCR 541</w:t>
      </w:r>
      <w:r w:rsidR="000176E7" w:rsidRPr="00686212">
        <w:rPr>
          <w:lang w:eastAsia="en-AU"/>
        </w:rPr>
        <w:t>, a different</w:t>
      </w:r>
      <w:r w:rsidR="000176E7">
        <w:rPr>
          <w:lang w:eastAsia="en-AU"/>
        </w:rPr>
        <w:t xml:space="preserve"> conclusion was reached by Barker J</w:t>
      </w:r>
      <w:r w:rsidR="00830429">
        <w:rPr>
          <w:lang w:eastAsia="en-AU"/>
        </w:rPr>
        <w:t>,</w:t>
      </w:r>
      <w:r w:rsidR="000176E7">
        <w:rPr>
          <w:lang w:eastAsia="en-AU"/>
        </w:rPr>
        <w:t xml:space="preserve"> notwithstanding that</w:t>
      </w:r>
      <w:r w:rsidR="0079369B">
        <w:rPr>
          <w:lang w:eastAsia="en-AU"/>
        </w:rPr>
        <w:t xml:space="preserve"> one </w:t>
      </w:r>
      <w:r w:rsidR="00361C5B">
        <w:rPr>
          <w:lang w:eastAsia="en-AU"/>
        </w:rPr>
        <w:t xml:space="preserve">of the </w:t>
      </w:r>
      <w:r w:rsidR="0079369B">
        <w:rPr>
          <w:lang w:eastAsia="en-AU"/>
        </w:rPr>
        <w:t>arguments advanced</w:t>
      </w:r>
      <w:r w:rsidR="000176E7">
        <w:rPr>
          <w:lang w:eastAsia="en-AU"/>
        </w:rPr>
        <w:t xml:space="preserve"> </w:t>
      </w:r>
      <w:r w:rsidR="00361C5B">
        <w:rPr>
          <w:lang w:eastAsia="en-AU"/>
        </w:rPr>
        <w:t xml:space="preserve">to his Honour as to why federal jurisdiction was attracted </w:t>
      </w:r>
      <w:r w:rsidR="000176E7">
        <w:rPr>
          <w:lang w:eastAsia="en-AU"/>
        </w:rPr>
        <w:t>involved</w:t>
      </w:r>
      <w:r w:rsidR="00472A09">
        <w:rPr>
          <w:lang w:eastAsia="en-AU"/>
        </w:rPr>
        <w:t>,</w:t>
      </w:r>
      <w:r w:rsidR="000176E7">
        <w:rPr>
          <w:lang w:eastAsia="en-AU"/>
        </w:rPr>
        <w:t xml:space="preserve"> like in </w:t>
      </w:r>
      <w:r w:rsidR="000176E7" w:rsidRPr="000176E7">
        <w:rPr>
          <w:i/>
          <w:lang w:eastAsia="en-AU"/>
        </w:rPr>
        <w:t>Sagacious Legal</w:t>
      </w:r>
      <w:r w:rsidR="000176E7">
        <w:rPr>
          <w:lang w:eastAsia="en-AU"/>
        </w:rPr>
        <w:t xml:space="preserve">, a denial of indemnity under an insurance policy. </w:t>
      </w:r>
      <w:r w:rsidR="00472A09">
        <w:rPr>
          <w:lang w:eastAsia="en-AU"/>
        </w:rPr>
        <w:t xml:space="preserve">Additionally, </w:t>
      </w:r>
      <w:r w:rsidR="00DF63C0">
        <w:rPr>
          <w:lang w:eastAsia="en-AU"/>
        </w:rPr>
        <w:t>Barker J said (at 544 [24]) th</w:t>
      </w:r>
      <w:r w:rsidR="00472A09">
        <w:rPr>
          <w:lang w:eastAsia="en-AU"/>
        </w:rPr>
        <w:t>at a further</w:t>
      </w:r>
      <w:r w:rsidR="00DF63C0">
        <w:rPr>
          <w:lang w:eastAsia="en-AU"/>
        </w:rPr>
        <w:t xml:space="preserve"> </w:t>
      </w:r>
      <w:r w:rsidR="002A567D">
        <w:rPr>
          <w:lang w:eastAsia="en-AU"/>
        </w:rPr>
        <w:t>“</w:t>
      </w:r>
      <w:r w:rsidR="002A567D" w:rsidRPr="00DF63C0">
        <w:rPr>
          <w:lang w:eastAsia="en-AU"/>
        </w:rPr>
        <w:t xml:space="preserve">intriguing argument” </w:t>
      </w:r>
      <w:r w:rsidR="00830429" w:rsidRPr="00DF63C0">
        <w:rPr>
          <w:lang w:eastAsia="en-AU"/>
        </w:rPr>
        <w:t>was advanced as to why federal jurisdiction is attracted</w:t>
      </w:r>
      <w:r w:rsidR="00DF63C0" w:rsidRPr="00DF63C0">
        <w:rPr>
          <w:lang w:eastAsia="en-AU"/>
        </w:rPr>
        <w:t>, which his Honour outlined</w:t>
      </w:r>
      <w:r w:rsidR="00830429" w:rsidRPr="00DF63C0">
        <w:rPr>
          <w:lang w:eastAsia="en-AU"/>
        </w:rPr>
        <w:t xml:space="preserve"> </w:t>
      </w:r>
      <w:r w:rsidR="00917A67" w:rsidRPr="00DF63C0">
        <w:rPr>
          <w:lang w:eastAsia="en-AU"/>
        </w:rPr>
        <w:t>(at</w:t>
      </w:r>
      <w:r w:rsidR="00002B25">
        <w:rPr>
          <w:lang w:eastAsia="en-AU"/>
        </w:rPr>
        <w:t xml:space="preserve"> 544–</w:t>
      </w:r>
      <w:r w:rsidR="00DF63C0">
        <w:rPr>
          <w:lang w:eastAsia="en-AU"/>
        </w:rPr>
        <w:t>5</w:t>
      </w:r>
      <w:r w:rsidR="00917A67" w:rsidRPr="00DF63C0">
        <w:rPr>
          <w:lang w:eastAsia="en-AU"/>
        </w:rPr>
        <w:t xml:space="preserve"> [26])</w:t>
      </w:r>
      <w:r w:rsidR="00830429" w:rsidRPr="00DF63C0">
        <w:rPr>
          <w:lang w:eastAsia="en-AU"/>
        </w:rPr>
        <w:t>:</w:t>
      </w:r>
      <w:r w:rsidR="000176E7">
        <w:rPr>
          <w:lang w:eastAsia="en-AU"/>
        </w:rPr>
        <w:t xml:space="preserve"> </w:t>
      </w:r>
    </w:p>
    <w:p w14:paraId="4CB63FEC" w14:textId="73351B9D" w:rsidR="00F75CAB" w:rsidRDefault="00F75CAB" w:rsidP="00F75CAB">
      <w:pPr>
        <w:pStyle w:val="Quote1"/>
        <w:rPr>
          <w:lang w:eastAsia="en-AU"/>
        </w:rPr>
      </w:pPr>
      <w:r w:rsidRPr="00F75CAB">
        <w:rPr>
          <w:lang w:eastAsia="en-AU"/>
        </w:rPr>
        <w:t>The argument is developed in the following way:</w:t>
      </w:r>
    </w:p>
    <w:p w14:paraId="1E9AF499" w14:textId="2E949589" w:rsidR="002B19B6" w:rsidRPr="002A567D" w:rsidRDefault="002B19B6" w:rsidP="00F75CAB">
      <w:pPr>
        <w:pStyle w:val="Quote1"/>
        <w:numPr>
          <w:ilvl w:val="0"/>
          <w:numId w:val="26"/>
        </w:numPr>
        <w:rPr>
          <w:lang w:eastAsia="en-AU"/>
        </w:rPr>
      </w:pPr>
      <w:r w:rsidRPr="002A567D">
        <w:rPr>
          <w:lang w:eastAsia="en-AU"/>
        </w:rPr>
        <w:t>Section 64 of the </w:t>
      </w:r>
      <w:r w:rsidRPr="002A567D">
        <w:rPr>
          <w:i/>
          <w:iCs/>
          <w:lang w:eastAsia="en-AU"/>
        </w:rPr>
        <w:t>Judiciary Act</w:t>
      </w:r>
      <w:r w:rsidR="007A5EBF">
        <w:rPr>
          <w:lang w:eastAsia="en-AU"/>
        </w:rPr>
        <w:t xml:space="preserve"> </w:t>
      </w:r>
      <w:r w:rsidRPr="002A567D">
        <w:rPr>
          <w:lang w:eastAsia="en-AU"/>
        </w:rPr>
        <w:t>provides that in any suit in which the Commonwealth or a State is a party “the rights of parties shall as nearly as possible be the same, and judgment may be given and costs awarded on either side, as in a suit between subject and subject”.</w:t>
      </w:r>
    </w:p>
    <w:p w14:paraId="39A64F40" w14:textId="77777777" w:rsidR="002B19B6" w:rsidRPr="002A567D" w:rsidRDefault="002B19B6" w:rsidP="00F75CAB">
      <w:pPr>
        <w:pStyle w:val="Quote1"/>
        <w:numPr>
          <w:ilvl w:val="0"/>
          <w:numId w:val="26"/>
        </w:numPr>
        <w:rPr>
          <w:lang w:eastAsia="en-AU"/>
        </w:rPr>
      </w:pPr>
      <w:r w:rsidRPr="002A567D">
        <w:rPr>
          <w:lang w:eastAsia="en-AU"/>
        </w:rPr>
        <w:t>This proceeding is a “suit” for the purposes of the </w:t>
      </w:r>
      <w:r w:rsidRPr="002A567D">
        <w:rPr>
          <w:i/>
          <w:iCs/>
          <w:lang w:eastAsia="en-AU"/>
        </w:rPr>
        <w:t>Judiciary Act</w:t>
      </w:r>
      <w:r w:rsidRPr="002A567D">
        <w:rPr>
          <w:lang w:eastAsia="en-AU"/>
        </w:rPr>
        <w:t>, as it is an “action or original proceeding between parties” as defined in s 2 of the </w:t>
      </w:r>
      <w:r w:rsidRPr="002A567D">
        <w:rPr>
          <w:i/>
          <w:iCs/>
          <w:lang w:eastAsia="en-AU"/>
        </w:rPr>
        <w:t>Judiciary Act</w:t>
      </w:r>
      <w:r w:rsidRPr="002A567D">
        <w:rPr>
          <w:lang w:eastAsia="en-AU"/>
        </w:rPr>
        <w:t>.</w:t>
      </w:r>
    </w:p>
    <w:p w14:paraId="3C3B1089" w14:textId="78E64075" w:rsidR="002B19B6" w:rsidRPr="002A567D" w:rsidRDefault="002B19B6" w:rsidP="00F75CAB">
      <w:pPr>
        <w:pStyle w:val="Quote1"/>
        <w:numPr>
          <w:ilvl w:val="0"/>
          <w:numId w:val="26"/>
        </w:numPr>
        <w:rPr>
          <w:lang w:eastAsia="en-AU"/>
        </w:rPr>
      </w:pPr>
      <w:r w:rsidRPr="002A567D">
        <w:rPr>
          <w:lang w:eastAsia="en-AU"/>
        </w:rPr>
        <w:t>As explained in </w:t>
      </w:r>
      <w:r w:rsidRPr="002A567D">
        <w:rPr>
          <w:i/>
          <w:iCs/>
          <w:lang w:eastAsia="en-AU"/>
        </w:rPr>
        <w:t>Bass v Permanent Trustee Company Limited </w:t>
      </w:r>
      <w:r w:rsidRPr="002A567D">
        <w:rPr>
          <w:lang w:eastAsia="en-AU"/>
        </w:rPr>
        <w:t>[1999] HCA 9; (1999) 198 CLR 334, s 64 is of fundamental importance to understanding the juridical basis of an action maintained against the Crown. There it was said by the plurality that s 64 has an ambulatory operation so that it may extend rights in proceedings in which the Commonwealth or a State is a party by reference to subsequent leg</w:t>
      </w:r>
      <w:r w:rsidR="007A5EBF">
        <w:rPr>
          <w:lang w:eastAsia="en-AU"/>
        </w:rPr>
        <w:t xml:space="preserve">islation. It was also held that s </w:t>
      </w:r>
      <w:r w:rsidRPr="002A567D">
        <w:rPr>
          <w:lang w:eastAsia="en-AU"/>
        </w:rPr>
        <w:t>64 operates to apply substantive as well as procedural laws. It was accepted that it follows that s 64 may operate to confer a cause of action against the Commonwealth which would not have existed if s 64 had not equated the substantive rights of the parties to those in a suit between subject and subject.</w:t>
      </w:r>
    </w:p>
    <w:p w14:paraId="40F619C8" w14:textId="556E3C26" w:rsidR="002B19B6" w:rsidRPr="002A567D" w:rsidRDefault="002B19B6" w:rsidP="00F75CAB">
      <w:pPr>
        <w:pStyle w:val="Quote1"/>
        <w:numPr>
          <w:ilvl w:val="0"/>
          <w:numId w:val="26"/>
        </w:numPr>
        <w:rPr>
          <w:lang w:eastAsia="en-AU"/>
        </w:rPr>
      </w:pPr>
      <w:r w:rsidRPr="002A567D">
        <w:rPr>
          <w:lang w:eastAsia="en-AU"/>
        </w:rPr>
        <w:lastRenderedPageBreak/>
        <w:t xml:space="preserve">Without s 64, Mr and Mrs </w:t>
      </w:r>
      <w:proofErr w:type="spellStart"/>
      <w:r w:rsidRPr="002A567D">
        <w:rPr>
          <w:lang w:eastAsia="en-AU"/>
        </w:rPr>
        <w:t>Buckee</w:t>
      </w:r>
      <w:proofErr w:type="spellEnd"/>
      <w:r w:rsidRPr="002A567D">
        <w:rPr>
          <w:lang w:eastAsia="en-AU"/>
        </w:rPr>
        <w:t xml:space="preserve"> and group members would have no right to agitate a cause against the Commonwealth. However, </w:t>
      </w:r>
      <w:r w:rsidRPr="002A567D">
        <w:rPr>
          <w:i/>
          <w:iCs/>
          <w:lang w:eastAsia="en-AU"/>
        </w:rPr>
        <w:t>Commonwealth v Evans Deakin Industries Limited </w:t>
      </w:r>
      <w:r w:rsidRPr="002A567D">
        <w:rPr>
          <w:lang w:eastAsia="en-AU"/>
        </w:rPr>
        <w:t>[1986] HCA 51; (1986) 161 CLR 254 rejected an argument that s 64 did not create a right and it is clear from that case that in every suit to which the Commonwealth is a party, s 64 requires the rights of the parties to be ascertained as nearly as possible by the same rules of the law, substantive and procedural, statutory and otherwise as would apply if the Commonwealth were a subject instead of being the Crown.</w:t>
      </w:r>
    </w:p>
    <w:p w14:paraId="3C47E878" w14:textId="467753EE" w:rsidR="002B19B6" w:rsidRPr="002A567D" w:rsidRDefault="002B19B6" w:rsidP="00F75CAB">
      <w:pPr>
        <w:pStyle w:val="Quote1"/>
        <w:numPr>
          <w:ilvl w:val="0"/>
          <w:numId w:val="26"/>
        </w:numPr>
        <w:rPr>
          <w:lang w:eastAsia="en-AU"/>
        </w:rPr>
      </w:pPr>
      <w:r w:rsidRPr="002A567D">
        <w:rPr>
          <w:lang w:eastAsia="en-AU"/>
        </w:rPr>
        <w:t>The position prior to the enactment</w:t>
      </w:r>
      <w:r w:rsidR="008721B3">
        <w:rPr>
          <w:lang w:eastAsia="en-AU"/>
        </w:rPr>
        <w:t xml:space="preserve"> </w:t>
      </w:r>
      <w:r w:rsidRPr="002A567D">
        <w:rPr>
          <w:lang w:eastAsia="en-AU"/>
        </w:rPr>
        <w:t>of s 64 was explained in </w:t>
      </w:r>
      <w:r w:rsidRPr="002A567D">
        <w:rPr>
          <w:i/>
          <w:iCs/>
          <w:lang w:eastAsia="en-AU"/>
        </w:rPr>
        <w:t>Baume</w:t>
      </w:r>
      <w:r w:rsidR="008721B3">
        <w:rPr>
          <w:i/>
          <w:iCs/>
          <w:lang w:eastAsia="en-AU"/>
        </w:rPr>
        <w:t xml:space="preserve"> </w:t>
      </w:r>
      <w:r w:rsidRPr="002A567D">
        <w:rPr>
          <w:i/>
          <w:iCs/>
          <w:lang w:eastAsia="en-AU"/>
        </w:rPr>
        <w:t>v</w:t>
      </w:r>
      <w:r w:rsidR="008721B3">
        <w:rPr>
          <w:i/>
          <w:iCs/>
          <w:lang w:eastAsia="en-AU"/>
        </w:rPr>
        <w:t xml:space="preserve"> </w:t>
      </w:r>
      <w:r w:rsidRPr="002A567D">
        <w:rPr>
          <w:i/>
          <w:iCs/>
          <w:lang w:eastAsia="en-AU"/>
        </w:rPr>
        <w:t>The Commonwealth</w:t>
      </w:r>
      <w:r w:rsidR="007A5EBF">
        <w:rPr>
          <w:lang w:eastAsia="en-AU"/>
        </w:rPr>
        <w:t xml:space="preserve"> (1906) 4 CLR 97 </w:t>
      </w:r>
      <w:r w:rsidRPr="002A567D">
        <w:rPr>
          <w:lang w:eastAsia="en-AU"/>
        </w:rPr>
        <w:t>by O’Connor J by reference to the “temporary” statute that was replaced by s 64.</w:t>
      </w:r>
    </w:p>
    <w:p w14:paraId="2DAE2321" w14:textId="6B8B1A43" w:rsidR="002B19B6" w:rsidRPr="002A567D" w:rsidRDefault="002B19B6" w:rsidP="00F75CAB">
      <w:pPr>
        <w:pStyle w:val="Quote1"/>
        <w:numPr>
          <w:ilvl w:val="0"/>
          <w:numId w:val="26"/>
        </w:numPr>
        <w:rPr>
          <w:lang w:eastAsia="en-AU"/>
        </w:rPr>
      </w:pPr>
      <w:r w:rsidRPr="002A567D">
        <w:rPr>
          <w:lang w:eastAsia="en-AU"/>
        </w:rPr>
        <w:t>In </w:t>
      </w:r>
      <w:r w:rsidRPr="002A567D">
        <w:rPr>
          <w:i/>
          <w:iCs/>
          <w:lang w:eastAsia="en-AU"/>
        </w:rPr>
        <w:t>British American Tobacco Australia Limited v Western Australia</w:t>
      </w:r>
      <w:r w:rsidRPr="002A567D">
        <w:rPr>
          <w:lang w:eastAsia="en-AU"/>
        </w:rPr>
        <w:t xml:space="preserve"> [2003] HCA 47; (2003) 217 CLR 30 at [72], McHugh, </w:t>
      </w:r>
      <w:proofErr w:type="spellStart"/>
      <w:r w:rsidRPr="002A567D">
        <w:rPr>
          <w:lang w:eastAsia="en-AU"/>
        </w:rPr>
        <w:t>Gummow</w:t>
      </w:r>
      <w:proofErr w:type="spellEnd"/>
      <w:r w:rsidRPr="002A567D">
        <w:rPr>
          <w:lang w:eastAsia="en-AU"/>
        </w:rPr>
        <w:t xml:space="preserve"> and Hayne JJ (with whom </w:t>
      </w:r>
      <w:proofErr w:type="spellStart"/>
      <w:r w:rsidRPr="002A567D">
        <w:rPr>
          <w:lang w:eastAsia="en-AU"/>
        </w:rPr>
        <w:t>Callinan</w:t>
      </w:r>
      <w:proofErr w:type="spellEnd"/>
      <w:r w:rsidRPr="002A567D">
        <w:rPr>
          <w:lang w:eastAsia="en-AU"/>
        </w:rPr>
        <w:t xml:space="preserve"> J concurred) observed that the remark of O’Connor J in </w:t>
      </w:r>
      <w:r w:rsidRPr="002A567D">
        <w:rPr>
          <w:i/>
          <w:iCs/>
          <w:lang w:eastAsia="en-AU"/>
        </w:rPr>
        <w:t>Baume</w:t>
      </w:r>
      <w:r w:rsidR="007A5EBF">
        <w:rPr>
          <w:lang w:eastAsia="en-AU"/>
        </w:rPr>
        <w:t xml:space="preserve"> emphasised the importance of s 64 </w:t>
      </w:r>
      <w:r w:rsidRPr="002A567D">
        <w:rPr>
          <w:lang w:eastAsia="en-AU"/>
        </w:rPr>
        <w:t>in the structure of federal jurisdiction “which provided for species of litigation unknown at common law and in the Colonies before federation”.</w:t>
      </w:r>
    </w:p>
    <w:p w14:paraId="0C86732C" w14:textId="77777777" w:rsidR="002B19B6" w:rsidRPr="002A567D" w:rsidRDefault="002B19B6" w:rsidP="00F75CAB">
      <w:pPr>
        <w:pStyle w:val="Quote1"/>
        <w:numPr>
          <w:ilvl w:val="0"/>
          <w:numId w:val="26"/>
        </w:numPr>
        <w:rPr>
          <w:lang w:eastAsia="en-AU"/>
        </w:rPr>
      </w:pPr>
      <w:r w:rsidRPr="002A567D">
        <w:rPr>
          <w:lang w:eastAsia="en-AU"/>
        </w:rPr>
        <w:t>Without s 64, any subject would need to call in aid the ancient procedure of the petition of right.</w:t>
      </w:r>
    </w:p>
    <w:p w14:paraId="1CFD0BB8" w14:textId="77777777" w:rsidR="000176E7" w:rsidRDefault="002B19B6" w:rsidP="00F75CAB">
      <w:pPr>
        <w:pStyle w:val="Quote1"/>
        <w:numPr>
          <w:ilvl w:val="0"/>
          <w:numId w:val="26"/>
        </w:numPr>
        <w:rPr>
          <w:lang w:eastAsia="en-AU"/>
        </w:rPr>
      </w:pPr>
      <w:r w:rsidRPr="002A567D">
        <w:rPr>
          <w:lang w:eastAsia="en-AU"/>
        </w:rPr>
        <w:t>It follows that this action against the Commonwealth, being a species of litigation unknown at common law, arises under a law made by the Parliament, namely, s 64.</w:t>
      </w:r>
    </w:p>
    <w:p w14:paraId="32B7562E" w14:textId="05EF3365" w:rsidR="002A567D" w:rsidRPr="00F02127" w:rsidRDefault="002A567D" w:rsidP="006632FA">
      <w:pPr>
        <w:pStyle w:val="ParaNumbering"/>
        <w:ind w:left="0"/>
      </w:pPr>
      <w:r w:rsidRPr="00F02127">
        <w:t>This furthe</w:t>
      </w:r>
      <w:r w:rsidR="00917A67" w:rsidRPr="00F02127">
        <w:t xml:space="preserve">r argument was rejected (at </w:t>
      </w:r>
      <w:r w:rsidR="008721B3" w:rsidRPr="00F02127">
        <w:t xml:space="preserve">545 </w:t>
      </w:r>
      <w:r w:rsidR="00917A67" w:rsidRPr="00F02127">
        <w:t>[28]–</w:t>
      </w:r>
      <w:r w:rsidRPr="00F02127">
        <w:t>[29]</w:t>
      </w:r>
      <w:r w:rsidR="00917A67" w:rsidRPr="00F02127">
        <w:t>)</w:t>
      </w:r>
      <w:r w:rsidRPr="00F02127">
        <w:t xml:space="preserve"> on the basis that s 64</w:t>
      </w:r>
      <w:r w:rsidR="008721B3" w:rsidRPr="00F02127">
        <w:rPr>
          <w:lang w:eastAsia="en-AU"/>
        </w:rPr>
        <w:t xml:space="preserve"> of the </w:t>
      </w:r>
      <w:r w:rsidR="008721B3" w:rsidRPr="00F02127">
        <w:rPr>
          <w:i/>
          <w:iCs/>
          <w:lang w:eastAsia="en-AU"/>
        </w:rPr>
        <w:t>Judiciary Act</w:t>
      </w:r>
      <w:r w:rsidR="007A5EBF">
        <w:t xml:space="preserve"> </w:t>
      </w:r>
      <w:r w:rsidRPr="00F02127">
        <w:t>is intended to have application “in a matter in which the Court has jurisdiction independently of s 64” and, in such circumstances, s 64 by its terms then makes the rights of the parties as nearly as possible the same</w:t>
      </w:r>
      <w:r w:rsidR="008721B3" w:rsidRPr="00F02127">
        <w:t>. I</w:t>
      </w:r>
      <w:r w:rsidRPr="00F02127">
        <w:t xml:space="preserve">n this way, his Honour considered that </w:t>
      </w:r>
      <w:r w:rsidR="008721B3" w:rsidRPr="00F02127">
        <w:t>s 64</w:t>
      </w:r>
      <w:r w:rsidRPr="00F02127">
        <w:t xml:space="preserve"> is to be seen as a procedural provision which facilitates the making of a claim against the Commonwealth, thus supplanting the petition of right</w:t>
      </w:r>
      <w:r w:rsidR="008721B3" w:rsidRPr="00F02127">
        <w:t xml:space="preserve">, but without </w:t>
      </w:r>
      <w:r w:rsidRPr="00F02127">
        <w:t>giving any substantive rights.</w:t>
      </w:r>
      <w:r w:rsidR="00417097" w:rsidRPr="00F02127">
        <w:t xml:space="preserve"> Justice Leeming</w:t>
      </w:r>
      <w:r w:rsidR="00C26BA0" w:rsidRPr="00F02127">
        <w:t>,</w:t>
      </w:r>
      <w:r w:rsidR="00417097" w:rsidRPr="00F02127">
        <w:t xml:space="preserve"> writing </w:t>
      </w:r>
      <w:proofErr w:type="spellStart"/>
      <w:r w:rsidR="00417097" w:rsidRPr="00F02127">
        <w:t>extracurially</w:t>
      </w:r>
      <w:proofErr w:type="spellEnd"/>
      <w:r w:rsidR="00C26BA0" w:rsidRPr="00F02127">
        <w:t>,</w:t>
      </w:r>
      <w:r w:rsidR="00417097" w:rsidRPr="00F02127">
        <w:t xml:space="preserve"> described this case</w:t>
      </w:r>
      <w:r w:rsidR="000E6324" w:rsidRPr="00F02127">
        <w:t xml:space="preserve"> as</w:t>
      </w:r>
      <w:r w:rsidR="00417097" w:rsidRPr="00F02127">
        <w:t xml:space="preserve"> being brought “ambitiously” in the Fede</w:t>
      </w:r>
      <w:r w:rsidR="00C31098" w:rsidRPr="00F02127">
        <w:t>ral Court (Leeming at</w:t>
      </w:r>
      <w:r w:rsidR="00417097" w:rsidRPr="00F02127">
        <w:t xml:space="preserve"> p 203 </w:t>
      </w:r>
      <w:proofErr w:type="spellStart"/>
      <w:r w:rsidR="00417097" w:rsidRPr="00F02127">
        <w:t>fn</w:t>
      </w:r>
      <w:proofErr w:type="spellEnd"/>
      <w:r w:rsidR="00417097" w:rsidRPr="00F02127">
        <w:t xml:space="preserve"> 13)</w:t>
      </w:r>
      <w:r w:rsidR="00D206BB">
        <w:t xml:space="preserve"> and went on to identify, correctly, that the availability of the class action regime in this Court was the reason why the case was brought in the Federal Court.</w:t>
      </w:r>
      <w:r w:rsidR="001173A2">
        <w:t xml:space="preserve"> </w:t>
      </w:r>
      <w:r w:rsidR="00D206BB">
        <w:t xml:space="preserve">But it might not have been thought to </w:t>
      </w:r>
      <w:r w:rsidR="005C6E37">
        <w:t xml:space="preserve">have been </w:t>
      </w:r>
      <w:r w:rsidR="00361C5B">
        <w:t>too ambitious</w:t>
      </w:r>
      <w:r w:rsidR="00D206BB">
        <w:t>,</w:t>
      </w:r>
      <w:r w:rsidR="00361C5B">
        <w:t xml:space="preserve"> given</w:t>
      </w:r>
      <w:r w:rsidR="00417097" w:rsidRPr="00F02127">
        <w:t xml:space="preserve"> the first basis upon </w:t>
      </w:r>
      <w:r w:rsidR="004720CF" w:rsidRPr="00F02127">
        <w:t>which it</w:t>
      </w:r>
      <w:r w:rsidR="00417097" w:rsidRPr="00F02127">
        <w:t xml:space="preserve"> was suggested </w:t>
      </w:r>
      <w:r w:rsidR="004720CF" w:rsidRPr="00F02127">
        <w:t>jurisdiction</w:t>
      </w:r>
      <w:r w:rsidR="00417097" w:rsidRPr="00F02127">
        <w:t xml:space="preserve"> was attracted was </w:t>
      </w:r>
      <w:r w:rsidR="00361C5B">
        <w:t xml:space="preserve">relevantly </w:t>
      </w:r>
      <w:r w:rsidR="004720CF" w:rsidRPr="00F02127">
        <w:t>indistinguishable f</w:t>
      </w:r>
      <w:r w:rsidR="00417097" w:rsidRPr="00F02127">
        <w:t>r</w:t>
      </w:r>
      <w:r w:rsidR="004720CF" w:rsidRPr="00F02127">
        <w:t>o</w:t>
      </w:r>
      <w:r w:rsidR="00417097" w:rsidRPr="00F02127">
        <w:t xml:space="preserve">m </w:t>
      </w:r>
      <w:r w:rsidR="004720CF" w:rsidRPr="00F02127">
        <w:t xml:space="preserve">that </w:t>
      </w:r>
      <w:r w:rsidR="007D7387">
        <w:t>which</w:t>
      </w:r>
      <w:r w:rsidR="007D7387" w:rsidRPr="007D7387">
        <w:t xml:space="preserve"> </w:t>
      </w:r>
      <w:r w:rsidR="007D7387" w:rsidRPr="00F02127">
        <w:t>Rares J</w:t>
      </w:r>
      <w:r w:rsidR="007D7387">
        <w:t xml:space="preserve"> </w:t>
      </w:r>
      <w:r w:rsidR="004D73B4">
        <w:t>held applied</w:t>
      </w:r>
      <w:r w:rsidR="007D7387">
        <w:t xml:space="preserve"> </w:t>
      </w:r>
      <w:r w:rsidR="004720CF" w:rsidRPr="00F02127">
        <w:t xml:space="preserve">in </w:t>
      </w:r>
      <w:r w:rsidR="004720CF" w:rsidRPr="00F02127">
        <w:rPr>
          <w:i/>
          <w:lang w:eastAsia="en-AU"/>
        </w:rPr>
        <w:t>Sagacious Legal</w:t>
      </w:r>
      <w:r w:rsidR="00417097" w:rsidRPr="00F02127">
        <w:t>.</w:t>
      </w:r>
      <w:r w:rsidR="00C92F1A" w:rsidRPr="00F02127">
        <w:t xml:space="preserve"> </w:t>
      </w:r>
      <w:r w:rsidR="004720CF" w:rsidRPr="00F02127">
        <w:t>In any event, t</w:t>
      </w:r>
      <w:r w:rsidR="00417097" w:rsidRPr="00F02127">
        <w:t xml:space="preserve">he case settled before </w:t>
      </w:r>
      <w:r w:rsidR="004720CF" w:rsidRPr="00F02127">
        <w:t xml:space="preserve">the determination of </w:t>
      </w:r>
      <w:r w:rsidR="005C6E37">
        <w:t>an</w:t>
      </w:r>
      <w:r w:rsidR="00FD23A9" w:rsidRPr="00F02127">
        <w:t xml:space="preserve"> </w:t>
      </w:r>
      <w:r w:rsidR="00417097" w:rsidRPr="00F02127">
        <w:t xml:space="preserve">appeal </w:t>
      </w:r>
      <w:r w:rsidR="004720CF" w:rsidRPr="00F02127">
        <w:t>from the dismissal of the proceeding on the basis of a lack of jurisdiction.</w:t>
      </w:r>
      <w:r w:rsidR="004720CF" w:rsidRPr="00F02127">
        <w:rPr>
          <w:lang w:eastAsia="en-AU"/>
        </w:rPr>
        <w:t xml:space="preserve"> I will come back to </w:t>
      </w:r>
      <w:proofErr w:type="spellStart"/>
      <w:r w:rsidR="004720CF" w:rsidRPr="00F02127">
        <w:rPr>
          <w:i/>
          <w:lang w:eastAsia="en-AU"/>
        </w:rPr>
        <w:t>Buckee</w:t>
      </w:r>
      <w:proofErr w:type="spellEnd"/>
      <w:r w:rsidR="004720CF" w:rsidRPr="00F02127">
        <w:rPr>
          <w:lang w:eastAsia="en-AU"/>
        </w:rPr>
        <w:t xml:space="preserve"> below, when returning to </w:t>
      </w:r>
      <w:r w:rsidR="004720CF" w:rsidRPr="00F02127">
        <w:rPr>
          <w:i/>
          <w:lang w:eastAsia="en-AU"/>
        </w:rPr>
        <w:t>Oliver</w:t>
      </w:r>
      <w:r w:rsidR="004720CF" w:rsidRPr="00F02127">
        <w:rPr>
          <w:lang w:eastAsia="en-AU"/>
        </w:rPr>
        <w:t>.</w:t>
      </w:r>
    </w:p>
    <w:p w14:paraId="3E71EF5D" w14:textId="188E2A8C" w:rsidR="00697413" w:rsidRPr="000176E7" w:rsidRDefault="00FD1046" w:rsidP="006632FA">
      <w:pPr>
        <w:pStyle w:val="ParaNumbering"/>
        <w:ind w:left="0"/>
      </w:pPr>
      <w:r>
        <w:rPr>
          <w:i/>
          <w:lang w:eastAsia="en-AU"/>
        </w:rPr>
        <w:t>Seventhly</w:t>
      </w:r>
      <w:r w:rsidR="000176E7">
        <w:rPr>
          <w:lang w:eastAsia="en-AU"/>
        </w:rPr>
        <w:t xml:space="preserve">, </w:t>
      </w:r>
      <w:r w:rsidR="006532C8">
        <w:rPr>
          <w:lang w:eastAsia="en-AU"/>
        </w:rPr>
        <w:t>in</w:t>
      </w:r>
      <w:r w:rsidR="006532C8" w:rsidRPr="006532C8">
        <w:rPr>
          <w:lang w:eastAsia="en-AU"/>
        </w:rPr>
        <w:t xml:space="preserve"> </w:t>
      </w:r>
      <w:r w:rsidR="006532C8" w:rsidRPr="002A23BB">
        <w:rPr>
          <w:i/>
          <w:lang w:eastAsia="en-AU"/>
        </w:rPr>
        <w:t>RNB Equities Pty Ltd v Credit Suisse Investment Services (Australia) Limited</w:t>
      </w:r>
      <w:r w:rsidR="00917A67" w:rsidRPr="002A23BB">
        <w:rPr>
          <w:lang w:eastAsia="en-AU"/>
        </w:rPr>
        <w:t xml:space="preserve"> [2019] FCA 760; (2019) 370 ALR 88</w:t>
      </w:r>
      <w:r w:rsidR="006532C8" w:rsidRPr="006532C8">
        <w:rPr>
          <w:lang w:eastAsia="en-AU"/>
        </w:rPr>
        <w:t xml:space="preserve">, </w:t>
      </w:r>
      <w:r w:rsidR="006532C8" w:rsidRPr="000176E7">
        <w:rPr>
          <w:iCs/>
          <w:lang w:val="en"/>
        </w:rPr>
        <w:t xml:space="preserve">Anderson J was required to </w:t>
      </w:r>
      <w:r w:rsidR="00C26BA0">
        <w:rPr>
          <w:iCs/>
          <w:lang w:val="en"/>
        </w:rPr>
        <w:t>consider whether the applicants’</w:t>
      </w:r>
      <w:r w:rsidR="006532C8" w:rsidRPr="000176E7">
        <w:rPr>
          <w:iCs/>
          <w:lang w:val="en"/>
        </w:rPr>
        <w:t xml:space="preserve"> claims</w:t>
      </w:r>
      <w:r w:rsidR="00A54F78" w:rsidRPr="00A54F78">
        <w:rPr>
          <w:iCs/>
          <w:lang w:val="en"/>
        </w:rPr>
        <w:t xml:space="preserve"> </w:t>
      </w:r>
      <w:r w:rsidR="00A54F78" w:rsidRPr="000176E7">
        <w:rPr>
          <w:iCs/>
          <w:lang w:val="en"/>
        </w:rPr>
        <w:t xml:space="preserve">attracted </w:t>
      </w:r>
      <w:r w:rsidR="008F1C64">
        <w:rPr>
          <w:iCs/>
          <w:lang w:val="en"/>
        </w:rPr>
        <w:t xml:space="preserve">the </w:t>
      </w:r>
      <w:r w:rsidR="00A54F78" w:rsidRPr="000176E7">
        <w:rPr>
          <w:iCs/>
          <w:lang w:val="en"/>
        </w:rPr>
        <w:t>jurisdiction of the Court</w:t>
      </w:r>
      <w:r w:rsidR="00A54F78">
        <w:rPr>
          <w:iCs/>
          <w:lang w:val="en"/>
        </w:rPr>
        <w:t>, where the claims</w:t>
      </w:r>
      <w:r w:rsidR="006532C8" w:rsidRPr="000176E7">
        <w:rPr>
          <w:iCs/>
          <w:lang w:val="en"/>
        </w:rPr>
        <w:t xml:space="preserve"> were purely </w:t>
      </w:r>
      <w:r w:rsidR="006532C8" w:rsidRPr="000176E7">
        <w:rPr>
          <w:iCs/>
          <w:lang w:val="en"/>
        </w:rPr>
        <w:lastRenderedPageBreak/>
        <w:t>contractual in nature</w:t>
      </w:r>
      <w:r w:rsidR="008721B3">
        <w:rPr>
          <w:iCs/>
          <w:lang w:val="en"/>
        </w:rPr>
        <w:t xml:space="preserve"> </w:t>
      </w:r>
      <w:r w:rsidR="006532C8" w:rsidRPr="000176E7">
        <w:rPr>
          <w:iCs/>
          <w:lang w:val="en"/>
        </w:rPr>
        <w:t xml:space="preserve">and </w:t>
      </w:r>
      <w:r w:rsidR="00A54F78">
        <w:rPr>
          <w:iCs/>
          <w:lang w:val="en"/>
        </w:rPr>
        <w:t xml:space="preserve">the applicants </w:t>
      </w:r>
      <w:r w:rsidR="006532C8" w:rsidRPr="000176E7">
        <w:rPr>
          <w:iCs/>
          <w:lang w:val="en"/>
        </w:rPr>
        <w:t xml:space="preserve">did not expressly allege reliance on any provision of a </w:t>
      </w:r>
      <w:r w:rsidR="00C26BA0">
        <w:rPr>
          <w:iCs/>
          <w:lang w:val="en"/>
        </w:rPr>
        <w:t>law of the Parliament</w:t>
      </w:r>
      <w:r w:rsidR="006532C8" w:rsidRPr="000176E7">
        <w:rPr>
          <w:iCs/>
          <w:lang w:val="en"/>
        </w:rPr>
        <w:t xml:space="preserve"> for the purposes of the</w:t>
      </w:r>
      <w:r w:rsidR="00A54F78">
        <w:rPr>
          <w:iCs/>
          <w:lang w:val="en"/>
        </w:rPr>
        <w:t xml:space="preserve">ir </w:t>
      </w:r>
      <w:r w:rsidR="006532C8" w:rsidRPr="000176E7">
        <w:rPr>
          <w:iCs/>
          <w:lang w:val="en"/>
        </w:rPr>
        <w:t>claims.</w:t>
      </w:r>
      <w:r w:rsidR="00C92F1A">
        <w:rPr>
          <w:iCs/>
          <w:lang w:val="en"/>
        </w:rPr>
        <w:t xml:space="preserve"> </w:t>
      </w:r>
      <w:r w:rsidR="006532C8" w:rsidRPr="000176E7">
        <w:rPr>
          <w:iCs/>
          <w:lang w:val="en"/>
        </w:rPr>
        <w:t xml:space="preserve">The applicants argued the </w:t>
      </w:r>
      <w:proofErr w:type="spellStart"/>
      <w:r w:rsidR="00C433B1">
        <w:rPr>
          <w:iCs/>
          <w:lang w:val="en"/>
        </w:rPr>
        <w:t>connex</w:t>
      </w:r>
      <w:r w:rsidR="000E6324">
        <w:rPr>
          <w:iCs/>
          <w:lang w:val="en"/>
        </w:rPr>
        <w:t>ion</w:t>
      </w:r>
      <w:proofErr w:type="spellEnd"/>
      <w:r w:rsidR="006532C8" w:rsidRPr="000176E7">
        <w:rPr>
          <w:iCs/>
          <w:lang w:val="en"/>
        </w:rPr>
        <w:t xml:space="preserve"> between their claim and federal law on the basis of the nature of, and the statutory framework surrounding, certain war</w:t>
      </w:r>
      <w:r w:rsidR="00472A09">
        <w:rPr>
          <w:iCs/>
          <w:lang w:val="en"/>
        </w:rPr>
        <w:t>rants, being financial products</w:t>
      </w:r>
      <w:r w:rsidR="006532C8" w:rsidRPr="000176E7">
        <w:rPr>
          <w:iCs/>
          <w:lang w:val="en"/>
        </w:rPr>
        <w:t xml:space="preserve"> offered pursuant to the relevant contractual arrangements. The subject matter of the dispute concerned the rights and obligations pertaining to the warrants, but there was no power or mechanism under any relevant federal law for the creation of the warrants. </w:t>
      </w:r>
      <w:r w:rsidR="0071535D">
        <w:rPr>
          <w:iCs/>
          <w:lang w:val="en"/>
        </w:rPr>
        <w:t>Anderson J found (at 102–</w:t>
      </w:r>
      <w:r w:rsidR="00A54F78">
        <w:rPr>
          <w:iCs/>
          <w:lang w:val="en"/>
        </w:rPr>
        <w:t>4 [59]–[64]) that t</w:t>
      </w:r>
      <w:r w:rsidR="006532C8" w:rsidRPr="000176E7">
        <w:rPr>
          <w:iCs/>
          <w:lang w:val="en"/>
        </w:rPr>
        <w:t xml:space="preserve">he warrants were </w:t>
      </w:r>
      <w:r w:rsidR="00A54F78">
        <w:rPr>
          <w:iCs/>
          <w:lang w:val="en"/>
        </w:rPr>
        <w:t xml:space="preserve">not </w:t>
      </w:r>
      <w:r w:rsidR="006532C8" w:rsidRPr="000176E7">
        <w:rPr>
          <w:iCs/>
          <w:lang w:val="en"/>
        </w:rPr>
        <w:t>created by federal law; their existence instead arose by reason of contractual arrangements</w:t>
      </w:r>
      <w:r w:rsidR="00472A09">
        <w:rPr>
          <w:iCs/>
          <w:lang w:val="en"/>
        </w:rPr>
        <w:t xml:space="preserve">. His </w:t>
      </w:r>
      <w:proofErr w:type="spellStart"/>
      <w:r w:rsidR="00472A09">
        <w:rPr>
          <w:iCs/>
          <w:lang w:val="en"/>
        </w:rPr>
        <w:t>Honour</w:t>
      </w:r>
      <w:proofErr w:type="spellEnd"/>
      <w:r w:rsidR="006532C8" w:rsidRPr="00A54F78">
        <w:rPr>
          <w:iCs/>
          <w:lang w:val="en"/>
        </w:rPr>
        <w:t xml:space="preserve"> distinguished that case from </w:t>
      </w:r>
      <w:r w:rsidR="006532C8" w:rsidRPr="00A54F78">
        <w:rPr>
          <w:i/>
          <w:iCs/>
          <w:lang w:val="en"/>
        </w:rPr>
        <w:t>LNC Industries</w:t>
      </w:r>
      <w:r w:rsidR="006532C8" w:rsidRPr="00A54F78">
        <w:rPr>
          <w:iCs/>
          <w:lang w:val="en"/>
        </w:rPr>
        <w:t xml:space="preserve"> in the following terms</w:t>
      </w:r>
      <w:r w:rsidR="00917A67" w:rsidRPr="00A54F78">
        <w:rPr>
          <w:iCs/>
          <w:lang w:val="en"/>
        </w:rPr>
        <w:t xml:space="preserve"> (at</w:t>
      </w:r>
      <w:r w:rsidR="0071535D">
        <w:rPr>
          <w:iCs/>
          <w:lang w:val="en"/>
        </w:rPr>
        <w:t xml:space="preserve"> 103–</w:t>
      </w:r>
      <w:r w:rsidR="00A54F78" w:rsidRPr="00A54F78">
        <w:rPr>
          <w:iCs/>
          <w:lang w:val="en"/>
        </w:rPr>
        <w:t>4</w:t>
      </w:r>
      <w:r w:rsidR="00917A67" w:rsidRPr="00A54F78">
        <w:rPr>
          <w:iCs/>
          <w:lang w:val="en"/>
        </w:rPr>
        <w:t xml:space="preserve"> [</w:t>
      </w:r>
      <w:r w:rsidR="00A54F78" w:rsidRPr="00A54F78">
        <w:rPr>
          <w:iCs/>
          <w:lang w:val="en"/>
        </w:rPr>
        <w:t>64</w:t>
      </w:r>
      <w:r w:rsidR="00917A67" w:rsidRPr="00A54F78">
        <w:rPr>
          <w:iCs/>
          <w:lang w:val="en"/>
        </w:rPr>
        <w:t>]</w:t>
      </w:r>
      <w:r w:rsidR="008721B3" w:rsidRPr="00A54F78">
        <w:rPr>
          <w:iCs/>
          <w:lang w:val="en"/>
        </w:rPr>
        <w:t>)</w:t>
      </w:r>
      <w:r w:rsidR="006532C8" w:rsidRPr="00A54F78">
        <w:rPr>
          <w:iCs/>
          <w:lang w:val="en"/>
        </w:rPr>
        <w:t>:</w:t>
      </w:r>
      <w:r w:rsidR="0075478D" w:rsidRPr="000176E7">
        <w:rPr>
          <w:iCs/>
          <w:lang w:val="en"/>
        </w:rPr>
        <w:t xml:space="preserve"> </w:t>
      </w:r>
    </w:p>
    <w:p w14:paraId="33F895A8" w14:textId="6265D61A" w:rsidR="0075478D" w:rsidRPr="00C26BA0" w:rsidRDefault="006532C8" w:rsidP="002A567D">
      <w:pPr>
        <w:pStyle w:val="Quote1"/>
        <w:rPr>
          <w:w w:val="105"/>
        </w:rPr>
      </w:pPr>
      <w:r>
        <w:rPr>
          <w:w w:val="105"/>
        </w:rPr>
        <w:t xml:space="preserve">The factual circumstances of this case are a degree removed from that of </w:t>
      </w:r>
      <w:r w:rsidRPr="006532C8">
        <w:rPr>
          <w:i/>
          <w:w w:val="105"/>
        </w:rPr>
        <w:t>LNC Industries</w:t>
      </w:r>
      <w:r>
        <w:rPr>
          <w:w w:val="105"/>
        </w:rPr>
        <w:t>. What</w:t>
      </w:r>
      <w:r>
        <w:rPr>
          <w:spacing w:val="-3"/>
          <w:w w:val="105"/>
        </w:rPr>
        <w:t xml:space="preserve"> </w:t>
      </w:r>
      <w:r>
        <w:rPr>
          <w:w w:val="105"/>
        </w:rPr>
        <w:t>was</w:t>
      </w:r>
      <w:r>
        <w:rPr>
          <w:spacing w:val="-3"/>
          <w:w w:val="105"/>
        </w:rPr>
        <w:t xml:space="preserve"> </w:t>
      </w:r>
      <w:r>
        <w:rPr>
          <w:w w:val="105"/>
        </w:rPr>
        <w:t>at</w:t>
      </w:r>
      <w:r>
        <w:rPr>
          <w:spacing w:val="-3"/>
          <w:w w:val="105"/>
        </w:rPr>
        <w:t xml:space="preserve"> </w:t>
      </w:r>
      <w:r>
        <w:rPr>
          <w:w w:val="105"/>
        </w:rPr>
        <w:t>stake</w:t>
      </w:r>
      <w:r>
        <w:rPr>
          <w:spacing w:val="-5"/>
          <w:w w:val="105"/>
        </w:rPr>
        <w:t xml:space="preserve"> </w:t>
      </w:r>
      <w:r>
        <w:rPr>
          <w:w w:val="105"/>
        </w:rPr>
        <w:t>in</w:t>
      </w:r>
      <w:r>
        <w:rPr>
          <w:spacing w:val="-3"/>
          <w:w w:val="105"/>
        </w:rPr>
        <w:t xml:space="preserve"> </w:t>
      </w:r>
      <w:r w:rsidRPr="006532C8">
        <w:rPr>
          <w:i/>
          <w:w w:val="105"/>
        </w:rPr>
        <w:t>LNC</w:t>
      </w:r>
      <w:r w:rsidRPr="006532C8">
        <w:rPr>
          <w:i/>
          <w:spacing w:val="-4"/>
          <w:w w:val="105"/>
        </w:rPr>
        <w:t xml:space="preserve"> </w:t>
      </w:r>
      <w:r w:rsidRPr="006532C8">
        <w:rPr>
          <w:i/>
          <w:w w:val="105"/>
        </w:rPr>
        <w:t>Industries</w:t>
      </w:r>
      <w:r>
        <w:rPr>
          <w:spacing w:val="-3"/>
          <w:w w:val="105"/>
        </w:rPr>
        <w:t xml:space="preserve"> </w:t>
      </w:r>
      <w:r>
        <w:rPr>
          <w:w w:val="105"/>
        </w:rPr>
        <w:t>may be</w:t>
      </w:r>
      <w:r>
        <w:rPr>
          <w:spacing w:val="-4"/>
          <w:w w:val="105"/>
        </w:rPr>
        <w:t xml:space="preserve"> </w:t>
      </w:r>
      <w:r>
        <w:rPr>
          <w:w w:val="105"/>
        </w:rPr>
        <w:t>broadly</w:t>
      </w:r>
      <w:r>
        <w:rPr>
          <w:spacing w:val="-3"/>
          <w:w w:val="105"/>
        </w:rPr>
        <w:t xml:space="preserve"> </w:t>
      </w:r>
      <w:r>
        <w:rPr>
          <w:w w:val="105"/>
        </w:rPr>
        <w:t>summarised</w:t>
      </w:r>
      <w:r>
        <w:rPr>
          <w:spacing w:val="-3"/>
          <w:w w:val="105"/>
        </w:rPr>
        <w:t xml:space="preserve"> </w:t>
      </w:r>
      <w:r>
        <w:rPr>
          <w:w w:val="105"/>
        </w:rPr>
        <w:t>as</w:t>
      </w:r>
      <w:r>
        <w:rPr>
          <w:spacing w:val="-4"/>
          <w:w w:val="105"/>
        </w:rPr>
        <w:t xml:space="preserve"> </w:t>
      </w:r>
      <w:r>
        <w:rPr>
          <w:w w:val="105"/>
        </w:rPr>
        <w:t>a</w:t>
      </w:r>
      <w:r>
        <w:rPr>
          <w:spacing w:val="-3"/>
          <w:w w:val="105"/>
        </w:rPr>
        <w:t xml:space="preserve"> </w:t>
      </w:r>
      <w:r>
        <w:rPr>
          <w:w w:val="105"/>
        </w:rPr>
        <w:t>contractual</w:t>
      </w:r>
      <w:r>
        <w:rPr>
          <w:spacing w:val="-4"/>
          <w:w w:val="105"/>
        </w:rPr>
        <w:t xml:space="preserve"> </w:t>
      </w:r>
      <w:r>
        <w:rPr>
          <w:w w:val="105"/>
        </w:rPr>
        <w:t>right</w:t>
      </w:r>
      <w:r>
        <w:rPr>
          <w:spacing w:val="-3"/>
          <w:w w:val="105"/>
        </w:rPr>
        <w:t xml:space="preserve"> </w:t>
      </w:r>
      <w:r>
        <w:rPr>
          <w:w w:val="105"/>
        </w:rPr>
        <w:t>to a statutory entitlement. Thus, as the plurality of the High Court observed, the ultimate subject of the dispute was a statutory entitlement. But, in this case, the ultimate subject of the</w:t>
      </w:r>
      <w:r>
        <w:rPr>
          <w:spacing w:val="-18"/>
          <w:w w:val="105"/>
        </w:rPr>
        <w:t xml:space="preserve"> </w:t>
      </w:r>
      <w:r>
        <w:rPr>
          <w:w w:val="105"/>
        </w:rPr>
        <w:t>dispute</w:t>
      </w:r>
      <w:r>
        <w:rPr>
          <w:spacing w:val="-17"/>
          <w:w w:val="105"/>
        </w:rPr>
        <w:t xml:space="preserve"> </w:t>
      </w:r>
      <w:r>
        <w:rPr>
          <w:w w:val="105"/>
        </w:rPr>
        <w:t>between</w:t>
      </w:r>
      <w:r>
        <w:rPr>
          <w:spacing w:val="-17"/>
          <w:w w:val="105"/>
        </w:rPr>
        <w:t xml:space="preserve"> </w:t>
      </w:r>
      <w:r>
        <w:rPr>
          <w:w w:val="105"/>
        </w:rPr>
        <w:t>the</w:t>
      </w:r>
      <w:r>
        <w:rPr>
          <w:spacing w:val="-17"/>
          <w:w w:val="105"/>
        </w:rPr>
        <w:t xml:space="preserve"> </w:t>
      </w:r>
      <w:r>
        <w:rPr>
          <w:w w:val="105"/>
        </w:rPr>
        <w:t>applicants</w:t>
      </w:r>
      <w:r>
        <w:rPr>
          <w:spacing w:val="-17"/>
          <w:w w:val="105"/>
        </w:rPr>
        <w:t xml:space="preserve"> </w:t>
      </w:r>
      <w:r>
        <w:rPr>
          <w:w w:val="105"/>
        </w:rPr>
        <w:t>and</w:t>
      </w:r>
      <w:r>
        <w:rPr>
          <w:spacing w:val="-18"/>
          <w:w w:val="105"/>
        </w:rPr>
        <w:t xml:space="preserve"> </w:t>
      </w:r>
      <w:r>
        <w:rPr>
          <w:w w:val="105"/>
        </w:rPr>
        <w:t>Credit</w:t>
      </w:r>
      <w:r>
        <w:rPr>
          <w:spacing w:val="-16"/>
          <w:w w:val="105"/>
        </w:rPr>
        <w:t xml:space="preserve"> </w:t>
      </w:r>
      <w:r>
        <w:rPr>
          <w:w w:val="105"/>
        </w:rPr>
        <w:t>Suisse,</w:t>
      </w:r>
      <w:r>
        <w:rPr>
          <w:spacing w:val="-17"/>
          <w:w w:val="105"/>
        </w:rPr>
        <w:t xml:space="preserve"> </w:t>
      </w:r>
      <w:r>
        <w:rPr>
          <w:w w:val="105"/>
        </w:rPr>
        <w:t>as</w:t>
      </w:r>
      <w:r>
        <w:rPr>
          <w:spacing w:val="-17"/>
          <w:w w:val="105"/>
        </w:rPr>
        <w:t xml:space="preserve"> </w:t>
      </w:r>
      <w:r>
        <w:rPr>
          <w:w w:val="105"/>
        </w:rPr>
        <w:t>pleaded,</w:t>
      </w:r>
      <w:r>
        <w:rPr>
          <w:spacing w:val="-16"/>
          <w:w w:val="105"/>
        </w:rPr>
        <w:t xml:space="preserve"> </w:t>
      </w:r>
      <w:r>
        <w:rPr>
          <w:w w:val="105"/>
        </w:rPr>
        <w:t>is</w:t>
      </w:r>
      <w:r>
        <w:rPr>
          <w:spacing w:val="-18"/>
          <w:w w:val="105"/>
        </w:rPr>
        <w:t xml:space="preserve"> </w:t>
      </w:r>
      <w:r>
        <w:rPr>
          <w:w w:val="105"/>
        </w:rPr>
        <w:t>not</w:t>
      </w:r>
      <w:r>
        <w:rPr>
          <w:spacing w:val="-17"/>
          <w:w w:val="105"/>
        </w:rPr>
        <w:t xml:space="preserve"> </w:t>
      </w:r>
      <w:r>
        <w:rPr>
          <w:w w:val="105"/>
        </w:rPr>
        <w:t>an</w:t>
      </w:r>
      <w:r>
        <w:rPr>
          <w:spacing w:val="-17"/>
          <w:w w:val="105"/>
        </w:rPr>
        <w:t xml:space="preserve"> </w:t>
      </w:r>
      <w:r>
        <w:rPr>
          <w:w w:val="105"/>
        </w:rPr>
        <w:t>entitlement</w:t>
      </w:r>
      <w:r>
        <w:rPr>
          <w:spacing w:val="-17"/>
          <w:w w:val="105"/>
        </w:rPr>
        <w:t xml:space="preserve"> </w:t>
      </w:r>
      <w:r>
        <w:rPr>
          <w:w w:val="105"/>
        </w:rPr>
        <w:t>under federal law. In fact, even assuming that the [warrants] may be characterised as a creature of statute (which, for the reasons above, they may not), an entitlement to the [warrants] is not in issue at all. Instead, the essenc</w:t>
      </w:r>
      <w:r w:rsidR="00FC3068">
        <w:rPr>
          <w:w w:val="105"/>
        </w:rPr>
        <w:t>e of the applicants’</w:t>
      </w:r>
      <w:r>
        <w:rPr>
          <w:w w:val="105"/>
        </w:rPr>
        <w:t xml:space="preserve"> dispute with Credit Suisse is the alleged misapplication of a contractual discretion which resulted in the reduction of</w:t>
      </w:r>
      <w:r w:rsidRPr="00C26BA0">
        <w:rPr>
          <w:w w:val="105"/>
        </w:rPr>
        <w:t xml:space="preserve"> </w:t>
      </w:r>
      <w:r>
        <w:rPr>
          <w:w w:val="105"/>
        </w:rPr>
        <w:t>the</w:t>
      </w:r>
      <w:r w:rsidRPr="00C26BA0">
        <w:rPr>
          <w:w w:val="105"/>
        </w:rPr>
        <w:t xml:space="preserve"> valuation of the [warrants]. The ultimate complaint the applicants advance in their pleadings is in respect of the valuation of, not their entitlement to, the [warrants].</w:t>
      </w:r>
    </w:p>
    <w:p w14:paraId="629223D3" w14:textId="24BEB0B2" w:rsidR="00F56D4B" w:rsidRDefault="00FD1046" w:rsidP="00C26BA0">
      <w:pPr>
        <w:pStyle w:val="ParaNumbering"/>
        <w:ind w:left="0"/>
      </w:pPr>
      <w:r>
        <w:rPr>
          <w:i/>
        </w:rPr>
        <w:t>Eighthly</w:t>
      </w:r>
      <w:r>
        <w:t>, in</w:t>
      </w:r>
      <w:r w:rsidR="004720CF">
        <w:t xml:space="preserve"> the recent decision of </w:t>
      </w:r>
      <w:r w:rsidR="004720CF" w:rsidRPr="002A23BB">
        <w:rPr>
          <w:i/>
        </w:rPr>
        <w:t>Seven Network v Cricket Australia</w:t>
      </w:r>
      <w:r w:rsidR="004720CF" w:rsidRPr="002A23BB">
        <w:t xml:space="preserve"> [2021] FCA 1031</w:t>
      </w:r>
      <w:r>
        <w:t xml:space="preserve">, </w:t>
      </w:r>
      <w:r w:rsidR="004720CF">
        <w:t xml:space="preserve">Anastassiou J dealt with an application </w:t>
      </w:r>
      <w:r w:rsidR="004720CF" w:rsidRPr="004720CF">
        <w:t xml:space="preserve">for an order for preliminary discovery pursuant to </w:t>
      </w:r>
      <w:r w:rsidR="003B44E3">
        <w:t>FCR</w:t>
      </w:r>
      <w:r w:rsidR="005650B4">
        <w:t xml:space="preserve"> </w:t>
      </w:r>
      <w:r w:rsidR="0027199E">
        <w:t xml:space="preserve">7.23 </w:t>
      </w:r>
      <w:r w:rsidR="004720CF" w:rsidRPr="004720CF">
        <w:t>where</w:t>
      </w:r>
      <w:r w:rsidR="005650B4">
        <w:t>,</w:t>
      </w:r>
      <w:r w:rsidR="004720CF" w:rsidRPr="004720CF">
        <w:t xml:space="preserve"> among other things, it was asserted by Cricket Australia that the Federal Court did not have jurisdiction to </w:t>
      </w:r>
      <w:r w:rsidR="004720CF" w:rsidRPr="005C6E37">
        <w:t>entertain a claim of the type foreshadowed by Seven</w:t>
      </w:r>
      <w:r w:rsidR="00A42062" w:rsidRPr="005C6E37">
        <w:t xml:space="preserve">. </w:t>
      </w:r>
      <w:r w:rsidR="004720CF" w:rsidRPr="005C6E37">
        <w:t xml:space="preserve">Seven contended that </w:t>
      </w:r>
      <w:r w:rsidR="008F1C64">
        <w:t xml:space="preserve">the Court’s jurisdiction was invoked </w:t>
      </w:r>
      <w:r w:rsidR="004720CF" w:rsidRPr="005C6E37">
        <w:t xml:space="preserve">as an agreement </w:t>
      </w:r>
      <w:r w:rsidR="00FC3068" w:rsidRPr="005C6E37">
        <w:rPr>
          <w:w w:val="105"/>
        </w:rPr>
        <w:t>conferring “Media</w:t>
      </w:r>
      <w:r w:rsidR="00FC3068" w:rsidRPr="005C6E37">
        <w:rPr>
          <w:spacing w:val="-12"/>
          <w:w w:val="105"/>
        </w:rPr>
        <w:t xml:space="preserve"> </w:t>
      </w:r>
      <w:r w:rsidR="00FC3068" w:rsidRPr="005C6E37">
        <w:rPr>
          <w:w w:val="105"/>
        </w:rPr>
        <w:t>Rights”</w:t>
      </w:r>
      <w:r w:rsidR="00FC3068" w:rsidRPr="005C6E37">
        <w:rPr>
          <w:spacing w:val="-13"/>
          <w:w w:val="105"/>
        </w:rPr>
        <w:t xml:space="preserve"> </w:t>
      </w:r>
      <w:r w:rsidR="0004631D" w:rsidRPr="005C6E37">
        <w:rPr>
          <w:w w:val="105"/>
        </w:rPr>
        <w:t>concerned</w:t>
      </w:r>
      <w:r w:rsidR="004720CF" w:rsidRPr="005C6E37">
        <w:rPr>
          <w:w w:val="105"/>
        </w:rPr>
        <w:t xml:space="preserve"> matters governed by federal law</w:t>
      </w:r>
      <w:r w:rsidR="009E4F1C">
        <w:rPr>
          <w:w w:val="105"/>
        </w:rPr>
        <w:t>,</w:t>
      </w:r>
      <w:r w:rsidR="004720CF" w:rsidRPr="005C6E37">
        <w:rPr>
          <w:w w:val="105"/>
        </w:rPr>
        <w:t xml:space="preserve"> or</w:t>
      </w:r>
      <w:r w:rsidR="005650B4" w:rsidRPr="005C6E37">
        <w:rPr>
          <w:w w:val="105"/>
        </w:rPr>
        <w:t xml:space="preserve"> </w:t>
      </w:r>
      <w:r w:rsidR="005C6E37" w:rsidRPr="005C6E37">
        <w:rPr>
          <w:w w:val="105"/>
        </w:rPr>
        <w:t xml:space="preserve">the rights </w:t>
      </w:r>
      <w:r w:rsidR="005650B4" w:rsidRPr="005C6E37">
        <w:rPr>
          <w:w w:val="105"/>
        </w:rPr>
        <w:t>otherwise</w:t>
      </w:r>
      <w:r w:rsidR="004720CF" w:rsidRPr="005C6E37">
        <w:rPr>
          <w:w w:val="105"/>
        </w:rPr>
        <w:t xml:space="preserve"> depend</w:t>
      </w:r>
      <w:r w:rsidR="005650B4" w:rsidRPr="005C6E37">
        <w:rPr>
          <w:w w:val="105"/>
        </w:rPr>
        <w:t>ed</w:t>
      </w:r>
      <w:r w:rsidR="004720CF" w:rsidRPr="005C6E37">
        <w:rPr>
          <w:w w:val="105"/>
        </w:rPr>
        <w:t xml:space="preserve"> for their provision and enjoyment on the acquirer having a broadcasting services licence</w:t>
      </w:r>
      <w:r w:rsidR="004720CF" w:rsidRPr="005C6E37">
        <w:rPr>
          <w:spacing w:val="-15"/>
          <w:w w:val="105"/>
        </w:rPr>
        <w:t xml:space="preserve"> </w:t>
      </w:r>
      <w:r w:rsidR="004720CF" w:rsidRPr="005C6E37">
        <w:rPr>
          <w:w w:val="105"/>
        </w:rPr>
        <w:t>under</w:t>
      </w:r>
      <w:r w:rsidR="004720CF" w:rsidRPr="005C6E37">
        <w:rPr>
          <w:spacing w:val="-14"/>
          <w:w w:val="105"/>
        </w:rPr>
        <w:t xml:space="preserve"> </w:t>
      </w:r>
      <w:r w:rsidR="004720CF" w:rsidRPr="005C6E37">
        <w:rPr>
          <w:w w:val="105"/>
        </w:rPr>
        <w:t>federal</w:t>
      </w:r>
      <w:r w:rsidR="004720CF" w:rsidRPr="005C6E37">
        <w:rPr>
          <w:spacing w:val="-16"/>
          <w:w w:val="105"/>
        </w:rPr>
        <w:t xml:space="preserve"> </w:t>
      </w:r>
      <w:r w:rsidR="004720CF" w:rsidRPr="005C6E37">
        <w:rPr>
          <w:w w:val="105"/>
        </w:rPr>
        <w:t>law</w:t>
      </w:r>
      <w:r w:rsidR="004720CF" w:rsidRPr="005C6E37">
        <w:rPr>
          <w:spacing w:val="-15"/>
          <w:w w:val="105"/>
        </w:rPr>
        <w:t xml:space="preserve"> </w:t>
      </w:r>
      <w:r w:rsidR="004720CF" w:rsidRPr="005C6E37">
        <w:rPr>
          <w:w w:val="105"/>
        </w:rPr>
        <w:t>(as</w:t>
      </w:r>
      <w:r w:rsidR="004720CF" w:rsidRPr="005C6E37">
        <w:rPr>
          <w:spacing w:val="-14"/>
          <w:w w:val="105"/>
        </w:rPr>
        <w:t xml:space="preserve"> </w:t>
      </w:r>
      <w:r w:rsidR="004720CF" w:rsidRPr="005C6E37">
        <w:rPr>
          <w:w w:val="105"/>
        </w:rPr>
        <w:t>to</w:t>
      </w:r>
      <w:r w:rsidR="004720CF" w:rsidRPr="005C6E37">
        <w:rPr>
          <w:spacing w:val="-15"/>
          <w:w w:val="105"/>
        </w:rPr>
        <w:t xml:space="preserve"> </w:t>
      </w:r>
      <w:r w:rsidR="004720CF" w:rsidRPr="005C6E37">
        <w:rPr>
          <w:w w:val="105"/>
        </w:rPr>
        <w:t>which</w:t>
      </w:r>
      <w:r w:rsidR="004720CF" w:rsidRPr="005C6E37">
        <w:rPr>
          <w:spacing w:val="-13"/>
          <w:w w:val="105"/>
        </w:rPr>
        <w:t xml:space="preserve"> </w:t>
      </w:r>
      <w:r w:rsidR="004720CF" w:rsidRPr="005C6E37">
        <w:rPr>
          <w:w w:val="105"/>
        </w:rPr>
        <w:t>Seven</w:t>
      </w:r>
      <w:r w:rsidR="004720CF" w:rsidRPr="005C6E37">
        <w:rPr>
          <w:spacing w:val="-15"/>
          <w:w w:val="105"/>
        </w:rPr>
        <w:t xml:space="preserve"> </w:t>
      </w:r>
      <w:r w:rsidR="0004631D" w:rsidRPr="005C6E37">
        <w:rPr>
          <w:w w:val="105"/>
        </w:rPr>
        <w:t>pointed</w:t>
      </w:r>
      <w:r w:rsidR="004720CF" w:rsidRPr="005C6E37">
        <w:rPr>
          <w:spacing w:val="-14"/>
          <w:w w:val="105"/>
        </w:rPr>
        <w:t xml:space="preserve"> </w:t>
      </w:r>
      <w:r w:rsidR="004720CF" w:rsidRPr="005C6E37">
        <w:rPr>
          <w:w w:val="105"/>
        </w:rPr>
        <w:t>to</w:t>
      </w:r>
      <w:r w:rsidR="004720CF" w:rsidRPr="005C6E37">
        <w:rPr>
          <w:spacing w:val="-15"/>
          <w:w w:val="105"/>
        </w:rPr>
        <w:t xml:space="preserve"> </w:t>
      </w:r>
      <w:r w:rsidR="004720CF" w:rsidRPr="005C6E37">
        <w:rPr>
          <w:w w:val="105"/>
        </w:rPr>
        <w:t>the</w:t>
      </w:r>
      <w:r w:rsidR="004720CF" w:rsidRPr="005C6E37">
        <w:rPr>
          <w:spacing w:val="-16"/>
          <w:w w:val="105"/>
        </w:rPr>
        <w:t xml:space="preserve"> </w:t>
      </w:r>
      <w:r w:rsidR="004720CF" w:rsidRPr="005C6E37">
        <w:rPr>
          <w:i/>
          <w:w w:val="105"/>
        </w:rPr>
        <w:t>Broadcasting</w:t>
      </w:r>
      <w:r w:rsidR="004720CF" w:rsidRPr="005C6E37">
        <w:rPr>
          <w:i/>
          <w:spacing w:val="-12"/>
          <w:w w:val="105"/>
        </w:rPr>
        <w:t xml:space="preserve"> </w:t>
      </w:r>
      <w:r w:rsidR="004720CF" w:rsidRPr="005C6E37">
        <w:rPr>
          <w:i/>
          <w:w w:val="105"/>
        </w:rPr>
        <w:t>Services</w:t>
      </w:r>
      <w:r w:rsidR="004720CF" w:rsidRPr="005C6E37">
        <w:rPr>
          <w:i/>
          <w:spacing w:val="-15"/>
          <w:w w:val="105"/>
        </w:rPr>
        <w:t xml:space="preserve"> </w:t>
      </w:r>
      <w:r w:rsidR="004720CF" w:rsidRPr="005C6E37">
        <w:rPr>
          <w:i/>
          <w:w w:val="105"/>
        </w:rPr>
        <w:t>Act</w:t>
      </w:r>
      <w:r w:rsidR="004720CF" w:rsidRPr="005C6E37">
        <w:rPr>
          <w:i/>
          <w:spacing w:val="-14"/>
          <w:w w:val="105"/>
        </w:rPr>
        <w:t xml:space="preserve"> </w:t>
      </w:r>
      <w:r w:rsidR="004720CF" w:rsidRPr="005C6E37">
        <w:rPr>
          <w:i/>
          <w:w w:val="105"/>
        </w:rPr>
        <w:t xml:space="preserve">1992 </w:t>
      </w:r>
      <w:r w:rsidR="004720CF" w:rsidRPr="005C6E37">
        <w:rPr>
          <w:w w:val="105"/>
        </w:rPr>
        <w:t>(</w:t>
      </w:r>
      <w:proofErr w:type="spellStart"/>
      <w:r w:rsidR="004720CF" w:rsidRPr="005C6E37">
        <w:rPr>
          <w:w w:val="105"/>
        </w:rPr>
        <w:t>Cth</w:t>
      </w:r>
      <w:proofErr w:type="spellEnd"/>
      <w:r w:rsidR="004720CF" w:rsidRPr="005C6E37">
        <w:rPr>
          <w:w w:val="105"/>
        </w:rPr>
        <w:t>)</w:t>
      </w:r>
      <w:r w:rsidR="004720CF" w:rsidRPr="005C6E37">
        <w:rPr>
          <w:spacing w:val="-27"/>
          <w:w w:val="105"/>
        </w:rPr>
        <w:t xml:space="preserve"> </w:t>
      </w:r>
      <w:r w:rsidR="004720CF" w:rsidRPr="005C6E37">
        <w:rPr>
          <w:w w:val="105"/>
        </w:rPr>
        <w:t>and/or</w:t>
      </w:r>
      <w:r w:rsidR="004720CF" w:rsidRPr="005C6E37">
        <w:rPr>
          <w:spacing w:val="-26"/>
          <w:w w:val="105"/>
        </w:rPr>
        <w:t xml:space="preserve"> </w:t>
      </w:r>
      <w:r w:rsidR="004720CF" w:rsidRPr="005C6E37">
        <w:rPr>
          <w:w w:val="105"/>
        </w:rPr>
        <w:t>intellectual</w:t>
      </w:r>
      <w:r w:rsidR="004720CF" w:rsidRPr="005C6E37">
        <w:rPr>
          <w:spacing w:val="-27"/>
          <w:w w:val="105"/>
        </w:rPr>
        <w:t xml:space="preserve"> </w:t>
      </w:r>
      <w:r w:rsidR="004720CF" w:rsidRPr="005C6E37">
        <w:rPr>
          <w:w w:val="105"/>
        </w:rPr>
        <w:t>property</w:t>
      </w:r>
      <w:r w:rsidR="004720CF" w:rsidRPr="005C6E37">
        <w:rPr>
          <w:spacing w:val="-24"/>
          <w:w w:val="105"/>
        </w:rPr>
        <w:t xml:space="preserve"> </w:t>
      </w:r>
      <w:r w:rsidR="004720CF" w:rsidRPr="005C6E37">
        <w:rPr>
          <w:w w:val="105"/>
        </w:rPr>
        <w:t>rights</w:t>
      </w:r>
      <w:r w:rsidR="004720CF" w:rsidRPr="005C6E37">
        <w:rPr>
          <w:spacing w:val="-27"/>
          <w:w w:val="105"/>
        </w:rPr>
        <w:t xml:space="preserve"> </w:t>
      </w:r>
      <w:r w:rsidR="004720CF" w:rsidRPr="005C6E37">
        <w:rPr>
          <w:w w:val="105"/>
        </w:rPr>
        <w:t>which</w:t>
      </w:r>
      <w:r w:rsidR="004720CF" w:rsidRPr="005C6E37">
        <w:rPr>
          <w:spacing w:val="-26"/>
          <w:w w:val="105"/>
        </w:rPr>
        <w:t xml:space="preserve"> </w:t>
      </w:r>
      <w:r w:rsidR="004720CF" w:rsidRPr="005C6E37">
        <w:rPr>
          <w:w w:val="105"/>
        </w:rPr>
        <w:t>owe</w:t>
      </w:r>
      <w:r w:rsidR="004720CF" w:rsidRPr="005C6E37">
        <w:rPr>
          <w:spacing w:val="-26"/>
          <w:w w:val="105"/>
        </w:rPr>
        <w:t xml:space="preserve"> </w:t>
      </w:r>
      <w:r w:rsidR="004720CF" w:rsidRPr="005C6E37">
        <w:rPr>
          <w:w w:val="105"/>
        </w:rPr>
        <w:t>their</w:t>
      </w:r>
      <w:r w:rsidR="004720CF" w:rsidRPr="005C6E37">
        <w:rPr>
          <w:spacing w:val="-25"/>
          <w:w w:val="105"/>
        </w:rPr>
        <w:t xml:space="preserve"> </w:t>
      </w:r>
      <w:r w:rsidR="004720CF" w:rsidRPr="005C6E37">
        <w:rPr>
          <w:w w:val="105"/>
        </w:rPr>
        <w:t>existence</w:t>
      </w:r>
      <w:r w:rsidR="004720CF" w:rsidRPr="005C6E37">
        <w:rPr>
          <w:spacing w:val="-27"/>
          <w:w w:val="105"/>
        </w:rPr>
        <w:t xml:space="preserve"> </w:t>
      </w:r>
      <w:r w:rsidR="004720CF" w:rsidRPr="005C6E37">
        <w:rPr>
          <w:w w:val="105"/>
        </w:rPr>
        <w:t>to</w:t>
      </w:r>
      <w:r w:rsidR="004720CF" w:rsidRPr="005C6E37">
        <w:rPr>
          <w:spacing w:val="-26"/>
          <w:w w:val="105"/>
        </w:rPr>
        <w:t xml:space="preserve"> </w:t>
      </w:r>
      <w:r w:rsidR="004720CF" w:rsidRPr="005C6E37">
        <w:rPr>
          <w:w w:val="105"/>
        </w:rPr>
        <w:t>federal</w:t>
      </w:r>
      <w:r w:rsidR="004720CF" w:rsidRPr="005C6E37">
        <w:rPr>
          <w:spacing w:val="-26"/>
          <w:w w:val="105"/>
        </w:rPr>
        <w:t xml:space="preserve"> </w:t>
      </w:r>
      <w:r w:rsidR="004720CF" w:rsidRPr="005C6E37">
        <w:rPr>
          <w:w w:val="105"/>
        </w:rPr>
        <w:t>law</w:t>
      </w:r>
      <w:r w:rsidR="00811E2D" w:rsidRPr="005C6E37">
        <w:rPr>
          <w:w w:val="105"/>
        </w:rPr>
        <w:t>)</w:t>
      </w:r>
      <w:r w:rsidR="004720CF" w:rsidRPr="005C6E37">
        <w:rPr>
          <w:w w:val="105"/>
        </w:rPr>
        <w:t>.</w:t>
      </w:r>
      <w:r w:rsidR="00FD23A9" w:rsidRPr="005C6E37">
        <w:rPr>
          <w:w w:val="105"/>
        </w:rPr>
        <w:t xml:space="preserve"> His Honour, applying </w:t>
      </w:r>
      <w:r w:rsidR="00FD23A9" w:rsidRPr="005C6E37">
        <w:rPr>
          <w:i/>
          <w:w w:val="105"/>
        </w:rPr>
        <w:t>LNC Industries</w:t>
      </w:r>
      <w:r w:rsidR="00FD23A9" w:rsidRPr="005C6E37">
        <w:rPr>
          <w:w w:val="105"/>
        </w:rPr>
        <w:t xml:space="preserve"> </w:t>
      </w:r>
      <w:r w:rsidR="00C26BA0" w:rsidRPr="005C6E37">
        <w:rPr>
          <w:w w:val="105"/>
        </w:rPr>
        <w:t>(</w:t>
      </w:r>
      <w:r w:rsidR="00FD23A9" w:rsidRPr="005C6E37">
        <w:rPr>
          <w:w w:val="105"/>
        </w:rPr>
        <w:t xml:space="preserve">and distinguishing </w:t>
      </w:r>
      <w:r w:rsidR="00FD23A9" w:rsidRPr="005C6E37">
        <w:rPr>
          <w:i/>
          <w:lang w:eastAsia="en-AU"/>
        </w:rPr>
        <w:t>RNB Equities</w:t>
      </w:r>
      <w:r w:rsidR="00C26BA0" w:rsidRPr="005C6E37">
        <w:rPr>
          <w:lang w:eastAsia="en-AU"/>
        </w:rPr>
        <w:t>)</w:t>
      </w:r>
      <w:r w:rsidR="005650B4" w:rsidRPr="005C6E37">
        <w:rPr>
          <w:lang w:eastAsia="en-AU"/>
        </w:rPr>
        <w:t>,</w:t>
      </w:r>
      <w:r w:rsidR="00FD23A9" w:rsidRPr="005C6E37">
        <w:rPr>
          <w:lang w:eastAsia="en-AU"/>
        </w:rPr>
        <w:t xml:space="preserve"> noted</w:t>
      </w:r>
      <w:r w:rsidR="005650B4" w:rsidRPr="005C6E37">
        <w:rPr>
          <w:lang w:eastAsia="en-AU"/>
        </w:rPr>
        <w:t xml:space="preserve"> </w:t>
      </w:r>
      <w:r w:rsidR="005650B4" w:rsidRPr="005C6E37">
        <w:rPr>
          <w:w w:val="105"/>
        </w:rPr>
        <w:t>(at [50])</w:t>
      </w:r>
      <w:r w:rsidR="00FD23A9" w:rsidRPr="005C6E37">
        <w:rPr>
          <w:lang w:eastAsia="en-AU"/>
        </w:rPr>
        <w:t xml:space="preserve"> that</w:t>
      </w:r>
      <w:r w:rsidR="006632FA" w:rsidRPr="00353217">
        <w:t xml:space="preserve"> a claim for damages for breach of contract in respect of a right or property which is the creation of federal law</w:t>
      </w:r>
      <w:r w:rsidR="00F74DEF">
        <w:t xml:space="preserve"> or where the subject matter of the contract </w:t>
      </w:r>
      <w:r w:rsidR="006632FA" w:rsidRPr="00353217">
        <w:t>exists as a result of federal law</w:t>
      </w:r>
      <w:r w:rsidR="00F74DEF">
        <w:t xml:space="preserve"> “is </w:t>
      </w:r>
      <w:r w:rsidR="006632FA" w:rsidRPr="00353217">
        <w:t>patently broad</w:t>
      </w:r>
      <w:r w:rsidR="00F74DEF">
        <w:t>” and, a</w:t>
      </w:r>
      <w:r w:rsidR="006632FA" w:rsidRPr="00353217">
        <w:t xml:space="preserve">t a minimum, </w:t>
      </w:r>
      <w:r w:rsidR="00F74DEF">
        <w:t>encompassed</w:t>
      </w:r>
      <w:r w:rsidR="006632FA" w:rsidRPr="00353217">
        <w:t xml:space="preserve"> a claim for breach of contract </w:t>
      </w:r>
      <w:r w:rsidR="00F74DEF">
        <w:t>“</w:t>
      </w:r>
      <w:r w:rsidR="006632FA" w:rsidRPr="00353217">
        <w:t>where the rights in controversy, and the entitlement to enforce them in court, are inextricably linked to Commonwealth legislation</w:t>
      </w:r>
      <w:r w:rsidR="00F74DEF">
        <w:t>”</w:t>
      </w:r>
      <w:r w:rsidR="006632FA" w:rsidRPr="00CE5C66">
        <w:t>.</w:t>
      </w:r>
      <w:r w:rsidR="00F74DEF">
        <w:t xml:space="preserve"> </w:t>
      </w:r>
    </w:p>
    <w:p w14:paraId="1B752EAB" w14:textId="3101BB15" w:rsidR="00324B7F" w:rsidRDefault="00F56D4B" w:rsidP="00C26BA0">
      <w:pPr>
        <w:pStyle w:val="ParaNumbering"/>
        <w:ind w:left="0"/>
      </w:pPr>
      <w:r>
        <w:lastRenderedPageBreak/>
        <w:t>H</w:t>
      </w:r>
      <w:r w:rsidR="00324B7F">
        <w:t xml:space="preserve">is Honour </w:t>
      </w:r>
      <w:r w:rsidR="00C26BA0">
        <w:t>made reference</w:t>
      </w:r>
      <w:r w:rsidR="005650B4">
        <w:t xml:space="preserve"> (at [55]–[63])</w:t>
      </w:r>
      <w:r w:rsidR="000E6324">
        <w:t xml:space="preserve"> to</w:t>
      </w:r>
      <w:r w:rsidR="00324B7F">
        <w:t xml:space="preserve"> what I said by way of </w:t>
      </w:r>
      <w:r w:rsidR="00324B7F" w:rsidRPr="00324B7F">
        <w:rPr>
          <w:i/>
        </w:rPr>
        <w:t>obiter</w:t>
      </w:r>
      <w:r w:rsidR="00324B7F">
        <w:t xml:space="preserve"> in </w:t>
      </w:r>
      <w:r w:rsidR="00324B7F" w:rsidRPr="00324B7F">
        <w:rPr>
          <w:i/>
        </w:rPr>
        <w:t>Oliver</w:t>
      </w:r>
      <w:r w:rsidR="00324B7F">
        <w:t xml:space="preserve"> about it being</w:t>
      </w:r>
      <w:r w:rsidR="00324B7F" w:rsidRPr="00324B7F">
        <w:t xml:space="preserve"> “arguable” that if a respondent is a corporation, the relevant matter arises under a law made by the Parliament</w:t>
      </w:r>
      <w:r w:rsidR="00C26BA0">
        <w:t>.</w:t>
      </w:r>
      <w:r w:rsidR="00C92F1A">
        <w:t xml:space="preserve"> </w:t>
      </w:r>
      <w:r w:rsidR="00C26BA0">
        <w:t>This observation</w:t>
      </w:r>
      <w:r w:rsidR="00324B7F">
        <w:t xml:space="preserve"> had </w:t>
      </w:r>
      <w:r w:rsidR="00C26BA0">
        <w:t xml:space="preserve">previously </w:t>
      </w:r>
      <w:r w:rsidR="00324B7F">
        <w:t xml:space="preserve">been referred to in </w:t>
      </w:r>
      <w:proofErr w:type="spellStart"/>
      <w:r w:rsidR="00324B7F" w:rsidRPr="002A23BB">
        <w:rPr>
          <w:i/>
        </w:rPr>
        <w:t>Hafertepen</w:t>
      </w:r>
      <w:proofErr w:type="spellEnd"/>
      <w:r w:rsidR="00324B7F" w:rsidRPr="002A23BB">
        <w:rPr>
          <w:i/>
        </w:rPr>
        <w:t xml:space="preserve"> v Network Ten Pty Limited</w:t>
      </w:r>
      <w:r w:rsidR="00765AD3" w:rsidRPr="002A23BB">
        <w:t xml:space="preserve"> [2020] FCA 1456</w:t>
      </w:r>
      <w:r w:rsidR="00765AD3">
        <w:t xml:space="preserve"> </w:t>
      </w:r>
      <w:r w:rsidR="005650B4">
        <w:t>(</w:t>
      </w:r>
      <w:r w:rsidR="00765AD3">
        <w:t>at [38]–</w:t>
      </w:r>
      <w:r w:rsidR="00324B7F" w:rsidRPr="0032128E">
        <w:t>[44]</w:t>
      </w:r>
      <w:r w:rsidR="005650B4" w:rsidRPr="005650B4">
        <w:t xml:space="preserve"> </w:t>
      </w:r>
      <w:r w:rsidR="005650B4">
        <w:t>per</w:t>
      </w:r>
      <w:r w:rsidR="005650B4" w:rsidRPr="00324B7F">
        <w:t xml:space="preserve"> </w:t>
      </w:r>
      <w:r w:rsidR="005650B4">
        <w:t>Katzmann J)</w:t>
      </w:r>
      <w:r w:rsidR="00C26BA0">
        <w:t xml:space="preserve"> and </w:t>
      </w:r>
      <w:r w:rsidR="00324B7F">
        <w:t xml:space="preserve">in </w:t>
      </w:r>
      <w:r w:rsidR="00324B7F" w:rsidRPr="002A23BB">
        <w:rPr>
          <w:i/>
        </w:rPr>
        <w:t>Clarence City Council v Commonwealth of Australia</w:t>
      </w:r>
      <w:r w:rsidR="00324B7F" w:rsidRPr="002A23BB">
        <w:t xml:space="preserve"> [2020] FCAFC 134; </w:t>
      </w:r>
      <w:r w:rsidR="00E93E8A">
        <w:t>(2020) 280 FCR 265</w:t>
      </w:r>
      <w:r w:rsidR="00324B7F">
        <w:t xml:space="preserve"> </w:t>
      </w:r>
      <w:r w:rsidR="00394DD3">
        <w:t>(</w:t>
      </w:r>
      <w:r w:rsidR="00324B7F">
        <w:t xml:space="preserve">at </w:t>
      </w:r>
      <w:r w:rsidR="0071535D">
        <w:t>320–</w:t>
      </w:r>
      <w:r w:rsidR="00394DD3">
        <w:t xml:space="preserve">1 </w:t>
      </w:r>
      <w:r w:rsidR="00324B7F">
        <w:t>[171]</w:t>
      </w:r>
      <w:r w:rsidR="00765AD3">
        <w:t>–</w:t>
      </w:r>
      <w:r w:rsidR="00324B7F">
        <w:t>[172]</w:t>
      </w:r>
      <w:r w:rsidR="00394DD3" w:rsidRPr="00394DD3">
        <w:t xml:space="preserve"> </w:t>
      </w:r>
      <w:r w:rsidR="00394DD3">
        <w:t xml:space="preserve">per </w:t>
      </w:r>
      <w:r w:rsidR="00394DD3" w:rsidRPr="00394DD3">
        <w:t>Jagot, Kerr and Anderson JJ</w:t>
      </w:r>
      <w:r w:rsidR="00394DD3">
        <w:t xml:space="preserve">), in which </w:t>
      </w:r>
      <w:r w:rsidR="00324B7F">
        <w:t>the Full Court declined to express a view on its correctness</w:t>
      </w:r>
      <w:r w:rsidR="00541FEE">
        <w:t xml:space="preserve">. </w:t>
      </w:r>
      <w:r w:rsidR="00C26BA0">
        <w:t xml:space="preserve">It was argued before Anastassiou J </w:t>
      </w:r>
      <w:r w:rsidR="00394DD3">
        <w:t>in</w:t>
      </w:r>
      <w:r w:rsidR="00394DD3" w:rsidRPr="00394DD3">
        <w:rPr>
          <w:i/>
        </w:rPr>
        <w:t xml:space="preserve"> </w:t>
      </w:r>
      <w:r w:rsidR="00394DD3" w:rsidRPr="002A23BB">
        <w:rPr>
          <w:i/>
        </w:rPr>
        <w:t xml:space="preserve">Seven Network </w:t>
      </w:r>
      <w:r w:rsidR="00E82479">
        <w:t>(</w:t>
      </w:r>
      <w:r w:rsidR="00C26BA0">
        <w:t>see</w:t>
      </w:r>
      <w:r w:rsidR="00917A67">
        <w:t xml:space="preserve"> [60]–</w:t>
      </w:r>
      <w:r w:rsidR="00E82479">
        <w:t xml:space="preserve">[61]) that the proposition advanced in </w:t>
      </w:r>
      <w:r w:rsidR="00E82479" w:rsidRPr="00E82479">
        <w:rPr>
          <w:i/>
        </w:rPr>
        <w:t>Oliver</w:t>
      </w:r>
      <w:r w:rsidR="00E82479">
        <w:t xml:space="preserve"> was wrong as </w:t>
      </w:r>
      <w:r w:rsidR="00E82479" w:rsidRPr="00353217">
        <w:t xml:space="preserve">it does not address the </w:t>
      </w:r>
      <w:r w:rsidR="00E82479">
        <w:t>correct issue,</w:t>
      </w:r>
      <w:r w:rsidR="00E82479" w:rsidRPr="00353217">
        <w:t xml:space="preserve"> </w:t>
      </w:r>
      <w:r w:rsidR="00E82479">
        <w:t>being</w:t>
      </w:r>
      <w:r w:rsidR="00E82479" w:rsidRPr="00353217">
        <w:t xml:space="preserve"> whether the subject matter of the dispute involves a right, duty or obligation that owes its existence to federal law or depends upon federal law for enforcement</w:t>
      </w:r>
      <w:r w:rsidR="00E82479">
        <w:t xml:space="preserve"> and that</w:t>
      </w:r>
      <w:r w:rsidR="00C26BA0">
        <w:t xml:space="preserve"> “</w:t>
      </w:r>
      <w:r w:rsidR="00E82479">
        <w:t>to so construe federal jurisdiction would be to take it far beyond that which has been previously recognised</w:t>
      </w:r>
      <w:r w:rsidR="00C26BA0">
        <w:t>”.</w:t>
      </w:r>
      <w:r w:rsidR="00765AD3">
        <w:t xml:space="preserve"> </w:t>
      </w:r>
    </w:p>
    <w:p w14:paraId="798C27DD" w14:textId="14C256EF" w:rsidR="00324B7F" w:rsidRDefault="00E82479" w:rsidP="00F74DEF">
      <w:pPr>
        <w:pStyle w:val="ParaNumbering"/>
        <w:ind w:left="0"/>
      </w:pPr>
      <w:r>
        <w:rPr>
          <w:lang w:eastAsia="en-AU"/>
        </w:rPr>
        <w:t xml:space="preserve">Without deciding the point, his Honour expressed </w:t>
      </w:r>
      <w:r w:rsidR="00394DD3">
        <w:rPr>
          <w:lang w:eastAsia="en-AU"/>
        </w:rPr>
        <w:t>his</w:t>
      </w:r>
      <w:r>
        <w:rPr>
          <w:lang w:eastAsia="en-AU"/>
        </w:rPr>
        <w:t xml:space="preserve"> view as follows</w:t>
      </w:r>
      <w:r w:rsidR="00917A67">
        <w:rPr>
          <w:lang w:eastAsia="en-AU"/>
        </w:rPr>
        <w:t xml:space="preserve"> (at [62])</w:t>
      </w:r>
      <w:r>
        <w:rPr>
          <w:lang w:eastAsia="en-AU"/>
        </w:rPr>
        <w:t>:</w:t>
      </w:r>
      <w:r w:rsidR="00324B7F">
        <w:rPr>
          <w:lang w:eastAsia="en-AU"/>
        </w:rPr>
        <w:t xml:space="preserve"> </w:t>
      </w:r>
    </w:p>
    <w:p w14:paraId="10E25002" w14:textId="49A0A16A" w:rsidR="00324B7F" w:rsidRDefault="00E82479" w:rsidP="003B4F92">
      <w:pPr>
        <w:pStyle w:val="Quote1"/>
      </w:pPr>
      <w:r>
        <w:t xml:space="preserve">In my view, there is persuasive force in Cricket Australia’s submission on this point.  There are several ways this point may be put to convey that there is a substantive distinction between, on the one hand, a controversy between the parties involving a right, duty or obligation that owes its existence to federal law, or depends on federal law for its enforcement, and, on the other hand, the character of a party as a corporation, that is incorporated under and capable of being sued by reason of federal law.  There is arguably a conflation between federal law as a wellspring from which a </w:t>
      </w:r>
      <w:r w:rsidRPr="0046675C">
        <w:t xml:space="preserve">corporate </w:t>
      </w:r>
      <w:r>
        <w:t xml:space="preserve">entity </w:t>
      </w:r>
      <w:r w:rsidRPr="0046675C">
        <w:t>comes and a matter which owes its existence to federal law.  As the Chief Justice</w:t>
      </w:r>
      <w:r>
        <w:t xml:space="preserve"> observed </w:t>
      </w:r>
      <w:proofErr w:type="spellStart"/>
      <w:r>
        <w:t>extracurially</w:t>
      </w:r>
      <w:proofErr w:type="spellEnd"/>
      <w:r w:rsidR="00C26BA0">
        <w:t>…</w:t>
      </w:r>
      <w:r w:rsidRPr="0046675C">
        <w:t xml:space="preserve">, federal jurisdiction is founded upon a matter and a matter is the justiciable controversy between “the actors involved”.  The fact that a corporate entity is a party to the controversy does not mean that </w:t>
      </w:r>
      <w:r w:rsidR="00E66603">
        <w:t>…</w:t>
      </w:r>
      <w:r w:rsidRPr="0046675C">
        <w:t xml:space="preserve"> there is any controversy about the legal identity of any corporate entity that is a party to the </w:t>
      </w:r>
      <w:r w:rsidR="0072711C">
        <w:t xml:space="preserve">proceeding. </w:t>
      </w:r>
      <w:r w:rsidRPr="0046675C">
        <w:t>To adopt the linguistic metaphor, corporate entities may be seen as no more than “actors involved” in the</w:t>
      </w:r>
      <w:r>
        <w:t xml:space="preserve"> broader justiciable</w:t>
      </w:r>
      <w:r w:rsidRPr="0046675C">
        <w:t xml:space="preserve"> controversy</w:t>
      </w:r>
      <w:r>
        <w:t xml:space="preserve">: see also </w:t>
      </w:r>
      <w:proofErr w:type="spellStart"/>
      <w:r w:rsidRPr="00113237">
        <w:rPr>
          <w:i/>
        </w:rPr>
        <w:t>Fencott</w:t>
      </w:r>
      <w:proofErr w:type="spellEnd"/>
      <w:r w:rsidRPr="00113237">
        <w:rPr>
          <w:i/>
        </w:rPr>
        <w:t xml:space="preserve"> v Muller</w:t>
      </w:r>
      <w:r>
        <w:t xml:space="preserve"> [1983]</w:t>
      </w:r>
      <w:r w:rsidRPr="00113237">
        <w:t xml:space="preserve"> </w:t>
      </w:r>
      <w:r>
        <w:t xml:space="preserve">HCA 12; </w:t>
      </w:r>
      <w:r w:rsidRPr="00113237">
        <w:t>152 CLR 570 at 603-608</w:t>
      </w:r>
      <w:r>
        <w:t xml:space="preserve"> (Mason, Murphy, Brennan and Deane JJ)</w:t>
      </w:r>
      <w:r w:rsidRPr="0046675C">
        <w:t>.</w:t>
      </w:r>
    </w:p>
    <w:p w14:paraId="552426FB" w14:textId="4D0099CA" w:rsidR="003E6DB3" w:rsidRDefault="00472A09" w:rsidP="003E6DB3">
      <w:pPr>
        <w:pStyle w:val="ParaNumbering"/>
        <w:ind w:left="0"/>
      </w:pPr>
      <w:r>
        <w:rPr>
          <w:i/>
        </w:rPr>
        <w:t>Ninthly</w:t>
      </w:r>
      <w:r w:rsidR="00C96E84">
        <w:t>, again very recently, in</w:t>
      </w:r>
      <w:r w:rsidR="00C96E84" w:rsidRPr="00C96E84">
        <w:t xml:space="preserve"> </w:t>
      </w:r>
      <w:r w:rsidR="00C96E84" w:rsidRPr="00C96E84">
        <w:rPr>
          <w:i/>
        </w:rPr>
        <w:t xml:space="preserve">DJ Builders &amp; Son Pty Ltd (in </w:t>
      </w:r>
      <w:proofErr w:type="spellStart"/>
      <w:r w:rsidR="00C96E84" w:rsidRPr="00C96E84">
        <w:rPr>
          <w:i/>
        </w:rPr>
        <w:t>liq</w:t>
      </w:r>
      <w:proofErr w:type="spellEnd"/>
      <w:r w:rsidR="00C96E84" w:rsidRPr="00C96E84">
        <w:rPr>
          <w:i/>
        </w:rPr>
        <w:t xml:space="preserve">), in the matter of DJ Builders &amp; Son Pty Ltd (in </w:t>
      </w:r>
      <w:proofErr w:type="spellStart"/>
      <w:r w:rsidR="00C96E84" w:rsidRPr="00C96E84">
        <w:rPr>
          <w:i/>
        </w:rPr>
        <w:t>liq</w:t>
      </w:r>
      <w:proofErr w:type="spellEnd"/>
      <w:r w:rsidR="00C96E84" w:rsidRPr="00C96E84">
        <w:rPr>
          <w:i/>
        </w:rPr>
        <w:t>) v Queensland Building and Construction Commission (No 3)</w:t>
      </w:r>
      <w:r w:rsidR="00C96E84" w:rsidRPr="00C96E84">
        <w:t> [2021] FCA 1041</w:t>
      </w:r>
      <w:r w:rsidR="00C96E84">
        <w:t xml:space="preserve">, </w:t>
      </w:r>
      <w:r w:rsidR="00394DD3">
        <w:t>D</w:t>
      </w:r>
      <w:r w:rsidR="00394DD3" w:rsidRPr="00394DD3">
        <w:t>errington J</w:t>
      </w:r>
      <w:r w:rsidR="00394DD3">
        <w:t xml:space="preserve">, </w:t>
      </w:r>
      <w:r w:rsidR="00BA2AA8">
        <w:t>in the course of, with respect,</w:t>
      </w:r>
      <w:r w:rsidR="00541FEE">
        <w:t xml:space="preserve"> </w:t>
      </w:r>
      <w:r w:rsidR="00BA2AA8">
        <w:t>a learned</w:t>
      </w:r>
      <w:r w:rsidR="00541FEE">
        <w:t xml:space="preserve"> </w:t>
      </w:r>
      <w:r w:rsidR="003E6DB3">
        <w:t>summary of the principles</w:t>
      </w:r>
      <w:r w:rsidR="00541FEE">
        <w:t>,</w:t>
      </w:r>
      <w:r w:rsidR="003E6DB3">
        <w:t xml:space="preserve"> turned to </w:t>
      </w:r>
      <w:r w:rsidR="003E6DB3" w:rsidRPr="003E6DB3">
        <w:rPr>
          <w:i/>
        </w:rPr>
        <w:t>LNC Industries</w:t>
      </w:r>
      <w:r w:rsidR="003E6DB3">
        <w:t xml:space="preserve"> and noted as follows</w:t>
      </w:r>
      <w:r w:rsidR="00917A67">
        <w:t xml:space="preserve"> (at [16]–[17])</w:t>
      </w:r>
      <w:r w:rsidR="003E6DB3">
        <w:t>:</w:t>
      </w:r>
      <w:r w:rsidR="00C92F1A">
        <w:t xml:space="preserve"> </w:t>
      </w:r>
    </w:p>
    <w:p w14:paraId="66F8453F" w14:textId="614AADBA" w:rsidR="003E6DB3" w:rsidRDefault="003E6DB3" w:rsidP="00472A09">
      <w:pPr>
        <w:pStyle w:val="Quote1"/>
        <w:rPr>
          <w:lang w:eastAsia="en-AU"/>
        </w:rPr>
      </w:pPr>
      <w:r>
        <w:t>16</w:t>
      </w:r>
      <w:r w:rsidR="00917A67">
        <w:t>.</w:t>
      </w:r>
      <w:r w:rsidR="009020DD">
        <w:tab/>
        <w:t xml:space="preserve">… </w:t>
      </w:r>
      <w:r>
        <w:t>the essence of the above passage in </w:t>
      </w:r>
      <w:r>
        <w:rPr>
          <w:i/>
          <w:iCs/>
        </w:rPr>
        <w:t>LNC Industries Ltd v BMW</w:t>
      </w:r>
      <w:r>
        <w:t> from which Lee J drew his observations actually requires attention be focused on the “right or duty in question in the matter” and whether it “owes its existence to federal law or depends on federal law for its enforcement”. In </w:t>
      </w:r>
      <w:r>
        <w:rPr>
          <w:i/>
          <w:iCs/>
        </w:rPr>
        <w:t>Oliver v Nine Network</w:t>
      </w:r>
      <w:r w:rsidR="00E66603">
        <w:t xml:space="preserve">, </w:t>
      </w:r>
      <w:r w:rsidR="00472A09">
        <w:t xml:space="preserve">the existence of the company </w:t>
      </w:r>
      <w:r>
        <w:t>and it</w:t>
      </w:r>
      <w:r w:rsidR="00472A09">
        <w:t xml:space="preserve">s powers were irrelevant to the right or </w:t>
      </w:r>
      <w:r>
        <w:t>du</w:t>
      </w:r>
      <w:r w:rsidR="00472A09">
        <w:t xml:space="preserve">ty in question. The proceedings </w:t>
      </w:r>
      <w:r>
        <w:t>involved an action for defamation in which the question of the Court’s jurisdiction arose consequent upon the fact that the broadcast in question had only occurred in New South Wales. Despite that, an allegation which had been made in the statement of claim was that the broadcast had been Australia-wide and his Honour held</w:t>
      </w:r>
      <w:r w:rsidR="0072711C">
        <w:t xml:space="preserve"> </w:t>
      </w:r>
      <w:r w:rsidR="00472A09">
        <w:t xml:space="preserve">this sufficiently </w:t>
      </w:r>
      <w:r w:rsidR="0072711C">
        <w:t xml:space="preserve">attracted </w:t>
      </w:r>
      <w:r>
        <w:t xml:space="preserve">jurisdiction even </w:t>
      </w:r>
      <w:r w:rsidR="00472A09">
        <w:t xml:space="preserve">though not ultimately made out: </w:t>
      </w:r>
      <w:r>
        <w:rPr>
          <w:i/>
          <w:iCs/>
        </w:rPr>
        <w:t>Burgundy Royale Investments Pty Ltd v Westpac Banking Corporation </w:t>
      </w:r>
      <w:r>
        <w:t xml:space="preserve">(1987) 18 FCR </w:t>
      </w:r>
      <w:r>
        <w:lastRenderedPageBreak/>
        <w:t xml:space="preserve">212 at 219; Allsop J, “Federal jurisdiction and the jurisdiction of the Federal Court of Australia in 2002” (2002) 23 </w:t>
      </w:r>
      <w:proofErr w:type="spellStart"/>
      <w:r>
        <w:t>Aust</w:t>
      </w:r>
      <w:proofErr w:type="spellEnd"/>
      <w:r>
        <w:t xml:space="preserve"> Bar Rev 29 at 45. Although Lee J’s catechism on the scope of the Court’s jurisdiction is both erudite and illuminating, the issues before his Honour did not necessi</w:t>
      </w:r>
      <w:r w:rsidR="0072711C">
        <w:t xml:space="preserve">tate the making of </w:t>
      </w:r>
      <w:r>
        <w:t>any determination as to whether jurisdiction was attracted merely by reason of the respondent being a corporation. In any event, I accept Mr Forrest’s submission that the right or duty in question in that case, being the defaming of the appl</w:t>
      </w:r>
      <w:r w:rsidR="00472A09">
        <w:t xml:space="preserve">icant by the respondent and the </w:t>
      </w:r>
      <w:r>
        <w:t>subsequent suffering of damage, did not relevantly owe its existence to the status of the defendant company as a corporation. Whilst it is true that the status of the corporate entity was necessary in order for it to be sued, that was merely part of the context in which the right, duty or liability arose. However, neither the right, duty nor liability “in question in the matter” owed their existence to the company’s status. Th</w:t>
      </w:r>
      <w:r w:rsidR="00472A09">
        <w:t xml:space="preserve">e importance of this discussion </w:t>
      </w:r>
      <w:r>
        <w:t xml:space="preserve">is </w:t>
      </w:r>
      <w:r w:rsidR="00472A09">
        <w:t xml:space="preserve">that it emphasises that attention must </w:t>
      </w:r>
      <w:r>
        <w:t xml:space="preserve">be focused on the relevant “controversy” in question rather than on the characteristics of the parties to it or </w:t>
      </w:r>
      <w:r w:rsidR="00472A09">
        <w:t xml:space="preserve">the matrix of surrounding facts </w:t>
      </w:r>
      <w:r>
        <w:t>i</w:t>
      </w:r>
      <w:r w:rsidR="00472A09">
        <w:t xml:space="preserve">n which it arose. This was made </w:t>
      </w:r>
      <w:r>
        <w:t>explicit in </w:t>
      </w:r>
      <w:r>
        <w:rPr>
          <w:i/>
          <w:iCs/>
        </w:rPr>
        <w:t>CGU Insurance Limited v Blakeley</w:t>
      </w:r>
      <w:r w:rsidR="00472A09">
        <w:t xml:space="preserve">, </w:t>
      </w:r>
      <w:r>
        <w:t>where</w:t>
      </w:r>
      <w:r w:rsidR="00472A09">
        <w:t xml:space="preserve"> </w:t>
      </w:r>
      <w:r>
        <w:t>the majority opined (a</w:t>
      </w:r>
      <w:r w:rsidR="00472A09">
        <w:t xml:space="preserve">t 349 [24]) that, “Jurisdiction </w:t>
      </w:r>
      <w:r>
        <w:t>with respect to a particular subject matter is</w:t>
      </w:r>
      <w:r w:rsidR="00472A09">
        <w:t xml:space="preserve"> authority to adjudicate upon a </w:t>
      </w:r>
      <w:r>
        <w:t xml:space="preserve">class of questions concerning that subject matter”. Where no question arises as to the corporate existence of a defendant, there is no relevant federal subject matter requiring an adjudication. If, however, an issue in the controversy was a purported company’s entitlement to sue by reason of a question concerning </w:t>
      </w:r>
      <w:r w:rsidR="00472A09">
        <w:t xml:space="preserve">its corporate status, different issues </w:t>
      </w:r>
      <w:r>
        <w:t>would arise.</w:t>
      </w:r>
    </w:p>
    <w:p w14:paraId="5D856876" w14:textId="77777777" w:rsidR="003E6DB3" w:rsidRPr="003E6DB3" w:rsidRDefault="003E6DB3" w:rsidP="00917A67">
      <w:pPr>
        <w:pStyle w:val="Quote1"/>
      </w:pPr>
      <w:r>
        <w:t>17</w:t>
      </w:r>
      <w:r w:rsidR="009020DD">
        <w:t>.</w:t>
      </w:r>
      <w:r w:rsidR="009020DD">
        <w:tab/>
      </w:r>
      <w:r>
        <w:t>In this context, it is apt to recall the observations of the High Court in </w:t>
      </w:r>
      <w:r>
        <w:rPr>
          <w:i/>
          <w:iCs/>
        </w:rPr>
        <w:t>Crouch v Commissioner for Railways </w:t>
      </w:r>
      <w:r>
        <w:t>(1985) 159 CLR 22 at 37 that the concept of the expression “matter” as used in the </w:t>
      </w:r>
      <w:r>
        <w:rPr>
          <w:i/>
          <w:iCs/>
        </w:rPr>
        <w:t>Judiciary Act</w:t>
      </w:r>
      <w:r>
        <w:t> and the </w:t>
      </w:r>
      <w:r>
        <w:rPr>
          <w:i/>
          <w:iCs/>
        </w:rPr>
        <w:t>Constitution </w:t>
      </w:r>
      <w:r>
        <w:t>focuses attention on the substance of the dispute between the parties and denotes in wide terms the types of controversies which might come before a Court of Justice. Further, it is used in s 75(iv) of the </w:t>
      </w:r>
      <w:r>
        <w:rPr>
          <w:i/>
          <w:iCs/>
        </w:rPr>
        <w:t>Constitution</w:t>
      </w:r>
      <w:r>
        <w:t> to refer to matters between designated parties and that tends to suggest that it is the dispute rather than the parties’ ch</w:t>
      </w:r>
      <w:r w:rsidR="00917A67">
        <w:t xml:space="preserve">aracteristics which is </w:t>
      </w:r>
      <w:r w:rsidR="00917A67" w:rsidRPr="009020DD">
        <w:t>critical.</w:t>
      </w:r>
    </w:p>
    <w:p w14:paraId="62056A41" w14:textId="77777777" w:rsidR="00C96E84" w:rsidRDefault="003E6DB3" w:rsidP="00F74DEF">
      <w:pPr>
        <w:pStyle w:val="ParaNumbering"/>
        <w:ind w:left="0"/>
        <w:rPr>
          <w:lang w:eastAsia="en-AU"/>
        </w:rPr>
      </w:pPr>
      <w:r>
        <w:rPr>
          <w:lang w:eastAsia="en-AU"/>
        </w:rPr>
        <w:t>His Honour went on to note (at [19]</w:t>
      </w:r>
      <w:r w:rsidR="000E6324">
        <w:rPr>
          <w:lang w:eastAsia="en-AU"/>
        </w:rPr>
        <w:t>)</w:t>
      </w:r>
      <w:r>
        <w:rPr>
          <w:lang w:eastAsia="en-AU"/>
        </w:rPr>
        <w:t xml:space="preserve"> that “the common thread” that emerges from the authorities is “</w:t>
      </w:r>
      <w:r w:rsidRPr="003E6DB3">
        <w:rPr>
          <w:lang w:eastAsia="en-AU"/>
        </w:rPr>
        <w:t>that the rights, duties, or subject matter with which the controversy is concerned have their origin in or owe their existence to a law of the Commonwealth”.</w:t>
      </w:r>
    </w:p>
    <w:p w14:paraId="04CA3554" w14:textId="77777777" w:rsidR="00C96E84" w:rsidRPr="00617945" w:rsidRDefault="00CD2DEC" w:rsidP="00CD2DEC">
      <w:pPr>
        <w:pStyle w:val="Heading2"/>
      </w:pPr>
      <w:bookmarkStart w:id="28" w:name="_Ref82003796"/>
      <w:r>
        <w:t>D.2</w:t>
      </w:r>
      <w:r>
        <w:tab/>
      </w:r>
      <w:r w:rsidR="00C96E84" w:rsidRPr="00C96E84">
        <w:t xml:space="preserve">Returning to </w:t>
      </w:r>
      <w:r w:rsidR="00C96E84" w:rsidRPr="009A0DD4">
        <w:rPr>
          <w:i/>
        </w:rPr>
        <w:t>Oliver</w:t>
      </w:r>
      <w:bookmarkEnd w:id="28"/>
    </w:p>
    <w:p w14:paraId="5A3AA154" w14:textId="77777777" w:rsidR="00E27256" w:rsidRDefault="00472A09" w:rsidP="004D7283">
      <w:pPr>
        <w:pStyle w:val="ParaNumbering"/>
        <w:ind w:left="0"/>
        <w:rPr>
          <w:lang w:eastAsia="en-AU"/>
        </w:rPr>
      </w:pPr>
      <w:r>
        <w:rPr>
          <w:lang w:eastAsia="en-AU"/>
        </w:rPr>
        <w:t>I</w:t>
      </w:r>
      <w:r w:rsidR="00687863">
        <w:rPr>
          <w:lang w:eastAsia="en-AU"/>
        </w:rPr>
        <w:t xml:space="preserve">n </w:t>
      </w:r>
      <w:r>
        <w:rPr>
          <w:lang w:eastAsia="en-AU"/>
        </w:rPr>
        <w:t xml:space="preserve">observing </w:t>
      </w:r>
      <w:r w:rsidR="00687863">
        <w:rPr>
          <w:lang w:eastAsia="en-AU"/>
        </w:rPr>
        <w:t>that</w:t>
      </w:r>
      <w:r w:rsidR="00C31098">
        <w:rPr>
          <w:lang w:eastAsia="en-AU"/>
        </w:rPr>
        <w:t xml:space="preserve"> </w:t>
      </w:r>
      <w:r w:rsidR="005C6E37">
        <w:rPr>
          <w:lang w:eastAsia="en-AU"/>
        </w:rPr>
        <w:t xml:space="preserve">it was “arguable” </w:t>
      </w:r>
      <w:r w:rsidR="0072711C" w:rsidRPr="00E1065D">
        <w:rPr>
          <w:lang w:eastAsia="en-AU"/>
        </w:rPr>
        <w:t>if a respondent is a corporation, the relevant matter arises under a law made by the Parliament within the mea</w:t>
      </w:r>
      <w:r w:rsidR="0072711C">
        <w:rPr>
          <w:lang w:eastAsia="en-AU"/>
        </w:rPr>
        <w:t xml:space="preserve">ning of s 39B(1A)(c) of the </w:t>
      </w:r>
      <w:r w:rsidR="0072711C" w:rsidRPr="00E27256">
        <w:rPr>
          <w:i/>
          <w:lang w:eastAsia="en-AU"/>
        </w:rPr>
        <w:t>Judiciary Act</w:t>
      </w:r>
      <w:r w:rsidR="00A42062">
        <w:rPr>
          <w:lang w:eastAsia="en-AU"/>
        </w:rPr>
        <w:t xml:space="preserve">, </w:t>
      </w:r>
      <w:r>
        <w:rPr>
          <w:lang w:eastAsia="en-AU"/>
        </w:rPr>
        <w:t xml:space="preserve">I chose that word </w:t>
      </w:r>
      <w:r w:rsidR="00361C5B">
        <w:rPr>
          <w:lang w:eastAsia="en-AU"/>
        </w:rPr>
        <w:t xml:space="preserve">advisedly </w:t>
      </w:r>
      <w:r>
        <w:rPr>
          <w:lang w:eastAsia="en-AU"/>
        </w:rPr>
        <w:t>for t</w:t>
      </w:r>
      <w:r w:rsidR="005C6E37">
        <w:rPr>
          <w:lang w:eastAsia="en-AU"/>
        </w:rPr>
        <w:t xml:space="preserve">hree </w:t>
      </w:r>
      <w:r>
        <w:rPr>
          <w:lang w:eastAsia="en-AU"/>
        </w:rPr>
        <w:t>reasons.</w:t>
      </w:r>
      <w:r w:rsidR="00A42062">
        <w:rPr>
          <w:lang w:eastAsia="en-AU"/>
        </w:rPr>
        <w:t xml:space="preserve"> </w:t>
      </w:r>
    </w:p>
    <w:p w14:paraId="6BFD1700" w14:textId="344DC62C" w:rsidR="005C6E37" w:rsidRDefault="004C5DF6" w:rsidP="004D7283">
      <w:pPr>
        <w:pStyle w:val="ParaNumbering"/>
        <w:ind w:left="0"/>
        <w:rPr>
          <w:lang w:eastAsia="en-AU"/>
        </w:rPr>
      </w:pPr>
      <w:r w:rsidRPr="00E27256">
        <w:rPr>
          <w:i/>
          <w:lang w:eastAsia="en-AU"/>
        </w:rPr>
        <w:t>First</w:t>
      </w:r>
      <w:r>
        <w:rPr>
          <w:lang w:eastAsia="en-AU"/>
        </w:rPr>
        <w:t xml:space="preserve">, </w:t>
      </w:r>
      <w:r w:rsidR="005C6E37">
        <w:rPr>
          <w:lang w:eastAsia="en-AU"/>
        </w:rPr>
        <w:t xml:space="preserve">as Griffiths J memorably noted in his opening paragraph in </w:t>
      </w:r>
      <w:r w:rsidR="005C6E37" w:rsidRPr="00E27256">
        <w:rPr>
          <w:i/>
          <w:iCs/>
          <w:szCs w:val="20"/>
          <w:lang w:eastAsia="en-AU"/>
        </w:rPr>
        <w:t xml:space="preserve">Page v Sydney Seaplanes Pty Ltd </w:t>
      </w:r>
      <w:r w:rsidR="005C6E37" w:rsidRPr="00E27256">
        <w:rPr>
          <w:szCs w:val="20"/>
          <w:lang w:eastAsia="en-AU"/>
        </w:rPr>
        <w:t>[2020] FCA 537</w:t>
      </w:r>
      <w:r w:rsidR="005C6E37">
        <w:rPr>
          <w:lang w:eastAsia="en-AU"/>
        </w:rPr>
        <w:t xml:space="preserve">; (2020) </w:t>
      </w:r>
      <w:r w:rsidR="00E27256" w:rsidRPr="00E27256">
        <w:rPr>
          <w:lang w:eastAsia="en-AU"/>
        </w:rPr>
        <w:t>277 FCR 658</w:t>
      </w:r>
      <w:r w:rsidR="00E27256">
        <w:rPr>
          <w:lang w:eastAsia="en-AU"/>
        </w:rPr>
        <w:t xml:space="preserve"> (at 660 [1])</w:t>
      </w:r>
      <w:r w:rsidR="005C6E37">
        <w:rPr>
          <w:lang w:eastAsia="en-AU"/>
        </w:rPr>
        <w:t xml:space="preserve">: </w:t>
      </w:r>
    </w:p>
    <w:p w14:paraId="1D2EBA91" w14:textId="6C3E2E54" w:rsidR="005C6E37" w:rsidRPr="002C1BD9" w:rsidRDefault="005C6E37" w:rsidP="002C1BD9">
      <w:pPr>
        <w:pStyle w:val="Quote1"/>
      </w:pPr>
      <w:r w:rsidRPr="005C6E37">
        <w:t xml:space="preserve">In his foreword to Professor Geoffrey Lindell’s book, Cowen and </w:t>
      </w:r>
      <w:proofErr w:type="spellStart"/>
      <w:r w:rsidRPr="005C6E37">
        <w:t>Zines’s</w:t>
      </w:r>
      <w:proofErr w:type="spellEnd"/>
      <w:r w:rsidRPr="005C6E37">
        <w:t> </w:t>
      </w:r>
      <w:r w:rsidRPr="005C6E37">
        <w:rPr>
          <w:i/>
          <w:iCs/>
        </w:rPr>
        <w:t>Federal Jurisdiction in Australia</w:t>
      </w:r>
      <w:r w:rsidRPr="005C6E37">
        <w:t> (4th Edition, The Federation Press, 2016)</w:t>
      </w:r>
      <w:r w:rsidR="00E27256">
        <w:t>…</w:t>
      </w:r>
      <w:r w:rsidRPr="005C6E37">
        <w:t>, Sir Anthony Mason described how “[t]he very mention of “federal jurisdiction” is enough to strike terror in the hearts and minds of Australian lawyers who do not fully understand arcane mysteries”.</w:t>
      </w:r>
    </w:p>
    <w:p w14:paraId="76323923" w14:textId="38C61C17" w:rsidR="00D3053F" w:rsidRDefault="00D3053F" w:rsidP="00D3053F">
      <w:pPr>
        <w:pStyle w:val="ParaNumbering"/>
        <w:ind w:left="0"/>
        <w:rPr>
          <w:lang w:eastAsia="en-AU"/>
        </w:rPr>
      </w:pPr>
      <w:r>
        <w:rPr>
          <w:lang w:eastAsia="en-AU"/>
        </w:rPr>
        <w:lastRenderedPageBreak/>
        <w:t xml:space="preserve">It is </w:t>
      </w:r>
      <w:r w:rsidR="008651ED">
        <w:rPr>
          <w:lang w:eastAsia="en-AU"/>
        </w:rPr>
        <w:t xml:space="preserve">arcane and </w:t>
      </w:r>
      <w:r>
        <w:rPr>
          <w:lang w:eastAsia="en-AU"/>
        </w:rPr>
        <w:t>complicated</w:t>
      </w:r>
      <w:r w:rsidR="008651ED">
        <w:rPr>
          <w:lang w:eastAsia="en-AU"/>
        </w:rPr>
        <w:t>,</w:t>
      </w:r>
      <w:r>
        <w:rPr>
          <w:lang w:eastAsia="en-AU"/>
        </w:rPr>
        <w:t xml:space="preserve"> </w:t>
      </w:r>
      <w:r w:rsidR="008651ED">
        <w:rPr>
          <w:lang w:eastAsia="en-AU"/>
        </w:rPr>
        <w:t>but</w:t>
      </w:r>
      <w:r>
        <w:rPr>
          <w:lang w:eastAsia="en-AU"/>
        </w:rPr>
        <w:t xml:space="preserve"> history suggests that “the increase in the area of federal </w:t>
      </w:r>
      <w:r w:rsidR="008651ED">
        <w:rPr>
          <w:lang w:eastAsia="en-AU"/>
        </w:rPr>
        <w:t>jurisdiction</w:t>
      </w:r>
      <w:r>
        <w:rPr>
          <w:lang w:eastAsia="en-AU"/>
        </w:rPr>
        <w:t xml:space="preserve"> by judicial decision” is part of a “</w:t>
      </w:r>
      <w:r w:rsidR="008651ED">
        <w:rPr>
          <w:lang w:eastAsia="en-AU"/>
        </w:rPr>
        <w:t>long</w:t>
      </w:r>
      <w:r>
        <w:rPr>
          <w:lang w:eastAsia="en-AU"/>
        </w:rPr>
        <w:t xml:space="preserve"> </w:t>
      </w:r>
      <w:r w:rsidR="008651ED">
        <w:rPr>
          <w:lang w:eastAsia="en-AU"/>
        </w:rPr>
        <w:t>tradition</w:t>
      </w:r>
      <w:r>
        <w:rPr>
          <w:lang w:eastAsia="en-AU"/>
        </w:rPr>
        <w:t xml:space="preserve">” and that </w:t>
      </w:r>
      <w:r w:rsidR="008651ED">
        <w:rPr>
          <w:lang w:eastAsia="en-AU"/>
        </w:rPr>
        <w:t xml:space="preserve">the tendency to favour expansion has continued: see </w:t>
      </w:r>
      <w:r w:rsidR="00E66603">
        <w:rPr>
          <w:lang w:eastAsia="en-AU"/>
        </w:rPr>
        <w:t xml:space="preserve">Zines L, </w:t>
      </w:r>
      <w:r w:rsidR="008651ED" w:rsidRPr="00E66603">
        <w:rPr>
          <w:i/>
          <w:lang w:eastAsia="en-AU"/>
        </w:rPr>
        <w:t xml:space="preserve">Cowen and </w:t>
      </w:r>
      <w:proofErr w:type="spellStart"/>
      <w:r w:rsidR="008651ED" w:rsidRPr="00E66603">
        <w:rPr>
          <w:i/>
          <w:lang w:eastAsia="en-AU"/>
        </w:rPr>
        <w:t>Zines’s</w:t>
      </w:r>
      <w:proofErr w:type="spellEnd"/>
      <w:r w:rsidR="008651ED" w:rsidRPr="007707A0">
        <w:rPr>
          <w:lang w:eastAsia="en-AU"/>
        </w:rPr>
        <w:t> </w:t>
      </w:r>
      <w:r w:rsidR="008651ED" w:rsidRPr="007707A0">
        <w:rPr>
          <w:i/>
          <w:iCs/>
          <w:lang w:eastAsia="en-AU"/>
        </w:rPr>
        <w:t>Federal Jurisdiction in Australia</w:t>
      </w:r>
      <w:r w:rsidR="00E66603">
        <w:rPr>
          <w:i/>
          <w:iCs/>
          <w:lang w:eastAsia="en-AU"/>
        </w:rPr>
        <w:t xml:space="preserve"> </w:t>
      </w:r>
      <w:r w:rsidR="00E66603">
        <w:rPr>
          <w:iCs/>
          <w:lang w:eastAsia="en-AU"/>
        </w:rPr>
        <w:t xml:space="preserve">(4th </w:t>
      </w:r>
      <w:proofErr w:type="spellStart"/>
      <w:r w:rsidR="00E66603">
        <w:rPr>
          <w:iCs/>
          <w:lang w:eastAsia="en-AU"/>
        </w:rPr>
        <w:t>ed</w:t>
      </w:r>
      <w:proofErr w:type="spellEnd"/>
      <w:r w:rsidR="008651ED" w:rsidRPr="007707A0">
        <w:rPr>
          <w:lang w:eastAsia="en-AU"/>
        </w:rPr>
        <w:t>,</w:t>
      </w:r>
      <w:r w:rsidR="00E66603">
        <w:rPr>
          <w:lang w:eastAsia="en-AU"/>
        </w:rPr>
        <w:t xml:space="preserve"> Federation Press, 2016) (at </w:t>
      </w:r>
      <w:r w:rsidR="008651ED" w:rsidRPr="007707A0">
        <w:rPr>
          <w:lang w:eastAsia="en-AU"/>
        </w:rPr>
        <w:t>p 10</w:t>
      </w:r>
      <w:r w:rsidR="008651ED">
        <w:rPr>
          <w:lang w:eastAsia="en-AU"/>
        </w:rPr>
        <w:t>9</w:t>
      </w:r>
      <w:r w:rsidR="00E66603">
        <w:rPr>
          <w:lang w:eastAsia="en-AU"/>
        </w:rPr>
        <w:t>)</w:t>
      </w:r>
      <w:r w:rsidR="008651ED">
        <w:rPr>
          <w:lang w:eastAsia="en-AU"/>
        </w:rPr>
        <w:t>.</w:t>
      </w:r>
      <w:r w:rsidR="001173A2">
        <w:rPr>
          <w:lang w:eastAsia="en-AU"/>
        </w:rPr>
        <w:t xml:space="preserve"> </w:t>
      </w:r>
      <w:r w:rsidR="008651ED">
        <w:rPr>
          <w:lang w:eastAsia="en-AU"/>
        </w:rPr>
        <w:t xml:space="preserve">But whatever uncertainties exist, it is sufficiently </w:t>
      </w:r>
      <w:r>
        <w:rPr>
          <w:lang w:eastAsia="en-AU"/>
        </w:rPr>
        <w:t>clear</w:t>
      </w:r>
      <w:r w:rsidR="008651ED">
        <w:rPr>
          <w:lang w:eastAsia="en-AU"/>
        </w:rPr>
        <w:t xml:space="preserve"> </w:t>
      </w:r>
      <w:r>
        <w:rPr>
          <w:lang w:eastAsia="en-AU"/>
        </w:rPr>
        <w:t xml:space="preserve">that </w:t>
      </w:r>
      <w:r w:rsidRPr="007707A0">
        <w:rPr>
          <w:i/>
          <w:iCs/>
          <w:lang w:eastAsia="en-AU"/>
        </w:rPr>
        <w:t>LNC Industries</w:t>
      </w:r>
      <w:r>
        <w:rPr>
          <w:lang w:eastAsia="en-AU"/>
        </w:rPr>
        <w:t xml:space="preserve"> took the meaning of “matter arising under” a “stage further” and that it is too restrictive </w:t>
      </w:r>
      <w:r w:rsidR="00BA2AA8">
        <w:rPr>
          <w:lang w:eastAsia="en-AU"/>
        </w:rPr>
        <w:t xml:space="preserve">(as seems to be suggested in some discussion in this area) </w:t>
      </w:r>
      <w:r>
        <w:rPr>
          <w:lang w:eastAsia="en-AU"/>
        </w:rPr>
        <w:t xml:space="preserve">to consider that the interpretation or application of an aspect of </w:t>
      </w:r>
      <w:r w:rsidR="00E66603">
        <w:rPr>
          <w:lang w:eastAsia="en-AU"/>
        </w:rPr>
        <w:t>a</w:t>
      </w:r>
      <w:r>
        <w:rPr>
          <w:lang w:eastAsia="en-AU"/>
        </w:rPr>
        <w:t xml:space="preserve"> Commonwealth law </w:t>
      </w:r>
      <w:r w:rsidRPr="007707A0">
        <w:rPr>
          <w:lang w:eastAsia="en-AU"/>
        </w:rPr>
        <w:t>needs to be in dispute</w:t>
      </w:r>
      <w:r w:rsidR="008651ED">
        <w:rPr>
          <w:lang w:eastAsia="en-AU"/>
        </w:rPr>
        <w:t xml:space="preserve"> for federal jurisdiction to exist</w:t>
      </w:r>
      <w:r>
        <w:rPr>
          <w:lang w:eastAsia="en-AU"/>
        </w:rPr>
        <w:t xml:space="preserve">: see </w:t>
      </w:r>
      <w:r w:rsidRPr="00E66603">
        <w:rPr>
          <w:i/>
          <w:lang w:eastAsia="en-AU"/>
        </w:rPr>
        <w:t xml:space="preserve">Cowen and </w:t>
      </w:r>
      <w:proofErr w:type="spellStart"/>
      <w:r w:rsidRPr="00E66603">
        <w:rPr>
          <w:i/>
          <w:lang w:eastAsia="en-AU"/>
        </w:rPr>
        <w:t>Zines’s</w:t>
      </w:r>
      <w:proofErr w:type="spellEnd"/>
      <w:r w:rsidRPr="007707A0">
        <w:rPr>
          <w:lang w:eastAsia="en-AU"/>
        </w:rPr>
        <w:t> </w:t>
      </w:r>
      <w:r w:rsidRPr="007707A0">
        <w:rPr>
          <w:i/>
          <w:iCs/>
          <w:lang w:eastAsia="en-AU"/>
        </w:rPr>
        <w:t>Federal Jurisdiction in Australia</w:t>
      </w:r>
      <w:r w:rsidR="00E66603">
        <w:rPr>
          <w:lang w:eastAsia="en-AU"/>
        </w:rPr>
        <w:t xml:space="preserve"> (at </w:t>
      </w:r>
      <w:r w:rsidRPr="007707A0">
        <w:rPr>
          <w:lang w:eastAsia="en-AU"/>
        </w:rPr>
        <w:t>p 108</w:t>
      </w:r>
      <w:r w:rsidR="00E66603">
        <w:rPr>
          <w:lang w:eastAsia="en-AU"/>
        </w:rPr>
        <w:t>)</w:t>
      </w:r>
      <w:r w:rsidRPr="007707A0">
        <w:rPr>
          <w:lang w:eastAsia="en-AU"/>
        </w:rPr>
        <w:t>.</w:t>
      </w:r>
      <w:r w:rsidR="001173A2">
        <w:rPr>
          <w:lang w:eastAsia="en-AU"/>
        </w:rPr>
        <w:t xml:space="preserve"> </w:t>
      </w:r>
    </w:p>
    <w:p w14:paraId="4D2B0C47" w14:textId="669570BE" w:rsidR="00C26BA0" w:rsidRDefault="005C6E37" w:rsidP="008651ED">
      <w:pPr>
        <w:pStyle w:val="ParaNumbering"/>
        <w:ind w:left="0"/>
        <w:rPr>
          <w:lang w:eastAsia="en-AU"/>
        </w:rPr>
      </w:pPr>
      <w:r w:rsidRPr="008651ED">
        <w:rPr>
          <w:i/>
          <w:lang w:eastAsia="en-AU"/>
        </w:rPr>
        <w:t xml:space="preserve">Secondly, </w:t>
      </w:r>
      <w:r w:rsidR="00687863">
        <w:rPr>
          <w:lang w:eastAsia="en-AU"/>
        </w:rPr>
        <w:t xml:space="preserve">I was conscious </w:t>
      </w:r>
      <w:r w:rsidR="00541FEE">
        <w:rPr>
          <w:lang w:eastAsia="en-AU"/>
        </w:rPr>
        <w:t xml:space="preserve">of the use of the disjunctive in the critical </w:t>
      </w:r>
      <w:r w:rsidR="003E2175">
        <w:rPr>
          <w:lang w:eastAsia="en-AU"/>
        </w:rPr>
        <w:t>and “general” statement made by Latham CJ quoted</w:t>
      </w:r>
      <w:r w:rsidR="00541FEE">
        <w:rPr>
          <w:lang w:eastAsia="en-AU"/>
        </w:rPr>
        <w:t xml:space="preserve"> in </w:t>
      </w:r>
      <w:r w:rsidR="00541FEE" w:rsidRPr="008651ED">
        <w:rPr>
          <w:i/>
          <w:lang w:eastAsia="en-AU"/>
        </w:rPr>
        <w:t>LNC industries</w:t>
      </w:r>
      <w:r w:rsidR="00541FEE">
        <w:rPr>
          <w:lang w:eastAsia="en-AU"/>
        </w:rPr>
        <w:t xml:space="preserve"> </w:t>
      </w:r>
      <w:r w:rsidR="00341E8F">
        <w:rPr>
          <w:lang w:eastAsia="en-AU"/>
        </w:rPr>
        <w:t>(see the extract a</w:t>
      </w:r>
      <w:r w:rsidR="00341E8F" w:rsidRPr="00E66603">
        <w:rPr>
          <w:lang w:eastAsia="en-AU"/>
        </w:rPr>
        <w:t xml:space="preserve">t </w:t>
      </w:r>
      <w:r w:rsidR="00A94D40" w:rsidRPr="00E66603">
        <w:rPr>
          <w:lang w:eastAsia="en-AU"/>
        </w:rPr>
        <w:t>[29</w:t>
      </w:r>
      <w:r w:rsidR="00B66F8C" w:rsidRPr="00E66603">
        <w:rPr>
          <w:lang w:eastAsia="en-AU"/>
        </w:rPr>
        <w:t>]</w:t>
      </w:r>
      <w:r w:rsidR="00B66F8C">
        <w:rPr>
          <w:lang w:eastAsia="en-AU"/>
        </w:rPr>
        <w:t xml:space="preserve"> above) by which, it seems to me, the High Court was saying </w:t>
      </w:r>
      <w:r w:rsidR="00541FEE" w:rsidRPr="00B66F8C">
        <w:rPr>
          <w:lang w:eastAsia="en-AU"/>
        </w:rPr>
        <w:t>a matter arise</w:t>
      </w:r>
      <w:r w:rsidR="00B66F8C" w:rsidRPr="00B66F8C">
        <w:rPr>
          <w:lang w:eastAsia="en-AU"/>
        </w:rPr>
        <w:t>s</w:t>
      </w:r>
      <w:r w:rsidR="00541FEE" w:rsidRPr="00B66F8C">
        <w:rPr>
          <w:lang w:eastAsia="en-AU"/>
        </w:rPr>
        <w:t xml:space="preserve"> under a federal law if the right or duty in question in the matter</w:t>
      </w:r>
      <w:r w:rsidR="00B66F8C">
        <w:rPr>
          <w:lang w:eastAsia="en-AU"/>
        </w:rPr>
        <w:t>: (a)</w:t>
      </w:r>
      <w:r w:rsidR="00541FEE" w:rsidRPr="00B66F8C">
        <w:rPr>
          <w:lang w:eastAsia="en-AU"/>
        </w:rPr>
        <w:t xml:space="preserve"> owes its existence to federal law</w:t>
      </w:r>
      <w:r w:rsidR="00B66F8C" w:rsidRPr="00B66F8C">
        <w:rPr>
          <w:lang w:eastAsia="en-AU"/>
        </w:rPr>
        <w:t>;</w:t>
      </w:r>
      <w:r w:rsidR="00541FEE" w:rsidRPr="00B66F8C">
        <w:rPr>
          <w:lang w:eastAsia="en-AU"/>
        </w:rPr>
        <w:t xml:space="preserve"> </w:t>
      </w:r>
      <w:r w:rsidR="00541FEE" w:rsidRPr="008651ED">
        <w:rPr>
          <w:i/>
          <w:lang w:eastAsia="en-AU"/>
        </w:rPr>
        <w:t>or</w:t>
      </w:r>
      <w:r w:rsidR="00541FEE" w:rsidRPr="00B66F8C">
        <w:rPr>
          <w:lang w:eastAsia="en-AU"/>
        </w:rPr>
        <w:t xml:space="preserve"> </w:t>
      </w:r>
      <w:r w:rsidR="00B66F8C" w:rsidRPr="00B66F8C">
        <w:rPr>
          <w:lang w:eastAsia="en-AU"/>
        </w:rPr>
        <w:t xml:space="preserve">(b) </w:t>
      </w:r>
      <w:r w:rsidR="00541FEE" w:rsidRPr="00B66F8C">
        <w:rPr>
          <w:lang w:eastAsia="en-AU"/>
        </w:rPr>
        <w:t>depends upon federal law for its enforcement</w:t>
      </w:r>
      <w:r w:rsidR="00B66F8C" w:rsidRPr="00B66F8C">
        <w:rPr>
          <w:lang w:eastAsia="en-AU"/>
        </w:rPr>
        <w:t>.</w:t>
      </w:r>
      <w:r w:rsidR="00C92F1A">
        <w:rPr>
          <w:lang w:eastAsia="en-AU"/>
        </w:rPr>
        <w:t xml:space="preserve"> </w:t>
      </w:r>
      <w:r w:rsidR="00B66F8C">
        <w:rPr>
          <w:lang w:eastAsia="en-AU"/>
        </w:rPr>
        <w:t>I was also aware that i</w:t>
      </w:r>
      <w:r w:rsidR="00687863">
        <w:rPr>
          <w:lang w:eastAsia="en-AU"/>
        </w:rPr>
        <w:t xml:space="preserve">n </w:t>
      </w:r>
      <w:proofErr w:type="spellStart"/>
      <w:r w:rsidR="00687863" w:rsidRPr="008651ED">
        <w:rPr>
          <w:i/>
          <w:lang w:eastAsia="en-AU"/>
        </w:rPr>
        <w:t>Buckee</w:t>
      </w:r>
      <w:proofErr w:type="spellEnd"/>
      <w:r w:rsidR="00687863">
        <w:rPr>
          <w:lang w:eastAsia="en-AU"/>
        </w:rPr>
        <w:t xml:space="preserve"> a distinction had been drawn between the </w:t>
      </w:r>
      <w:r w:rsidR="004C5DF6">
        <w:rPr>
          <w:lang w:eastAsia="en-AU"/>
        </w:rPr>
        <w:t xml:space="preserve">relevant </w:t>
      </w:r>
      <w:r w:rsidR="00687863">
        <w:rPr>
          <w:lang w:eastAsia="en-AU"/>
        </w:rPr>
        <w:t>federal statutory provision creating the right by which an entity could be sued (in that case, to create a species of litigation not otherwise available)</w:t>
      </w:r>
      <w:r w:rsidR="004C5DF6">
        <w:rPr>
          <w:lang w:eastAsia="en-AU"/>
        </w:rPr>
        <w:t xml:space="preserve">, </w:t>
      </w:r>
      <w:r w:rsidR="00BA0C0F">
        <w:rPr>
          <w:lang w:eastAsia="en-AU"/>
        </w:rPr>
        <w:t>and</w:t>
      </w:r>
      <w:r w:rsidR="004C5DF6">
        <w:rPr>
          <w:lang w:eastAsia="en-AU"/>
        </w:rPr>
        <w:t xml:space="preserve"> the invocation of federal jurisdiction to quell the underlying controversy which is the subject matter of the dispute. </w:t>
      </w:r>
      <w:r w:rsidR="003E6DB3">
        <w:rPr>
          <w:lang w:eastAsia="en-AU"/>
        </w:rPr>
        <w:t>A</w:t>
      </w:r>
      <w:r w:rsidR="007270EF">
        <w:rPr>
          <w:lang w:eastAsia="en-AU"/>
        </w:rPr>
        <w:t xml:space="preserve">s noted above, a </w:t>
      </w:r>
      <w:r w:rsidR="008651ED">
        <w:rPr>
          <w:lang w:eastAsia="en-AU"/>
        </w:rPr>
        <w:t>somewhat</w:t>
      </w:r>
      <w:r w:rsidR="003E6DB3">
        <w:rPr>
          <w:lang w:eastAsia="en-AU"/>
        </w:rPr>
        <w:t xml:space="preserve"> </w:t>
      </w:r>
      <w:r w:rsidR="007270EF">
        <w:rPr>
          <w:lang w:eastAsia="en-AU"/>
        </w:rPr>
        <w:t>similar</w:t>
      </w:r>
      <w:r w:rsidR="003E6DB3">
        <w:rPr>
          <w:lang w:eastAsia="en-AU"/>
        </w:rPr>
        <w:t xml:space="preserve"> distinction was made </w:t>
      </w:r>
      <w:r w:rsidR="004C5DF6">
        <w:rPr>
          <w:lang w:eastAsia="en-AU"/>
        </w:rPr>
        <w:t xml:space="preserve">by Anastassiou J in </w:t>
      </w:r>
      <w:r w:rsidR="004C5DF6" w:rsidRPr="008651ED">
        <w:rPr>
          <w:i/>
        </w:rPr>
        <w:t>Seven Network</w:t>
      </w:r>
      <w:r w:rsidR="004C5DF6">
        <w:t xml:space="preserve"> </w:t>
      </w:r>
      <w:r w:rsidR="003E6DB3">
        <w:t>and Derrington</w:t>
      </w:r>
      <w:r w:rsidR="00472A09">
        <w:t> </w:t>
      </w:r>
      <w:r w:rsidR="003E6DB3">
        <w:t>J</w:t>
      </w:r>
      <w:r w:rsidR="007270EF">
        <w:t xml:space="preserve"> in</w:t>
      </w:r>
      <w:r w:rsidR="003E6DB3">
        <w:t xml:space="preserve"> </w:t>
      </w:r>
      <w:r w:rsidR="007270EF" w:rsidRPr="008651ED">
        <w:rPr>
          <w:i/>
        </w:rPr>
        <w:t>DJ Builders</w:t>
      </w:r>
      <w:r w:rsidR="004C5DF6">
        <w:t>.</w:t>
      </w:r>
      <w:r w:rsidR="00C92F1A">
        <w:rPr>
          <w:lang w:eastAsia="en-AU"/>
        </w:rPr>
        <w:t xml:space="preserve"> </w:t>
      </w:r>
    </w:p>
    <w:p w14:paraId="3D790C52" w14:textId="76C7ACB3" w:rsidR="00361C5B" w:rsidRPr="00393612" w:rsidRDefault="00026A4C" w:rsidP="00361C5B">
      <w:pPr>
        <w:pStyle w:val="ParaNumbering"/>
        <w:ind w:left="0"/>
        <w:rPr>
          <w:lang w:eastAsia="en-AU"/>
        </w:rPr>
      </w:pPr>
      <w:r>
        <w:rPr>
          <w:lang w:eastAsia="en-AU"/>
        </w:rPr>
        <w:t>For my part, if a</w:t>
      </w:r>
      <w:r w:rsidR="009020DD">
        <w:rPr>
          <w:lang w:eastAsia="en-AU"/>
        </w:rPr>
        <w:t xml:space="preserve">n asserted right or claim </w:t>
      </w:r>
      <w:r w:rsidR="003E2175">
        <w:rPr>
          <w:lang w:eastAsia="en-AU"/>
        </w:rPr>
        <w:t>“</w:t>
      </w:r>
      <w:r w:rsidRPr="004C5DF6">
        <w:rPr>
          <w:lang w:eastAsia="en-AU"/>
        </w:rPr>
        <w:t>depends upon fe</w:t>
      </w:r>
      <w:r w:rsidR="009020DD">
        <w:rPr>
          <w:lang w:eastAsia="en-AU"/>
        </w:rPr>
        <w:t xml:space="preserve">deral law for its enforcement” – </w:t>
      </w:r>
      <w:r w:rsidRPr="004C5DF6">
        <w:rPr>
          <w:lang w:eastAsia="en-AU"/>
        </w:rPr>
        <w:t>that is</w:t>
      </w:r>
      <w:r>
        <w:rPr>
          <w:lang w:eastAsia="en-AU"/>
        </w:rPr>
        <w:t xml:space="preserve">, the law of the Parliament itself </w:t>
      </w:r>
      <w:r w:rsidRPr="004C5DF6">
        <w:rPr>
          <w:lang w:eastAsia="en-AU"/>
        </w:rPr>
        <w:t>create</w:t>
      </w:r>
      <w:r>
        <w:rPr>
          <w:lang w:eastAsia="en-AU"/>
        </w:rPr>
        <w:t>s</w:t>
      </w:r>
      <w:r w:rsidRPr="004C5DF6">
        <w:rPr>
          <w:lang w:eastAsia="en-AU"/>
        </w:rPr>
        <w:t xml:space="preserve"> the </w:t>
      </w:r>
      <w:r w:rsidRPr="00393612">
        <w:rPr>
          <w:i/>
          <w:lang w:eastAsia="en-AU"/>
        </w:rPr>
        <w:t>very right</w:t>
      </w:r>
      <w:r w:rsidRPr="004C5DF6">
        <w:rPr>
          <w:lang w:eastAsia="en-AU"/>
        </w:rPr>
        <w:t xml:space="preserve"> </w:t>
      </w:r>
      <w:r>
        <w:rPr>
          <w:lang w:eastAsia="en-AU"/>
        </w:rPr>
        <w:t xml:space="preserve">of the applicant </w:t>
      </w:r>
      <w:r w:rsidRPr="004C5DF6">
        <w:rPr>
          <w:lang w:eastAsia="en-AU"/>
        </w:rPr>
        <w:t xml:space="preserve">to sue to vindicate </w:t>
      </w:r>
      <w:r w:rsidR="00B66F8C">
        <w:rPr>
          <w:lang w:eastAsia="en-AU"/>
        </w:rPr>
        <w:t xml:space="preserve">or enforce </w:t>
      </w:r>
      <w:r w:rsidRPr="004C5DF6">
        <w:rPr>
          <w:lang w:eastAsia="en-AU"/>
        </w:rPr>
        <w:t xml:space="preserve">the </w:t>
      </w:r>
      <w:r>
        <w:rPr>
          <w:lang w:eastAsia="en-AU"/>
        </w:rPr>
        <w:t xml:space="preserve">asserted </w:t>
      </w:r>
      <w:r w:rsidR="009020DD">
        <w:rPr>
          <w:lang w:eastAsia="en-AU"/>
        </w:rPr>
        <w:t>right –</w:t>
      </w:r>
      <w:r>
        <w:rPr>
          <w:lang w:eastAsia="en-AU"/>
        </w:rPr>
        <w:t xml:space="preserve"> the distinction relied upon in </w:t>
      </w:r>
      <w:proofErr w:type="spellStart"/>
      <w:r w:rsidRPr="00026A4C">
        <w:rPr>
          <w:i/>
          <w:lang w:eastAsia="en-AU"/>
        </w:rPr>
        <w:t>Buckee</w:t>
      </w:r>
      <w:proofErr w:type="spellEnd"/>
      <w:r>
        <w:rPr>
          <w:lang w:eastAsia="en-AU"/>
        </w:rPr>
        <w:t xml:space="preserve"> is one that might be thought</w:t>
      </w:r>
      <w:r w:rsidR="0072711C">
        <w:rPr>
          <w:lang w:eastAsia="en-AU"/>
        </w:rPr>
        <w:t xml:space="preserve"> to be</w:t>
      </w:r>
      <w:r>
        <w:rPr>
          <w:lang w:eastAsia="en-AU"/>
        </w:rPr>
        <w:t xml:space="preserve"> </w:t>
      </w:r>
      <w:r w:rsidR="008651ED">
        <w:rPr>
          <w:lang w:eastAsia="en-AU"/>
        </w:rPr>
        <w:t>at least open to some question</w:t>
      </w:r>
      <w:r>
        <w:rPr>
          <w:lang w:eastAsia="en-AU"/>
        </w:rPr>
        <w:t>.</w:t>
      </w:r>
      <w:r w:rsidR="00C92F1A">
        <w:rPr>
          <w:lang w:eastAsia="en-AU"/>
        </w:rPr>
        <w:t xml:space="preserve"> </w:t>
      </w:r>
      <w:r w:rsidR="007270EF">
        <w:rPr>
          <w:lang w:eastAsia="en-AU"/>
        </w:rPr>
        <w:t>W</w:t>
      </w:r>
      <w:r w:rsidR="00A93B4C">
        <w:rPr>
          <w:lang w:eastAsia="en-AU"/>
        </w:rPr>
        <w:t xml:space="preserve">ithout the relevant law of the Parliament (s 64 of the </w:t>
      </w:r>
      <w:r w:rsidR="00A93B4C" w:rsidRPr="005D5192">
        <w:rPr>
          <w:i/>
          <w:lang w:eastAsia="en-AU"/>
        </w:rPr>
        <w:t>Judiciary Act</w:t>
      </w:r>
      <w:r w:rsidR="00A93B4C">
        <w:rPr>
          <w:lang w:eastAsia="en-AU"/>
        </w:rPr>
        <w:t>)</w:t>
      </w:r>
      <w:r w:rsidR="00472A09">
        <w:rPr>
          <w:lang w:eastAsia="en-AU"/>
        </w:rPr>
        <w:t>,</w:t>
      </w:r>
      <w:r w:rsidR="00A93B4C">
        <w:rPr>
          <w:lang w:eastAsia="en-AU"/>
        </w:rPr>
        <w:t xml:space="preserve"> the </w:t>
      </w:r>
      <w:r w:rsidR="005D5192">
        <w:rPr>
          <w:lang w:eastAsia="en-AU"/>
        </w:rPr>
        <w:t xml:space="preserve">contested contractual and common law rights in controversy between the claimants </w:t>
      </w:r>
      <w:r w:rsidR="00BA0C0F">
        <w:rPr>
          <w:lang w:eastAsia="en-AU"/>
        </w:rPr>
        <w:t>and</w:t>
      </w:r>
      <w:r w:rsidR="00A93B4C">
        <w:rPr>
          <w:lang w:eastAsia="en-AU"/>
        </w:rPr>
        <w:t xml:space="preserve"> the Commonwealth could not be enforced by way </w:t>
      </w:r>
      <w:r w:rsidR="00AD43A7">
        <w:rPr>
          <w:lang w:eastAsia="en-AU"/>
        </w:rPr>
        <w:t xml:space="preserve">of </w:t>
      </w:r>
      <w:r w:rsidR="005D5192">
        <w:rPr>
          <w:lang w:eastAsia="en-AU"/>
        </w:rPr>
        <w:t xml:space="preserve">right in </w:t>
      </w:r>
      <w:r w:rsidR="00A93B4C" w:rsidRPr="004D7283">
        <w:rPr>
          <w:lang w:eastAsia="en-AU"/>
        </w:rPr>
        <w:t>litigation.</w:t>
      </w:r>
      <w:r w:rsidR="00361C5B" w:rsidRPr="004D7283">
        <w:rPr>
          <w:lang w:eastAsia="en-AU"/>
        </w:rPr>
        <w:t xml:space="preserve"> </w:t>
      </w:r>
      <w:r w:rsidR="00393612" w:rsidRPr="004D7283">
        <w:rPr>
          <w:lang w:eastAsia="en-AU"/>
        </w:rPr>
        <w:t>Even though there was no controversy over the status of the Commonwealth or its ability to be sued because of the existence of the statute, a</w:t>
      </w:r>
      <w:r w:rsidR="00361C5B" w:rsidRPr="004D7283">
        <w:rPr>
          <w:lang w:eastAsia="en-AU"/>
        </w:rPr>
        <w:t xml:space="preserve">s in </w:t>
      </w:r>
      <w:r w:rsidR="00361C5B" w:rsidRPr="004D7283">
        <w:rPr>
          <w:i/>
          <w:lang w:eastAsia="en-AU"/>
        </w:rPr>
        <w:t>TCL Air Conditioner</w:t>
      </w:r>
      <w:r w:rsidR="00393612" w:rsidRPr="004D7283">
        <w:rPr>
          <w:lang w:eastAsia="en-AU"/>
        </w:rPr>
        <w:t>,</w:t>
      </w:r>
      <w:r w:rsidR="00361C5B" w:rsidRPr="004D7283">
        <w:rPr>
          <w:i/>
          <w:lang w:eastAsia="en-AU"/>
        </w:rPr>
        <w:t xml:space="preserve"> </w:t>
      </w:r>
      <w:r w:rsidR="00361C5B" w:rsidRPr="004D7283">
        <w:rPr>
          <w:lang w:eastAsia="en-AU"/>
        </w:rPr>
        <w:t xml:space="preserve">it was </w:t>
      </w:r>
      <w:r w:rsidR="00393612" w:rsidRPr="004D7283">
        <w:rPr>
          <w:lang w:eastAsia="en-AU"/>
        </w:rPr>
        <w:t xml:space="preserve">uncontroversial that it was </w:t>
      </w:r>
      <w:r w:rsidR="00361C5B" w:rsidRPr="004D7283">
        <w:rPr>
          <w:lang w:eastAsia="en-AU"/>
        </w:rPr>
        <w:t>a law of the Parliament</w:t>
      </w:r>
      <w:r w:rsidR="00361C5B" w:rsidRPr="004D7283">
        <w:rPr>
          <w:i/>
          <w:lang w:eastAsia="en-AU"/>
        </w:rPr>
        <w:t xml:space="preserve"> </w:t>
      </w:r>
      <w:r w:rsidR="00361C5B" w:rsidRPr="004D7283">
        <w:rPr>
          <w:lang w:val="en"/>
        </w:rPr>
        <w:t xml:space="preserve">that allowed the </w:t>
      </w:r>
      <w:r w:rsidR="00361C5B" w:rsidRPr="004D7283">
        <w:t xml:space="preserve">rights in issue </w:t>
      </w:r>
      <w:r w:rsidR="00393612" w:rsidRPr="004D7283">
        <w:t>to be enforced.</w:t>
      </w:r>
      <w:r w:rsidR="001173A2" w:rsidRPr="004D7283">
        <w:t xml:space="preserve"> </w:t>
      </w:r>
      <w:r w:rsidR="00393612" w:rsidRPr="004D7283">
        <w:t>Similarly, i</w:t>
      </w:r>
      <w:r w:rsidR="00361C5B" w:rsidRPr="004D7283">
        <w:t xml:space="preserve">n </w:t>
      </w:r>
      <w:r w:rsidR="00361C5B" w:rsidRPr="004D7283">
        <w:rPr>
          <w:i/>
          <w:lang w:eastAsia="en-AU"/>
        </w:rPr>
        <w:t>PT Bayan Resources</w:t>
      </w:r>
      <w:r w:rsidR="00393612" w:rsidRPr="004D7283">
        <w:rPr>
          <w:lang w:eastAsia="en-AU"/>
        </w:rPr>
        <w:t>,</w:t>
      </w:r>
      <w:r w:rsidR="00361C5B" w:rsidRPr="004D7283">
        <w:rPr>
          <w:i/>
          <w:lang w:eastAsia="en-AU"/>
        </w:rPr>
        <w:t xml:space="preserve"> </w:t>
      </w:r>
      <w:r w:rsidR="00361C5B" w:rsidRPr="00393612">
        <w:rPr>
          <w:lang w:eastAsia="en-AU"/>
        </w:rPr>
        <w:t xml:space="preserve">the </w:t>
      </w:r>
      <w:r w:rsidR="00393612" w:rsidRPr="00393612">
        <w:rPr>
          <w:lang w:eastAsia="en-AU"/>
        </w:rPr>
        <w:t xml:space="preserve">“present existence” of a law of the Parliament </w:t>
      </w:r>
      <w:r w:rsidR="00393612">
        <w:rPr>
          <w:lang w:eastAsia="en-AU"/>
        </w:rPr>
        <w:t>(</w:t>
      </w:r>
      <w:r w:rsidR="00393612" w:rsidRPr="00393612">
        <w:rPr>
          <w:lang w:eastAsia="en-AU"/>
        </w:rPr>
        <w:t xml:space="preserve">allowing a </w:t>
      </w:r>
      <w:r w:rsidR="00361C5B" w:rsidRPr="00393612">
        <w:rPr>
          <w:lang w:eastAsia="en-AU"/>
        </w:rPr>
        <w:t>prospective enforcement process</w:t>
      </w:r>
      <w:r w:rsidR="00393612">
        <w:rPr>
          <w:lang w:eastAsia="en-AU"/>
        </w:rPr>
        <w:t>)</w:t>
      </w:r>
      <w:r w:rsidR="00ED7F47">
        <w:rPr>
          <w:lang w:eastAsia="en-AU"/>
        </w:rPr>
        <w:t xml:space="preserve"> and its potential applicability was uncontroversial</w:t>
      </w:r>
      <w:r w:rsidR="00361C5B" w:rsidRPr="00393612">
        <w:rPr>
          <w:lang w:eastAsia="en-AU"/>
        </w:rPr>
        <w:t>.</w:t>
      </w:r>
    </w:p>
    <w:p w14:paraId="43C9B7AB" w14:textId="5D5D64ED" w:rsidR="00D222E0" w:rsidRDefault="003E2175" w:rsidP="00393612">
      <w:pPr>
        <w:pStyle w:val="ParaNumbering"/>
        <w:ind w:left="0"/>
        <w:rPr>
          <w:lang w:eastAsia="en-AU"/>
        </w:rPr>
      </w:pPr>
      <w:r>
        <w:rPr>
          <w:lang w:eastAsia="en-AU"/>
        </w:rPr>
        <w:t>Of course, whenever one talks about the jurisdiction of this Court, the</w:t>
      </w:r>
      <w:r w:rsidR="005D5192">
        <w:rPr>
          <w:lang w:eastAsia="en-AU"/>
        </w:rPr>
        <w:t xml:space="preserve"> significance of the enactment in 1997 of </w:t>
      </w:r>
      <w:r w:rsidR="005D5192" w:rsidRPr="00EC32F0">
        <w:rPr>
          <w:lang w:eastAsia="en-AU"/>
        </w:rPr>
        <w:t>s 39B(1A)(c) of the </w:t>
      </w:r>
      <w:r w:rsidR="005D5192" w:rsidRPr="00393612">
        <w:rPr>
          <w:i/>
          <w:lang w:eastAsia="en-AU"/>
        </w:rPr>
        <w:t>Judiciary Act </w:t>
      </w:r>
      <w:r>
        <w:rPr>
          <w:lang w:eastAsia="en-AU"/>
        </w:rPr>
        <w:t xml:space="preserve"> </w:t>
      </w:r>
      <w:r w:rsidR="005D5192">
        <w:rPr>
          <w:lang w:eastAsia="en-AU"/>
        </w:rPr>
        <w:t>cannot be ove</w:t>
      </w:r>
      <w:r w:rsidR="00E76AE0">
        <w:rPr>
          <w:lang w:eastAsia="en-AU"/>
        </w:rPr>
        <w:t>rstated.</w:t>
      </w:r>
      <w:r w:rsidR="00C92F1A">
        <w:rPr>
          <w:lang w:eastAsia="en-AU"/>
        </w:rPr>
        <w:t xml:space="preserve"> </w:t>
      </w:r>
      <w:r w:rsidR="00D222E0">
        <w:rPr>
          <w:lang w:eastAsia="en-AU"/>
        </w:rPr>
        <w:t xml:space="preserve">Although </w:t>
      </w:r>
      <w:r w:rsidR="008651ED">
        <w:rPr>
          <w:lang w:eastAsia="en-AU"/>
        </w:rPr>
        <w:t>extracted above</w:t>
      </w:r>
      <w:r w:rsidR="00D222E0">
        <w:rPr>
          <w:lang w:eastAsia="en-AU"/>
        </w:rPr>
        <w:t>, it is worth setting out</w:t>
      </w:r>
      <w:r w:rsidR="008651ED">
        <w:rPr>
          <w:lang w:eastAsia="en-AU"/>
        </w:rPr>
        <w:t xml:space="preserve"> again</w:t>
      </w:r>
      <w:r w:rsidR="00D222E0">
        <w:rPr>
          <w:lang w:eastAsia="en-AU"/>
        </w:rPr>
        <w:t xml:space="preserve">: </w:t>
      </w:r>
    </w:p>
    <w:p w14:paraId="23804647" w14:textId="7103AA51" w:rsidR="003F0822" w:rsidRPr="003F0822" w:rsidRDefault="003F0822" w:rsidP="003F0822">
      <w:pPr>
        <w:pStyle w:val="Quote1"/>
        <w:rPr>
          <w:b/>
          <w:bdr w:val="none" w:sz="0" w:space="0" w:color="auto" w:frame="1"/>
          <w:lang w:eastAsia="en-AU"/>
        </w:rPr>
      </w:pPr>
      <w:bookmarkStart w:id="29" w:name="_Toc523999471"/>
      <w:r w:rsidRPr="003F0822">
        <w:rPr>
          <w:b/>
          <w:bdr w:val="none" w:sz="0" w:space="0" w:color="auto" w:frame="1"/>
          <w:lang w:eastAsia="en-AU"/>
        </w:rPr>
        <w:lastRenderedPageBreak/>
        <w:t>39B</w:t>
      </w:r>
      <w:r w:rsidR="00C92F1A">
        <w:rPr>
          <w:b/>
          <w:bdr w:val="none" w:sz="0" w:space="0" w:color="auto" w:frame="1"/>
          <w:lang w:eastAsia="en-AU"/>
        </w:rPr>
        <w:t xml:space="preserve"> </w:t>
      </w:r>
      <w:r w:rsidRPr="003F0822">
        <w:rPr>
          <w:b/>
          <w:bdr w:val="none" w:sz="0" w:space="0" w:color="auto" w:frame="1"/>
          <w:lang w:eastAsia="en-AU"/>
        </w:rPr>
        <w:t>Original jurisdiction of Federal Court of </w:t>
      </w:r>
      <w:bookmarkEnd w:id="29"/>
      <w:r w:rsidRPr="003F0822">
        <w:rPr>
          <w:b/>
          <w:bdr w:val="none" w:sz="0" w:space="0" w:color="auto" w:frame="1"/>
          <w:lang w:eastAsia="en-AU"/>
        </w:rPr>
        <w:t>Australia</w:t>
      </w:r>
    </w:p>
    <w:p w14:paraId="14DC3650" w14:textId="5DD51CCE" w:rsidR="003F0822" w:rsidRDefault="003F0822" w:rsidP="003F0822">
      <w:pPr>
        <w:pStyle w:val="Quote2"/>
        <w:rPr>
          <w:bdr w:val="none" w:sz="0" w:space="0" w:color="auto" w:frame="1"/>
          <w:lang w:eastAsia="en-AU"/>
        </w:rPr>
      </w:pPr>
      <w:r>
        <w:rPr>
          <w:bdr w:val="none" w:sz="0" w:space="0" w:color="auto" w:frame="1"/>
          <w:lang w:eastAsia="en-AU"/>
        </w:rPr>
        <w:t>…</w:t>
      </w:r>
    </w:p>
    <w:p w14:paraId="2C97EE98" w14:textId="5B33DDDF" w:rsidR="00D222E0" w:rsidRPr="00D222E0" w:rsidRDefault="003F0822" w:rsidP="003F0822">
      <w:pPr>
        <w:pStyle w:val="Quote2"/>
        <w:ind w:left="2160" w:hanging="720"/>
        <w:rPr>
          <w:lang w:eastAsia="en-AU"/>
        </w:rPr>
      </w:pPr>
      <w:r>
        <w:rPr>
          <w:bdr w:val="none" w:sz="0" w:space="0" w:color="auto" w:frame="1"/>
          <w:lang w:eastAsia="en-AU"/>
        </w:rPr>
        <w:t>(1A)</w:t>
      </w:r>
      <w:r>
        <w:rPr>
          <w:bdr w:val="none" w:sz="0" w:space="0" w:color="auto" w:frame="1"/>
          <w:lang w:eastAsia="en-AU"/>
        </w:rPr>
        <w:tab/>
      </w:r>
      <w:r w:rsidR="00D222E0" w:rsidRPr="00D222E0">
        <w:rPr>
          <w:bdr w:val="none" w:sz="0" w:space="0" w:color="auto" w:frame="1"/>
          <w:lang w:eastAsia="en-AU"/>
        </w:rPr>
        <w:t>The original jurisdiction of the Federal Court of Australia also includes jurisdiction </w:t>
      </w:r>
      <w:r w:rsidR="00D222E0" w:rsidRPr="00D222E0">
        <w:rPr>
          <w:b/>
          <w:bCs/>
          <w:bdr w:val="none" w:sz="0" w:space="0" w:color="auto" w:frame="1"/>
          <w:lang w:eastAsia="en-AU"/>
        </w:rPr>
        <w:t>in any matter</w:t>
      </w:r>
      <w:r w:rsidR="00D222E0" w:rsidRPr="00D222E0">
        <w:rPr>
          <w:bdr w:val="none" w:sz="0" w:space="0" w:color="auto" w:frame="1"/>
          <w:lang w:eastAsia="en-AU"/>
        </w:rPr>
        <w:t>:</w:t>
      </w:r>
      <w:r w:rsidR="00D222E0" w:rsidRPr="00D222E0">
        <w:rPr>
          <w:lang w:eastAsia="en-AU"/>
        </w:rPr>
        <w:t> </w:t>
      </w:r>
    </w:p>
    <w:p w14:paraId="5BA8FE08" w14:textId="77777777" w:rsidR="00D222E0" w:rsidRPr="00D222E0" w:rsidRDefault="00D222E0" w:rsidP="003F0822">
      <w:pPr>
        <w:pStyle w:val="Quote2"/>
        <w:ind w:firstLine="720"/>
        <w:rPr>
          <w:lang w:eastAsia="en-AU"/>
        </w:rPr>
      </w:pPr>
      <w:r w:rsidRPr="00D222E0">
        <w:rPr>
          <w:bdr w:val="none" w:sz="0" w:space="0" w:color="auto" w:frame="1"/>
          <w:lang w:eastAsia="en-AU"/>
        </w:rPr>
        <w:t>…</w:t>
      </w:r>
      <w:r w:rsidRPr="00D222E0">
        <w:rPr>
          <w:lang w:eastAsia="en-AU"/>
        </w:rPr>
        <w:t> </w:t>
      </w:r>
    </w:p>
    <w:p w14:paraId="7D265750" w14:textId="5417E729" w:rsidR="00D222E0" w:rsidRPr="00D222E0" w:rsidRDefault="00D222E0" w:rsidP="003F0822">
      <w:pPr>
        <w:pStyle w:val="Quote3"/>
        <w:ind w:left="2880" w:hanging="720"/>
        <w:rPr>
          <w:lang w:eastAsia="en-AU"/>
        </w:rPr>
      </w:pPr>
      <w:r w:rsidRPr="00D222E0">
        <w:rPr>
          <w:bdr w:val="none" w:sz="0" w:space="0" w:color="auto" w:frame="1"/>
          <w:lang w:eastAsia="en-AU"/>
        </w:rPr>
        <w:t>(c)</w:t>
      </w:r>
      <w:r w:rsidR="00C92F1A">
        <w:rPr>
          <w:bdr w:val="none" w:sz="0" w:space="0" w:color="auto" w:frame="1"/>
          <w:lang w:eastAsia="en-AU"/>
        </w:rPr>
        <w:t xml:space="preserve"> </w:t>
      </w:r>
      <w:r w:rsidR="003F0822">
        <w:rPr>
          <w:bdr w:val="none" w:sz="0" w:space="0" w:color="auto" w:frame="1"/>
          <w:lang w:eastAsia="en-AU"/>
        </w:rPr>
        <w:tab/>
      </w:r>
      <w:r w:rsidRPr="00D222E0">
        <w:rPr>
          <w:b/>
          <w:bCs/>
          <w:bdr w:val="none" w:sz="0" w:space="0" w:color="auto" w:frame="1"/>
          <w:lang w:eastAsia="en-AU"/>
        </w:rPr>
        <w:t>arising under any laws made by the Parliament</w:t>
      </w:r>
      <w:r w:rsidR="00A94D40">
        <w:rPr>
          <w:bdr w:val="none" w:sz="0" w:space="0" w:color="auto" w:frame="1"/>
          <w:lang w:eastAsia="en-AU"/>
        </w:rPr>
        <w:t>.</w:t>
      </w:r>
      <w:r w:rsidRPr="00D222E0">
        <w:rPr>
          <w:lang w:eastAsia="en-AU"/>
        </w:rPr>
        <w:t> </w:t>
      </w:r>
    </w:p>
    <w:p w14:paraId="42F0932B" w14:textId="6D88C136" w:rsidR="00D222E0" w:rsidRDefault="005F70A6" w:rsidP="003F0822">
      <w:pPr>
        <w:pStyle w:val="Quote1"/>
        <w:rPr>
          <w:lang w:eastAsia="en-AU"/>
        </w:rPr>
      </w:pPr>
      <w:r>
        <w:rPr>
          <w:lang w:eastAsia="en-AU"/>
        </w:rPr>
        <w:t>(E</w:t>
      </w:r>
      <w:r w:rsidR="00D222E0">
        <w:rPr>
          <w:lang w:eastAsia="en-AU"/>
        </w:rPr>
        <w:t>mphasis added</w:t>
      </w:r>
      <w:r>
        <w:rPr>
          <w:lang w:eastAsia="en-AU"/>
        </w:rPr>
        <w:t>)</w:t>
      </w:r>
      <w:r w:rsidR="005E5CA3">
        <w:rPr>
          <w:lang w:eastAsia="en-AU"/>
        </w:rPr>
        <w:t>.</w:t>
      </w:r>
    </w:p>
    <w:p w14:paraId="63C2FAA5" w14:textId="5FB47DFF" w:rsidR="00113F9E" w:rsidRDefault="00374F13" w:rsidP="00113F9E">
      <w:pPr>
        <w:pStyle w:val="ParaNumbering"/>
        <w:ind w:left="0"/>
        <w:rPr>
          <w:lang w:eastAsia="en-AU"/>
        </w:rPr>
      </w:pPr>
      <w:r>
        <w:rPr>
          <w:lang w:eastAsia="en-AU"/>
        </w:rPr>
        <w:t>E</w:t>
      </w:r>
      <w:r w:rsidRPr="00374F13">
        <w:rPr>
          <w:lang w:eastAsia="en-AU"/>
        </w:rPr>
        <w:t>vidently</w:t>
      </w:r>
      <w:r>
        <w:rPr>
          <w:lang w:eastAsia="en-AU"/>
        </w:rPr>
        <w:t>,</w:t>
      </w:r>
      <w:r w:rsidRPr="00374F13">
        <w:rPr>
          <w:lang w:eastAsia="en-AU"/>
        </w:rPr>
        <w:t xml:space="preserve"> </w:t>
      </w:r>
      <w:r>
        <w:rPr>
          <w:lang w:eastAsia="en-AU"/>
        </w:rPr>
        <w:t>i</w:t>
      </w:r>
      <w:r w:rsidR="00113F9E">
        <w:rPr>
          <w:lang w:eastAsia="en-AU"/>
        </w:rPr>
        <w:t xml:space="preserve">t </w:t>
      </w:r>
      <w:r>
        <w:rPr>
          <w:lang w:eastAsia="en-AU"/>
        </w:rPr>
        <w:t xml:space="preserve">quickly </w:t>
      </w:r>
      <w:r w:rsidR="00113F9E">
        <w:rPr>
          <w:lang w:eastAsia="en-AU"/>
        </w:rPr>
        <w:t>became apparent</w:t>
      </w:r>
      <w:r w:rsidR="005E5CA3">
        <w:rPr>
          <w:lang w:eastAsia="en-AU"/>
        </w:rPr>
        <w:t xml:space="preserve"> that</w:t>
      </w:r>
      <w:r w:rsidR="00113F9E">
        <w:rPr>
          <w:lang w:eastAsia="en-AU"/>
        </w:rPr>
        <w:t xml:space="preserve"> the scope of the section </w:t>
      </w:r>
      <w:r w:rsidR="00C8287A">
        <w:rPr>
          <w:lang w:eastAsia="en-AU"/>
        </w:rPr>
        <w:t xml:space="preserve">as initially enacted </w:t>
      </w:r>
      <w:r w:rsidR="00113F9E">
        <w:rPr>
          <w:lang w:eastAsia="en-AU"/>
        </w:rPr>
        <w:t>was too broad and</w:t>
      </w:r>
      <w:r w:rsidR="00C8287A">
        <w:rPr>
          <w:lang w:eastAsia="en-AU"/>
        </w:rPr>
        <w:t>,</w:t>
      </w:r>
      <w:r w:rsidR="00A94D40">
        <w:rPr>
          <w:lang w:eastAsia="en-AU"/>
        </w:rPr>
        <w:t xml:space="preserve"> two years later,</w:t>
      </w:r>
      <w:r w:rsidR="00113F9E">
        <w:rPr>
          <w:lang w:eastAsia="en-AU"/>
        </w:rPr>
        <w:t xml:space="preserve"> </w:t>
      </w:r>
      <w:r w:rsidR="00113F9E" w:rsidRPr="00113F9E">
        <w:t>s 39B(1A)(c) was qualified</w:t>
      </w:r>
      <w:r w:rsidR="00113F9E">
        <w:t>,</w:t>
      </w:r>
      <w:r w:rsidR="00113F9E" w:rsidRPr="00113F9E">
        <w:t xml:space="preserve"> by adding “other than a matter in respect of which a criminal prosecution is instituted or any other criminal matter”.</w:t>
      </w:r>
    </w:p>
    <w:p w14:paraId="224AC33F" w14:textId="678FDA18" w:rsidR="00907247" w:rsidRDefault="00113F9E" w:rsidP="00E4281B">
      <w:pPr>
        <w:pStyle w:val="ParaNumbering"/>
        <w:ind w:left="0"/>
        <w:rPr>
          <w:lang w:eastAsia="en-AU"/>
        </w:rPr>
      </w:pPr>
      <w:r>
        <w:rPr>
          <w:lang w:eastAsia="en-AU"/>
        </w:rPr>
        <w:t>But t</w:t>
      </w:r>
      <w:r w:rsidR="00E76AE0">
        <w:rPr>
          <w:lang w:eastAsia="en-AU"/>
        </w:rPr>
        <w:t xml:space="preserve">his provision </w:t>
      </w:r>
      <w:r w:rsidR="00C8287A">
        <w:rPr>
          <w:lang w:eastAsia="en-AU"/>
        </w:rPr>
        <w:t xml:space="preserve">as amended still </w:t>
      </w:r>
      <w:r w:rsidR="00BA0C0F">
        <w:rPr>
          <w:lang w:eastAsia="en-AU"/>
        </w:rPr>
        <w:t>had a profound effect</w:t>
      </w:r>
      <w:r w:rsidR="009A2B53">
        <w:rPr>
          <w:lang w:eastAsia="en-AU"/>
        </w:rPr>
        <w:t xml:space="preserve">. </w:t>
      </w:r>
      <w:r w:rsidR="00ED7F47">
        <w:rPr>
          <w:lang w:eastAsia="en-AU"/>
        </w:rPr>
        <w:t>This is</w:t>
      </w:r>
      <w:r w:rsidR="00BA0C0F">
        <w:rPr>
          <w:lang w:eastAsia="en-AU"/>
        </w:rPr>
        <w:t xml:space="preserve"> </w:t>
      </w:r>
      <w:r w:rsidR="008C48C5">
        <w:rPr>
          <w:lang w:eastAsia="en-AU"/>
        </w:rPr>
        <w:t>because it is</w:t>
      </w:r>
      <w:r w:rsidR="00BA0C0F">
        <w:rPr>
          <w:lang w:eastAsia="en-AU"/>
        </w:rPr>
        <w:t xml:space="preserve"> </w:t>
      </w:r>
      <w:r w:rsidR="00E76AE0">
        <w:rPr>
          <w:lang w:eastAsia="en-AU"/>
        </w:rPr>
        <w:t>allied with</w:t>
      </w:r>
      <w:r w:rsidR="00BA0C0F">
        <w:rPr>
          <w:lang w:eastAsia="en-AU"/>
        </w:rPr>
        <w:t xml:space="preserve"> </w:t>
      </w:r>
      <w:r w:rsidR="00E76AE0">
        <w:rPr>
          <w:lang w:eastAsia="en-AU"/>
        </w:rPr>
        <w:t xml:space="preserve">the </w:t>
      </w:r>
      <w:r w:rsidR="00ED7F47">
        <w:rPr>
          <w:lang w:eastAsia="en-AU"/>
        </w:rPr>
        <w:t>expansive</w:t>
      </w:r>
      <w:r w:rsidR="00E76AE0">
        <w:rPr>
          <w:lang w:eastAsia="en-AU"/>
        </w:rPr>
        <w:t xml:space="preserve"> concept of what constitutes a “matter”</w:t>
      </w:r>
      <w:r w:rsidR="008C48C5">
        <w:rPr>
          <w:lang w:eastAsia="en-AU"/>
        </w:rPr>
        <w:t>,</w:t>
      </w:r>
      <w:r w:rsidR="00BA0C0F">
        <w:rPr>
          <w:lang w:eastAsia="en-AU"/>
        </w:rPr>
        <w:t xml:space="preserve"> and</w:t>
      </w:r>
      <w:r w:rsidR="00D222E0">
        <w:rPr>
          <w:lang w:eastAsia="en-AU"/>
        </w:rPr>
        <w:t xml:space="preserve"> </w:t>
      </w:r>
      <w:r w:rsidR="00E76AE0">
        <w:rPr>
          <w:lang w:eastAsia="en-AU"/>
        </w:rPr>
        <w:t xml:space="preserve">the </w:t>
      </w:r>
      <w:r w:rsidR="00ED7F47">
        <w:rPr>
          <w:lang w:eastAsia="en-AU"/>
        </w:rPr>
        <w:t xml:space="preserve">broad </w:t>
      </w:r>
      <w:r w:rsidR="00BA0C0F">
        <w:rPr>
          <w:lang w:eastAsia="en-AU"/>
        </w:rPr>
        <w:t>meaning</w:t>
      </w:r>
      <w:r w:rsidR="00D222E0">
        <w:rPr>
          <w:lang w:eastAsia="en-AU"/>
        </w:rPr>
        <w:t xml:space="preserve"> </w:t>
      </w:r>
      <w:r w:rsidR="00BA0C0F">
        <w:rPr>
          <w:lang w:eastAsia="en-AU"/>
        </w:rPr>
        <w:t xml:space="preserve">of </w:t>
      </w:r>
      <w:r w:rsidR="00E76AE0">
        <w:rPr>
          <w:lang w:eastAsia="en-AU"/>
        </w:rPr>
        <w:t>“arising under”</w:t>
      </w:r>
      <w:r w:rsidR="00ED7F47">
        <w:rPr>
          <w:lang w:eastAsia="en-AU"/>
        </w:rPr>
        <w:t>,</w:t>
      </w:r>
      <w:r w:rsidR="00BA0C0F">
        <w:rPr>
          <w:lang w:eastAsia="en-AU"/>
        </w:rPr>
        <w:t xml:space="preserve"> </w:t>
      </w:r>
      <w:r w:rsidR="00D222E0">
        <w:rPr>
          <w:lang w:eastAsia="en-AU"/>
        </w:rPr>
        <w:t>as explained</w:t>
      </w:r>
      <w:r w:rsidR="00E76AE0">
        <w:rPr>
          <w:lang w:eastAsia="en-AU"/>
        </w:rPr>
        <w:t xml:space="preserve"> in </w:t>
      </w:r>
      <w:r w:rsidR="00E76AE0" w:rsidRPr="00D222E0">
        <w:rPr>
          <w:i/>
          <w:lang w:eastAsia="en-AU"/>
        </w:rPr>
        <w:t>LNC Industries</w:t>
      </w:r>
      <w:r w:rsidR="00D222E0">
        <w:rPr>
          <w:lang w:eastAsia="en-AU"/>
        </w:rPr>
        <w:t>.</w:t>
      </w:r>
      <w:r w:rsidR="00C92F1A">
        <w:rPr>
          <w:lang w:eastAsia="en-AU"/>
        </w:rPr>
        <w:t xml:space="preserve"> </w:t>
      </w:r>
      <w:r w:rsidR="00D222E0">
        <w:rPr>
          <w:lang w:eastAsia="en-AU"/>
        </w:rPr>
        <w:t xml:space="preserve">It </w:t>
      </w:r>
      <w:r w:rsidR="00ED7F47">
        <w:rPr>
          <w:lang w:eastAsia="en-AU"/>
        </w:rPr>
        <w:t>amounted to</w:t>
      </w:r>
      <w:r w:rsidR="00D222E0">
        <w:rPr>
          <w:lang w:eastAsia="en-AU"/>
        </w:rPr>
        <w:t xml:space="preserve"> a general and plenary </w:t>
      </w:r>
      <w:r w:rsidR="00D222E0" w:rsidRPr="00E76AE0">
        <w:rPr>
          <w:lang w:eastAsia="en-AU"/>
        </w:rPr>
        <w:t>conferral of jurisdiction on the Federal Court in all (non-criminal)</w:t>
      </w:r>
      <w:r w:rsidR="005E5CA3">
        <w:rPr>
          <w:lang w:eastAsia="en-AU"/>
        </w:rPr>
        <w:t xml:space="preserve"> matters arising under </w:t>
      </w:r>
      <w:r w:rsidR="00D222E0" w:rsidRPr="00D222E0">
        <w:rPr>
          <w:i/>
          <w:lang w:eastAsia="en-AU"/>
        </w:rPr>
        <w:t>any</w:t>
      </w:r>
      <w:r w:rsidR="005E5CA3">
        <w:rPr>
          <w:lang w:eastAsia="en-AU"/>
        </w:rPr>
        <w:t xml:space="preserve"> </w:t>
      </w:r>
      <w:r w:rsidR="00D222E0" w:rsidRPr="00E76AE0">
        <w:rPr>
          <w:lang w:eastAsia="en-AU"/>
        </w:rPr>
        <w:t>law of the Commonwealth Parliament</w:t>
      </w:r>
      <w:r w:rsidR="00D222E0">
        <w:rPr>
          <w:lang w:eastAsia="en-AU"/>
        </w:rPr>
        <w:t>.</w:t>
      </w:r>
      <w:r w:rsidR="00C92F1A">
        <w:rPr>
          <w:lang w:eastAsia="en-AU"/>
        </w:rPr>
        <w:t xml:space="preserve"> </w:t>
      </w:r>
      <w:r w:rsidR="00D222E0">
        <w:rPr>
          <w:lang w:eastAsia="en-AU"/>
        </w:rPr>
        <w:t xml:space="preserve">Perhaps the </w:t>
      </w:r>
      <w:r w:rsidR="00E76AE0">
        <w:rPr>
          <w:lang w:eastAsia="en-AU"/>
        </w:rPr>
        <w:t>outer limits</w:t>
      </w:r>
      <w:r w:rsidR="00D222E0">
        <w:rPr>
          <w:lang w:eastAsia="en-AU"/>
        </w:rPr>
        <w:t xml:space="preserve"> of the extent of this conferral</w:t>
      </w:r>
      <w:r w:rsidR="00E76AE0">
        <w:rPr>
          <w:lang w:eastAsia="en-AU"/>
        </w:rPr>
        <w:t xml:space="preserve"> </w:t>
      </w:r>
      <w:r w:rsidR="00D222E0">
        <w:rPr>
          <w:lang w:eastAsia="en-AU"/>
        </w:rPr>
        <w:t xml:space="preserve">might not </w:t>
      </w:r>
      <w:r w:rsidR="00BA0C0F">
        <w:rPr>
          <w:lang w:eastAsia="en-AU"/>
        </w:rPr>
        <w:t xml:space="preserve">have </w:t>
      </w:r>
      <w:r w:rsidR="00E76AE0">
        <w:rPr>
          <w:lang w:eastAsia="en-AU"/>
        </w:rPr>
        <w:t>bee</w:t>
      </w:r>
      <w:r w:rsidR="00D222E0">
        <w:rPr>
          <w:lang w:eastAsia="en-AU"/>
        </w:rPr>
        <w:t>n</w:t>
      </w:r>
      <w:r w:rsidR="00E76AE0">
        <w:rPr>
          <w:lang w:eastAsia="en-AU"/>
        </w:rPr>
        <w:t xml:space="preserve"> fully appreciated </w:t>
      </w:r>
      <w:r>
        <w:rPr>
          <w:lang w:eastAsia="en-AU"/>
        </w:rPr>
        <w:t>at the end of the last century</w:t>
      </w:r>
      <w:r w:rsidR="000E6324">
        <w:rPr>
          <w:lang w:eastAsia="en-AU"/>
        </w:rPr>
        <w:t>; bu</w:t>
      </w:r>
      <w:r w:rsidR="00E4281B">
        <w:rPr>
          <w:lang w:eastAsia="en-AU"/>
        </w:rPr>
        <w:t xml:space="preserve">t </w:t>
      </w:r>
      <w:r w:rsidR="00907247">
        <w:rPr>
          <w:lang w:eastAsia="en-AU"/>
        </w:rPr>
        <w:t>that is not to the point.</w:t>
      </w:r>
    </w:p>
    <w:p w14:paraId="29310D92" w14:textId="3ED02FAD" w:rsidR="006A51E0" w:rsidRPr="00F02127" w:rsidRDefault="00907247" w:rsidP="006A51E0">
      <w:pPr>
        <w:pStyle w:val="ParaNumbering"/>
        <w:ind w:left="0"/>
      </w:pPr>
      <w:r w:rsidRPr="00F02127">
        <w:rPr>
          <w:lang w:eastAsia="en-AU"/>
        </w:rPr>
        <w:t xml:space="preserve">Returning to what was said in </w:t>
      </w:r>
      <w:r w:rsidRPr="00F02127">
        <w:rPr>
          <w:i/>
          <w:lang w:eastAsia="en-AU"/>
        </w:rPr>
        <w:t>Oliver</w:t>
      </w:r>
      <w:r w:rsidRPr="00F02127">
        <w:rPr>
          <w:lang w:eastAsia="en-AU"/>
        </w:rPr>
        <w:t>, a</w:t>
      </w:r>
      <w:r w:rsidR="00E4281B" w:rsidRPr="00F02127">
        <w:rPr>
          <w:lang w:eastAsia="en-AU"/>
        </w:rPr>
        <w:t xml:space="preserve"> company is an </w:t>
      </w:r>
      <w:r w:rsidR="00E4281B" w:rsidRPr="00F02127">
        <w:t>artificial legal person and</w:t>
      </w:r>
      <w:r w:rsidR="00BA2AA8">
        <w:t xml:space="preserve">, leaving aside the irrelevant exceptions of any </w:t>
      </w:r>
      <w:r w:rsidR="00ED7F47">
        <w:t xml:space="preserve">corporation </w:t>
      </w:r>
      <w:r w:rsidR="00BA2AA8">
        <w:t>created under their own statute or Royal Charter,</w:t>
      </w:r>
      <w:r w:rsidR="00E4281B" w:rsidRPr="00F02127">
        <w:t xml:space="preserve"> its very existence – its ability to contract, to sue and be sued, to own property against which judgment may be levied – is </w:t>
      </w:r>
      <w:r w:rsidRPr="00F02127">
        <w:t xml:space="preserve">now </w:t>
      </w:r>
      <w:r w:rsidR="00E4281B" w:rsidRPr="00F02127">
        <w:t>a product of its status as a corporation registered under a law of the Commonwealth</w:t>
      </w:r>
      <w:r w:rsidR="00BA0C0F" w:rsidRPr="00F02127">
        <w:t xml:space="preserve">: see </w:t>
      </w:r>
      <w:r w:rsidR="005E5CA3" w:rsidRPr="00C433B1">
        <w:rPr>
          <w:i/>
        </w:rPr>
        <w:t>Corporations Act 2001</w:t>
      </w:r>
      <w:r w:rsidR="005E5CA3" w:rsidRPr="00C433B1">
        <w:t xml:space="preserve"> (</w:t>
      </w:r>
      <w:proofErr w:type="spellStart"/>
      <w:r w:rsidR="005E5CA3" w:rsidRPr="00C433B1">
        <w:t>Cth</w:t>
      </w:r>
      <w:proofErr w:type="spellEnd"/>
      <w:r w:rsidR="005E5CA3" w:rsidRPr="00C433B1">
        <w:t>)</w:t>
      </w:r>
      <w:r w:rsidR="005E5CA3">
        <w:t xml:space="preserve"> </w:t>
      </w:r>
      <w:proofErr w:type="spellStart"/>
      <w:r w:rsidR="00E4281B" w:rsidRPr="00F02127">
        <w:t>Ch</w:t>
      </w:r>
      <w:proofErr w:type="spellEnd"/>
      <w:r w:rsidR="00E4281B" w:rsidRPr="00F02127">
        <w:t xml:space="preserve"> 2B</w:t>
      </w:r>
      <w:r w:rsidR="00BA0C0F" w:rsidRPr="00F02127">
        <w:t xml:space="preserve"> and</w:t>
      </w:r>
      <w:r w:rsidR="00E4281B" w:rsidRPr="00F02127">
        <w:t>, in particular</w:t>
      </w:r>
      <w:r w:rsidR="00BA0C0F" w:rsidRPr="00F02127">
        <w:t>,</w:t>
      </w:r>
      <w:r w:rsidR="00E4281B" w:rsidRPr="00F02127">
        <w:t xml:space="preserve"> s 124.</w:t>
      </w:r>
      <w:r w:rsidR="00C92F1A" w:rsidRPr="00F02127">
        <w:t xml:space="preserve"> </w:t>
      </w:r>
      <w:r w:rsidR="00113F9E">
        <w:t>A</w:t>
      </w:r>
      <w:r w:rsidRPr="00F02127">
        <w:t>s a</w:t>
      </w:r>
      <w:r w:rsidRPr="00C433B1">
        <w:t xml:space="preserve"> </w:t>
      </w:r>
      <w:r w:rsidR="00113F9E">
        <w:t xml:space="preserve">direct </w:t>
      </w:r>
      <w:r w:rsidRPr="00C433B1">
        <w:t>consequence of the States having referred their powers concerning</w:t>
      </w:r>
      <w:r w:rsidR="000E6324" w:rsidRPr="00C433B1">
        <w:t xml:space="preserve"> the</w:t>
      </w:r>
      <w:r w:rsidRPr="00C433B1">
        <w:t xml:space="preserve"> formation of trading corporations to the Commonwealth and the enactment of the </w:t>
      </w:r>
      <w:r w:rsidR="005E5CA3" w:rsidRPr="00C433B1">
        <w:rPr>
          <w:i/>
        </w:rPr>
        <w:t>Corporations Act</w:t>
      </w:r>
      <w:r w:rsidRPr="00C433B1">
        <w:t>, the</w:t>
      </w:r>
      <w:r w:rsidR="00E4281B" w:rsidRPr="00F02127">
        <w:t xml:space="preserve"> </w:t>
      </w:r>
      <w:r w:rsidR="00B66F8C" w:rsidRPr="00F02127">
        <w:t xml:space="preserve">ability of an applicant </w:t>
      </w:r>
      <w:r w:rsidR="00E4281B" w:rsidRPr="00F02127">
        <w:t xml:space="preserve">to have </w:t>
      </w:r>
      <w:r w:rsidR="00ED7F47">
        <w:t xml:space="preserve">any asserted </w:t>
      </w:r>
      <w:r w:rsidR="00B66F8C" w:rsidRPr="00F02127">
        <w:t xml:space="preserve">right in dispute </w:t>
      </w:r>
      <w:r w:rsidR="00B8505E" w:rsidRPr="00ED7F47">
        <w:rPr>
          <w:i/>
        </w:rPr>
        <w:t>enforceable</w:t>
      </w:r>
      <w:r w:rsidR="00E4281B" w:rsidRPr="00F02127">
        <w:t xml:space="preserve"> by way of litigation against a respondent corporation </w:t>
      </w:r>
      <w:r w:rsidR="00B8505E" w:rsidRPr="00F02127">
        <w:t xml:space="preserve">can </w:t>
      </w:r>
      <w:r w:rsidR="00B8505E" w:rsidRPr="00F02127">
        <w:rPr>
          <w:i/>
          <w:iCs/>
        </w:rPr>
        <w:t>only</w:t>
      </w:r>
      <w:r w:rsidR="00B8505E" w:rsidRPr="00F02127">
        <w:t xml:space="preserve"> arise</w:t>
      </w:r>
      <w:r w:rsidR="00E4281B" w:rsidRPr="00F02127">
        <w:t xml:space="preserve"> </w:t>
      </w:r>
      <w:r w:rsidR="00B8505E" w:rsidRPr="00F02127">
        <w:t>because</w:t>
      </w:r>
      <w:r w:rsidR="00E4281B" w:rsidRPr="00F02127">
        <w:t xml:space="preserve"> of a statutory provision</w:t>
      </w:r>
      <w:r w:rsidR="00B8505E" w:rsidRPr="00F02127">
        <w:t xml:space="preserve"> (</w:t>
      </w:r>
      <w:r w:rsidR="00E4281B" w:rsidRPr="00F02127">
        <w:t>a law of the Parliament</w:t>
      </w:r>
      <w:r w:rsidR="00B8505E" w:rsidRPr="00F02127">
        <w:t>)</w:t>
      </w:r>
      <w:r w:rsidR="00ED7F47">
        <w:rPr>
          <w:lang w:eastAsia="en-AU"/>
        </w:rPr>
        <w:t>.</w:t>
      </w:r>
    </w:p>
    <w:p w14:paraId="5A48BB89" w14:textId="7E972757" w:rsidR="005E5CA3" w:rsidRDefault="005C6E37" w:rsidP="005E5CA3">
      <w:pPr>
        <w:pStyle w:val="ParaNumbering"/>
        <w:ind w:left="0"/>
      </w:pPr>
      <w:r>
        <w:rPr>
          <w:i/>
          <w:lang w:eastAsia="en-AU"/>
        </w:rPr>
        <w:t>Thir</w:t>
      </w:r>
      <w:r w:rsidR="004C5DF6" w:rsidRPr="00907247">
        <w:rPr>
          <w:i/>
          <w:lang w:eastAsia="en-AU"/>
        </w:rPr>
        <w:t>dly,</w:t>
      </w:r>
      <w:r w:rsidR="004C5DF6">
        <w:rPr>
          <w:lang w:eastAsia="en-AU"/>
        </w:rPr>
        <w:t xml:space="preserve"> </w:t>
      </w:r>
      <w:r w:rsidR="007E3916">
        <w:rPr>
          <w:lang w:eastAsia="en-AU"/>
        </w:rPr>
        <w:t>I was conscious</w:t>
      </w:r>
      <w:r w:rsidR="00AD43A7">
        <w:rPr>
          <w:lang w:eastAsia="en-AU"/>
        </w:rPr>
        <w:t xml:space="preserve"> to go no further than </w:t>
      </w:r>
      <w:r w:rsidR="000C54C6">
        <w:rPr>
          <w:lang w:eastAsia="en-AU"/>
        </w:rPr>
        <w:t xml:space="preserve">merely to </w:t>
      </w:r>
      <w:r w:rsidR="00AD43A7">
        <w:rPr>
          <w:lang w:eastAsia="en-AU"/>
        </w:rPr>
        <w:t>describe the point as arguable</w:t>
      </w:r>
      <w:r w:rsidR="00596A5D">
        <w:rPr>
          <w:lang w:eastAsia="en-AU"/>
        </w:rPr>
        <w:t>,</w:t>
      </w:r>
      <w:r w:rsidR="007E3916">
        <w:rPr>
          <w:lang w:eastAsia="en-AU"/>
        </w:rPr>
        <w:t xml:space="preserve"> </w:t>
      </w:r>
      <w:r w:rsidR="00AD43A7">
        <w:rPr>
          <w:lang w:eastAsia="en-AU"/>
        </w:rPr>
        <w:t xml:space="preserve">because </w:t>
      </w:r>
      <w:r w:rsidR="00393612">
        <w:rPr>
          <w:lang w:eastAsia="en-AU"/>
        </w:rPr>
        <w:t xml:space="preserve">it is a large </w:t>
      </w:r>
      <w:r w:rsidR="00596A5D">
        <w:rPr>
          <w:lang w:eastAsia="en-AU"/>
        </w:rPr>
        <w:t xml:space="preserve">and controversial </w:t>
      </w:r>
      <w:r w:rsidR="00393612">
        <w:rPr>
          <w:lang w:eastAsia="en-AU"/>
        </w:rPr>
        <w:t>proposition</w:t>
      </w:r>
      <w:r w:rsidR="009D1040">
        <w:rPr>
          <w:lang w:eastAsia="en-AU"/>
        </w:rPr>
        <w:t>, it was not determinative,</w:t>
      </w:r>
      <w:r w:rsidR="00393612">
        <w:rPr>
          <w:lang w:eastAsia="en-AU"/>
        </w:rPr>
        <w:t xml:space="preserve"> and I </w:t>
      </w:r>
      <w:r w:rsidR="009D1040">
        <w:rPr>
          <w:lang w:eastAsia="en-AU"/>
        </w:rPr>
        <w:t>was not</w:t>
      </w:r>
      <w:r w:rsidR="00393612">
        <w:rPr>
          <w:lang w:eastAsia="en-AU"/>
        </w:rPr>
        <w:t xml:space="preserve"> assisted by any argument.</w:t>
      </w:r>
      <w:r w:rsidR="001173A2">
        <w:rPr>
          <w:lang w:eastAsia="en-AU"/>
        </w:rPr>
        <w:t xml:space="preserve"> </w:t>
      </w:r>
      <w:r w:rsidR="00113F9E">
        <w:rPr>
          <w:lang w:eastAsia="en-AU"/>
        </w:rPr>
        <w:t xml:space="preserve">The point was not raised in </w:t>
      </w:r>
      <w:r w:rsidR="00113F9E" w:rsidRPr="000C54C6">
        <w:rPr>
          <w:i/>
          <w:iCs/>
          <w:szCs w:val="20"/>
          <w:lang w:eastAsia="en-AU"/>
        </w:rPr>
        <w:t>Page v Sydney Seaplanes Pty Ltd</w:t>
      </w:r>
      <w:r w:rsidR="00E27256">
        <w:rPr>
          <w:szCs w:val="20"/>
          <w:lang w:eastAsia="en-AU"/>
        </w:rPr>
        <w:t>;</w:t>
      </w:r>
      <w:r w:rsidR="00E27256">
        <w:t xml:space="preserve"> but, with respect, </w:t>
      </w:r>
      <w:r w:rsidR="00113F9E">
        <w:t xml:space="preserve">Griffiths J’s </w:t>
      </w:r>
      <w:r w:rsidR="00E411C1">
        <w:t>pellucid</w:t>
      </w:r>
      <w:r w:rsidR="00113F9E">
        <w:t xml:space="preserve"> explanation as to why federal jurisdiction did not exist in that case</w:t>
      </w:r>
      <w:r w:rsidR="00596A5D">
        <w:t>,</w:t>
      </w:r>
      <w:r w:rsidR="00113F9E">
        <w:t xml:space="preserve"> </w:t>
      </w:r>
      <w:r w:rsidR="00596A5D">
        <w:t xml:space="preserve">notwithstanding that the respondent was a corporation </w:t>
      </w:r>
      <w:r w:rsidR="00C84204">
        <w:t>(</w:t>
      </w:r>
      <w:r w:rsidR="00C84204" w:rsidRPr="00C84204">
        <w:rPr>
          <w:lang w:eastAsia="en-AU"/>
        </w:rPr>
        <w:t>because the rights and liabilities created by the relevant legislation did not apply to an intrastate flight</w:t>
      </w:r>
      <w:r w:rsidR="00C84204">
        <w:rPr>
          <w:lang w:eastAsia="en-AU"/>
        </w:rPr>
        <w:t>)</w:t>
      </w:r>
      <w:r w:rsidR="00C84204">
        <w:t xml:space="preserve"> </w:t>
      </w:r>
      <w:r w:rsidR="00113F9E">
        <w:t>has</w:t>
      </w:r>
      <w:r w:rsidR="00C84204">
        <w:t>,</w:t>
      </w:r>
      <w:r w:rsidR="00113F9E">
        <w:t xml:space="preserve"> as recently as </w:t>
      </w:r>
      <w:r w:rsidR="00C84204">
        <w:t xml:space="preserve">last week, </w:t>
      </w:r>
      <w:r w:rsidR="00596A5D">
        <w:lastRenderedPageBreak/>
        <w:t>been accepted</w:t>
      </w:r>
      <w:r w:rsidR="00C84204">
        <w:t xml:space="preserve"> by the Court of Appeal of New South Wales </w:t>
      </w:r>
      <w:r w:rsidR="00596A5D">
        <w:t xml:space="preserve">as being correct: see </w:t>
      </w:r>
      <w:r w:rsidR="00596A5D" w:rsidRPr="000C54C6">
        <w:rPr>
          <w:i/>
          <w:iCs/>
        </w:rPr>
        <w:t>Sydney Seaplanes Pty Ltd v Page</w:t>
      </w:r>
      <w:r w:rsidR="00596A5D" w:rsidRPr="00596A5D">
        <w:t xml:space="preserve"> [2021] NSWCA 204 (</w:t>
      </w:r>
      <w:r w:rsidR="00596A5D">
        <w:t>at [12]</w:t>
      </w:r>
      <w:r w:rsidR="00A22E0B" w:rsidRPr="00A22E0B">
        <w:t xml:space="preserve"> </w:t>
      </w:r>
      <w:r w:rsidR="00A22E0B" w:rsidRPr="00596A5D">
        <w:t xml:space="preserve">per </w:t>
      </w:r>
      <w:r w:rsidR="00A22E0B">
        <w:t>Bell P,</w:t>
      </w:r>
      <w:r w:rsidR="00596A5D">
        <w:t xml:space="preserve"> </w:t>
      </w:r>
      <w:r w:rsidR="005E5CA3">
        <w:t xml:space="preserve">at </w:t>
      </w:r>
      <w:r w:rsidR="00596A5D">
        <w:t>[146]</w:t>
      </w:r>
      <w:r w:rsidR="00A22E0B">
        <w:t xml:space="preserve"> per</w:t>
      </w:r>
      <w:r w:rsidR="00A22E0B" w:rsidRPr="00A22E0B">
        <w:t xml:space="preserve"> </w:t>
      </w:r>
      <w:r w:rsidR="00A22E0B">
        <w:t>Leeming JA,</w:t>
      </w:r>
      <w:r w:rsidR="00596A5D">
        <w:t xml:space="preserve"> and </w:t>
      </w:r>
      <w:r w:rsidR="005E5CA3">
        <w:t xml:space="preserve">at </w:t>
      </w:r>
      <w:r w:rsidR="00596A5D">
        <w:t>[168]</w:t>
      </w:r>
      <w:r w:rsidR="00A22E0B" w:rsidRPr="00A22E0B">
        <w:t xml:space="preserve"> </w:t>
      </w:r>
      <w:r w:rsidR="00A22E0B">
        <w:t>per Emmett AJA</w:t>
      </w:r>
      <w:r w:rsidR="00596A5D">
        <w:t>).</w:t>
      </w:r>
      <w:r w:rsidR="00ED7F47">
        <w:t xml:space="preserve"> In this regard</w:t>
      </w:r>
      <w:r w:rsidR="003130FE">
        <w:t>,</w:t>
      </w:r>
      <w:r w:rsidR="00ED7F47">
        <w:t xml:space="preserve"> Leeming JA’s judgment contains, with respect, a </w:t>
      </w:r>
      <w:r w:rsidR="003130FE">
        <w:t>lucid</w:t>
      </w:r>
      <w:r w:rsidR="00ED7F47">
        <w:t xml:space="preserve"> and persuasive survey as to the law relating to the jurisdiction of this Court.  </w:t>
      </w:r>
      <w:r w:rsidR="00C84204">
        <w:t xml:space="preserve"> </w:t>
      </w:r>
    </w:p>
    <w:p w14:paraId="59E27108" w14:textId="6C6B180C" w:rsidR="007E3916" w:rsidRPr="007E3916" w:rsidRDefault="00596A5D" w:rsidP="00973974">
      <w:pPr>
        <w:pStyle w:val="ParaNumbering"/>
        <w:ind w:left="0"/>
      </w:pPr>
      <w:r>
        <w:t xml:space="preserve">Further, </w:t>
      </w:r>
      <w:r w:rsidR="000C54C6" w:rsidRPr="005E5CA3">
        <w:rPr>
          <w:iCs/>
          <w:lang w:eastAsia="en-AU"/>
        </w:rPr>
        <w:t xml:space="preserve">I </w:t>
      </w:r>
      <w:r w:rsidR="000C54C6" w:rsidRPr="000C54C6">
        <w:rPr>
          <w:lang w:eastAsia="en-AU"/>
        </w:rPr>
        <w:t>accept the force of Judge Cardozo’s warning of “pushing a princip</w:t>
      </w:r>
      <w:r w:rsidR="00DB3DA4">
        <w:rPr>
          <w:lang w:eastAsia="en-AU"/>
        </w:rPr>
        <w:t xml:space="preserve">le to ‘the limit of its logic’”: </w:t>
      </w:r>
      <w:r w:rsidR="000C54C6" w:rsidRPr="000C54C6">
        <w:rPr>
          <w:lang w:eastAsia="en-AU"/>
        </w:rPr>
        <w:t>see </w:t>
      </w:r>
      <w:r w:rsidR="000C54C6" w:rsidRPr="005E5CA3">
        <w:rPr>
          <w:i/>
          <w:iCs/>
          <w:lang w:eastAsia="en-AU"/>
        </w:rPr>
        <w:t>Assistant Commissioner Condon v Pompano Pty Ltd</w:t>
      </w:r>
      <w:r w:rsidR="000C54C6" w:rsidRPr="000C54C6">
        <w:rPr>
          <w:lang w:eastAsia="en-AU"/>
        </w:rPr>
        <w:t> [2013] HCA 7; (2013) 252 CLR 38</w:t>
      </w:r>
      <w:r w:rsidR="000C54C6">
        <w:rPr>
          <w:lang w:eastAsia="en-AU"/>
        </w:rPr>
        <w:t xml:space="preserve"> </w:t>
      </w:r>
      <w:r w:rsidR="005E5CA3">
        <w:rPr>
          <w:lang w:eastAsia="en-AU"/>
        </w:rPr>
        <w:t>(</w:t>
      </w:r>
      <w:r w:rsidR="000C54C6" w:rsidRPr="000C54C6">
        <w:rPr>
          <w:lang w:eastAsia="en-AU"/>
        </w:rPr>
        <w:t>at 94 [137</w:t>
      </w:r>
      <w:r w:rsidR="00003264">
        <w:rPr>
          <w:lang w:eastAsia="en-AU"/>
        </w:rPr>
        <w:t xml:space="preserve">] </w:t>
      </w:r>
      <w:r w:rsidR="005E5CA3">
        <w:rPr>
          <w:lang w:eastAsia="en-AU"/>
        </w:rPr>
        <w:t xml:space="preserve">per </w:t>
      </w:r>
      <w:r w:rsidR="005E5CA3" w:rsidRPr="005E5CA3">
        <w:rPr>
          <w:lang w:eastAsia="en-AU"/>
        </w:rPr>
        <w:t xml:space="preserve">Hayne, </w:t>
      </w:r>
      <w:proofErr w:type="spellStart"/>
      <w:r w:rsidR="005E5CA3" w:rsidRPr="005E5CA3">
        <w:rPr>
          <w:lang w:eastAsia="en-AU"/>
        </w:rPr>
        <w:t>Crennan</w:t>
      </w:r>
      <w:proofErr w:type="spellEnd"/>
      <w:r w:rsidR="005E5CA3" w:rsidRPr="005E5CA3">
        <w:rPr>
          <w:lang w:eastAsia="en-AU"/>
        </w:rPr>
        <w:t xml:space="preserve">, </w:t>
      </w:r>
      <w:proofErr w:type="spellStart"/>
      <w:r w:rsidR="005E5CA3" w:rsidRPr="005E5CA3">
        <w:rPr>
          <w:lang w:eastAsia="en-AU"/>
        </w:rPr>
        <w:t>Kiefel</w:t>
      </w:r>
      <w:proofErr w:type="spellEnd"/>
      <w:r w:rsidR="005E5CA3" w:rsidRPr="005E5CA3">
        <w:rPr>
          <w:lang w:eastAsia="en-AU"/>
        </w:rPr>
        <w:t xml:space="preserve"> and Bell JJ</w:t>
      </w:r>
      <w:r w:rsidR="005E5CA3">
        <w:rPr>
          <w:lang w:eastAsia="en-AU"/>
        </w:rPr>
        <w:t xml:space="preserve">), </w:t>
      </w:r>
      <w:r w:rsidR="00003264">
        <w:rPr>
          <w:lang w:eastAsia="en-AU"/>
        </w:rPr>
        <w:t>quoting</w:t>
      </w:r>
      <w:r w:rsidR="00003264" w:rsidRPr="00003264">
        <w:rPr>
          <w:lang w:eastAsia="en-AU"/>
        </w:rPr>
        <w:t xml:space="preserve"> Cardozo</w:t>
      </w:r>
      <w:r w:rsidR="00003264">
        <w:rPr>
          <w:lang w:eastAsia="en-AU"/>
        </w:rPr>
        <w:t xml:space="preserve"> B</w:t>
      </w:r>
      <w:r w:rsidR="005E5CA3">
        <w:rPr>
          <w:lang w:eastAsia="en-AU"/>
        </w:rPr>
        <w:t xml:space="preserve"> </w:t>
      </w:r>
      <w:r w:rsidR="00003264">
        <w:rPr>
          <w:lang w:eastAsia="en-AU"/>
        </w:rPr>
        <w:t>N,</w:t>
      </w:r>
      <w:r w:rsidR="00003264" w:rsidRPr="005E5CA3">
        <w:rPr>
          <w:i/>
          <w:iCs/>
          <w:lang w:eastAsia="en-AU"/>
        </w:rPr>
        <w:t xml:space="preserve"> </w:t>
      </w:r>
      <w:r w:rsidR="000C54C6" w:rsidRPr="005E5CA3">
        <w:rPr>
          <w:i/>
          <w:iCs/>
          <w:lang w:eastAsia="en-AU"/>
        </w:rPr>
        <w:t>The Nature of the Judicial Process</w:t>
      </w:r>
      <w:r w:rsidR="000C54C6" w:rsidRPr="000C54C6">
        <w:rPr>
          <w:lang w:eastAsia="en-AU"/>
        </w:rPr>
        <w:t> (</w:t>
      </w:r>
      <w:r w:rsidR="00003264" w:rsidRPr="00003264">
        <w:rPr>
          <w:lang w:eastAsia="en-AU"/>
        </w:rPr>
        <w:t>Yale University Press</w:t>
      </w:r>
      <w:r w:rsidR="000C54C6" w:rsidRPr="000C54C6">
        <w:rPr>
          <w:lang w:eastAsia="en-AU"/>
        </w:rPr>
        <w:t xml:space="preserve">, 1921) </w:t>
      </w:r>
      <w:r w:rsidR="005E5CA3">
        <w:rPr>
          <w:lang w:eastAsia="en-AU"/>
        </w:rPr>
        <w:t xml:space="preserve">(at </w:t>
      </w:r>
      <w:r w:rsidR="00003264">
        <w:rPr>
          <w:lang w:eastAsia="en-AU"/>
        </w:rPr>
        <w:t>p 51</w:t>
      </w:r>
      <w:r w:rsidR="005E5CA3">
        <w:rPr>
          <w:lang w:eastAsia="en-AU"/>
        </w:rPr>
        <w:t>)</w:t>
      </w:r>
      <w:r w:rsidR="000C54C6">
        <w:rPr>
          <w:lang w:eastAsia="en-AU"/>
        </w:rPr>
        <w:t>.</w:t>
      </w:r>
      <w:r w:rsidR="001173A2">
        <w:rPr>
          <w:lang w:eastAsia="en-AU"/>
        </w:rPr>
        <w:t xml:space="preserve"> </w:t>
      </w:r>
      <w:r w:rsidR="000C54C6">
        <w:t>A</w:t>
      </w:r>
      <w:r w:rsidR="00C26BA0">
        <w:t xml:space="preserve">ny acceptance of the correctness </w:t>
      </w:r>
      <w:r w:rsidR="0072711C">
        <w:t xml:space="preserve">of </w:t>
      </w:r>
      <w:r w:rsidR="003130FE">
        <w:t>the point</w:t>
      </w:r>
      <w:r w:rsidR="0072711C" w:rsidRPr="00EF1411">
        <w:t xml:space="preserve"> </w:t>
      </w:r>
      <w:r w:rsidR="00393612" w:rsidRPr="00EF1411">
        <w:t xml:space="preserve">could have, for example, </w:t>
      </w:r>
      <w:r w:rsidR="00907247" w:rsidRPr="00EF1411">
        <w:t xml:space="preserve">very </w:t>
      </w:r>
      <w:r w:rsidR="00C26BA0" w:rsidRPr="00EF1411">
        <w:t>significant consequences</w:t>
      </w:r>
      <w:r w:rsidR="006C28FB" w:rsidRPr="00EF1411">
        <w:t xml:space="preserve"> for state administrative bodies</w:t>
      </w:r>
      <w:r w:rsidR="00E411C1">
        <w:t xml:space="preserve"> in dealing with disputes involving corporations</w:t>
      </w:r>
      <w:r w:rsidR="00C26BA0" w:rsidRPr="00EF1411">
        <w:t>.</w:t>
      </w:r>
      <w:r w:rsidR="00C92F1A" w:rsidRPr="00EF1411">
        <w:t xml:space="preserve"> </w:t>
      </w:r>
      <w:r w:rsidR="00393612" w:rsidRPr="004D7283">
        <w:t>This is because</w:t>
      </w:r>
      <w:r w:rsidR="00E411C1">
        <w:t>, as was explained</w:t>
      </w:r>
      <w:r w:rsidR="00393612" w:rsidRPr="004D7283">
        <w:t xml:space="preserve"> i</w:t>
      </w:r>
      <w:r w:rsidR="00C26BA0" w:rsidRPr="004D7283">
        <w:t xml:space="preserve">n </w:t>
      </w:r>
      <w:r w:rsidR="00C26BA0" w:rsidRPr="004D7283">
        <w:rPr>
          <w:i/>
        </w:rPr>
        <w:t>Burns v Corbett</w:t>
      </w:r>
      <w:r w:rsidR="00C26BA0" w:rsidRPr="004D7283">
        <w:t xml:space="preserve"> [2018] HCA 15; </w:t>
      </w:r>
      <w:r w:rsidR="004D7283" w:rsidRPr="004D7283">
        <w:t xml:space="preserve">(2018) </w:t>
      </w:r>
      <w:r w:rsidR="00C26BA0" w:rsidRPr="004D7283">
        <w:t xml:space="preserve">265 CLR 304, </w:t>
      </w:r>
      <w:proofErr w:type="spellStart"/>
      <w:r w:rsidR="006C28FB" w:rsidRPr="004D7283">
        <w:t>Ch</w:t>
      </w:r>
      <w:proofErr w:type="spellEnd"/>
      <w:r w:rsidR="007E3916" w:rsidRPr="004D7283">
        <w:t xml:space="preserve"> III</w:t>
      </w:r>
      <w:r w:rsidR="00394DD3" w:rsidRPr="004D7283">
        <w:t xml:space="preserve"> of the </w:t>
      </w:r>
      <w:r w:rsidR="00394DD3" w:rsidRPr="004D7283">
        <w:rPr>
          <w:i/>
        </w:rPr>
        <w:t>Constitution</w:t>
      </w:r>
      <w:r w:rsidR="007E3916" w:rsidRPr="004D7283">
        <w:t xml:space="preserve"> exhaustively provides for the exercise of adjudicative power in</w:t>
      </w:r>
      <w:r w:rsidR="00EF1411" w:rsidRPr="004D7283">
        <w:t xml:space="preserve"> relation to</w:t>
      </w:r>
      <w:r w:rsidR="007E3916" w:rsidRPr="004D7283">
        <w:t xml:space="preserve"> the matters listed under </w:t>
      </w:r>
      <w:proofErr w:type="spellStart"/>
      <w:r w:rsidR="007E3916" w:rsidRPr="004D7283">
        <w:t>ss</w:t>
      </w:r>
      <w:proofErr w:type="spellEnd"/>
      <w:r w:rsidR="007E3916" w:rsidRPr="004D7283">
        <w:t xml:space="preserve"> 75 and 76 by the High Court, other federal courts created by the Commonwealth P</w:t>
      </w:r>
      <w:r w:rsidR="00472A09" w:rsidRPr="004D7283">
        <w:t xml:space="preserve">arliament, and by state courts </w:t>
      </w:r>
      <w:r w:rsidR="00477E6E" w:rsidRPr="004D7283">
        <w:t>in</w:t>
      </w:r>
      <w:r w:rsidR="007E3916" w:rsidRPr="004D7283">
        <w:t xml:space="preserve">vested with federal jurisdiction by the Commonwealth </w:t>
      </w:r>
      <w:r w:rsidR="007E3916" w:rsidRPr="00973974">
        <w:t xml:space="preserve">Parliament: see </w:t>
      </w:r>
      <w:r w:rsidR="00002B25" w:rsidRPr="00973974">
        <w:t>325</w:t>
      </w:r>
      <w:r w:rsidR="00973974" w:rsidRPr="00973974">
        <w:t>–</w:t>
      </w:r>
      <w:r w:rsidR="00002B25" w:rsidRPr="00973974">
        <w:t>6</w:t>
      </w:r>
      <w:r w:rsidR="00973974" w:rsidRPr="00973974">
        <w:t xml:space="preserve"> [2]–[3]</w:t>
      </w:r>
      <w:r w:rsidR="00002B25" w:rsidRPr="00973974">
        <w:t>, 335</w:t>
      </w:r>
      <w:r w:rsidR="00973974" w:rsidRPr="00973974">
        <w:t xml:space="preserve"> [43], 336–</w:t>
      </w:r>
      <w:r w:rsidR="00EC6B28" w:rsidRPr="00973974">
        <w:t>7</w:t>
      </w:r>
      <w:r w:rsidR="00973974" w:rsidRPr="00973974">
        <w:t xml:space="preserve"> [45]–[46]</w:t>
      </w:r>
      <w:r w:rsidR="00EC6B28" w:rsidRPr="00973974">
        <w:t>, 339</w:t>
      </w:r>
      <w:r w:rsidR="00973974" w:rsidRPr="00973974">
        <w:t xml:space="preserve"> [50]</w:t>
      </w:r>
      <w:r w:rsidR="00EC6B28" w:rsidRPr="00973974">
        <w:t>, 341</w:t>
      </w:r>
      <w:r w:rsidR="00973974" w:rsidRPr="00973974">
        <w:t xml:space="preserve"> [55] per </w:t>
      </w:r>
      <w:proofErr w:type="spellStart"/>
      <w:r w:rsidR="00973974" w:rsidRPr="00973974">
        <w:t>Kiefel</w:t>
      </w:r>
      <w:proofErr w:type="spellEnd"/>
      <w:r w:rsidR="00973974" w:rsidRPr="00973974">
        <w:t xml:space="preserve"> CJ, Bell and Keane JJ</w:t>
      </w:r>
      <w:r w:rsidR="00EC6B28" w:rsidRPr="00973974">
        <w:t xml:space="preserve">, </w:t>
      </w:r>
      <w:r w:rsidR="00973974" w:rsidRPr="00973974">
        <w:t xml:space="preserve">and at </w:t>
      </w:r>
      <w:r w:rsidR="00EC6B28" w:rsidRPr="00973974">
        <w:t>346</w:t>
      </w:r>
      <w:r w:rsidR="00973974" w:rsidRPr="00973974">
        <w:t xml:space="preserve"> [68]</w:t>
      </w:r>
      <w:r w:rsidR="00EC6B28" w:rsidRPr="00973974">
        <w:t>, 3</w:t>
      </w:r>
      <w:r w:rsidR="00973974" w:rsidRPr="00973974">
        <w:t xml:space="preserve">55–6 </w:t>
      </w:r>
      <w:r w:rsidR="007E3916" w:rsidRPr="00973974">
        <w:t xml:space="preserve">[95]–[97], </w:t>
      </w:r>
      <w:r w:rsidR="00973974" w:rsidRPr="00973974">
        <w:t xml:space="preserve">237 </w:t>
      </w:r>
      <w:r w:rsidR="007E3916" w:rsidRPr="00973974">
        <w:t>[99]</w:t>
      </w:r>
      <w:r w:rsidR="00973974" w:rsidRPr="00973974">
        <w:t xml:space="preserve"> per </w:t>
      </w:r>
      <w:proofErr w:type="spellStart"/>
      <w:r w:rsidR="00973974" w:rsidRPr="00973974">
        <w:t>Gageler</w:t>
      </w:r>
      <w:proofErr w:type="spellEnd"/>
      <w:r w:rsidR="00973974" w:rsidRPr="00973974">
        <w:t xml:space="preserve"> J</w:t>
      </w:r>
      <w:r w:rsidR="007E3916" w:rsidRPr="00973974">
        <w:t>.</w:t>
      </w:r>
    </w:p>
    <w:p w14:paraId="5F171553" w14:textId="283284E2" w:rsidR="006C28FB" w:rsidRDefault="00AD43A7" w:rsidP="00F74DEF">
      <w:pPr>
        <w:pStyle w:val="ParaNumbering"/>
        <w:ind w:left="0"/>
        <w:rPr>
          <w:lang w:eastAsia="en-AU"/>
        </w:rPr>
      </w:pPr>
      <w:r>
        <w:rPr>
          <w:lang w:eastAsia="en-AU"/>
        </w:rPr>
        <w:t xml:space="preserve">Of course, </w:t>
      </w:r>
      <w:r w:rsidR="004A3FD0">
        <w:rPr>
          <w:lang w:eastAsia="en-AU"/>
        </w:rPr>
        <w:t>t</w:t>
      </w:r>
      <w:r>
        <w:rPr>
          <w:lang w:eastAsia="en-AU"/>
        </w:rPr>
        <w:t>here is no artificial legal person involved in this case.</w:t>
      </w:r>
      <w:r w:rsidR="00C92F1A">
        <w:rPr>
          <w:lang w:eastAsia="en-AU"/>
        </w:rPr>
        <w:t xml:space="preserve"> </w:t>
      </w:r>
      <w:r w:rsidR="004D3A9E">
        <w:rPr>
          <w:lang w:eastAsia="en-AU"/>
        </w:rPr>
        <w:t>I am</w:t>
      </w:r>
      <w:r w:rsidR="008C48C5">
        <w:rPr>
          <w:lang w:eastAsia="en-AU"/>
        </w:rPr>
        <w:t>, with respect,</w:t>
      </w:r>
      <w:r w:rsidR="004D3A9E">
        <w:rPr>
          <w:lang w:eastAsia="en-AU"/>
        </w:rPr>
        <w:t xml:space="preserve"> conscious of the</w:t>
      </w:r>
      <w:r w:rsidR="008C48C5">
        <w:rPr>
          <w:lang w:eastAsia="en-AU"/>
        </w:rPr>
        <w:t xml:space="preserve"> </w:t>
      </w:r>
      <w:r w:rsidR="00393612">
        <w:rPr>
          <w:lang w:eastAsia="en-AU"/>
        </w:rPr>
        <w:t>well</w:t>
      </w:r>
      <w:r w:rsidR="007D2D55">
        <w:rPr>
          <w:lang w:eastAsia="en-AU"/>
        </w:rPr>
        <w:t>-</w:t>
      </w:r>
      <w:r w:rsidR="00393612">
        <w:rPr>
          <w:lang w:eastAsia="en-AU"/>
        </w:rPr>
        <w:t xml:space="preserve">expressed </w:t>
      </w:r>
      <w:r w:rsidR="004D3A9E">
        <w:rPr>
          <w:lang w:eastAsia="en-AU"/>
        </w:rPr>
        <w:t xml:space="preserve">criticisms of the </w:t>
      </w:r>
      <w:r w:rsidR="00E411C1">
        <w:rPr>
          <w:lang w:eastAsia="en-AU"/>
        </w:rPr>
        <w:t>merits of the argument</w:t>
      </w:r>
      <w:r w:rsidR="004D3A9E">
        <w:rPr>
          <w:lang w:eastAsia="en-AU"/>
        </w:rPr>
        <w:t xml:space="preserve"> </w:t>
      </w:r>
      <w:r w:rsidR="00393612">
        <w:rPr>
          <w:lang w:eastAsia="en-AU"/>
        </w:rPr>
        <w:t>described as arguable</w:t>
      </w:r>
      <w:r w:rsidR="004D3A9E">
        <w:rPr>
          <w:lang w:eastAsia="en-AU"/>
        </w:rPr>
        <w:t xml:space="preserve"> in </w:t>
      </w:r>
      <w:r w:rsidR="004D3A9E" w:rsidRPr="004D3A9E">
        <w:rPr>
          <w:i/>
          <w:lang w:eastAsia="en-AU"/>
        </w:rPr>
        <w:t>Oliver</w:t>
      </w:r>
      <w:r w:rsidR="004D3A9E">
        <w:rPr>
          <w:lang w:eastAsia="en-AU"/>
        </w:rPr>
        <w:t xml:space="preserve">, but the width of what was said </w:t>
      </w:r>
      <w:r w:rsidR="008C48C5">
        <w:rPr>
          <w:lang w:eastAsia="en-AU"/>
        </w:rPr>
        <w:t xml:space="preserve">by Latham CJ and later applied </w:t>
      </w:r>
      <w:r w:rsidR="004D3A9E">
        <w:rPr>
          <w:lang w:eastAsia="en-AU"/>
        </w:rPr>
        <w:t xml:space="preserve">in </w:t>
      </w:r>
      <w:r w:rsidR="004D3A9E" w:rsidRPr="004D3A9E">
        <w:rPr>
          <w:i/>
          <w:lang w:eastAsia="en-AU"/>
        </w:rPr>
        <w:t>LNC Industries</w:t>
      </w:r>
      <w:r w:rsidR="004D3A9E">
        <w:rPr>
          <w:lang w:eastAsia="en-AU"/>
        </w:rPr>
        <w:t xml:space="preserve"> might be thought to create </w:t>
      </w:r>
      <w:r w:rsidR="003130FE">
        <w:rPr>
          <w:lang w:eastAsia="en-AU"/>
        </w:rPr>
        <w:t>some</w:t>
      </w:r>
      <w:r w:rsidR="00F11D82">
        <w:rPr>
          <w:lang w:eastAsia="en-AU"/>
        </w:rPr>
        <w:t xml:space="preserve"> uncertainty</w:t>
      </w:r>
      <w:r w:rsidR="004D3A9E">
        <w:rPr>
          <w:lang w:eastAsia="en-AU"/>
        </w:rPr>
        <w:t xml:space="preserve"> at the boundaries (and in a case</w:t>
      </w:r>
      <w:r w:rsidR="00B8505E">
        <w:rPr>
          <w:lang w:eastAsia="en-AU"/>
        </w:rPr>
        <w:t xml:space="preserve"> where</w:t>
      </w:r>
      <w:r w:rsidR="004D3A9E">
        <w:rPr>
          <w:lang w:eastAsia="en-AU"/>
        </w:rPr>
        <w:t>, unlike here, it is determinative, no doubt the issue will be resolved following full argument).</w:t>
      </w:r>
      <w:r w:rsidR="00C92F1A">
        <w:rPr>
          <w:lang w:eastAsia="en-AU"/>
        </w:rPr>
        <w:t xml:space="preserve"> </w:t>
      </w:r>
      <w:r>
        <w:rPr>
          <w:lang w:eastAsia="en-AU"/>
        </w:rPr>
        <w:t xml:space="preserve">I have </w:t>
      </w:r>
      <w:r w:rsidR="004D3A9E">
        <w:rPr>
          <w:lang w:eastAsia="en-AU"/>
        </w:rPr>
        <w:t xml:space="preserve">only </w:t>
      </w:r>
      <w:r>
        <w:rPr>
          <w:lang w:eastAsia="en-AU"/>
        </w:rPr>
        <w:t>dealt with the point</w:t>
      </w:r>
      <w:r w:rsidR="00B2642A">
        <w:rPr>
          <w:lang w:eastAsia="en-AU"/>
        </w:rPr>
        <w:t xml:space="preserve">, perhaps at excessive length, </w:t>
      </w:r>
      <w:r>
        <w:rPr>
          <w:lang w:eastAsia="en-AU"/>
        </w:rPr>
        <w:t>because understanding</w:t>
      </w:r>
      <w:r w:rsidR="002974A6">
        <w:rPr>
          <w:lang w:eastAsia="en-AU"/>
        </w:rPr>
        <w:t xml:space="preserve"> </w:t>
      </w:r>
      <w:r w:rsidR="002974A6" w:rsidRPr="002974A6">
        <w:rPr>
          <w:i/>
          <w:lang w:eastAsia="en-AU"/>
        </w:rPr>
        <w:t>LNC I</w:t>
      </w:r>
      <w:r w:rsidRPr="002974A6">
        <w:rPr>
          <w:i/>
          <w:lang w:eastAsia="en-AU"/>
        </w:rPr>
        <w:t>ndustries</w:t>
      </w:r>
      <w:r>
        <w:rPr>
          <w:lang w:eastAsia="en-AU"/>
        </w:rPr>
        <w:t xml:space="preserve"> </w:t>
      </w:r>
      <w:r w:rsidR="004A3FD0">
        <w:rPr>
          <w:lang w:eastAsia="en-AU"/>
        </w:rPr>
        <w:t xml:space="preserve">and its </w:t>
      </w:r>
      <w:r w:rsidR="00F11D82">
        <w:rPr>
          <w:lang w:eastAsia="en-AU"/>
        </w:rPr>
        <w:t>principled</w:t>
      </w:r>
      <w:r w:rsidR="004D3A9E">
        <w:rPr>
          <w:lang w:eastAsia="en-AU"/>
        </w:rPr>
        <w:t xml:space="preserve"> application</w:t>
      </w:r>
      <w:r w:rsidR="004A3FD0">
        <w:rPr>
          <w:lang w:eastAsia="en-AU"/>
        </w:rPr>
        <w:t xml:space="preserve"> </w:t>
      </w:r>
      <w:r w:rsidR="003130FE">
        <w:rPr>
          <w:lang w:eastAsia="en-AU"/>
        </w:rPr>
        <w:t xml:space="preserve">(and its potentialities) </w:t>
      </w:r>
      <w:r>
        <w:rPr>
          <w:lang w:eastAsia="en-AU"/>
        </w:rPr>
        <w:t xml:space="preserve">is </w:t>
      </w:r>
      <w:r w:rsidR="003130FE">
        <w:rPr>
          <w:lang w:eastAsia="en-AU"/>
        </w:rPr>
        <w:t>important i</w:t>
      </w:r>
      <w:r>
        <w:rPr>
          <w:lang w:eastAsia="en-AU"/>
        </w:rPr>
        <w:t xml:space="preserve">n understanding why </w:t>
      </w:r>
      <w:r w:rsidR="000C54C6">
        <w:rPr>
          <w:lang w:eastAsia="en-AU"/>
        </w:rPr>
        <w:t>the</w:t>
      </w:r>
      <w:r>
        <w:rPr>
          <w:lang w:eastAsia="en-AU"/>
        </w:rPr>
        <w:t xml:space="preserve"> </w:t>
      </w:r>
      <w:r w:rsidR="000C54C6">
        <w:rPr>
          <w:lang w:eastAsia="en-AU"/>
        </w:rPr>
        <w:t xml:space="preserve">subject-matter </w:t>
      </w:r>
      <w:r>
        <w:rPr>
          <w:lang w:eastAsia="en-AU"/>
        </w:rPr>
        <w:t xml:space="preserve">jurisdiction </w:t>
      </w:r>
      <w:r w:rsidR="000C54C6">
        <w:rPr>
          <w:lang w:eastAsia="en-AU"/>
        </w:rPr>
        <w:t xml:space="preserve">of the Court </w:t>
      </w:r>
      <w:r>
        <w:rPr>
          <w:lang w:eastAsia="en-AU"/>
        </w:rPr>
        <w:t>may be attracted in this case.</w:t>
      </w:r>
      <w:r w:rsidR="00C92F1A">
        <w:rPr>
          <w:lang w:eastAsia="en-AU"/>
        </w:rPr>
        <w:t xml:space="preserve"> </w:t>
      </w:r>
    </w:p>
    <w:p w14:paraId="2E34B1DC" w14:textId="7D0D765F" w:rsidR="001E7416" w:rsidRDefault="002E7F06" w:rsidP="001E7416">
      <w:pPr>
        <w:pStyle w:val="Heading1"/>
        <w:ind w:left="720" w:hanging="720"/>
      </w:pPr>
      <w:bookmarkStart w:id="30" w:name="_Ref82003797"/>
      <w:r>
        <w:t>E</w:t>
      </w:r>
      <w:r w:rsidR="00125266">
        <w:tab/>
      </w:r>
      <w:r w:rsidR="00D01986">
        <w:t xml:space="preserve">JURISDICTION </w:t>
      </w:r>
      <w:r w:rsidR="0012183E">
        <w:t>AND THIS PROCEEDING</w:t>
      </w:r>
    </w:p>
    <w:bookmarkEnd w:id="30"/>
    <w:p w14:paraId="4BDC35DF" w14:textId="68499AD8" w:rsidR="00C8287A" w:rsidRPr="00583B0F" w:rsidRDefault="00C8287A" w:rsidP="00583B0F">
      <w:pPr>
        <w:pStyle w:val="ParaNumbering"/>
        <w:numPr>
          <w:ilvl w:val="0"/>
          <w:numId w:val="0"/>
        </w:numPr>
        <w:rPr>
          <w:b/>
          <w:bCs/>
        </w:rPr>
      </w:pPr>
      <w:r w:rsidRPr="00583B0F">
        <w:rPr>
          <w:b/>
          <w:bCs/>
        </w:rPr>
        <w:t>E.1</w:t>
      </w:r>
      <w:r w:rsidR="00583B0F" w:rsidRPr="00583B0F">
        <w:rPr>
          <w:b/>
          <w:bCs/>
        </w:rPr>
        <w:tab/>
      </w:r>
      <w:r w:rsidR="009A0DD4">
        <w:rPr>
          <w:b/>
          <w:bCs/>
        </w:rPr>
        <w:t>“Arising u</w:t>
      </w:r>
      <w:r w:rsidR="00583B0F">
        <w:rPr>
          <w:b/>
          <w:bCs/>
        </w:rPr>
        <w:t>nder”</w:t>
      </w:r>
      <w:r w:rsidR="00583B0F" w:rsidRPr="00583B0F">
        <w:rPr>
          <w:b/>
          <w:bCs/>
        </w:rPr>
        <w:t xml:space="preserve"> and </w:t>
      </w:r>
      <w:r w:rsidR="00583B0F">
        <w:rPr>
          <w:b/>
          <w:bCs/>
        </w:rPr>
        <w:t>the</w:t>
      </w:r>
      <w:r w:rsidR="009A0DD4">
        <w:rPr>
          <w:b/>
          <w:bCs/>
        </w:rPr>
        <w:t xml:space="preserve"> s</w:t>
      </w:r>
      <w:r w:rsidR="00583B0F" w:rsidRPr="00583B0F">
        <w:rPr>
          <w:b/>
          <w:bCs/>
        </w:rPr>
        <w:t>cope</w:t>
      </w:r>
      <w:r w:rsidR="009A0DD4">
        <w:rPr>
          <w:b/>
          <w:bCs/>
        </w:rPr>
        <w:t xml:space="preserve"> of the m</w:t>
      </w:r>
      <w:r w:rsidR="00583B0F">
        <w:rPr>
          <w:b/>
          <w:bCs/>
        </w:rPr>
        <w:t>atter</w:t>
      </w:r>
    </w:p>
    <w:p w14:paraId="11078717" w14:textId="066ADEF3" w:rsidR="00363272" w:rsidRDefault="003130FE" w:rsidP="00C8287A">
      <w:pPr>
        <w:pStyle w:val="ParaNumbering"/>
        <w:ind w:left="0"/>
      </w:pPr>
      <w:r>
        <w:t>I</w:t>
      </w:r>
      <w:r w:rsidR="001E7416">
        <w:t xml:space="preserve">t is </w:t>
      </w:r>
      <w:r>
        <w:t xml:space="preserve">now </w:t>
      </w:r>
      <w:r w:rsidR="001E7416">
        <w:t xml:space="preserve">necessary to </w:t>
      </w:r>
      <w:r w:rsidR="00363272">
        <w:t>re</w:t>
      </w:r>
      <w:r w:rsidR="001E7416">
        <w:t>turn</w:t>
      </w:r>
      <w:r w:rsidR="0078327D">
        <w:t xml:space="preserve"> to</w:t>
      </w:r>
      <w:r w:rsidR="001E7416">
        <w:t xml:space="preserve"> the specific</w:t>
      </w:r>
      <w:r w:rsidR="00583B0F">
        <w:t>s</w:t>
      </w:r>
      <w:r w:rsidR="001E7416">
        <w:t xml:space="preserve"> of this case.</w:t>
      </w:r>
    </w:p>
    <w:p w14:paraId="2794785F" w14:textId="276BF7DE" w:rsidR="00D01986" w:rsidRDefault="00D01986" w:rsidP="005E203B">
      <w:pPr>
        <w:pStyle w:val="ParaNumbering"/>
        <w:ind w:left="0"/>
      </w:pPr>
      <w:r>
        <w:rPr>
          <w:lang w:eastAsia="en-AU"/>
        </w:rPr>
        <w:t xml:space="preserve">Although </w:t>
      </w:r>
      <w:r w:rsidR="00477E6E">
        <w:rPr>
          <w:lang w:eastAsia="en-AU"/>
        </w:rPr>
        <w:t xml:space="preserve">featuring </w:t>
      </w:r>
      <w:r>
        <w:rPr>
          <w:lang w:eastAsia="en-AU"/>
        </w:rPr>
        <w:t xml:space="preserve">an unusual set of facts, </w:t>
      </w:r>
      <w:r w:rsidR="00583B0F">
        <w:rPr>
          <w:lang w:eastAsia="en-AU"/>
        </w:rPr>
        <w:t xml:space="preserve">by reference to the principles explained </w:t>
      </w:r>
      <w:r w:rsidR="003130FE">
        <w:rPr>
          <w:lang w:eastAsia="en-AU"/>
        </w:rPr>
        <w:t>above</w:t>
      </w:r>
      <w:r w:rsidR="00477E6E">
        <w:rPr>
          <w:lang w:eastAsia="en-AU"/>
        </w:rPr>
        <w:t xml:space="preserve">, </w:t>
      </w:r>
      <w:r>
        <w:rPr>
          <w:lang w:eastAsia="en-AU"/>
        </w:rPr>
        <w:t>this</w:t>
      </w:r>
      <w:r w:rsidR="00477E6E">
        <w:rPr>
          <w:lang w:eastAsia="en-AU"/>
        </w:rPr>
        <w:t xml:space="preserve"> </w:t>
      </w:r>
      <w:r w:rsidR="003130FE">
        <w:rPr>
          <w:lang w:eastAsia="en-AU"/>
        </w:rPr>
        <w:t>is not</w:t>
      </w:r>
      <w:r>
        <w:rPr>
          <w:lang w:eastAsia="en-AU"/>
        </w:rPr>
        <w:t xml:space="preserve"> </w:t>
      </w:r>
      <w:r w:rsidR="004D3A9E">
        <w:rPr>
          <w:lang w:eastAsia="en-AU"/>
        </w:rPr>
        <w:t xml:space="preserve">a </w:t>
      </w:r>
      <w:r>
        <w:rPr>
          <w:lang w:eastAsia="en-AU"/>
        </w:rPr>
        <w:t>case at the margins.</w:t>
      </w:r>
      <w:r w:rsidR="00C92F1A">
        <w:rPr>
          <w:lang w:eastAsia="en-AU"/>
        </w:rPr>
        <w:t xml:space="preserve"> </w:t>
      </w:r>
      <w:r>
        <w:rPr>
          <w:lang w:eastAsia="en-AU"/>
        </w:rPr>
        <w:t xml:space="preserve">As noted above, </w:t>
      </w:r>
      <w:r>
        <w:t xml:space="preserve">the justiciable controversy between Mr Mulley and Mr Hayes includes an action on the case for conduct directed at Mr Mulley </w:t>
      </w:r>
      <w:r w:rsidR="0067313F">
        <w:t>that</w:t>
      </w:r>
      <w:r>
        <w:t xml:space="preserve"> is claimed to be unlawful</w:t>
      </w:r>
      <w:r w:rsidR="009A2B53">
        <w:t>.</w:t>
      </w:r>
      <w:r w:rsidR="003130FE">
        <w:t xml:space="preserve"> It is unlawful because it is alleged to constitute conduct contrary to a norm </w:t>
      </w:r>
      <w:r w:rsidR="003130FE">
        <w:lastRenderedPageBreak/>
        <w:t>created by,</w:t>
      </w:r>
      <w:r>
        <w:t xml:space="preserve"> </w:t>
      </w:r>
      <w:r w:rsidR="003130FE">
        <w:t xml:space="preserve">and owing its existence to, </w:t>
      </w:r>
      <w:r>
        <w:t>a law of the Parliament</w:t>
      </w:r>
      <w:r w:rsidR="0067313F">
        <w:t>.</w:t>
      </w:r>
      <w:r>
        <w:t xml:space="preserve"> </w:t>
      </w:r>
      <w:r w:rsidR="0067313F">
        <w:t>Hence,</w:t>
      </w:r>
      <w:r>
        <w:t xml:space="preserve"> </w:t>
      </w:r>
      <w:r w:rsidR="008909B8">
        <w:t>the entire</w:t>
      </w:r>
      <w:r>
        <w:t xml:space="preserve"> </w:t>
      </w:r>
      <w:r w:rsidR="008909B8">
        <w:t xml:space="preserve">controversy out of which this </w:t>
      </w:r>
      <w:r w:rsidR="008909B8" w:rsidRPr="005E203B">
        <w:rPr>
          <w:i/>
        </w:rPr>
        <w:t>fourth</w:t>
      </w:r>
      <w:r w:rsidR="008909B8">
        <w:t xml:space="preserve"> pleaded clai</w:t>
      </w:r>
      <w:r w:rsidR="008C48C5">
        <w:t xml:space="preserve">m </w:t>
      </w:r>
      <w:r w:rsidR="0067313F">
        <w:t xml:space="preserve">arises </w:t>
      </w:r>
      <w:r>
        <w:t>is one “arising under” a law of the Parliament</w:t>
      </w:r>
      <w:r w:rsidR="008909B8">
        <w:t>.</w:t>
      </w:r>
      <w:r w:rsidR="001173A2">
        <w:t xml:space="preserve"> </w:t>
      </w:r>
    </w:p>
    <w:p w14:paraId="2BE7A35A" w14:textId="211FC587" w:rsidR="00562083" w:rsidRDefault="003130FE" w:rsidP="005E203B">
      <w:pPr>
        <w:pStyle w:val="ParaNumbering"/>
        <w:ind w:left="0"/>
        <w:rPr>
          <w:lang w:eastAsia="en-AU"/>
        </w:rPr>
      </w:pPr>
      <w:r>
        <w:rPr>
          <w:lang w:eastAsia="en-AU"/>
        </w:rPr>
        <w:t xml:space="preserve">It is then necessary </w:t>
      </w:r>
      <w:r w:rsidR="00044A13">
        <w:rPr>
          <w:lang w:eastAsia="en-AU"/>
        </w:rPr>
        <w:t>to identify</w:t>
      </w:r>
      <w:r w:rsidR="005E203B">
        <w:rPr>
          <w:lang w:eastAsia="en-AU"/>
        </w:rPr>
        <w:t xml:space="preserve"> </w:t>
      </w:r>
      <w:r w:rsidR="00C8287A">
        <w:rPr>
          <w:lang w:eastAsia="en-AU"/>
        </w:rPr>
        <w:t>the</w:t>
      </w:r>
      <w:r w:rsidR="005E203B">
        <w:rPr>
          <w:lang w:eastAsia="en-AU"/>
        </w:rPr>
        <w:t xml:space="preserve"> scope</w:t>
      </w:r>
      <w:r w:rsidR="00C8287A">
        <w:rPr>
          <w:lang w:eastAsia="en-AU"/>
        </w:rPr>
        <w:t xml:space="preserve"> of the matter</w:t>
      </w:r>
      <w:r w:rsidR="005E203B">
        <w:rPr>
          <w:lang w:eastAsia="en-AU"/>
        </w:rPr>
        <w:t xml:space="preserve">. </w:t>
      </w:r>
      <w:r w:rsidR="00A80023" w:rsidRPr="00F74DEF">
        <w:rPr>
          <w:lang w:eastAsia="en-AU"/>
        </w:rPr>
        <w:t>Mr Hayes</w:t>
      </w:r>
      <w:r w:rsidR="00562083">
        <w:rPr>
          <w:lang w:eastAsia="en-AU"/>
        </w:rPr>
        <w:t xml:space="preserve"> </w:t>
      </w:r>
      <w:r w:rsidR="00562083" w:rsidRPr="00A260AB">
        <w:rPr>
          <w:lang w:eastAsia="en-AU"/>
        </w:rPr>
        <w:t xml:space="preserve">made </w:t>
      </w:r>
      <w:r w:rsidR="00562083">
        <w:rPr>
          <w:lang w:eastAsia="en-AU"/>
        </w:rPr>
        <w:t>three</w:t>
      </w:r>
      <w:r w:rsidR="00562083" w:rsidRPr="00AD0301">
        <w:rPr>
          <w:lang w:eastAsia="en-AU"/>
        </w:rPr>
        <w:t xml:space="preserve"> points </w:t>
      </w:r>
      <w:r w:rsidR="00A32EB4">
        <w:rPr>
          <w:lang w:eastAsia="en-AU"/>
        </w:rPr>
        <w:t xml:space="preserve">regarding the </w:t>
      </w:r>
      <w:r w:rsidR="0067313F">
        <w:rPr>
          <w:lang w:eastAsia="en-AU"/>
        </w:rPr>
        <w:t xml:space="preserve">scope of the matter, specifically, the </w:t>
      </w:r>
      <w:r w:rsidR="00A32EB4" w:rsidRPr="00A32EB4">
        <w:rPr>
          <w:lang w:eastAsia="en-AU"/>
        </w:rPr>
        <w:t>separate and distinct</w:t>
      </w:r>
      <w:r w:rsidR="008909B8">
        <w:rPr>
          <w:lang w:eastAsia="en-AU"/>
        </w:rPr>
        <w:t xml:space="preserve"> nature of the</w:t>
      </w:r>
      <w:r w:rsidR="00477E6E">
        <w:rPr>
          <w:lang w:eastAsia="en-AU"/>
        </w:rPr>
        <w:t xml:space="preserve"> </w:t>
      </w:r>
      <w:r w:rsidR="00477E6E">
        <w:rPr>
          <w:i/>
          <w:lang w:eastAsia="en-AU"/>
        </w:rPr>
        <w:t xml:space="preserve">third </w:t>
      </w:r>
      <w:r w:rsidR="00477E6E">
        <w:rPr>
          <w:lang w:eastAsia="en-AU"/>
        </w:rPr>
        <w:t>pleaded claim</w:t>
      </w:r>
      <w:r w:rsidR="008909B8">
        <w:rPr>
          <w:lang w:eastAsia="en-AU"/>
        </w:rPr>
        <w:t xml:space="preserve"> </w:t>
      </w:r>
      <w:r w:rsidR="00477E6E">
        <w:rPr>
          <w:lang w:eastAsia="en-AU"/>
        </w:rPr>
        <w:t xml:space="preserve">(the claim made in </w:t>
      </w:r>
      <w:r w:rsidR="008909B8">
        <w:rPr>
          <w:lang w:eastAsia="en-AU"/>
        </w:rPr>
        <w:t>defamation</w:t>
      </w:r>
      <w:r w:rsidR="00477E6E">
        <w:rPr>
          <w:lang w:eastAsia="en-AU"/>
        </w:rPr>
        <w:t>)</w:t>
      </w:r>
      <w:r w:rsidR="008909B8">
        <w:rPr>
          <w:lang w:eastAsia="en-AU"/>
        </w:rPr>
        <w:t xml:space="preserve"> and the </w:t>
      </w:r>
      <w:r w:rsidR="008909B8" w:rsidRPr="008909B8">
        <w:rPr>
          <w:i/>
          <w:lang w:eastAsia="en-AU"/>
        </w:rPr>
        <w:t>fourth</w:t>
      </w:r>
      <w:r w:rsidR="005E203B">
        <w:rPr>
          <w:lang w:eastAsia="en-AU"/>
        </w:rPr>
        <w:t xml:space="preserve"> pleaded claim (</w:t>
      </w:r>
      <w:r w:rsidR="008909B8">
        <w:rPr>
          <w:lang w:eastAsia="en-AU"/>
        </w:rPr>
        <w:t>the action on the case</w:t>
      </w:r>
      <w:r w:rsidR="005E203B">
        <w:rPr>
          <w:lang w:eastAsia="en-AU"/>
        </w:rPr>
        <w:t>)</w:t>
      </w:r>
      <w:r w:rsidR="008909B8">
        <w:rPr>
          <w:lang w:eastAsia="en-AU"/>
        </w:rPr>
        <w:t>.</w:t>
      </w:r>
      <w:r w:rsidR="00C92F1A">
        <w:rPr>
          <w:lang w:eastAsia="en-AU"/>
        </w:rPr>
        <w:t xml:space="preserve"> </w:t>
      </w:r>
      <w:r>
        <w:rPr>
          <w:lang w:eastAsia="en-AU"/>
        </w:rPr>
        <w:t>The</w:t>
      </w:r>
      <w:r w:rsidR="003E73FF">
        <w:rPr>
          <w:lang w:eastAsia="en-AU"/>
        </w:rPr>
        <w:t>se</w:t>
      </w:r>
      <w:r w:rsidR="003E73FF" w:rsidRPr="003E73FF">
        <w:rPr>
          <w:lang w:eastAsia="en-AU"/>
        </w:rPr>
        <w:t xml:space="preserve"> submission</w:t>
      </w:r>
      <w:r w:rsidR="003E73FF">
        <w:rPr>
          <w:lang w:eastAsia="en-AU"/>
        </w:rPr>
        <w:t xml:space="preserve">s </w:t>
      </w:r>
      <w:r w:rsidR="008C48C5">
        <w:rPr>
          <w:lang w:eastAsia="en-AU"/>
        </w:rPr>
        <w:t>must</w:t>
      </w:r>
      <w:r w:rsidR="00A80023">
        <w:rPr>
          <w:lang w:eastAsia="en-AU"/>
        </w:rPr>
        <w:t xml:space="preserve"> be rejected</w:t>
      </w:r>
      <w:r>
        <w:rPr>
          <w:lang w:eastAsia="en-AU"/>
        </w:rPr>
        <w:t>, for reasons that follow</w:t>
      </w:r>
      <w:r w:rsidR="003E73FF" w:rsidRPr="003E73FF">
        <w:rPr>
          <w:lang w:eastAsia="en-AU"/>
        </w:rPr>
        <w:t>.</w:t>
      </w:r>
      <w:r w:rsidR="005E203B">
        <w:rPr>
          <w:lang w:eastAsia="en-AU"/>
        </w:rPr>
        <w:t xml:space="preserve"> </w:t>
      </w:r>
    </w:p>
    <w:p w14:paraId="707272C8" w14:textId="62B0AD90" w:rsidR="001F1640" w:rsidRDefault="001F1640" w:rsidP="00F74DEF">
      <w:pPr>
        <w:pStyle w:val="ParaNumbering"/>
        <w:ind w:left="0"/>
        <w:rPr>
          <w:lang w:eastAsia="en-AU"/>
        </w:rPr>
      </w:pPr>
      <w:r w:rsidRPr="001F1640">
        <w:rPr>
          <w:lang w:eastAsia="en-AU"/>
        </w:rPr>
        <w:t>The</w:t>
      </w:r>
      <w:r w:rsidRPr="00F74DEF">
        <w:rPr>
          <w:lang w:eastAsia="en-AU"/>
        </w:rPr>
        <w:t xml:space="preserve"> </w:t>
      </w:r>
      <w:r w:rsidRPr="0067313F">
        <w:rPr>
          <w:i/>
          <w:iCs/>
          <w:lang w:eastAsia="en-AU"/>
        </w:rPr>
        <w:t>first</w:t>
      </w:r>
      <w:r w:rsidRPr="00F74DEF">
        <w:rPr>
          <w:lang w:eastAsia="en-AU"/>
        </w:rPr>
        <w:t xml:space="preserve"> </w:t>
      </w:r>
      <w:r w:rsidR="00A80023" w:rsidRPr="00F74DEF">
        <w:rPr>
          <w:lang w:eastAsia="en-AU"/>
        </w:rPr>
        <w:t xml:space="preserve">submission </w:t>
      </w:r>
      <w:r w:rsidRPr="001F1640">
        <w:rPr>
          <w:lang w:eastAsia="en-AU"/>
        </w:rPr>
        <w:t>was</w:t>
      </w:r>
      <w:r w:rsidR="006759E4">
        <w:rPr>
          <w:lang w:eastAsia="en-AU"/>
        </w:rPr>
        <w:t xml:space="preserve"> directed towards the commonality of the facts. </w:t>
      </w:r>
      <w:r w:rsidR="00A80023" w:rsidRPr="00F74DEF">
        <w:rPr>
          <w:lang w:eastAsia="en-AU"/>
        </w:rPr>
        <w:t>Mr Hayes</w:t>
      </w:r>
      <w:r w:rsidR="00A80023">
        <w:rPr>
          <w:lang w:eastAsia="en-AU"/>
        </w:rPr>
        <w:t xml:space="preserve"> contended </w:t>
      </w:r>
      <w:r w:rsidR="0038789F">
        <w:rPr>
          <w:lang w:eastAsia="en-AU"/>
        </w:rPr>
        <w:t xml:space="preserve">that, </w:t>
      </w:r>
      <w:r w:rsidR="00B91319">
        <w:rPr>
          <w:lang w:eastAsia="en-AU"/>
        </w:rPr>
        <w:t xml:space="preserve">because Mr Mulley’s claims involve different publications, different recipients, and different dates, </w:t>
      </w:r>
      <w:r w:rsidR="00B91319" w:rsidRPr="00D82B8F">
        <w:rPr>
          <w:lang w:eastAsia="en-AU"/>
        </w:rPr>
        <w:t xml:space="preserve">they are </w:t>
      </w:r>
      <w:r w:rsidRPr="001F1640">
        <w:rPr>
          <w:lang w:eastAsia="en-AU"/>
        </w:rPr>
        <w:t>completely separate and distinct</w:t>
      </w:r>
      <w:r w:rsidR="00B91319">
        <w:rPr>
          <w:lang w:eastAsia="en-AU"/>
        </w:rPr>
        <w:t xml:space="preserve"> so as</w:t>
      </w:r>
      <w:r w:rsidR="00B91319" w:rsidRPr="00D82B8F">
        <w:rPr>
          <w:lang w:eastAsia="en-AU"/>
        </w:rPr>
        <w:t xml:space="preserve"> not to be</w:t>
      </w:r>
      <w:r w:rsidR="0067313F" w:rsidRPr="0067313F">
        <w:rPr>
          <w:lang w:eastAsia="en-AU"/>
        </w:rPr>
        <w:t xml:space="preserve"> </w:t>
      </w:r>
      <w:r w:rsidR="0067313F" w:rsidRPr="00D82B8F">
        <w:rPr>
          <w:lang w:eastAsia="en-AU"/>
        </w:rPr>
        <w:t>properly</w:t>
      </w:r>
      <w:r w:rsidR="00B91319" w:rsidRPr="00D82B8F">
        <w:rPr>
          <w:lang w:eastAsia="en-AU"/>
        </w:rPr>
        <w:t xml:space="preserve"> regarded as part of </w:t>
      </w:r>
      <w:r w:rsidR="00B91319">
        <w:rPr>
          <w:lang w:eastAsia="en-AU"/>
        </w:rPr>
        <w:t>a</w:t>
      </w:r>
      <w:r w:rsidR="00B91319" w:rsidRPr="00D82B8F">
        <w:rPr>
          <w:lang w:eastAsia="en-AU"/>
        </w:rPr>
        <w:t xml:space="preserve"> common substratum of facts.</w:t>
      </w:r>
      <w:r w:rsidR="00F01464">
        <w:rPr>
          <w:lang w:eastAsia="en-AU"/>
        </w:rPr>
        <w:t xml:space="preserve"> </w:t>
      </w:r>
    </w:p>
    <w:p w14:paraId="71AA609C" w14:textId="5E9B401A" w:rsidR="00F01464" w:rsidRDefault="000979F3" w:rsidP="00F74DEF">
      <w:pPr>
        <w:pStyle w:val="ParaNumbering"/>
        <w:ind w:left="0"/>
      </w:pPr>
      <w:r>
        <w:rPr>
          <w:lang w:eastAsia="en-AU"/>
        </w:rPr>
        <w:t xml:space="preserve">As was identified by the Full Court in </w:t>
      </w:r>
      <w:r w:rsidR="009020DD">
        <w:rPr>
          <w:i/>
          <w:lang w:eastAsia="en-AU"/>
        </w:rPr>
        <w:t xml:space="preserve">Rana v Google </w:t>
      </w:r>
      <w:proofErr w:type="spellStart"/>
      <w:r w:rsidR="009020DD">
        <w:rPr>
          <w:i/>
          <w:lang w:eastAsia="en-AU"/>
        </w:rPr>
        <w:t>Inc</w:t>
      </w:r>
      <w:proofErr w:type="spellEnd"/>
      <w:r w:rsidRPr="009954CF">
        <w:t> </w:t>
      </w:r>
      <w:r w:rsidR="009020DD">
        <w:t>(</w:t>
      </w:r>
      <w:r w:rsidRPr="009954CF">
        <w:t>at</w:t>
      </w:r>
      <w:r>
        <w:t xml:space="preserve"> 9 [29]</w:t>
      </w:r>
      <w:r w:rsidR="009020DD">
        <w:t>)</w:t>
      </w:r>
      <w:r>
        <w:t xml:space="preserve">, “there is no requirement for a complete overlapping of the underlying substratum of facts”; rather, there will be </w:t>
      </w:r>
      <w:r w:rsidRPr="000979F3">
        <w:t xml:space="preserve">sufficient commonality </w:t>
      </w:r>
      <w:r>
        <w:t>where there is “</w:t>
      </w:r>
      <w:r w:rsidR="00B91319" w:rsidRPr="009954CF">
        <w:t>common substance, a substantial overlapping of the underlying facts and allegations in the federal claim and the non-federal claim out of which the different claims arise</w:t>
      </w:r>
      <w:r>
        <w:t xml:space="preserve">”. </w:t>
      </w:r>
    </w:p>
    <w:p w14:paraId="3049278D" w14:textId="649C1850" w:rsidR="008371D5" w:rsidRPr="008371D5" w:rsidRDefault="00F01464" w:rsidP="00F74DEF">
      <w:pPr>
        <w:pStyle w:val="ParaNumbering"/>
        <w:ind w:left="0"/>
      </w:pPr>
      <w:r>
        <w:t>As an illustration of what will amount to a</w:t>
      </w:r>
      <w:r w:rsidRPr="00F01464">
        <w:t xml:space="preserve"> common substratum of facts</w:t>
      </w:r>
      <w:r>
        <w:t xml:space="preserve"> in </w:t>
      </w:r>
      <w:r w:rsidRPr="00F01464">
        <w:t>a case</w:t>
      </w:r>
      <w:r>
        <w:t xml:space="preserve"> such as</w:t>
      </w:r>
      <w:r w:rsidR="00962FEE">
        <w:t xml:space="preserve"> the present</w:t>
      </w:r>
      <w:r w:rsidRPr="00F01464">
        <w:t xml:space="preserve">, </w:t>
      </w:r>
      <w:r w:rsidR="00962FEE">
        <w:t>i</w:t>
      </w:r>
      <w:r>
        <w:t xml:space="preserve">n </w:t>
      </w:r>
      <w:r w:rsidRPr="002A23BB">
        <w:rPr>
          <w:bCs/>
          <w:i/>
        </w:rPr>
        <w:t>Hu</w:t>
      </w:r>
      <w:r w:rsidR="007868CC">
        <w:rPr>
          <w:bCs/>
          <w:i/>
        </w:rPr>
        <w:t xml:space="preserve">nt Australia Pty Ltd v </w:t>
      </w:r>
      <w:r w:rsidR="005E203B">
        <w:rPr>
          <w:bCs/>
          <w:i/>
        </w:rPr>
        <w:t>Davidson’</w:t>
      </w:r>
      <w:r w:rsidR="007868CC">
        <w:rPr>
          <w:bCs/>
          <w:i/>
        </w:rPr>
        <w:t>s </w:t>
      </w:r>
      <w:proofErr w:type="spellStart"/>
      <w:r w:rsidR="007868CC">
        <w:rPr>
          <w:bCs/>
          <w:i/>
        </w:rPr>
        <w:t>Arnhemland</w:t>
      </w:r>
      <w:proofErr w:type="spellEnd"/>
      <w:r w:rsidR="007868CC">
        <w:rPr>
          <w:bCs/>
          <w:i/>
        </w:rPr>
        <w:t xml:space="preserve"> </w:t>
      </w:r>
      <w:r w:rsidRPr="002A23BB">
        <w:rPr>
          <w:bCs/>
          <w:i/>
        </w:rPr>
        <w:t xml:space="preserve">Safaris Pty Ltd </w:t>
      </w:r>
      <w:r w:rsidR="007868CC">
        <w:rPr>
          <w:bCs/>
        </w:rPr>
        <w:t xml:space="preserve">[2000] FCA 1690; </w:t>
      </w:r>
      <w:r w:rsidRPr="002A23BB">
        <w:rPr>
          <w:bCs/>
        </w:rPr>
        <w:t>(2000)</w:t>
      </w:r>
      <w:r w:rsidRPr="002A23BB">
        <w:t xml:space="preserve"> </w:t>
      </w:r>
      <w:r w:rsidRPr="002A23BB">
        <w:rPr>
          <w:bCs/>
        </w:rPr>
        <w:t>179 ALR 738</w:t>
      </w:r>
      <w:r w:rsidR="00617F61">
        <w:rPr>
          <w:bCs/>
        </w:rPr>
        <w:t>,</w:t>
      </w:r>
      <w:r w:rsidR="004D5550">
        <w:rPr>
          <w:bCs/>
        </w:rPr>
        <w:t xml:space="preserve"> </w:t>
      </w:r>
      <w:r w:rsidR="00962FEE">
        <w:rPr>
          <w:bCs/>
        </w:rPr>
        <w:t>the Full Court (</w:t>
      </w:r>
      <w:r w:rsidR="00962FEE">
        <w:t xml:space="preserve">Spender, Drummond and </w:t>
      </w:r>
      <w:proofErr w:type="spellStart"/>
      <w:r w:rsidR="00962FEE">
        <w:t>Kiefel</w:t>
      </w:r>
      <w:proofErr w:type="spellEnd"/>
      <w:r w:rsidR="00962FEE">
        <w:t xml:space="preserve"> J)</w:t>
      </w:r>
      <w:r w:rsidR="00962FEE">
        <w:rPr>
          <w:bCs/>
        </w:rPr>
        <w:t xml:space="preserve"> held </w:t>
      </w:r>
      <w:r w:rsidR="008371D5">
        <w:rPr>
          <w:bCs/>
        </w:rPr>
        <w:t>a</w:t>
      </w:r>
      <w:r w:rsidR="008371D5" w:rsidRPr="008371D5">
        <w:rPr>
          <w:bCs/>
        </w:rPr>
        <w:t xml:space="preserve"> claim in defamation arising out of the first of a series of contentious letters </w:t>
      </w:r>
      <w:r w:rsidR="008371D5">
        <w:rPr>
          <w:bCs/>
        </w:rPr>
        <w:t>formed part of the same justiciable controversy as a</w:t>
      </w:r>
      <w:r w:rsidR="008371D5" w:rsidRPr="008371D5">
        <w:rPr>
          <w:bCs/>
        </w:rPr>
        <w:t xml:space="preserve"> claim that one of</w:t>
      </w:r>
      <w:r w:rsidR="008371D5">
        <w:rPr>
          <w:bCs/>
        </w:rPr>
        <w:t xml:space="preserve"> </w:t>
      </w:r>
      <w:r w:rsidR="008371D5" w:rsidRPr="008371D5">
        <w:rPr>
          <w:bCs/>
        </w:rPr>
        <w:t xml:space="preserve">the subsequent letters contravened the </w:t>
      </w:r>
      <w:r w:rsidR="008371D5" w:rsidRPr="002A23BB">
        <w:rPr>
          <w:bCs/>
          <w:i/>
        </w:rPr>
        <w:t>Trade Practices Act</w:t>
      </w:r>
      <w:r w:rsidR="00D341C3" w:rsidRPr="002A23BB">
        <w:rPr>
          <w:bCs/>
          <w:i/>
        </w:rPr>
        <w:t xml:space="preserve"> 1974</w:t>
      </w:r>
      <w:r w:rsidR="00A80023" w:rsidRPr="002A23BB">
        <w:rPr>
          <w:bCs/>
          <w:i/>
        </w:rPr>
        <w:t xml:space="preserve"> </w:t>
      </w:r>
      <w:r w:rsidR="00A80023" w:rsidRPr="002A23BB">
        <w:rPr>
          <w:bCs/>
          <w:iCs/>
        </w:rPr>
        <w:t>(</w:t>
      </w:r>
      <w:proofErr w:type="spellStart"/>
      <w:r w:rsidR="00A80023" w:rsidRPr="002A23BB">
        <w:rPr>
          <w:bCs/>
          <w:iCs/>
        </w:rPr>
        <w:t>Cth</w:t>
      </w:r>
      <w:proofErr w:type="spellEnd"/>
      <w:r w:rsidR="00A80023" w:rsidRPr="002A23BB">
        <w:rPr>
          <w:bCs/>
          <w:iCs/>
        </w:rPr>
        <w:t>)</w:t>
      </w:r>
      <w:r w:rsidR="008371D5" w:rsidRPr="008371D5">
        <w:rPr>
          <w:bCs/>
        </w:rPr>
        <w:t>.</w:t>
      </w:r>
      <w:r w:rsidR="008371D5">
        <w:rPr>
          <w:bCs/>
        </w:rPr>
        <w:t xml:space="preserve"> Their Honours said (at 746 [30]):</w:t>
      </w:r>
    </w:p>
    <w:p w14:paraId="017F0ED7" w14:textId="78209AF6" w:rsidR="008371D5" w:rsidRDefault="008371D5" w:rsidP="009020DD">
      <w:pPr>
        <w:pStyle w:val="Quote1"/>
      </w:pPr>
      <w:r w:rsidRPr="008371D5">
        <w:t>In this case the defamation claim is not “a completely disparate claim constituting in substance a separate proceeding”, nor is it “a non-federal matter which is completely separate and distinct from the matter which attracted federal jurisdiction”. The claim for defamation arises out of the first letter in a series of correspondence fuelled by the mutually acrimonious relationship between the parties. The claim in defamation is based</w:t>
      </w:r>
      <w:r w:rsidR="005E203B">
        <w:t xml:space="preserve"> on assertions in the Davidsons’</w:t>
      </w:r>
      <w:r w:rsidRPr="008371D5">
        <w:t xml:space="preserve"> first letter to the Minister, which requests his “assistance” concerning the competence of Hunt Australia to engage in its business. It is the dissemination of the requested response from the Minister which founds the federal claim. It was well open to the primary judge to conclude, “as a matter of impression and practical judgment”, that there was a common substratum of facts, and that the non-federal defamation matter was not “completely separate and distinct” from the Trade Practices Act matter.</w:t>
      </w:r>
    </w:p>
    <w:p w14:paraId="0268ED94" w14:textId="1930BDFD" w:rsidR="00A260AB" w:rsidRDefault="00946CDF" w:rsidP="00F74DEF">
      <w:pPr>
        <w:pStyle w:val="ParaNumbering"/>
        <w:ind w:left="0"/>
      </w:pPr>
      <w:r>
        <w:t xml:space="preserve">The underlying </w:t>
      </w:r>
      <w:r w:rsidR="00BB1726">
        <w:t xml:space="preserve">dispute </w:t>
      </w:r>
      <w:r>
        <w:t xml:space="preserve">includes the January Message being sent to Mr Mulley and the February Message being sent to his wife less than a month later. </w:t>
      </w:r>
      <w:r w:rsidR="00BB1726">
        <w:t xml:space="preserve">Although only the February </w:t>
      </w:r>
      <w:r w:rsidR="005E203B">
        <w:t>Message</w:t>
      </w:r>
      <w:r w:rsidR="00BB1726">
        <w:t xml:space="preserve"> is said to give rise to a claim in </w:t>
      </w:r>
      <w:r w:rsidR="0038789F" w:rsidRPr="0038789F">
        <w:t>defamation</w:t>
      </w:r>
      <w:r w:rsidR="00BB1726">
        <w:t xml:space="preserve">, both publications are said to give rise to a </w:t>
      </w:r>
      <w:r w:rsidR="00BB1726" w:rsidRPr="00F74DEF">
        <w:t xml:space="preserve">tortious </w:t>
      </w:r>
      <w:r w:rsidR="00BB1726" w:rsidRPr="00F74DEF">
        <w:lastRenderedPageBreak/>
        <w:t xml:space="preserve">claim on the basis of unlawful conduct </w:t>
      </w:r>
      <w:r w:rsidR="00477E6E">
        <w:t>(</w:t>
      </w:r>
      <w:r w:rsidR="008909B8">
        <w:t xml:space="preserve">the </w:t>
      </w:r>
      <w:r w:rsidR="008909B8" w:rsidRPr="0003087E">
        <w:rPr>
          <w:i/>
        </w:rPr>
        <w:t>fourth</w:t>
      </w:r>
      <w:r w:rsidR="008909B8">
        <w:t xml:space="preserve"> claim</w:t>
      </w:r>
      <w:r w:rsidR="00477E6E">
        <w:t>)</w:t>
      </w:r>
      <w:r w:rsidR="00BB1726">
        <w:t>.</w:t>
      </w:r>
      <w:r w:rsidR="0038789F">
        <w:t xml:space="preserve"> </w:t>
      </w:r>
      <w:r w:rsidR="00383C1B">
        <w:t xml:space="preserve">Accordingly, </w:t>
      </w:r>
      <w:r w:rsidR="008909B8">
        <w:t>it is plain both the</w:t>
      </w:r>
      <w:r w:rsidR="00383C1B">
        <w:t xml:space="preserve"> claims evidently </w:t>
      </w:r>
      <w:r w:rsidR="00383C1B" w:rsidRPr="00383C1B">
        <w:t>arise out of</w:t>
      </w:r>
      <w:r w:rsidR="00383C1B">
        <w:t xml:space="preserve"> a common substratum. </w:t>
      </w:r>
      <w:r w:rsidR="005E203B">
        <w:t>T</w:t>
      </w:r>
      <w:r w:rsidR="00383C1B">
        <w:t>he</w:t>
      </w:r>
      <w:r w:rsidR="006759E4">
        <w:t>y</w:t>
      </w:r>
      <w:r w:rsidR="00EA0B00">
        <w:t xml:space="preserve"> </w:t>
      </w:r>
      <w:r w:rsidR="001527B0">
        <w:t>cannot be desc</w:t>
      </w:r>
      <w:r w:rsidR="00477E6E">
        <w:t xml:space="preserve">ribed as distinct and unrelated, </w:t>
      </w:r>
      <w:r w:rsidR="001527B0">
        <w:t>and</w:t>
      </w:r>
      <w:r w:rsidR="00477E6E">
        <w:t xml:space="preserve"> are, therefore, </w:t>
      </w:r>
      <w:r w:rsidR="00EA0B00">
        <w:t>non-severable</w:t>
      </w:r>
      <w:r w:rsidR="001527B0">
        <w:t xml:space="preserve">: </w:t>
      </w:r>
      <w:r w:rsidR="005E203B">
        <w:t xml:space="preserve">see </w:t>
      </w:r>
      <w:r w:rsidR="001527B0" w:rsidRPr="002A23BB">
        <w:rPr>
          <w:i/>
        </w:rPr>
        <w:t>Moorgate Tobacco Co Ltd v Philip Morris Ltd</w:t>
      </w:r>
      <w:r w:rsidR="001527B0" w:rsidRPr="002A23BB">
        <w:t xml:space="preserve"> (1980) 145 CLR 457</w:t>
      </w:r>
      <w:r w:rsidR="001527B0">
        <w:t xml:space="preserve"> </w:t>
      </w:r>
      <w:r w:rsidR="00002B25">
        <w:t xml:space="preserve">(at 481 </w:t>
      </w:r>
      <w:r w:rsidR="001527B0">
        <w:t xml:space="preserve">per Stephen, Mason, </w:t>
      </w:r>
      <w:proofErr w:type="spellStart"/>
      <w:r w:rsidR="001527B0">
        <w:t>Aickin</w:t>
      </w:r>
      <w:proofErr w:type="spellEnd"/>
      <w:r w:rsidR="001527B0">
        <w:t xml:space="preserve"> and Wilson JJ</w:t>
      </w:r>
      <w:r w:rsidR="00002B25">
        <w:t>)</w:t>
      </w:r>
      <w:r w:rsidR="001527B0">
        <w:t xml:space="preserve">. </w:t>
      </w:r>
    </w:p>
    <w:p w14:paraId="0E6F0556" w14:textId="50F8B7DB" w:rsidR="005037AD" w:rsidRDefault="00AF790B" w:rsidP="00F74DEF">
      <w:pPr>
        <w:pStyle w:val="ParaNumbering"/>
        <w:ind w:left="0"/>
      </w:pPr>
      <w:r>
        <w:t xml:space="preserve">The </w:t>
      </w:r>
      <w:r w:rsidR="001F1640">
        <w:rPr>
          <w:i/>
        </w:rPr>
        <w:t>second</w:t>
      </w:r>
      <w:r>
        <w:t xml:space="preserve"> </w:t>
      </w:r>
      <w:r w:rsidR="004D5550">
        <w:t xml:space="preserve">point appeared to be directed </w:t>
      </w:r>
      <w:r w:rsidR="00477E6E">
        <w:t>towards</w:t>
      </w:r>
      <w:r w:rsidR="004D5550">
        <w:t xml:space="preserve"> a matter of process. </w:t>
      </w:r>
      <w:r w:rsidR="00F11D82">
        <w:t>Mr Hayes</w:t>
      </w:r>
      <w:r w:rsidR="004D5550">
        <w:t xml:space="preserve"> submitted </w:t>
      </w:r>
      <w:r>
        <w:t>that</w:t>
      </w:r>
      <w:r w:rsidR="00002113" w:rsidRPr="00002113">
        <w:t xml:space="preserve"> </w:t>
      </w:r>
      <w:r w:rsidR="00002113">
        <w:t>the Court</w:t>
      </w:r>
      <w:r w:rsidR="00002113" w:rsidRPr="00002113">
        <w:t xml:space="preserve"> cannot determine </w:t>
      </w:r>
      <w:r w:rsidR="00002113">
        <w:t xml:space="preserve">Mr Mulley’s </w:t>
      </w:r>
      <w:r w:rsidR="00744F38" w:rsidRPr="00744F38">
        <w:rPr>
          <w:i/>
          <w:iCs/>
        </w:rPr>
        <w:t>fourth</w:t>
      </w:r>
      <w:r w:rsidR="00744F38">
        <w:t xml:space="preserve"> </w:t>
      </w:r>
      <w:r w:rsidR="00002113" w:rsidRPr="005951D2">
        <w:t>claim</w:t>
      </w:r>
      <w:r w:rsidR="00744F38">
        <w:t xml:space="preserve"> </w:t>
      </w:r>
      <w:r w:rsidR="00002113" w:rsidRPr="005951D2">
        <w:t>of tortious liability</w:t>
      </w:r>
      <w:r w:rsidR="00002113">
        <w:t xml:space="preserve"> </w:t>
      </w:r>
      <w:r w:rsidR="00002113" w:rsidRPr="00002113">
        <w:t xml:space="preserve">without </w:t>
      </w:r>
      <w:r w:rsidR="00002113">
        <w:t xml:space="preserve">a </w:t>
      </w:r>
      <w:r w:rsidR="00002113" w:rsidRPr="00002113">
        <w:t>determination of unlawfulness at first instance</w:t>
      </w:r>
      <w:r w:rsidR="00FA6B1B">
        <w:t xml:space="preserve">. </w:t>
      </w:r>
      <w:r>
        <w:t>Instead</w:t>
      </w:r>
      <w:r w:rsidR="00FA6B1B">
        <w:t xml:space="preserve">, it was suggested that Mr Mulley would be required to </w:t>
      </w:r>
      <w:r w:rsidR="00744F38">
        <w:t xml:space="preserve">first </w:t>
      </w:r>
      <w:r w:rsidR="00FA6B1B">
        <w:t xml:space="preserve">make </w:t>
      </w:r>
      <w:r w:rsidR="00FA6B1B" w:rsidRPr="00FA6B1B">
        <w:t>a complaint to the Commonwealth Director of Public Prosecutions</w:t>
      </w:r>
      <w:r w:rsidR="004D5550">
        <w:t xml:space="preserve"> or, otherwise file</w:t>
      </w:r>
      <w:r w:rsidR="00FA6B1B" w:rsidRPr="00FA6B1B">
        <w:t xml:space="preserve"> </w:t>
      </w:r>
      <w:r w:rsidR="004D5550">
        <w:t>“</w:t>
      </w:r>
      <w:r w:rsidR="00FA6B1B" w:rsidRPr="00FA6B1B">
        <w:t>the proceeding in the State jurisdiction</w:t>
      </w:r>
      <w:r w:rsidR="00FA6B1B">
        <w:t xml:space="preserve">”: </w:t>
      </w:r>
      <w:r w:rsidR="00602F72" w:rsidRPr="00602F72">
        <w:t xml:space="preserve">see </w:t>
      </w:r>
      <w:r w:rsidR="00FA6B1B" w:rsidRPr="00602F72">
        <w:t>T22.35–47.</w:t>
      </w:r>
      <w:r w:rsidR="00FA6B1B">
        <w:t xml:space="preserve"> I interpreted this to be a submission to the effect that Mr Hayes would have to be found guilty of an offence</w:t>
      </w:r>
      <w:r w:rsidR="00FA6B1B" w:rsidRPr="00FA6B1B">
        <w:t xml:space="preserve"> </w:t>
      </w:r>
      <w:r w:rsidR="00FA6B1B">
        <w:t xml:space="preserve">pursuant to s </w:t>
      </w:r>
      <w:r w:rsidR="0071535D">
        <w:t>474</w:t>
      </w:r>
      <w:r w:rsidR="00FA6B1B">
        <w:t>.17 of the</w:t>
      </w:r>
      <w:r w:rsidR="00F11D82">
        <w:t xml:space="preserve"> Code</w:t>
      </w:r>
      <w:r w:rsidR="00454152">
        <w:t xml:space="preserve"> </w:t>
      </w:r>
      <w:r w:rsidR="00FA6B1B">
        <w:t xml:space="preserve">before this Court could determine whether Mr Mulley’s </w:t>
      </w:r>
      <w:r w:rsidR="00F11D82">
        <w:t xml:space="preserve">claim in tort </w:t>
      </w:r>
      <w:r w:rsidR="000E6324">
        <w:t xml:space="preserve">was </w:t>
      </w:r>
      <w:r w:rsidR="00F11D82">
        <w:t>partly based upon an allegation of</w:t>
      </w:r>
      <w:r w:rsidR="00FA6B1B">
        <w:t xml:space="preserve"> unlawfulness. </w:t>
      </w:r>
      <w:r w:rsidR="00EA0B00">
        <w:t>The proposition need</w:t>
      </w:r>
      <w:r w:rsidR="00744F38">
        <w:t>s</w:t>
      </w:r>
      <w:r w:rsidR="00EA0B00">
        <w:t xml:space="preserve"> only to be stated to be rejected.</w:t>
      </w:r>
      <w:r w:rsidR="00C92F1A">
        <w:t xml:space="preserve"> </w:t>
      </w:r>
      <w:r w:rsidR="00F67ED9">
        <w:t>T</w:t>
      </w:r>
      <w:r w:rsidR="00F67ED9" w:rsidRPr="00F67ED9">
        <w:t>he unlawfulness</w:t>
      </w:r>
      <w:r w:rsidR="00F67ED9">
        <w:t xml:space="preserve"> </w:t>
      </w:r>
      <w:r w:rsidR="00EA0B00">
        <w:t>alleged</w:t>
      </w:r>
      <w:r w:rsidR="00F67ED9">
        <w:t xml:space="preserve"> </w:t>
      </w:r>
      <w:r w:rsidR="00F67ED9" w:rsidRPr="00F67ED9">
        <w:t xml:space="preserve">is an element in the proof </w:t>
      </w:r>
      <w:r w:rsidR="00F67ED9">
        <w:t>of a civil cause of action: it would entail a determination being</w:t>
      </w:r>
      <w:r w:rsidR="00F67ED9" w:rsidRPr="00F67ED9">
        <w:t xml:space="preserve"> </w:t>
      </w:r>
      <w:r w:rsidR="00F67ED9">
        <w:t>made</w:t>
      </w:r>
      <w:r w:rsidR="00F67ED9" w:rsidRPr="00F67ED9">
        <w:t xml:space="preserve"> on the balance o</w:t>
      </w:r>
      <w:r w:rsidR="00F67ED9">
        <w:t xml:space="preserve">f probabilities in a civil case as </w:t>
      </w:r>
      <w:r w:rsidR="00F67ED9" w:rsidRPr="00F67ED9">
        <w:t xml:space="preserve">mandated by </w:t>
      </w:r>
      <w:r w:rsidR="00F67ED9">
        <w:t>s</w:t>
      </w:r>
      <w:r w:rsidR="00B07450">
        <w:t xml:space="preserve"> 140 </w:t>
      </w:r>
      <w:r w:rsidR="00F67ED9" w:rsidRPr="00F67ED9">
        <w:t xml:space="preserve">of the </w:t>
      </w:r>
      <w:r w:rsidR="00F67ED9" w:rsidRPr="002A23BB">
        <w:rPr>
          <w:i/>
        </w:rPr>
        <w:t>Evidence Act</w:t>
      </w:r>
      <w:r w:rsidR="00B07450" w:rsidRPr="002A23BB">
        <w:rPr>
          <w:i/>
        </w:rPr>
        <w:t xml:space="preserve"> 1995 </w:t>
      </w:r>
      <w:r w:rsidR="00B07450" w:rsidRPr="002A23BB">
        <w:t>(</w:t>
      </w:r>
      <w:proofErr w:type="spellStart"/>
      <w:r w:rsidR="00B07450" w:rsidRPr="002A23BB">
        <w:t>Cth</w:t>
      </w:r>
      <w:proofErr w:type="spellEnd"/>
      <w:r w:rsidR="00B07450" w:rsidRPr="002A23BB">
        <w:t>)</w:t>
      </w:r>
      <w:r w:rsidR="00EA0B00">
        <w:t xml:space="preserve"> as to whether this element of the cause of action is made out.</w:t>
      </w:r>
    </w:p>
    <w:p w14:paraId="542C668E" w14:textId="70F45929" w:rsidR="00924707" w:rsidRDefault="005213DE" w:rsidP="00F74DEF">
      <w:pPr>
        <w:pStyle w:val="ParaNumbering"/>
        <w:ind w:left="0"/>
      </w:pPr>
      <w:r w:rsidRPr="00AD0301">
        <w:t xml:space="preserve">The </w:t>
      </w:r>
      <w:r w:rsidR="001F1640" w:rsidRPr="002B4FE3">
        <w:rPr>
          <w:i/>
        </w:rPr>
        <w:t>third</w:t>
      </w:r>
      <w:r w:rsidRPr="00AD0301">
        <w:t xml:space="preserve"> </w:t>
      </w:r>
      <w:r w:rsidR="00A32EB4">
        <w:t>point</w:t>
      </w:r>
      <w:r w:rsidR="004D5550">
        <w:t xml:space="preserve"> was direc</w:t>
      </w:r>
      <w:r w:rsidR="00477E6E">
        <w:t>ted towards whether there was a factual overlap in the claims</w:t>
      </w:r>
      <w:r w:rsidR="008C48C5">
        <w:t>, specifically</w:t>
      </w:r>
      <w:r w:rsidR="002B4FE3">
        <w:t xml:space="preserve"> whether the February </w:t>
      </w:r>
      <w:r w:rsidR="005E203B">
        <w:t xml:space="preserve">Message </w:t>
      </w:r>
      <w:r w:rsidR="002B4FE3">
        <w:t xml:space="preserve">raised a claim in defamation </w:t>
      </w:r>
      <w:r w:rsidR="002B4FE3" w:rsidRPr="002B4FE3">
        <w:rPr>
          <w:i/>
        </w:rPr>
        <w:t xml:space="preserve">and </w:t>
      </w:r>
      <w:r w:rsidR="002B4FE3">
        <w:t xml:space="preserve">a claim in tortious liability for unlawful conduct. </w:t>
      </w:r>
      <w:r w:rsidR="00F11D82">
        <w:t>Mr Hayes</w:t>
      </w:r>
      <w:r w:rsidR="002B4FE3">
        <w:t xml:space="preserve"> relied</w:t>
      </w:r>
      <w:r w:rsidRPr="00AD0301">
        <w:t xml:space="preserve"> </w:t>
      </w:r>
      <w:r w:rsidR="007907EB">
        <w:t xml:space="preserve">on the authority of </w:t>
      </w:r>
      <w:r w:rsidR="00EC3D19" w:rsidRPr="002A23BB">
        <w:rPr>
          <w:i/>
        </w:rPr>
        <w:t xml:space="preserve">Northern Territory v </w:t>
      </w:r>
      <w:proofErr w:type="spellStart"/>
      <w:r w:rsidR="00EC3D19" w:rsidRPr="002A23BB">
        <w:rPr>
          <w:i/>
        </w:rPr>
        <w:t>Mengel</w:t>
      </w:r>
      <w:proofErr w:type="spellEnd"/>
      <w:r w:rsidR="00EC3D19" w:rsidRPr="002B4FE3">
        <w:rPr>
          <w:iCs/>
        </w:rPr>
        <w:t xml:space="preserve"> </w:t>
      </w:r>
      <w:r w:rsidR="007907EB" w:rsidRPr="002B4FE3">
        <w:rPr>
          <w:iCs/>
        </w:rPr>
        <w:t xml:space="preserve">to the effect that a </w:t>
      </w:r>
      <w:r w:rsidR="007907EB" w:rsidRPr="007907EB">
        <w:t xml:space="preserve">tortious claim on the basis of unlawful conduct does not arise in relation to the February </w:t>
      </w:r>
      <w:r w:rsidR="005E203B">
        <w:t xml:space="preserve">Message </w:t>
      </w:r>
      <w:r w:rsidR="007907EB" w:rsidRPr="007907EB">
        <w:t xml:space="preserve">as it was not </w:t>
      </w:r>
      <w:r w:rsidR="007907EB" w:rsidRPr="002B4FE3">
        <w:rPr>
          <w:i/>
        </w:rPr>
        <w:t xml:space="preserve">directed </w:t>
      </w:r>
      <w:r w:rsidR="007907EB" w:rsidRPr="007907EB">
        <w:t xml:space="preserve">to Mr Mulley, but rather, to his wife. </w:t>
      </w:r>
      <w:r w:rsidR="00924707">
        <w:t xml:space="preserve">In </w:t>
      </w:r>
      <w:r w:rsidR="00EC3D19" w:rsidRPr="002A23BB">
        <w:rPr>
          <w:i/>
        </w:rPr>
        <w:t xml:space="preserve">Northern Territory v </w:t>
      </w:r>
      <w:proofErr w:type="spellStart"/>
      <w:r w:rsidR="00EC3D19" w:rsidRPr="002A23BB">
        <w:rPr>
          <w:i/>
        </w:rPr>
        <w:t>Mengel</w:t>
      </w:r>
      <w:proofErr w:type="spellEnd"/>
      <w:r w:rsidR="0007292A">
        <w:t xml:space="preserve">, Mason CJ, </w:t>
      </w:r>
      <w:r w:rsidR="00924707">
        <w:t xml:space="preserve">Dawson, </w:t>
      </w:r>
      <w:proofErr w:type="spellStart"/>
      <w:r w:rsidR="00924707">
        <w:t>Toohey</w:t>
      </w:r>
      <w:proofErr w:type="spellEnd"/>
      <w:r w:rsidR="00924707">
        <w:t xml:space="preserve">, </w:t>
      </w:r>
      <w:proofErr w:type="spellStart"/>
      <w:r w:rsidR="00924707">
        <w:t>Gaudron</w:t>
      </w:r>
      <w:proofErr w:type="spellEnd"/>
      <w:r w:rsidR="00924707">
        <w:t xml:space="preserve"> and McHugh JJ </w:t>
      </w:r>
      <w:r w:rsidR="002B4FE3">
        <w:t>said</w:t>
      </w:r>
      <w:r w:rsidR="00924707" w:rsidRPr="002B4FE3">
        <w:rPr>
          <w:i/>
        </w:rPr>
        <w:t xml:space="preserve"> </w:t>
      </w:r>
      <w:r w:rsidR="00924707">
        <w:t xml:space="preserve">(at 345): </w:t>
      </w:r>
    </w:p>
    <w:p w14:paraId="46672A84" w14:textId="77777777" w:rsidR="00924707" w:rsidRDefault="00924707" w:rsidP="00924707">
      <w:pPr>
        <w:pStyle w:val="Quote1"/>
        <w:rPr>
          <w:lang w:eastAsia="en-AU"/>
        </w:rPr>
      </w:pPr>
      <w:r>
        <w:rPr>
          <w:lang w:eastAsia="en-AU"/>
        </w:rPr>
        <w:t xml:space="preserve">Subject to the qualification that there may be cases in which there is liability for harm caused by unlawful acts </w:t>
      </w:r>
      <w:r w:rsidRPr="00071D46">
        <w:rPr>
          <w:b/>
          <w:lang w:eastAsia="en-AU"/>
        </w:rPr>
        <w:t>directed against a plaintiff</w:t>
      </w:r>
      <w:r>
        <w:rPr>
          <w:lang w:eastAsia="en-AU"/>
        </w:rPr>
        <w:t xml:space="preserve"> or the lawful activities in which he or she is engaged, the </w:t>
      </w:r>
      <w:r>
        <w:rPr>
          <w:i/>
          <w:iCs/>
          <w:lang w:eastAsia="en-AU"/>
        </w:rPr>
        <w:t xml:space="preserve">Beaudesert </w:t>
      </w:r>
      <w:r>
        <w:rPr>
          <w:lang w:eastAsia="en-AU"/>
        </w:rPr>
        <w:t>principle should be overruled.</w:t>
      </w:r>
    </w:p>
    <w:p w14:paraId="7ED6F2B3" w14:textId="376916B8" w:rsidR="00071D46" w:rsidRDefault="0078327D" w:rsidP="00924707">
      <w:pPr>
        <w:pStyle w:val="Quote1"/>
      </w:pPr>
      <w:r>
        <w:rPr>
          <w:lang w:eastAsia="en-AU"/>
        </w:rPr>
        <w:t>(Emphasis added</w:t>
      </w:r>
      <w:r w:rsidR="00071D46">
        <w:rPr>
          <w:lang w:eastAsia="en-AU"/>
        </w:rPr>
        <w:t>)</w:t>
      </w:r>
      <w:r>
        <w:rPr>
          <w:lang w:eastAsia="en-AU"/>
        </w:rPr>
        <w:t>.</w:t>
      </w:r>
    </w:p>
    <w:p w14:paraId="1729BAAF" w14:textId="5D4CC58A" w:rsidR="003E73FF" w:rsidRPr="003E73FF" w:rsidRDefault="00943618" w:rsidP="00F74DEF">
      <w:pPr>
        <w:pStyle w:val="ParaNumbering"/>
        <w:ind w:left="0"/>
      </w:pPr>
      <w:r>
        <w:t>Mr Hayes</w:t>
      </w:r>
      <w:r w:rsidR="00071D46">
        <w:t xml:space="preserve"> submitted that the words “</w:t>
      </w:r>
      <w:r w:rsidR="00071D46" w:rsidRPr="00071D46">
        <w:t>directed against a plaintiff</w:t>
      </w:r>
      <w:r w:rsidR="00071D46">
        <w:t>”</w:t>
      </w:r>
      <w:r w:rsidR="007907EB">
        <w:t xml:space="preserve"> </w:t>
      </w:r>
      <w:r w:rsidR="00071D46">
        <w:t xml:space="preserve">were to be </w:t>
      </w:r>
      <w:r w:rsidR="00EC2D07">
        <w:t>applied to the present case</w:t>
      </w:r>
      <w:r w:rsidR="00071D46">
        <w:t xml:space="preserve"> to mean </w:t>
      </w:r>
      <w:r w:rsidR="002B4FE3">
        <w:t xml:space="preserve">that </w:t>
      </w:r>
      <w:r w:rsidR="008C48C5">
        <w:t>it is in</w:t>
      </w:r>
      <w:r w:rsidR="00EC2D07">
        <w:t>sufficient</w:t>
      </w:r>
      <w:r w:rsidR="007907EB">
        <w:t xml:space="preserve"> tha</w:t>
      </w:r>
      <w:r w:rsidR="00EC2D07">
        <w:t>t</w:t>
      </w:r>
      <w:r w:rsidR="007907EB">
        <w:t xml:space="preserve"> </w:t>
      </w:r>
      <w:r w:rsidR="007907EB" w:rsidRPr="00F74DEF">
        <w:t xml:space="preserve">Mr Mulley became aware of the February </w:t>
      </w:r>
      <w:r w:rsidR="005E203B">
        <w:t xml:space="preserve">Message </w:t>
      </w:r>
      <w:r w:rsidR="00EC2D07" w:rsidRPr="00F74DEF">
        <w:t>through his wife</w:t>
      </w:r>
      <w:r w:rsidR="002B4FE3" w:rsidRPr="00F74DEF">
        <w:t xml:space="preserve">. Instead, </w:t>
      </w:r>
      <w:r>
        <w:t>it was said</w:t>
      </w:r>
      <w:r w:rsidR="002B4FE3" w:rsidRPr="00F74DEF">
        <w:t xml:space="preserve"> the February </w:t>
      </w:r>
      <w:r w:rsidR="005E203B">
        <w:t xml:space="preserve">Message </w:t>
      </w:r>
      <w:r w:rsidR="002B4FE3" w:rsidRPr="00F74DEF">
        <w:t xml:space="preserve">would satisfy the language in </w:t>
      </w:r>
      <w:r w:rsidR="00EC3D19" w:rsidRPr="002A23BB">
        <w:rPr>
          <w:i/>
        </w:rPr>
        <w:t xml:space="preserve">Northern Territory v </w:t>
      </w:r>
      <w:proofErr w:type="spellStart"/>
      <w:r w:rsidR="00EC3D19" w:rsidRPr="002A23BB">
        <w:rPr>
          <w:i/>
        </w:rPr>
        <w:t>Mengel</w:t>
      </w:r>
      <w:proofErr w:type="spellEnd"/>
      <w:r w:rsidR="00EC3D19" w:rsidRPr="00F74DEF">
        <w:t xml:space="preserve"> </w:t>
      </w:r>
      <w:r w:rsidR="008C48C5">
        <w:t xml:space="preserve">only </w:t>
      </w:r>
      <w:r w:rsidR="002B4FE3" w:rsidRPr="00F74DEF">
        <w:t xml:space="preserve">if it had been sent to </w:t>
      </w:r>
      <w:r w:rsidR="00EC2D07" w:rsidRPr="00F74DEF">
        <w:t>Mr Mulley</w:t>
      </w:r>
      <w:r w:rsidR="002B4FE3" w:rsidRPr="00F74DEF">
        <w:t xml:space="preserve"> directly. </w:t>
      </w:r>
    </w:p>
    <w:p w14:paraId="36EB9694" w14:textId="3C3A8E74" w:rsidR="00324798" w:rsidRPr="002B4FE3" w:rsidRDefault="00324798" w:rsidP="00986CFB">
      <w:pPr>
        <w:pStyle w:val="ParaNumbering"/>
        <w:ind w:left="0"/>
      </w:pPr>
      <w:r>
        <w:t xml:space="preserve">Although it </w:t>
      </w:r>
      <w:r w:rsidR="003130FE">
        <w:t>will no doubt</w:t>
      </w:r>
      <w:r>
        <w:t xml:space="preserve"> be argued that</w:t>
      </w:r>
      <w:r w:rsidRPr="002B4FE3">
        <w:t xml:space="preserve"> the </w:t>
      </w:r>
      <w:r>
        <w:t xml:space="preserve">notion of “directed </w:t>
      </w:r>
      <w:r w:rsidRPr="00071D46">
        <w:t xml:space="preserve">against a </w:t>
      </w:r>
      <w:r>
        <w:t>plaintiff” might be thought to be focussed upon an</w:t>
      </w:r>
      <w:r w:rsidRPr="002B4FE3">
        <w:t xml:space="preserve"> </w:t>
      </w:r>
      <w:r>
        <w:t xml:space="preserve">intention to harm, this </w:t>
      </w:r>
      <w:r w:rsidR="00943618">
        <w:t xml:space="preserve">submission </w:t>
      </w:r>
      <w:r>
        <w:t xml:space="preserve">directed to the merits </w:t>
      </w:r>
      <w:r w:rsidR="00F11D82">
        <w:t xml:space="preserve">of the cause of action </w:t>
      </w:r>
      <w:r w:rsidR="00943618">
        <w:t xml:space="preserve">is misconceived for </w:t>
      </w:r>
      <w:r w:rsidR="00341E8F">
        <w:t>present</w:t>
      </w:r>
      <w:r w:rsidR="00943618">
        <w:t xml:space="preserve"> purposes.</w:t>
      </w:r>
      <w:r w:rsidR="00C92F1A">
        <w:t xml:space="preserve"> </w:t>
      </w:r>
      <w:r>
        <w:t>It is</w:t>
      </w:r>
      <w:r w:rsidRPr="00324798">
        <w:t xml:space="preserve"> fundamental that once a federal claim </w:t>
      </w:r>
      <w:r w:rsidRPr="00324798">
        <w:lastRenderedPageBreak/>
        <w:t xml:space="preserve">is made, even a bad one, and even one that is abandoned, or </w:t>
      </w:r>
      <w:r>
        <w:t xml:space="preserve">liable to be </w:t>
      </w:r>
      <w:r w:rsidRPr="00324798">
        <w:t>struck out, the whole matter in which that claim is made is</w:t>
      </w:r>
      <w:r w:rsidR="005E203B">
        <w:t xml:space="preserve"> within</w:t>
      </w:r>
      <w:r w:rsidRPr="00324798">
        <w:t>, and remains</w:t>
      </w:r>
      <w:r w:rsidR="005E203B">
        <w:t xml:space="preserve"> within</w:t>
      </w:r>
      <w:r w:rsidRPr="00324798">
        <w:t>, federal jurisdiction</w:t>
      </w:r>
      <w:r>
        <w:t xml:space="preserve">: see </w:t>
      </w:r>
      <w:proofErr w:type="spellStart"/>
      <w:r w:rsidRPr="002A23BB">
        <w:rPr>
          <w:i/>
        </w:rPr>
        <w:t>Macteldir</w:t>
      </w:r>
      <w:proofErr w:type="spellEnd"/>
      <w:r w:rsidRPr="002A23BB">
        <w:rPr>
          <w:i/>
        </w:rPr>
        <w:t xml:space="preserve"> Pty Ltd v </w:t>
      </w:r>
      <w:proofErr w:type="spellStart"/>
      <w:r w:rsidRPr="002A23BB">
        <w:rPr>
          <w:i/>
        </w:rPr>
        <w:t>Dimovski</w:t>
      </w:r>
      <w:proofErr w:type="spellEnd"/>
      <w:r w:rsidRPr="002A23BB">
        <w:t xml:space="preserve"> </w:t>
      </w:r>
      <w:r w:rsidR="0078327D">
        <w:t xml:space="preserve">[2005] FCA 1528 </w:t>
      </w:r>
      <w:r w:rsidR="00002B25">
        <w:t>(</w:t>
      </w:r>
      <w:r w:rsidR="002A23BB">
        <w:t xml:space="preserve">at </w:t>
      </w:r>
      <w:r w:rsidRPr="00324798">
        <w:t>[36]</w:t>
      </w:r>
      <w:r w:rsidR="00C92F1A">
        <w:t xml:space="preserve"> </w:t>
      </w:r>
      <w:r>
        <w:t>per Allsop J</w:t>
      </w:r>
      <w:r w:rsidR="00002B25">
        <w:t>)</w:t>
      </w:r>
      <w:r w:rsidRPr="00324798">
        <w:t>.</w:t>
      </w:r>
      <w:r w:rsidR="00C92F1A">
        <w:t xml:space="preserve"> </w:t>
      </w:r>
      <w:r>
        <w:t>Hence, e</w:t>
      </w:r>
      <w:r w:rsidRPr="005951D2">
        <w:t xml:space="preserve">ven if the </w:t>
      </w:r>
      <w:r w:rsidR="00F11D82">
        <w:t>conclusion that is reached is that the common law of Australia does</w:t>
      </w:r>
      <w:r w:rsidRPr="005951D2">
        <w:t xml:space="preserve"> not recognise the tort </w:t>
      </w:r>
      <w:r w:rsidR="00F11D82">
        <w:t>alleged</w:t>
      </w:r>
      <w:r w:rsidR="008C48C5">
        <w:t xml:space="preserve"> or the facts </w:t>
      </w:r>
      <w:r w:rsidR="00962FEE">
        <w:t xml:space="preserve">proved </w:t>
      </w:r>
      <w:r w:rsidR="008C48C5">
        <w:t>prevent it from being maintained</w:t>
      </w:r>
      <w:r w:rsidRPr="005951D2">
        <w:t>, this Court’s jurisdiction has been properly</w:t>
      </w:r>
      <w:r>
        <w:t xml:space="preserve"> </w:t>
      </w:r>
      <w:r w:rsidRPr="005951D2">
        <w:t>invoked</w:t>
      </w:r>
      <w:r>
        <w:t>, provided</w:t>
      </w:r>
      <w:r w:rsidRPr="005951D2">
        <w:t xml:space="preserve"> Mr Mulley’s claim of civ</w:t>
      </w:r>
      <w:r>
        <w:t>il liability relying on</w:t>
      </w:r>
      <w:r w:rsidR="00F11D82">
        <w:t xml:space="preserve"> conduct in alleged contravention of the Code </w:t>
      </w:r>
      <w:r w:rsidRPr="005951D2">
        <w:t>was made</w:t>
      </w:r>
      <w:r>
        <w:t xml:space="preserve"> </w:t>
      </w:r>
      <w:r w:rsidRPr="005951D2">
        <w:t>“</w:t>
      </w:r>
      <w:r>
        <w:t xml:space="preserve">genuinely” and “in good faith”: </w:t>
      </w:r>
      <w:r w:rsidR="00F11D82">
        <w:t xml:space="preserve">see </w:t>
      </w:r>
      <w:r w:rsidRPr="002A23BB">
        <w:rPr>
          <w:i/>
          <w:iCs/>
        </w:rPr>
        <w:t xml:space="preserve">Kowalski v MMAL Staff Superannuation Fund Pty Ltd </w:t>
      </w:r>
      <w:r w:rsidRPr="002A23BB">
        <w:rPr>
          <w:iCs/>
        </w:rPr>
        <w:t>[2007] FCA 1069;</w:t>
      </w:r>
      <w:r w:rsidRPr="002A23BB">
        <w:rPr>
          <w:i/>
          <w:iCs/>
        </w:rPr>
        <w:t xml:space="preserve"> </w:t>
      </w:r>
      <w:r w:rsidRPr="002A23BB">
        <w:t>(2007) 242 ALR 370</w:t>
      </w:r>
      <w:r w:rsidRPr="005951D2">
        <w:t xml:space="preserve"> </w:t>
      </w:r>
      <w:r w:rsidR="00C32D61">
        <w:t>(</w:t>
      </w:r>
      <w:r w:rsidRPr="005951D2">
        <w:t xml:space="preserve">at </w:t>
      </w:r>
      <w:r>
        <w:t xml:space="preserve">378 </w:t>
      </w:r>
      <w:r w:rsidRPr="005951D2">
        <w:t>[32]</w:t>
      </w:r>
      <w:r>
        <w:t>–</w:t>
      </w:r>
      <w:r w:rsidRPr="005951D2">
        <w:t>[33] per Finn J</w:t>
      </w:r>
      <w:r w:rsidR="00C32D61">
        <w:t>)</w:t>
      </w:r>
      <w:r w:rsidRPr="005951D2">
        <w:t>.</w:t>
      </w:r>
    </w:p>
    <w:p w14:paraId="0CAB33BE" w14:textId="5CA53198" w:rsidR="005E203B" w:rsidRDefault="005E203B" w:rsidP="005E203B">
      <w:pPr>
        <w:pStyle w:val="Heading2"/>
      </w:pPr>
      <w:r>
        <w:t>E.</w:t>
      </w:r>
      <w:r w:rsidR="00C8287A">
        <w:t>2</w:t>
      </w:r>
      <w:r>
        <w:tab/>
        <w:t>Is the Court’s jurisdiction invoked?</w:t>
      </w:r>
    </w:p>
    <w:p w14:paraId="66FEC17F" w14:textId="00ECE565" w:rsidR="00BD1C2A" w:rsidRDefault="00F11D82" w:rsidP="0069275A">
      <w:pPr>
        <w:pStyle w:val="ParaNumbering"/>
        <w:ind w:left="0"/>
      </w:pPr>
      <w:r>
        <w:t>In the light of the above, t</w:t>
      </w:r>
      <w:r w:rsidR="00324798">
        <w:t>he answer to whether this Court has jurisdiction might b</w:t>
      </w:r>
      <w:r w:rsidR="005E203B">
        <w:t>e thought to be straightforward given that a</w:t>
      </w:r>
      <w:r w:rsidR="00324798">
        <w:t xml:space="preserve"> matter, including the claim for damages for defamation and for damages based on </w:t>
      </w:r>
      <w:r w:rsidR="00230672">
        <w:t>an</w:t>
      </w:r>
      <w:r w:rsidR="00324798">
        <w:t xml:space="preserve"> action on the case (whatever their merits), is </w:t>
      </w:r>
      <w:r w:rsidR="00583B0F">
        <w:t xml:space="preserve">wholly within </w:t>
      </w:r>
      <w:r w:rsidR="00324798">
        <w:t>federal jurisdiction.</w:t>
      </w:r>
      <w:r w:rsidR="0069275A">
        <w:t xml:space="preserve"> </w:t>
      </w:r>
      <w:r w:rsidR="00DE1F85">
        <w:t xml:space="preserve">However, </w:t>
      </w:r>
      <w:r w:rsidR="005E203B">
        <w:t xml:space="preserve">in assessing whether the Court’s </w:t>
      </w:r>
      <w:r w:rsidR="00583B0F">
        <w:t xml:space="preserve">subject-matter </w:t>
      </w:r>
      <w:r w:rsidR="005E203B">
        <w:t xml:space="preserve">jurisdiction </w:t>
      </w:r>
      <w:r w:rsidR="00583B0F">
        <w:t>has been properly</w:t>
      </w:r>
      <w:r w:rsidR="005E203B">
        <w:t xml:space="preserve"> invoked, it is necessary to deal with </w:t>
      </w:r>
      <w:r w:rsidR="00986CFB">
        <w:t>Mr Hayes</w:t>
      </w:r>
      <w:r w:rsidR="0078327D">
        <w:t>’</w:t>
      </w:r>
      <w:r w:rsidR="00DE1F85">
        <w:t xml:space="preserve"> </w:t>
      </w:r>
      <w:r w:rsidR="005E203B">
        <w:t xml:space="preserve">submission </w:t>
      </w:r>
      <w:r w:rsidR="00DE1F85">
        <w:t xml:space="preserve">that the Court should </w:t>
      </w:r>
      <w:r w:rsidR="00986CFB">
        <w:t xml:space="preserve">characterise Mr Mulley’s </w:t>
      </w:r>
      <w:r w:rsidR="00986CFB" w:rsidRPr="0069275A">
        <w:rPr>
          <w:i/>
        </w:rPr>
        <w:t>fourth</w:t>
      </w:r>
      <w:r w:rsidR="00DE1F85">
        <w:t xml:space="preserve"> claim as colourable; that is, </w:t>
      </w:r>
      <w:r w:rsidR="00477E6E">
        <w:t>the</w:t>
      </w:r>
      <w:r w:rsidR="00230672">
        <w:t xml:space="preserve"> claim </w:t>
      </w:r>
      <w:r w:rsidR="007F20EB">
        <w:t>was</w:t>
      </w:r>
      <w:r w:rsidR="00DE1F85" w:rsidRPr="008B5D32">
        <w:t xml:space="preserve"> made for </w:t>
      </w:r>
      <w:r w:rsidR="00DE1F85" w:rsidRPr="003910C9">
        <w:t>“the improper p</w:t>
      </w:r>
      <w:r w:rsidR="003706CC">
        <w:t>urpose of ‘fabricating’</w:t>
      </w:r>
      <w:r w:rsidR="00DE1F85" w:rsidRPr="003910C9">
        <w:t xml:space="preserve"> jurisdiction”: </w:t>
      </w:r>
      <w:r w:rsidR="00DE1F85" w:rsidRPr="0069275A">
        <w:rPr>
          <w:i/>
        </w:rPr>
        <w:t>Burgundy Royale Investments Pty Ltd v Westpac Banking Corporation</w:t>
      </w:r>
      <w:r w:rsidR="00436E92">
        <w:t xml:space="preserve"> </w:t>
      </w:r>
      <w:r w:rsidR="00DE1F85" w:rsidRPr="002A23BB">
        <w:t>(1987) 18 FCR 212</w:t>
      </w:r>
      <w:r w:rsidR="00DE1F85" w:rsidRPr="003910C9">
        <w:t xml:space="preserve"> </w:t>
      </w:r>
      <w:r w:rsidR="00002B25">
        <w:t>(</w:t>
      </w:r>
      <w:r w:rsidR="00DE1F85" w:rsidRPr="003910C9">
        <w:t>at 219</w:t>
      </w:r>
      <w:r w:rsidR="00002B25">
        <w:t xml:space="preserve"> per Bowen CJ, </w:t>
      </w:r>
      <w:proofErr w:type="spellStart"/>
      <w:r w:rsidR="00002B25">
        <w:t>Morling</w:t>
      </w:r>
      <w:proofErr w:type="spellEnd"/>
      <w:r w:rsidR="00002B25">
        <w:t xml:space="preserve"> and</w:t>
      </w:r>
      <w:r w:rsidR="00002B25" w:rsidRPr="00002B25">
        <w:t xml:space="preserve"> Beaumont </w:t>
      </w:r>
      <w:r w:rsidR="00002B25">
        <w:t>J</w:t>
      </w:r>
      <w:r w:rsidR="00002B25" w:rsidRPr="00002B25">
        <w:t>J</w:t>
      </w:r>
      <w:r w:rsidR="00477E6E">
        <w:t>)</w:t>
      </w:r>
      <w:r w:rsidR="004B4625">
        <w:t>.</w:t>
      </w:r>
      <w:r w:rsidR="00BD1C2A">
        <w:t xml:space="preserve"> </w:t>
      </w:r>
    </w:p>
    <w:p w14:paraId="781D6D2C" w14:textId="230DEDCE" w:rsidR="00DE1F85" w:rsidRDefault="004B4625" w:rsidP="00BD1C2A">
      <w:pPr>
        <w:pStyle w:val="ParaNumbering"/>
        <w:ind w:left="0"/>
      </w:pPr>
      <w:r>
        <w:t xml:space="preserve">In support of his allegation, </w:t>
      </w:r>
      <w:r w:rsidR="007B1A00">
        <w:t>Mr Hayes s</w:t>
      </w:r>
      <w:r w:rsidR="00DE1F85" w:rsidRPr="00794B45">
        <w:t xml:space="preserve">ought to </w:t>
      </w:r>
      <w:r w:rsidR="00DE1F85">
        <w:t xml:space="preserve">draw a parallel between this case and </w:t>
      </w:r>
      <w:r w:rsidR="00DE1F85" w:rsidRPr="00BD1C2A">
        <w:rPr>
          <w:i/>
        </w:rPr>
        <w:t xml:space="preserve">Tucker v McKee </w:t>
      </w:r>
      <w:r w:rsidR="00DE1F85" w:rsidRPr="002A23BB">
        <w:t>[2021] FCA 828</w:t>
      </w:r>
      <w:r w:rsidR="00DE1F85" w:rsidRPr="00F74DEF">
        <w:t xml:space="preserve">, in which Anastassiou J found </w:t>
      </w:r>
      <w:r w:rsidR="0078327D">
        <w:t>(</w:t>
      </w:r>
      <w:r w:rsidR="0078327D" w:rsidRPr="00F74DEF">
        <w:t>at [37]–[38]</w:t>
      </w:r>
      <w:r w:rsidR="0078327D">
        <w:t xml:space="preserve">) </w:t>
      </w:r>
      <w:r w:rsidR="00DE1F85" w:rsidRPr="00F74DEF">
        <w:t>that, while the matter as pleaded in the</w:t>
      </w:r>
      <w:r>
        <w:t xml:space="preserve"> amended statement of claim</w:t>
      </w:r>
      <w:r w:rsidR="00DE1F85" w:rsidRPr="00F74DEF">
        <w:t xml:space="preserve"> asserted a right or duty that owed its existence to a federal statute, the Court did not have jurisdiction due</w:t>
      </w:r>
      <w:r w:rsidR="0078327D">
        <w:t xml:space="preserve"> to the claim being colourable</w:t>
      </w:r>
      <w:r w:rsidR="00DE1F85" w:rsidRPr="00F74DEF">
        <w:t xml:space="preserve">. </w:t>
      </w:r>
    </w:p>
    <w:p w14:paraId="1BF230AA" w14:textId="18464429" w:rsidR="00DE1F85" w:rsidRPr="00DD5C85" w:rsidRDefault="00ED36BC" w:rsidP="00F74DEF">
      <w:pPr>
        <w:pStyle w:val="ParaNumbering"/>
        <w:ind w:left="0"/>
        <w:rPr>
          <w:bCs/>
        </w:rPr>
      </w:pPr>
      <w:r>
        <w:t>I</w:t>
      </w:r>
      <w:r w:rsidR="00BD1C2A">
        <w:t xml:space="preserve">t </w:t>
      </w:r>
      <w:r w:rsidR="00164192">
        <w:t>is impor</w:t>
      </w:r>
      <w:r w:rsidR="00477E6E">
        <w:t>tant to stress that, consistent</w:t>
      </w:r>
      <w:r w:rsidR="00164192">
        <w:t xml:space="preserve"> with </w:t>
      </w:r>
      <w:proofErr w:type="spellStart"/>
      <w:r w:rsidR="00164192" w:rsidRPr="00324798">
        <w:rPr>
          <w:i/>
        </w:rPr>
        <w:t>Macteldir</w:t>
      </w:r>
      <w:proofErr w:type="spellEnd"/>
      <w:r w:rsidR="00164192" w:rsidRPr="00324798">
        <w:rPr>
          <w:i/>
        </w:rPr>
        <w:t xml:space="preserve"> Pty Ltd v </w:t>
      </w:r>
      <w:proofErr w:type="spellStart"/>
      <w:r w:rsidR="00164192" w:rsidRPr="00324798">
        <w:rPr>
          <w:i/>
        </w:rPr>
        <w:t>Dimovski</w:t>
      </w:r>
      <w:proofErr w:type="spellEnd"/>
      <w:r w:rsidR="00164192">
        <w:t>, a</w:t>
      </w:r>
      <w:r w:rsidR="000E6324">
        <w:t>n assertion that a</w:t>
      </w:r>
      <w:r w:rsidR="00164192">
        <w:t xml:space="preserve"> claim is</w:t>
      </w:r>
      <w:r w:rsidR="00164192" w:rsidRPr="00324798">
        <w:t xml:space="preserve"> </w:t>
      </w:r>
      <w:r w:rsidR="00DE1F85">
        <w:t xml:space="preserve">colourable </w:t>
      </w:r>
      <w:r w:rsidR="00164192">
        <w:t xml:space="preserve">does not mean that </w:t>
      </w:r>
      <w:r w:rsidR="001173A2">
        <w:t xml:space="preserve">it </w:t>
      </w:r>
      <w:r w:rsidR="00164192">
        <w:t>is weak or infirm or is otherwise misconceived.</w:t>
      </w:r>
      <w:r w:rsidR="00C92F1A">
        <w:t xml:space="preserve"> </w:t>
      </w:r>
      <w:r w:rsidR="00164192">
        <w:t xml:space="preserve">It is an allegation of </w:t>
      </w:r>
      <w:r w:rsidR="00164192" w:rsidRPr="003910C9">
        <w:t>improper p</w:t>
      </w:r>
      <w:r w:rsidR="00164192">
        <w:t>urpose.</w:t>
      </w:r>
      <w:r w:rsidR="00C92F1A">
        <w:t xml:space="preserve"> </w:t>
      </w:r>
      <w:r w:rsidR="00164192">
        <w:t xml:space="preserve">As the oft-quoted testimony of </w:t>
      </w:r>
      <w:r w:rsidR="00164192">
        <w:rPr>
          <w:bCs/>
        </w:rPr>
        <w:t>Owen Dixon KC</w:t>
      </w:r>
      <w:r w:rsidR="00DE1F85" w:rsidRPr="00DD5C85">
        <w:rPr>
          <w:bCs/>
        </w:rPr>
        <w:t xml:space="preserve"> to </w:t>
      </w:r>
      <w:r w:rsidR="00456A67">
        <w:rPr>
          <w:bCs/>
        </w:rPr>
        <w:t xml:space="preserve">the </w:t>
      </w:r>
      <w:r w:rsidR="00456A67" w:rsidRPr="00456A67">
        <w:rPr>
          <w:bCs/>
        </w:rPr>
        <w:t>Royal Commission on the Constitution of the Commonwealth (Minutes of Evidence</w:t>
      </w:r>
      <w:r w:rsidR="00477E6E">
        <w:rPr>
          <w:bCs/>
        </w:rPr>
        <w:t>, 13 December 1927</w:t>
      </w:r>
      <w:r w:rsidR="00456A67">
        <w:rPr>
          <w:bCs/>
        </w:rPr>
        <w:t>)</w:t>
      </w:r>
      <w:r w:rsidR="00164192">
        <w:rPr>
          <w:bCs/>
        </w:rPr>
        <w:t xml:space="preserve"> graphically explained</w:t>
      </w:r>
      <w:r w:rsidR="00477E6E">
        <w:rPr>
          <w:bCs/>
        </w:rPr>
        <w:t xml:space="preserve"> (at p 788)</w:t>
      </w:r>
      <w:r w:rsidR="00DE1F85" w:rsidRPr="00DD5C85">
        <w:rPr>
          <w:bCs/>
        </w:rPr>
        <w:t xml:space="preserve">: </w:t>
      </w:r>
    </w:p>
    <w:p w14:paraId="3541B104" w14:textId="7D8174E9" w:rsidR="00DE1F85" w:rsidRDefault="00DE1F85" w:rsidP="00DE1F85">
      <w:pPr>
        <w:pStyle w:val="Quote1"/>
        <w:rPr>
          <w:b/>
        </w:rPr>
      </w:pPr>
      <w:r w:rsidRPr="009F1771">
        <w:t>So, if a tramp about to cross the bridge at Swan Hill is arrested for vagrancy and is intelligent enough to object that he is engaged in interstate commerce and cannot be obstructed, a matter</w:t>
      </w:r>
      <w:r w:rsidR="008C3B32">
        <w:t xml:space="preserve"> arises under the Constitution. </w:t>
      </w:r>
      <w:r w:rsidRPr="006558AB">
        <w:rPr>
          <w:b/>
        </w:rPr>
        <w:t>His objection may be constitutional nonsense, but his case is at once one of Federal jurisdiction.</w:t>
      </w:r>
    </w:p>
    <w:p w14:paraId="3430B654" w14:textId="4F52B093" w:rsidR="006558AB" w:rsidRPr="006558AB" w:rsidRDefault="008C3B32" w:rsidP="00DE1F85">
      <w:pPr>
        <w:pStyle w:val="Quote1"/>
      </w:pPr>
      <w:r>
        <w:t>(Emphasis added</w:t>
      </w:r>
      <w:r w:rsidR="006558AB">
        <w:t>)</w:t>
      </w:r>
      <w:r>
        <w:t>.</w:t>
      </w:r>
    </w:p>
    <w:p w14:paraId="4BCF801E" w14:textId="29574771" w:rsidR="00DE1F85" w:rsidRPr="006558AB" w:rsidRDefault="008C7A32" w:rsidP="00F74DEF">
      <w:pPr>
        <w:pStyle w:val="ParaNumbering"/>
        <w:ind w:left="0"/>
        <w:rPr>
          <w:bCs/>
        </w:rPr>
      </w:pPr>
      <w:r>
        <w:lastRenderedPageBreak/>
        <w:t>T</w:t>
      </w:r>
      <w:r w:rsidR="006558AB">
        <w:t xml:space="preserve">he </w:t>
      </w:r>
      <w:r w:rsidR="00DE1F85">
        <w:t>weakness of a case</w:t>
      </w:r>
      <w:r w:rsidR="006558AB">
        <w:t xml:space="preserve"> </w:t>
      </w:r>
      <w:r w:rsidR="00B2642A">
        <w:t>may be</w:t>
      </w:r>
      <w:r w:rsidR="0086483E">
        <w:t xml:space="preserve"> </w:t>
      </w:r>
      <w:r w:rsidR="00230672">
        <w:t>relevant</w:t>
      </w:r>
      <w:r>
        <w:t>,</w:t>
      </w:r>
      <w:r w:rsidR="00230672">
        <w:t xml:space="preserve"> </w:t>
      </w:r>
      <w:r w:rsidR="008C48C5">
        <w:t>but only to the extent that</w:t>
      </w:r>
      <w:r w:rsidR="00477E6E">
        <w:t xml:space="preserve"> </w:t>
      </w:r>
      <w:r w:rsidR="00164192">
        <w:t xml:space="preserve">it </w:t>
      </w:r>
      <w:r>
        <w:t>can rationally inform</w:t>
      </w:r>
      <w:r w:rsidR="00164192">
        <w:t xml:space="preserve"> a</w:t>
      </w:r>
      <w:r w:rsidR="00ED36BC">
        <w:t>n</w:t>
      </w:r>
      <w:r w:rsidR="00164192">
        <w:t xml:space="preserve"> assessment</w:t>
      </w:r>
      <w:r w:rsidR="00230672">
        <w:t xml:space="preserve"> </w:t>
      </w:r>
      <w:r>
        <w:t>as to</w:t>
      </w:r>
      <w:r w:rsidR="00164192">
        <w:t xml:space="preserve"> </w:t>
      </w:r>
      <w:r w:rsidR="00230672">
        <w:t xml:space="preserve">whether the claim was advanced for an </w:t>
      </w:r>
      <w:r w:rsidR="00164192">
        <w:t>improper purpose to fabricate jurisdiction</w:t>
      </w:r>
      <w:r w:rsidR="00DE1F85">
        <w:t xml:space="preserve">. As Perry J </w:t>
      </w:r>
      <w:r w:rsidR="00164192">
        <w:t xml:space="preserve">explained </w:t>
      </w:r>
      <w:r w:rsidR="00DE1F85">
        <w:t xml:space="preserve">in </w:t>
      </w:r>
      <w:r w:rsidR="00DE1F85" w:rsidRPr="002A23BB">
        <w:rPr>
          <w:i/>
        </w:rPr>
        <w:t xml:space="preserve">Qantas Airways Limited v </w:t>
      </w:r>
      <w:proofErr w:type="spellStart"/>
      <w:r w:rsidR="00DE1F85" w:rsidRPr="002A23BB">
        <w:rPr>
          <w:i/>
        </w:rPr>
        <w:t>Lustig</w:t>
      </w:r>
      <w:proofErr w:type="spellEnd"/>
      <w:r w:rsidR="00DE1F85" w:rsidRPr="002A23BB">
        <w:t xml:space="preserve"> [2015] FCA 253</w:t>
      </w:r>
      <w:r w:rsidR="00355C0D" w:rsidRPr="002A23BB">
        <w:t>; (2015) 228 FCR 148</w:t>
      </w:r>
      <w:r w:rsidR="00DE1F85">
        <w:t xml:space="preserve"> (at </w:t>
      </w:r>
      <w:r w:rsidR="001C0E65">
        <w:t xml:space="preserve">169 </w:t>
      </w:r>
      <w:r w:rsidR="00DE1F85">
        <w:t xml:space="preserve">[88]): </w:t>
      </w:r>
    </w:p>
    <w:p w14:paraId="7272E34D" w14:textId="11D1C674" w:rsidR="00DE1F85" w:rsidRPr="008B5D32" w:rsidRDefault="00DE1F85" w:rsidP="00DE1F85">
      <w:pPr>
        <w:pStyle w:val="Quote1"/>
      </w:pPr>
      <w:r w:rsidRPr="008B5D32">
        <w:t>The question, therefore, of whether a claim is tenable will be relevant to that question but not determinative save (rarely) where a claim is so obviously untenable, and would have been so to those who propounded it, that the claim is found to be colourable</w:t>
      </w:r>
      <w:r w:rsidRPr="008B5D32">
        <w:rPr>
          <w:i/>
        </w:rPr>
        <w:t xml:space="preserve">:  Cook v </w:t>
      </w:r>
      <w:proofErr w:type="spellStart"/>
      <w:r w:rsidRPr="008B5D32">
        <w:rPr>
          <w:i/>
        </w:rPr>
        <w:t>Pasminco</w:t>
      </w:r>
      <w:proofErr w:type="spellEnd"/>
      <w:r w:rsidRPr="008B5D32">
        <w:t xml:space="preserve"> [2000] FCA 677; (2000) 99 FCR 548 at 550 [14] and [16] (Lindgren J); </w:t>
      </w:r>
      <w:r w:rsidRPr="008B5D32">
        <w:rPr>
          <w:i/>
        </w:rPr>
        <w:t xml:space="preserve">Ahmed v Harbour Radio Pty Ltd </w:t>
      </w:r>
      <w:r w:rsidRPr="008B5D32">
        <w:t>[2009] FCA 1113; (2009) 180 FCR 313 at 327-329 [58]</w:t>
      </w:r>
      <w:r w:rsidR="001C0E65">
        <w:t>-</w:t>
      </w:r>
      <w:r w:rsidRPr="008B5D32">
        <w:t xml:space="preserve">[64] (Foster J).  For example, in </w:t>
      </w:r>
      <w:r w:rsidRPr="008B5D32">
        <w:rPr>
          <w:i/>
        </w:rPr>
        <w:t xml:space="preserve">Johnson Tiles Pty Ltd v Esso Australia </w:t>
      </w:r>
      <w:r w:rsidRPr="008B5D32">
        <w:t>[2000] FCA 1572; (2000) 104 FCR 564</w:t>
      </w:r>
      <w:r w:rsidR="00B2642A">
        <w:t>…</w:t>
      </w:r>
      <w:r w:rsidRPr="008B5D32">
        <w:t>, French J (with whose reasons Beaumont and Finkelstein JJ agreed) explained at 598-599 [88] that:</w:t>
      </w:r>
    </w:p>
    <w:p w14:paraId="3C86EA19" w14:textId="7C3953E2" w:rsidR="00DE1F85" w:rsidRPr="003910C9" w:rsidRDefault="00DE1F85" w:rsidP="00DE1F85">
      <w:pPr>
        <w:pStyle w:val="Quote2"/>
      </w:pPr>
      <w:r w:rsidRPr="008B5D32">
        <w:t xml:space="preserve">In the ordinary course the contention that a claim is not tenable will not go to jurisdiction unless dependent upon a submission that the claim is outside jurisdiction. And indeed, within that class a claim may be untenable because its very nature denies its character as an element of any matter or controversy in respect of which the Court can exercise jurisdiction. So a proceeding based upon the proposition that the Commonwealth Constitution is invalid does not disclose a matter arising under the Constitution or involving its interpretation – </w:t>
      </w:r>
      <w:r w:rsidRPr="008B5D32">
        <w:rPr>
          <w:i/>
        </w:rPr>
        <w:t xml:space="preserve">Nikolic v MGICA Ltd </w:t>
      </w:r>
      <w:r w:rsidR="00BD1C2A">
        <w:t xml:space="preserve">[1999] FCA 849. </w:t>
      </w:r>
      <w:r w:rsidRPr="008B5D32">
        <w:t xml:space="preserve">A claim may also be a sham reflecting no genuine controversy and therefore establishing no matter in respect of which the Court may exercise its jurisdiction. There has been discussion of so called “colourable” claims made under the </w:t>
      </w:r>
      <w:r w:rsidRPr="008B5D32">
        <w:rPr>
          <w:i/>
        </w:rPr>
        <w:t>Trade Practices Act</w:t>
      </w:r>
      <w:r w:rsidRPr="008B5D32">
        <w:t xml:space="preserve"> for the improper purpose of fabricating jurisdiction. The mere fact that a claim is struck out as untenable does not mean it is colourable in that sense.</w:t>
      </w:r>
    </w:p>
    <w:p w14:paraId="1ECF94EE" w14:textId="7BE128D9" w:rsidR="00A51291" w:rsidRDefault="00164192" w:rsidP="00A51291">
      <w:pPr>
        <w:pStyle w:val="ParaNumbering"/>
        <w:ind w:left="0"/>
      </w:pPr>
      <w:r>
        <w:t>In the present case</w:t>
      </w:r>
      <w:r w:rsidR="00BD1C2A">
        <w:t>,</w:t>
      </w:r>
      <w:r>
        <w:t xml:space="preserve"> </w:t>
      </w:r>
      <w:r w:rsidR="00DE1F85">
        <w:t xml:space="preserve">there is no </w:t>
      </w:r>
      <w:r>
        <w:t>basis to find</w:t>
      </w:r>
      <w:r w:rsidR="00DE1F85">
        <w:t xml:space="preserve"> that Mr Mulley is motivated in bringing </w:t>
      </w:r>
      <w:r w:rsidR="00A51291">
        <w:t xml:space="preserve">the </w:t>
      </w:r>
      <w:r w:rsidR="00A51291" w:rsidRPr="00A51291">
        <w:rPr>
          <w:i/>
        </w:rPr>
        <w:t>fourth</w:t>
      </w:r>
      <w:r w:rsidR="00A51291">
        <w:t xml:space="preserve"> claim by anything other</w:t>
      </w:r>
      <w:r w:rsidR="00DE1F85">
        <w:t xml:space="preserve"> </w:t>
      </w:r>
      <w:r w:rsidR="00A51291">
        <w:t>than</w:t>
      </w:r>
      <w:r w:rsidR="00DE1F85">
        <w:t xml:space="preserve"> the proper purpose of </w:t>
      </w:r>
      <w:r w:rsidR="00A51291">
        <w:t>attempting to recover common law</w:t>
      </w:r>
      <w:r w:rsidR="00DE1F85">
        <w:t xml:space="preserve"> damages for harm caused by the alleged unlawful conduct.</w:t>
      </w:r>
      <w:r w:rsidR="00C92F1A">
        <w:t xml:space="preserve"> </w:t>
      </w:r>
      <w:r w:rsidR="00A51291">
        <w:t>Although</w:t>
      </w:r>
      <w:r>
        <w:t xml:space="preserve"> </w:t>
      </w:r>
      <w:r w:rsidR="00A51291">
        <w:t xml:space="preserve">it </w:t>
      </w:r>
      <w:r>
        <w:t xml:space="preserve">was suggested in argument that Mr Mulley added the </w:t>
      </w:r>
      <w:r w:rsidRPr="00164192">
        <w:rPr>
          <w:i/>
        </w:rPr>
        <w:t>fourth</w:t>
      </w:r>
      <w:r>
        <w:t xml:space="preserve"> claim in an attempt to rectify his mistaken belief that this Court has jurisdiction to hear his defamation claim</w:t>
      </w:r>
      <w:r w:rsidR="00A51291">
        <w:t>, this cannot be accepted.</w:t>
      </w:r>
      <w:r w:rsidR="00C92F1A">
        <w:t xml:space="preserve"> </w:t>
      </w:r>
      <w:r w:rsidR="00A51291">
        <w:t xml:space="preserve">Mr Mulley gave evidence at the </w:t>
      </w:r>
      <w:r w:rsidR="008C3B32">
        <w:t>hearing of the S</w:t>
      </w:r>
      <w:r w:rsidR="00A51291">
        <w:t xml:space="preserve">eparate </w:t>
      </w:r>
      <w:r w:rsidR="008C3B32">
        <w:t>Question</w:t>
      </w:r>
      <w:r w:rsidR="00A51291">
        <w:t>.</w:t>
      </w:r>
      <w:r w:rsidR="00C92F1A">
        <w:t xml:space="preserve"> </w:t>
      </w:r>
      <w:r w:rsidR="00A51291">
        <w:t>His</w:t>
      </w:r>
      <w:r>
        <w:t xml:space="preserve"> affidavit </w:t>
      </w:r>
      <w:r w:rsidR="00A51291">
        <w:t>of</w:t>
      </w:r>
      <w:r>
        <w:t xml:space="preserve"> 3 February 2021</w:t>
      </w:r>
      <w:r w:rsidR="00A51291">
        <w:t xml:space="preserve"> was read, and although it did not address the question of his motivation </w:t>
      </w:r>
      <w:r w:rsidRPr="00454EC8">
        <w:t xml:space="preserve">for bringing </w:t>
      </w:r>
      <w:r w:rsidR="00A51291">
        <w:t>any aspect of his claim</w:t>
      </w:r>
      <w:r w:rsidR="00617F61">
        <w:t>s</w:t>
      </w:r>
      <w:r w:rsidR="00A51291">
        <w:t>, this is hardly surprising.</w:t>
      </w:r>
      <w:r w:rsidR="00C92F1A">
        <w:t xml:space="preserve"> </w:t>
      </w:r>
      <w:r w:rsidR="00A51291">
        <w:t xml:space="preserve">No suggestion was made prior to </w:t>
      </w:r>
      <w:r w:rsidR="003F4C39">
        <w:t xml:space="preserve">submissions at </w:t>
      </w:r>
      <w:r w:rsidR="00A51291">
        <w:t xml:space="preserve">the hearing </w:t>
      </w:r>
      <w:r w:rsidR="00A51291" w:rsidRPr="00A33720">
        <w:t xml:space="preserve">that </w:t>
      </w:r>
      <w:r w:rsidR="00A51291">
        <w:t xml:space="preserve">Mr Mulley’s </w:t>
      </w:r>
      <w:r w:rsidR="00A51291" w:rsidRPr="00A33720">
        <w:t xml:space="preserve">state of mind </w:t>
      </w:r>
      <w:r w:rsidR="00A51291">
        <w:t xml:space="preserve">in making the </w:t>
      </w:r>
      <w:r w:rsidR="00A51291" w:rsidRPr="00A51291">
        <w:rPr>
          <w:i/>
        </w:rPr>
        <w:t>fourth</w:t>
      </w:r>
      <w:r w:rsidR="00A51291">
        <w:t xml:space="preserve"> claim </w:t>
      </w:r>
      <w:r w:rsidR="00A51291" w:rsidRPr="00A33720">
        <w:t xml:space="preserve">was anything other than </w:t>
      </w:r>
      <w:r w:rsidR="00477E6E">
        <w:t>genuine</w:t>
      </w:r>
      <w:r w:rsidR="00A51291">
        <w:t>.</w:t>
      </w:r>
      <w:r w:rsidR="00C92F1A">
        <w:t xml:space="preserve"> </w:t>
      </w:r>
      <w:r w:rsidR="00A51291">
        <w:t xml:space="preserve">No cross-examination occurred and no allegation of improper purpose or </w:t>
      </w:r>
      <w:r w:rsidR="003F4C39">
        <w:t xml:space="preserve">any other contention </w:t>
      </w:r>
      <w:r w:rsidR="00A51291">
        <w:t>otherwise related to colourability was put to him.</w:t>
      </w:r>
      <w:r w:rsidR="00C92F1A">
        <w:t xml:space="preserve"> </w:t>
      </w:r>
      <w:r w:rsidR="00A51291">
        <w:t xml:space="preserve">It was not suggested any inference </w:t>
      </w:r>
      <w:r w:rsidR="003F4C39">
        <w:t xml:space="preserve">should be drawn </w:t>
      </w:r>
      <w:r w:rsidR="00A51291">
        <w:t>of the type explained by H</w:t>
      </w:r>
      <w:r w:rsidR="00A51291" w:rsidRPr="003F4C39">
        <w:t>andley JA in </w:t>
      </w:r>
      <w:r w:rsidR="00A51291" w:rsidRPr="002A23BB">
        <w:rPr>
          <w:i/>
        </w:rPr>
        <w:t>Commercial Union Assurance Company of Australia Limited v</w:t>
      </w:r>
      <w:r w:rsidR="00C92F1A">
        <w:rPr>
          <w:i/>
        </w:rPr>
        <w:t xml:space="preserve"> </w:t>
      </w:r>
      <w:proofErr w:type="spellStart"/>
      <w:r w:rsidR="00A51291" w:rsidRPr="002A23BB">
        <w:rPr>
          <w:i/>
        </w:rPr>
        <w:t>Ferrcom</w:t>
      </w:r>
      <w:proofErr w:type="spellEnd"/>
      <w:r w:rsidR="00A51291" w:rsidRPr="002A23BB">
        <w:rPr>
          <w:i/>
        </w:rPr>
        <w:t> Pty Limited</w:t>
      </w:r>
      <w:r w:rsidR="00A51291" w:rsidRPr="002A23BB">
        <w:t> (1991) 22 NSWLR 389</w:t>
      </w:r>
      <w:r w:rsidR="00A51291" w:rsidRPr="003F4C39">
        <w:t> </w:t>
      </w:r>
      <w:r w:rsidR="002A23BB">
        <w:t>(</w:t>
      </w:r>
      <w:r w:rsidR="00A51291" w:rsidRPr="003F4C39">
        <w:t>at 418</w:t>
      </w:r>
      <w:r w:rsidR="002A23BB">
        <w:t xml:space="preserve">), </w:t>
      </w:r>
      <w:r w:rsidR="00A51291" w:rsidRPr="003F4C39">
        <w:t xml:space="preserve">which concerned a failure to lead evidence </w:t>
      </w:r>
      <w:r w:rsidR="003F4C39">
        <w:t xml:space="preserve">in chief </w:t>
      </w:r>
      <w:r w:rsidR="00A51291" w:rsidRPr="003F4C39">
        <w:t>from a witness on a central issue</w:t>
      </w:r>
      <w:r w:rsidR="003F4C39" w:rsidRPr="003F4C39">
        <w:t>.</w:t>
      </w:r>
      <w:r w:rsidR="00C92F1A">
        <w:t xml:space="preserve"> </w:t>
      </w:r>
      <w:r w:rsidR="001C0E65">
        <w:t xml:space="preserve">In any event, </w:t>
      </w:r>
      <w:r w:rsidR="003F4C39" w:rsidRPr="003F4C39">
        <w:t xml:space="preserve">such </w:t>
      </w:r>
      <w:r w:rsidR="008C7A32">
        <w:t xml:space="preserve">a </w:t>
      </w:r>
      <w:r w:rsidR="003F4C39" w:rsidRPr="003F4C39">
        <w:t xml:space="preserve">submission would </w:t>
      </w:r>
      <w:r w:rsidR="003F4C39" w:rsidRPr="003F4C39">
        <w:lastRenderedPageBreak/>
        <w:t>have been hopeless</w:t>
      </w:r>
      <w:r w:rsidR="001C0E65">
        <w:t xml:space="preserve">, </w:t>
      </w:r>
      <w:r w:rsidR="003F4C39" w:rsidRPr="003F4C39">
        <w:t xml:space="preserve">given the </w:t>
      </w:r>
      <w:r w:rsidR="001C0E65">
        <w:t xml:space="preserve">manner and timing by which </w:t>
      </w:r>
      <w:r w:rsidR="003F4C39" w:rsidRPr="003F4C39">
        <w:t>the argument as to colourability was advanced.</w:t>
      </w:r>
      <w:r w:rsidR="00A51291">
        <w:t xml:space="preserve"> </w:t>
      </w:r>
    </w:p>
    <w:p w14:paraId="1C912BC1" w14:textId="413F6021" w:rsidR="004B4625" w:rsidRDefault="004B4625" w:rsidP="004B4625">
      <w:pPr>
        <w:pStyle w:val="ParaNumbering"/>
        <w:ind w:left="0"/>
      </w:pPr>
      <w:r>
        <w:t>In</w:t>
      </w:r>
      <w:r w:rsidR="003F4C39">
        <w:t xml:space="preserve"> this respect, the present case bears some resemblance to</w:t>
      </w:r>
      <w:r>
        <w:t xml:space="preserve"> </w:t>
      </w:r>
      <w:proofErr w:type="spellStart"/>
      <w:r w:rsidRPr="002A23BB">
        <w:rPr>
          <w:i/>
        </w:rPr>
        <w:t>McCully</w:t>
      </w:r>
      <w:proofErr w:type="spellEnd"/>
      <w:r w:rsidRPr="002A23BB">
        <w:rPr>
          <w:i/>
        </w:rPr>
        <w:t xml:space="preserve"> v Sydney Trains</w:t>
      </w:r>
      <w:r w:rsidRPr="002A23BB">
        <w:t xml:space="preserve"> [2021] FCA 562</w:t>
      </w:r>
      <w:r>
        <w:t>, in which a submission</w:t>
      </w:r>
      <w:r w:rsidR="00BD1C2A">
        <w:t xml:space="preserve"> of a similar nature was raised. Relevantly,</w:t>
      </w:r>
      <w:r>
        <w:t xml:space="preserve"> White J said (at [53]): </w:t>
      </w:r>
    </w:p>
    <w:p w14:paraId="084854EC" w14:textId="1FEFC45F" w:rsidR="004B4625" w:rsidRDefault="004B4625" w:rsidP="004B4625">
      <w:pPr>
        <w:pStyle w:val="Quote1"/>
      </w:pPr>
      <w:r>
        <w:t>The respondents’ claim that the applicants’ claim was colourable was raised for the first time in counsel’s submissions at the hearing.</w:t>
      </w:r>
      <w:r w:rsidR="00C92F1A">
        <w:t xml:space="preserve"> </w:t>
      </w:r>
      <w:r>
        <w:t>The absence of prior notice to the applicants means that it would not be appropriate to draw any inference adverse to them by reason of an absence of evidence on their part.</w:t>
      </w:r>
    </w:p>
    <w:p w14:paraId="59EE91FD" w14:textId="3AB1952F" w:rsidR="00DE1F85" w:rsidRPr="00F02127" w:rsidRDefault="003F4C39" w:rsidP="00F74DEF">
      <w:pPr>
        <w:pStyle w:val="ParaNumbering"/>
        <w:ind w:left="0"/>
      </w:pPr>
      <w:r w:rsidRPr="00F02127">
        <w:t>As to the criticism that the case advanced as to jurisdiction has</w:t>
      </w:r>
      <w:r w:rsidR="00B528F7" w:rsidRPr="00F02127">
        <w:t xml:space="preserve"> developed with subsequent amendments</w:t>
      </w:r>
      <w:r w:rsidR="00477E6E">
        <w:t xml:space="preserve">, this too </w:t>
      </w:r>
      <w:r w:rsidRPr="00F02127">
        <w:t>is hardly unexpected.</w:t>
      </w:r>
      <w:r w:rsidR="00C92F1A" w:rsidRPr="00F02127">
        <w:t xml:space="preserve"> </w:t>
      </w:r>
      <w:r w:rsidRPr="00F02127">
        <w:t xml:space="preserve">The SOC and FASOC were prepared by Mr Mulley without the benefit of specialist legal assistance. The case on jurisdiction was, if I may say so, ably advanced </w:t>
      </w:r>
      <w:r w:rsidR="00AB5751">
        <w:t xml:space="preserve">orally </w:t>
      </w:r>
      <w:r w:rsidRPr="00F02127">
        <w:t>by junior cou</w:t>
      </w:r>
      <w:r w:rsidR="00B528F7" w:rsidRPr="00F02127">
        <w:t>n</w:t>
      </w:r>
      <w:r w:rsidRPr="00F02127">
        <w:t>sel for Mr Mulley at the hearing and no doubt was more fully developed than would otherwise have been th</w:t>
      </w:r>
      <w:r w:rsidR="00BD1C2A">
        <w:t>e case</w:t>
      </w:r>
      <w:r w:rsidR="00167860">
        <w:t xml:space="preserve"> had Mr Mulley not been represented</w:t>
      </w:r>
      <w:r w:rsidR="00BD1C2A">
        <w:t>.</w:t>
      </w:r>
      <w:r w:rsidR="005D0A3F">
        <w:t xml:space="preserve"> </w:t>
      </w:r>
      <w:r w:rsidRPr="005403D8">
        <w:t xml:space="preserve">But </w:t>
      </w:r>
      <w:r w:rsidRPr="005403D8">
        <w:rPr>
          <w:bCs/>
        </w:rPr>
        <w:t>a</w:t>
      </w:r>
      <w:r w:rsidR="00DE1F85" w:rsidRPr="005403D8">
        <w:rPr>
          <w:bCs/>
        </w:rPr>
        <w:t xml:space="preserve">lthough </w:t>
      </w:r>
      <w:r w:rsidRPr="005403D8">
        <w:rPr>
          <w:bCs/>
        </w:rPr>
        <w:t xml:space="preserve">the </w:t>
      </w:r>
      <w:r w:rsidRPr="005403D8">
        <w:rPr>
          <w:bCs/>
          <w:i/>
        </w:rPr>
        <w:t>fourth</w:t>
      </w:r>
      <w:r w:rsidRPr="005403D8">
        <w:rPr>
          <w:bCs/>
        </w:rPr>
        <w:t xml:space="preserve"> claim </w:t>
      </w:r>
      <w:r w:rsidR="001F377C" w:rsidRPr="005403D8">
        <w:rPr>
          <w:bCs/>
        </w:rPr>
        <w:t xml:space="preserve">was </w:t>
      </w:r>
      <w:r w:rsidR="00DE1F85" w:rsidRPr="005403D8">
        <w:rPr>
          <w:bCs/>
        </w:rPr>
        <w:t>not initially formulated distinct</w:t>
      </w:r>
      <w:r w:rsidR="001F377C" w:rsidRPr="005403D8">
        <w:rPr>
          <w:bCs/>
        </w:rPr>
        <w:t>ly</w:t>
      </w:r>
      <w:r w:rsidR="00DE1F85" w:rsidRPr="005403D8">
        <w:rPr>
          <w:bCs/>
        </w:rPr>
        <w:t xml:space="preserve">, </w:t>
      </w:r>
      <w:r w:rsidRPr="005403D8">
        <w:rPr>
          <w:bCs/>
        </w:rPr>
        <w:t>Mr Mulley fastened upon it himself</w:t>
      </w:r>
      <w:r w:rsidR="00167860">
        <w:rPr>
          <w:bCs/>
        </w:rPr>
        <w:t xml:space="preserve"> in the ASOC</w:t>
      </w:r>
      <w:r w:rsidR="001C0E65" w:rsidRPr="005403D8">
        <w:rPr>
          <w:bCs/>
        </w:rPr>
        <w:t>,</w:t>
      </w:r>
      <w:r w:rsidRPr="005403D8">
        <w:rPr>
          <w:bCs/>
        </w:rPr>
        <w:t xml:space="preserve"> and </w:t>
      </w:r>
      <w:r w:rsidR="00DE1F85" w:rsidRPr="005403D8">
        <w:rPr>
          <w:bCs/>
        </w:rPr>
        <w:t xml:space="preserve">the threats made in the January </w:t>
      </w:r>
      <w:r w:rsidRPr="005403D8">
        <w:rPr>
          <w:bCs/>
        </w:rPr>
        <w:t>Message</w:t>
      </w:r>
      <w:r w:rsidR="00DE1F85" w:rsidRPr="005403D8">
        <w:rPr>
          <w:bCs/>
        </w:rPr>
        <w:t xml:space="preserve"> </w:t>
      </w:r>
      <w:r w:rsidR="001F377C" w:rsidRPr="005403D8">
        <w:rPr>
          <w:bCs/>
        </w:rPr>
        <w:t xml:space="preserve">had always been </w:t>
      </w:r>
      <w:r w:rsidR="00DE1F85" w:rsidRPr="005403D8">
        <w:rPr>
          <w:bCs/>
        </w:rPr>
        <w:t xml:space="preserve">relied </w:t>
      </w:r>
      <w:r w:rsidR="001F377C" w:rsidRPr="005403D8">
        <w:rPr>
          <w:bCs/>
        </w:rPr>
        <w:t>up</w:t>
      </w:r>
      <w:r w:rsidR="00DE1F85" w:rsidRPr="005403D8">
        <w:rPr>
          <w:bCs/>
        </w:rPr>
        <w:t>on by Mr Mulley from the outset:</w:t>
      </w:r>
      <w:r w:rsidR="00162C17" w:rsidRPr="005403D8">
        <w:rPr>
          <w:bCs/>
        </w:rPr>
        <w:t xml:space="preserve"> </w:t>
      </w:r>
      <w:r w:rsidR="00625DFD">
        <w:rPr>
          <w:bCs/>
        </w:rPr>
        <w:t>T18.1</w:t>
      </w:r>
      <w:r w:rsidR="00DE1F85" w:rsidRPr="005403D8">
        <w:rPr>
          <w:bCs/>
        </w:rPr>
        <w:t>–5.</w:t>
      </w:r>
      <w:r w:rsidR="00DE1F85" w:rsidRPr="00F02127">
        <w:rPr>
          <w:bCs/>
        </w:rPr>
        <w:t xml:space="preserve"> </w:t>
      </w:r>
      <w:r w:rsidRPr="00F02127">
        <w:rPr>
          <w:bCs/>
        </w:rPr>
        <w:t>Again, White J’s remarks i</w:t>
      </w:r>
      <w:r w:rsidR="00DE1F85" w:rsidRPr="00F02127">
        <w:rPr>
          <w:bCs/>
        </w:rPr>
        <w:t xml:space="preserve">n </w:t>
      </w:r>
      <w:proofErr w:type="spellStart"/>
      <w:r w:rsidRPr="00F02127">
        <w:rPr>
          <w:i/>
        </w:rPr>
        <w:t>McCully</w:t>
      </w:r>
      <w:proofErr w:type="spellEnd"/>
      <w:r w:rsidR="00DE1F85" w:rsidRPr="00F02127">
        <w:t xml:space="preserve"> (at [54])</w:t>
      </w:r>
      <w:r w:rsidRPr="00F02127">
        <w:t xml:space="preserve"> have some relevance:</w:t>
      </w:r>
      <w:r w:rsidR="00DE1F85" w:rsidRPr="00F02127">
        <w:t xml:space="preserve"> </w:t>
      </w:r>
    </w:p>
    <w:p w14:paraId="30636FDA" w14:textId="24AC82DC" w:rsidR="00DE1F85" w:rsidRDefault="00DE1F85" w:rsidP="00DE1F85">
      <w:pPr>
        <w:pStyle w:val="Quote1"/>
      </w:pPr>
      <w:r>
        <w:t>It is plain that the applicants’ position with respect to the jurisdiction of this Court has developed as time has gone by in response to the critique made by the respondents.  That may suggest that insufficient attention was given to the basis of this Court’s jurisdict</w:t>
      </w:r>
      <w:r w:rsidR="00BD1C2A">
        <w:t>ion at the time it was invoked.</w:t>
      </w:r>
      <w:r>
        <w:t xml:space="preserve"> However, there is no reason to suppose that the applicants’ m</w:t>
      </w:r>
      <w:r w:rsidR="00BD1C2A">
        <w:t xml:space="preserve">istake was other than genuine. </w:t>
      </w:r>
      <w:r>
        <w:t>That is to say, that they commenced the proceedings in this Court in the belief that it had jurisdiction to hear and determine their claims but came to realise in the light of the respondents’ critique that the issue of jurisdiction was more “l</w:t>
      </w:r>
      <w:r w:rsidR="00BD1C2A">
        <w:t>ive” than they had appreciated.</w:t>
      </w:r>
      <w:r>
        <w:t xml:space="preserve"> In that circumstance, the applicants’ ultimate reliance on a different basis for the Court’s jurisdiction than that initially asserted does not support an inference that the claim is colourable.  </w:t>
      </w:r>
    </w:p>
    <w:p w14:paraId="71C6C8F9" w14:textId="5BEBF5FE" w:rsidR="00677914" w:rsidRPr="00DE1F85" w:rsidRDefault="00DE1F85" w:rsidP="00F74DEF">
      <w:pPr>
        <w:pStyle w:val="ParaNumbering"/>
        <w:ind w:left="0"/>
        <w:rPr>
          <w:sz w:val="26"/>
          <w:szCs w:val="26"/>
        </w:rPr>
      </w:pPr>
      <w:r>
        <w:t xml:space="preserve">Mr Mulley’s claim </w:t>
      </w:r>
      <w:r w:rsidR="001F377C">
        <w:t xml:space="preserve">attracting </w:t>
      </w:r>
      <w:r w:rsidR="00583B0F">
        <w:t xml:space="preserve">the </w:t>
      </w:r>
      <w:r w:rsidR="001F377C">
        <w:t xml:space="preserve">jurisdiction </w:t>
      </w:r>
      <w:r w:rsidR="00583B0F">
        <w:t xml:space="preserve">of the Court </w:t>
      </w:r>
      <w:r>
        <w:t xml:space="preserve">is </w:t>
      </w:r>
      <w:r w:rsidR="001F377C">
        <w:t xml:space="preserve">not </w:t>
      </w:r>
      <w:r>
        <w:t xml:space="preserve">colourable </w:t>
      </w:r>
      <w:r w:rsidR="00B2642A">
        <w:t>n</w:t>
      </w:r>
      <w:r>
        <w:t>or artificial.</w:t>
      </w:r>
    </w:p>
    <w:p w14:paraId="7218DCEF" w14:textId="7933B282" w:rsidR="00DE1F85" w:rsidRDefault="00BD1C2A" w:rsidP="00125266">
      <w:pPr>
        <w:pStyle w:val="Heading1"/>
      </w:pPr>
      <w:bookmarkStart w:id="31" w:name="_Ref82003799"/>
      <w:r>
        <w:t>F</w:t>
      </w:r>
      <w:r w:rsidR="00125266">
        <w:tab/>
        <w:t>CONCLUSION</w:t>
      </w:r>
      <w:bookmarkEnd w:id="31"/>
    </w:p>
    <w:p w14:paraId="3EE0ACFE" w14:textId="7822DAFF" w:rsidR="00CD6E97" w:rsidRDefault="00CD6E97" w:rsidP="00F74DEF">
      <w:pPr>
        <w:pStyle w:val="ParaNumbering"/>
        <w:ind w:left="0"/>
      </w:pPr>
      <w:r>
        <w:t xml:space="preserve">The answer to the Separate Question is </w:t>
      </w:r>
      <w:r w:rsidR="0003087E">
        <w:t>“</w:t>
      </w:r>
      <w:r>
        <w:t>yes</w:t>
      </w:r>
      <w:r w:rsidR="0003087E">
        <w:t>”</w:t>
      </w:r>
      <w:r>
        <w:t xml:space="preserve">: the </w:t>
      </w:r>
      <w:r w:rsidRPr="00CD6E97">
        <w:t>jurisdiction of this Court has been properly invoked</w:t>
      </w:r>
      <w:r>
        <w:t>. At the hearing, I raised the question as to whether this Court would have the power to rely on the</w:t>
      </w:r>
      <w:r w:rsidRPr="00CD6E97">
        <w:t xml:space="preserve"> cross-vesting provisions to transfer </w:t>
      </w:r>
      <w:r>
        <w:t>the matter</w:t>
      </w:r>
      <w:r w:rsidRPr="00CD6E97">
        <w:t xml:space="preserve"> to another court</w:t>
      </w:r>
      <w:r>
        <w:t>, in the event that the Separate Question was answered in the negative. As I have found that the jurisdiction of this Court was indeed properly invoked, the issue as to the scope of the Court’s power to rely on the</w:t>
      </w:r>
      <w:r w:rsidRPr="00CD6E97">
        <w:t xml:space="preserve"> cross-vesting provisions</w:t>
      </w:r>
      <w:r w:rsidR="00BD1C2A">
        <w:t xml:space="preserve"> does not arise.</w:t>
      </w:r>
      <w:r w:rsidR="008C7A32">
        <w:t xml:space="preserve"> This does not mean, however, that it is not open to </w:t>
      </w:r>
      <w:r w:rsidR="008C7A32">
        <w:lastRenderedPageBreak/>
        <w:t xml:space="preserve">Mr Hayes to </w:t>
      </w:r>
      <w:r w:rsidR="007D2D55">
        <w:t>bring</w:t>
      </w:r>
      <w:r w:rsidR="008C7A32">
        <w:t xml:space="preserve"> an application to cross-vest the proceeding to the Supreme Court to allow the case, if thought appropriate by a judge of that Court, by a further transfer, to be sent to the District Court of New South Wales (or for it to be transferred directly to the </w:t>
      </w:r>
      <w:r w:rsidR="00617F61" w:rsidRPr="00617F61">
        <w:t>Federal Circui</w:t>
      </w:r>
      <w:r w:rsidR="00617F61">
        <w:t>t and Family Court of Australia</w:t>
      </w:r>
      <w:r w:rsidR="008C7A32">
        <w:t>).</w:t>
      </w:r>
    </w:p>
    <w:p w14:paraId="4C5962F7" w14:textId="7BAA72D5" w:rsidR="00DE1F85" w:rsidRPr="00440073" w:rsidRDefault="00440073" w:rsidP="00F74DEF">
      <w:pPr>
        <w:pStyle w:val="ParaNumbering"/>
        <w:ind w:left="0"/>
      </w:pPr>
      <w:r w:rsidRPr="00F74DEF">
        <w:t>During</w:t>
      </w:r>
      <w:r w:rsidRPr="00440073">
        <w:t xml:space="preserve"> the course of oral submissions, I invited the parties to make any submissions concerning the issue of costs. The parties </w:t>
      </w:r>
      <w:r w:rsidR="00617F61">
        <w:t xml:space="preserve">did not dispute that </w:t>
      </w:r>
      <w:r w:rsidRPr="00440073">
        <w:t>the appropriate order would be</w:t>
      </w:r>
      <w:r>
        <w:t xml:space="preserve"> that</w:t>
      </w:r>
      <w:r w:rsidRPr="00440073">
        <w:t xml:space="preserve"> costs </w:t>
      </w:r>
      <w:r w:rsidR="00CD6E97">
        <w:t>follow the event</w:t>
      </w:r>
      <w:r w:rsidR="004A67E5">
        <w:t xml:space="preserve"> of the separate determination</w:t>
      </w:r>
      <w:r w:rsidR="00CD6E97">
        <w:t>.</w:t>
      </w:r>
    </w:p>
    <w:p w14:paraId="1C367DA4" w14:textId="77777777" w:rsidR="00B57747" w:rsidRDefault="00B57747" w:rsidP="003740C5">
      <w:pPr>
        <w:pStyle w:val="BodyText"/>
      </w:pPr>
      <w:bookmarkStart w:id="32" w:name="Certification"/>
    </w:p>
    <w:tbl>
      <w:tblPr>
        <w:tblW w:w="0" w:type="auto"/>
        <w:tblLook w:val="04A0" w:firstRow="1" w:lastRow="0" w:firstColumn="1" w:lastColumn="0" w:noHBand="0" w:noVBand="1"/>
      </w:tblPr>
      <w:tblGrid>
        <w:gridCol w:w="3794"/>
      </w:tblGrid>
      <w:tr w:rsidR="00B57747" w:rsidRPr="00B57747" w14:paraId="2714B9A7" w14:textId="77777777">
        <w:tc>
          <w:tcPr>
            <w:tcW w:w="3794" w:type="dxa"/>
            <w:shd w:val="clear" w:color="auto" w:fill="auto"/>
          </w:tcPr>
          <w:p w14:paraId="717EC33C" w14:textId="09A34F4E" w:rsidR="00B57747" w:rsidRPr="00B57747" w:rsidRDefault="00B57747" w:rsidP="0069275A">
            <w:pPr>
              <w:pStyle w:val="Normal1linespace"/>
            </w:pPr>
            <w:r w:rsidRPr="00B57747">
              <w:t xml:space="preserve">I certify that the preceding </w:t>
            </w:r>
            <w:bookmarkStart w:id="33" w:name="NumberWord"/>
            <w:r w:rsidR="00C433B1">
              <w:t>seventy</w:t>
            </w:r>
            <w:bookmarkEnd w:id="33"/>
            <w:r w:rsidR="0069275A">
              <w:t>-</w:t>
            </w:r>
            <w:r w:rsidR="00583B0F">
              <w:t>nine</w:t>
            </w:r>
            <w:r w:rsidRPr="00B57747">
              <w:t xml:space="preserve"> (</w:t>
            </w:r>
            <w:bookmarkStart w:id="34" w:name="NumberNumeral"/>
            <w:r w:rsidR="00F02127">
              <w:t>7</w:t>
            </w:r>
            <w:bookmarkEnd w:id="34"/>
            <w:r w:rsidR="00583B0F">
              <w:t>9</w:t>
            </w:r>
            <w:r w:rsidRPr="00B57747">
              <w:t xml:space="preserve">) numbered </w:t>
            </w:r>
            <w:bookmarkStart w:id="35" w:name="CertPara"/>
            <w:r w:rsidR="00F02127">
              <w:t>paragraphs are</w:t>
            </w:r>
            <w:bookmarkEnd w:id="35"/>
            <w:r w:rsidRPr="00B57747">
              <w:t xml:space="preserve"> a true copy of the Reasons for Judgment of </w:t>
            </w:r>
            <w:bookmarkStart w:id="36" w:name="bkHonourable"/>
            <w:r w:rsidRPr="00B57747">
              <w:t xml:space="preserve">the Honourable </w:t>
            </w:r>
            <w:bookmarkStart w:id="37" w:name="Justice"/>
            <w:bookmarkEnd w:id="36"/>
            <w:r w:rsidR="00F02127">
              <w:t>Justice Lee</w:t>
            </w:r>
            <w:bookmarkEnd w:id="37"/>
            <w:r w:rsidRPr="00B57747">
              <w:t>.</w:t>
            </w:r>
          </w:p>
        </w:tc>
      </w:tr>
    </w:tbl>
    <w:p w14:paraId="61230206" w14:textId="77777777" w:rsidR="00B57747" w:rsidRDefault="00B57747" w:rsidP="003740C5">
      <w:pPr>
        <w:pStyle w:val="BodyText"/>
      </w:pPr>
    </w:p>
    <w:p w14:paraId="17118F87" w14:textId="77777777" w:rsidR="00B57747" w:rsidRDefault="00B57747" w:rsidP="003740C5">
      <w:pPr>
        <w:pStyle w:val="BodyText"/>
      </w:pPr>
    </w:p>
    <w:p w14:paraId="17BBDE60" w14:textId="3114521B" w:rsidR="00B57747" w:rsidRDefault="00B57747" w:rsidP="003740C5">
      <w:pPr>
        <w:pStyle w:val="BodyText"/>
      </w:pPr>
      <w:bookmarkStart w:id="38" w:name="_GoBack"/>
      <w:bookmarkEnd w:id="38"/>
    </w:p>
    <w:p w14:paraId="1D4EC26C" w14:textId="29EE1C6D" w:rsidR="00B57747" w:rsidRDefault="00B57747" w:rsidP="003740C5">
      <w:pPr>
        <w:pStyle w:val="BodyText"/>
      </w:pPr>
      <w:r>
        <w:t>Associate:</w:t>
      </w:r>
      <w:r w:rsidR="00620381">
        <w:t xml:space="preserve"> </w:t>
      </w:r>
    </w:p>
    <w:p w14:paraId="71856FE4" w14:textId="77777777" w:rsidR="00B57747" w:rsidRDefault="00B57747" w:rsidP="003740C5">
      <w:pPr>
        <w:pStyle w:val="BodyText"/>
      </w:pPr>
    </w:p>
    <w:p w14:paraId="272262AF" w14:textId="084C2176" w:rsidR="00B57747" w:rsidRDefault="00B57747" w:rsidP="003740C5">
      <w:pPr>
        <w:pStyle w:val="BodyText"/>
        <w:tabs>
          <w:tab w:val="left" w:pos="1134"/>
        </w:tabs>
      </w:pPr>
      <w:r>
        <w:t>Dated:</w:t>
      </w:r>
      <w:r>
        <w:tab/>
      </w:r>
      <w:r w:rsidR="00625DFD">
        <w:t>13 September 2021</w:t>
      </w:r>
    </w:p>
    <w:p w14:paraId="6D3099EE" w14:textId="77777777" w:rsidR="00B57747" w:rsidRDefault="00B57747" w:rsidP="003740C5">
      <w:pPr>
        <w:pStyle w:val="BodyText"/>
      </w:pPr>
    </w:p>
    <w:bookmarkEnd w:id="32"/>
    <w:p w14:paraId="7C8E2ECD" w14:textId="77777777" w:rsidR="0051434F" w:rsidRDefault="0051434F" w:rsidP="00B57747">
      <w:pPr>
        <w:pStyle w:val="BodyText"/>
      </w:pPr>
    </w:p>
    <w:p w14:paraId="52AA7B3D" w14:textId="0223EEFD" w:rsidR="002134F6" w:rsidRDefault="002134F6" w:rsidP="00B57747">
      <w:pPr>
        <w:pStyle w:val="BodyText"/>
      </w:pPr>
    </w:p>
    <w:p w14:paraId="035CB6EF" w14:textId="31A90DCE" w:rsidR="002134F6" w:rsidRDefault="002134F6" w:rsidP="00B57747">
      <w:pPr>
        <w:pStyle w:val="BodyText"/>
      </w:pPr>
    </w:p>
    <w:p w14:paraId="1EF06425" w14:textId="77777777" w:rsidR="00EB0DF8" w:rsidRDefault="00EB0DF8">
      <w:pPr>
        <w:rPr>
          <w:rFonts w:eastAsia="Batang"/>
          <w:b/>
          <w:kern w:val="28"/>
          <w:szCs w:val="20"/>
          <w:lang w:eastAsia="en-US"/>
        </w:rPr>
      </w:pPr>
      <w:r>
        <w:rPr>
          <w:caps/>
        </w:rPr>
        <w:br w:type="page"/>
      </w:r>
    </w:p>
    <w:p w14:paraId="3E3DC20B" w14:textId="423FA6D7" w:rsidR="00FE049B" w:rsidRDefault="00394DD3" w:rsidP="00602F72">
      <w:pPr>
        <w:pStyle w:val="Heading1"/>
        <w:jc w:val="center"/>
        <w:rPr>
          <w:caps w:val="0"/>
        </w:rPr>
      </w:pPr>
      <w:r>
        <w:rPr>
          <w:caps w:val="0"/>
        </w:rPr>
        <w:lastRenderedPageBreak/>
        <w:t>ANNEXURE A</w:t>
      </w:r>
    </w:p>
    <w:p w14:paraId="68B6F5D6" w14:textId="3A2CA56B" w:rsidR="00EB0DF8" w:rsidRPr="00EB0DF8" w:rsidRDefault="00B67991" w:rsidP="00EB0DF8">
      <w:pPr>
        <w:pStyle w:val="ParaNumbering"/>
        <w:numPr>
          <w:ilvl w:val="0"/>
          <w:numId w:val="0"/>
        </w:numPr>
        <w:ind w:left="-284"/>
        <w:rPr>
          <w:lang w:eastAsia="en-US"/>
        </w:rPr>
      </w:pPr>
      <w:r>
        <w:rPr>
          <w:lang w:eastAsia="en-US"/>
        </w:rPr>
        <w:pict w14:anchorId="3D0CE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2.25pt">
            <v:imagedata r:id="rId14" o:title="Hayes 1"/>
          </v:shape>
        </w:pict>
      </w:r>
    </w:p>
    <w:p w14:paraId="365CDEAD" w14:textId="600F31E6" w:rsidR="00EB0DF8" w:rsidRPr="00EB0DF8" w:rsidRDefault="00394DD3" w:rsidP="00EB0DF8">
      <w:pPr>
        <w:pStyle w:val="Heading1"/>
        <w:jc w:val="center"/>
        <w:rPr>
          <w:caps w:val="0"/>
        </w:rPr>
      </w:pPr>
      <w:r>
        <w:rPr>
          <w:caps w:val="0"/>
        </w:rPr>
        <w:lastRenderedPageBreak/>
        <w:t>ANNEXURE B</w:t>
      </w:r>
    </w:p>
    <w:p w14:paraId="4107A5B1" w14:textId="56E5FBE1" w:rsidR="00EB0DF8" w:rsidRPr="00EB0DF8" w:rsidRDefault="00B67991" w:rsidP="00EB0DF8">
      <w:pPr>
        <w:pStyle w:val="ParaNumbering"/>
        <w:numPr>
          <w:ilvl w:val="0"/>
          <w:numId w:val="0"/>
        </w:numPr>
        <w:ind w:left="720" w:hanging="720"/>
        <w:rPr>
          <w:lang w:eastAsia="en-US"/>
        </w:rPr>
      </w:pPr>
      <w:r>
        <w:rPr>
          <w:lang w:eastAsia="en-US"/>
        </w:rPr>
        <w:pict w14:anchorId="134738F0">
          <v:shape id="_x0000_i1026" type="#_x0000_t75" style="width:470.25pt;height:665.25pt">
            <v:imagedata r:id="rId15" o:title="Hayes 2"/>
          </v:shape>
        </w:pict>
      </w:r>
    </w:p>
    <w:sectPr w:rsidR="00EB0DF8" w:rsidRPr="00EB0DF8" w:rsidSect="00A84FD0">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0CCFB" w14:textId="77777777" w:rsidR="00B5744A" w:rsidRDefault="00B5744A">
      <w:pPr>
        <w:spacing w:line="20" w:lineRule="exact"/>
      </w:pPr>
    </w:p>
    <w:p w14:paraId="19A48B62" w14:textId="77777777" w:rsidR="00B5744A" w:rsidRDefault="00B5744A"/>
    <w:p w14:paraId="5883EC0B" w14:textId="77777777" w:rsidR="00B5744A" w:rsidRDefault="00B5744A"/>
  </w:endnote>
  <w:endnote w:type="continuationSeparator" w:id="0">
    <w:p w14:paraId="0ECAD60A" w14:textId="77777777" w:rsidR="00B5744A" w:rsidRDefault="00B5744A">
      <w:r>
        <w:t xml:space="preserve"> </w:t>
      </w:r>
    </w:p>
    <w:p w14:paraId="1681F0F6" w14:textId="77777777" w:rsidR="00B5744A" w:rsidRDefault="00B5744A"/>
    <w:p w14:paraId="1205D11B" w14:textId="77777777" w:rsidR="00B5744A" w:rsidRDefault="00B5744A"/>
  </w:endnote>
  <w:endnote w:type="continuationNotice" w:id="1">
    <w:p w14:paraId="4E9030BE" w14:textId="77777777" w:rsidR="00B5744A" w:rsidRDefault="00B5744A">
      <w:r>
        <w:t xml:space="preserve"> </w:t>
      </w:r>
    </w:p>
    <w:p w14:paraId="0CAABBD3" w14:textId="77777777" w:rsidR="00B5744A" w:rsidRDefault="00B5744A"/>
    <w:p w14:paraId="0CF4361E" w14:textId="77777777" w:rsidR="00B5744A" w:rsidRDefault="00B57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1BE4" w14:textId="0393AC32" w:rsidR="004D7283" w:rsidRPr="00373CBE" w:rsidRDefault="004D7283" w:rsidP="00373CB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D979A84" wp14:editId="2C0F96A4">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21D7F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586C71">
          <w:rPr>
            <w:bCs/>
            <w:sz w:val="18"/>
            <w:szCs w:val="18"/>
          </w:rPr>
          <w:t xml:space="preserve">Mulley v Hayes [2021] FCA 1111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6EE4" w14:textId="5F05F5D2" w:rsidR="004D7283" w:rsidRPr="00A436E8" w:rsidRDefault="004D7283"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5BF9" w14:textId="102FD39A" w:rsidR="004D7283" w:rsidRPr="00841D0A" w:rsidRDefault="004D7283" w:rsidP="00841D0A">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D12DF80" wp14:editId="08152E1C">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27B76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" strokecolor="black [3213]"/>
          </w:pict>
        </mc:Fallback>
      </mc:AlternateContent>
    </w:r>
    <w:sdt>
      <w:sdtPr>
        <w:rPr>
          <w:bCs/>
          <w:sz w:val="18"/>
          <w:szCs w:val="18"/>
        </w:rPr>
        <w:tag w:val="MNC"/>
        <w:id w:val="1095746746"/>
        <w:placeholder>
          <w:docPart w:val="79A321562B6544F3838AB0355577BD66"/>
        </w:placeholder>
        <w:dataBinding w:prefixMappings="xmlns:ns0='http://schemas.globalmacros.com/FCA'" w:xpath="/ns0:root[1]/ns0:Name[1]" w:storeItemID="{687E7CCB-4AA5-44E7-B148-17BA2B6F57C0}"/>
        <w:text w:multiLine="1"/>
      </w:sdtPr>
      <w:sdtEndPr/>
      <w:sdtContent>
        <w:r w:rsidR="00586C71">
          <w:rPr>
            <w:bCs/>
            <w:sz w:val="18"/>
            <w:szCs w:val="18"/>
          </w:rPr>
          <w:t xml:space="preserve">Mulley v Hayes [2021] FCA 1111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67991">
      <w:rPr>
        <w:bCs/>
        <w:noProof/>
        <w:sz w:val="20"/>
      </w:rPr>
      <w:t>27</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3140" w14:textId="77DFB71F" w:rsidR="004D7283" w:rsidRPr="00841D0A" w:rsidRDefault="004D7283" w:rsidP="00841D0A">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F969E59" wp14:editId="40457C52">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674946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" strokecolor="black [3213]"/>
          </w:pict>
        </mc:Fallback>
      </mc:AlternateContent>
    </w:r>
    <w:sdt>
      <w:sdtPr>
        <w:rPr>
          <w:bCs/>
          <w:sz w:val="18"/>
          <w:szCs w:val="18"/>
        </w:rPr>
        <w:tag w:val="MNC"/>
        <w:id w:val="-1532949365"/>
        <w:placeholder>
          <w:docPart w:val="57C51FE93B8E4BAF9BCB9C7FDFAEC585"/>
        </w:placeholder>
        <w:dataBinding w:prefixMappings="xmlns:ns0='http://schemas.globalmacros.com/FCA'" w:xpath="/ns0:root[1]/ns0:Name[1]" w:storeItemID="{687E7CCB-4AA5-44E7-B148-17BA2B6F57C0}"/>
        <w:text w:multiLine="1"/>
      </w:sdtPr>
      <w:sdtEndPr/>
      <w:sdtContent>
        <w:r w:rsidR="00586C71">
          <w:rPr>
            <w:bCs/>
            <w:sz w:val="18"/>
            <w:szCs w:val="18"/>
          </w:rPr>
          <w:t xml:space="preserve">Mulley v Hayes [2021] FCA 1111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6799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78884" w14:textId="77777777" w:rsidR="00B5744A" w:rsidRDefault="00B5744A"/>
    <w:p w14:paraId="7F9D32D9" w14:textId="77777777" w:rsidR="00B5744A" w:rsidRDefault="00B5744A"/>
    <w:p w14:paraId="4CB4BB9F" w14:textId="77777777" w:rsidR="00B5744A" w:rsidRDefault="00B5744A"/>
  </w:footnote>
  <w:footnote w:type="continuationSeparator" w:id="0">
    <w:p w14:paraId="17DAFD72" w14:textId="77777777" w:rsidR="00B5744A" w:rsidRDefault="00B5744A">
      <w:r>
        <w:continuationSeparator/>
      </w:r>
    </w:p>
    <w:p w14:paraId="4739BABB" w14:textId="77777777" w:rsidR="00B5744A" w:rsidRDefault="00B5744A"/>
    <w:p w14:paraId="0CBD7A3E" w14:textId="77777777" w:rsidR="00B5744A" w:rsidRDefault="00B574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3761" w14:textId="77777777" w:rsidR="004D7283" w:rsidRDefault="004D7283"/>
  <w:p w14:paraId="387D51A4" w14:textId="77777777" w:rsidR="004D7283" w:rsidRDefault="004D7283"/>
  <w:p w14:paraId="3AB1E369" w14:textId="77777777" w:rsidR="004D7283" w:rsidRDefault="004D72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A155" w14:textId="1EDE2384" w:rsidR="004D7283" w:rsidRDefault="004D72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C3E4" w14:textId="77777777" w:rsidR="004D7283" w:rsidRDefault="004D7283" w:rsidP="00A436E8">
    <w:pPr>
      <w:pStyle w:val="Header"/>
      <w:tabs>
        <w:tab w:val="clear" w:pos="4320"/>
        <w:tab w:val="clear" w:pos="8640"/>
      </w:tabs>
    </w:pPr>
  </w:p>
  <w:p w14:paraId="4D67BF32" w14:textId="77777777" w:rsidR="004D7283" w:rsidRDefault="004D7283"/>
  <w:p w14:paraId="201EB1F0" w14:textId="77777777" w:rsidR="004D7283" w:rsidRDefault="004D72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862"/>
        </w:tabs>
        <w:ind w:left="862"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3196ABC6"/>
    <w:lvl w:ilvl="0">
      <w:start w:val="1"/>
      <w:numFmt w:val="decimal"/>
      <w:lvlRestart w:val="0"/>
      <w:pStyle w:val="ParaNumbering"/>
      <w:lvlText w:val="%1"/>
      <w:lvlJc w:val="left"/>
      <w:pPr>
        <w:tabs>
          <w:tab w:val="num" w:pos="1440"/>
        </w:tabs>
        <w:ind w:left="720" w:hanging="720"/>
      </w:pPr>
      <w:rPr>
        <w:rFonts w:hint="default"/>
        <w:b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7986825"/>
    <w:multiLevelType w:val="hybridMultilevel"/>
    <w:tmpl w:val="4512422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2814208"/>
    <w:multiLevelType w:val="multilevel"/>
    <w:tmpl w:val="C5F6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F05D5"/>
    <w:multiLevelType w:val="multilevel"/>
    <w:tmpl w:val="EF646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0"/>
  </w:num>
  <w:num w:numId="15">
    <w:abstractNumId w:val="21"/>
  </w:num>
  <w:num w:numId="16">
    <w:abstractNumId w:val="26"/>
  </w:num>
  <w:num w:numId="17">
    <w:abstractNumId w:val="13"/>
  </w:num>
  <w:num w:numId="18">
    <w:abstractNumId w:val="25"/>
  </w:num>
  <w:num w:numId="19">
    <w:abstractNumId w:val="11"/>
  </w:num>
  <w:num w:numId="20">
    <w:abstractNumId w:val="17"/>
  </w:num>
  <w:num w:numId="21">
    <w:abstractNumId w:val="15"/>
  </w:num>
  <w:num w:numId="22">
    <w:abstractNumId w:val="16"/>
  </w:num>
  <w:num w:numId="23">
    <w:abstractNumId w:val="19"/>
  </w:num>
  <w:num w:numId="24">
    <w:abstractNumId w:val="10"/>
  </w:num>
  <w:num w:numId="25">
    <w:abstractNumId w:val="10"/>
  </w:num>
  <w:num w:numId="26">
    <w:abstractNumId w:val="18"/>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num>
  <w:num w:numId="32">
    <w:abstractNumId w:val="14"/>
  </w:num>
  <w:num w:numId="33">
    <w:abstractNumId w:val="22"/>
    <w:lvlOverride w:ilvl="0">
      <w:startOverride w:val="1"/>
    </w:lvlOverride>
  </w:num>
  <w:num w:numId="34">
    <w:abstractNumId w:val="23"/>
    <w:lvlOverride w:ilvl="0">
      <w:startOverride w:val="24"/>
    </w:lvlOverride>
  </w:num>
  <w:num w:numId="35">
    <w:abstractNumId w:val="14"/>
  </w:num>
  <w:num w:numId="36">
    <w:abstractNumId w:val="14"/>
  </w:num>
  <w:num w:numId="37">
    <w:abstractNumId w:val="14"/>
  </w:num>
  <w:num w:numId="3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r Robert Gordon Mulley"/>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78 of 2021"/>
    <w:docVar w:name="grpRadioJudges" w:val="Justice"/>
    <w:docVar w:name="Initiators" w:val="(and another named in the Schedule)"/>
    <w:docVar w:name="Judgdate" w:val="##"/>
    <w:docVar w:name="Judge" w:val="Lee"/>
    <w:docVar w:name="lstEntryList" w:val="-1"/>
    <w:docVar w:name="myEntryList" w:val="Solicitor for the Applicant=Not applicable|Counsel for the Applicant=Mr G O'L Reynolds SC with Mr D Farinha|Solicitor for the Respondent=Mr G Lynch"/>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adioJudge" w:val="False"/>
    <w:docVar w:name="RadioJustice" w:val="True"/>
    <w:docVar w:name="RadioJustices" w:val="False"/>
    <w:docVar w:name="RESAndAnother" w:val="True"/>
    <w:docVar w:name="RESAndOthers" w:val="False"/>
    <w:docVar w:name="Respondent" w:val="Mr Warren Hayes"/>
    <w:docVar w:name="ResState" w:val="New South Wales"/>
    <w:docVar w:name="SubArea" w:val="[none]"/>
  </w:docVars>
  <w:rsids>
    <w:rsidRoot w:val="00031C9E"/>
    <w:rsid w:val="00000747"/>
    <w:rsid w:val="00001E3B"/>
    <w:rsid w:val="00001F2C"/>
    <w:rsid w:val="00002113"/>
    <w:rsid w:val="00002B25"/>
    <w:rsid w:val="00003264"/>
    <w:rsid w:val="000115C5"/>
    <w:rsid w:val="0001469E"/>
    <w:rsid w:val="00015993"/>
    <w:rsid w:val="000176E7"/>
    <w:rsid w:val="0002061C"/>
    <w:rsid w:val="00020925"/>
    <w:rsid w:val="00021CCB"/>
    <w:rsid w:val="00022289"/>
    <w:rsid w:val="00026A4C"/>
    <w:rsid w:val="00026DB8"/>
    <w:rsid w:val="00027398"/>
    <w:rsid w:val="0003087E"/>
    <w:rsid w:val="00031C9E"/>
    <w:rsid w:val="0003201A"/>
    <w:rsid w:val="0003207A"/>
    <w:rsid w:val="00032F9F"/>
    <w:rsid w:val="000354A8"/>
    <w:rsid w:val="00040BD7"/>
    <w:rsid w:val="00041C07"/>
    <w:rsid w:val="00044A13"/>
    <w:rsid w:val="00045BB7"/>
    <w:rsid w:val="0004631D"/>
    <w:rsid w:val="00055719"/>
    <w:rsid w:val="0005641B"/>
    <w:rsid w:val="000565BB"/>
    <w:rsid w:val="00060D3F"/>
    <w:rsid w:val="0006196A"/>
    <w:rsid w:val="00062F48"/>
    <w:rsid w:val="00071D46"/>
    <w:rsid w:val="0007292A"/>
    <w:rsid w:val="0007405A"/>
    <w:rsid w:val="00081497"/>
    <w:rsid w:val="00083656"/>
    <w:rsid w:val="00085255"/>
    <w:rsid w:val="00092638"/>
    <w:rsid w:val="00095F23"/>
    <w:rsid w:val="000979F3"/>
    <w:rsid w:val="000A2E76"/>
    <w:rsid w:val="000A3C68"/>
    <w:rsid w:val="000A4807"/>
    <w:rsid w:val="000A4BE4"/>
    <w:rsid w:val="000C023E"/>
    <w:rsid w:val="000C4705"/>
    <w:rsid w:val="000C5195"/>
    <w:rsid w:val="000C54C6"/>
    <w:rsid w:val="000C62EF"/>
    <w:rsid w:val="000C7CF0"/>
    <w:rsid w:val="000D133D"/>
    <w:rsid w:val="000D2137"/>
    <w:rsid w:val="000D3FD2"/>
    <w:rsid w:val="000D4B2E"/>
    <w:rsid w:val="000E3FC8"/>
    <w:rsid w:val="000E47E9"/>
    <w:rsid w:val="000E6324"/>
    <w:rsid w:val="000E641F"/>
    <w:rsid w:val="000E6702"/>
    <w:rsid w:val="000E7BAE"/>
    <w:rsid w:val="000F133D"/>
    <w:rsid w:val="000F48F7"/>
    <w:rsid w:val="000F5D9C"/>
    <w:rsid w:val="000F73C1"/>
    <w:rsid w:val="0010536B"/>
    <w:rsid w:val="0011145C"/>
    <w:rsid w:val="001128BD"/>
    <w:rsid w:val="0011347E"/>
    <w:rsid w:val="00113F9E"/>
    <w:rsid w:val="0011419D"/>
    <w:rsid w:val="00114B02"/>
    <w:rsid w:val="001173A2"/>
    <w:rsid w:val="00120C8F"/>
    <w:rsid w:val="0012183E"/>
    <w:rsid w:val="001226C0"/>
    <w:rsid w:val="00125266"/>
    <w:rsid w:val="00126EC8"/>
    <w:rsid w:val="0012731C"/>
    <w:rsid w:val="001302FD"/>
    <w:rsid w:val="00132054"/>
    <w:rsid w:val="00132F35"/>
    <w:rsid w:val="00134964"/>
    <w:rsid w:val="001351B9"/>
    <w:rsid w:val="00136FCA"/>
    <w:rsid w:val="00144DA8"/>
    <w:rsid w:val="00144F4D"/>
    <w:rsid w:val="00146936"/>
    <w:rsid w:val="001527B0"/>
    <w:rsid w:val="00155CD2"/>
    <w:rsid w:val="00160D1F"/>
    <w:rsid w:val="00162C17"/>
    <w:rsid w:val="00163BAA"/>
    <w:rsid w:val="00164192"/>
    <w:rsid w:val="00167860"/>
    <w:rsid w:val="00170810"/>
    <w:rsid w:val="001727A4"/>
    <w:rsid w:val="00173453"/>
    <w:rsid w:val="001734A6"/>
    <w:rsid w:val="0017376C"/>
    <w:rsid w:val="001738AB"/>
    <w:rsid w:val="001765E0"/>
    <w:rsid w:val="0017761B"/>
    <w:rsid w:val="00177759"/>
    <w:rsid w:val="00180BB3"/>
    <w:rsid w:val="00185E6B"/>
    <w:rsid w:val="00187BBC"/>
    <w:rsid w:val="00187BED"/>
    <w:rsid w:val="001926CD"/>
    <w:rsid w:val="001932F3"/>
    <w:rsid w:val="00193300"/>
    <w:rsid w:val="00195078"/>
    <w:rsid w:val="00196130"/>
    <w:rsid w:val="001A2B40"/>
    <w:rsid w:val="001A3AD4"/>
    <w:rsid w:val="001A4309"/>
    <w:rsid w:val="001A4531"/>
    <w:rsid w:val="001A46AE"/>
    <w:rsid w:val="001A6A16"/>
    <w:rsid w:val="001A6C52"/>
    <w:rsid w:val="001B07EE"/>
    <w:rsid w:val="001B1053"/>
    <w:rsid w:val="001B14AC"/>
    <w:rsid w:val="001B1B71"/>
    <w:rsid w:val="001B7940"/>
    <w:rsid w:val="001C0E65"/>
    <w:rsid w:val="001C171A"/>
    <w:rsid w:val="001C37CA"/>
    <w:rsid w:val="001C4085"/>
    <w:rsid w:val="001D0C8A"/>
    <w:rsid w:val="001D4303"/>
    <w:rsid w:val="001D6746"/>
    <w:rsid w:val="001E3B49"/>
    <w:rsid w:val="001E45A6"/>
    <w:rsid w:val="001E4A05"/>
    <w:rsid w:val="001E7388"/>
    <w:rsid w:val="001E7416"/>
    <w:rsid w:val="001F13DD"/>
    <w:rsid w:val="001F1640"/>
    <w:rsid w:val="001F1CC9"/>
    <w:rsid w:val="001F2473"/>
    <w:rsid w:val="001F2DBC"/>
    <w:rsid w:val="001F377C"/>
    <w:rsid w:val="001F73E8"/>
    <w:rsid w:val="0020262C"/>
    <w:rsid w:val="00202723"/>
    <w:rsid w:val="002115B2"/>
    <w:rsid w:val="002118E6"/>
    <w:rsid w:val="00211A3E"/>
    <w:rsid w:val="002134F6"/>
    <w:rsid w:val="00213A32"/>
    <w:rsid w:val="002146EB"/>
    <w:rsid w:val="00215692"/>
    <w:rsid w:val="00215BCA"/>
    <w:rsid w:val="00217113"/>
    <w:rsid w:val="00217AC4"/>
    <w:rsid w:val="00221461"/>
    <w:rsid w:val="00224537"/>
    <w:rsid w:val="00230672"/>
    <w:rsid w:val="00234BA9"/>
    <w:rsid w:val="00235956"/>
    <w:rsid w:val="00243E5E"/>
    <w:rsid w:val="00247C9A"/>
    <w:rsid w:val="0025160C"/>
    <w:rsid w:val="002535D0"/>
    <w:rsid w:val="002539B3"/>
    <w:rsid w:val="00256336"/>
    <w:rsid w:val="00257C3E"/>
    <w:rsid w:val="002602C2"/>
    <w:rsid w:val="002666C9"/>
    <w:rsid w:val="00267398"/>
    <w:rsid w:val="00267468"/>
    <w:rsid w:val="00270136"/>
    <w:rsid w:val="00270FD7"/>
    <w:rsid w:val="0027199E"/>
    <w:rsid w:val="00272415"/>
    <w:rsid w:val="00274F5B"/>
    <w:rsid w:val="00280836"/>
    <w:rsid w:val="00282E1A"/>
    <w:rsid w:val="002840F1"/>
    <w:rsid w:val="0029113B"/>
    <w:rsid w:val="002934C0"/>
    <w:rsid w:val="00294B3D"/>
    <w:rsid w:val="00296EAA"/>
    <w:rsid w:val="002974A6"/>
    <w:rsid w:val="0029764C"/>
    <w:rsid w:val="002A1924"/>
    <w:rsid w:val="002A1B50"/>
    <w:rsid w:val="002A23BB"/>
    <w:rsid w:val="002A24FE"/>
    <w:rsid w:val="002A567D"/>
    <w:rsid w:val="002B0E91"/>
    <w:rsid w:val="002B132C"/>
    <w:rsid w:val="002B19B6"/>
    <w:rsid w:val="002B3F23"/>
    <w:rsid w:val="002B4EB5"/>
    <w:rsid w:val="002B4FE3"/>
    <w:rsid w:val="002B5AF5"/>
    <w:rsid w:val="002B6779"/>
    <w:rsid w:val="002B6873"/>
    <w:rsid w:val="002B71C0"/>
    <w:rsid w:val="002B7A34"/>
    <w:rsid w:val="002C003C"/>
    <w:rsid w:val="002C1BD9"/>
    <w:rsid w:val="002C31AD"/>
    <w:rsid w:val="002C7385"/>
    <w:rsid w:val="002D1D4A"/>
    <w:rsid w:val="002D2DBB"/>
    <w:rsid w:val="002D37D8"/>
    <w:rsid w:val="002D54A6"/>
    <w:rsid w:val="002D71DE"/>
    <w:rsid w:val="002E0D7A"/>
    <w:rsid w:val="002E5BF9"/>
    <w:rsid w:val="002E6A7A"/>
    <w:rsid w:val="002E7181"/>
    <w:rsid w:val="002E7F06"/>
    <w:rsid w:val="002F1E49"/>
    <w:rsid w:val="002F4E9C"/>
    <w:rsid w:val="002F52B7"/>
    <w:rsid w:val="00302F4E"/>
    <w:rsid w:val="0031089E"/>
    <w:rsid w:val="0031256C"/>
    <w:rsid w:val="003130FE"/>
    <w:rsid w:val="00314D6C"/>
    <w:rsid w:val="0031599B"/>
    <w:rsid w:val="00316D2A"/>
    <w:rsid w:val="00320B88"/>
    <w:rsid w:val="00322A7C"/>
    <w:rsid w:val="00322EEC"/>
    <w:rsid w:val="00323061"/>
    <w:rsid w:val="00324798"/>
    <w:rsid w:val="00324B7F"/>
    <w:rsid w:val="00325922"/>
    <w:rsid w:val="003265FE"/>
    <w:rsid w:val="003266C0"/>
    <w:rsid w:val="003402D3"/>
    <w:rsid w:val="00341AEA"/>
    <w:rsid w:val="00341E8F"/>
    <w:rsid w:val="00342541"/>
    <w:rsid w:val="00343ABC"/>
    <w:rsid w:val="00344CC5"/>
    <w:rsid w:val="003463FE"/>
    <w:rsid w:val="00347D41"/>
    <w:rsid w:val="00352547"/>
    <w:rsid w:val="003554B3"/>
    <w:rsid w:val="00355C0D"/>
    <w:rsid w:val="00355CD7"/>
    <w:rsid w:val="00356632"/>
    <w:rsid w:val="00356FCC"/>
    <w:rsid w:val="00357C7E"/>
    <w:rsid w:val="00361C5B"/>
    <w:rsid w:val="00363272"/>
    <w:rsid w:val="003653B6"/>
    <w:rsid w:val="003706CC"/>
    <w:rsid w:val="00371D0A"/>
    <w:rsid w:val="00373CBE"/>
    <w:rsid w:val="003740C5"/>
    <w:rsid w:val="00374CC4"/>
    <w:rsid w:val="00374F13"/>
    <w:rsid w:val="003774B2"/>
    <w:rsid w:val="00380F2D"/>
    <w:rsid w:val="00383C1B"/>
    <w:rsid w:val="00384344"/>
    <w:rsid w:val="003845A9"/>
    <w:rsid w:val="003850C9"/>
    <w:rsid w:val="0038789F"/>
    <w:rsid w:val="00390883"/>
    <w:rsid w:val="00390C6F"/>
    <w:rsid w:val="003922F8"/>
    <w:rsid w:val="00393612"/>
    <w:rsid w:val="00394DD3"/>
    <w:rsid w:val="00395B24"/>
    <w:rsid w:val="003A1889"/>
    <w:rsid w:val="003A27DB"/>
    <w:rsid w:val="003A2D38"/>
    <w:rsid w:val="003A7ECC"/>
    <w:rsid w:val="003B2C72"/>
    <w:rsid w:val="003B44E3"/>
    <w:rsid w:val="003B4F92"/>
    <w:rsid w:val="003B58B4"/>
    <w:rsid w:val="003C1333"/>
    <w:rsid w:val="003C20FF"/>
    <w:rsid w:val="003C550A"/>
    <w:rsid w:val="003C6055"/>
    <w:rsid w:val="003D1400"/>
    <w:rsid w:val="003D1BFB"/>
    <w:rsid w:val="003D2650"/>
    <w:rsid w:val="003D560C"/>
    <w:rsid w:val="003D5C00"/>
    <w:rsid w:val="003E2175"/>
    <w:rsid w:val="003E3154"/>
    <w:rsid w:val="003E5874"/>
    <w:rsid w:val="003E6DB3"/>
    <w:rsid w:val="003E72D3"/>
    <w:rsid w:val="003E73FF"/>
    <w:rsid w:val="003F0822"/>
    <w:rsid w:val="003F193E"/>
    <w:rsid w:val="003F242C"/>
    <w:rsid w:val="003F34F1"/>
    <w:rsid w:val="003F4C39"/>
    <w:rsid w:val="004039A4"/>
    <w:rsid w:val="004104B6"/>
    <w:rsid w:val="00411AE8"/>
    <w:rsid w:val="00412044"/>
    <w:rsid w:val="00413B74"/>
    <w:rsid w:val="00417097"/>
    <w:rsid w:val="00421218"/>
    <w:rsid w:val="00424916"/>
    <w:rsid w:val="00425325"/>
    <w:rsid w:val="004342F3"/>
    <w:rsid w:val="004347E6"/>
    <w:rsid w:val="00435C5F"/>
    <w:rsid w:val="00436155"/>
    <w:rsid w:val="00436E92"/>
    <w:rsid w:val="00440073"/>
    <w:rsid w:val="00440C1D"/>
    <w:rsid w:val="00441663"/>
    <w:rsid w:val="00441E98"/>
    <w:rsid w:val="00446B81"/>
    <w:rsid w:val="00450F3A"/>
    <w:rsid w:val="00452339"/>
    <w:rsid w:val="004532F7"/>
    <w:rsid w:val="00454152"/>
    <w:rsid w:val="00456A67"/>
    <w:rsid w:val="00457C29"/>
    <w:rsid w:val="00464D51"/>
    <w:rsid w:val="00471DAA"/>
    <w:rsid w:val="00472027"/>
    <w:rsid w:val="004720CF"/>
    <w:rsid w:val="00472A09"/>
    <w:rsid w:val="0047410E"/>
    <w:rsid w:val="00477E6E"/>
    <w:rsid w:val="004804CF"/>
    <w:rsid w:val="004808A6"/>
    <w:rsid w:val="00484962"/>
    <w:rsid w:val="00484F6D"/>
    <w:rsid w:val="00484FB7"/>
    <w:rsid w:val="0048554D"/>
    <w:rsid w:val="0049338A"/>
    <w:rsid w:val="0049417F"/>
    <w:rsid w:val="00495C47"/>
    <w:rsid w:val="00496D41"/>
    <w:rsid w:val="004A3FD0"/>
    <w:rsid w:val="004A4383"/>
    <w:rsid w:val="004A4A9B"/>
    <w:rsid w:val="004A6602"/>
    <w:rsid w:val="004A67E5"/>
    <w:rsid w:val="004B3EFA"/>
    <w:rsid w:val="004B4625"/>
    <w:rsid w:val="004B66B7"/>
    <w:rsid w:val="004C2A87"/>
    <w:rsid w:val="004C4D7B"/>
    <w:rsid w:val="004C4ED3"/>
    <w:rsid w:val="004C521F"/>
    <w:rsid w:val="004C5C3F"/>
    <w:rsid w:val="004C5DF6"/>
    <w:rsid w:val="004C667B"/>
    <w:rsid w:val="004C7ECD"/>
    <w:rsid w:val="004D2EA5"/>
    <w:rsid w:val="004D32A6"/>
    <w:rsid w:val="004D3A9E"/>
    <w:rsid w:val="004D41A2"/>
    <w:rsid w:val="004D53E5"/>
    <w:rsid w:val="004D5550"/>
    <w:rsid w:val="004D7283"/>
    <w:rsid w:val="004D73B4"/>
    <w:rsid w:val="004E604A"/>
    <w:rsid w:val="004E6DC4"/>
    <w:rsid w:val="004F21C1"/>
    <w:rsid w:val="004F7FD1"/>
    <w:rsid w:val="00500857"/>
    <w:rsid w:val="00501A12"/>
    <w:rsid w:val="0050309C"/>
    <w:rsid w:val="005037AD"/>
    <w:rsid w:val="005078BE"/>
    <w:rsid w:val="0051327C"/>
    <w:rsid w:val="0051346D"/>
    <w:rsid w:val="00513B4A"/>
    <w:rsid w:val="00513EAE"/>
    <w:rsid w:val="0051434F"/>
    <w:rsid w:val="00516806"/>
    <w:rsid w:val="0052098C"/>
    <w:rsid w:val="00520DE7"/>
    <w:rsid w:val="005213DE"/>
    <w:rsid w:val="00525A49"/>
    <w:rsid w:val="005262D1"/>
    <w:rsid w:val="00526BF3"/>
    <w:rsid w:val="00530876"/>
    <w:rsid w:val="00535613"/>
    <w:rsid w:val="005359EB"/>
    <w:rsid w:val="005403D8"/>
    <w:rsid w:val="00541FEE"/>
    <w:rsid w:val="0054254A"/>
    <w:rsid w:val="0054500B"/>
    <w:rsid w:val="005465A6"/>
    <w:rsid w:val="005466B5"/>
    <w:rsid w:val="005521D9"/>
    <w:rsid w:val="00554314"/>
    <w:rsid w:val="005558E6"/>
    <w:rsid w:val="0056136C"/>
    <w:rsid w:val="00562083"/>
    <w:rsid w:val="005620DE"/>
    <w:rsid w:val="00562829"/>
    <w:rsid w:val="005629B3"/>
    <w:rsid w:val="005650B4"/>
    <w:rsid w:val="00566BD0"/>
    <w:rsid w:val="005724F6"/>
    <w:rsid w:val="00573AC4"/>
    <w:rsid w:val="00575CC4"/>
    <w:rsid w:val="005801FC"/>
    <w:rsid w:val="00583B0F"/>
    <w:rsid w:val="00585BA9"/>
    <w:rsid w:val="00586C71"/>
    <w:rsid w:val="00587359"/>
    <w:rsid w:val="005908CE"/>
    <w:rsid w:val="005923C8"/>
    <w:rsid w:val="005936AE"/>
    <w:rsid w:val="00595016"/>
    <w:rsid w:val="005951D2"/>
    <w:rsid w:val="00596A5D"/>
    <w:rsid w:val="00597AAE"/>
    <w:rsid w:val="005A03C5"/>
    <w:rsid w:val="005A222C"/>
    <w:rsid w:val="005A4DF8"/>
    <w:rsid w:val="005A543A"/>
    <w:rsid w:val="005A78C8"/>
    <w:rsid w:val="005B1426"/>
    <w:rsid w:val="005B27F7"/>
    <w:rsid w:val="005B6922"/>
    <w:rsid w:val="005B6CDB"/>
    <w:rsid w:val="005C0A8E"/>
    <w:rsid w:val="005C1767"/>
    <w:rsid w:val="005C185C"/>
    <w:rsid w:val="005C42EF"/>
    <w:rsid w:val="005C6E37"/>
    <w:rsid w:val="005D0A3F"/>
    <w:rsid w:val="005D27E3"/>
    <w:rsid w:val="005D5192"/>
    <w:rsid w:val="005D559B"/>
    <w:rsid w:val="005D65D4"/>
    <w:rsid w:val="005D74A8"/>
    <w:rsid w:val="005E02F5"/>
    <w:rsid w:val="005E0510"/>
    <w:rsid w:val="005E176E"/>
    <w:rsid w:val="005E203B"/>
    <w:rsid w:val="005E218E"/>
    <w:rsid w:val="005E35A0"/>
    <w:rsid w:val="005E5CA3"/>
    <w:rsid w:val="005E766E"/>
    <w:rsid w:val="005F0D1B"/>
    <w:rsid w:val="005F1865"/>
    <w:rsid w:val="005F335A"/>
    <w:rsid w:val="005F70A6"/>
    <w:rsid w:val="006007BD"/>
    <w:rsid w:val="006013C8"/>
    <w:rsid w:val="00602380"/>
    <w:rsid w:val="0060270D"/>
    <w:rsid w:val="00602950"/>
    <w:rsid w:val="00602F72"/>
    <w:rsid w:val="00604611"/>
    <w:rsid w:val="00611586"/>
    <w:rsid w:val="00612D26"/>
    <w:rsid w:val="00613567"/>
    <w:rsid w:val="00615855"/>
    <w:rsid w:val="00617886"/>
    <w:rsid w:val="00617945"/>
    <w:rsid w:val="00617F61"/>
    <w:rsid w:val="00620381"/>
    <w:rsid w:val="00620DA8"/>
    <w:rsid w:val="00621887"/>
    <w:rsid w:val="00624520"/>
    <w:rsid w:val="00625DFD"/>
    <w:rsid w:val="00626919"/>
    <w:rsid w:val="006271F5"/>
    <w:rsid w:val="00632300"/>
    <w:rsid w:val="00632BB7"/>
    <w:rsid w:val="00635B36"/>
    <w:rsid w:val="00636871"/>
    <w:rsid w:val="00640EE1"/>
    <w:rsid w:val="00640F4E"/>
    <w:rsid w:val="00641B60"/>
    <w:rsid w:val="00643DE0"/>
    <w:rsid w:val="0064437D"/>
    <w:rsid w:val="00644E85"/>
    <w:rsid w:val="006458B5"/>
    <w:rsid w:val="0064772F"/>
    <w:rsid w:val="006525E4"/>
    <w:rsid w:val="00652C52"/>
    <w:rsid w:val="006532C8"/>
    <w:rsid w:val="00654FAD"/>
    <w:rsid w:val="006558AB"/>
    <w:rsid w:val="0066063F"/>
    <w:rsid w:val="00662BB0"/>
    <w:rsid w:val="006632FA"/>
    <w:rsid w:val="00663878"/>
    <w:rsid w:val="00667773"/>
    <w:rsid w:val="00670743"/>
    <w:rsid w:val="00672A64"/>
    <w:rsid w:val="0067313F"/>
    <w:rsid w:val="00675915"/>
    <w:rsid w:val="006759E4"/>
    <w:rsid w:val="00676B4B"/>
    <w:rsid w:val="00677914"/>
    <w:rsid w:val="00680A85"/>
    <w:rsid w:val="00681ADF"/>
    <w:rsid w:val="00682977"/>
    <w:rsid w:val="00686212"/>
    <w:rsid w:val="00686A89"/>
    <w:rsid w:val="00687863"/>
    <w:rsid w:val="00690EE2"/>
    <w:rsid w:val="006915B0"/>
    <w:rsid w:val="0069275A"/>
    <w:rsid w:val="00693854"/>
    <w:rsid w:val="00693E23"/>
    <w:rsid w:val="00694BEB"/>
    <w:rsid w:val="00697413"/>
    <w:rsid w:val="006A0E20"/>
    <w:rsid w:val="006A24E3"/>
    <w:rsid w:val="006A3FC9"/>
    <w:rsid w:val="006A51E0"/>
    <w:rsid w:val="006A5695"/>
    <w:rsid w:val="006A7A59"/>
    <w:rsid w:val="006B019A"/>
    <w:rsid w:val="006B0439"/>
    <w:rsid w:val="006B11FF"/>
    <w:rsid w:val="006B1752"/>
    <w:rsid w:val="006B3535"/>
    <w:rsid w:val="006B3904"/>
    <w:rsid w:val="006B5B7D"/>
    <w:rsid w:val="006C2074"/>
    <w:rsid w:val="006C28FB"/>
    <w:rsid w:val="006C515D"/>
    <w:rsid w:val="006C5B46"/>
    <w:rsid w:val="006C61FF"/>
    <w:rsid w:val="006C6E39"/>
    <w:rsid w:val="006D02D5"/>
    <w:rsid w:val="006D08F2"/>
    <w:rsid w:val="006D0ECF"/>
    <w:rsid w:val="006D2B84"/>
    <w:rsid w:val="006D3D5B"/>
    <w:rsid w:val="006D4C92"/>
    <w:rsid w:val="006D4EB6"/>
    <w:rsid w:val="006D6FF0"/>
    <w:rsid w:val="006E35BF"/>
    <w:rsid w:val="006E7850"/>
    <w:rsid w:val="006F46D6"/>
    <w:rsid w:val="006F7FF6"/>
    <w:rsid w:val="007028D9"/>
    <w:rsid w:val="00707218"/>
    <w:rsid w:val="00710D04"/>
    <w:rsid w:val="00712B1D"/>
    <w:rsid w:val="0071535D"/>
    <w:rsid w:val="00715751"/>
    <w:rsid w:val="007171BA"/>
    <w:rsid w:val="00717616"/>
    <w:rsid w:val="00722C50"/>
    <w:rsid w:val="007270EF"/>
    <w:rsid w:val="0072711C"/>
    <w:rsid w:val="00727AFA"/>
    <w:rsid w:val="007325D9"/>
    <w:rsid w:val="0073284D"/>
    <w:rsid w:val="0073314B"/>
    <w:rsid w:val="0073583B"/>
    <w:rsid w:val="007360CA"/>
    <w:rsid w:val="00744F38"/>
    <w:rsid w:val="00746580"/>
    <w:rsid w:val="0074667B"/>
    <w:rsid w:val="00746E70"/>
    <w:rsid w:val="007470BD"/>
    <w:rsid w:val="0075478D"/>
    <w:rsid w:val="00760EC0"/>
    <w:rsid w:val="0076313B"/>
    <w:rsid w:val="00765796"/>
    <w:rsid w:val="00765AD3"/>
    <w:rsid w:val="00766132"/>
    <w:rsid w:val="007707A0"/>
    <w:rsid w:val="007711BD"/>
    <w:rsid w:val="00773230"/>
    <w:rsid w:val="0078003A"/>
    <w:rsid w:val="00780771"/>
    <w:rsid w:val="0078327D"/>
    <w:rsid w:val="00784FD5"/>
    <w:rsid w:val="007868CC"/>
    <w:rsid w:val="00786FD2"/>
    <w:rsid w:val="007907EB"/>
    <w:rsid w:val="007929CF"/>
    <w:rsid w:val="0079369B"/>
    <w:rsid w:val="00794B45"/>
    <w:rsid w:val="00794DB1"/>
    <w:rsid w:val="007A09A0"/>
    <w:rsid w:val="007A12CC"/>
    <w:rsid w:val="007A49E7"/>
    <w:rsid w:val="007A5EBF"/>
    <w:rsid w:val="007A6F28"/>
    <w:rsid w:val="007B03C6"/>
    <w:rsid w:val="007B0DB1"/>
    <w:rsid w:val="007B1A00"/>
    <w:rsid w:val="007B28BE"/>
    <w:rsid w:val="007B5673"/>
    <w:rsid w:val="007B7238"/>
    <w:rsid w:val="007B76FF"/>
    <w:rsid w:val="007C025B"/>
    <w:rsid w:val="007C0CC1"/>
    <w:rsid w:val="007C316C"/>
    <w:rsid w:val="007C3BF6"/>
    <w:rsid w:val="007C67B3"/>
    <w:rsid w:val="007C72F0"/>
    <w:rsid w:val="007D0FD2"/>
    <w:rsid w:val="007D2D55"/>
    <w:rsid w:val="007D2EF8"/>
    <w:rsid w:val="007D4A6B"/>
    <w:rsid w:val="007D561F"/>
    <w:rsid w:val="007D7387"/>
    <w:rsid w:val="007D7FD2"/>
    <w:rsid w:val="007E13D9"/>
    <w:rsid w:val="007E2AEC"/>
    <w:rsid w:val="007E3916"/>
    <w:rsid w:val="007E41BE"/>
    <w:rsid w:val="007E4DB6"/>
    <w:rsid w:val="007E6529"/>
    <w:rsid w:val="007E6733"/>
    <w:rsid w:val="007E7CD4"/>
    <w:rsid w:val="007F0E2C"/>
    <w:rsid w:val="007F12AC"/>
    <w:rsid w:val="007F20EB"/>
    <w:rsid w:val="007F2CC9"/>
    <w:rsid w:val="007F2DBA"/>
    <w:rsid w:val="007F4501"/>
    <w:rsid w:val="007F60DF"/>
    <w:rsid w:val="008017E4"/>
    <w:rsid w:val="00801800"/>
    <w:rsid w:val="00801861"/>
    <w:rsid w:val="00801B5B"/>
    <w:rsid w:val="008058CD"/>
    <w:rsid w:val="00811E2D"/>
    <w:rsid w:val="008216E7"/>
    <w:rsid w:val="00824129"/>
    <w:rsid w:val="00825BE6"/>
    <w:rsid w:val="008276B4"/>
    <w:rsid w:val="00827B76"/>
    <w:rsid w:val="00830429"/>
    <w:rsid w:val="00831927"/>
    <w:rsid w:val="00835B0C"/>
    <w:rsid w:val="008371D5"/>
    <w:rsid w:val="00837288"/>
    <w:rsid w:val="00837F3D"/>
    <w:rsid w:val="00841BD3"/>
    <w:rsid w:val="00841D0A"/>
    <w:rsid w:val="0084273D"/>
    <w:rsid w:val="00844E3F"/>
    <w:rsid w:val="00845A83"/>
    <w:rsid w:val="00846761"/>
    <w:rsid w:val="00846BB9"/>
    <w:rsid w:val="0086483E"/>
    <w:rsid w:val="008649D5"/>
    <w:rsid w:val="008651ED"/>
    <w:rsid w:val="0087089B"/>
    <w:rsid w:val="008712BB"/>
    <w:rsid w:val="008721B3"/>
    <w:rsid w:val="008809EA"/>
    <w:rsid w:val="008830E7"/>
    <w:rsid w:val="00884243"/>
    <w:rsid w:val="008909B8"/>
    <w:rsid w:val="00890EDE"/>
    <w:rsid w:val="008928C0"/>
    <w:rsid w:val="00892B38"/>
    <w:rsid w:val="00897CEA"/>
    <w:rsid w:val="008A1741"/>
    <w:rsid w:val="008A2032"/>
    <w:rsid w:val="008A2484"/>
    <w:rsid w:val="008A52F3"/>
    <w:rsid w:val="008A5B31"/>
    <w:rsid w:val="008B33FA"/>
    <w:rsid w:val="008B4FE7"/>
    <w:rsid w:val="008B74C1"/>
    <w:rsid w:val="008C26D9"/>
    <w:rsid w:val="008C3B32"/>
    <w:rsid w:val="008C48C5"/>
    <w:rsid w:val="008C6643"/>
    <w:rsid w:val="008C6D50"/>
    <w:rsid w:val="008C7167"/>
    <w:rsid w:val="008C7503"/>
    <w:rsid w:val="008C7A32"/>
    <w:rsid w:val="008D0B76"/>
    <w:rsid w:val="008D1617"/>
    <w:rsid w:val="008D26C4"/>
    <w:rsid w:val="008D330F"/>
    <w:rsid w:val="008D48C1"/>
    <w:rsid w:val="008D628F"/>
    <w:rsid w:val="008E6315"/>
    <w:rsid w:val="008F07FC"/>
    <w:rsid w:val="008F11E0"/>
    <w:rsid w:val="008F1C64"/>
    <w:rsid w:val="008F3EA7"/>
    <w:rsid w:val="008F701E"/>
    <w:rsid w:val="008F78BC"/>
    <w:rsid w:val="008F7B63"/>
    <w:rsid w:val="008F7D6A"/>
    <w:rsid w:val="00900CD1"/>
    <w:rsid w:val="00901C86"/>
    <w:rsid w:val="009020DD"/>
    <w:rsid w:val="00903603"/>
    <w:rsid w:val="009054CB"/>
    <w:rsid w:val="00907247"/>
    <w:rsid w:val="00911F8D"/>
    <w:rsid w:val="00912F94"/>
    <w:rsid w:val="00916283"/>
    <w:rsid w:val="009171BC"/>
    <w:rsid w:val="00917A67"/>
    <w:rsid w:val="00924707"/>
    <w:rsid w:val="0092497E"/>
    <w:rsid w:val="0092590B"/>
    <w:rsid w:val="00925BF3"/>
    <w:rsid w:val="00925E60"/>
    <w:rsid w:val="009264B3"/>
    <w:rsid w:val="009365E0"/>
    <w:rsid w:val="00942BA2"/>
    <w:rsid w:val="009432B7"/>
    <w:rsid w:val="00943618"/>
    <w:rsid w:val="00944C86"/>
    <w:rsid w:val="00946CDF"/>
    <w:rsid w:val="00946F68"/>
    <w:rsid w:val="00947C02"/>
    <w:rsid w:val="00950BE6"/>
    <w:rsid w:val="0095120A"/>
    <w:rsid w:val="00953918"/>
    <w:rsid w:val="00957DE8"/>
    <w:rsid w:val="00960ECB"/>
    <w:rsid w:val="009615D6"/>
    <w:rsid w:val="00962FEE"/>
    <w:rsid w:val="00967855"/>
    <w:rsid w:val="00971C7C"/>
    <w:rsid w:val="00973974"/>
    <w:rsid w:val="00974709"/>
    <w:rsid w:val="00974E44"/>
    <w:rsid w:val="00980736"/>
    <w:rsid w:val="00981678"/>
    <w:rsid w:val="00981A39"/>
    <w:rsid w:val="00982D56"/>
    <w:rsid w:val="00983DBF"/>
    <w:rsid w:val="00986761"/>
    <w:rsid w:val="00986CFB"/>
    <w:rsid w:val="00987097"/>
    <w:rsid w:val="00991123"/>
    <w:rsid w:val="009911CF"/>
    <w:rsid w:val="00991CAB"/>
    <w:rsid w:val="009954CF"/>
    <w:rsid w:val="009A0DD4"/>
    <w:rsid w:val="009A2B53"/>
    <w:rsid w:val="009A2DF5"/>
    <w:rsid w:val="009A3A9C"/>
    <w:rsid w:val="009A7CCB"/>
    <w:rsid w:val="009B046C"/>
    <w:rsid w:val="009B13FA"/>
    <w:rsid w:val="009B1E2D"/>
    <w:rsid w:val="009B4092"/>
    <w:rsid w:val="009C59FB"/>
    <w:rsid w:val="009C6F3B"/>
    <w:rsid w:val="009D1040"/>
    <w:rsid w:val="009D1467"/>
    <w:rsid w:val="009D328D"/>
    <w:rsid w:val="009D5FC0"/>
    <w:rsid w:val="009E27C4"/>
    <w:rsid w:val="009E31E4"/>
    <w:rsid w:val="009E4F1C"/>
    <w:rsid w:val="009E4FA6"/>
    <w:rsid w:val="009E7D93"/>
    <w:rsid w:val="009F1126"/>
    <w:rsid w:val="009F1771"/>
    <w:rsid w:val="009F3C34"/>
    <w:rsid w:val="009F462C"/>
    <w:rsid w:val="009F5C33"/>
    <w:rsid w:val="009F703B"/>
    <w:rsid w:val="00A026F0"/>
    <w:rsid w:val="00A03EAC"/>
    <w:rsid w:val="00A04DBB"/>
    <w:rsid w:val="00A05D86"/>
    <w:rsid w:val="00A07EA0"/>
    <w:rsid w:val="00A11CA6"/>
    <w:rsid w:val="00A1229A"/>
    <w:rsid w:val="00A13FBF"/>
    <w:rsid w:val="00A20C49"/>
    <w:rsid w:val="00A2270E"/>
    <w:rsid w:val="00A22932"/>
    <w:rsid w:val="00A22E0B"/>
    <w:rsid w:val="00A260AB"/>
    <w:rsid w:val="00A269CA"/>
    <w:rsid w:val="00A26E93"/>
    <w:rsid w:val="00A31377"/>
    <w:rsid w:val="00A32EB4"/>
    <w:rsid w:val="00A336EE"/>
    <w:rsid w:val="00A33720"/>
    <w:rsid w:val="00A33F46"/>
    <w:rsid w:val="00A3427E"/>
    <w:rsid w:val="00A3484D"/>
    <w:rsid w:val="00A359AC"/>
    <w:rsid w:val="00A365D3"/>
    <w:rsid w:val="00A37A15"/>
    <w:rsid w:val="00A37BAD"/>
    <w:rsid w:val="00A40F83"/>
    <w:rsid w:val="00A410FB"/>
    <w:rsid w:val="00A41413"/>
    <w:rsid w:val="00A41A87"/>
    <w:rsid w:val="00A42062"/>
    <w:rsid w:val="00A431E3"/>
    <w:rsid w:val="00A431E6"/>
    <w:rsid w:val="00A436E8"/>
    <w:rsid w:val="00A45FB1"/>
    <w:rsid w:val="00A46CCC"/>
    <w:rsid w:val="00A47996"/>
    <w:rsid w:val="00A47D58"/>
    <w:rsid w:val="00A51291"/>
    <w:rsid w:val="00A51CFE"/>
    <w:rsid w:val="00A5204D"/>
    <w:rsid w:val="00A54F78"/>
    <w:rsid w:val="00A601E5"/>
    <w:rsid w:val="00A61605"/>
    <w:rsid w:val="00A63B54"/>
    <w:rsid w:val="00A65F97"/>
    <w:rsid w:val="00A71C06"/>
    <w:rsid w:val="00A743E4"/>
    <w:rsid w:val="00A76247"/>
    <w:rsid w:val="00A76C13"/>
    <w:rsid w:val="00A80023"/>
    <w:rsid w:val="00A82229"/>
    <w:rsid w:val="00A82F23"/>
    <w:rsid w:val="00A84FD0"/>
    <w:rsid w:val="00A87F7C"/>
    <w:rsid w:val="00A92E79"/>
    <w:rsid w:val="00A93B4C"/>
    <w:rsid w:val="00A94D40"/>
    <w:rsid w:val="00A950B6"/>
    <w:rsid w:val="00A95D45"/>
    <w:rsid w:val="00AA20C4"/>
    <w:rsid w:val="00AA3365"/>
    <w:rsid w:val="00AA4A1A"/>
    <w:rsid w:val="00AB0DAB"/>
    <w:rsid w:val="00AB1D5A"/>
    <w:rsid w:val="00AB41C1"/>
    <w:rsid w:val="00AB4CF2"/>
    <w:rsid w:val="00AB5751"/>
    <w:rsid w:val="00AB65A8"/>
    <w:rsid w:val="00AB6CCA"/>
    <w:rsid w:val="00AC223F"/>
    <w:rsid w:val="00AC33B1"/>
    <w:rsid w:val="00AD12A8"/>
    <w:rsid w:val="00AD43A7"/>
    <w:rsid w:val="00AE023F"/>
    <w:rsid w:val="00AE1CBE"/>
    <w:rsid w:val="00AE6896"/>
    <w:rsid w:val="00AF035D"/>
    <w:rsid w:val="00AF3577"/>
    <w:rsid w:val="00AF35F9"/>
    <w:rsid w:val="00AF790B"/>
    <w:rsid w:val="00B03C93"/>
    <w:rsid w:val="00B0424C"/>
    <w:rsid w:val="00B05C7D"/>
    <w:rsid w:val="00B05D2A"/>
    <w:rsid w:val="00B07450"/>
    <w:rsid w:val="00B100FB"/>
    <w:rsid w:val="00B12141"/>
    <w:rsid w:val="00B1493C"/>
    <w:rsid w:val="00B15D57"/>
    <w:rsid w:val="00B16347"/>
    <w:rsid w:val="00B17D6E"/>
    <w:rsid w:val="00B2435E"/>
    <w:rsid w:val="00B2642A"/>
    <w:rsid w:val="00B33636"/>
    <w:rsid w:val="00B346C3"/>
    <w:rsid w:val="00B35061"/>
    <w:rsid w:val="00B4005C"/>
    <w:rsid w:val="00B4227E"/>
    <w:rsid w:val="00B4471C"/>
    <w:rsid w:val="00B451A6"/>
    <w:rsid w:val="00B528F7"/>
    <w:rsid w:val="00B548A3"/>
    <w:rsid w:val="00B55E29"/>
    <w:rsid w:val="00B56D6E"/>
    <w:rsid w:val="00B5744A"/>
    <w:rsid w:val="00B57747"/>
    <w:rsid w:val="00B64347"/>
    <w:rsid w:val="00B65DC6"/>
    <w:rsid w:val="00B66F8C"/>
    <w:rsid w:val="00B67991"/>
    <w:rsid w:val="00B67AC2"/>
    <w:rsid w:val="00B722DE"/>
    <w:rsid w:val="00B751E3"/>
    <w:rsid w:val="00B75BA6"/>
    <w:rsid w:val="00B76C44"/>
    <w:rsid w:val="00B8184A"/>
    <w:rsid w:val="00B82283"/>
    <w:rsid w:val="00B828D8"/>
    <w:rsid w:val="00B83F87"/>
    <w:rsid w:val="00B8505E"/>
    <w:rsid w:val="00B85D1A"/>
    <w:rsid w:val="00B87CDC"/>
    <w:rsid w:val="00B910C1"/>
    <w:rsid w:val="00B91319"/>
    <w:rsid w:val="00B927C0"/>
    <w:rsid w:val="00B945AC"/>
    <w:rsid w:val="00B9746F"/>
    <w:rsid w:val="00BA0C0F"/>
    <w:rsid w:val="00BA2AA8"/>
    <w:rsid w:val="00BA2CA4"/>
    <w:rsid w:val="00BA2EFA"/>
    <w:rsid w:val="00BA3DBC"/>
    <w:rsid w:val="00BA707A"/>
    <w:rsid w:val="00BB1726"/>
    <w:rsid w:val="00BB1AFB"/>
    <w:rsid w:val="00BB27AE"/>
    <w:rsid w:val="00BB2DA2"/>
    <w:rsid w:val="00BB3BDF"/>
    <w:rsid w:val="00BB5108"/>
    <w:rsid w:val="00BB56DC"/>
    <w:rsid w:val="00BB7010"/>
    <w:rsid w:val="00BB7827"/>
    <w:rsid w:val="00BD1C2A"/>
    <w:rsid w:val="00BD360D"/>
    <w:rsid w:val="00BD5AE2"/>
    <w:rsid w:val="00BE095C"/>
    <w:rsid w:val="00BE183D"/>
    <w:rsid w:val="00BE7DAF"/>
    <w:rsid w:val="00BF498A"/>
    <w:rsid w:val="00BF4F31"/>
    <w:rsid w:val="00BF56B6"/>
    <w:rsid w:val="00BF5D7A"/>
    <w:rsid w:val="00C01C2E"/>
    <w:rsid w:val="00C02D33"/>
    <w:rsid w:val="00C033E0"/>
    <w:rsid w:val="00C04B53"/>
    <w:rsid w:val="00C0596F"/>
    <w:rsid w:val="00C10FA0"/>
    <w:rsid w:val="00C11FEC"/>
    <w:rsid w:val="00C1232C"/>
    <w:rsid w:val="00C124C3"/>
    <w:rsid w:val="00C20715"/>
    <w:rsid w:val="00C21ED2"/>
    <w:rsid w:val="00C26BA0"/>
    <w:rsid w:val="00C27C6B"/>
    <w:rsid w:val="00C302DD"/>
    <w:rsid w:val="00C30B31"/>
    <w:rsid w:val="00C31098"/>
    <w:rsid w:val="00C31840"/>
    <w:rsid w:val="00C32D61"/>
    <w:rsid w:val="00C3594D"/>
    <w:rsid w:val="00C36436"/>
    <w:rsid w:val="00C36442"/>
    <w:rsid w:val="00C400CE"/>
    <w:rsid w:val="00C410FD"/>
    <w:rsid w:val="00C433B1"/>
    <w:rsid w:val="00C457DE"/>
    <w:rsid w:val="00C47DD3"/>
    <w:rsid w:val="00C53562"/>
    <w:rsid w:val="00C539FB"/>
    <w:rsid w:val="00C610B1"/>
    <w:rsid w:val="00C65DB3"/>
    <w:rsid w:val="00C66E57"/>
    <w:rsid w:val="00C703E1"/>
    <w:rsid w:val="00C74150"/>
    <w:rsid w:val="00C75594"/>
    <w:rsid w:val="00C811EC"/>
    <w:rsid w:val="00C8287A"/>
    <w:rsid w:val="00C84204"/>
    <w:rsid w:val="00C84E7E"/>
    <w:rsid w:val="00C85982"/>
    <w:rsid w:val="00C8671E"/>
    <w:rsid w:val="00C86E2B"/>
    <w:rsid w:val="00C9043D"/>
    <w:rsid w:val="00C90A5C"/>
    <w:rsid w:val="00C92F1A"/>
    <w:rsid w:val="00C96D88"/>
    <w:rsid w:val="00C96E84"/>
    <w:rsid w:val="00CA0466"/>
    <w:rsid w:val="00CA246D"/>
    <w:rsid w:val="00CA3047"/>
    <w:rsid w:val="00CA3D7E"/>
    <w:rsid w:val="00CA50D9"/>
    <w:rsid w:val="00CB2516"/>
    <w:rsid w:val="00CB3054"/>
    <w:rsid w:val="00CB3C7C"/>
    <w:rsid w:val="00CB40BA"/>
    <w:rsid w:val="00CB4C34"/>
    <w:rsid w:val="00CB506F"/>
    <w:rsid w:val="00CB5119"/>
    <w:rsid w:val="00CB5636"/>
    <w:rsid w:val="00CB56E4"/>
    <w:rsid w:val="00CC0B97"/>
    <w:rsid w:val="00CC3EE5"/>
    <w:rsid w:val="00CC5B1E"/>
    <w:rsid w:val="00CD2DEC"/>
    <w:rsid w:val="00CD6E97"/>
    <w:rsid w:val="00CE425C"/>
    <w:rsid w:val="00CE58AC"/>
    <w:rsid w:val="00CF2690"/>
    <w:rsid w:val="00CF27AF"/>
    <w:rsid w:val="00CF5A80"/>
    <w:rsid w:val="00CF5AED"/>
    <w:rsid w:val="00D01986"/>
    <w:rsid w:val="00D045EE"/>
    <w:rsid w:val="00D05091"/>
    <w:rsid w:val="00D10CA6"/>
    <w:rsid w:val="00D10F21"/>
    <w:rsid w:val="00D11B78"/>
    <w:rsid w:val="00D134CF"/>
    <w:rsid w:val="00D1573B"/>
    <w:rsid w:val="00D206BB"/>
    <w:rsid w:val="00D222E0"/>
    <w:rsid w:val="00D24806"/>
    <w:rsid w:val="00D24A2A"/>
    <w:rsid w:val="00D3053F"/>
    <w:rsid w:val="00D317AB"/>
    <w:rsid w:val="00D34040"/>
    <w:rsid w:val="00D341C3"/>
    <w:rsid w:val="00D34E69"/>
    <w:rsid w:val="00D3655A"/>
    <w:rsid w:val="00D36C78"/>
    <w:rsid w:val="00D375EE"/>
    <w:rsid w:val="00D418DA"/>
    <w:rsid w:val="00D44B35"/>
    <w:rsid w:val="00D515C6"/>
    <w:rsid w:val="00D52CEB"/>
    <w:rsid w:val="00D5327C"/>
    <w:rsid w:val="00D55AE8"/>
    <w:rsid w:val="00D55E26"/>
    <w:rsid w:val="00D56056"/>
    <w:rsid w:val="00D6085F"/>
    <w:rsid w:val="00D61E1A"/>
    <w:rsid w:val="00D62699"/>
    <w:rsid w:val="00D72A8C"/>
    <w:rsid w:val="00D74BC9"/>
    <w:rsid w:val="00D778E9"/>
    <w:rsid w:val="00D80F27"/>
    <w:rsid w:val="00D812BF"/>
    <w:rsid w:val="00D81565"/>
    <w:rsid w:val="00D82620"/>
    <w:rsid w:val="00D82B8F"/>
    <w:rsid w:val="00D85707"/>
    <w:rsid w:val="00D87D0C"/>
    <w:rsid w:val="00D9725F"/>
    <w:rsid w:val="00DA01B1"/>
    <w:rsid w:val="00DA04F7"/>
    <w:rsid w:val="00DA11A2"/>
    <w:rsid w:val="00DA14ED"/>
    <w:rsid w:val="00DA26D6"/>
    <w:rsid w:val="00DA287A"/>
    <w:rsid w:val="00DA60CE"/>
    <w:rsid w:val="00DB2EF1"/>
    <w:rsid w:val="00DB3DA4"/>
    <w:rsid w:val="00DB3DE1"/>
    <w:rsid w:val="00DB59E2"/>
    <w:rsid w:val="00DB5DA0"/>
    <w:rsid w:val="00DB716C"/>
    <w:rsid w:val="00DC10D6"/>
    <w:rsid w:val="00DC5C85"/>
    <w:rsid w:val="00DC7C5D"/>
    <w:rsid w:val="00DC7DE1"/>
    <w:rsid w:val="00DD4236"/>
    <w:rsid w:val="00DD44F1"/>
    <w:rsid w:val="00DD5085"/>
    <w:rsid w:val="00DD5C85"/>
    <w:rsid w:val="00DD6957"/>
    <w:rsid w:val="00DD6E7A"/>
    <w:rsid w:val="00DE0710"/>
    <w:rsid w:val="00DE1242"/>
    <w:rsid w:val="00DE1F85"/>
    <w:rsid w:val="00DE3067"/>
    <w:rsid w:val="00DE6362"/>
    <w:rsid w:val="00DF00CE"/>
    <w:rsid w:val="00DF03AA"/>
    <w:rsid w:val="00DF1E86"/>
    <w:rsid w:val="00DF37A0"/>
    <w:rsid w:val="00DF3EEE"/>
    <w:rsid w:val="00DF63C0"/>
    <w:rsid w:val="00DF75E1"/>
    <w:rsid w:val="00DF762E"/>
    <w:rsid w:val="00E027BC"/>
    <w:rsid w:val="00E1047C"/>
    <w:rsid w:val="00E1065D"/>
    <w:rsid w:val="00E10F0D"/>
    <w:rsid w:val="00E11EA0"/>
    <w:rsid w:val="00E13430"/>
    <w:rsid w:val="00E14EA5"/>
    <w:rsid w:val="00E2070E"/>
    <w:rsid w:val="00E21133"/>
    <w:rsid w:val="00E2327E"/>
    <w:rsid w:val="00E266EF"/>
    <w:rsid w:val="00E27256"/>
    <w:rsid w:val="00E326A8"/>
    <w:rsid w:val="00E411C1"/>
    <w:rsid w:val="00E4281B"/>
    <w:rsid w:val="00E47428"/>
    <w:rsid w:val="00E56C8E"/>
    <w:rsid w:val="00E5716B"/>
    <w:rsid w:val="00E57F1F"/>
    <w:rsid w:val="00E64EC2"/>
    <w:rsid w:val="00E66603"/>
    <w:rsid w:val="00E66B9F"/>
    <w:rsid w:val="00E70A6A"/>
    <w:rsid w:val="00E710D6"/>
    <w:rsid w:val="00E71BC7"/>
    <w:rsid w:val="00E73DA4"/>
    <w:rsid w:val="00E75707"/>
    <w:rsid w:val="00E76AE0"/>
    <w:rsid w:val="00E76E34"/>
    <w:rsid w:val="00E76E45"/>
    <w:rsid w:val="00E777C9"/>
    <w:rsid w:val="00E81DA6"/>
    <w:rsid w:val="00E82479"/>
    <w:rsid w:val="00E84212"/>
    <w:rsid w:val="00E8561E"/>
    <w:rsid w:val="00E9086C"/>
    <w:rsid w:val="00E90AAA"/>
    <w:rsid w:val="00E91A0F"/>
    <w:rsid w:val="00E93E8A"/>
    <w:rsid w:val="00E94A71"/>
    <w:rsid w:val="00E94CBF"/>
    <w:rsid w:val="00EA03CE"/>
    <w:rsid w:val="00EA0B00"/>
    <w:rsid w:val="00EA23E5"/>
    <w:rsid w:val="00EA275D"/>
    <w:rsid w:val="00EA33F5"/>
    <w:rsid w:val="00EA3986"/>
    <w:rsid w:val="00EA4E2E"/>
    <w:rsid w:val="00EA7BCD"/>
    <w:rsid w:val="00EB0DF8"/>
    <w:rsid w:val="00EB2417"/>
    <w:rsid w:val="00EB2CCB"/>
    <w:rsid w:val="00EB351B"/>
    <w:rsid w:val="00EB7A25"/>
    <w:rsid w:val="00EC0768"/>
    <w:rsid w:val="00EC0E1C"/>
    <w:rsid w:val="00EC0F3E"/>
    <w:rsid w:val="00EC2D07"/>
    <w:rsid w:val="00EC32F0"/>
    <w:rsid w:val="00EC3D19"/>
    <w:rsid w:val="00EC57A7"/>
    <w:rsid w:val="00EC6B28"/>
    <w:rsid w:val="00ED0817"/>
    <w:rsid w:val="00ED36BC"/>
    <w:rsid w:val="00ED7DD9"/>
    <w:rsid w:val="00ED7F47"/>
    <w:rsid w:val="00EE445B"/>
    <w:rsid w:val="00EE50F3"/>
    <w:rsid w:val="00EF1411"/>
    <w:rsid w:val="00EF24A6"/>
    <w:rsid w:val="00EF27D3"/>
    <w:rsid w:val="00EF3113"/>
    <w:rsid w:val="00EF3F84"/>
    <w:rsid w:val="00F01464"/>
    <w:rsid w:val="00F01FC2"/>
    <w:rsid w:val="00F02127"/>
    <w:rsid w:val="00F0228A"/>
    <w:rsid w:val="00F10EAA"/>
    <w:rsid w:val="00F11073"/>
    <w:rsid w:val="00F11D82"/>
    <w:rsid w:val="00F14B0D"/>
    <w:rsid w:val="00F176AC"/>
    <w:rsid w:val="00F24586"/>
    <w:rsid w:val="00F26F28"/>
    <w:rsid w:val="00F27714"/>
    <w:rsid w:val="00F3276E"/>
    <w:rsid w:val="00F33919"/>
    <w:rsid w:val="00F33D3C"/>
    <w:rsid w:val="00F37036"/>
    <w:rsid w:val="00F37A91"/>
    <w:rsid w:val="00F408A0"/>
    <w:rsid w:val="00F45CF5"/>
    <w:rsid w:val="00F47DB0"/>
    <w:rsid w:val="00F50C3F"/>
    <w:rsid w:val="00F50E34"/>
    <w:rsid w:val="00F53EF7"/>
    <w:rsid w:val="00F5478B"/>
    <w:rsid w:val="00F54BF2"/>
    <w:rsid w:val="00F55952"/>
    <w:rsid w:val="00F55B94"/>
    <w:rsid w:val="00F56D4B"/>
    <w:rsid w:val="00F57A59"/>
    <w:rsid w:val="00F61032"/>
    <w:rsid w:val="00F64C29"/>
    <w:rsid w:val="00F67ED9"/>
    <w:rsid w:val="00F71CB2"/>
    <w:rsid w:val="00F7353B"/>
    <w:rsid w:val="00F74DEF"/>
    <w:rsid w:val="00F75CAB"/>
    <w:rsid w:val="00F775AC"/>
    <w:rsid w:val="00F84150"/>
    <w:rsid w:val="00F86359"/>
    <w:rsid w:val="00F92355"/>
    <w:rsid w:val="00F9386B"/>
    <w:rsid w:val="00F93963"/>
    <w:rsid w:val="00F94291"/>
    <w:rsid w:val="00FA298A"/>
    <w:rsid w:val="00FA353D"/>
    <w:rsid w:val="00FA5B66"/>
    <w:rsid w:val="00FA64A4"/>
    <w:rsid w:val="00FA6B1B"/>
    <w:rsid w:val="00FB30EB"/>
    <w:rsid w:val="00FB4642"/>
    <w:rsid w:val="00FB4C49"/>
    <w:rsid w:val="00FB7982"/>
    <w:rsid w:val="00FC0734"/>
    <w:rsid w:val="00FC0FC5"/>
    <w:rsid w:val="00FC3068"/>
    <w:rsid w:val="00FC588F"/>
    <w:rsid w:val="00FC6879"/>
    <w:rsid w:val="00FD1046"/>
    <w:rsid w:val="00FD23A9"/>
    <w:rsid w:val="00FD316D"/>
    <w:rsid w:val="00FD3DD0"/>
    <w:rsid w:val="00FD5C71"/>
    <w:rsid w:val="00FD6AEB"/>
    <w:rsid w:val="00FE049B"/>
    <w:rsid w:val="00FE1B30"/>
    <w:rsid w:val="00FE7653"/>
    <w:rsid w:val="00FE7B44"/>
    <w:rsid w:val="00FF2C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453D24"/>
  <w15:docId w15:val="{0F777C62-5A6C-4B03-8099-5219D5A1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04"/>
    <w:rPr>
      <w:rFonts w:eastAsia="Times New Roman"/>
      <w:sz w:val="24"/>
      <w:szCs w:val="24"/>
      <w:lang w:eastAsia="en-GB"/>
    </w:rPr>
  </w:style>
  <w:style w:type="paragraph" w:styleId="Heading1">
    <w:name w:val="heading 1"/>
    <w:basedOn w:val="Normal"/>
    <w:next w:val="ParaNumbering"/>
    <w:link w:val="Heading1Char"/>
    <w:qFormat/>
    <w:pPr>
      <w:keepNext/>
      <w:spacing w:before="240" w:after="60"/>
      <w:jc w:val="both"/>
      <w:outlineLvl w:val="0"/>
    </w:pPr>
    <w:rPr>
      <w:rFonts w:eastAsia="Batang"/>
      <w:b/>
      <w:caps/>
      <w:kern w:val="28"/>
      <w:szCs w:val="20"/>
      <w:lang w:eastAsia="en-US"/>
    </w:rPr>
  </w:style>
  <w:style w:type="paragraph" w:styleId="Heading2">
    <w:name w:val="heading 2"/>
    <w:basedOn w:val="Normal"/>
    <w:next w:val="ParaNumbering"/>
    <w:qFormat/>
    <w:pPr>
      <w:keepNext/>
      <w:spacing w:before="240" w:after="60"/>
      <w:jc w:val="both"/>
      <w:outlineLvl w:val="1"/>
    </w:pPr>
    <w:rPr>
      <w:rFonts w:eastAsia="Batang"/>
      <w:b/>
      <w:lang w:eastAsia="en-US"/>
    </w:rPr>
  </w:style>
  <w:style w:type="paragraph" w:styleId="Heading3">
    <w:name w:val="heading 3"/>
    <w:basedOn w:val="Normal"/>
    <w:next w:val="ParaNumbering"/>
    <w:qFormat/>
    <w:pPr>
      <w:keepNext/>
      <w:spacing w:before="240" w:after="60"/>
      <w:jc w:val="both"/>
      <w:outlineLvl w:val="2"/>
    </w:pPr>
    <w:rPr>
      <w:rFonts w:eastAsia="Batang"/>
      <w:b/>
      <w:i/>
      <w:szCs w:val="20"/>
      <w:lang w:eastAsia="en-US"/>
    </w:rPr>
  </w:style>
  <w:style w:type="paragraph" w:styleId="Heading4">
    <w:name w:val="heading 4"/>
    <w:basedOn w:val="Normal"/>
    <w:next w:val="ParaNumbering"/>
    <w:qFormat/>
    <w:rsid w:val="009F5C33"/>
    <w:pPr>
      <w:keepNext/>
      <w:spacing w:before="240" w:after="60"/>
      <w:outlineLvl w:val="3"/>
    </w:pPr>
    <w:rPr>
      <w:rFonts w:eastAsia="Batang"/>
      <w:i/>
      <w:lang w:eastAsia="en-US"/>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style>
  <w:style w:type="paragraph" w:styleId="Header">
    <w:name w:val="header"/>
    <w:basedOn w:val="Normal"/>
    <w:semiHidden/>
    <w:pPr>
      <w:tabs>
        <w:tab w:val="center" w:pos="4320"/>
        <w:tab w:val="right" w:pos="8640"/>
      </w:tabs>
      <w:spacing w:line="360" w:lineRule="auto"/>
      <w:jc w:val="both"/>
    </w:pPr>
    <w:rPr>
      <w:rFonts w:eastAsia="Batang"/>
      <w:szCs w:val="20"/>
      <w:lang w:eastAsia="en-US"/>
    </w:rPr>
  </w:style>
  <w:style w:type="paragraph" w:styleId="Footer">
    <w:name w:val="footer"/>
    <w:basedOn w:val="Normal"/>
    <w:semiHidden/>
    <w:pPr>
      <w:tabs>
        <w:tab w:val="center" w:pos="4320"/>
        <w:tab w:val="right" w:pos="8640"/>
      </w:tabs>
      <w:spacing w:line="360" w:lineRule="auto"/>
      <w:jc w:val="both"/>
    </w:pPr>
    <w:rPr>
      <w:rFonts w:eastAsia="Batang"/>
      <w:szCs w:val="20"/>
      <w:lang w:eastAsia="en-US"/>
    </w:rPr>
  </w:style>
  <w:style w:type="paragraph" w:customStyle="1" w:styleId="ParaNumbering">
    <w:name w:val="ParaNumbering"/>
    <w:basedOn w:val="Normal"/>
    <w:rsid w:val="00967855"/>
    <w:pPr>
      <w:numPr>
        <w:numId w:val="1"/>
      </w:numPr>
      <w:spacing w:before="180" w:after="180" w:line="360" w:lineRule="auto"/>
      <w:jc w:val="both"/>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line="360" w:lineRule="auto"/>
      <w:jc w:val="center"/>
    </w:pPr>
    <w:rPr>
      <w:rFonts w:eastAsia="Batang"/>
      <w:b/>
      <w:sz w:val="26"/>
      <w:szCs w:val="20"/>
      <w:lang w:eastAsia="en-US"/>
    </w:rPr>
  </w:style>
  <w:style w:type="paragraph" w:customStyle="1" w:styleId="Normal1linespace">
    <w:name w:val="Normal1linespace"/>
    <w:basedOn w:val="Normal"/>
    <w:pPr>
      <w:jc w:val="both"/>
    </w:pPr>
    <w:rPr>
      <w:rFonts w:eastAsia="Batang"/>
      <w:szCs w:val="20"/>
      <w:lang w:eastAsia="en-US"/>
    </w:r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style>
  <w:style w:type="paragraph" w:customStyle="1" w:styleId="Bold">
    <w:name w:val="Bold"/>
    <w:basedOn w:val="Normal"/>
    <w:next w:val="Normal"/>
    <w:semiHidden/>
    <w:pPr>
      <w:suppressAutoHyphens/>
    </w:pPr>
    <w:rPr>
      <w:b/>
    </w:rPr>
  </w:style>
  <w:style w:type="paragraph" w:customStyle="1" w:styleId="Certify">
    <w:name w:val="Certify"/>
    <w:basedOn w:val="Normal"/>
    <w:link w:val="CertifyChar"/>
    <w:semiHidde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line="360" w:lineRule="auto"/>
      <w:jc w:val="both"/>
    </w:pPr>
    <w:rPr>
      <w:rFonts w:eastAsia="Batang"/>
      <w:szCs w:val="20"/>
      <w:lang w:eastAsia="en-US"/>
    </w:r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spacing w:line="360" w:lineRule="auto"/>
      <w:jc w:val="both"/>
    </w:pPr>
    <w:rPr>
      <w:rFonts w:eastAsia="Batang"/>
      <w:szCs w:val="20"/>
      <w:lang w:eastAsia="en-US"/>
    </w:r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rPr>
      <w:rFonts w:eastAsia="Batang"/>
      <w:b/>
      <w:caps/>
      <w:sz w:val="22"/>
      <w:szCs w:val="22"/>
      <w:lang w:eastAsia="en-US"/>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pPr>
    <w:rPr>
      <w:b/>
      <w:caps/>
      <w:kern w:val="28"/>
    </w:rPr>
  </w:style>
  <w:style w:type="paragraph" w:customStyle="1" w:styleId="ListNo1">
    <w:name w:val="List No 1"/>
    <w:basedOn w:val="Normal"/>
    <w:rsid w:val="0052098C"/>
    <w:pPr>
      <w:numPr>
        <w:numId w:val="23"/>
      </w:numPr>
      <w:tabs>
        <w:tab w:val="clear" w:pos="862"/>
        <w:tab w:val="num" w:pos="720"/>
      </w:tabs>
      <w:spacing w:before="60" w:after="60" w:line="360" w:lineRule="auto"/>
      <w:ind w:left="720"/>
      <w:jc w:val="both"/>
    </w:pPr>
    <w:rPr>
      <w:rFonts w:eastAsia="Batang"/>
      <w:szCs w:val="20"/>
      <w:lang w:eastAsia="en-US"/>
    </w:rPr>
  </w:style>
  <w:style w:type="paragraph" w:customStyle="1" w:styleId="FTOC2">
    <w:name w:val="FTOC 2"/>
    <w:basedOn w:val="Normal"/>
    <w:semiHidden/>
    <w:rsid w:val="00681ADF"/>
    <w:pPr>
      <w:tabs>
        <w:tab w:val="right" w:leader="dot" w:pos="9072"/>
      </w:tabs>
      <w:spacing w:before="120" w:after="60"/>
      <w:ind w:left="238"/>
    </w:pPr>
    <w:rPr>
      <w:b/>
    </w:rPr>
  </w:style>
  <w:style w:type="paragraph" w:customStyle="1" w:styleId="FTOC3">
    <w:name w:val="FTOC 3"/>
    <w:basedOn w:val="Normal"/>
    <w:semiHidden/>
    <w:rsid w:val="00681ADF"/>
    <w:pPr>
      <w:tabs>
        <w:tab w:val="right" w:leader="dot" w:pos="9072"/>
      </w:tabs>
      <w:spacing w:before="120" w:after="60"/>
      <w:ind w:left="482"/>
    </w:pPr>
    <w:rPr>
      <w:b/>
      <w:i/>
    </w:rPr>
  </w:style>
  <w:style w:type="paragraph" w:customStyle="1" w:styleId="FTOC4">
    <w:name w:val="FTOC 4"/>
    <w:basedOn w:val="Normal"/>
    <w:semiHidden/>
    <w:rsid w:val="00681ADF"/>
    <w:pPr>
      <w:tabs>
        <w:tab w:val="right" w:leader="dot" w:pos="9072"/>
      </w:tabs>
      <w:spacing w:before="120" w:after="60"/>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pPr>
      <w:spacing w:line="360" w:lineRule="auto"/>
      <w:jc w:val="both"/>
    </w:pPr>
    <w:rPr>
      <w:rFonts w:eastAsia="Batang"/>
      <w:szCs w:val="20"/>
      <w:lang w:eastAsia="en-US"/>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spacing w:line="360" w:lineRule="auto"/>
      <w:ind w:left="2880"/>
      <w:jc w:val="both"/>
    </w:pPr>
    <w:rPr>
      <w:rFonts w:ascii="Arial" w:eastAsia="Batang" w:hAnsi="Arial" w:cs="Arial"/>
      <w:lang w:eastAsia="en-US"/>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spacing w:line="360" w:lineRule="auto"/>
      <w:ind w:left="283" w:hanging="283"/>
      <w:jc w:val="both"/>
    </w:pPr>
    <w:rPr>
      <w:rFonts w:eastAsia="Batang"/>
      <w:szCs w:val="20"/>
      <w:lang w:eastAsia="en-US"/>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spacing w:line="360" w:lineRule="auto"/>
      <w:jc w:val="both"/>
    </w:pPr>
    <w:rPr>
      <w:rFonts w:eastAsia="Batang"/>
      <w:szCs w:val="20"/>
      <w:lang w:eastAsia="en-US"/>
    </w:r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style>
  <w:style w:type="paragraph" w:styleId="NormalIndent">
    <w:name w:val="Normal Indent"/>
    <w:basedOn w:val="Normal"/>
    <w:semiHidden/>
    <w:pPr>
      <w:spacing w:line="360" w:lineRule="auto"/>
      <w:ind w:left="720"/>
      <w:jc w:val="both"/>
    </w:pPr>
    <w:rPr>
      <w:rFonts w:eastAsia="Batang"/>
      <w:szCs w:val="20"/>
      <w:lang w:eastAsia="en-US"/>
    </w:r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ind w:left="238"/>
    </w:pPr>
  </w:style>
  <w:style w:type="paragraph" w:customStyle="1" w:styleId="bTOC3">
    <w:name w:val="bTOC 3"/>
    <w:basedOn w:val="TOC3"/>
    <w:semiHidden/>
    <w:rsid w:val="00323061"/>
    <w:pPr>
      <w:spacing w:before="120" w:after="60"/>
      <w:ind w:left="482"/>
    </w:pPr>
  </w:style>
  <w:style w:type="paragraph" w:customStyle="1" w:styleId="bTOC4">
    <w:name w:val="bTOC 4"/>
    <w:basedOn w:val="TOC4"/>
    <w:semiHidden/>
    <w:rsid w:val="00323061"/>
    <w:pPr>
      <w:spacing w:before="120" w:after="60"/>
    </w:pPr>
  </w:style>
  <w:style w:type="paragraph" w:customStyle="1" w:styleId="Counsel">
    <w:name w:val="Counsel"/>
    <w:basedOn w:val="Normal"/>
    <w:unhideWhenUsed/>
    <w:pPr>
      <w:widowControl w:val="0"/>
      <w:suppressAutoHyphens/>
      <w:jc w:val="both"/>
    </w:pPr>
    <w:rPr>
      <w:rFonts w:eastAsia="Batang"/>
      <w:szCs w:val="20"/>
      <w:lang w:eastAsia="en-US"/>
    </w:r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jc w:val="both"/>
    </w:pPr>
    <w:rPr>
      <w:rFonts w:eastAsia="Batang"/>
      <w:b/>
      <w:caps/>
      <w:kern w:val="28"/>
      <w:szCs w:val="20"/>
      <w:lang w:eastAsia="en-US"/>
    </w:rPr>
  </w:style>
  <w:style w:type="paragraph" w:customStyle="1" w:styleId="fcHeading2">
    <w:name w:val="fcHeading 2"/>
    <w:basedOn w:val="Normal"/>
    <w:next w:val="ParaNumbering"/>
    <w:semiHidden/>
    <w:pPr>
      <w:keepNext/>
      <w:numPr>
        <w:ilvl w:val="1"/>
        <w:numId w:val="16"/>
      </w:numPr>
      <w:spacing w:before="240" w:after="60"/>
      <w:jc w:val="both"/>
    </w:pPr>
    <w:rPr>
      <w:rFonts w:eastAsia="Batang"/>
      <w:b/>
      <w:szCs w:val="20"/>
      <w:lang w:eastAsia="en-US"/>
    </w:rPr>
  </w:style>
  <w:style w:type="paragraph" w:customStyle="1" w:styleId="fcHeading3">
    <w:name w:val="fcHeading 3"/>
    <w:basedOn w:val="Normal"/>
    <w:next w:val="ParaNumbering"/>
    <w:semiHidden/>
    <w:pPr>
      <w:keepNext/>
      <w:numPr>
        <w:ilvl w:val="2"/>
        <w:numId w:val="16"/>
      </w:numPr>
      <w:spacing w:before="240" w:after="60"/>
      <w:jc w:val="both"/>
    </w:pPr>
    <w:rPr>
      <w:rFonts w:eastAsia="Batang"/>
      <w:b/>
      <w:i/>
      <w:szCs w:val="20"/>
      <w:lang w:eastAsia="en-US"/>
    </w:rPr>
  </w:style>
  <w:style w:type="paragraph" w:customStyle="1" w:styleId="fcHeading4">
    <w:name w:val="fcHeading 4"/>
    <w:basedOn w:val="Normal"/>
    <w:next w:val="ParaNumbering"/>
    <w:semiHidden/>
    <w:pPr>
      <w:keepNext/>
      <w:numPr>
        <w:ilvl w:val="3"/>
        <w:numId w:val="16"/>
      </w:numPr>
      <w:spacing w:before="240" w:after="60"/>
      <w:jc w:val="both"/>
    </w:pPr>
    <w:rPr>
      <w:rFonts w:eastAsia="Batang"/>
      <w:b/>
      <w:smallCaps/>
      <w:szCs w:val="20"/>
      <w:lang w:eastAsia="en-US"/>
    </w:rPr>
  </w:style>
  <w:style w:type="paragraph" w:customStyle="1" w:styleId="fcHeading5">
    <w:name w:val="fcHeading 5"/>
    <w:basedOn w:val="Normal"/>
    <w:next w:val="ParaNumbering"/>
    <w:semiHidden/>
    <w:pPr>
      <w:keepNext/>
      <w:numPr>
        <w:ilvl w:val="4"/>
        <w:numId w:val="16"/>
      </w:numPr>
      <w:spacing w:before="240" w:after="60"/>
      <w:jc w:val="both"/>
    </w:pPr>
    <w:rPr>
      <w:rFonts w:eastAsia="Batang"/>
      <w:b/>
      <w:caps/>
      <w:szCs w:val="20"/>
      <w:lang w:eastAsia="en-US"/>
    </w:rPr>
  </w:style>
  <w:style w:type="paragraph" w:customStyle="1" w:styleId="FTOC5">
    <w:name w:val="FTOC 5"/>
    <w:basedOn w:val="Normal"/>
    <w:semiHidden/>
    <w:rsid w:val="003774B2"/>
    <w:pPr>
      <w:tabs>
        <w:tab w:val="right" w:leader="dot" w:pos="9072"/>
      </w:tabs>
      <w:spacing w:before="120" w:after="60"/>
      <w:ind w:left="709" w:hanging="709"/>
    </w:pPr>
    <w:rPr>
      <w:b/>
      <w:kern w:val="28"/>
    </w:rPr>
  </w:style>
  <w:style w:type="paragraph" w:customStyle="1" w:styleId="FTOC6">
    <w:name w:val="FTOC 6"/>
    <w:basedOn w:val="Normal"/>
    <w:semiHidden/>
    <w:rsid w:val="003774B2"/>
    <w:pPr>
      <w:tabs>
        <w:tab w:val="right" w:leader="dot" w:pos="9072"/>
      </w:tabs>
      <w:spacing w:before="120" w:after="60"/>
      <w:ind w:left="1418" w:hanging="709"/>
    </w:pPr>
    <w:rPr>
      <w:b/>
    </w:rPr>
  </w:style>
  <w:style w:type="paragraph" w:customStyle="1" w:styleId="FTOC7">
    <w:name w:val="FTOC 7"/>
    <w:basedOn w:val="Normal"/>
    <w:semiHidden/>
    <w:rsid w:val="003774B2"/>
    <w:pPr>
      <w:tabs>
        <w:tab w:val="right" w:leader="dot" w:pos="9072"/>
      </w:tabs>
      <w:spacing w:before="120" w:after="60"/>
      <w:ind w:left="2127" w:hanging="709"/>
    </w:pPr>
    <w:rPr>
      <w:b/>
    </w:rPr>
  </w:style>
  <w:style w:type="paragraph" w:customStyle="1" w:styleId="FTOC8">
    <w:name w:val="FTOC 8"/>
    <w:basedOn w:val="Normal"/>
    <w:semiHidden/>
    <w:rsid w:val="003774B2"/>
    <w:pPr>
      <w:tabs>
        <w:tab w:val="right" w:leader="dot" w:pos="9072"/>
      </w:tabs>
      <w:spacing w:before="120" w:after="60"/>
      <w:ind w:left="3260" w:hanging="1134"/>
    </w:pPr>
    <w:rPr>
      <w:b/>
    </w:rPr>
  </w:style>
  <w:style w:type="paragraph" w:customStyle="1" w:styleId="FTOC9">
    <w:name w:val="FTOC 9"/>
    <w:basedOn w:val="Normal"/>
    <w:semiHidden/>
    <w:rsid w:val="003774B2"/>
    <w:pPr>
      <w:tabs>
        <w:tab w:val="right" w:leader="dot" w:pos="9072"/>
      </w:tabs>
      <w:spacing w:before="120" w:after="60"/>
      <w:ind w:left="3969" w:hanging="1134"/>
    </w:pPr>
    <w:rPr>
      <w:b/>
    </w:rPr>
  </w:style>
  <w:style w:type="paragraph" w:customStyle="1" w:styleId="bTOC5">
    <w:name w:val="bTOC 5"/>
    <w:basedOn w:val="Normal"/>
    <w:semiHidden/>
    <w:rsid w:val="00323061"/>
    <w:pPr>
      <w:tabs>
        <w:tab w:val="right" w:leader="dot" w:pos="9072"/>
      </w:tabs>
      <w:spacing w:before="120" w:after="60"/>
      <w:ind w:left="709" w:hanging="709"/>
    </w:pPr>
  </w:style>
  <w:style w:type="paragraph" w:customStyle="1" w:styleId="bTOC6">
    <w:name w:val="bTOC 6"/>
    <w:basedOn w:val="Normal"/>
    <w:semiHidden/>
    <w:rsid w:val="00323061"/>
    <w:pPr>
      <w:tabs>
        <w:tab w:val="right" w:leader="dot" w:pos="9072"/>
      </w:tabs>
      <w:spacing w:before="120" w:after="60"/>
      <w:ind w:left="1418" w:hanging="709"/>
    </w:pPr>
  </w:style>
  <w:style w:type="paragraph" w:customStyle="1" w:styleId="bTOC7">
    <w:name w:val="bTOC 7"/>
    <w:basedOn w:val="Normal"/>
    <w:semiHidden/>
    <w:rsid w:val="00323061"/>
    <w:pPr>
      <w:tabs>
        <w:tab w:val="right" w:leader="dot" w:pos="9072"/>
      </w:tabs>
      <w:spacing w:before="120" w:after="60"/>
      <w:ind w:left="2127" w:hanging="709"/>
    </w:pPr>
  </w:style>
  <w:style w:type="paragraph" w:customStyle="1" w:styleId="bTOC8">
    <w:name w:val="bTOC 8"/>
    <w:basedOn w:val="Normal"/>
    <w:semiHidden/>
    <w:rsid w:val="00323061"/>
    <w:pPr>
      <w:keepNext/>
      <w:tabs>
        <w:tab w:val="right" w:leader="dot" w:pos="9072"/>
      </w:tabs>
      <w:spacing w:before="120" w:after="60"/>
      <w:ind w:left="3260" w:hanging="1134"/>
    </w:pPr>
  </w:style>
  <w:style w:type="paragraph" w:customStyle="1" w:styleId="bTOC9">
    <w:name w:val="bTOC 9"/>
    <w:basedOn w:val="Normal"/>
    <w:semiHidden/>
    <w:rsid w:val="00323061"/>
    <w:pPr>
      <w:keepNext/>
      <w:tabs>
        <w:tab w:val="right" w:leader="dot" w:pos="9072"/>
      </w:tabs>
      <w:spacing w:before="120" w:after="60"/>
      <w:ind w:left="3969" w:hanging="1134"/>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jc w:val="both"/>
    </w:pPr>
    <w:rPr>
      <w:rFonts w:eastAsia="Batang"/>
      <w:szCs w:val="22"/>
      <w:lang w:eastAsia="en-US"/>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line="360" w:lineRule="auto"/>
      <w:jc w:val="both"/>
    </w:pPr>
    <w:rPr>
      <w:rFonts w:eastAsia="Batang"/>
      <w:szCs w:val="20"/>
      <w:lang w:eastAsia="en-US"/>
    </w:r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line="360" w:lineRule="auto"/>
      <w:jc w:val="both"/>
    </w:pPr>
    <w:rPr>
      <w:rFonts w:eastAsia="Batang"/>
      <w:szCs w:val="20"/>
      <w:lang w:eastAsia="en-US"/>
    </w:r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Default">
    <w:name w:val="Default"/>
    <w:rsid w:val="00FA64A4"/>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6C515D"/>
    <w:pPr>
      <w:widowControl w:val="0"/>
      <w:autoSpaceDE w:val="0"/>
      <w:autoSpaceDN w:val="0"/>
      <w:ind w:left="864" w:hanging="720"/>
      <w:jc w:val="both"/>
    </w:pPr>
    <w:rPr>
      <w:sz w:val="22"/>
      <w:szCs w:val="22"/>
      <w:lang w:val="en-US" w:eastAsia="en-US"/>
    </w:rPr>
  </w:style>
  <w:style w:type="paragraph" w:customStyle="1" w:styleId="acthead5">
    <w:name w:val="acthead5"/>
    <w:basedOn w:val="Normal"/>
    <w:rsid w:val="007D4A6B"/>
    <w:pPr>
      <w:spacing w:before="100" w:beforeAutospacing="1" w:after="100" w:afterAutospacing="1"/>
    </w:pPr>
    <w:rPr>
      <w:lang w:eastAsia="en-AU"/>
    </w:rPr>
  </w:style>
  <w:style w:type="character" w:customStyle="1" w:styleId="charsectno">
    <w:name w:val="charsectno"/>
    <w:basedOn w:val="DefaultParagraphFont"/>
    <w:rsid w:val="007D4A6B"/>
  </w:style>
  <w:style w:type="paragraph" w:customStyle="1" w:styleId="subsection">
    <w:name w:val="subsection"/>
    <w:basedOn w:val="Normal"/>
    <w:rsid w:val="007D4A6B"/>
    <w:pPr>
      <w:spacing w:before="100" w:beforeAutospacing="1" w:after="100" w:afterAutospacing="1"/>
    </w:pPr>
    <w:rPr>
      <w:lang w:eastAsia="en-AU"/>
    </w:rPr>
  </w:style>
  <w:style w:type="paragraph" w:customStyle="1" w:styleId="paragraph">
    <w:name w:val="paragraph"/>
    <w:basedOn w:val="Normal"/>
    <w:rsid w:val="007D4A6B"/>
    <w:pPr>
      <w:spacing w:before="100" w:beforeAutospacing="1" w:after="100" w:afterAutospacing="1"/>
    </w:pPr>
    <w:rPr>
      <w:lang w:eastAsia="en-AU"/>
    </w:rPr>
  </w:style>
  <w:style w:type="paragraph" w:customStyle="1" w:styleId="penalty">
    <w:name w:val="penalty"/>
    <w:basedOn w:val="Normal"/>
    <w:rsid w:val="007D4A6B"/>
    <w:pPr>
      <w:spacing w:before="100" w:beforeAutospacing="1" w:after="100" w:afterAutospacing="1"/>
    </w:pPr>
    <w:rPr>
      <w:lang w:eastAsia="en-AU"/>
    </w:rPr>
  </w:style>
  <w:style w:type="character" w:customStyle="1" w:styleId="leftcol">
    <w:name w:val="leftcol"/>
    <w:basedOn w:val="DefaultParagraphFont"/>
    <w:rsid w:val="009A2DF5"/>
  </w:style>
  <w:style w:type="character" w:customStyle="1" w:styleId="documentlink">
    <w:name w:val="documentlink"/>
    <w:basedOn w:val="DefaultParagraphFont"/>
    <w:rsid w:val="009A2DF5"/>
  </w:style>
  <w:style w:type="character" w:customStyle="1" w:styleId="mover">
    <w:name w:val="mover"/>
    <w:basedOn w:val="DefaultParagraphFont"/>
    <w:rsid w:val="009A2DF5"/>
  </w:style>
  <w:style w:type="character" w:customStyle="1" w:styleId="g">
    <w:name w:val="g"/>
    <w:basedOn w:val="DefaultParagraphFont"/>
    <w:rsid w:val="009A2DF5"/>
  </w:style>
  <w:style w:type="character" w:customStyle="1" w:styleId="Heading1Char">
    <w:name w:val="Heading 1 Char"/>
    <w:basedOn w:val="DefaultParagraphFont"/>
    <w:link w:val="Heading1"/>
    <w:rsid w:val="00D81565"/>
    <w:rPr>
      <w:b/>
      <w:caps/>
      <w:kern w:val="28"/>
      <w:sz w:val="24"/>
      <w:lang w:eastAsia="en-US"/>
    </w:rPr>
  </w:style>
  <w:style w:type="paragraph" w:styleId="Revision">
    <w:name w:val="Revision"/>
    <w:hidden/>
    <w:uiPriority w:val="99"/>
    <w:semiHidden/>
    <w:rsid w:val="004E604A"/>
    <w:rPr>
      <w:sz w:val="24"/>
      <w:lang w:eastAsia="en-US"/>
    </w:rPr>
  </w:style>
  <w:style w:type="character" w:customStyle="1" w:styleId="CommentTextChar">
    <w:name w:val="Comment Text Char"/>
    <w:basedOn w:val="DefaultParagraphFont"/>
    <w:link w:val="CommentText"/>
    <w:semiHidden/>
    <w:rsid w:val="004A4A9B"/>
    <w:rPr>
      <w:lang w:eastAsia="en-US"/>
    </w:rPr>
  </w:style>
  <w:style w:type="paragraph" w:customStyle="1" w:styleId="penalelty">
    <w:name w:val="penalelty"/>
    <w:basedOn w:val="penalty"/>
    <w:rsid w:val="00A37A15"/>
    <w:pPr>
      <w:ind w:left="720"/>
    </w:pPr>
    <w:rPr>
      <w:sz w:val="22"/>
      <w:szCs w:val="22"/>
      <w:lang w:val="en"/>
    </w:rPr>
  </w:style>
  <w:style w:type="numbering" w:customStyle="1" w:styleId="FCListNo1">
    <w:name w:val="FCListNo1"/>
    <w:uiPriority w:val="99"/>
    <w:rsid w:val="002E7F06"/>
  </w:style>
  <w:style w:type="paragraph" w:customStyle="1" w:styleId="jade-noverticalmargins">
    <w:name w:val="jade-noverticalmargins"/>
    <w:basedOn w:val="Normal"/>
    <w:rsid w:val="00FF2CA2"/>
    <w:pPr>
      <w:spacing w:before="100" w:beforeAutospacing="1" w:after="100" w:afterAutospacing="1"/>
    </w:pPr>
    <w:rPr>
      <w:lang w:eastAsia="en-AU"/>
    </w:rPr>
  </w:style>
  <w:style w:type="character" w:customStyle="1" w:styleId="gwt-inlinelabel">
    <w:name w:val="gwt-inlinelabel"/>
    <w:basedOn w:val="DefaultParagraphFont"/>
    <w:rsid w:val="00FF2CA2"/>
  </w:style>
  <w:style w:type="character" w:customStyle="1" w:styleId="gwt-inlinehtml">
    <w:name w:val="gwt-inlinehtml"/>
    <w:basedOn w:val="DefaultParagraphFont"/>
    <w:rsid w:val="00FF2CA2"/>
  </w:style>
  <w:style w:type="character" w:customStyle="1" w:styleId="ssit">
    <w:name w:val="ss_it"/>
    <w:basedOn w:val="DefaultParagraphFont"/>
    <w:rsid w:val="00F0228A"/>
  </w:style>
  <w:style w:type="character" w:customStyle="1" w:styleId="ssro">
    <w:name w:val="ss_ro"/>
    <w:basedOn w:val="DefaultParagraphFont"/>
    <w:rsid w:val="00EC32F0"/>
  </w:style>
  <w:style w:type="paragraph" w:customStyle="1" w:styleId="00022829">
    <w:name w:val="00022829"/>
    <w:basedOn w:val="Normal"/>
    <w:rsid w:val="003E6DB3"/>
    <w:pPr>
      <w:spacing w:before="100" w:beforeAutospacing="1" w:after="100" w:afterAutospacing="1"/>
    </w:pPr>
    <w:rPr>
      <w:lang w:eastAsia="en-AU"/>
    </w:rPr>
  </w:style>
  <w:style w:type="paragraph" w:customStyle="1" w:styleId="009b2358">
    <w:name w:val="009b2358"/>
    <w:basedOn w:val="Normal"/>
    <w:rsid w:val="003E6DB3"/>
    <w:pPr>
      <w:spacing w:before="100" w:beforeAutospacing="1" w:after="100" w:afterAutospacing="1"/>
    </w:pPr>
    <w:rPr>
      <w:lang w:eastAsia="en-AU"/>
    </w:rPr>
  </w:style>
  <w:style w:type="character" w:customStyle="1" w:styleId="sssh">
    <w:name w:val="ss_sh"/>
    <w:basedOn w:val="DefaultParagraphFont"/>
    <w:rsid w:val="00324798"/>
  </w:style>
  <w:style w:type="character" w:customStyle="1" w:styleId="sslatest">
    <w:name w:val="ss_latest"/>
    <w:basedOn w:val="DefaultParagraphFont"/>
    <w:rsid w:val="00425325"/>
  </w:style>
  <w:style w:type="paragraph" w:customStyle="1" w:styleId="2">
    <w:name w:val="2"/>
    <w:basedOn w:val="Heading1"/>
    <w:rsid w:val="005E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6887">
      <w:bodyDiv w:val="1"/>
      <w:marLeft w:val="0"/>
      <w:marRight w:val="0"/>
      <w:marTop w:val="0"/>
      <w:marBottom w:val="0"/>
      <w:divBdr>
        <w:top w:val="none" w:sz="0" w:space="0" w:color="auto"/>
        <w:left w:val="none" w:sz="0" w:space="0" w:color="auto"/>
        <w:bottom w:val="none" w:sz="0" w:space="0" w:color="auto"/>
        <w:right w:val="none" w:sz="0" w:space="0" w:color="auto"/>
      </w:divBdr>
    </w:div>
    <w:div w:id="79719406">
      <w:bodyDiv w:val="1"/>
      <w:marLeft w:val="0"/>
      <w:marRight w:val="0"/>
      <w:marTop w:val="0"/>
      <w:marBottom w:val="0"/>
      <w:divBdr>
        <w:top w:val="none" w:sz="0" w:space="0" w:color="auto"/>
        <w:left w:val="none" w:sz="0" w:space="0" w:color="auto"/>
        <w:bottom w:val="none" w:sz="0" w:space="0" w:color="auto"/>
        <w:right w:val="none" w:sz="0" w:space="0" w:color="auto"/>
      </w:divBdr>
    </w:div>
    <w:div w:id="96171178">
      <w:bodyDiv w:val="1"/>
      <w:marLeft w:val="0"/>
      <w:marRight w:val="0"/>
      <w:marTop w:val="0"/>
      <w:marBottom w:val="0"/>
      <w:divBdr>
        <w:top w:val="none" w:sz="0" w:space="0" w:color="auto"/>
        <w:left w:val="none" w:sz="0" w:space="0" w:color="auto"/>
        <w:bottom w:val="none" w:sz="0" w:space="0" w:color="auto"/>
        <w:right w:val="none" w:sz="0" w:space="0" w:color="auto"/>
      </w:divBdr>
    </w:div>
    <w:div w:id="173695643">
      <w:bodyDiv w:val="1"/>
      <w:marLeft w:val="0"/>
      <w:marRight w:val="0"/>
      <w:marTop w:val="0"/>
      <w:marBottom w:val="0"/>
      <w:divBdr>
        <w:top w:val="none" w:sz="0" w:space="0" w:color="auto"/>
        <w:left w:val="none" w:sz="0" w:space="0" w:color="auto"/>
        <w:bottom w:val="none" w:sz="0" w:space="0" w:color="auto"/>
        <w:right w:val="none" w:sz="0" w:space="0" w:color="auto"/>
      </w:divBdr>
    </w:div>
    <w:div w:id="178547821">
      <w:bodyDiv w:val="1"/>
      <w:marLeft w:val="0"/>
      <w:marRight w:val="0"/>
      <w:marTop w:val="0"/>
      <w:marBottom w:val="0"/>
      <w:divBdr>
        <w:top w:val="none" w:sz="0" w:space="0" w:color="auto"/>
        <w:left w:val="none" w:sz="0" w:space="0" w:color="auto"/>
        <w:bottom w:val="none" w:sz="0" w:space="0" w:color="auto"/>
        <w:right w:val="none" w:sz="0" w:space="0" w:color="auto"/>
      </w:divBdr>
    </w:div>
    <w:div w:id="265776251">
      <w:bodyDiv w:val="1"/>
      <w:marLeft w:val="0"/>
      <w:marRight w:val="0"/>
      <w:marTop w:val="0"/>
      <w:marBottom w:val="0"/>
      <w:divBdr>
        <w:top w:val="none" w:sz="0" w:space="0" w:color="auto"/>
        <w:left w:val="none" w:sz="0" w:space="0" w:color="auto"/>
        <w:bottom w:val="none" w:sz="0" w:space="0" w:color="auto"/>
        <w:right w:val="none" w:sz="0" w:space="0" w:color="auto"/>
      </w:divBdr>
    </w:div>
    <w:div w:id="277296383">
      <w:bodyDiv w:val="1"/>
      <w:marLeft w:val="0"/>
      <w:marRight w:val="0"/>
      <w:marTop w:val="0"/>
      <w:marBottom w:val="0"/>
      <w:divBdr>
        <w:top w:val="none" w:sz="0" w:space="0" w:color="auto"/>
        <w:left w:val="none" w:sz="0" w:space="0" w:color="auto"/>
        <w:bottom w:val="none" w:sz="0" w:space="0" w:color="auto"/>
        <w:right w:val="none" w:sz="0" w:space="0" w:color="auto"/>
      </w:divBdr>
      <w:divsChild>
        <w:div w:id="1764303224">
          <w:marLeft w:val="0"/>
          <w:marRight w:val="0"/>
          <w:marTop w:val="0"/>
          <w:marBottom w:val="0"/>
          <w:divBdr>
            <w:top w:val="none" w:sz="0" w:space="0" w:color="auto"/>
            <w:left w:val="none" w:sz="0" w:space="0" w:color="auto"/>
            <w:bottom w:val="none" w:sz="0" w:space="0" w:color="auto"/>
            <w:right w:val="none" w:sz="0" w:space="0" w:color="auto"/>
          </w:divBdr>
          <w:divsChild>
            <w:div w:id="1002273827">
              <w:marLeft w:val="0"/>
              <w:marRight w:val="0"/>
              <w:marTop w:val="0"/>
              <w:marBottom w:val="0"/>
              <w:divBdr>
                <w:top w:val="none" w:sz="0" w:space="0" w:color="auto"/>
                <w:left w:val="none" w:sz="0" w:space="0" w:color="auto"/>
                <w:bottom w:val="none" w:sz="0" w:space="0" w:color="auto"/>
                <w:right w:val="none" w:sz="0" w:space="0" w:color="auto"/>
              </w:divBdr>
            </w:div>
          </w:divsChild>
        </w:div>
        <w:div w:id="1321614748">
          <w:marLeft w:val="0"/>
          <w:marRight w:val="0"/>
          <w:marTop w:val="0"/>
          <w:marBottom w:val="0"/>
          <w:divBdr>
            <w:top w:val="none" w:sz="0" w:space="0" w:color="auto"/>
            <w:left w:val="none" w:sz="0" w:space="0" w:color="auto"/>
            <w:bottom w:val="none" w:sz="0" w:space="0" w:color="auto"/>
            <w:right w:val="none" w:sz="0" w:space="0" w:color="auto"/>
          </w:divBdr>
          <w:divsChild>
            <w:div w:id="2074739190">
              <w:marLeft w:val="0"/>
              <w:marRight w:val="0"/>
              <w:marTop w:val="0"/>
              <w:marBottom w:val="0"/>
              <w:divBdr>
                <w:top w:val="none" w:sz="0" w:space="0" w:color="auto"/>
                <w:left w:val="none" w:sz="0" w:space="0" w:color="auto"/>
                <w:bottom w:val="none" w:sz="0" w:space="0" w:color="auto"/>
                <w:right w:val="none" w:sz="0" w:space="0" w:color="auto"/>
              </w:divBdr>
            </w:div>
          </w:divsChild>
        </w:div>
        <w:div w:id="1759643078">
          <w:marLeft w:val="0"/>
          <w:marRight w:val="0"/>
          <w:marTop w:val="0"/>
          <w:marBottom w:val="0"/>
          <w:divBdr>
            <w:top w:val="none" w:sz="0" w:space="0" w:color="auto"/>
            <w:left w:val="none" w:sz="0" w:space="0" w:color="auto"/>
            <w:bottom w:val="none" w:sz="0" w:space="0" w:color="auto"/>
            <w:right w:val="none" w:sz="0" w:space="0" w:color="auto"/>
          </w:divBdr>
          <w:divsChild>
            <w:div w:id="495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3106">
      <w:bodyDiv w:val="1"/>
      <w:marLeft w:val="0"/>
      <w:marRight w:val="0"/>
      <w:marTop w:val="0"/>
      <w:marBottom w:val="0"/>
      <w:divBdr>
        <w:top w:val="none" w:sz="0" w:space="0" w:color="auto"/>
        <w:left w:val="none" w:sz="0" w:space="0" w:color="auto"/>
        <w:bottom w:val="none" w:sz="0" w:space="0" w:color="auto"/>
        <w:right w:val="none" w:sz="0" w:space="0" w:color="auto"/>
      </w:divBdr>
    </w:div>
    <w:div w:id="440993800">
      <w:bodyDiv w:val="1"/>
      <w:marLeft w:val="0"/>
      <w:marRight w:val="0"/>
      <w:marTop w:val="0"/>
      <w:marBottom w:val="0"/>
      <w:divBdr>
        <w:top w:val="none" w:sz="0" w:space="0" w:color="auto"/>
        <w:left w:val="none" w:sz="0" w:space="0" w:color="auto"/>
        <w:bottom w:val="none" w:sz="0" w:space="0" w:color="auto"/>
        <w:right w:val="none" w:sz="0" w:space="0" w:color="auto"/>
      </w:divBdr>
    </w:div>
    <w:div w:id="495649490">
      <w:bodyDiv w:val="1"/>
      <w:marLeft w:val="0"/>
      <w:marRight w:val="0"/>
      <w:marTop w:val="0"/>
      <w:marBottom w:val="0"/>
      <w:divBdr>
        <w:top w:val="none" w:sz="0" w:space="0" w:color="auto"/>
        <w:left w:val="none" w:sz="0" w:space="0" w:color="auto"/>
        <w:bottom w:val="none" w:sz="0" w:space="0" w:color="auto"/>
        <w:right w:val="none" w:sz="0" w:space="0" w:color="auto"/>
      </w:divBdr>
    </w:div>
    <w:div w:id="630551201">
      <w:bodyDiv w:val="1"/>
      <w:marLeft w:val="0"/>
      <w:marRight w:val="0"/>
      <w:marTop w:val="0"/>
      <w:marBottom w:val="0"/>
      <w:divBdr>
        <w:top w:val="none" w:sz="0" w:space="0" w:color="auto"/>
        <w:left w:val="none" w:sz="0" w:space="0" w:color="auto"/>
        <w:bottom w:val="none" w:sz="0" w:space="0" w:color="auto"/>
        <w:right w:val="none" w:sz="0" w:space="0" w:color="auto"/>
      </w:divBdr>
      <w:divsChild>
        <w:div w:id="1937518636">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679114666">
      <w:bodyDiv w:val="1"/>
      <w:marLeft w:val="0"/>
      <w:marRight w:val="0"/>
      <w:marTop w:val="0"/>
      <w:marBottom w:val="0"/>
      <w:divBdr>
        <w:top w:val="none" w:sz="0" w:space="0" w:color="auto"/>
        <w:left w:val="none" w:sz="0" w:space="0" w:color="auto"/>
        <w:bottom w:val="none" w:sz="0" w:space="0" w:color="auto"/>
        <w:right w:val="none" w:sz="0" w:space="0" w:color="auto"/>
      </w:divBdr>
    </w:div>
    <w:div w:id="854270409">
      <w:bodyDiv w:val="1"/>
      <w:marLeft w:val="0"/>
      <w:marRight w:val="0"/>
      <w:marTop w:val="0"/>
      <w:marBottom w:val="0"/>
      <w:divBdr>
        <w:top w:val="none" w:sz="0" w:space="0" w:color="auto"/>
        <w:left w:val="none" w:sz="0" w:space="0" w:color="auto"/>
        <w:bottom w:val="none" w:sz="0" w:space="0" w:color="auto"/>
        <w:right w:val="none" w:sz="0" w:space="0" w:color="auto"/>
      </w:divBdr>
    </w:div>
    <w:div w:id="976489136">
      <w:bodyDiv w:val="1"/>
      <w:marLeft w:val="0"/>
      <w:marRight w:val="0"/>
      <w:marTop w:val="0"/>
      <w:marBottom w:val="0"/>
      <w:divBdr>
        <w:top w:val="none" w:sz="0" w:space="0" w:color="auto"/>
        <w:left w:val="none" w:sz="0" w:space="0" w:color="auto"/>
        <w:bottom w:val="none" w:sz="0" w:space="0" w:color="auto"/>
        <w:right w:val="none" w:sz="0" w:space="0" w:color="auto"/>
      </w:divBdr>
      <w:divsChild>
        <w:div w:id="1642735418">
          <w:marLeft w:val="0"/>
          <w:marRight w:val="0"/>
          <w:marTop w:val="0"/>
          <w:marBottom w:val="0"/>
          <w:divBdr>
            <w:top w:val="none" w:sz="0" w:space="0" w:color="auto"/>
            <w:left w:val="none" w:sz="0" w:space="0" w:color="auto"/>
            <w:bottom w:val="none" w:sz="0" w:space="0" w:color="auto"/>
            <w:right w:val="none" w:sz="0" w:space="0" w:color="auto"/>
          </w:divBdr>
          <w:divsChild>
            <w:div w:id="1590846837">
              <w:marLeft w:val="0"/>
              <w:marRight w:val="0"/>
              <w:marTop w:val="0"/>
              <w:marBottom w:val="0"/>
              <w:divBdr>
                <w:top w:val="none" w:sz="0" w:space="0" w:color="auto"/>
                <w:left w:val="none" w:sz="0" w:space="0" w:color="auto"/>
                <w:bottom w:val="none" w:sz="0" w:space="0" w:color="auto"/>
                <w:right w:val="none" w:sz="0" w:space="0" w:color="auto"/>
              </w:divBdr>
            </w:div>
          </w:divsChild>
        </w:div>
        <w:div w:id="943225798">
          <w:marLeft w:val="0"/>
          <w:marRight w:val="0"/>
          <w:marTop w:val="0"/>
          <w:marBottom w:val="0"/>
          <w:divBdr>
            <w:top w:val="none" w:sz="0" w:space="0" w:color="auto"/>
            <w:left w:val="none" w:sz="0" w:space="0" w:color="auto"/>
            <w:bottom w:val="none" w:sz="0" w:space="0" w:color="auto"/>
            <w:right w:val="none" w:sz="0" w:space="0" w:color="auto"/>
          </w:divBdr>
          <w:divsChild>
            <w:div w:id="1700467565">
              <w:marLeft w:val="0"/>
              <w:marRight w:val="0"/>
              <w:marTop w:val="0"/>
              <w:marBottom w:val="0"/>
              <w:divBdr>
                <w:top w:val="none" w:sz="0" w:space="0" w:color="auto"/>
                <w:left w:val="none" w:sz="0" w:space="0" w:color="auto"/>
                <w:bottom w:val="none" w:sz="0" w:space="0" w:color="auto"/>
                <w:right w:val="none" w:sz="0" w:space="0" w:color="auto"/>
              </w:divBdr>
            </w:div>
          </w:divsChild>
        </w:div>
        <w:div w:id="620649583">
          <w:marLeft w:val="0"/>
          <w:marRight w:val="0"/>
          <w:marTop w:val="0"/>
          <w:marBottom w:val="0"/>
          <w:divBdr>
            <w:top w:val="none" w:sz="0" w:space="0" w:color="auto"/>
            <w:left w:val="none" w:sz="0" w:space="0" w:color="auto"/>
            <w:bottom w:val="none" w:sz="0" w:space="0" w:color="auto"/>
            <w:right w:val="none" w:sz="0" w:space="0" w:color="auto"/>
          </w:divBdr>
          <w:divsChild>
            <w:div w:id="1275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0302">
      <w:bodyDiv w:val="1"/>
      <w:marLeft w:val="0"/>
      <w:marRight w:val="0"/>
      <w:marTop w:val="0"/>
      <w:marBottom w:val="0"/>
      <w:divBdr>
        <w:top w:val="none" w:sz="0" w:space="0" w:color="auto"/>
        <w:left w:val="none" w:sz="0" w:space="0" w:color="auto"/>
        <w:bottom w:val="none" w:sz="0" w:space="0" w:color="auto"/>
        <w:right w:val="none" w:sz="0" w:space="0" w:color="auto"/>
      </w:divBdr>
    </w:div>
    <w:div w:id="1158839981">
      <w:bodyDiv w:val="1"/>
      <w:marLeft w:val="0"/>
      <w:marRight w:val="0"/>
      <w:marTop w:val="0"/>
      <w:marBottom w:val="0"/>
      <w:divBdr>
        <w:top w:val="none" w:sz="0" w:space="0" w:color="auto"/>
        <w:left w:val="none" w:sz="0" w:space="0" w:color="auto"/>
        <w:bottom w:val="none" w:sz="0" w:space="0" w:color="auto"/>
        <w:right w:val="none" w:sz="0" w:space="0" w:color="auto"/>
      </w:divBdr>
      <w:divsChild>
        <w:div w:id="614869997">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90922117">
      <w:bodyDiv w:val="1"/>
      <w:marLeft w:val="0"/>
      <w:marRight w:val="0"/>
      <w:marTop w:val="0"/>
      <w:marBottom w:val="0"/>
      <w:divBdr>
        <w:top w:val="none" w:sz="0" w:space="0" w:color="auto"/>
        <w:left w:val="none" w:sz="0" w:space="0" w:color="auto"/>
        <w:bottom w:val="none" w:sz="0" w:space="0" w:color="auto"/>
        <w:right w:val="none" w:sz="0" w:space="0" w:color="auto"/>
      </w:divBdr>
      <w:divsChild>
        <w:div w:id="688336504">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240409289">
      <w:bodyDiv w:val="1"/>
      <w:marLeft w:val="0"/>
      <w:marRight w:val="0"/>
      <w:marTop w:val="0"/>
      <w:marBottom w:val="0"/>
      <w:divBdr>
        <w:top w:val="none" w:sz="0" w:space="0" w:color="auto"/>
        <w:left w:val="none" w:sz="0" w:space="0" w:color="auto"/>
        <w:bottom w:val="none" w:sz="0" w:space="0" w:color="auto"/>
        <w:right w:val="none" w:sz="0" w:space="0" w:color="auto"/>
      </w:divBdr>
    </w:div>
    <w:div w:id="1252935881">
      <w:bodyDiv w:val="1"/>
      <w:marLeft w:val="0"/>
      <w:marRight w:val="0"/>
      <w:marTop w:val="0"/>
      <w:marBottom w:val="0"/>
      <w:divBdr>
        <w:top w:val="none" w:sz="0" w:space="0" w:color="auto"/>
        <w:left w:val="none" w:sz="0" w:space="0" w:color="auto"/>
        <w:bottom w:val="none" w:sz="0" w:space="0" w:color="auto"/>
        <w:right w:val="none" w:sz="0" w:space="0" w:color="auto"/>
      </w:divBdr>
    </w:div>
    <w:div w:id="1418014101">
      <w:bodyDiv w:val="1"/>
      <w:marLeft w:val="0"/>
      <w:marRight w:val="0"/>
      <w:marTop w:val="0"/>
      <w:marBottom w:val="0"/>
      <w:divBdr>
        <w:top w:val="none" w:sz="0" w:space="0" w:color="auto"/>
        <w:left w:val="none" w:sz="0" w:space="0" w:color="auto"/>
        <w:bottom w:val="none" w:sz="0" w:space="0" w:color="auto"/>
        <w:right w:val="none" w:sz="0" w:space="0" w:color="auto"/>
      </w:divBdr>
    </w:div>
    <w:div w:id="1483347214">
      <w:bodyDiv w:val="1"/>
      <w:marLeft w:val="0"/>
      <w:marRight w:val="0"/>
      <w:marTop w:val="0"/>
      <w:marBottom w:val="0"/>
      <w:divBdr>
        <w:top w:val="none" w:sz="0" w:space="0" w:color="auto"/>
        <w:left w:val="none" w:sz="0" w:space="0" w:color="auto"/>
        <w:bottom w:val="none" w:sz="0" w:space="0" w:color="auto"/>
        <w:right w:val="none" w:sz="0" w:space="0" w:color="auto"/>
      </w:divBdr>
    </w:div>
    <w:div w:id="1559587543">
      <w:bodyDiv w:val="1"/>
      <w:marLeft w:val="0"/>
      <w:marRight w:val="0"/>
      <w:marTop w:val="0"/>
      <w:marBottom w:val="0"/>
      <w:divBdr>
        <w:top w:val="none" w:sz="0" w:space="0" w:color="auto"/>
        <w:left w:val="none" w:sz="0" w:space="0" w:color="auto"/>
        <w:bottom w:val="none" w:sz="0" w:space="0" w:color="auto"/>
        <w:right w:val="none" w:sz="0" w:space="0" w:color="auto"/>
      </w:divBdr>
      <w:divsChild>
        <w:div w:id="1054410">
          <w:marLeft w:val="0"/>
          <w:marRight w:val="0"/>
          <w:marTop w:val="0"/>
          <w:marBottom w:val="0"/>
          <w:divBdr>
            <w:top w:val="none" w:sz="0" w:space="0" w:color="auto"/>
            <w:left w:val="none" w:sz="0" w:space="0" w:color="auto"/>
            <w:bottom w:val="none" w:sz="0" w:space="0" w:color="auto"/>
            <w:right w:val="none" w:sz="0" w:space="0" w:color="auto"/>
          </w:divBdr>
          <w:divsChild>
            <w:div w:id="997735308">
              <w:marLeft w:val="0"/>
              <w:marRight w:val="0"/>
              <w:marTop w:val="0"/>
              <w:marBottom w:val="0"/>
              <w:divBdr>
                <w:top w:val="none" w:sz="0" w:space="0" w:color="auto"/>
                <w:left w:val="none" w:sz="0" w:space="0" w:color="auto"/>
                <w:bottom w:val="none" w:sz="0" w:space="0" w:color="auto"/>
                <w:right w:val="none" w:sz="0" w:space="0" w:color="auto"/>
              </w:divBdr>
              <w:divsChild>
                <w:div w:id="50429451">
                  <w:blockQuote w:val="1"/>
                  <w:marLeft w:val="768"/>
                  <w:marRight w:val="720"/>
                  <w:marTop w:val="0"/>
                  <w:marBottom w:val="0"/>
                  <w:divBdr>
                    <w:top w:val="none" w:sz="0" w:space="0" w:color="auto"/>
                    <w:left w:val="none" w:sz="0" w:space="0" w:color="auto"/>
                    <w:bottom w:val="none" w:sz="0" w:space="0" w:color="auto"/>
                    <w:right w:val="none" w:sz="0" w:space="0" w:color="auto"/>
                  </w:divBdr>
                  <w:divsChild>
                    <w:div w:id="57535727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33044600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97596490">
          <w:marLeft w:val="0"/>
          <w:marRight w:val="0"/>
          <w:marTop w:val="0"/>
          <w:marBottom w:val="0"/>
          <w:divBdr>
            <w:top w:val="none" w:sz="0" w:space="0" w:color="auto"/>
            <w:left w:val="none" w:sz="0" w:space="0" w:color="auto"/>
            <w:bottom w:val="none" w:sz="0" w:space="0" w:color="auto"/>
            <w:right w:val="none" w:sz="0" w:space="0" w:color="auto"/>
          </w:divBdr>
          <w:divsChild>
            <w:div w:id="1708136220">
              <w:marLeft w:val="0"/>
              <w:marRight w:val="0"/>
              <w:marTop w:val="0"/>
              <w:marBottom w:val="0"/>
              <w:divBdr>
                <w:top w:val="none" w:sz="0" w:space="0" w:color="auto"/>
                <w:left w:val="none" w:sz="0" w:space="0" w:color="auto"/>
                <w:bottom w:val="none" w:sz="0" w:space="0" w:color="auto"/>
                <w:right w:val="none" w:sz="0" w:space="0" w:color="auto"/>
              </w:divBdr>
              <w:divsChild>
                <w:div w:id="1006637703">
                  <w:blockQuote w:val="1"/>
                  <w:marLeft w:val="768"/>
                  <w:marRight w:val="720"/>
                  <w:marTop w:val="0"/>
                  <w:marBottom w:val="0"/>
                  <w:divBdr>
                    <w:top w:val="none" w:sz="0" w:space="0" w:color="auto"/>
                    <w:left w:val="none" w:sz="0" w:space="0" w:color="auto"/>
                    <w:bottom w:val="none" w:sz="0" w:space="0" w:color="auto"/>
                    <w:right w:val="none" w:sz="0" w:space="0" w:color="auto"/>
                  </w:divBdr>
                </w:div>
                <w:div w:id="162674037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723096722">
      <w:bodyDiv w:val="1"/>
      <w:marLeft w:val="0"/>
      <w:marRight w:val="0"/>
      <w:marTop w:val="0"/>
      <w:marBottom w:val="0"/>
      <w:divBdr>
        <w:top w:val="none" w:sz="0" w:space="0" w:color="auto"/>
        <w:left w:val="none" w:sz="0" w:space="0" w:color="auto"/>
        <w:bottom w:val="none" w:sz="0" w:space="0" w:color="auto"/>
        <w:right w:val="none" w:sz="0" w:space="0" w:color="auto"/>
      </w:divBdr>
    </w:div>
    <w:div w:id="1781299092">
      <w:bodyDiv w:val="1"/>
      <w:marLeft w:val="0"/>
      <w:marRight w:val="0"/>
      <w:marTop w:val="0"/>
      <w:marBottom w:val="0"/>
      <w:divBdr>
        <w:top w:val="none" w:sz="0" w:space="0" w:color="auto"/>
        <w:left w:val="none" w:sz="0" w:space="0" w:color="auto"/>
        <w:bottom w:val="none" w:sz="0" w:space="0" w:color="auto"/>
        <w:right w:val="none" w:sz="0" w:space="0" w:color="auto"/>
      </w:divBdr>
    </w:div>
    <w:div w:id="1800830551">
      <w:bodyDiv w:val="1"/>
      <w:marLeft w:val="0"/>
      <w:marRight w:val="0"/>
      <w:marTop w:val="0"/>
      <w:marBottom w:val="0"/>
      <w:divBdr>
        <w:top w:val="none" w:sz="0" w:space="0" w:color="auto"/>
        <w:left w:val="none" w:sz="0" w:space="0" w:color="auto"/>
        <w:bottom w:val="none" w:sz="0" w:space="0" w:color="auto"/>
        <w:right w:val="none" w:sz="0" w:space="0" w:color="auto"/>
      </w:divBdr>
    </w:div>
    <w:div w:id="1806000953">
      <w:bodyDiv w:val="1"/>
      <w:marLeft w:val="0"/>
      <w:marRight w:val="0"/>
      <w:marTop w:val="0"/>
      <w:marBottom w:val="0"/>
      <w:divBdr>
        <w:top w:val="none" w:sz="0" w:space="0" w:color="auto"/>
        <w:left w:val="none" w:sz="0" w:space="0" w:color="auto"/>
        <w:bottom w:val="none" w:sz="0" w:space="0" w:color="auto"/>
        <w:right w:val="none" w:sz="0" w:space="0" w:color="auto"/>
      </w:divBdr>
      <w:divsChild>
        <w:div w:id="11285488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09343">
      <w:bodyDiv w:val="1"/>
      <w:marLeft w:val="0"/>
      <w:marRight w:val="0"/>
      <w:marTop w:val="0"/>
      <w:marBottom w:val="0"/>
      <w:divBdr>
        <w:top w:val="none" w:sz="0" w:space="0" w:color="auto"/>
        <w:left w:val="none" w:sz="0" w:space="0" w:color="auto"/>
        <w:bottom w:val="none" w:sz="0" w:space="0" w:color="auto"/>
        <w:right w:val="none" w:sz="0" w:space="0" w:color="auto"/>
      </w:divBdr>
    </w:div>
    <w:div w:id="1894654350">
      <w:bodyDiv w:val="1"/>
      <w:marLeft w:val="0"/>
      <w:marRight w:val="0"/>
      <w:marTop w:val="0"/>
      <w:marBottom w:val="0"/>
      <w:divBdr>
        <w:top w:val="none" w:sz="0" w:space="0" w:color="auto"/>
        <w:left w:val="none" w:sz="0" w:space="0" w:color="auto"/>
        <w:bottom w:val="none" w:sz="0" w:space="0" w:color="auto"/>
        <w:right w:val="none" w:sz="0" w:space="0" w:color="auto"/>
      </w:divBdr>
    </w:div>
    <w:div w:id="1974751767">
      <w:bodyDiv w:val="1"/>
      <w:marLeft w:val="0"/>
      <w:marRight w:val="0"/>
      <w:marTop w:val="0"/>
      <w:marBottom w:val="0"/>
      <w:divBdr>
        <w:top w:val="none" w:sz="0" w:space="0" w:color="auto"/>
        <w:left w:val="none" w:sz="0" w:space="0" w:color="auto"/>
        <w:bottom w:val="none" w:sz="0" w:space="0" w:color="auto"/>
        <w:right w:val="none" w:sz="0" w:space="0" w:color="auto"/>
      </w:divBdr>
    </w:div>
    <w:div w:id="2056737935">
      <w:bodyDiv w:val="1"/>
      <w:marLeft w:val="0"/>
      <w:marRight w:val="0"/>
      <w:marTop w:val="0"/>
      <w:marBottom w:val="0"/>
      <w:divBdr>
        <w:top w:val="none" w:sz="0" w:space="0" w:color="auto"/>
        <w:left w:val="none" w:sz="0" w:space="0" w:color="auto"/>
        <w:bottom w:val="none" w:sz="0" w:space="0" w:color="auto"/>
        <w:right w:val="none" w:sz="0" w:space="0" w:color="auto"/>
      </w:divBdr>
    </w:div>
    <w:div w:id="21366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6898BD5484B99AB70ADF026E67767"/>
        <w:category>
          <w:name w:val="General"/>
          <w:gallery w:val="placeholder"/>
        </w:category>
        <w:types>
          <w:type w:val="bbPlcHdr"/>
        </w:types>
        <w:behaviors>
          <w:behavior w:val="content"/>
        </w:behaviors>
        <w:guid w:val="{FAD99984-A464-4D55-AB84-EEFB27573924}"/>
      </w:docPartPr>
      <w:docPartBody>
        <w:p w:rsidR="00622F69" w:rsidRDefault="00622F69">
          <w:pPr>
            <w:pStyle w:val="6AE6898BD5484B99AB70ADF026E67767"/>
          </w:pPr>
          <w:r>
            <w:rPr>
              <w:rStyle w:val="PlaceholderText"/>
            </w:rPr>
            <w:t>MNC Text</w:t>
          </w:r>
        </w:p>
      </w:docPartBody>
    </w:docPart>
    <w:docPart>
      <w:docPartPr>
        <w:name w:val="79A321562B6544F3838AB0355577BD66"/>
        <w:category>
          <w:name w:val="General"/>
          <w:gallery w:val="placeholder"/>
        </w:category>
        <w:types>
          <w:type w:val="bbPlcHdr"/>
        </w:types>
        <w:behaviors>
          <w:behavior w:val="content"/>
        </w:behaviors>
        <w:guid w:val="{07869145-C6F8-40B1-8BE0-7CF9A012D25E}"/>
      </w:docPartPr>
      <w:docPartBody>
        <w:p w:rsidR="00622F69" w:rsidRDefault="00622F69">
          <w:pPr>
            <w:pStyle w:val="79A321562B6544F3838AB0355577BD66"/>
          </w:pPr>
          <w:r w:rsidRPr="005C44BE">
            <w:rPr>
              <w:rStyle w:val="PlaceholderText"/>
            </w:rPr>
            <w:t>Click or tap here to enter text.</w:t>
          </w:r>
        </w:p>
      </w:docPartBody>
    </w:docPart>
    <w:docPart>
      <w:docPartPr>
        <w:name w:val="57C51FE93B8E4BAF9BCB9C7FDFAEC585"/>
        <w:category>
          <w:name w:val="General"/>
          <w:gallery w:val="placeholder"/>
        </w:category>
        <w:types>
          <w:type w:val="bbPlcHdr"/>
        </w:types>
        <w:behaviors>
          <w:behavior w:val="content"/>
        </w:behaviors>
        <w:guid w:val="{BCEEC2E2-CC5D-4204-8C75-014E18B716B8}"/>
      </w:docPartPr>
      <w:docPartBody>
        <w:p w:rsidR="00622F69" w:rsidRDefault="00622F69">
          <w:pPr>
            <w:pStyle w:val="57C51FE93B8E4BAF9BCB9C7FDFAEC58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69"/>
    <w:rsid w:val="002B2F8A"/>
    <w:rsid w:val="0042234F"/>
    <w:rsid w:val="0043163F"/>
    <w:rsid w:val="00491906"/>
    <w:rsid w:val="00562658"/>
    <w:rsid w:val="00622F69"/>
    <w:rsid w:val="006347B6"/>
    <w:rsid w:val="006410E9"/>
    <w:rsid w:val="006A7FFE"/>
    <w:rsid w:val="00770B1A"/>
    <w:rsid w:val="007A4169"/>
    <w:rsid w:val="009224DF"/>
    <w:rsid w:val="0092627F"/>
    <w:rsid w:val="00A02BE5"/>
    <w:rsid w:val="00A05A7F"/>
    <w:rsid w:val="00A15D43"/>
    <w:rsid w:val="00A27EDD"/>
    <w:rsid w:val="00A33FA5"/>
    <w:rsid w:val="00B145F9"/>
    <w:rsid w:val="00B6702D"/>
    <w:rsid w:val="00C5594E"/>
    <w:rsid w:val="00C800D8"/>
    <w:rsid w:val="00CC30B6"/>
    <w:rsid w:val="00CC3FE0"/>
    <w:rsid w:val="00E05B66"/>
    <w:rsid w:val="00E346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E6898BD5484B99AB70ADF026E67767">
    <w:name w:val="6AE6898BD5484B99AB70ADF026E67767"/>
  </w:style>
  <w:style w:type="paragraph" w:customStyle="1" w:styleId="79A321562B6544F3838AB0355577BD66">
    <w:name w:val="79A321562B6544F3838AB0355577BD66"/>
  </w:style>
  <w:style w:type="paragraph" w:customStyle="1" w:styleId="57C51FE93B8E4BAF9BCB9C7FDFAEC585">
    <w:name w:val="57C51FE93B8E4BAF9BCB9C7FDFAEC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globalmacros.com/FCA">
  <Name>Mulley v Hayes [2021] FCA 1111 </Name>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DDC48445C59B49A254E42B272CE578" ma:contentTypeVersion="11" ma:contentTypeDescription="Create a new document." ma:contentTypeScope="" ma:versionID="664eb126570d8c0155e4f1ab898f6710">
  <xsd:schema xmlns:xsd="http://www.w3.org/2001/XMLSchema" xmlns:xs="http://www.w3.org/2001/XMLSchema" xmlns:p="http://schemas.microsoft.com/office/2006/metadata/properties" xmlns:ns2="cd4b570f-2c34-4c01-a22a-5690c8d637b5" targetNamespace="http://schemas.microsoft.com/office/2006/metadata/properties" ma:root="true" ma:fieldsID="09c3c9c6ddf997782dc1dd2ae488e4e8" ns2:_="">
    <xsd:import namespace="cd4b570f-2c34-4c01-a22a-5690c8d63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b570f-2c34-4c01-a22a-5690c8d63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AADC9A5-A722-44A9-BBD4-1CEFDD20A5C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cd4b570f-2c34-4c01-a22a-5690c8d637b5"/>
    <ds:schemaRef ds:uri="http://www.w3.org/XML/1998/namespace"/>
    <ds:schemaRef ds:uri="http://purl.org/dc/dcmitype/"/>
  </ds:schemaRefs>
</ds:datastoreItem>
</file>

<file path=customXml/itemProps3.xml><?xml version="1.0" encoding="utf-8"?>
<ds:datastoreItem xmlns:ds="http://schemas.openxmlformats.org/officeDocument/2006/customXml" ds:itemID="{F8F36BEB-BD37-497F-B5F9-6E38532B1162}">
  <ds:schemaRefs>
    <ds:schemaRef ds:uri="http://schemas.microsoft.com/sharepoint/v3/contenttype/forms"/>
  </ds:schemaRefs>
</ds:datastoreItem>
</file>

<file path=customXml/itemProps4.xml><?xml version="1.0" encoding="utf-8"?>
<ds:datastoreItem xmlns:ds="http://schemas.openxmlformats.org/officeDocument/2006/customXml" ds:itemID="{28DF500A-2F7D-40E8-8D63-7BA257D75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b570f-2c34-4c01-a22a-5690c8d63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24A64F-54A0-47D0-BC4C-539EF49C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33</Pages>
  <Words>13885</Words>
  <Characters>67890</Characters>
  <Application>Microsoft Office Word</Application>
  <DocSecurity>0</DocSecurity>
  <Lines>1191</Lines>
  <Paragraphs>339</Paragraphs>
  <ScaleCrop>false</ScaleCrop>
  <HeadingPairs>
    <vt:vector size="2" baseType="variant">
      <vt:variant>
        <vt:lpstr>Title</vt:lpstr>
      </vt:variant>
      <vt:variant>
        <vt:i4>1</vt:i4>
      </vt:variant>
    </vt:vector>
  </HeadingPairs>
  <TitlesOfParts>
    <vt:vector size="1" baseType="lpstr">
      <vt:lpstr>Mulley v Hayes [2021] FCA 1111 </vt:lpstr>
    </vt:vector>
  </TitlesOfParts>
  <Company>Federal Court of Australia</Company>
  <LinksUpToDate>false</LinksUpToDate>
  <CharactersWithSpaces>81436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Mulley v Hayes [2021] FCA 1111</dc:title>
  <dc:subject/>
  <dc:creator>Federal Court of Australia</dc:creator>
  <cp:keywords/>
  <dc:description/>
  <cp:lastModifiedBy>Federal Court of Australia</cp:lastModifiedBy>
  <cp:revision>3</cp:revision>
  <cp:lastPrinted>2021-09-12T23:23:00Z</cp:lastPrinted>
  <dcterms:created xsi:type="dcterms:W3CDTF">2022-04-21T22:41:00Z</dcterms:created>
  <dcterms:modified xsi:type="dcterms:W3CDTF">2022-04-21T22:43:00Z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0x010100F6DDC48445C59B49A254E42B272CE578</vt:lpwstr>
  </property>
</Properties>
</file>