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49742" w14:textId="77777777" w:rsidR="00395B24" w:rsidRDefault="003543EF" w:rsidP="00A22932">
      <w:pPr>
        <w:pStyle w:val="CourtTitle"/>
      </w:pPr>
      <w:r>
        <w:fldChar w:fldCharType="begin"/>
      </w:r>
      <w:r>
        <w:instrText xml:space="preserve"> DOCPROPERTY  Court  \* MERGEFORMAT </w:instrText>
      </w:r>
      <w:r>
        <w:fldChar w:fldCharType="separate"/>
      </w:r>
      <w:r w:rsidR="00984AA3">
        <w:t>Federal Court of Australia</w:t>
      </w:r>
      <w:r>
        <w:fldChar w:fldCharType="end"/>
      </w:r>
    </w:p>
    <w:p w14:paraId="177B6C3C" w14:textId="77777777" w:rsidR="00395B24" w:rsidRDefault="00395B24">
      <w:pPr>
        <w:pStyle w:val="NormalHeadings"/>
        <w:jc w:val="center"/>
        <w:rPr>
          <w:sz w:val="32"/>
        </w:rPr>
      </w:pPr>
    </w:p>
    <w:bookmarkStart w:id="0" w:name="MNC"/>
    <w:p w14:paraId="74F4088B" w14:textId="77777777" w:rsidR="00374CC4" w:rsidRDefault="00FA0B5D" w:rsidP="001A2B40">
      <w:pPr>
        <w:pStyle w:val="MNC"/>
      </w:pPr>
      <w:sdt>
        <w:sdtPr>
          <w:alias w:val="MNC"/>
          <w:tag w:val="MNC"/>
          <w:id w:val="343289786"/>
          <w:lock w:val="sdtLocked"/>
          <w:placeholder>
            <w:docPart w:val="6097FE0F2AB54892979D5EECDB4BD3CE"/>
          </w:placeholder>
          <w:dataBinding w:prefixMappings="xmlns:ns0='http://schemas.globalmacros.com/FCA'" w:xpath="/ns0:root[1]/ns0:Name[1]" w:storeItemID="{687E7CCB-4AA5-44E7-B148-17BA2B6F57C0}"/>
          <w:text w:multiLine="1"/>
        </w:sdtPr>
        <w:sdtEndPr/>
        <w:sdtContent>
          <w:r w:rsidR="00984AA3" w:rsidRPr="00984AA3">
            <w:t xml:space="preserve">Fletcher v Brown (No </w:t>
          </w:r>
          <w:r w:rsidR="00984AA3">
            <w:t>3</w:t>
          </w:r>
          <w:r w:rsidR="00984AA3" w:rsidRPr="00984AA3">
            <w:t>) [2021] FCA</w:t>
          </w:r>
          <w:r w:rsidR="00984AA3">
            <w:t xml:space="preserve"> 803</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54"/>
        <w:gridCol w:w="35"/>
      </w:tblGrid>
      <w:tr w:rsidR="00395B24" w14:paraId="39895784" w14:textId="77777777" w:rsidTr="00712E8D">
        <w:tc>
          <w:tcPr>
            <w:tcW w:w="3084" w:type="dxa"/>
            <w:shd w:val="clear" w:color="auto" w:fill="auto"/>
          </w:tcPr>
          <w:p w14:paraId="50F8B907" w14:textId="77777777" w:rsidR="00395B24" w:rsidRDefault="002C7385" w:rsidP="00984AA3">
            <w:pPr>
              <w:pStyle w:val="Normal1linespace"/>
              <w:widowControl w:val="0"/>
              <w:jc w:val="left"/>
            </w:pPr>
            <w:r>
              <w:t>File number:</w:t>
            </w:r>
          </w:p>
        </w:tc>
        <w:tc>
          <w:tcPr>
            <w:tcW w:w="5989" w:type="dxa"/>
            <w:gridSpan w:val="2"/>
            <w:shd w:val="clear" w:color="auto" w:fill="auto"/>
          </w:tcPr>
          <w:p w14:paraId="70DF172F" w14:textId="77777777" w:rsidR="00395B24" w:rsidRPr="00984AA3" w:rsidRDefault="00FA0B5D" w:rsidP="00984AA3">
            <w:pPr>
              <w:pStyle w:val="Normal1linespace"/>
              <w:jc w:val="left"/>
            </w:pPr>
            <w:r>
              <w:fldChar w:fldCharType="begin" w:fldLock="1"/>
            </w:r>
            <w:r>
              <w:instrText xml:space="preserve"> REF  FileNo  \* MERGEFORMAT </w:instrText>
            </w:r>
            <w:r>
              <w:fldChar w:fldCharType="separate"/>
            </w:r>
            <w:r w:rsidR="00984AA3" w:rsidRPr="00984AA3">
              <w:t>WAD 59 of 2021</w:t>
            </w:r>
            <w:r>
              <w:fldChar w:fldCharType="end"/>
            </w:r>
          </w:p>
        </w:tc>
      </w:tr>
      <w:tr w:rsidR="00395B24" w14:paraId="411BCED3" w14:textId="77777777" w:rsidTr="00712E8D">
        <w:tc>
          <w:tcPr>
            <w:tcW w:w="3084" w:type="dxa"/>
            <w:shd w:val="clear" w:color="auto" w:fill="auto"/>
          </w:tcPr>
          <w:p w14:paraId="64EF3D17" w14:textId="77777777" w:rsidR="00395B24" w:rsidRDefault="00395B24" w:rsidP="00663878">
            <w:pPr>
              <w:pStyle w:val="Normal1linespace"/>
              <w:widowControl w:val="0"/>
              <w:jc w:val="left"/>
            </w:pPr>
          </w:p>
        </w:tc>
        <w:tc>
          <w:tcPr>
            <w:tcW w:w="5989" w:type="dxa"/>
            <w:gridSpan w:val="2"/>
            <w:shd w:val="clear" w:color="auto" w:fill="auto"/>
          </w:tcPr>
          <w:p w14:paraId="490788E7" w14:textId="77777777" w:rsidR="00395B24" w:rsidRDefault="00395B24" w:rsidP="00663878">
            <w:pPr>
              <w:pStyle w:val="Normal1linespace"/>
              <w:widowControl w:val="0"/>
              <w:jc w:val="left"/>
            </w:pPr>
          </w:p>
        </w:tc>
      </w:tr>
      <w:tr w:rsidR="00395B24" w14:paraId="7E0F5C8F" w14:textId="77777777" w:rsidTr="00712E8D">
        <w:tc>
          <w:tcPr>
            <w:tcW w:w="3084" w:type="dxa"/>
            <w:shd w:val="clear" w:color="auto" w:fill="auto"/>
          </w:tcPr>
          <w:p w14:paraId="62DA4460" w14:textId="77777777" w:rsidR="00395B24" w:rsidRDefault="002C7385" w:rsidP="00663878">
            <w:pPr>
              <w:pStyle w:val="Normal1linespace"/>
              <w:widowControl w:val="0"/>
              <w:jc w:val="left"/>
            </w:pPr>
            <w:r>
              <w:t>Judg</w:t>
            </w:r>
            <w:r w:rsidR="005724F6">
              <w:t>ment of</w:t>
            </w:r>
            <w:r>
              <w:t>:</w:t>
            </w:r>
          </w:p>
        </w:tc>
        <w:tc>
          <w:tcPr>
            <w:tcW w:w="5989" w:type="dxa"/>
            <w:gridSpan w:val="2"/>
            <w:shd w:val="clear" w:color="auto" w:fill="auto"/>
          </w:tcPr>
          <w:p w14:paraId="6A7DFAE7" w14:textId="77777777" w:rsidR="00395B24" w:rsidRDefault="002C7385" w:rsidP="00663878">
            <w:pPr>
              <w:pStyle w:val="Normal1linespace"/>
              <w:widowControl w:val="0"/>
              <w:jc w:val="left"/>
              <w:rPr>
                <w:b/>
              </w:rPr>
            </w:pPr>
            <w:r w:rsidRPr="00984AA3">
              <w:rPr>
                <w:b/>
              </w:rPr>
              <w:fldChar w:fldCharType="begin" w:fldLock="1"/>
            </w:r>
            <w:r w:rsidRPr="00984AA3">
              <w:rPr>
                <w:b/>
              </w:rPr>
              <w:instrText xml:space="preserve"> REF  Judge  \* MERGEFORMAT </w:instrText>
            </w:r>
            <w:r w:rsidRPr="00984AA3">
              <w:rPr>
                <w:b/>
              </w:rPr>
              <w:fldChar w:fldCharType="separate"/>
            </w:r>
            <w:r w:rsidR="00984AA3" w:rsidRPr="00984AA3">
              <w:rPr>
                <w:b/>
                <w:caps/>
                <w:szCs w:val="24"/>
              </w:rPr>
              <w:t>JACKSON J</w:t>
            </w:r>
            <w:r w:rsidRPr="00984AA3">
              <w:rPr>
                <w:b/>
              </w:rPr>
              <w:fldChar w:fldCharType="end"/>
            </w:r>
          </w:p>
        </w:tc>
      </w:tr>
      <w:tr w:rsidR="00395B24" w14:paraId="5CD4BF27" w14:textId="77777777" w:rsidTr="00712E8D">
        <w:tc>
          <w:tcPr>
            <w:tcW w:w="3084" w:type="dxa"/>
            <w:shd w:val="clear" w:color="auto" w:fill="auto"/>
          </w:tcPr>
          <w:p w14:paraId="2E5EE8B0" w14:textId="77777777" w:rsidR="00395B24" w:rsidRDefault="00395B24" w:rsidP="00663878">
            <w:pPr>
              <w:pStyle w:val="Normal1linespace"/>
              <w:widowControl w:val="0"/>
              <w:jc w:val="left"/>
            </w:pPr>
          </w:p>
        </w:tc>
        <w:tc>
          <w:tcPr>
            <w:tcW w:w="5989" w:type="dxa"/>
            <w:gridSpan w:val="2"/>
            <w:shd w:val="clear" w:color="auto" w:fill="auto"/>
          </w:tcPr>
          <w:p w14:paraId="0A1182D4" w14:textId="77777777" w:rsidR="00395B24" w:rsidRDefault="00395B24" w:rsidP="00663878">
            <w:pPr>
              <w:pStyle w:val="Normal1linespace"/>
              <w:widowControl w:val="0"/>
              <w:jc w:val="left"/>
            </w:pPr>
          </w:p>
        </w:tc>
      </w:tr>
      <w:tr w:rsidR="00395B24" w14:paraId="05021A55" w14:textId="77777777" w:rsidTr="00712E8D">
        <w:tc>
          <w:tcPr>
            <w:tcW w:w="3084" w:type="dxa"/>
            <w:shd w:val="clear" w:color="auto" w:fill="auto"/>
          </w:tcPr>
          <w:p w14:paraId="68B62796" w14:textId="77777777" w:rsidR="00395B24" w:rsidRDefault="002C7385" w:rsidP="00663878">
            <w:pPr>
              <w:pStyle w:val="Normal1linespace"/>
              <w:widowControl w:val="0"/>
              <w:jc w:val="left"/>
            </w:pPr>
            <w:r>
              <w:t>Date of judgment:</w:t>
            </w:r>
          </w:p>
        </w:tc>
        <w:tc>
          <w:tcPr>
            <w:tcW w:w="5989" w:type="dxa"/>
            <w:gridSpan w:val="2"/>
            <w:shd w:val="clear" w:color="auto" w:fill="auto"/>
          </w:tcPr>
          <w:p w14:paraId="2F199F54" w14:textId="77777777" w:rsidR="00395B24" w:rsidRDefault="00984AA3" w:rsidP="00663878">
            <w:pPr>
              <w:pStyle w:val="Normal1linespace"/>
              <w:widowControl w:val="0"/>
              <w:jc w:val="left"/>
            </w:pPr>
            <w:bookmarkStart w:id="1" w:name="JudgmentDate"/>
            <w:r>
              <w:t>14 July 2021</w:t>
            </w:r>
            <w:bookmarkEnd w:id="1"/>
          </w:p>
        </w:tc>
      </w:tr>
      <w:tr w:rsidR="00395B24" w14:paraId="71C7B0A7" w14:textId="77777777" w:rsidTr="00712E8D">
        <w:tc>
          <w:tcPr>
            <w:tcW w:w="3084" w:type="dxa"/>
            <w:shd w:val="clear" w:color="auto" w:fill="auto"/>
          </w:tcPr>
          <w:p w14:paraId="3CB8E6ED" w14:textId="77777777" w:rsidR="00395B24" w:rsidRDefault="00395B24" w:rsidP="00663878">
            <w:pPr>
              <w:pStyle w:val="Normal1linespace"/>
              <w:widowControl w:val="0"/>
              <w:jc w:val="left"/>
            </w:pPr>
          </w:p>
        </w:tc>
        <w:tc>
          <w:tcPr>
            <w:tcW w:w="5989" w:type="dxa"/>
            <w:gridSpan w:val="2"/>
            <w:shd w:val="clear" w:color="auto" w:fill="auto"/>
          </w:tcPr>
          <w:p w14:paraId="1C7FE6D8" w14:textId="77777777" w:rsidR="00395B24" w:rsidRDefault="00395B24" w:rsidP="00663878">
            <w:pPr>
              <w:pStyle w:val="Normal1linespace"/>
              <w:widowControl w:val="0"/>
              <w:jc w:val="left"/>
            </w:pPr>
          </w:p>
        </w:tc>
      </w:tr>
      <w:tr w:rsidR="00395B24" w14:paraId="0FFB286B" w14:textId="77777777" w:rsidTr="00712E8D">
        <w:tc>
          <w:tcPr>
            <w:tcW w:w="3084" w:type="dxa"/>
            <w:shd w:val="clear" w:color="auto" w:fill="auto"/>
          </w:tcPr>
          <w:p w14:paraId="14D0DBC0" w14:textId="77777777" w:rsidR="00395B24" w:rsidRDefault="002C7385" w:rsidP="00663878">
            <w:pPr>
              <w:pStyle w:val="Normal1linespace"/>
              <w:widowControl w:val="0"/>
              <w:jc w:val="left"/>
            </w:pPr>
            <w:r>
              <w:t>Catchwords:</w:t>
            </w:r>
          </w:p>
        </w:tc>
        <w:tc>
          <w:tcPr>
            <w:tcW w:w="5989" w:type="dxa"/>
            <w:gridSpan w:val="2"/>
            <w:shd w:val="clear" w:color="auto" w:fill="auto"/>
          </w:tcPr>
          <w:p w14:paraId="2B8B0993" w14:textId="6C080113" w:rsidR="00395B24" w:rsidRDefault="00802017" w:rsidP="00712E8D">
            <w:pPr>
              <w:pStyle w:val="Normal1linespace"/>
              <w:widowControl w:val="0"/>
              <w:jc w:val="left"/>
            </w:pPr>
            <w:bookmarkStart w:id="2" w:name="Catchwords"/>
            <w:r>
              <w:rPr>
                <w:b/>
              </w:rPr>
              <w:t>PRACTICE AND PROCEDURE</w:t>
            </w:r>
            <w:r w:rsidRPr="00712E8D">
              <w:t xml:space="preserve"> </w:t>
            </w:r>
            <w:r w:rsidR="00984AA3" w:rsidRPr="00712E8D">
              <w:t xml:space="preserve">- </w:t>
            </w:r>
            <w:r w:rsidR="001E67C4">
              <w:t xml:space="preserve">application for orders permitting receivers to recover costs and expenses </w:t>
            </w:r>
            <w:r w:rsidR="00F60D22">
              <w:t xml:space="preserve">from </w:t>
            </w:r>
            <w:r w:rsidR="001E67C4">
              <w:t>assets of respondents -</w:t>
            </w:r>
            <w:r w:rsidR="00D23DA1">
              <w:t xml:space="preserve"> value of assets identified and recovered negligible - </w:t>
            </w:r>
            <w:r w:rsidR="003D2B90">
              <w:t xml:space="preserve">requirement to file and pass accounts dispensed with - </w:t>
            </w:r>
            <w:r w:rsidR="00404320">
              <w:t xml:space="preserve">limited </w:t>
            </w:r>
            <w:r w:rsidR="00423BA8">
              <w:t xml:space="preserve">leave </w:t>
            </w:r>
            <w:r w:rsidR="00404320">
              <w:t>granted</w:t>
            </w:r>
            <w:r w:rsidR="00423BA8">
              <w:t xml:space="preserve"> to proceed against company in liquidation - </w:t>
            </w:r>
            <w:r w:rsidR="00AD5B00">
              <w:t xml:space="preserve">formal </w:t>
            </w:r>
            <w:r w:rsidR="00F60D22">
              <w:t xml:space="preserve">noting </w:t>
            </w:r>
            <w:r w:rsidR="00AD5B00">
              <w:t xml:space="preserve">of </w:t>
            </w:r>
            <w:r w:rsidR="00F60D22">
              <w:t xml:space="preserve">assertion of </w:t>
            </w:r>
            <w:r w:rsidR="00AD5B00">
              <w:t xml:space="preserve">equitable lien over future property refused - </w:t>
            </w:r>
            <w:r w:rsidR="007669DB">
              <w:t xml:space="preserve">receivers to be included in circulars issued to creditors of respondents - </w:t>
            </w:r>
            <w:r w:rsidR="00AD5B00">
              <w:t xml:space="preserve">receivers granted liberty to apply - </w:t>
            </w:r>
            <w:r w:rsidR="006D64DC">
              <w:t>proceeding stayed until further order</w:t>
            </w:r>
            <w:bookmarkEnd w:id="2"/>
          </w:p>
        </w:tc>
      </w:tr>
      <w:tr w:rsidR="00395B24" w14:paraId="28B480B1" w14:textId="77777777" w:rsidTr="00712E8D">
        <w:tc>
          <w:tcPr>
            <w:tcW w:w="3084" w:type="dxa"/>
            <w:shd w:val="clear" w:color="auto" w:fill="auto"/>
          </w:tcPr>
          <w:p w14:paraId="314A4672" w14:textId="77777777" w:rsidR="00395B24" w:rsidRDefault="00395B24" w:rsidP="00663878">
            <w:pPr>
              <w:pStyle w:val="Normal1linespace"/>
              <w:widowControl w:val="0"/>
              <w:jc w:val="left"/>
            </w:pPr>
          </w:p>
        </w:tc>
        <w:tc>
          <w:tcPr>
            <w:tcW w:w="5989" w:type="dxa"/>
            <w:gridSpan w:val="2"/>
            <w:shd w:val="clear" w:color="auto" w:fill="auto"/>
          </w:tcPr>
          <w:p w14:paraId="097D5863" w14:textId="77777777" w:rsidR="00395B24" w:rsidRDefault="00395B24" w:rsidP="00663878">
            <w:pPr>
              <w:pStyle w:val="Normal1linespace"/>
              <w:widowControl w:val="0"/>
              <w:jc w:val="left"/>
            </w:pPr>
          </w:p>
        </w:tc>
      </w:tr>
      <w:tr w:rsidR="00395B24" w14:paraId="4B8511BD" w14:textId="77777777" w:rsidTr="00712E8D">
        <w:tc>
          <w:tcPr>
            <w:tcW w:w="3084" w:type="dxa"/>
            <w:shd w:val="clear" w:color="auto" w:fill="auto"/>
          </w:tcPr>
          <w:p w14:paraId="2FB9DF04" w14:textId="77777777" w:rsidR="00395B24" w:rsidRDefault="002C7385" w:rsidP="00663878">
            <w:pPr>
              <w:pStyle w:val="Normal1linespace"/>
              <w:widowControl w:val="0"/>
              <w:jc w:val="left"/>
            </w:pPr>
            <w:r>
              <w:t>Legislation:</w:t>
            </w:r>
          </w:p>
        </w:tc>
        <w:tc>
          <w:tcPr>
            <w:tcW w:w="5989" w:type="dxa"/>
            <w:gridSpan w:val="2"/>
            <w:shd w:val="clear" w:color="auto" w:fill="auto"/>
          </w:tcPr>
          <w:p w14:paraId="08AD78B2" w14:textId="77777777" w:rsidR="00000828" w:rsidRPr="00000828" w:rsidRDefault="00000828" w:rsidP="00000828">
            <w:pPr>
              <w:pStyle w:val="CasesLegislationAppealFrom"/>
              <w:spacing w:after="60"/>
            </w:pPr>
            <w:bookmarkStart w:id="3" w:name="Legislation"/>
            <w:r w:rsidRPr="00000828">
              <w:rPr>
                <w:i/>
              </w:rPr>
              <w:t>Bankruptcy Act 1966</w:t>
            </w:r>
            <w:r w:rsidRPr="00000828">
              <w:t xml:space="preserve"> (Cth)</w:t>
            </w:r>
            <w:r>
              <w:t xml:space="preserve"> ss 58, 60</w:t>
            </w:r>
          </w:p>
          <w:p w14:paraId="01FBE8C9" w14:textId="77777777" w:rsidR="00000828" w:rsidRPr="00000828" w:rsidRDefault="00000828" w:rsidP="00000828">
            <w:pPr>
              <w:pStyle w:val="CasesLegislationAppealFrom"/>
              <w:spacing w:after="60"/>
              <w:rPr>
                <w:i/>
              </w:rPr>
            </w:pPr>
            <w:r w:rsidRPr="009555CA">
              <w:rPr>
                <w:i/>
                <w:lang w:val="en-US"/>
              </w:rPr>
              <w:t>Competition and Consumer Act 2010</w:t>
            </w:r>
            <w:r w:rsidRPr="009555CA">
              <w:rPr>
                <w:lang w:val="en-US"/>
              </w:rPr>
              <w:t xml:space="preserve"> (Cth) Schedule 2 (</w:t>
            </w:r>
            <w:r w:rsidRPr="009555CA">
              <w:rPr>
                <w:i/>
                <w:lang w:val="en-US"/>
              </w:rPr>
              <w:t>Australian Consumer Law</w:t>
            </w:r>
            <w:r>
              <w:rPr>
                <w:lang w:val="en-US"/>
              </w:rPr>
              <w:t>)</w:t>
            </w:r>
          </w:p>
          <w:p w14:paraId="381E0943" w14:textId="77777777" w:rsidR="00000828" w:rsidRPr="00000828" w:rsidRDefault="00000828" w:rsidP="00000828">
            <w:pPr>
              <w:pStyle w:val="CasesLegislationAppealFrom"/>
              <w:spacing w:after="60"/>
            </w:pPr>
            <w:r w:rsidRPr="00000828">
              <w:rPr>
                <w:i/>
              </w:rPr>
              <w:t>Corporations Act 2001</w:t>
            </w:r>
            <w:r w:rsidRPr="00000828">
              <w:t xml:space="preserve"> (Cth)</w:t>
            </w:r>
            <w:r>
              <w:t xml:space="preserve"> s 471B</w:t>
            </w:r>
          </w:p>
          <w:p w14:paraId="7356298E" w14:textId="77777777" w:rsidR="00000828" w:rsidRPr="00000828" w:rsidRDefault="00000828" w:rsidP="00000828">
            <w:pPr>
              <w:pStyle w:val="CasesLegislationAppealFrom"/>
              <w:spacing w:after="60"/>
            </w:pPr>
            <w:r w:rsidRPr="00000828">
              <w:rPr>
                <w:i/>
              </w:rPr>
              <w:t>Federal Court of Australia Act 1976</w:t>
            </w:r>
            <w:r w:rsidRPr="00000828">
              <w:t xml:space="preserve"> (Cth</w:t>
            </w:r>
            <w:r>
              <w:t>) s 23</w:t>
            </w:r>
            <w:bookmarkEnd w:id="3"/>
          </w:p>
        </w:tc>
      </w:tr>
      <w:tr w:rsidR="00395B24" w14:paraId="7332A620" w14:textId="77777777" w:rsidTr="00712E8D">
        <w:tc>
          <w:tcPr>
            <w:tcW w:w="3084" w:type="dxa"/>
            <w:shd w:val="clear" w:color="auto" w:fill="auto"/>
          </w:tcPr>
          <w:p w14:paraId="4B0661E4" w14:textId="77777777" w:rsidR="00395B24" w:rsidRDefault="00395B24" w:rsidP="00663878">
            <w:pPr>
              <w:pStyle w:val="Normal1linespace"/>
              <w:widowControl w:val="0"/>
              <w:jc w:val="left"/>
            </w:pPr>
          </w:p>
        </w:tc>
        <w:tc>
          <w:tcPr>
            <w:tcW w:w="5989" w:type="dxa"/>
            <w:gridSpan w:val="2"/>
            <w:shd w:val="clear" w:color="auto" w:fill="auto"/>
          </w:tcPr>
          <w:p w14:paraId="4EE646B0" w14:textId="77777777" w:rsidR="00395B24" w:rsidRDefault="00395B24" w:rsidP="00663878">
            <w:pPr>
              <w:pStyle w:val="Normal1linespace"/>
              <w:widowControl w:val="0"/>
              <w:jc w:val="left"/>
            </w:pPr>
          </w:p>
        </w:tc>
      </w:tr>
      <w:tr w:rsidR="00395B24" w14:paraId="4203A73A" w14:textId="77777777" w:rsidTr="00712E8D">
        <w:tc>
          <w:tcPr>
            <w:tcW w:w="3084" w:type="dxa"/>
            <w:shd w:val="clear" w:color="auto" w:fill="auto"/>
          </w:tcPr>
          <w:p w14:paraId="791C11CF" w14:textId="77777777" w:rsidR="00395B24" w:rsidRDefault="002C7385" w:rsidP="00663878">
            <w:pPr>
              <w:pStyle w:val="Normal1linespace"/>
              <w:widowControl w:val="0"/>
              <w:jc w:val="left"/>
            </w:pPr>
            <w:r>
              <w:t>Cases cited:</w:t>
            </w:r>
          </w:p>
        </w:tc>
        <w:tc>
          <w:tcPr>
            <w:tcW w:w="5989" w:type="dxa"/>
            <w:gridSpan w:val="2"/>
            <w:shd w:val="clear" w:color="auto" w:fill="auto"/>
          </w:tcPr>
          <w:p w14:paraId="7DB41619" w14:textId="77777777" w:rsidR="00000828" w:rsidRPr="00000828" w:rsidRDefault="00000828" w:rsidP="00000828">
            <w:pPr>
              <w:pStyle w:val="CasesLegislationAppealFrom"/>
              <w:spacing w:after="60"/>
            </w:pPr>
            <w:bookmarkStart w:id="4" w:name="Cases_Cited"/>
            <w:r w:rsidRPr="00000828">
              <w:rPr>
                <w:i/>
              </w:rPr>
              <w:t xml:space="preserve">Hutchins, in the matter of </w:t>
            </w:r>
            <w:proofErr w:type="spellStart"/>
            <w:r w:rsidRPr="00000828">
              <w:rPr>
                <w:i/>
              </w:rPr>
              <w:t>Ardenberg</w:t>
            </w:r>
            <w:proofErr w:type="spellEnd"/>
            <w:r w:rsidRPr="00000828">
              <w:rPr>
                <w:i/>
              </w:rPr>
              <w:t xml:space="preserve"> Pty Ltd (in </w:t>
            </w:r>
            <w:proofErr w:type="spellStart"/>
            <w:r w:rsidRPr="00000828">
              <w:rPr>
                <w:i/>
              </w:rPr>
              <w:t>liq</w:t>
            </w:r>
            <w:proofErr w:type="spellEnd"/>
            <w:r w:rsidRPr="00000828">
              <w:rPr>
                <w:i/>
              </w:rPr>
              <w:t>) (Administrators Appointed) (No 3)</w:t>
            </w:r>
            <w:r w:rsidRPr="00000828">
              <w:t xml:space="preserve"> [2021] FCA 519</w:t>
            </w:r>
          </w:p>
          <w:p w14:paraId="462E92E7" w14:textId="35839356" w:rsidR="00712E8D" w:rsidRDefault="00000828" w:rsidP="00000828">
            <w:pPr>
              <w:pStyle w:val="CasesLegislationAppealFrom"/>
              <w:spacing w:after="60"/>
            </w:pPr>
            <w:r w:rsidRPr="00000828">
              <w:rPr>
                <w:i/>
              </w:rPr>
              <w:t>Ide v Ide</w:t>
            </w:r>
            <w:r w:rsidRPr="00000828">
              <w:t xml:space="preserve"> [2004] NSWSC 751</w:t>
            </w:r>
            <w:r w:rsidR="008052B1" w:rsidRPr="00A10963">
              <w:t xml:space="preserve">; </w:t>
            </w:r>
            <w:r w:rsidR="008052B1">
              <w:t>(2004) 50 ACSR 32</w:t>
            </w:r>
            <w:r w:rsidR="00712E8D">
              <w:t>4</w:t>
            </w:r>
          </w:p>
          <w:p w14:paraId="7C361655" w14:textId="05CA1CED" w:rsidR="00042E27" w:rsidRPr="00000828" w:rsidRDefault="00712E8D" w:rsidP="00712E8D">
            <w:pPr>
              <w:pStyle w:val="CasesLegislationAppealFrom"/>
              <w:spacing w:after="60"/>
            </w:pPr>
            <w:r>
              <w:rPr>
                <w:i/>
              </w:rPr>
              <w:t xml:space="preserve">Re </w:t>
            </w:r>
            <w:r w:rsidRPr="00256558">
              <w:rPr>
                <w:i/>
              </w:rPr>
              <w:t>Universal Distributing</w:t>
            </w:r>
            <w:r>
              <w:rPr>
                <w:i/>
              </w:rPr>
              <w:t xml:space="preserve"> Co Ltd (in </w:t>
            </w:r>
            <w:proofErr w:type="spellStart"/>
            <w:r>
              <w:rPr>
                <w:i/>
              </w:rPr>
              <w:t>liq</w:t>
            </w:r>
            <w:proofErr w:type="spellEnd"/>
            <w:r>
              <w:rPr>
                <w:i/>
              </w:rPr>
              <w:t xml:space="preserve">) </w:t>
            </w:r>
            <w:r>
              <w:t>(1933) 48 CLR 171</w:t>
            </w:r>
            <w:bookmarkEnd w:id="4"/>
          </w:p>
        </w:tc>
      </w:tr>
      <w:tr w:rsidR="00984AA3" w14:paraId="2513F871" w14:textId="77777777" w:rsidTr="00712E8D">
        <w:tc>
          <w:tcPr>
            <w:tcW w:w="3084" w:type="dxa"/>
            <w:shd w:val="clear" w:color="auto" w:fill="auto"/>
          </w:tcPr>
          <w:p w14:paraId="2133341D" w14:textId="77777777" w:rsidR="00984AA3" w:rsidRDefault="00984AA3" w:rsidP="00750073">
            <w:pPr>
              <w:pStyle w:val="Normal1linespace"/>
              <w:widowControl w:val="0"/>
            </w:pPr>
          </w:p>
        </w:tc>
        <w:tc>
          <w:tcPr>
            <w:tcW w:w="5989" w:type="dxa"/>
            <w:gridSpan w:val="2"/>
            <w:shd w:val="clear" w:color="auto" w:fill="auto"/>
          </w:tcPr>
          <w:p w14:paraId="4463006C" w14:textId="77777777" w:rsidR="00984AA3" w:rsidRDefault="00984AA3" w:rsidP="00750073">
            <w:pPr>
              <w:pStyle w:val="Normal1linespace"/>
              <w:widowControl w:val="0"/>
              <w:jc w:val="left"/>
            </w:pPr>
          </w:p>
        </w:tc>
      </w:tr>
      <w:tr w:rsidR="00984AA3" w14:paraId="3923B3F5" w14:textId="77777777" w:rsidTr="00712E8D">
        <w:tc>
          <w:tcPr>
            <w:tcW w:w="3084" w:type="dxa"/>
            <w:shd w:val="clear" w:color="auto" w:fill="auto"/>
          </w:tcPr>
          <w:p w14:paraId="0A2ECC4A" w14:textId="77777777" w:rsidR="00984AA3" w:rsidRDefault="00984AA3" w:rsidP="00501A12">
            <w:pPr>
              <w:pStyle w:val="Normal1linespace"/>
              <w:widowControl w:val="0"/>
            </w:pPr>
            <w:r>
              <w:t>Division:</w:t>
            </w:r>
          </w:p>
        </w:tc>
        <w:tc>
          <w:tcPr>
            <w:tcW w:w="5989" w:type="dxa"/>
            <w:gridSpan w:val="2"/>
            <w:shd w:val="clear" w:color="auto" w:fill="auto"/>
          </w:tcPr>
          <w:p w14:paraId="405FE011" w14:textId="77777777" w:rsidR="00984AA3" w:rsidRPr="00F17599" w:rsidRDefault="00091FF3" w:rsidP="00501A12">
            <w:pPr>
              <w:pStyle w:val="Normal1linespace"/>
              <w:widowControl w:val="0"/>
              <w:jc w:val="left"/>
            </w:pPr>
            <w:fldSimple w:instr=" DOCPROPERTY  Division ">
              <w:r w:rsidR="00984AA3">
                <w:t>General Division</w:t>
              </w:r>
            </w:fldSimple>
          </w:p>
        </w:tc>
      </w:tr>
      <w:tr w:rsidR="00984AA3" w14:paraId="3107B8D0" w14:textId="77777777" w:rsidTr="00712E8D">
        <w:tc>
          <w:tcPr>
            <w:tcW w:w="3084" w:type="dxa"/>
            <w:shd w:val="clear" w:color="auto" w:fill="auto"/>
          </w:tcPr>
          <w:p w14:paraId="29BB984B" w14:textId="77777777" w:rsidR="00984AA3" w:rsidRDefault="00984AA3" w:rsidP="00501A12">
            <w:pPr>
              <w:pStyle w:val="Normal1linespace"/>
              <w:widowControl w:val="0"/>
            </w:pPr>
            <w:bookmarkStart w:id="5" w:name="Registry_rows" w:colFirst="0" w:colLast="1"/>
          </w:p>
        </w:tc>
        <w:tc>
          <w:tcPr>
            <w:tcW w:w="5989" w:type="dxa"/>
            <w:gridSpan w:val="2"/>
            <w:shd w:val="clear" w:color="auto" w:fill="auto"/>
          </w:tcPr>
          <w:p w14:paraId="1CCE4A5E" w14:textId="77777777" w:rsidR="00984AA3" w:rsidRDefault="00984AA3" w:rsidP="00501A12">
            <w:pPr>
              <w:pStyle w:val="Normal1linespace"/>
              <w:widowControl w:val="0"/>
              <w:jc w:val="left"/>
            </w:pPr>
          </w:p>
        </w:tc>
      </w:tr>
      <w:tr w:rsidR="00984AA3" w14:paraId="02BFB96B" w14:textId="77777777" w:rsidTr="00712E8D">
        <w:tc>
          <w:tcPr>
            <w:tcW w:w="3084" w:type="dxa"/>
            <w:shd w:val="clear" w:color="auto" w:fill="auto"/>
          </w:tcPr>
          <w:p w14:paraId="1049D40A" w14:textId="77777777" w:rsidR="00984AA3" w:rsidRDefault="00984AA3" w:rsidP="00501A12">
            <w:pPr>
              <w:pStyle w:val="Normal1linespace"/>
              <w:widowControl w:val="0"/>
            </w:pPr>
            <w:r>
              <w:t>Registry:</w:t>
            </w:r>
          </w:p>
        </w:tc>
        <w:tc>
          <w:tcPr>
            <w:tcW w:w="5989" w:type="dxa"/>
            <w:gridSpan w:val="2"/>
            <w:shd w:val="clear" w:color="auto" w:fill="auto"/>
          </w:tcPr>
          <w:p w14:paraId="7B583A41" w14:textId="77777777" w:rsidR="00984AA3" w:rsidRPr="00F17599" w:rsidRDefault="00091FF3" w:rsidP="00501A12">
            <w:pPr>
              <w:pStyle w:val="Normal1linespace"/>
              <w:widowControl w:val="0"/>
              <w:jc w:val="left"/>
            </w:pPr>
            <w:fldSimple w:instr=" DOCPROPERTY  Registry ">
              <w:r w:rsidR="00984AA3">
                <w:t>Western Australia</w:t>
              </w:r>
            </w:fldSimple>
          </w:p>
        </w:tc>
      </w:tr>
      <w:tr w:rsidR="00984AA3" w14:paraId="7968FD0E" w14:textId="77777777" w:rsidTr="00712E8D">
        <w:tc>
          <w:tcPr>
            <w:tcW w:w="3084" w:type="dxa"/>
            <w:shd w:val="clear" w:color="auto" w:fill="auto"/>
          </w:tcPr>
          <w:p w14:paraId="1038DD45" w14:textId="77777777" w:rsidR="00984AA3" w:rsidRDefault="00984AA3" w:rsidP="00501A12">
            <w:pPr>
              <w:pStyle w:val="Normal1linespace"/>
              <w:widowControl w:val="0"/>
            </w:pPr>
            <w:bookmarkStart w:id="6" w:name="NPARow" w:colFirst="0" w:colLast="1"/>
            <w:bookmarkEnd w:id="5"/>
          </w:p>
        </w:tc>
        <w:tc>
          <w:tcPr>
            <w:tcW w:w="5989" w:type="dxa"/>
            <w:gridSpan w:val="2"/>
            <w:shd w:val="clear" w:color="auto" w:fill="auto"/>
          </w:tcPr>
          <w:p w14:paraId="708D57AA" w14:textId="77777777" w:rsidR="00984AA3" w:rsidRPr="00F17599" w:rsidRDefault="00984AA3" w:rsidP="00501A12">
            <w:pPr>
              <w:pStyle w:val="Normal1linespace"/>
              <w:widowControl w:val="0"/>
              <w:jc w:val="left"/>
              <w:rPr>
                <w:b/>
              </w:rPr>
            </w:pPr>
          </w:p>
        </w:tc>
      </w:tr>
      <w:tr w:rsidR="00984AA3" w14:paraId="0047C399" w14:textId="77777777" w:rsidTr="00712E8D">
        <w:tc>
          <w:tcPr>
            <w:tcW w:w="3084" w:type="dxa"/>
            <w:shd w:val="clear" w:color="auto" w:fill="auto"/>
          </w:tcPr>
          <w:p w14:paraId="4BC0FC4B" w14:textId="77777777" w:rsidR="00984AA3" w:rsidRDefault="00984AA3" w:rsidP="00501A12">
            <w:pPr>
              <w:pStyle w:val="Normal1linespace"/>
              <w:widowControl w:val="0"/>
            </w:pPr>
            <w:r>
              <w:t>National Practice Area:</w:t>
            </w:r>
          </w:p>
        </w:tc>
        <w:tc>
          <w:tcPr>
            <w:tcW w:w="5989" w:type="dxa"/>
            <w:gridSpan w:val="2"/>
            <w:shd w:val="clear" w:color="auto" w:fill="auto"/>
          </w:tcPr>
          <w:p w14:paraId="459BACFA" w14:textId="77777777" w:rsidR="00984AA3" w:rsidRPr="00F17599" w:rsidRDefault="00FA0B5D" w:rsidP="00750073">
            <w:pPr>
              <w:pStyle w:val="Normal1linespace"/>
              <w:widowControl w:val="0"/>
              <w:jc w:val="left"/>
              <w:rPr>
                <w:b/>
              </w:rPr>
            </w:pPr>
            <w:r>
              <w:fldChar w:fldCharType="begin"/>
            </w:r>
            <w:r>
              <w:instrText xml:space="preserve"> DOCPROPERTY  "Practice Area"  \* MERGEFORMAT </w:instrText>
            </w:r>
            <w:r>
              <w:fldChar w:fldCharType="separate"/>
            </w:r>
            <w:r w:rsidR="00984AA3">
              <w:t>Commercial and Corporations</w:t>
            </w:r>
            <w:r>
              <w:fldChar w:fldCharType="end"/>
            </w:r>
          </w:p>
        </w:tc>
      </w:tr>
      <w:tr w:rsidR="00984AA3" w14:paraId="7BB168C0" w14:textId="77777777" w:rsidTr="00712E8D">
        <w:tc>
          <w:tcPr>
            <w:tcW w:w="3084" w:type="dxa"/>
            <w:shd w:val="clear" w:color="auto" w:fill="auto"/>
          </w:tcPr>
          <w:p w14:paraId="5C2770B7" w14:textId="77777777" w:rsidR="00984AA3" w:rsidRDefault="00984AA3" w:rsidP="00501A12">
            <w:pPr>
              <w:pStyle w:val="Normal1linespace"/>
              <w:widowControl w:val="0"/>
            </w:pPr>
            <w:bookmarkStart w:id="7" w:name="SubAreaRow" w:colFirst="0" w:colLast="1"/>
            <w:bookmarkEnd w:id="6"/>
          </w:p>
        </w:tc>
        <w:tc>
          <w:tcPr>
            <w:tcW w:w="5989" w:type="dxa"/>
            <w:gridSpan w:val="2"/>
            <w:shd w:val="clear" w:color="auto" w:fill="auto"/>
          </w:tcPr>
          <w:p w14:paraId="701BF5CB" w14:textId="77777777" w:rsidR="00984AA3" w:rsidRDefault="00984AA3" w:rsidP="00750073">
            <w:pPr>
              <w:pStyle w:val="Normal1linespace"/>
              <w:widowControl w:val="0"/>
              <w:jc w:val="left"/>
            </w:pPr>
          </w:p>
        </w:tc>
      </w:tr>
      <w:tr w:rsidR="00984AA3" w14:paraId="43A2F2C1" w14:textId="77777777" w:rsidTr="00712E8D">
        <w:tc>
          <w:tcPr>
            <w:tcW w:w="3084" w:type="dxa"/>
            <w:shd w:val="clear" w:color="auto" w:fill="auto"/>
          </w:tcPr>
          <w:p w14:paraId="600C7F44" w14:textId="77777777" w:rsidR="00984AA3" w:rsidRDefault="00984AA3" w:rsidP="00501A12">
            <w:pPr>
              <w:pStyle w:val="Normal1linespace"/>
              <w:widowControl w:val="0"/>
            </w:pPr>
            <w:r>
              <w:t>Sub-area:</w:t>
            </w:r>
          </w:p>
        </w:tc>
        <w:tc>
          <w:tcPr>
            <w:tcW w:w="5989" w:type="dxa"/>
            <w:gridSpan w:val="2"/>
            <w:shd w:val="clear" w:color="auto" w:fill="auto"/>
          </w:tcPr>
          <w:p w14:paraId="5A7B34BC" w14:textId="77777777" w:rsidR="00984AA3" w:rsidRPr="00837288" w:rsidRDefault="00FA0B5D" w:rsidP="00750073">
            <w:pPr>
              <w:pStyle w:val="Normal1linespace"/>
              <w:widowControl w:val="0"/>
              <w:jc w:val="left"/>
            </w:pPr>
            <w:r>
              <w:fldChar w:fldCharType="begin"/>
            </w:r>
            <w:r>
              <w:instrText xml:space="preserve"> DOCPROPERTY  "Sub Area"  \* MERGEFORMAT </w:instrText>
            </w:r>
            <w:r>
              <w:fldChar w:fldCharType="separate"/>
            </w:r>
            <w:r w:rsidR="00984AA3" w:rsidRPr="00984AA3">
              <w:rPr>
                <w:lang w:val="en-US"/>
              </w:rPr>
              <w:t>Corporations and Corporate</w:t>
            </w:r>
            <w:r w:rsidR="00984AA3">
              <w:t xml:space="preserve"> Insolvency</w:t>
            </w:r>
            <w:r>
              <w:fldChar w:fldCharType="end"/>
            </w:r>
          </w:p>
        </w:tc>
      </w:tr>
      <w:bookmarkEnd w:id="7"/>
      <w:tr w:rsidR="00984AA3" w14:paraId="09682D9B" w14:textId="77777777" w:rsidTr="00712E8D">
        <w:tc>
          <w:tcPr>
            <w:tcW w:w="3084" w:type="dxa"/>
            <w:shd w:val="clear" w:color="auto" w:fill="auto"/>
          </w:tcPr>
          <w:p w14:paraId="5D47A383" w14:textId="77777777" w:rsidR="00984AA3" w:rsidRDefault="00984AA3" w:rsidP="00501A12">
            <w:pPr>
              <w:pStyle w:val="Normal1linespace"/>
              <w:widowControl w:val="0"/>
            </w:pPr>
          </w:p>
        </w:tc>
        <w:tc>
          <w:tcPr>
            <w:tcW w:w="5989" w:type="dxa"/>
            <w:gridSpan w:val="2"/>
            <w:shd w:val="clear" w:color="auto" w:fill="auto"/>
          </w:tcPr>
          <w:p w14:paraId="2058CAC8" w14:textId="77777777" w:rsidR="00984AA3" w:rsidRDefault="00984AA3" w:rsidP="00501A12">
            <w:pPr>
              <w:pStyle w:val="Normal1linespace"/>
              <w:widowControl w:val="0"/>
              <w:jc w:val="left"/>
            </w:pPr>
          </w:p>
        </w:tc>
      </w:tr>
      <w:tr w:rsidR="00712E8D" w14:paraId="5E8DC4CC" w14:textId="77777777" w:rsidTr="00712E8D">
        <w:trPr>
          <w:gridAfter w:val="1"/>
          <w:wAfter w:w="35" w:type="dxa"/>
        </w:trPr>
        <w:tc>
          <w:tcPr>
            <w:tcW w:w="3084" w:type="dxa"/>
            <w:shd w:val="clear" w:color="auto" w:fill="auto"/>
          </w:tcPr>
          <w:p w14:paraId="6473DA15" w14:textId="77777777" w:rsidR="00712E8D" w:rsidRDefault="00712E8D" w:rsidP="00FF1D2F">
            <w:pPr>
              <w:pStyle w:val="Normal1linespace"/>
              <w:widowControl w:val="0"/>
            </w:pPr>
            <w:r>
              <w:t>Number of paragraphs:</w:t>
            </w:r>
          </w:p>
        </w:tc>
        <w:tc>
          <w:tcPr>
            <w:tcW w:w="5954" w:type="dxa"/>
            <w:shd w:val="clear" w:color="auto" w:fill="auto"/>
          </w:tcPr>
          <w:p w14:paraId="4B823DE8" w14:textId="35E2A0F7" w:rsidR="00712E8D" w:rsidRDefault="00682D5D" w:rsidP="00FF1D2F">
            <w:pPr>
              <w:pStyle w:val="Normal1linespace"/>
              <w:widowControl w:val="0"/>
              <w:jc w:val="left"/>
            </w:pPr>
            <w:bookmarkStart w:id="8" w:name="PlaceCategoryParagraphs"/>
            <w:r>
              <w:t>38</w:t>
            </w:r>
            <w:bookmarkEnd w:id="8"/>
          </w:p>
        </w:tc>
      </w:tr>
      <w:tr w:rsidR="00984AA3" w14:paraId="03799AA5" w14:textId="77777777" w:rsidTr="00712E8D">
        <w:tc>
          <w:tcPr>
            <w:tcW w:w="3084" w:type="dxa"/>
            <w:shd w:val="clear" w:color="auto" w:fill="auto"/>
          </w:tcPr>
          <w:p w14:paraId="111BBD4F" w14:textId="77777777" w:rsidR="00984AA3" w:rsidRDefault="00984AA3" w:rsidP="00984AA3">
            <w:pPr>
              <w:pStyle w:val="Normal1linespace"/>
              <w:widowControl w:val="0"/>
              <w:jc w:val="left"/>
            </w:pPr>
          </w:p>
        </w:tc>
        <w:tc>
          <w:tcPr>
            <w:tcW w:w="5989" w:type="dxa"/>
            <w:gridSpan w:val="2"/>
            <w:shd w:val="clear" w:color="auto" w:fill="auto"/>
          </w:tcPr>
          <w:p w14:paraId="703A3113" w14:textId="77777777" w:rsidR="00984AA3" w:rsidRDefault="00984AA3" w:rsidP="00984AA3">
            <w:pPr>
              <w:pStyle w:val="Normal1linespace"/>
              <w:widowControl w:val="0"/>
              <w:jc w:val="left"/>
            </w:pPr>
          </w:p>
        </w:tc>
      </w:tr>
      <w:tr w:rsidR="00984AA3" w14:paraId="0184770A" w14:textId="77777777" w:rsidTr="00712E8D">
        <w:tc>
          <w:tcPr>
            <w:tcW w:w="3084" w:type="dxa"/>
            <w:shd w:val="clear" w:color="auto" w:fill="auto"/>
          </w:tcPr>
          <w:p w14:paraId="6B2E5F6A" w14:textId="77777777" w:rsidR="00984AA3" w:rsidRDefault="00984AA3" w:rsidP="00984AA3">
            <w:pPr>
              <w:pStyle w:val="Normal1linespace"/>
              <w:widowControl w:val="0"/>
              <w:jc w:val="left"/>
            </w:pPr>
            <w:bookmarkStart w:id="9" w:name="CounselDate" w:colFirst="0" w:colLast="2"/>
            <w:r w:rsidRPr="006A24E3">
              <w:t>Date of hearing:</w:t>
            </w:r>
          </w:p>
        </w:tc>
        <w:tc>
          <w:tcPr>
            <w:tcW w:w="5989" w:type="dxa"/>
            <w:gridSpan w:val="2"/>
            <w:shd w:val="clear" w:color="auto" w:fill="auto"/>
          </w:tcPr>
          <w:p w14:paraId="6D0F5D8A" w14:textId="77777777" w:rsidR="00984AA3" w:rsidRDefault="00984AA3" w:rsidP="00984AA3">
            <w:pPr>
              <w:pStyle w:val="Normal1linespace"/>
              <w:widowControl w:val="0"/>
              <w:jc w:val="left"/>
            </w:pPr>
            <w:bookmarkStart w:id="10" w:name="HearingDate"/>
            <w:r>
              <w:t>14 July 2021</w:t>
            </w:r>
            <w:bookmarkEnd w:id="10"/>
          </w:p>
        </w:tc>
      </w:tr>
      <w:tr w:rsidR="00984AA3" w14:paraId="1FF5F4D3" w14:textId="77777777" w:rsidTr="00712E8D">
        <w:tc>
          <w:tcPr>
            <w:tcW w:w="3084" w:type="dxa"/>
            <w:shd w:val="clear" w:color="auto" w:fill="auto"/>
          </w:tcPr>
          <w:p w14:paraId="51D77081" w14:textId="77777777" w:rsidR="00984AA3" w:rsidRDefault="00984AA3" w:rsidP="00984AA3">
            <w:pPr>
              <w:pStyle w:val="Normal1linespace"/>
              <w:widowControl w:val="0"/>
              <w:jc w:val="left"/>
            </w:pPr>
          </w:p>
        </w:tc>
        <w:tc>
          <w:tcPr>
            <w:tcW w:w="5989" w:type="dxa"/>
            <w:gridSpan w:val="2"/>
            <w:shd w:val="clear" w:color="auto" w:fill="auto"/>
          </w:tcPr>
          <w:p w14:paraId="5103F5B5" w14:textId="77777777" w:rsidR="00984AA3" w:rsidRDefault="00984AA3" w:rsidP="00984AA3">
            <w:pPr>
              <w:pStyle w:val="Normal1linespace"/>
              <w:widowControl w:val="0"/>
              <w:jc w:val="left"/>
            </w:pPr>
          </w:p>
        </w:tc>
      </w:tr>
      <w:tr w:rsidR="00984AA3" w14:paraId="4F15C0F5" w14:textId="77777777" w:rsidTr="00712E8D">
        <w:tc>
          <w:tcPr>
            <w:tcW w:w="3084" w:type="dxa"/>
            <w:shd w:val="clear" w:color="auto" w:fill="auto"/>
          </w:tcPr>
          <w:p w14:paraId="39BE14D9" w14:textId="77777777" w:rsidR="00984AA3" w:rsidRDefault="00984AA3" w:rsidP="00984AA3">
            <w:pPr>
              <w:pStyle w:val="Normal1linespace"/>
              <w:widowControl w:val="0"/>
              <w:jc w:val="left"/>
            </w:pPr>
            <w:bookmarkStart w:id="11" w:name="Counsel" w:colFirst="0" w:colLast="2"/>
            <w:bookmarkEnd w:id="9"/>
            <w:r>
              <w:t>Counsel for the Applicants:</w:t>
            </w:r>
          </w:p>
        </w:tc>
        <w:tc>
          <w:tcPr>
            <w:tcW w:w="5989" w:type="dxa"/>
            <w:gridSpan w:val="2"/>
            <w:shd w:val="clear" w:color="auto" w:fill="auto"/>
          </w:tcPr>
          <w:p w14:paraId="4C32ACA3" w14:textId="77777777" w:rsidR="00984AA3" w:rsidRDefault="004C1B2E" w:rsidP="00984AA3">
            <w:pPr>
              <w:pStyle w:val="Normal1linespace"/>
              <w:widowControl w:val="0"/>
              <w:jc w:val="left"/>
            </w:pPr>
            <w:bookmarkStart w:id="12" w:name="AppCounsel"/>
            <w:bookmarkEnd w:id="12"/>
            <w:r>
              <w:t>Mr </w:t>
            </w:r>
            <w:r w:rsidR="00984AA3">
              <w:t>JW Daly</w:t>
            </w:r>
          </w:p>
        </w:tc>
      </w:tr>
      <w:tr w:rsidR="00984AA3" w14:paraId="722E3532" w14:textId="77777777" w:rsidTr="00712E8D">
        <w:tc>
          <w:tcPr>
            <w:tcW w:w="3084" w:type="dxa"/>
            <w:shd w:val="clear" w:color="auto" w:fill="auto"/>
          </w:tcPr>
          <w:p w14:paraId="10984562" w14:textId="77777777" w:rsidR="00984AA3" w:rsidRDefault="00984AA3" w:rsidP="00984AA3">
            <w:pPr>
              <w:pStyle w:val="Normal1linespace"/>
              <w:widowControl w:val="0"/>
              <w:jc w:val="left"/>
            </w:pPr>
          </w:p>
        </w:tc>
        <w:tc>
          <w:tcPr>
            <w:tcW w:w="5989" w:type="dxa"/>
            <w:gridSpan w:val="2"/>
            <w:shd w:val="clear" w:color="auto" w:fill="auto"/>
          </w:tcPr>
          <w:p w14:paraId="3CAA73EE" w14:textId="77777777" w:rsidR="00984AA3" w:rsidRDefault="00984AA3" w:rsidP="00984AA3">
            <w:pPr>
              <w:pStyle w:val="Normal1linespace"/>
              <w:widowControl w:val="0"/>
              <w:jc w:val="left"/>
            </w:pPr>
          </w:p>
        </w:tc>
      </w:tr>
      <w:tr w:rsidR="00984AA3" w14:paraId="1B72503C" w14:textId="77777777" w:rsidTr="00712E8D">
        <w:tc>
          <w:tcPr>
            <w:tcW w:w="3084" w:type="dxa"/>
            <w:shd w:val="clear" w:color="auto" w:fill="auto"/>
          </w:tcPr>
          <w:p w14:paraId="71BBA0CB" w14:textId="77777777" w:rsidR="00984AA3" w:rsidRDefault="00984AA3" w:rsidP="00984AA3">
            <w:pPr>
              <w:pStyle w:val="Normal1linespace"/>
              <w:widowControl w:val="0"/>
              <w:jc w:val="left"/>
            </w:pPr>
            <w:r>
              <w:lastRenderedPageBreak/>
              <w:t>Solicitor for the Applicants:</w:t>
            </w:r>
          </w:p>
        </w:tc>
        <w:tc>
          <w:tcPr>
            <w:tcW w:w="5989" w:type="dxa"/>
            <w:gridSpan w:val="2"/>
            <w:shd w:val="clear" w:color="auto" w:fill="auto"/>
          </w:tcPr>
          <w:p w14:paraId="46147FA9" w14:textId="77777777" w:rsidR="00984AA3" w:rsidRDefault="00984AA3" w:rsidP="00984AA3">
            <w:pPr>
              <w:pStyle w:val="Normal1linespace"/>
              <w:widowControl w:val="0"/>
              <w:jc w:val="left"/>
            </w:pPr>
            <w:r>
              <w:t>Mills Oakley Lawyers</w:t>
            </w:r>
          </w:p>
        </w:tc>
      </w:tr>
      <w:tr w:rsidR="00984AA3" w14:paraId="1F8BACC6" w14:textId="77777777" w:rsidTr="00712E8D">
        <w:tc>
          <w:tcPr>
            <w:tcW w:w="3084" w:type="dxa"/>
            <w:shd w:val="clear" w:color="auto" w:fill="auto"/>
          </w:tcPr>
          <w:p w14:paraId="0B7CDF79" w14:textId="77777777" w:rsidR="00984AA3" w:rsidRDefault="00984AA3" w:rsidP="00984AA3">
            <w:pPr>
              <w:pStyle w:val="Normal1linespace"/>
              <w:widowControl w:val="0"/>
              <w:jc w:val="left"/>
            </w:pPr>
          </w:p>
        </w:tc>
        <w:tc>
          <w:tcPr>
            <w:tcW w:w="5989" w:type="dxa"/>
            <w:gridSpan w:val="2"/>
            <w:shd w:val="clear" w:color="auto" w:fill="auto"/>
          </w:tcPr>
          <w:p w14:paraId="5095D7FC" w14:textId="77777777" w:rsidR="00984AA3" w:rsidRDefault="00984AA3" w:rsidP="00984AA3">
            <w:pPr>
              <w:pStyle w:val="Normal1linespace"/>
              <w:widowControl w:val="0"/>
              <w:jc w:val="left"/>
            </w:pPr>
          </w:p>
        </w:tc>
      </w:tr>
      <w:tr w:rsidR="00984AA3" w14:paraId="3A599E1B" w14:textId="77777777" w:rsidTr="00712E8D">
        <w:tc>
          <w:tcPr>
            <w:tcW w:w="3084" w:type="dxa"/>
            <w:shd w:val="clear" w:color="auto" w:fill="auto"/>
          </w:tcPr>
          <w:p w14:paraId="4C6FF3AF" w14:textId="77777777" w:rsidR="00984AA3" w:rsidRDefault="00984AA3" w:rsidP="00984AA3">
            <w:pPr>
              <w:pStyle w:val="Normal1linespace"/>
              <w:widowControl w:val="0"/>
              <w:jc w:val="left"/>
            </w:pPr>
            <w:r>
              <w:t>Counsel for the First Respondent:</w:t>
            </w:r>
          </w:p>
        </w:tc>
        <w:tc>
          <w:tcPr>
            <w:tcW w:w="5989" w:type="dxa"/>
            <w:gridSpan w:val="2"/>
            <w:shd w:val="clear" w:color="auto" w:fill="auto"/>
          </w:tcPr>
          <w:p w14:paraId="7DE44C8C" w14:textId="77777777" w:rsidR="00984AA3" w:rsidRDefault="004C1B2E" w:rsidP="00984AA3">
            <w:pPr>
              <w:pStyle w:val="Normal1linespace"/>
              <w:widowControl w:val="0"/>
              <w:jc w:val="left"/>
            </w:pPr>
            <w:r>
              <w:t>Mr </w:t>
            </w:r>
            <w:r w:rsidR="00984AA3">
              <w:t>LCA Palmos</w:t>
            </w:r>
          </w:p>
        </w:tc>
      </w:tr>
      <w:tr w:rsidR="00984AA3" w14:paraId="5E6D8BDD" w14:textId="77777777" w:rsidTr="00712E8D">
        <w:tc>
          <w:tcPr>
            <w:tcW w:w="3084" w:type="dxa"/>
            <w:shd w:val="clear" w:color="auto" w:fill="auto"/>
          </w:tcPr>
          <w:p w14:paraId="1B134668" w14:textId="77777777" w:rsidR="00984AA3" w:rsidRDefault="00984AA3" w:rsidP="00984AA3">
            <w:pPr>
              <w:pStyle w:val="Normal1linespace"/>
              <w:widowControl w:val="0"/>
              <w:jc w:val="left"/>
            </w:pPr>
          </w:p>
        </w:tc>
        <w:tc>
          <w:tcPr>
            <w:tcW w:w="5989" w:type="dxa"/>
            <w:gridSpan w:val="2"/>
            <w:shd w:val="clear" w:color="auto" w:fill="auto"/>
          </w:tcPr>
          <w:p w14:paraId="4D80BA07" w14:textId="77777777" w:rsidR="00984AA3" w:rsidRDefault="00984AA3" w:rsidP="00984AA3">
            <w:pPr>
              <w:pStyle w:val="Normal1linespace"/>
              <w:widowControl w:val="0"/>
              <w:jc w:val="left"/>
            </w:pPr>
          </w:p>
        </w:tc>
      </w:tr>
      <w:tr w:rsidR="00984AA3" w14:paraId="5EA49A3B" w14:textId="77777777" w:rsidTr="00712E8D">
        <w:tc>
          <w:tcPr>
            <w:tcW w:w="3084" w:type="dxa"/>
            <w:shd w:val="clear" w:color="auto" w:fill="auto"/>
          </w:tcPr>
          <w:p w14:paraId="2B9B77A6" w14:textId="77777777" w:rsidR="00984AA3" w:rsidRDefault="00984AA3" w:rsidP="00984AA3">
            <w:pPr>
              <w:pStyle w:val="Normal1linespace"/>
              <w:widowControl w:val="0"/>
              <w:jc w:val="left"/>
            </w:pPr>
            <w:r>
              <w:t>Solicitor for the First Respondent:</w:t>
            </w:r>
          </w:p>
        </w:tc>
        <w:tc>
          <w:tcPr>
            <w:tcW w:w="5989" w:type="dxa"/>
            <w:gridSpan w:val="2"/>
            <w:shd w:val="clear" w:color="auto" w:fill="auto"/>
          </w:tcPr>
          <w:p w14:paraId="0649F765" w14:textId="77777777" w:rsidR="00984AA3" w:rsidRDefault="00984AA3" w:rsidP="00984AA3">
            <w:pPr>
              <w:pStyle w:val="Normal1linespace"/>
              <w:widowControl w:val="0"/>
              <w:jc w:val="left"/>
            </w:pPr>
            <w:r>
              <w:t>Palmos Legal</w:t>
            </w:r>
          </w:p>
        </w:tc>
      </w:tr>
      <w:tr w:rsidR="00984AA3" w14:paraId="7A50921F" w14:textId="77777777" w:rsidTr="00712E8D">
        <w:tc>
          <w:tcPr>
            <w:tcW w:w="3084" w:type="dxa"/>
            <w:shd w:val="clear" w:color="auto" w:fill="auto"/>
          </w:tcPr>
          <w:p w14:paraId="6BBDC0A4" w14:textId="77777777" w:rsidR="00984AA3" w:rsidRDefault="00984AA3" w:rsidP="00984AA3">
            <w:pPr>
              <w:pStyle w:val="Normal1linespace"/>
              <w:widowControl w:val="0"/>
              <w:jc w:val="left"/>
            </w:pPr>
          </w:p>
        </w:tc>
        <w:tc>
          <w:tcPr>
            <w:tcW w:w="5989" w:type="dxa"/>
            <w:gridSpan w:val="2"/>
            <w:shd w:val="clear" w:color="auto" w:fill="auto"/>
          </w:tcPr>
          <w:p w14:paraId="69945367" w14:textId="77777777" w:rsidR="00984AA3" w:rsidRDefault="00984AA3" w:rsidP="00984AA3">
            <w:pPr>
              <w:pStyle w:val="Normal1linespace"/>
              <w:widowControl w:val="0"/>
              <w:jc w:val="left"/>
            </w:pPr>
          </w:p>
        </w:tc>
      </w:tr>
      <w:tr w:rsidR="00984AA3" w14:paraId="029C5849" w14:textId="77777777" w:rsidTr="00712E8D">
        <w:tc>
          <w:tcPr>
            <w:tcW w:w="3084" w:type="dxa"/>
            <w:shd w:val="clear" w:color="auto" w:fill="auto"/>
          </w:tcPr>
          <w:p w14:paraId="0002AB33" w14:textId="77777777" w:rsidR="00984AA3" w:rsidRDefault="00984AA3" w:rsidP="00984AA3">
            <w:pPr>
              <w:pStyle w:val="Normal1linespace"/>
              <w:widowControl w:val="0"/>
              <w:jc w:val="left"/>
            </w:pPr>
            <w:r>
              <w:t>Counsel for the Second Respondent:</w:t>
            </w:r>
          </w:p>
        </w:tc>
        <w:tc>
          <w:tcPr>
            <w:tcW w:w="5989" w:type="dxa"/>
            <w:gridSpan w:val="2"/>
            <w:shd w:val="clear" w:color="auto" w:fill="auto"/>
          </w:tcPr>
          <w:p w14:paraId="016E616E" w14:textId="77777777" w:rsidR="00984AA3" w:rsidRDefault="004C1B2E" w:rsidP="00984AA3">
            <w:pPr>
              <w:pStyle w:val="Normal1linespace"/>
              <w:widowControl w:val="0"/>
              <w:jc w:val="left"/>
            </w:pPr>
            <w:r>
              <w:t>Mr </w:t>
            </w:r>
            <w:r w:rsidR="00984AA3">
              <w:t xml:space="preserve">JG Abberton </w:t>
            </w:r>
          </w:p>
        </w:tc>
      </w:tr>
      <w:tr w:rsidR="00984AA3" w14:paraId="4A53D671" w14:textId="77777777" w:rsidTr="00712E8D">
        <w:tc>
          <w:tcPr>
            <w:tcW w:w="3084" w:type="dxa"/>
            <w:shd w:val="clear" w:color="auto" w:fill="auto"/>
          </w:tcPr>
          <w:p w14:paraId="42F3A6FC" w14:textId="77777777" w:rsidR="00984AA3" w:rsidRDefault="00984AA3" w:rsidP="00984AA3">
            <w:pPr>
              <w:pStyle w:val="Normal1linespace"/>
              <w:widowControl w:val="0"/>
              <w:jc w:val="left"/>
            </w:pPr>
          </w:p>
        </w:tc>
        <w:tc>
          <w:tcPr>
            <w:tcW w:w="5989" w:type="dxa"/>
            <w:gridSpan w:val="2"/>
            <w:shd w:val="clear" w:color="auto" w:fill="auto"/>
          </w:tcPr>
          <w:p w14:paraId="1859DBD9" w14:textId="77777777" w:rsidR="00984AA3" w:rsidRDefault="00984AA3" w:rsidP="00984AA3">
            <w:pPr>
              <w:pStyle w:val="Normal1linespace"/>
              <w:widowControl w:val="0"/>
              <w:jc w:val="left"/>
            </w:pPr>
          </w:p>
        </w:tc>
      </w:tr>
      <w:tr w:rsidR="00984AA3" w14:paraId="51DA211A" w14:textId="77777777" w:rsidTr="00712E8D">
        <w:tc>
          <w:tcPr>
            <w:tcW w:w="3084" w:type="dxa"/>
            <w:shd w:val="clear" w:color="auto" w:fill="auto"/>
          </w:tcPr>
          <w:p w14:paraId="0D569940" w14:textId="77777777" w:rsidR="00984AA3" w:rsidRDefault="00984AA3" w:rsidP="00984AA3">
            <w:pPr>
              <w:pStyle w:val="Normal1linespace"/>
              <w:widowControl w:val="0"/>
              <w:jc w:val="left"/>
            </w:pPr>
            <w:r>
              <w:t>Solicitor for the Second Respondent:</w:t>
            </w:r>
          </w:p>
        </w:tc>
        <w:tc>
          <w:tcPr>
            <w:tcW w:w="5989" w:type="dxa"/>
            <w:gridSpan w:val="2"/>
            <w:shd w:val="clear" w:color="auto" w:fill="auto"/>
          </w:tcPr>
          <w:p w14:paraId="4E41EAD1" w14:textId="77777777" w:rsidR="00984AA3" w:rsidRDefault="00984AA3" w:rsidP="00984AA3">
            <w:pPr>
              <w:pStyle w:val="Normal1linespace"/>
              <w:widowControl w:val="0"/>
              <w:jc w:val="left"/>
            </w:pPr>
            <w:proofErr w:type="spellStart"/>
            <w:r>
              <w:t>Lavan</w:t>
            </w:r>
            <w:proofErr w:type="spellEnd"/>
          </w:p>
        </w:tc>
      </w:tr>
      <w:tr w:rsidR="00984AA3" w14:paraId="1E5C4E2A" w14:textId="77777777" w:rsidTr="00712E8D">
        <w:tc>
          <w:tcPr>
            <w:tcW w:w="3084" w:type="dxa"/>
            <w:shd w:val="clear" w:color="auto" w:fill="auto"/>
          </w:tcPr>
          <w:p w14:paraId="3834BFBB" w14:textId="77777777" w:rsidR="00984AA3" w:rsidRDefault="00984AA3" w:rsidP="00984AA3">
            <w:pPr>
              <w:pStyle w:val="Normal1linespace"/>
              <w:widowControl w:val="0"/>
              <w:jc w:val="left"/>
            </w:pPr>
          </w:p>
        </w:tc>
        <w:tc>
          <w:tcPr>
            <w:tcW w:w="5989" w:type="dxa"/>
            <w:gridSpan w:val="2"/>
            <w:shd w:val="clear" w:color="auto" w:fill="auto"/>
          </w:tcPr>
          <w:p w14:paraId="5AAC483E" w14:textId="77777777" w:rsidR="00984AA3" w:rsidRDefault="00984AA3" w:rsidP="00984AA3">
            <w:pPr>
              <w:pStyle w:val="Normal1linespace"/>
              <w:widowControl w:val="0"/>
              <w:jc w:val="left"/>
            </w:pPr>
          </w:p>
        </w:tc>
      </w:tr>
      <w:tr w:rsidR="00984AA3" w14:paraId="2571E649" w14:textId="77777777" w:rsidTr="00712E8D">
        <w:tc>
          <w:tcPr>
            <w:tcW w:w="3084" w:type="dxa"/>
            <w:shd w:val="clear" w:color="auto" w:fill="auto"/>
          </w:tcPr>
          <w:p w14:paraId="562F5A5A" w14:textId="77777777" w:rsidR="00984AA3" w:rsidRDefault="00984AA3" w:rsidP="00984AA3">
            <w:pPr>
              <w:pStyle w:val="Normal1linespace"/>
              <w:widowControl w:val="0"/>
              <w:jc w:val="left"/>
            </w:pPr>
            <w:r w:rsidRPr="00984AA3">
              <w:t xml:space="preserve">Counsel for The West Australian Newspapers Ltd, Channel 7 Pty Ltd and </w:t>
            </w:r>
            <w:r w:rsidR="004C1B2E">
              <w:t>Mr </w:t>
            </w:r>
            <w:r w:rsidRPr="00984AA3">
              <w:t>Neale Prior:</w:t>
            </w:r>
          </w:p>
        </w:tc>
        <w:tc>
          <w:tcPr>
            <w:tcW w:w="5989" w:type="dxa"/>
            <w:gridSpan w:val="2"/>
            <w:shd w:val="clear" w:color="auto" w:fill="auto"/>
          </w:tcPr>
          <w:p w14:paraId="71AA1844" w14:textId="77777777" w:rsidR="00984AA3" w:rsidRDefault="004C1B2E" w:rsidP="00984AA3">
            <w:pPr>
              <w:pStyle w:val="Normal1linespace"/>
              <w:widowControl w:val="0"/>
              <w:jc w:val="left"/>
            </w:pPr>
            <w:r>
              <w:t>Mr </w:t>
            </w:r>
            <w:r w:rsidR="00984AA3">
              <w:t>T McCarthy</w:t>
            </w:r>
          </w:p>
        </w:tc>
      </w:tr>
      <w:tr w:rsidR="00984AA3" w14:paraId="73251108" w14:textId="77777777" w:rsidTr="00712E8D">
        <w:tc>
          <w:tcPr>
            <w:tcW w:w="3084" w:type="dxa"/>
            <w:shd w:val="clear" w:color="auto" w:fill="auto"/>
          </w:tcPr>
          <w:p w14:paraId="1D9C427B" w14:textId="77777777" w:rsidR="00984AA3" w:rsidRPr="00984AA3" w:rsidRDefault="00984AA3" w:rsidP="00984AA3">
            <w:pPr>
              <w:pStyle w:val="Normal1linespace"/>
              <w:widowControl w:val="0"/>
              <w:jc w:val="left"/>
            </w:pPr>
          </w:p>
        </w:tc>
        <w:tc>
          <w:tcPr>
            <w:tcW w:w="5989" w:type="dxa"/>
            <w:gridSpan w:val="2"/>
            <w:shd w:val="clear" w:color="auto" w:fill="auto"/>
          </w:tcPr>
          <w:p w14:paraId="0EAF38DC" w14:textId="77777777" w:rsidR="00984AA3" w:rsidRDefault="00984AA3" w:rsidP="00984AA3">
            <w:pPr>
              <w:pStyle w:val="Normal1linespace"/>
              <w:widowControl w:val="0"/>
              <w:jc w:val="left"/>
            </w:pPr>
          </w:p>
        </w:tc>
      </w:tr>
      <w:tr w:rsidR="00984AA3" w14:paraId="6C061C12" w14:textId="77777777" w:rsidTr="00712E8D">
        <w:tc>
          <w:tcPr>
            <w:tcW w:w="3084" w:type="dxa"/>
            <w:shd w:val="clear" w:color="auto" w:fill="auto"/>
          </w:tcPr>
          <w:p w14:paraId="700B5A30" w14:textId="77777777" w:rsidR="00984AA3" w:rsidRPr="00984AA3" w:rsidRDefault="00984AA3" w:rsidP="00984AA3">
            <w:pPr>
              <w:pStyle w:val="Default"/>
            </w:pPr>
            <w:r>
              <w:rPr>
                <w:sz w:val="23"/>
                <w:szCs w:val="23"/>
              </w:rPr>
              <w:t xml:space="preserve">Solicitor for The West Australian Newspapers Ltd, Channel 7 Pty Ltd and </w:t>
            </w:r>
            <w:r w:rsidR="004C1B2E">
              <w:rPr>
                <w:sz w:val="23"/>
                <w:szCs w:val="23"/>
              </w:rPr>
              <w:t>Mr </w:t>
            </w:r>
            <w:r>
              <w:rPr>
                <w:sz w:val="23"/>
                <w:szCs w:val="23"/>
              </w:rPr>
              <w:t xml:space="preserve">Neale Prior: </w:t>
            </w:r>
          </w:p>
        </w:tc>
        <w:tc>
          <w:tcPr>
            <w:tcW w:w="5989" w:type="dxa"/>
            <w:gridSpan w:val="2"/>
            <w:shd w:val="clear" w:color="auto" w:fill="auto"/>
          </w:tcPr>
          <w:p w14:paraId="7E8FCE0F" w14:textId="77777777" w:rsidR="00984AA3" w:rsidRDefault="00984AA3" w:rsidP="00984AA3">
            <w:pPr>
              <w:pStyle w:val="Default"/>
              <w:rPr>
                <w:sz w:val="23"/>
                <w:szCs w:val="23"/>
              </w:rPr>
            </w:pPr>
            <w:r>
              <w:rPr>
                <w:sz w:val="23"/>
                <w:szCs w:val="23"/>
              </w:rPr>
              <w:t>Steedman Stagg Lawyers</w:t>
            </w:r>
          </w:p>
          <w:p w14:paraId="6DE10191" w14:textId="77777777" w:rsidR="00984AA3" w:rsidRDefault="00984AA3" w:rsidP="00984AA3">
            <w:pPr>
              <w:pStyle w:val="Normal1linespace"/>
              <w:widowControl w:val="0"/>
              <w:jc w:val="left"/>
            </w:pPr>
          </w:p>
        </w:tc>
      </w:tr>
      <w:tr w:rsidR="00984AA3" w14:paraId="1661501D" w14:textId="77777777" w:rsidTr="00712E8D">
        <w:tc>
          <w:tcPr>
            <w:tcW w:w="3084" w:type="dxa"/>
            <w:shd w:val="clear" w:color="auto" w:fill="auto"/>
          </w:tcPr>
          <w:p w14:paraId="416FDD3E" w14:textId="77777777" w:rsidR="00984AA3" w:rsidRDefault="00984AA3" w:rsidP="00984AA3">
            <w:pPr>
              <w:pStyle w:val="Default"/>
              <w:rPr>
                <w:sz w:val="23"/>
                <w:szCs w:val="23"/>
              </w:rPr>
            </w:pPr>
          </w:p>
        </w:tc>
        <w:tc>
          <w:tcPr>
            <w:tcW w:w="5989" w:type="dxa"/>
            <w:gridSpan w:val="2"/>
            <w:shd w:val="clear" w:color="auto" w:fill="auto"/>
          </w:tcPr>
          <w:p w14:paraId="7B87735A" w14:textId="77777777" w:rsidR="00984AA3" w:rsidRDefault="00984AA3" w:rsidP="00984AA3">
            <w:pPr>
              <w:pStyle w:val="Default"/>
              <w:rPr>
                <w:sz w:val="23"/>
                <w:szCs w:val="23"/>
              </w:rPr>
            </w:pPr>
          </w:p>
        </w:tc>
      </w:tr>
      <w:tr w:rsidR="00984AA3" w14:paraId="77D523EC" w14:textId="77777777" w:rsidTr="00712E8D">
        <w:tc>
          <w:tcPr>
            <w:tcW w:w="3084" w:type="dxa"/>
            <w:shd w:val="clear" w:color="auto" w:fill="auto"/>
          </w:tcPr>
          <w:p w14:paraId="2E4B2B4C" w14:textId="77777777" w:rsidR="00984AA3" w:rsidRDefault="00984AA3" w:rsidP="00984AA3">
            <w:pPr>
              <w:pStyle w:val="Default"/>
              <w:rPr>
                <w:sz w:val="23"/>
                <w:szCs w:val="23"/>
              </w:rPr>
            </w:pPr>
            <w:r>
              <w:rPr>
                <w:sz w:val="23"/>
                <w:szCs w:val="23"/>
              </w:rPr>
              <w:t>Counsel for the Trustee in Bankruptcy:</w:t>
            </w:r>
          </w:p>
        </w:tc>
        <w:tc>
          <w:tcPr>
            <w:tcW w:w="5989" w:type="dxa"/>
            <w:gridSpan w:val="2"/>
            <w:shd w:val="clear" w:color="auto" w:fill="auto"/>
          </w:tcPr>
          <w:p w14:paraId="14C8D662" w14:textId="77777777" w:rsidR="00984AA3" w:rsidRDefault="004C1B2E" w:rsidP="00984AA3">
            <w:pPr>
              <w:pStyle w:val="Default"/>
              <w:rPr>
                <w:sz w:val="23"/>
                <w:szCs w:val="23"/>
              </w:rPr>
            </w:pPr>
            <w:r>
              <w:t>Mr </w:t>
            </w:r>
            <w:r w:rsidR="00984AA3">
              <w:t>M Maskell</w:t>
            </w:r>
          </w:p>
        </w:tc>
      </w:tr>
      <w:tr w:rsidR="00984AA3" w14:paraId="5FFE68B2" w14:textId="77777777" w:rsidTr="00712E8D">
        <w:tc>
          <w:tcPr>
            <w:tcW w:w="3084" w:type="dxa"/>
            <w:shd w:val="clear" w:color="auto" w:fill="auto"/>
          </w:tcPr>
          <w:p w14:paraId="46D00906" w14:textId="77777777" w:rsidR="00984AA3" w:rsidRDefault="00984AA3" w:rsidP="00984AA3">
            <w:pPr>
              <w:pStyle w:val="Default"/>
              <w:rPr>
                <w:sz w:val="23"/>
                <w:szCs w:val="23"/>
              </w:rPr>
            </w:pPr>
          </w:p>
        </w:tc>
        <w:tc>
          <w:tcPr>
            <w:tcW w:w="5989" w:type="dxa"/>
            <w:gridSpan w:val="2"/>
            <w:shd w:val="clear" w:color="auto" w:fill="auto"/>
          </w:tcPr>
          <w:p w14:paraId="35F7016C" w14:textId="77777777" w:rsidR="00984AA3" w:rsidRDefault="00984AA3" w:rsidP="00984AA3">
            <w:pPr>
              <w:pStyle w:val="Default"/>
            </w:pPr>
          </w:p>
        </w:tc>
      </w:tr>
      <w:tr w:rsidR="00984AA3" w14:paraId="6EFC0911" w14:textId="77777777" w:rsidTr="00712E8D">
        <w:tc>
          <w:tcPr>
            <w:tcW w:w="3084" w:type="dxa"/>
            <w:shd w:val="clear" w:color="auto" w:fill="auto"/>
          </w:tcPr>
          <w:p w14:paraId="3E03540C" w14:textId="77777777" w:rsidR="00984AA3" w:rsidRDefault="00984AA3" w:rsidP="00984AA3">
            <w:pPr>
              <w:pStyle w:val="Default"/>
              <w:rPr>
                <w:sz w:val="23"/>
                <w:szCs w:val="23"/>
              </w:rPr>
            </w:pPr>
            <w:r>
              <w:rPr>
                <w:sz w:val="23"/>
                <w:szCs w:val="23"/>
              </w:rPr>
              <w:t>Solicitor for the Trustee in Bankruptcy:</w:t>
            </w:r>
          </w:p>
        </w:tc>
        <w:tc>
          <w:tcPr>
            <w:tcW w:w="5989" w:type="dxa"/>
            <w:gridSpan w:val="2"/>
            <w:shd w:val="clear" w:color="auto" w:fill="auto"/>
          </w:tcPr>
          <w:p w14:paraId="20BC32F8" w14:textId="77777777" w:rsidR="00984AA3" w:rsidRDefault="00984AA3" w:rsidP="00984AA3">
            <w:pPr>
              <w:pStyle w:val="Default"/>
            </w:pPr>
            <w:proofErr w:type="spellStart"/>
            <w:r w:rsidRPr="00984AA3">
              <w:t>Thynne</w:t>
            </w:r>
            <w:proofErr w:type="spellEnd"/>
            <w:r w:rsidRPr="00984AA3">
              <w:t xml:space="preserve"> + </w:t>
            </w:r>
            <w:proofErr w:type="spellStart"/>
            <w:r w:rsidRPr="00984AA3">
              <w:t>Macartney</w:t>
            </w:r>
            <w:proofErr w:type="spellEnd"/>
          </w:p>
        </w:tc>
      </w:tr>
      <w:tr w:rsidR="00676C72" w14:paraId="3E557540" w14:textId="77777777" w:rsidTr="00712E8D">
        <w:tc>
          <w:tcPr>
            <w:tcW w:w="3084" w:type="dxa"/>
            <w:shd w:val="clear" w:color="auto" w:fill="auto"/>
          </w:tcPr>
          <w:p w14:paraId="55F4BB20" w14:textId="77777777" w:rsidR="00676C72" w:rsidRDefault="00676C72" w:rsidP="00984AA3">
            <w:pPr>
              <w:pStyle w:val="Default"/>
              <w:rPr>
                <w:sz w:val="23"/>
                <w:szCs w:val="23"/>
              </w:rPr>
            </w:pPr>
          </w:p>
        </w:tc>
        <w:tc>
          <w:tcPr>
            <w:tcW w:w="5989" w:type="dxa"/>
            <w:gridSpan w:val="2"/>
            <w:shd w:val="clear" w:color="auto" w:fill="auto"/>
          </w:tcPr>
          <w:p w14:paraId="28BB8E79" w14:textId="77777777" w:rsidR="00676C72" w:rsidRPr="00984AA3" w:rsidRDefault="00676C72" w:rsidP="00984AA3">
            <w:pPr>
              <w:pStyle w:val="Default"/>
            </w:pPr>
          </w:p>
        </w:tc>
      </w:tr>
      <w:tr w:rsidR="00676C72" w14:paraId="3A511755" w14:textId="77777777" w:rsidTr="00712E8D">
        <w:tc>
          <w:tcPr>
            <w:tcW w:w="3084" w:type="dxa"/>
            <w:shd w:val="clear" w:color="auto" w:fill="auto"/>
          </w:tcPr>
          <w:p w14:paraId="6F7FE20D" w14:textId="77777777" w:rsidR="00676C72" w:rsidRDefault="00676C72" w:rsidP="00984AA3">
            <w:pPr>
              <w:pStyle w:val="Default"/>
              <w:rPr>
                <w:sz w:val="23"/>
                <w:szCs w:val="23"/>
              </w:rPr>
            </w:pPr>
            <w:r>
              <w:rPr>
                <w:sz w:val="23"/>
                <w:szCs w:val="23"/>
              </w:rPr>
              <w:t>Counsel for Ms Nirupa Manoharan:</w:t>
            </w:r>
          </w:p>
        </w:tc>
        <w:tc>
          <w:tcPr>
            <w:tcW w:w="5989" w:type="dxa"/>
            <w:gridSpan w:val="2"/>
            <w:shd w:val="clear" w:color="auto" w:fill="auto"/>
          </w:tcPr>
          <w:p w14:paraId="181009B5" w14:textId="77777777" w:rsidR="00676C72" w:rsidRPr="00984AA3" w:rsidRDefault="004C1B2E" w:rsidP="00984AA3">
            <w:pPr>
              <w:pStyle w:val="Default"/>
            </w:pPr>
            <w:r>
              <w:t>Mr </w:t>
            </w:r>
            <w:r w:rsidR="00676C72" w:rsidRPr="00676C72">
              <w:t>M Holler</w:t>
            </w:r>
          </w:p>
        </w:tc>
      </w:tr>
      <w:bookmarkEnd w:id="11"/>
    </w:tbl>
    <w:p w14:paraId="34D5443F" w14:textId="77777777" w:rsidR="007470BD" w:rsidRDefault="007470BD">
      <w:pPr>
        <w:pStyle w:val="Normal1linespace"/>
      </w:pPr>
    </w:p>
    <w:p w14:paraId="74A7E3D3" w14:textId="77777777" w:rsidR="00E94CBF" w:rsidRDefault="00E94CBF">
      <w:pPr>
        <w:pStyle w:val="Normal1linespace"/>
      </w:pPr>
    </w:p>
    <w:p w14:paraId="67DC05AB" w14:textId="77777777"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14:paraId="7ED2603C"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14499BBC" w14:textId="77777777" w:rsidTr="00E81DA6">
        <w:tc>
          <w:tcPr>
            <w:tcW w:w="6912" w:type="dxa"/>
            <w:gridSpan w:val="2"/>
          </w:tcPr>
          <w:p w14:paraId="67C2EC4F" w14:textId="77777777" w:rsidR="00A46CCC" w:rsidRPr="001765E0" w:rsidRDefault="00A46CCC" w:rsidP="00525A49">
            <w:pPr>
              <w:pStyle w:val="NormalHeadings"/>
            </w:pPr>
          </w:p>
        </w:tc>
        <w:tc>
          <w:tcPr>
            <w:tcW w:w="2330" w:type="dxa"/>
          </w:tcPr>
          <w:p w14:paraId="3BF07F1F" w14:textId="77777777" w:rsidR="00A46CCC" w:rsidRDefault="00984AA3" w:rsidP="00F92355">
            <w:pPr>
              <w:pStyle w:val="NormalHeadings"/>
              <w:jc w:val="right"/>
            </w:pPr>
            <w:bookmarkStart w:id="13" w:name="FileNo"/>
            <w:r>
              <w:t>WAD 59 of 2021</w:t>
            </w:r>
            <w:bookmarkEnd w:id="13"/>
          </w:p>
        </w:tc>
      </w:tr>
      <w:tr w:rsidR="00A76C13" w14:paraId="7656DC94" w14:textId="77777777" w:rsidTr="00750073">
        <w:tc>
          <w:tcPr>
            <w:tcW w:w="9242" w:type="dxa"/>
            <w:gridSpan w:val="3"/>
          </w:tcPr>
          <w:p w14:paraId="66E83C1C" w14:textId="77777777" w:rsidR="00A76C13" w:rsidRPr="00A76C13" w:rsidRDefault="00984AA3" w:rsidP="00984AA3">
            <w:pPr>
              <w:pStyle w:val="NormalHeadings"/>
              <w:jc w:val="left"/>
            </w:pPr>
            <w:bookmarkStart w:id="14" w:name="InTheMatterOf"/>
            <w:r>
              <w:t xml:space="preserve"> </w:t>
            </w:r>
            <w:bookmarkEnd w:id="14"/>
          </w:p>
        </w:tc>
      </w:tr>
      <w:tr w:rsidR="00A46CCC" w14:paraId="24DB01FF" w14:textId="77777777" w:rsidTr="00750073">
        <w:trPr>
          <w:trHeight w:val="386"/>
        </w:trPr>
        <w:tc>
          <w:tcPr>
            <w:tcW w:w="2376" w:type="dxa"/>
          </w:tcPr>
          <w:p w14:paraId="7D5914DF" w14:textId="77777777" w:rsidR="00A46CCC" w:rsidRDefault="00A46CCC" w:rsidP="00750073">
            <w:pPr>
              <w:pStyle w:val="NormalHeadings"/>
              <w:jc w:val="left"/>
              <w:rPr>
                <w:caps/>
                <w:szCs w:val="24"/>
              </w:rPr>
            </w:pPr>
            <w:bookmarkStart w:id="15" w:name="Parties"/>
            <w:r>
              <w:rPr>
                <w:caps/>
                <w:szCs w:val="24"/>
              </w:rPr>
              <w:t>BETWEEN:</w:t>
            </w:r>
          </w:p>
        </w:tc>
        <w:tc>
          <w:tcPr>
            <w:tcW w:w="6866" w:type="dxa"/>
            <w:gridSpan w:val="2"/>
          </w:tcPr>
          <w:p w14:paraId="5D8299A2" w14:textId="77777777" w:rsidR="00984AA3" w:rsidRDefault="00984AA3" w:rsidP="00984AA3">
            <w:pPr>
              <w:pStyle w:val="NormalHeadings"/>
              <w:jc w:val="left"/>
            </w:pPr>
            <w:bookmarkStart w:id="16" w:name="Applicant"/>
            <w:r>
              <w:t>ADAM FLETCHER</w:t>
            </w:r>
          </w:p>
          <w:p w14:paraId="764CC7F8" w14:textId="77777777" w:rsidR="00984AA3" w:rsidRDefault="00984AA3" w:rsidP="00984AA3">
            <w:pPr>
              <w:pStyle w:val="PartyType"/>
            </w:pPr>
            <w:r>
              <w:t>First Applicant</w:t>
            </w:r>
          </w:p>
          <w:p w14:paraId="7AA0796A" w14:textId="77777777" w:rsidR="00984AA3" w:rsidRDefault="00984AA3" w:rsidP="00750073">
            <w:pPr>
              <w:pStyle w:val="NormalHeadings"/>
              <w:jc w:val="left"/>
              <w:rPr>
                <w:szCs w:val="24"/>
              </w:rPr>
            </w:pPr>
          </w:p>
          <w:p w14:paraId="795ECF51" w14:textId="77777777" w:rsidR="00984AA3" w:rsidRDefault="00984AA3" w:rsidP="00984AA3">
            <w:pPr>
              <w:pStyle w:val="NormalHeadings"/>
              <w:jc w:val="left"/>
            </w:pPr>
            <w:r>
              <w:t>STUART CAMPBELL</w:t>
            </w:r>
          </w:p>
          <w:p w14:paraId="45444159" w14:textId="77777777" w:rsidR="00984AA3" w:rsidRDefault="00984AA3" w:rsidP="00984AA3">
            <w:pPr>
              <w:pStyle w:val="PartyType"/>
            </w:pPr>
            <w:r>
              <w:t>Second Applicant</w:t>
            </w:r>
          </w:p>
          <w:p w14:paraId="668BD4F6" w14:textId="77777777" w:rsidR="00984AA3" w:rsidRDefault="00984AA3" w:rsidP="00750073">
            <w:pPr>
              <w:pStyle w:val="NormalHeadings"/>
              <w:jc w:val="left"/>
              <w:rPr>
                <w:szCs w:val="24"/>
              </w:rPr>
            </w:pPr>
          </w:p>
          <w:p w14:paraId="1D75D535" w14:textId="77777777" w:rsidR="00984AA3" w:rsidRDefault="00984AA3" w:rsidP="00984AA3">
            <w:pPr>
              <w:pStyle w:val="NormalHeadings"/>
              <w:jc w:val="left"/>
            </w:pPr>
            <w:r>
              <w:t xml:space="preserve">JAYSEN TAYLOR </w:t>
            </w:r>
            <w:r w:rsidRPr="00984AA3">
              <w:rPr>
                <w:b w:val="0"/>
              </w:rPr>
              <w:t>(and others named in the Schedule)</w:t>
            </w:r>
          </w:p>
          <w:p w14:paraId="4C81250D" w14:textId="77777777" w:rsidR="00984AA3" w:rsidRDefault="00984AA3" w:rsidP="00984AA3">
            <w:pPr>
              <w:pStyle w:val="PartyType"/>
            </w:pPr>
            <w:r>
              <w:t>Third Applicant</w:t>
            </w:r>
          </w:p>
          <w:bookmarkEnd w:id="16"/>
          <w:p w14:paraId="1177328D" w14:textId="77777777" w:rsidR="00A46CCC" w:rsidRPr="006555B4" w:rsidRDefault="00A46CCC" w:rsidP="00750073">
            <w:pPr>
              <w:pStyle w:val="NormalHeadings"/>
              <w:jc w:val="left"/>
            </w:pPr>
          </w:p>
        </w:tc>
      </w:tr>
      <w:tr w:rsidR="00A46CCC" w14:paraId="48A008EE" w14:textId="77777777" w:rsidTr="00750073">
        <w:trPr>
          <w:trHeight w:val="386"/>
        </w:trPr>
        <w:tc>
          <w:tcPr>
            <w:tcW w:w="2376" w:type="dxa"/>
          </w:tcPr>
          <w:p w14:paraId="00E86503" w14:textId="77777777" w:rsidR="00A46CCC" w:rsidRDefault="00A46CCC" w:rsidP="00750073">
            <w:pPr>
              <w:pStyle w:val="NormalHeadings"/>
              <w:jc w:val="left"/>
              <w:rPr>
                <w:caps/>
                <w:szCs w:val="24"/>
              </w:rPr>
            </w:pPr>
            <w:r>
              <w:rPr>
                <w:caps/>
                <w:szCs w:val="24"/>
              </w:rPr>
              <w:t>AND:</w:t>
            </w:r>
          </w:p>
        </w:tc>
        <w:tc>
          <w:tcPr>
            <w:tcW w:w="6866" w:type="dxa"/>
            <w:gridSpan w:val="2"/>
          </w:tcPr>
          <w:p w14:paraId="6E77E19A" w14:textId="77777777" w:rsidR="00984AA3" w:rsidRDefault="00984AA3" w:rsidP="00984AA3">
            <w:pPr>
              <w:pStyle w:val="NormalHeadings"/>
              <w:jc w:val="left"/>
            </w:pPr>
            <w:bookmarkStart w:id="17" w:name="Respondent"/>
            <w:r>
              <w:t>CHRISTOPHER MICHAEL BROWN</w:t>
            </w:r>
          </w:p>
          <w:p w14:paraId="0816D606" w14:textId="77777777" w:rsidR="00984AA3" w:rsidRDefault="00984AA3" w:rsidP="00984AA3">
            <w:pPr>
              <w:pStyle w:val="PartyType"/>
            </w:pPr>
            <w:r>
              <w:t>First Respondent</w:t>
            </w:r>
          </w:p>
          <w:p w14:paraId="6F1D539B" w14:textId="77777777" w:rsidR="00984AA3" w:rsidRDefault="00984AA3" w:rsidP="00750073">
            <w:pPr>
              <w:pStyle w:val="NormalHeadings"/>
              <w:jc w:val="left"/>
              <w:rPr>
                <w:szCs w:val="24"/>
              </w:rPr>
            </w:pPr>
          </w:p>
          <w:p w14:paraId="531D60B0" w14:textId="77777777" w:rsidR="00984AA3" w:rsidRDefault="00984AA3" w:rsidP="00984AA3">
            <w:pPr>
              <w:pStyle w:val="NormalHeadings"/>
              <w:jc w:val="left"/>
            </w:pPr>
            <w:r>
              <w:t>CMB INVESTMENTS 1993 PTY LTD (ACN 618 397 925)</w:t>
            </w:r>
          </w:p>
          <w:p w14:paraId="291311B0" w14:textId="77777777" w:rsidR="00984AA3" w:rsidRDefault="00984AA3" w:rsidP="00984AA3">
            <w:pPr>
              <w:pStyle w:val="PartyType"/>
            </w:pPr>
            <w:r>
              <w:t>Second Respondent</w:t>
            </w:r>
          </w:p>
          <w:bookmarkEnd w:id="17"/>
          <w:p w14:paraId="5B9A46EE" w14:textId="77777777" w:rsidR="00A46CCC" w:rsidRPr="006555B4" w:rsidRDefault="00A46CCC" w:rsidP="00750073">
            <w:pPr>
              <w:pStyle w:val="NormalHeadings"/>
              <w:jc w:val="left"/>
            </w:pPr>
          </w:p>
        </w:tc>
      </w:tr>
    </w:tbl>
    <w:p w14:paraId="3E835E97" w14:textId="77777777" w:rsidR="00395B24" w:rsidRDefault="00395B24">
      <w:pPr>
        <w:pStyle w:val="NormalHeadings"/>
      </w:pPr>
      <w:bookmarkStart w:id="18" w:name="CrossClaimPosition"/>
      <w:bookmarkEnd w:id="15"/>
      <w:bookmarkEnd w:id="18"/>
    </w:p>
    <w:tbl>
      <w:tblPr>
        <w:tblW w:w="0" w:type="auto"/>
        <w:tblLayout w:type="fixed"/>
        <w:tblLook w:val="0000" w:firstRow="0" w:lastRow="0" w:firstColumn="0" w:lastColumn="0" w:noHBand="0" w:noVBand="0"/>
        <w:tblCaption w:val="Judge"/>
        <w:tblDescription w:val="Judge"/>
      </w:tblPr>
      <w:tblGrid>
        <w:gridCol w:w="2376"/>
        <w:gridCol w:w="6866"/>
      </w:tblGrid>
      <w:tr w:rsidR="00395B24" w14:paraId="3F442C00" w14:textId="77777777">
        <w:tc>
          <w:tcPr>
            <w:tcW w:w="2376" w:type="dxa"/>
          </w:tcPr>
          <w:p w14:paraId="50D08F4F" w14:textId="77777777" w:rsidR="00395B24" w:rsidRDefault="00974709">
            <w:pPr>
              <w:pStyle w:val="NormalHeadings"/>
              <w:spacing w:after="120"/>
              <w:jc w:val="left"/>
              <w:rPr>
                <w:caps/>
                <w:szCs w:val="24"/>
              </w:rPr>
            </w:pPr>
            <w:bookmarkStart w:id="19" w:name="JudgeText"/>
            <w:r>
              <w:rPr>
                <w:caps/>
                <w:szCs w:val="24"/>
              </w:rPr>
              <w:t>order made by</w:t>
            </w:r>
            <w:bookmarkEnd w:id="19"/>
            <w:r w:rsidR="002C7385">
              <w:rPr>
                <w:caps/>
                <w:szCs w:val="24"/>
              </w:rPr>
              <w:t>:</w:t>
            </w:r>
          </w:p>
        </w:tc>
        <w:tc>
          <w:tcPr>
            <w:tcW w:w="6866" w:type="dxa"/>
          </w:tcPr>
          <w:p w14:paraId="6C16BC56" w14:textId="77777777" w:rsidR="00395B24" w:rsidRDefault="00984AA3">
            <w:pPr>
              <w:pStyle w:val="NormalHeadings"/>
              <w:jc w:val="left"/>
              <w:rPr>
                <w:caps/>
                <w:szCs w:val="24"/>
              </w:rPr>
            </w:pPr>
            <w:bookmarkStart w:id="20" w:name="Judge"/>
            <w:r>
              <w:rPr>
                <w:caps/>
                <w:szCs w:val="24"/>
              </w:rPr>
              <w:t>JACKSON J</w:t>
            </w:r>
            <w:bookmarkEnd w:id="20"/>
          </w:p>
        </w:tc>
      </w:tr>
      <w:tr w:rsidR="00395B24" w14:paraId="21193964" w14:textId="77777777">
        <w:tc>
          <w:tcPr>
            <w:tcW w:w="2376" w:type="dxa"/>
          </w:tcPr>
          <w:p w14:paraId="3558C01C" w14:textId="77777777" w:rsidR="00395B24" w:rsidRDefault="002C7385">
            <w:pPr>
              <w:pStyle w:val="NormalHeadings"/>
              <w:spacing w:after="120"/>
              <w:jc w:val="left"/>
              <w:rPr>
                <w:caps/>
                <w:szCs w:val="24"/>
              </w:rPr>
            </w:pPr>
            <w:r>
              <w:rPr>
                <w:caps/>
                <w:szCs w:val="24"/>
              </w:rPr>
              <w:t>DATE OF ORDER:</w:t>
            </w:r>
          </w:p>
        </w:tc>
        <w:tc>
          <w:tcPr>
            <w:tcW w:w="6866" w:type="dxa"/>
          </w:tcPr>
          <w:p w14:paraId="28CED049" w14:textId="77777777" w:rsidR="00395B24" w:rsidRDefault="00984AA3">
            <w:pPr>
              <w:pStyle w:val="NormalHeadings"/>
              <w:jc w:val="left"/>
              <w:rPr>
                <w:caps/>
                <w:szCs w:val="24"/>
              </w:rPr>
            </w:pPr>
            <w:bookmarkStart w:id="21" w:name="Judgment_Dated"/>
            <w:r>
              <w:rPr>
                <w:caps/>
                <w:szCs w:val="24"/>
              </w:rPr>
              <w:t>14 JULY 2021</w:t>
            </w:r>
            <w:bookmarkEnd w:id="21"/>
          </w:p>
        </w:tc>
      </w:tr>
    </w:tbl>
    <w:p w14:paraId="5FBB85FF" w14:textId="77777777" w:rsidR="00395B24" w:rsidRDefault="00395B24">
      <w:pPr>
        <w:pStyle w:val="NormalHeadings"/>
        <w:rPr>
          <w:b w:val="0"/>
        </w:rPr>
      </w:pPr>
    </w:p>
    <w:p w14:paraId="38106B38" w14:textId="77777777" w:rsidR="008D1617" w:rsidRDefault="008D1617">
      <w:pPr>
        <w:pStyle w:val="NormalHeadings"/>
        <w:rPr>
          <w:b w:val="0"/>
        </w:rPr>
      </w:pPr>
    </w:p>
    <w:p w14:paraId="68EE062D" w14:textId="77777777" w:rsidR="00395B24" w:rsidRDefault="002C7385">
      <w:pPr>
        <w:pStyle w:val="NormalHeadings"/>
      </w:pPr>
      <w:r>
        <w:t>THE COURT ORDERS THAT:</w:t>
      </w:r>
    </w:p>
    <w:p w14:paraId="0E6FED74" w14:textId="77777777" w:rsidR="007F60DF" w:rsidRDefault="007F60DF" w:rsidP="00243E5E">
      <w:pPr>
        <w:pStyle w:val="NormalHeadings"/>
      </w:pPr>
    </w:p>
    <w:p w14:paraId="76F52D57" w14:textId="77777777" w:rsidR="00546FA7" w:rsidRDefault="00546FA7" w:rsidP="00546FA7">
      <w:pPr>
        <w:pStyle w:val="Order1"/>
      </w:pPr>
      <w:r>
        <w:t xml:space="preserve">For the purposes of today's hearing, and pursuant to s 47B of the </w:t>
      </w:r>
      <w:r w:rsidRPr="00546FA7">
        <w:rPr>
          <w:i/>
        </w:rPr>
        <w:t>Federal Court of Australia Act 1976</w:t>
      </w:r>
      <w:r>
        <w:t xml:space="preserve"> (Cth), counsel for the Trustee in Bankruptcy of the first respondent is permitted to deliver oral submissions by way of video link.</w:t>
      </w:r>
    </w:p>
    <w:p w14:paraId="36D95745" w14:textId="77777777" w:rsidR="00546FA7" w:rsidRDefault="00546FA7" w:rsidP="00546FA7">
      <w:pPr>
        <w:pStyle w:val="Order1"/>
      </w:pPr>
      <w:r>
        <w:t>Unless the court otherwise orders, and apart from the court's transcript provider, no person, including the parties and members of the public, who is observing the hearing of the proceeding by accessing any audio or video link, including by link to the platform Microsoft Teams, may make any audio or video recording or photography of the hearing or any part of it.</w:t>
      </w:r>
    </w:p>
    <w:p w14:paraId="4AF5C4DD" w14:textId="77777777" w:rsidR="00546FA7" w:rsidRDefault="00546FA7" w:rsidP="00546FA7">
      <w:pPr>
        <w:pStyle w:val="Order1"/>
      </w:pPr>
      <w:r>
        <w:t>Nothing in the preceding paragraph prevents any person, based on what he or she has seen or heard during the hearing:</w:t>
      </w:r>
    </w:p>
    <w:p w14:paraId="518E211C" w14:textId="77777777" w:rsidR="00546FA7" w:rsidRDefault="00546FA7" w:rsidP="00546FA7">
      <w:pPr>
        <w:pStyle w:val="Order2"/>
      </w:pPr>
      <w:r>
        <w:t>making his or her own notes of the proceeding; or</w:t>
      </w:r>
    </w:p>
    <w:p w14:paraId="54990C4F" w14:textId="77777777" w:rsidR="00546FA7" w:rsidRDefault="00546FA7" w:rsidP="00546FA7">
      <w:pPr>
        <w:pStyle w:val="Order2"/>
      </w:pPr>
      <w:r>
        <w:t>publishing a fair report of the proceeding.</w:t>
      </w:r>
    </w:p>
    <w:p w14:paraId="0E7A0413" w14:textId="77777777" w:rsidR="00546FA7" w:rsidRDefault="00546FA7" w:rsidP="00546FA7">
      <w:pPr>
        <w:pStyle w:val="Order1"/>
      </w:pPr>
      <w:r>
        <w:t>The name and identifying details of the individual who filed a confidential affidavit in this proceeding on 9 June 2021 will be redacted from any version of the affidavit of Adam Fletcher filed 16 March 2021 that is released to any member of the public.</w:t>
      </w:r>
    </w:p>
    <w:p w14:paraId="79FB0A6A" w14:textId="77777777" w:rsidR="00546FA7" w:rsidRDefault="00546FA7" w:rsidP="00546FA7">
      <w:pPr>
        <w:pStyle w:val="Order1"/>
      </w:pPr>
      <w:r>
        <w:lastRenderedPageBreak/>
        <w:t xml:space="preserve">Pursuant to s 37AG(1)(c) of the </w:t>
      </w:r>
      <w:r w:rsidRPr="00546FA7">
        <w:rPr>
          <w:i/>
        </w:rPr>
        <w:t>Federal Court of Australia Act 1976</w:t>
      </w:r>
      <w:r>
        <w:t xml:space="preserve"> (Cth), on the ground that it is necessary to protect the safety of a person, until further order, and with liberty to apply, Tony McCarthy and Neale Prior must not communicate to any other person, by publication or otherwise, the name of the individual referred to in the preceding paragraph insofar as it was disclosed to them by the court, or the fact that that individual is named in Mr Fletcher's affidavit.</w:t>
      </w:r>
    </w:p>
    <w:p w14:paraId="2ECB8995" w14:textId="77777777" w:rsidR="00546FA7" w:rsidRDefault="00546FA7" w:rsidP="00546FA7">
      <w:pPr>
        <w:pStyle w:val="Order1"/>
      </w:pPr>
      <w:r>
        <w:t>Any application by a party in relation to any alleged breach of the suppression orders made on 24 June 2021 must be made within 7 days of the date of this order.</w:t>
      </w:r>
    </w:p>
    <w:p w14:paraId="5169E362" w14:textId="77777777" w:rsidR="00546FA7" w:rsidRDefault="00546FA7" w:rsidP="00546FA7">
      <w:pPr>
        <w:pStyle w:val="Order1"/>
      </w:pPr>
      <w:r>
        <w:t xml:space="preserve">The Receivers have leave pursuant to s 471B of the </w:t>
      </w:r>
      <w:r w:rsidRPr="00546FA7">
        <w:rPr>
          <w:i/>
        </w:rPr>
        <w:t>Corporations Act 2001</w:t>
      </w:r>
      <w:r>
        <w:t xml:space="preserve"> (Cth) to proceed with these proceedings against the second respondent for the purposes of seeking the order sought at paragraph 4 of the applicants and Receivers' revised minute of proposed orders lodged for filing on 13 July 2021.</w:t>
      </w:r>
    </w:p>
    <w:p w14:paraId="664500AA" w14:textId="77777777" w:rsidR="00546FA7" w:rsidRDefault="00546FA7" w:rsidP="00546FA7">
      <w:pPr>
        <w:pStyle w:val="Order1"/>
      </w:pPr>
      <w:r>
        <w:t xml:space="preserve">The requirement in r 14.25 of the </w:t>
      </w:r>
      <w:r w:rsidRPr="00546FA7">
        <w:rPr>
          <w:i/>
        </w:rPr>
        <w:t>Federal Court Rules 2011</w:t>
      </w:r>
      <w:r>
        <w:t xml:space="preserve"> (Cth) for the Receivers to file accounts is dispensed with, as well as the need to pass accounts.</w:t>
      </w:r>
    </w:p>
    <w:p w14:paraId="00376057" w14:textId="77777777" w:rsidR="00546FA7" w:rsidRDefault="00546FA7" w:rsidP="00546FA7">
      <w:pPr>
        <w:pStyle w:val="Order1"/>
      </w:pPr>
      <w:r>
        <w:t>Pursuant to paragraphs 5 and 6 of the orders made on 25 March 2021, the monetary assets of the first respondent realised by the Receivers in these proceedings as identified in Annexure A, in the amount of $5,433.44, may be applied by them to satisfy part payment of their costs and expenses incurred as receivers and managers of the property of the first respondent.</w:t>
      </w:r>
    </w:p>
    <w:p w14:paraId="67779044" w14:textId="77777777" w:rsidR="00546FA7" w:rsidRDefault="00546FA7" w:rsidP="00546FA7">
      <w:pPr>
        <w:pStyle w:val="Order1"/>
      </w:pPr>
      <w:r>
        <w:t>The Trustee in Bankruptcy must promptly provide to the Receivers copies of any circulars or other communications issued by the Trustee to the general body of the first respondent's creditors.</w:t>
      </w:r>
    </w:p>
    <w:p w14:paraId="70E6766A" w14:textId="77777777" w:rsidR="00546FA7" w:rsidRDefault="00546FA7" w:rsidP="00546FA7">
      <w:pPr>
        <w:pStyle w:val="Order1"/>
      </w:pPr>
      <w:r>
        <w:t>The Liquidators of the second respondent must promptly provide to the Receivers copies of any circulars or other communications issued by the Liquidators to the general body of the second respondent's creditors.</w:t>
      </w:r>
    </w:p>
    <w:p w14:paraId="5459B672" w14:textId="77777777" w:rsidR="00546FA7" w:rsidRDefault="00546FA7" w:rsidP="00546FA7">
      <w:pPr>
        <w:pStyle w:val="Order1"/>
      </w:pPr>
      <w:r>
        <w:t xml:space="preserve">Pursuant to s 23 of the </w:t>
      </w:r>
      <w:r w:rsidRPr="00546FA7">
        <w:rPr>
          <w:i/>
        </w:rPr>
        <w:t>Federal Court of Australia Act 1976</w:t>
      </w:r>
      <w:r>
        <w:t xml:space="preserve"> (Cth), the proceeding is stayed until further order.</w:t>
      </w:r>
    </w:p>
    <w:p w14:paraId="10B909A9" w14:textId="77777777" w:rsidR="00546FA7" w:rsidRDefault="00546FA7" w:rsidP="00546FA7">
      <w:pPr>
        <w:pStyle w:val="Order1"/>
      </w:pPr>
      <w:r w:rsidRPr="00E0346A">
        <w:t>The applicants must pay the second respondent's costs of and incidental to today's hearing</w:t>
      </w:r>
      <w:r>
        <w:t>.</w:t>
      </w:r>
    </w:p>
    <w:p w14:paraId="25B44E7F" w14:textId="77777777" w:rsidR="00546FA7" w:rsidRDefault="00546FA7" w:rsidP="00546FA7">
      <w:pPr>
        <w:pStyle w:val="Order1"/>
      </w:pPr>
      <w:r>
        <w:t>The Receivers have leave to file a written outline of submissions as to costs, of no more than 1 page in length (excluding the header), by 21 July 2021.</w:t>
      </w:r>
    </w:p>
    <w:p w14:paraId="11341729" w14:textId="77777777" w:rsidR="001A6C52" w:rsidRDefault="00546FA7" w:rsidP="00546FA7">
      <w:pPr>
        <w:pStyle w:val="Order1"/>
      </w:pPr>
      <w:r>
        <w:lastRenderedPageBreak/>
        <w:t>The Trustee and the second respondent may file any submissions in response, of no more than 1 page in length (excluding the header), by 28 July 2021.</w:t>
      </w:r>
    </w:p>
    <w:p w14:paraId="16693C24" w14:textId="77777777" w:rsidR="00546FA7" w:rsidRDefault="00546FA7" w:rsidP="00546FA7">
      <w:pPr>
        <w:pStyle w:val="Order1"/>
      </w:pPr>
      <w:r w:rsidRPr="00546FA7">
        <w:t xml:space="preserve">The </w:t>
      </w:r>
      <w:r w:rsidRPr="00E0346A">
        <w:t>parties</w:t>
      </w:r>
      <w:r w:rsidRPr="00546FA7">
        <w:t xml:space="preserve">, the Receivers, the Trustee in Bankruptcy and </w:t>
      </w:r>
      <w:r w:rsidRPr="00E0346A">
        <w:t>the Liquidators</w:t>
      </w:r>
      <w:r w:rsidRPr="00546FA7">
        <w:t xml:space="preserve"> have liberty to apply on three days' written notice.</w:t>
      </w:r>
    </w:p>
    <w:p w14:paraId="5E34E60D" w14:textId="77777777" w:rsidR="001A6C52" w:rsidRDefault="001A6C52" w:rsidP="001A6C52">
      <w:pPr>
        <w:pStyle w:val="BodyText"/>
      </w:pPr>
    </w:p>
    <w:p w14:paraId="2E6A6AAC" w14:textId="77777777" w:rsidR="00A431E6" w:rsidRDefault="00A431E6" w:rsidP="001A6C52">
      <w:pPr>
        <w:pStyle w:val="BodyText"/>
      </w:pPr>
    </w:p>
    <w:p w14:paraId="438B1C2E" w14:textId="77777777" w:rsidR="00546FA7" w:rsidRDefault="00546FA7" w:rsidP="001A6C52">
      <w:pPr>
        <w:pStyle w:val="BodyText"/>
      </w:pPr>
    </w:p>
    <w:p w14:paraId="4AC4E66E" w14:textId="77777777" w:rsidR="00546FA7" w:rsidRDefault="00546FA7" w:rsidP="001A6C52">
      <w:pPr>
        <w:pStyle w:val="BodyText"/>
      </w:pPr>
    </w:p>
    <w:p w14:paraId="7AAD0E97" w14:textId="04C8A086" w:rsidR="00E0346A" w:rsidRDefault="00984AA3" w:rsidP="004D53E5">
      <w:pPr>
        <w:pStyle w:val="SingleSpace"/>
      </w:pPr>
      <w:bookmarkStart w:id="22" w:name="OrdersStatement"/>
      <w:r>
        <w:t>Note:</w:t>
      </w:r>
      <w:r>
        <w:tab/>
        <w:t xml:space="preserve">Entry of orders is dealt with in Rule 39.32 of the </w:t>
      </w:r>
      <w:r>
        <w:rPr>
          <w:i/>
        </w:rPr>
        <w:t>Federal Court Rules 2011</w:t>
      </w:r>
      <w:r>
        <w:t>.</w:t>
      </w:r>
      <w:bookmarkEnd w:id="22"/>
    </w:p>
    <w:p w14:paraId="5C15BD5A" w14:textId="77777777" w:rsidR="00E0346A" w:rsidRDefault="00E0346A">
      <w:pPr>
        <w:spacing w:line="240" w:lineRule="auto"/>
        <w:jc w:val="left"/>
        <w:rPr>
          <w:szCs w:val="22"/>
        </w:rPr>
      </w:pPr>
      <w:r>
        <w:br w:type="page"/>
      </w:r>
    </w:p>
    <w:p w14:paraId="3955F957" w14:textId="03FBCE10" w:rsidR="00E0346A" w:rsidRPr="00712E8D" w:rsidRDefault="00E0346A" w:rsidP="00712E8D">
      <w:pPr>
        <w:pStyle w:val="NormalHeadings"/>
        <w:jc w:val="center"/>
        <w:rPr>
          <w:szCs w:val="24"/>
        </w:rPr>
      </w:pPr>
      <w:r w:rsidRPr="00712E8D">
        <w:rPr>
          <w:szCs w:val="24"/>
        </w:rPr>
        <w:lastRenderedPageBreak/>
        <w:t>Annexure A</w:t>
      </w:r>
    </w:p>
    <w:p w14:paraId="6E1CEE9D" w14:textId="6943EB02" w:rsidR="00F60D22" w:rsidRDefault="00F60D22" w:rsidP="00712E8D">
      <w:pPr>
        <w:pStyle w:val="NormalHeadings"/>
        <w:jc w:val="center"/>
        <w:rPr>
          <w:szCs w:val="24"/>
        </w:rPr>
      </w:pPr>
    </w:p>
    <w:p w14:paraId="6D9B8D6E" w14:textId="77777777" w:rsidR="00712E8D" w:rsidRPr="00712E8D" w:rsidRDefault="00712E8D" w:rsidP="00712E8D">
      <w:pPr>
        <w:pStyle w:val="NormalHeadings"/>
        <w:jc w:val="center"/>
        <w:rPr>
          <w:szCs w:val="24"/>
        </w:rPr>
      </w:pPr>
    </w:p>
    <w:p w14:paraId="324B41D1" w14:textId="6491EB85" w:rsidR="00E0346A" w:rsidRPr="00712E8D" w:rsidRDefault="00E0346A" w:rsidP="00712E8D">
      <w:pPr>
        <w:pStyle w:val="NormalHeadings"/>
        <w:jc w:val="center"/>
        <w:rPr>
          <w:szCs w:val="24"/>
        </w:rPr>
      </w:pPr>
      <w:r w:rsidRPr="00712E8D">
        <w:rPr>
          <w:bCs/>
          <w:szCs w:val="24"/>
        </w:rPr>
        <w:t>TABLE OF THE ASSETS OF THE FIRST RESPONDENT</w:t>
      </w:r>
      <w:r w:rsidR="00712E8D" w:rsidRPr="00712E8D">
        <w:rPr>
          <w:bCs/>
          <w:szCs w:val="24"/>
        </w:rPr>
        <w:t>'</w:t>
      </w:r>
      <w:r w:rsidRPr="00712E8D">
        <w:rPr>
          <w:bCs/>
          <w:szCs w:val="24"/>
        </w:rPr>
        <w:t>S ESTATE HELD BY THE RECEIVERS</w:t>
      </w:r>
    </w:p>
    <w:p w14:paraId="0C28C625" w14:textId="3DBB6051" w:rsidR="00E0346A" w:rsidRPr="00712E8D" w:rsidRDefault="00E0346A" w:rsidP="00712E8D">
      <w:pPr>
        <w:pStyle w:val="BodyText"/>
        <w:rPr>
          <w:szCs w:val="24"/>
        </w:rPr>
      </w:pPr>
    </w:p>
    <w:p w14:paraId="4CCA1D2F" w14:textId="77777777" w:rsidR="00712E8D" w:rsidRPr="00712E8D" w:rsidRDefault="00712E8D" w:rsidP="00712E8D">
      <w:pPr>
        <w:pStyle w:val="BodyText"/>
        <w:rPr>
          <w:szCs w:val="24"/>
        </w:rPr>
      </w:pPr>
    </w:p>
    <w:tbl>
      <w:tblPr>
        <w:tblStyle w:val="TableGrid"/>
        <w:tblW w:w="0" w:type="auto"/>
        <w:tblLook w:val="04A0" w:firstRow="1" w:lastRow="0" w:firstColumn="1" w:lastColumn="0" w:noHBand="0" w:noVBand="1"/>
      </w:tblPr>
      <w:tblGrid>
        <w:gridCol w:w="7366"/>
        <w:gridCol w:w="1651"/>
      </w:tblGrid>
      <w:tr w:rsidR="00E0346A" w:rsidRPr="00712E8D" w14:paraId="25EF5055" w14:textId="77777777" w:rsidTr="00F60D22">
        <w:tc>
          <w:tcPr>
            <w:tcW w:w="7366" w:type="dxa"/>
          </w:tcPr>
          <w:p w14:paraId="13463D68" w14:textId="77777777" w:rsidR="00E0346A" w:rsidRPr="00712E8D" w:rsidRDefault="00E0346A" w:rsidP="00712E8D">
            <w:pPr>
              <w:pStyle w:val="Small-TableswithinQuotes"/>
              <w:spacing w:before="120" w:after="120"/>
              <w:rPr>
                <w:b/>
                <w:sz w:val="24"/>
                <w:szCs w:val="24"/>
              </w:rPr>
            </w:pPr>
            <w:r w:rsidRPr="00712E8D">
              <w:rPr>
                <w:b/>
                <w:sz w:val="24"/>
                <w:szCs w:val="24"/>
              </w:rPr>
              <w:t>Asset</w:t>
            </w:r>
          </w:p>
        </w:tc>
        <w:tc>
          <w:tcPr>
            <w:tcW w:w="1651" w:type="dxa"/>
          </w:tcPr>
          <w:p w14:paraId="08AE6898" w14:textId="77777777" w:rsidR="00E0346A" w:rsidRPr="00712E8D" w:rsidRDefault="00E0346A" w:rsidP="00712E8D">
            <w:pPr>
              <w:pStyle w:val="Small-TableswithinQuotes"/>
              <w:spacing w:before="120" w:after="120"/>
              <w:rPr>
                <w:b/>
                <w:sz w:val="24"/>
                <w:szCs w:val="24"/>
              </w:rPr>
            </w:pPr>
            <w:r w:rsidRPr="00712E8D">
              <w:rPr>
                <w:b/>
                <w:sz w:val="24"/>
                <w:szCs w:val="24"/>
              </w:rPr>
              <w:t>Amount ($)</w:t>
            </w:r>
          </w:p>
        </w:tc>
      </w:tr>
      <w:tr w:rsidR="00E0346A" w:rsidRPr="00712E8D" w14:paraId="28EB9DFB" w14:textId="77777777" w:rsidTr="00F60D22">
        <w:tc>
          <w:tcPr>
            <w:tcW w:w="7366" w:type="dxa"/>
          </w:tcPr>
          <w:p w14:paraId="68E9A0CC" w14:textId="77777777" w:rsidR="00E0346A" w:rsidRPr="00712E8D" w:rsidRDefault="00E0346A" w:rsidP="00712E8D">
            <w:pPr>
              <w:pStyle w:val="Small-TableswithinQuotes"/>
              <w:spacing w:before="120" w:after="120"/>
              <w:rPr>
                <w:b/>
                <w:sz w:val="24"/>
                <w:szCs w:val="24"/>
              </w:rPr>
            </w:pPr>
            <w:r w:rsidRPr="00712E8D">
              <w:rPr>
                <w:sz w:val="24"/>
                <w:szCs w:val="24"/>
              </w:rPr>
              <w:t>Bank of Queensland Limited</w:t>
            </w:r>
          </w:p>
        </w:tc>
        <w:tc>
          <w:tcPr>
            <w:tcW w:w="1651" w:type="dxa"/>
          </w:tcPr>
          <w:p w14:paraId="65CA9CBB" w14:textId="03815592" w:rsidR="00E0346A" w:rsidRPr="00712E8D" w:rsidRDefault="00712E8D" w:rsidP="00712E8D">
            <w:pPr>
              <w:pStyle w:val="Small-TableswithinQuotes"/>
              <w:tabs>
                <w:tab w:val="right" w:pos="1025"/>
              </w:tabs>
              <w:spacing w:before="120" w:after="120"/>
              <w:rPr>
                <w:b/>
                <w:sz w:val="24"/>
                <w:szCs w:val="24"/>
              </w:rPr>
            </w:pPr>
            <w:r w:rsidRPr="00712E8D">
              <w:rPr>
                <w:sz w:val="24"/>
                <w:szCs w:val="24"/>
              </w:rPr>
              <w:tab/>
            </w:r>
            <w:r w:rsidR="00E0346A" w:rsidRPr="00712E8D">
              <w:rPr>
                <w:sz w:val="24"/>
                <w:szCs w:val="24"/>
              </w:rPr>
              <w:t>3.00</w:t>
            </w:r>
          </w:p>
        </w:tc>
      </w:tr>
      <w:tr w:rsidR="00E0346A" w:rsidRPr="00712E8D" w14:paraId="459BC7BD" w14:textId="77777777" w:rsidTr="00F60D22">
        <w:tc>
          <w:tcPr>
            <w:tcW w:w="7366" w:type="dxa"/>
          </w:tcPr>
          <w:p w14:paraId="72187D2C" w14:textId="77777777" w:rsidR="00E0346A" w:rsidRPr="00712E8D" w:rsidRDefault="00E0346A" w:rsidP="00712E8D">
            <w:pPr>
              <w:pStyle w:val="Small-TableswithinQuotes"/>
              <w:spacing w:before="120" w:after="120"/>
              <w:rPr>
                <w:b/>
                <w:sz w:val="24"/>
                <w:szCs w:val="24"/>
              </w:rPr>
            </w:pPr>
            <w:r w:rsidRPr="00712E8D">
              <w:rPr>
                <w:sz w:val="24"/>
                <w:szCs w:val="24"/>
              </w:rPr>
              <w:t>86 400 Bank</w:t>
            </w:r>
          </w:p>
        </w:tc>
        <w:tc>
          <w:tcPr>
            <w:tcW w:w="1651" w:type="dxa"/>
          </w:tcPr>
          <w:p w14:paraId="3086FCC4" w14:textId="68397000" w:rsidR="00E0346A" w:rsidRPr="00712E8D" w:rsidRDefault="00712E8D" w:rsidP="00712E8D">
            <w:pPr>
              <w:pStyle w:val="Small-TableswithinQuotes"/>
              <w:tabs>
                <w:tab w:val="right" w:pos="1025"/>
              </w:tabs>
              <w:spacing w:before="120" w:after="120"/>
              <w:rPr>
                <w:b/>
                <w:sz w:val="24"/>
                <w:szCs w:val="24"/>
              </w:rPr>
            </w:pPr>
            <w:r w:rsidRPr="00712E8D">
              <w:rPr>
                <w:sz w:val="24"/>
                <w:szCs w:val="24"/>
              </w:rPr>
              <w:tab/>
            </w:r>
            <w:r w:rsidR="00E0346A" w:rsidRPr="00712E8D">
              <w:rPr>
                <w:sz w:val="24"/>
                <w:szCs w:val="24"/>
              </w:rPr>
              <w:t>1,950.41</w:t>
            </w:r>
          </w:p>
        </w:tc>
      </w:tr>
      <w:tr w:rsidR="00E0346A" w:rsidRPr="00712E8D" w14:paraId="46F4F41D" w14:textId="77777777" w:rsidTr="00F60D22">
        <w:tc>
          <w:tcPr>
            <w:tcW w:w="7366" w:type="dxa"/>
          </w:tcPr>
          <w:p w14:paraId="044A8404" w14:textId="77777777" w:rsidR="00E0346A" w:rsidRPr="00712E8D" w:rsidRDefault="00E0346A" w:rsidP="00712E8D">
            <w:pPr>
              <w:pStyle w:val="Small-TableswithinQuotes"/>
              <w:spacing w:before="120" w:after="120"/>
              <w:rPr>
                <w:b/>
                <w:sz w:val="24"/>
                <w:szCs w:val="24"/>
              </w:rPr>
            </w:pPr>
            <w:r w:rsidRPr="00712E8D">
              <w:rPr>
                <w:sz w:val="24"/>
                <w:szCs w:val="24"/>
              </w:rPr>
              <w:t>Net proceeds from horse racing prize money</w:t>
            </w:r>
          </w:p>
        </w:tc>
        <w:tc>
          <w:tcPr>
            <w:tcW w:w="1651" w:type="dxa"/>
          </w:tcPr>
          <w:p w14:paraId="39B74593" w14:textId="06B4C7B0" w:rsidR="00E0346A" w:rsidRPr="00712E8D" w:rsidRDefault="00712E8D" w:rsidP="00712E8D">
            <w:pPr>
              <w:pStyle w:val="Small-TableswithinQuotes"/>
              <w:tabs>
                <w:tab w:val="right" w:pos="1025"/>
              </w:tabs>
              <w:spacing w:before="120" w:after="120"/>
              <w:rPr>
                <w:b/>
                <w:sz w:val="24"/>
                <w:szCs w:val="24"/>
              </w:rPr>
            </w:pPr>
            <w:r w:rsidRPr="00712E8D">
              <w:rPr>
                <w:sz w:val="24"/>
                <w:szCs w:val="24"/>
              </w:rPr>
              <w:tab/>
            </w:r>
            <w:r w:rsidR="00E0346A" w:rsidRPr="00712E8D">
              <w:rPr>
                <w:sz w:val="24"/>
                <w:szCs w:val="24"/>
              </w:rPr>
              <w:t>3,480.03</w:t>
            </w:r>
          </w:p>
        </w:tc>
      </w:tr>
      <w:tr w:rsidR="00E0346A" w:rsidRPr="00712E8D" w14:paraId="79C43BE1" w14:textId="77777777" w:rsidTr="00E0346A">
        <w:tc>
          <w:tcPr>
            <w:tcW w:w="7366" w:type="dxa"/>
          </w:tcPr>
          <w:p w14:paraId="3E45E2F6" w14:textId="77777777" w:rsidR="00E0346A" w:rsidRPr="00712E8D" w:rsidRDefault="00E0346A" w:rsidP="00712E8D">
            <w:pPr>
              <w:pStyle w:val="Small-TableswithinQuotes"/>
              <w:spacing w:before="120" w:after="120"/>
              <w:rPr>
                <w:b/>
                <w:sz w:val="24"/>
                <w:szCs w:val="24"/>
              </w:rPr>
            </w:pPr>
            <w:r w:rsidRPr="00712E8D">
              <w:rPr>
                <w:b/>
                <w:sz w:val="24"/>
                <w:szCs w:val="24"/>
              </w:rPr>
              <w:t>Total</w:t>
            </w:r>
          </w:p>
        </w:tc>
        <w:tc>
          <w:tcPr>
            <w:tcW w:w="1651" w:type="dxa"/>
          </w:tcPr>
          <w:p w14:paraId="1A20DCD3" w14:textId="71F5E12D" w:rsidR="00E0346A" w:rsidRPr="00712E8D" w:rsidRDefault="00712E8D" w:rsidP="00712E8D">
            <w:pPr>
              <w:pStyle w:val="Small-TableswithinQuotes"/>
              <w:tabs>
                <w:tab w:val="right" w:pos="1025"/>
              </w:tabs>
              <w:spacing w:before="120" w:after="120"/>
              <w:rPr>
                <w:b/>
                <w:sz w:val="24"/>
                <w:szCs w:val="24"/>
              </w:rPr>
            </w:pPr>
            <w:r w:rsidRPr="00712E8D">
              <w:rPr>
                <w:b/>
                <w:sz w:val="24"/>
                <w:szCs w:val="24"/>
              </w:rPr>
              <w:tab/>
            </w:r>
            <w:r w:rsidR="00E0346A" w:rsidRPr="00712E8D">
              <w:rPr>
                <w:b/>
                <w:sz w:val="24"/>
                <w:szCs w:val="24"/>
              </w:rPr>
              <w:t>5,433.44</w:t>
            </w:r>
          </w:p>
        </w:tc>
      </w:tr>
    </w:tbl>
    <w:p w14:paraId="783A0D89" w14:textId="77777777" w:rsidR="00E0346A" w:rsidRDefault="00E0346A" w:rsidP="00E0346A">
      <w:pPr>
        <w:pStyle w:val="NormalHeadings"/>
        <w:spacing w:before="240" w:after="120"/>
        <w:rPr>
          <w:b w:val="0"/>
        </w:rPr>
        <w:sectPr w:rsidR="00E0346A"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14:paraId="66264910" w14:textId="77777777" w:rsidR="00484F6D" w:rsidRDefault="00484F6D" w:rsidP="00045BB7">
      <w:pPr>
        <w:pStyle w:val="NormalHeadings"/>
        <w:spacing w:line="480" w:lineRule="auto"/>
        <w:jc w:val="center"/>
        <w:rPr>
          <w:sz w:val="28"/>
          <w:szCs w:val="28"/>
        </w:rPr>
      </w:pPr>
      <w:bookmarkStart w:id="23" w:name="ReasonsPage"/>
      <w:bookmarkEnd w:id="23"/>
      <w:r w:rsidRPr="00045BB7">
        <w:rPr>
          <w:sz w:val="28"/>
          <w:szCs w:val="28"/>
        </w:rPr>
        <w:lastRenderedPageBreak/>
        <w:t>REASONS FOR JUDGMENT</w:t>
      </w:r>
    </w:p>
    <w:p w14:paraId="65CDD43C" w14:textId="77777777" w:rsidR="00A33C52" w:rsidRPr="00045BB7" w:rsidRDefault="00A33C52" w:rsidP="00045BB7">
      <w:pPr>
        <w:pStyle w:val="NormalHeadings"/>
        <w:spacing w:line="480" w:lineRule="auto"/>
        <w:jc w:val="center"/>
        <w:rPr>
          <w:sz w:val="28"/>
          <w:szCs w:val="28"/>
        </w:rPr>
      </w:pPr>
      <w:r>
        <w:rPr>
          <w:sz w:val="28"/>
          <w:szCs w:val="28"/>
        </w:rPr>
        <w:t>(edited from the transcript)</w:t>
      </w:r>
    </w:p>
    <w:p w14:paraId="2453F171" w14:textId="77777777" w:rsidR="00694BEB" w:rsidRDefault="00984AA3" w:rsidP="005E0510">
      <w:pPr>
        <w:pStyle w:val="NormalHeadings"/>
        <w:spacing w:line="360" w:lineRule="auto"/>
        <w:jc w:val="left"/>
        <w:rPr>
          <w:sz w:val="26"/>
          <w:szCs w:val="26"/>
        </w:rPr>
      </w:pPr>
      <w:r>
        <w:rPr>
          <w:sz w:val="26"/>
          <w:szCs w:val="26"/>
        </w:rPr>
        <w:t>JACKSON J:</w:t>
      </w:r>
    </w:p>
    <w:p w14:paraId="43624841" w14:textId="77777777" w:rsidR="00A61EBA" w:rsidRPr="00A61EBA" w:rsidRDefault="00A61EBA" w:rsidP="00A61EBA">
      <w:pPr>
        <w:pStyle w:val="Heading2"/>
      </w:pPr>
      <w:r w:rsidRPr="00A61EBA">
        <w:t>Background</w:t>
      </w:r>
    </w:p>
    <w:p w14:paraId="2C7AB50A" w14:textId="1CC77229" w:rsidR="003B4F44" w:rsidRDefault="009E1AAA" w:rsidP="004C1B2E">
      <w:pPr>
        <w:pStyle w:val="ParaNumbering"/>
      </w:pPr>
      <w:r>
        <w:t>T</w:t>
      </w:r>
      <w:r w:rsidR="004C1B2E">
        <w:t>his is a proceeding in which the applicants have claimed declarations that the first respondent, Mr Brown, is indebted to them in a total sum of $126,019,336.30</w:t>
      </w:r>
      <w:r w:rsidR="003B4F44">
        <w:t xml:space="preserve">.  They </w:t>
      </w:r>
      <w:r w:rsidR="004C1B2E">
        <w:t xml:space="preserve">also claim compensation under the </w:t>
      </w:r>
      <w:r w:rsidR="004C1B2E" w:rsidRPr="00000828">
        <w:rPr>
          <w:i/>
        </w:rPr>
        <w:t>Australian Consumer Law</w:t>
      </w:r>
      <w:r w:rsidR="00CC08E6">
        <w:t xml:space="preserve"> (</w:t>
      </w:r>
      <w:r w:rsidR="003D2B90">
        <w:t xml:space="preserve">according to the originating process, </w:t>
      </w:r>
      <w:r w:rsidR="00CC08E6">
        <w:t>as applied by</w:t>
      </w:r>
      <w:r w:rsidR="006D3D83">
        <w:t xml:space="preserve"> Schedule 2 of the </w:t>
      </w:r>
      <w:r w:rsidR="006D3D83">
        <w:rPr>
          <w:i/>
        </w:rPr>
        <w:t xml:space="preserve">Competition and Consumer Act 2010 </w:t>
      </w:r>
      <w:r w:rsidR="006D3D83">
        <w:t>(Cth)</w:t>
      </w:r>
      <w:r w:rsidR="00CC08E6">
        <w:t>)</w:t>
      </w:r>
      <w:r w:rsidR="003B4F44">
        <w:t xml:space="preserve"> </w:t>
      </w:r>
      <w:r w:rsidR="004C1B2E">
        <w:t>for alleged mi</w:t>
      </w:r>
      <w:r w:rsidR="00712E8D">
        <w:t>sleading or deceptive conduct.</w:t>
      </w:r>
    </w:p>
    <w:p w14:paraId="7A8008C9" w14:textId="04311C04" w:rsidR="00F549C3" w:rsidRDefault="004C1B2E" w:rsidP="004C1B2E">
      <w:pPr>
        <w:pStyle w:val="ParaNumbering"/>
      </w:pPr>
      <w:r>
        <w:t xml:space="preserve">The applicants initially sought freezing orders </w:t>
      </w:r>
      <w:r w:rsidR="00546FA7">
        <w:t>ex parte, which were made on 18 </w:t>
      </w:r>
      <w:r>
        <w:t xml:space="preserve">March 2021.  The second respondent, </w:t>
      </w:r>
      <w:r w:rsidRPr="00D23DA1">
        <w:t>CMB Investments</w:t>
      </w:r>
      <w:r>
        <w:t xml:space="preserve"> </w:t>
      </w:r>
      <w:r w:rsidR="00546FA7">
        <w:t xml:space="preserve">1993 </w:t>
      </w:r>
      <w:r>
        <w:t>Pty L</w:t>
      </w:r>
      <w:r w:rsidR="00546FA7">
        <w:t>td</w:t>
      </w:r>
      <w:r>
        <w:t xml:space="preserve">, was included as a party because there was </w:t>
      </w:r>
      <w:r w:rsidR="00FC5C70">
        <w:t>a</w:t>
      </w:r>
      <w:r w:rsidR="00782419">
        <w:t xml:space="preserve"> </w:t>
      </w:r>
      <w:r>
        <w:t xml:space="preserve">suggestion in the </w:t>
      </w:r>
      <w:r w:rsidR="00EE1F16">
        <w:t>evidence that it</w:t>
      </w:r>
      <w:r>
        <w:t xml:space="preserve"> may have re</w:t>
      </w:r>
      <w:r w:rsidR="00712E8D">
        <w:t>ceived property from Mr Brown.</w:t>
      </w:r>
    </w:p>
    <w:p w14:paraId="1CDE0427" w14:textId="2C79D9C4" w:rsidR="00F549C3" w:rsidRDefault="004C1B2E" w:rsidP="00750073">
      <w:pPr>
        <w:pStyle w:val="ParaNumbering"/>
      </w:pPr>
      <w:r>
        <w:t>On 25</w:t>
      </w:r>
      <w:r w:rsidR="00EE1F16">
        <w:t> </w:t>
      </w:r>
      <w:r>
        <w:t xml:space="preserve">March </w:t>
      </w:r>
      <w:r w:rsidR="00F549C3">
        <w:t xml:space="preserve">2021, </w:t>
      </w:r>
      <w:r>
        <w:t xml:space="preserve">by consent, </w:t>
      </w:r>
      <w:r w:rsidR="00F549C3">
        <w:t xml:space="preserve">the court made </w:t>
      </w:r>
      <w:r>
        <w:t xml:space="preserve">orders appointing </w:t>
      </w:r>
      <w:r w:rsidR="00F549C3">
        <w:t xml:space="preserve">Matthew Woods and </w:t>
      </w:r>
      <w:r w:rsidR="00782419">
        <w:t xml:space="preserve">Hayden White </w:t>
      </w:r>
      <w:r w:rsidR="00A61EBA">
        <w:t>of KPMG (</w:t>
      </w:r>
      <w:r w:rsidR="00A61EBA" w:rsidRPr="00A61EBA">
        <w:rPr>
          <w:b/>
        </w:rPr>
        <w:t>Receivers</w:t>
      </w:r>
      <w:r w:rsidR="00A61EBA">
        <w:t xml:space="preserve">) </w:t>
      </w:r>
      <w:r w:rsidR="00F549C3">
        <w:t xml:space="preserve">as </w:t>
      </w:r>
      <w:r>
        <w:t xml:space="preserve">receivers </w:t>
      </w:r>
      <w:r w:rsidR="00A61EBA">
        <w:t xml:space="preserve">and managers </w:t>
      </w:r>
      <w:r w:rsidR="00F549C3">
        <w:t>of</w:t>
      </w:r>
      <w:r>
        <w:t xml:space="preserve"> the property of both respondents.  </w:t>
      </w:r>
      <w:r w:rsidR="00191C1F">
        <w:t xml:space="preserve">The court formally noted in the orders that Mr Brown had acknowledged his indebtedness to the applicants </w:t>
      </w:r>
      <w:r w:rsidR="00191C1F" w:rsidRPr="00E5137E">
        <w:t xml:space="preserve">in the </w:t>
      </w:r>
      <w:r w:rsidR="00E5137E">
        <w:t xml:space="preserve">total </w:t>
      </w:r>
      <w:r w:rsidR="00D23DA1">
        <w:t>amount</w:t>
      </w:r>
      <w:r w:rsidR="00DC54C8">
        <w:t xml:space="preserve"> referred to above</w:t>
      </w:r>
      <w:r w:rsidR="00191C1F">
        <w:t xml:space="preserve">.  </w:t>
      </w:r>
      <w:r>
        <w:t xml:space="preserve">The orders included directions </w:t>
      </w:r>
      <w:r w:rsidR="00FA2D30">
        <w:t xml:space="preserve">as to </w:t>
      </w:r>
      <w:r>
        <w:t xml:space="preserve">the </w:t>
      </w:r>
      <w:r w:rsidR="00A61EBA">
        <w:t>R</w:t>
      </w:r>
      <w:r>
        <w:t>eceivers</w:t>
      </w:r>
      <w:r w:rsidR="00712E8D">
        <w:t>'</w:t>
      </w:r>
      <w:r w:rsidR="00A61EBA">
        <w:t xml:space="preserve"> </w:t>
      </w:r>
      <w:r>
        <w:t xml:space="preserve">entitlement to recovery of </w:t>
      </w:r>
      <w:r w:rsidR="00DC54C8">
        <w:t xml:space="preserve">their reasonable costs </w:t>
      </w:r>
      <w:r w:rsidR="00F549C3">
        <w:t>and expenses from receivership property</w:t>
      </w:r>
      <w:r w:rsidR="00546FA7">
        <w:t>.</w:t>
      </w:r>
    </w:p>
    <w:p w14:paraId="0C520CD6" w14:textId="7B1B5F96" w:rsidR="00F549C3" w:rsidRDefault="00F549C3" w:rsidP="00750073">
      <w:pPr>
        <w:pStyle w:val="ParaNumbering"/>
      </w:pPr>
      <w:r>
        <w:t xml:space="preserve">On </w:t>
      </w:r>
      <w:r w:rsidR="00712E8D">
        <w:t>10 </w:t>
      </w:r>
      <w:r w:rsidR="00E07382">
        <w:t>May</w:t>
      </w:r>
      <w:r>
        <w:t xml:space="preserve"> 2021 </w:t>
      </w:r>
      <w:r w:rsidR="004C1B2E">
        <w:t>a sequestration order was made against the estate of Mr Brown</w:t>
      </w:r>
      <w:r w:rsidR="00E07382">
        <w:t xml:space="preserve"> in a separate proceeding</w:t>
      </w:r>
      <w:r w:rsidR="004C1B2E">
        <w:t xml:space="preserve">, and he became </w:t>
      </w:r>
      <w:r>
        <w:t xml:space="preserve">a </w:t>
      </w:r>
      <w:r w:rsidR="004C1B2E">
        <w:t>bankrupt</w:t>
      </w:r>
      <w:r w:rsidR="00E07382">
        <w:t>.</w:t>
      </w:r>
      <w:r w:rsidR="004C1B2E">
        <w:t xml:space="preserve"> </w:t>
      </w:r>
      <w:r w:rsidRPr="00FA2D30">
        <w:t>John</w:t>
      </w:r>
      <w:r w:rsidR="004C1B2E" w:rsidRPr="00FA2D30">
        <w:t> Shanahan</w:t>
      </w:r>
      <w:r w:rsidR="004C1B2E">
        <w:t xml:space="preserve"> </w:t>
      </w:r>
      <w:r w:rsidR="00E07382">
        <w:t xml:space="preserve">was appointed </w:t>
      </w:r>
      <w:r w:rsidR="004C1B2E">
        <w:t>as his trustee in bankruptcy</w:t>
      </w:r>
      <w:r w:rsidR="00FE45CE">
        <w:t xml:space="preserve"> (</w:t>
      </w:r>
      <w:r w:rsidR="00FE45CE">
        <w:rPr>
          <w:b/>
        </w:rPr>
        <w:t>Trustee</w:t>
      </w:r>
      <w:r w:rsidR="00FE45CE">
        <w:t>)</w:t>
      </w:r>
      <w:r w:rsidR="004C1B2E">
        <w:t xml:space="preserve">.  </w:t>
      </w:r>
      <w:r>
        <w:t xml:space="preserve">Since then, </w:t>
      </w:r>
      <w:r w:rsidR="004C1B2E">
        <w:t>Mr Shanahan has</w:t>
      </w:r>
      <w:r>
        <w:t xml:space="preserve"> </w:t>
      </w:r>
      <w:r w:rsidR="004C1B2E">
        <w:t>participated in this proc</w:t>
      </w:r>
      <w:r w:rsidR="00712E8D">
        <w:t>eeding as an interested party.</w:t>
      </w:r>
    </w:p>
    <w:p w14:paraId="42C317DA" w14:textId="52A07555" w:rsidR="00A61EBA" w:rsidRDefault="004C1B2E" w:rsidP="00750073">
      <w:pPr>
        <w:pStyle w:val="ParaNumbering"/>
      </w:pPr>
      <w:r>
        <w:t xml:space="preserve">The </w:t>
      </w:r>
      <w:r w:rsidR="00A61EBA">
        <w:t>R</w:t>
      </w:r>
      <w:r>
        <w:t xml:space="preserve">eceivers provided their final report in relation to the receivership property </w:t>
      </w:r>
      <w:r w:rsidR="00712E8D">
        <w:t>on 15 </w:t>
      </w:r>
      <w:r w:rsidR="00D23DA1">
        <w:t xml:space="preserve">June 2021 </w:t>
      </w:r>
      <w:r>
        <w:t xml:space="preserve">and, pursuant to the orders of the </w:t>
      </w:r>
      <w:r w:rsidR="00000828">
        <w:t>c</w:t>
      </w:r>
      <w:r>
        <w:t>our</w:t>
      </w:r>
      <w:r w:rsidR="00712E8D">
        <w:t>t, the receivership ended on 16 </w:t>
      </w:r>
      <w:r>
        <w:t>June</w:t>
      </w:r>
      <w:r w:rsidR="00A61EBA">
        <w:t xml:space="preserve"> 2021 (for convenience I will continue to refer to them as the Rece</w:t>
      </w:r>
      <w:r w:rsidR="005908E0">
        <w:t>i</w:t>
      </w:r>
      <w:r w:rsidR="00A61EBA">
        <w:t>vers)</w:t>
      </w:r>
      <w:r w:rsidR="00712E8D">
        <w:t>.</w:t>
      </w:r>
    </w:p>
    <w:p w14:paraId="5176E32E" w14:textId="52E062B7" w:rsidR="004C1B2E" w:rsidRDefault="004C1B2E" w:rsidP="00750073">
      <w:pPr>
        <w:pStyle w:val="ParaNumbering"/>
      </w:pPr>
      <w:r>
        <w:t xml:space="preserve">The </w:t>
      </w:r>
      <w:r w:rsidR="00A33C52">
        <w:t>c</w:t>
      </w:r>
      <w:r>
        <w:t>ourt ordered the wind</w:t>
      </w:r>
      <w:r w:rsidR="00A61EBA">
        <w:t xml:space="preserve">ing up of </w:t>
      </w:r>
      <w:r>
        <w:t xml:space="preserve">CMB </w:t>
      </w:r>
      <w:r w:rsidR="00A61EBA">
        <w:t>I</w:t>
      </w:r>
      <w:r>
        <w:t>nvestments on 3</w:t>
      </w:r>
      <w:r w:rsidR="00546FA7">
        <w:t xml:space="preserve">0 June </w:t>
      </w:r>
      <w:r w:rsidR="00A61EBA">
        <w:t>2021</w:t>
      </w:r>
      <w:r w:rsidR="0045111F">
        <w:t xml:space="preserve"> in another separate proceeding</w:t>
      </w:r>
      <w:r w:rsidR="00A61EBA">
        <w:t xml:space="preserve">, </w:t>
      </w:r>
      <w:r w:rsidR="00546FA7">
        <w:t xml:space="preserve">and appointed </w:t>
      </w:r>
      <w:r w:rsidR="0045111F">
        <w:t xml:space="preserve">Richard </w:t>
      </w:r>
      <w:r w:rsidR="00A61EBA">
        <w:t xml:space="preserve">Tucker </w:t>
      </w:r>
      <w:r w:rsidR="00EA3867">
        <w:t xml:space="preserve">and </w:t>
      </w:r>
      <w:r w:rsidR="0045111F">
        <w:t>John</w:t>
      </w:r>
      <w:r w:rsidR="00546FA7">
        <w:t> </w:t>
      </w:r>
      <w:proofErr w:type="spellStart"/>
      <w:r w:rsidR="00546FA7">
        <w:t>Bumbak</w:t>
      </w:r>
      <w:proofErr w:type="spellEnd"/>
      <w:r w:rsidR="00A33C52">
        <w:t xml:space="preserve"> </w:t>
      </w:r>
      <w:r w:rsidR="00A61EBA">
        <w:t>of</w:t>
      </w:r>
      <w:r>
        <w:t xml:space="preserve"> </w:t>
      </w:r>
      <w:proofErr w:type="spellStart"/>
      <w:r>
        <w:t>KordaMentha</w:t>
      </w:r>
      <w:proofErr w:type="spellEnd"/>
      <w:r>
        <w:t xml:space="preserve"> as liquid</w:t>
      </w:r>
      <w:r w:rsidR="00A61EBA">
        <w:t>ators</w:t>
      </w:r>
      <w:r w:rsidR="00546FA7">
        <w:t>.</w:t>
      </w:r>
    </w:p>
    <w:p w14:paraId="58F64582" w14:textId="77777777" w:rsidR="00A61EBA" w:rsidRDefault="00A61EBA" w:rsidP="00A61EBA">
      <w:pPr>
        <w:pStyle w:val="Heading2"/>
      </w:pPr>
      <w:r>
        <w:lastRenderedPageBreak/>
        <w:t>Orders sought</w:t>
      </w:r>
    </w:p>
    <w:p w14:paraId="6A76CC4A" w14:textId="41F5376F" w:rsidR="00EA3867" w:rsidRDefault="004C1B2E" w:rsidP="00750073">
      <w:pPr>
        <w:pStyle w:val="ParaNumbering"/>
      </w:pPr>
      <w:r>
        <w:t xml:space="preserve">The </w:t>
      </w:r>
      <w:r w:rsidR="00A61EBA">
        <w:t>applicants and R</w:t>
      </w:r>
      <w:r>
        <w:t xml:space="preserve">eceivers now seek orders concerning </w:t>
      </w:r>
      <w:r w:rsidR="00A61EBA">
        <w:t>the Receivers</w:t>
      </w:r>
      <w:r w:rsidR="00712E8D">
        <w:t>'</w:t>
      </w:r>
      <w:r>
        <w:t xml:space="preserve"> entitlement to recover </w:t>
      </w:r>
      <w:r w:rsidR="0045111F">
        <w:t>their reasonable costs and expenses</w:t>
      </w:r>
      <w:r>
        <w:t xml:space="preserve"> from any assets of the respondents.  </w:t>
      </w:r>
      <w:r w:rsidR="001A04B0">
        <w:t>The orders sought</w:t>
      </w:r>
      <w:r>
        <w:t xml:space="preserve"> arise out of </w:t>
      </w:r>
      <w:r w:rsidR="00EA3867">
        <w:t>the following</w:t>
      </w:r>
      <w:r>
        <w:t xml:space="preserve"> problem which the </w:t>
      </w:r>
      <w:r w:rsidR="0045111F">
        <w:t>R</w:t>
      </w:r>
      <w:r>
        <w:t>eceivers perceive</w:t>
      </w:r>
      <w:r w:rsidR="00EA3867">
        <w:t xml:space="preserve">.  The </w:t>
      </w:r>
      <w:r>
        <w:t>assets of the respondents which they have identified and recovered to date are extremely modest</w:t>
      </w:r>
      <w:r w:rsidR="00EA3867">
        <w:t>; c</w:t>
      </w:r>
      <w:r>
        <w:t xml:space="preserve">ompared to the </w:t>
      </w:r>
      <w:r w:rsidR="0045111F">
        <w:t xml:space="preserve">acknowledged </w:t>
      </w:r>
      <w:r>
        <w:t>indebtedness</w:t>
      </w:r>
      <w:r w:rsidR="00A61EBA">
        <w:t xml:space="preserve"> to the applicants</w:t>
      </w:r>
      <w:r>
        <w:t>,</w:t>
      </w:r>
      <w:r w:rsidR="00EA3867">
        <w:t xml:space="preserve"> they are</w:t>
      </w:r>
      <w:r>
        <w:t xml:space="preserve"> negligible.  But it is at least theoretically possible that in the course of the bankruptcy or liquidation, the </w:t>
      </w:r>
      <w:r w:rsidR="00FE45CE">
        <w:t>Trustee</w:t>
      </w:r>
      <w:r>
        <w:t xml:space="preserve"> or liquidators, respectively, may identi</w:t>
      </w:r>
      <w:r w:rsidR="00546FA7">
        <w:t>fy and realise further assets.</w:t>
      </w:r>
      <w:r w:rsidR="00A61EBA">
        <w:t xml:space="preserve">  </w:t>
      </w:r>
      <w:r>
        <w:t xml:space="preserve">The </w:t>
      </w:r>
      <w:r w:rsidR="000160BB">
        <w:t>R</w:t>
      </w:r>
      <w:r>
        <w:t xml:space="preserve">eceivers wish to assert, if appropriate, an interest in any assets so identified and recovered or </w:t>
      </w:r>
      <w:r w:rsidR="003D2B90">
        <w:t xml:space="preserve">an interest in </w:t>
      </w:r>
      <w:r>
        <w:t xml:space="preserve">the proceeds of realising those </w:t>
      </w:r>
      <w:r w:rsidR="000160BB">
        <w:t xml:space="preserve">further </w:t>
      </w:r>
      <w:r>
        <w:t xml:space="preserve">assets.  </w:t>
      </w:r>
      <w:r w:rsidR="00E62130">
        <w:t>T</w:t>
      </w:r>
      <w:r w:rsidR="00D23DA1">
        <w:t xml:space="preserve">he Receivers </w:t>
      </w:r>
      <w:r w:rsidR="003D2B90">
        <w:t>may claim</w:t>
      </w:r>
      <w:r w:rsidR="00D23DA1">
        <w:t xml:space="preserve"> an</w:t>
      </w:r>
      <w:r>
        <w:t xml:space="preserve"> equitable lien under the principle </w:t>
      </w:r>
      <w:r w:rsidR="00712E8D">
        <w:t>enunciated by Dixon </w:t>
      </w:r>
      <w:r w:rsidR="000160BB">
        <w:t xml:space="preserve">J </w:t>
      </w:r>
      <w:r>
        <w:t xml:space="preserve">in </w:t>
      </w:r>
      <w:r w:rsidR="000160BB" w:rsidRPr="003D4498">
        <w:rPr>
          <w:i/>
        </w:rPr>
        <w:t xml:space="preserve">Re </w:t>
      </w:r>
      <w:r w:rsidR="00EA3867" w:rsidRPr="003D4498">
        <w:rPr>
          <w:i/>
        </w:rPr>
        <w:t>Universal Distributing</w:t>
      </w:r>
      <w:r w:rsidR="000160BB" w:rsidRPr="003D4498">
        <w:rPr>
          <w:i/>
        </w:rPr>
        <w:t xml:space="preserve"> Co Ltd (in </w:t>
      </w:r>
      <w:proofErr w:type="spellStart"/>
      <w:r w:rsidR="000160BB" w:rsidRPr="003D4498">
        <w:rPr>
          <w:i/>
        </w:rPr>
        <w:t>liq</w:t>
      </w:r>
      <w:proofErr w:type="spellEnd"/>
      <w:r w:rsidR="000160BB" w:rsidRPr="003D4498">
        <w:rPr>
          <w:i/>
        </w:rPr>
        <w:t xml:space="preserve">) </w:t>
      </w:r>
      <w:r w:rsidR="000160BB">
        <w:t>(1933) 48 CLR 171</w:t>
      </w:r>
      <w:r w:rsidR="00EA3867">
        <w:t xml:space="preserve"> </w:t>
      </w:r>
      <w:r w:rsidR="00712E8D">
        <w:t>at </w:t>
      </w:r>
      <w:r w:rsidR="000160BB">
        <w:t xml:space="preserve">174 </w:t>
      </w:r>
      <w:r w:rsidR="00EA3867">
        <w:t xml:space="preserve">in respect of </w:t>
      </w:r>
      <w:r>
        <w:t xml:space="preserve">their </w:t>
      </w:r>
      <w:r w:rsidR="000160BB">
        <w:t xml:space="preserve">costs </w:t>
      </w:r>
      <w:r w:rsidR="00CC08E6">
        <w:t>(i.e</w:t>
      </w:r>
      <w:r w:rsidR="00073084">
        <w:t>.,</w:t>
      </w:r>
      <w:r w:rsidR="00CC08E6">
        <w:t xml:space="preserve"> remuneration) </w:t>
      </w:r>
      <w:r w:rsidR="00712E8D">
        <w:t>and expenses.</w:t>
      </w:r>
    </w:p>
    <w:p w14:paraId="6A882AB1" w14:textId="1C092BD4" w:rsidR="00D23DA1" w:rsidRDefault="004C1B2E" w:rsidP="00750073">
      <w:pPr>
        <w:pStyle w:val="ParaNumbering"/>
      </w:pPr>
      <w:r>
        <w:t xml:space="preserve">The </w:t>
      </w:r>
      <w:r w:rsidR="000160BB">
        <w:t>R</w:t>
      </w:r>
      <w:r>
        <w:t xml:space="preserve">eceivers therefore now seek </w:t>
      </w:r>
      <w:r w:rsidR="00FC354F">
        <w:t xml:space="preserve">a number of </w:t>
      </w:r>
      <w:r>
        <w:t>orders which, broadly speaking, wou</w:t>
      </w:r>
      <w:r w:rsidR="00712E8D">
        <w:t>ld be to the following effect.</w:t>
      </w:r>
    </w:p>
    <w:p w14:paraId="04DAB327" w14:textId="6A00C4BC" w:rsidR="00EA3867" w:rsidRPr="00073084" w:rsidRDefault="004C1B2E" w:rsidP="00750073">
      <w:pPr>
        <w:pStyle w:val="ParaNumbering"/>
        <w:rPr>
          <w:iCs/>
        </w:rPr>
      </w:pPr>
      <w:r w:rsidRPr="00073084">
        <w:rPr>
          <w:iCs/>
        </w:rPr>
        <w:t>First</w:t>
      </w:r>
      <w:r w:rsidRPr="0057289F">
        <w:rPr>
          <w:iCs/>
        </w:rPr>
        <w:t xml:space="preserve">, they </w:t>
      </w:r>
      <w:r w:rsidR="00EA3867" w:rsidRPr="0057289F">
        <w:rPr>
          <w:iCs/>
        </w:rPr>
        <w:t>ask</w:t>
      </w:r>
      <w:r w:rsidRPr="0057289F">
        <w:rPr>
          <w:iCs/>
        </w:rPr>
        <w:t xml:space="preserve"> the </w:t>
      </w:r>
      <w:r w:rsidR="00546FA7" w:rsidRPr="0057289F">
        <w:rPr>
          <w:iCs/>
        </w:rPr>
        <w:t>c</w:t>
      </w:r>
      <w:r w:rsidRPr="0057289F">
        <w:rPr>
          <w:iCs/>
        </w:rPr>
        <w:t xml:space="preserve">ourt to formally note in the orders that they have </w:t>
      </w:r>
      <w:r w:rsidR="00EA3867" w:rsidRPr="00CC08E6">
        <w:rPr>
          <w:iCs/>
        </w:rPr>
        <w:t>asserted</w:t>
      </w:r>
      <w:r w:rsidRPr="00CC08E6">
        <w:rPr>
          <w:iCs/>
        </w:rPr>
        <w:t xml:space="preserve"> equitable lien</w:t>
      </w:r>
      <w:r w:rsidR="00EA3867" w:rsidRPr="00CC08E6">
        <w:rPr>
          <w:iCs/>
        </w:rPr>
        <w:t>s</w:t>
      </w:r>
      <w:r w:rsidRPr="00CC08E6">
        <w:rPr>
          <w:iCs/>
        </w:rPr>
        <w:t xml:space="preserve"> with respect to their </w:t>
      </w:r>
      <w:r w:rsidR="00FC354F" w:rsidRPr="00073084">
        <w:rPr>
          <w:iCs/>
        </w:rPr>
        <w:t>costs</w:t>
      </w:r>
      <w:r w:rsidR="00EA3867" w:rsidRPr="00073084">
        <w:rPr>
          <w:iCs/>
        </w:rPr>
        <w:t xml:space="preserve"> and </w:t>
      </w:r>
      <w:r w:rsidRPr="00073084">
        <w:rPr>
          <w:iCs/>
        </w:rPr>
        <w:t xml:space="preserve">expenses over </w:t>
      </w:r>
      <w:r w:rsidR="00EA3867" w:rsidRPr="00073084">
        <w:rPr>
          <w:iCs/>
        </w:rPr>
        <w:t>the</w:t>
      </w:r>
      <w:r w:rsidRPr="00073084">
        <w:rPr>
          <w:iCs/>
        </w:rPr>
        <w:t xml:space="preserve"> modest amount of money which the </w:t>
      </w:r>
      <w:r w:rsidR="000160BB" w:rsidRPr="00073084">
        <w:rPr>
          <w:iCs/>
        </w:rPr>
        <w:t>R</w:t>
      </w:r>
      <w:r w:rsidRPr="00073084">
        <w:rPr>
          <w:iCs/>
        </w:rPr>
        <w:t xml:space="preserve">eceivers have realised and brought in, </w:t>
      </w:r>
      <w:r w:rsidR="00EA3867" w:rsidRPr="00073084">
        <w:rPr>
          <w:iCs/>
        </w:rPr>
        <w:t xml:space="preserve">over </w:t>
      </w:r>
      <w:r w:rsidRPr="00073084">
        <w:rPr>
          <w:iCs/>
        </w:rPr>
        <w:t xml:space="preserve">any proceeds arising out of the ownership of certain racehorses in which Mr Brown appears to </w:t>
      </w:r>
      <w:r w:rsidR="00014764">
        <w:rPr>
          <w:iCs/>
        </w:rPr>
        <w:t>have</w:t>
      </w:r>
      <w:r w:rsidRPr="00073084">
        <w:rPr>
          <w:iCs/>
        </w:rPr>
        <w:t xml:space="preserve"> an interest</w:t>
      </w:r>
      <w:r w:rsidR="00EA3867" w:rsidRPr="00073084">
        <w:rPr>
          <w:iCs/>
        </w:rPr>
        <w:t>,</w:t>
      </w:r>
      <w:r w:rsidRPr="00073084">
        <w:rPr>
          <w:iCs/>
        </w:rPr>
        <w:t xml:space="preserve"> and </w:t>
      </w:r>
      <w:r w:rsidR="00EA3867" w:rsidRPr="00073084">
        <w:rPr>
          <w:iCs/>
        </w:rPr>
        <w:t xml:space="preserve">over </w:t>
      </w:r>
      <w:r w:rsidRPr="00073084">
        <w:rPr>
          <w:iCs/>
        </w:rPr>
        <w:t>any future</w:t>
      </w:r>
      <w:r w:rsidR="00546FA7" w:rsidRPr="00073084">
        <w:rPr>
          <w:iCs/>
        </w:rPr>
        <w:t xml:space="preserve"> property that may be realised.</w:t>
      </w:r>
    </w:p>
    <w:p w14:paraId="55179364" w14:textId="59482758" w:rsidR="00EA3867" w:rsidRPr="00073084" w:rsidRDefault="00641C45" w:rsidP="00750073">
      <w:pPr>
        <w:pStyle w:val="ParaNumbering"/>
        <w:rPr>
          <w:iCs/>
        </w:rPr>
      </w:pPr>
      <w:r w:rsidRPr="00073084">
        <w:rPr>
          <w:iCs/>
        </w:rPr>
        <w:t>Second</w:t>
      </w:r>
      <w:r w:rsidR="00FC354F" w:rsidRPr="00073084">
        <w:rPr>
          <w:iCs/>
        </w:rPr>
        <w:t xml:space="preserve">, </w:t>
      </w:r>
      <w:r w:rsidR="00FC354F" w:rsidRPr="0057289F">
        <w:rPr>
          <w:iCs/>
        </w:rPr>
        <w:t>t</w:t>
      </w:r>
      <w:r w:rsidR="00EA3867" w:rsidRPr="0057289F">
        <w:rPr>
          <w:iCs/>
        </w:rPr>
        <w:t xml:space="preserve">he Receivers </w:t>
      </w:r>
      <w:r w:rsidR="004C1B2E" w:rsidRPr="0057289F">
        <w:rPr>
          <w:iCs/>
        </w:rPr>
        <w:t xml:space="preserve">seek orders permitting them to apply the modest amount of money that they have realised to </w:t>
      </w:r>
      <w:r w:rsidR="004C1B2E" w:rsidRPr="00073084">
        <w:rPr>
          <w:iCs/>
        </w:rPr>
        <w:t xml:space="preserve">their </w:t>
      </w:r>
      <w:r w:rsidR="000160BB" w:rsidRPr="00073084">
        <w:rPr>
          <w:iCs/>
        </w:rPr>
        <w:t>costs</w:t>
      </w:r>
      <w:r w:rsidR="004C1B2E" w:rsidRPr="00073084">
        <w:rPr>
          <w:iCs/>
        </w:rPr>
        <w:t xml:space="preserve"> and expenses without the need to </w:t>
      </w:r>
      <w:r w:rsidR="00FC354F" w:rsidRPr="00073084">
        <w:rPr>
          <w:iCs/>
        </w:rPr>
        <w:t xml:space="preserve">file and </w:t>
      </w:r>
      <w:r w:rsidR="00712E8D">
        <w:rPr>
          <w:iCs/>
        </w:rPr>
        <w:t>pass accounts.</w:t>
      </w:r>
    </w:p>
    <w:p w14:paraId="047E5453" w14:textId="59E5783A" w:rsidR="004C1B2E" w:rsidRPr="00073084" w:rsidRDefault="00641C45" w:rsidP="00750073">
      <w:pPr>
        <w:pStyle w:val="ParaNumbering"/>
        <w:rPr>
          <w:iCs/>
        </w:rPr>
      </w:pPr>
      <w:r w:rsidRPr="00073084">
        <w:rPr>
          <w:iCs/>
        </w:rPr>
        <w:t>Third</w:t>
      </w:r>
      <w:r w:rsidR="00FC354F" w:rsidRPr="00073084">
        <w:rPr>
          <w:iCs/>
        </w:rPr>
        <w:t xml:space="preserve">, </w:t>
      </w:r>
      <w:r w:rsidR="00FC354F" w:rsidRPr="0057289F">
        <w:rPr>
          <w:iCs/>
        </w:rPr>
        <w:t>t</w:t>
      </w:r>
      <w:r w:rsidR="004C1B2E" w:rsidRPr="0057289F">
        <w:rPr>
          <w:iCs/>
        </w:rPr>
        <w:t>he</w:t>
      </w:r>
      <w:r w:rsidR="00EA3867" w:rsidRPr="0057289F">
        <w:rPr>
          <w:iCs/>
        </w:rPr>
        <w:t xml:space="preserve"> Receivers</w:t>
      </w:r>
      <w:r w:rsidR="004C1B2E" w:rsidRPr="0057289F">
        <w:rPr>
          <w:iCs/>
        </w:rPr>
        <w:t xml:space="preserve"> seek orders requiring that they be given at least 21 days</w:t>
      </w:r>
      <w:r w:rsidR="00A33C52" w:rsidRPr="0057289F">
        <w:rPr>
          <w:iCs/>
        </w:rPr>
        <w:t>'</w:t>
      </w:r>
      <w:r w:rsidR="004C1B2E" w:rsidRPr="00CC08E6">
        <w:rPr>
          <w:iCs/>
        </w:rPr>
        <w:t xml:space="preserve"> notice of any propose</w:t>
      </w:r>
      <w:r w:rsidR="00EA3867" w:rsidRPr="00073084">
        <w:rPr>
          <w:iCs/>
        </w:rPr>
        <w:t>d</w:t>
      </w:r>
      <w:r w:rsidR="004C1B2E" w:rsidRPr="00073084">
        <w:rPr>
          <w:iCs/>
        </w:rPr>
        <w:t xml:space="preserve"> distribution of any future property or proceeds either of Mr Brown or CMB Invest</w:t>
      </w:r>
      <w:r w:rsidR="00000828" w:rsidRPr="00073084">
        <w:rPr>
          <w:iCs/>
        </w:rPr>
        <w:t>ments</w:t>
      </w:r>
      <w:r w:rsidR="003E0B2A" w:rsidRPr="00073084">
        <w:rPr>
          <w:iCs/>
        </w:rPr>
        <w:t>,</w:t>
      </w:r>
      <w:r w:rsidR="00000828" w:rsidRPr="00073084">
        <w:rPr>
          <w:iCs/>
        </w:rPr>
        <w:t xml:space="preserve"> and the amount or origin </w:t>
      </w:r>
      <w:r w:rsidR="004C1B2E" w:rsidRPr="00073084">
        <w:rPr>
          <w:iCs/>
        </w:rPr>
        <w:t>of th</w:t>
      </w:r>
      <w:r w:rsidR="00546FA7" w:rsidRPr="00073084">
        <w:rPr>
          <w:iCs/>
        </w:rPr>
        <w:t>e future proceeds or property.</w:t>
      </w:r>
    </w:p>
    <w:p w14:paraId="7D75A454" w14:textId="2A9504C9" w:rsidR="003E0B2A" w:rsidRDefault="00641C45" w:rsidP="004C1B2E">
      <w:pPr>
        <w:pStyle w:val="ParaNumbering"/>
      </w:pPr>
      <w:r w:rsidRPr="00073084">
        <w:rPr>
          <w:iCs/>
        </w:rPr>
        <w:t>Fourth</w:t>
      </w:r>
      <w:r w:rsidR="00FC354F" w:rsidRPr="00073084">
        <w:rPr>
          <w:iCs/>
        </w:rPr>
        <w:t>,</w:t>
      </w:r>
      <w:r w:rsidR="00FC354F">
        <w:rPr>
          <w:i/>
        </w:rPr>
        <w:t xml:space="preserve"> </w:t>
      </w:r>
      <w:r w:rsidR="00FC354F">
        <w:t>t</w:t>
      </w:r>
      <w:r w:rsidR="004C1B2E">
        <w:t>he</w:t>
      </w:r>
      <w:r w:rsidR="003E0B2A">
        <w:t xml:space="preserve"> Receivers </w:t>
      </w:r>
      <w:r w:rsidR="004C1B2E">
        <w:t xml:space="preserve">seek orders permitting them, if they receive such notice, to have liberty to apply to the </w:t>
      </w:r>
      <w:r w:rsidR="00000828">
        <w:t>c</w:t>
      </w:r>
      <w:r w:rsidR="004C1B2E">
        <w:t>ourt</w:t>
      </w:r>
      <w:r w:rsidR="003E0B2A">
        <w:t xml:space="preserve"> </w:t>
      </w:r>
      <w:r w:rsidR="004C1B2E">
        <w:t>to enforce any asserted equitable lien against that property on the giving of 48 hours</w:t>
      </w:r>
      <w:r w:rsidR="00423BA8">
        <w:t>'</w:t>
      </w:r>
      <w:r w:rsidR="00712E8D">
        <w:t xml:space="preserve"> written notice.</w:t>
      </w:r>
    </w:p>
    <w:p w14:paraId="252E22DA" w14:textId="328BBDE4" w:rsidR="00EA3867" w:rsidRDefault="00641C45" w:rsidP="004C1B2E">
      <w:pPr>
        <w:pStyle w:val="ParaNumbering"/>
      </w:pPr>
      <w:r w:rsidRPr="00073084">
        <w:rPr>
          <w:iCs/>
        </w:rPr>
        <w:t>Fifth</w:t>
      </w:r>
      <w:r w:rsidR="00FC354F" w:rsidRPr="0057289F">
        <w:rPr>
          <w:iCs/>
        </w:rPr>
        <w:t xml:space="preserve">, </w:t>
      </w:r>
      <w:r w:rsidR="00FC354F">
        <w:t>t</w:t>
      </w:r>
      <w:r w:rsidR="003E0B2A">
        <w:t>he Receivers also</w:t>
      </w:r>
      <w:r w:rsidR="004C1B2E">
        <w:t xml:space="preserve"> seek an order pursuant to s</w:t>
      </w:r>
      <w:r w:rsidR="00546FA7">
        <w:t> </w:t>
      </w:r>
      <w:r w:rsidR="004C1B2E">
        <w:t xml:space="preserve">60 of the </w:t>
      </w:r>
      <w:r w:rsidR="004C1B2E" w:rsidRPr="00000828">
        <w:rPr>
          <w:i/>
        </w:rPr>
        <w:t>Bankruptcy Act</w:t>
      </w:r>
      <w:r w:rsidR="00546FA7" w:rsidRPr="00000828">
        <w:rPr>
          <w:i/>
        </w:rPr>
        <w:t xml:space="preserve"> 1966</w:t>
      </w:r>
      <w:r w:rsidR="00546FA7" w:rsidRPr="00000828">
        <w:t xml:space="preserve"> (Cth)</w:t>
      </w:r>
      <w:r w:rsidR="004C1B2E">
        <w:t xml:space="preserve">, or the implied jurisdiction of </w:t>
      </w:r>
      <w:r w:rsidR="00546FA7">
        <w:t>t</w:t>
      </w:r>
      <w:r w:rsidR="004C1B2E">
        <w:t xml:space="preserve">he </w:t>
      </w:r>
      <w:r w:rsidR="00546FA7">
        <w:t>c</w:t>
      </w:r>
      <w:r w:rsidR="004C1B2E">
        <w:t xml:space="preserve">ourt, that the proceedings be otherwise stayed until delivery of the final report by the </w:t>
      </w:r>
      <w:r w:rsidR="00FE45CE">
        <w:t>Trustee</w:t>
      </w:r>
      <w:r w:rsidR="00206BD2">
        <w:t xml:space="preserve"> or otherwise until further order</w:t>
      </w:r>
      <w:r w:rsidR="00712E8D">
        <w:t>.</w:t>
      </w:r>
    </w:p>
    <w:p w14:paraId="75FBD43E" w14:textId="6713D826" w:rsidR="00EA3867" w:rsidRDefault="003E0B2A" w:rsidP="004C1B2E">
      <w:pPr>
        <w:pStyle w:val="ParaNumbering"/>
      </w:pPr>
      <w:r w:rsidRPr="00073084">
        <w:rPr>
          <w:iCs/>
        </w:rPr>
        <w:lastRenderedPageBreak/>
        <w:t>Finally</w:t>
      </w:r>
      <w:r w:rsidRPr="0057289F">
        <w:rPr>
          <w:iCs/>
        </w:rPr>
        <w:t xml:space="preserve">, </w:t>
      </w:r>
      <w:r>
        <w:t>the applicants and the Receivers</w:t>
      </w:r>
      <w:r w:rsidR="00EA3867">
        <w:t xml:space="preserve"> seek leave under s 471B of the </w:t>
      </w:r>
      <w:r w:rsidR="00EA3867" w:rsidRPr="00000828">
        <w:rPr>
          <w:i/>
        </w:rPr>
        <w:t>Corporations Act 2001</w:t>
      </w:r>
      <w:r w:rsidR="00EA3867" w:rsidRPr="00000828">
        <w:t xml:space="preserve"> (Cth</w:t>
      </w:r>
      <w:r w:rsidR="00EA3867">
        <w:t xml:space="preserve">), to the extent necessary, to proceed against </w:t>
      </w:r>
      <w:r w:rsidR="00206BD2">
        <w:t>CMB Investments</w:t>
      </w:r>
      <w:r w:rsidR="00EA3867">
        <w:t xml:space="preserve"> for the pu</w:t>
      </w:r>
      <w:r w:rsidR="00712E8D">
        <w:t>rposes of seeking these orders.</w:t>
      </w:r>
    </w:p>
    <w:p w14:paraId="590A4090" w14:textId="77777777" w:rsidR="003E0B2A" w:rsidRDefault="003E0B2A" w:rsidP="003E0B2A">
      <w:pPr>
        <w:pStyle w:val="Heading2"/>
      </w:pPr>
      <w:r>
        <w:t>Applying funds currently held</w:t>
      </w:r>
    </w:p>
    <w:p w14:paraId="795BBFD5" w14:textId="37027456" w:rsidR="004C1B2E" w:rsidRDefault="004C1B2E" w:rsidP="004C1B2E">
      <w:pPr>
        <w:pStyle w:val="ParaNumbering"/>
      </w:pPr>
      <w:r>
        <w:t xml:space="preserve">Only one aspect of those orders sought is uncontroversial. </w:t>
      </w:r>
      <w:r w:rsidR="003D2B90">
        <w:t xml:space="preserve"> </w:t>
      </w:r>
      <w:r>
        <w:t xml:space="preserve">It is the </w:t>
      </w:r>
      <w:r w:rsidR="000160BB">
        <w:t>R</w:t>
      </w:r>
      <w:r>
        <w:t xml:space="preserve">eceivers' application </w:t>
      </w:r>
      <w:r w:rsidR="003D2B90">
        <w:t>for permission</w:t>
      </w:r>
      <w:r>
        <w:t xml:space="preserve"> to apply the modest amount of proceeds they have realised to date, namely $5</w:t>
      </w:r>
      <w:r w:rsidR="00A33C52">
        <w:t>,</w:t>
      </w:r>
      <w:r>
        <w:t xml:space="preserve">433.44, to their </w:t>
      </w:r>
      <w:r w:rsidR="000160BB">
        <w:t>costs</w:t>
      </w:r>
      <w:r>
        <w:t xml:space="preserve"> and expenses.  One of the </w:t>
      </w:r>
      <w:r w:rsidR="000160BB">
        <w:t>R</w:t>
      </w:r>
      <w:r>
        <w:t xml:space="preserve">eceivers, Mr Woods, has </w:t>
      </w:r>
      <w:r w:rsidR="003E0B2A" w:rsidRPr="005E00DA">
        <w:t>sworn</w:t>
      </w:r>
      <w:r>
        <w:t xml:space="preserve"> an affidavit dated 29</w:t>
      </w:r>
      <w:r w:rsidR="00712E8D">
        <w:t> </w:t>
      </w:r>
      <w:r>
        <w:t xml:space="preserve">June 2021 which establishes that the </w:t>
      </w:r>
      <w:r w:rsidR="000160BB">
        <w:t>R</w:t>
      </w:r>
      <w:r>
        <w:t xml:space="preserve">eceivers are entitled to </w:t>
      </w:r>
      <w:r w:rsidR="00FC354F">
        <w:t>costs</w:t>
      </w:r>
      <w:r>
        <w:t xml:space="preserve"> and </w:t>
      </w:r>
      <w:r w:rsidR="008052B1">
        <w:t>expenses</w:t>
      </w:r>
      <w:r w:rsidR="00423BA8">
        <w:t xml:space="preserve"> </w:t>
      </w:r>
      <w:r w:rsidR="00343E6F">
        <w:t xml:space="preserve">in an amount </w:t>
      </w:r>
      <w:r w:rsidR="00CB639E">
        <w:t>which, on</w:t>
      </w:r>
      <w:r>
        <w:t xml:space="preserve"> any view, fa</w:t>
      </w:r>
      <w:r w:rsidR="00546FA7">
        <w:t>r exceed</w:t>
      </w:r>
      <w:r w:rsidR="00073084">
        <w:t>s</w:t>
      </w:r>
      <w:r w:rsidR="00546FA7">
        <w:t xml:space="preserve"> th</w:t>
      </w:r>
      <w:r w:rsidR="003D2B90">
        <w:t>at sum</w:t>
      </w:r>
      <w:r w:rsidR="00546FA7">
        <w:t>.</w:t>
      </w:r>
    </w:p>
    <w:p w14:paraId="4FDB4151" w14:textId="5573FA85" w:rsidR="003E0B2A" w:rsidRDefault="004C1B2E" w:rsidP="00A33C52">
      <w:pPr>
        <w:pStyle w:val="ParaNumbering"/>
      </w:pPr>
      <w:r w:rsidRPr="00A10963">
        <w:t xml:space="preserve">It would be a waste of </w:t>
      </w:r>
      <w:r w:rsidR="003E0B2A">
        <w:t xml:space="preserve">further </w:t>
      </w:r>
      <w:r w:rsidRPr="00A10963">
        <w:t xml:space="preserve">costs to require the </w:t>
      </w:r>
      <w:r w:rsidR="000160BB">
        <w:t>R</w:t>
      </w:r>
      <w:r w:rsidRPr="00A10963">
        <w:t xml:space="preserve">eceivers to </w:t>
      </w:r>
      <w:r w:rsidR="008052B1">
        <w:t xml:space="preserve">file and </w:t>
      </w:r>
      <w:r w:rsidRPr="00A10963">
        <w:t>pass accounts in order to apply that amount of money to the</w:t>
      </w:r>
      <w:r w:rsidR="008052B1">
        <w:t>ir</w:t>
      </w:r>
      <w:r w:rsidRPr="00A10963">
        <w:t xml:space="preserve"> </w:t>
      </w:r>
      <w:r w:rsidR="00FC354F">
        <w:t>costs</w:t>
      </w:r>
      <w:r w:rsidRPr="00A10963">
        <w:t xml:space="preserve"> and </w:t>
      </w:r>
      <w:r w:rsidR="008052B1">
        <w:t>expenses</w:t>
      </w:r>
      <w:r w:rsidRPr="00A10963">
        <w:t xml:space="preserve">.  It is appropriate to dispense with that requirement and </w:t>
      </w:r>
      <w:r w:rsidR="003D2B90">
        <w:t xml:space="preserve">to </w:t>
      </w:r>
      <w:r w:rsidRPr="00A10963">
        <w:t>authorise payment out of th</w:t>
      </w:r>
      <w:r w:rsidR="008052B1">
        <w:t>e</w:t>
      </w:r>
      <w:r w:rsidRPr="00A10963">
        <w:t xml:space="preserve"> modest sum</w:t>
      </w:r>
      <w:r w:rsidR="00423BA8">
        <w:t xml:space="preserve"> that has been realised</w:t>
      </w:r>
      <w:r w:rsidRPr="00A10963">
        <w:t xml:space="preserve">, without requiring accounts to be </w:t>
      </w:r>
      <w:r w:rsidR="003B378D">
        <w:t xml:space="preserve">filed or </w:t>
      </w:r>
      <w:r w:rsidRPr="00A10963">
        <w:t>passed</w:t>
      </w:r>
      <w:r w:rsidR="00546FA7" w:rsidRPr="00A10963">
        <w:t xml:space="preserve">:  </w:t>
      </w:r>
      <w:r w:rsidRPr="00A10963">
        <w:rPr>
          <w:i/>
        </w:rPr>
        <w:t>Ide v Ide</w:t>
      </w:r>
      <w:r w:rsidRPr="00A10963">
        <w:t xml:space="preserve"> [2004] NSWSC 751</w:t>
      </w:r>
      <w:r w:rsidR="00546FA7" w:rsidRPr="00A10963">
        <w:t xml:space="preserve">; </w:t>
      </w:r>
      <w:r w:rsidR="008052B1">
        <w:t>(2004) 50 ACSR 324</w:t>
      </w:r>
      <w:r w:rsidR="00343E6F">
        <w:t xml:space="preserve"> </w:t>
      </w:r>
      <w:r w:rsidR="00712E8D">
        <w:t>at </w:t>
      </w:r>
      <w:r w:rsidR="008052B1">
        <w:t>[24]</w:t>
      </w:r>
      <w:r w:rsidR="00712E8D">
        <w:noBreakHyphen/>
      </w:r>
      <w:r w:rsidR="00A33C52" w:rsidRPr="00A10963">
        <w:t>[</w:t>
      </w:r>
      <w:r w:rsidR="008052B1">
        <w:t>26</w:t>
      </w:r>
      <w:r w:rsidR="00A33C52" w:rsidRPr="00A10963">
        <w:t xml:space="preserve">]; </w:t>
      </w:r>
      <w:r w:rsidR="00A33C52" w:rsidRPr="00A10963">
        <w:rPr>
          <w:i/>
        </w:rPr>
        <w:t xml:space="preserve">Hutchins, in the matter of </w:t>
      </w:r>
      <w:proofErr w:type="spellStart"/>
      <w:r w:rsidR="00A33C52" w:rsidRPr="00A10963">
        <w:rPr>
          <w:i/>
        </w:rPr>
        <w:t>Ardenberg</w:t>
      </w:r>
      <w:proofErr w:type="spellEnd"/>
      <w:r w:rsidR="00A33C52" w:rsidRPr="00A10963">
        <w:rPr>
          <w:i/>
        </w:rPr>
        <w:t xml:space="preserve"> Pty Ltd (in </w:t>
      </w:r>
      <w:proofErr w:type="spellStart"/>
      <w:r w:rsidR="00A33C52" w:rsidRPr="00A10963">
        <w:rPr>
          <w:i/>
        </w:rPr>
        <w:t>liq</w:t>
      </w:r>
      <w:proofErr w:type="spellEnd"/>
      <w:r w:rsidR="00A33C52" w:rsidRPr="00A10963">
        <w:rPr>
          <w:i/>
        </w:rPr>
        <w:t>) (Administrators Appointed)</w:t>
      </w:r>
      <w:r w:rsidRPr="00A10963">
        <w:rPr>
          <w:i/>
        </w:rPr>
        <w:t xml:space="preserve"> (No</w:t>
      </w:r>
      <w:r w:rsidR="00A33C52" w:rsidRPr="00A10963">
        <w:rPr>
          <w:i/>
        </w:rPr>
        <w:t> </w:t>
      </w:r>
      <w:r w:rsidRPr="00A10963">
        <w:rPr>
          <w:i/>
        </w:rPr>
        <w:t>3)</w:t>
      </w:r>
      <w:r w:rsidRPr="00A10963">
        <w:t xml:space="preserve"> [2021] FCA 519 </w:t>
      </w:r>
      <w:r w:rsidR="00A33C52" w:rsidRPr="00A10963">
        <w:t>at [</w:t>
      </w:r>
      <w:r w:rsidR="008052B1">
        <w:t>9</w:t>
      </w:r>
      <w:r w:rsidR="00712E8D">
        <w:t>].</w:t>
      </w:r>
    </w:p>
    <w:p w14:paraId="2965B2D8" w14:textId="0ADF3D72" w:rsidR="003E0B2A" w:rsidRDefault="003E0B2A" w:rsidP="003E0B2A">
      <w:pPr>
        <w:pStyle w:val="ParaNumbering"/>
        <w:tabs>
          <w:tab w:val="clear" w:pos="720"/>
        </w:tabs>
      </w:pPr>
      <w:r w:rsidRPr="00A10963">
        <w:t xml:space="preserve">The balance of the orders sought by the </w:t>
      </w:r>
      <w:r w:rsidR="00423BA8">
        <w:t xml:space="preserve">applicants and </w:t>
      </w:r>
      <w:r w:rsidR="000160BB">
        <w:t>R</w:t>
      </w:r>
      <w:r w:rsidRPr="00A10963">
        <w:t xml:space="preserve">eceivers are </w:t>
      </w:r>
      <w:r>
        <w:t>in controversy</w:t>
      </w:r>
      <w:r w:rsidR="00712E8D">
        <w:t>.</w:t>
      </w:r>
    </w:p>
    <w:p w14:paraId="3D8AC9F5" w14:textId="77777777" w:rsidR="003E0B2A" w:rsidRDefault="003E0B2A" w:rsidP="003E0B2A">
      <w:pPr>
        <w:pStyle w:val="Heading2"/>
      </w:pPr>
      <w:r>
        <w:t>Leave to proceed</w:t>
      </w:r>
    </w:p>
    <w:p w14:paraId="10728C68" w14:textId="627737EA" w:rsidR="004C1B2E" w:rsidRPr="00A10963" w:rsidRDefault="004C1B2E" w:rsidP="00A33C52">
      <w:pPr>
        <w:pStyle w:val="ParaNumbering"/>
      </w:pPr>
      <w:r w:rsidRPr="00A10963">
        <w:t xml:space="preserve">CMB Investments appeared by </w:t>
      </w:r>
      <w:r w:rsidR="003E0B2A">
        <w:t xml:space="preserve">a </w:t>
      </w:r>
      <w:r w:rsidRPr="00A10963">
        <w:t xml:space="preserve">solicitor on instructions from the liquidators.  The interest of </w:t>
      </w:r>
      <w:r w:rsidR="00926320">
        <w:t>CMB Investments</w:t>
      </w:r>
      <w:r w:rsidRPr="00A10963">
        <w:t xml:space="preserve"> in the matters in issue was largely confined to the question of whether the applicants and </w:t>
      </w:r>
      <w:r w:rsidR="000160BB">
        <w:t>R</w:t>
      </w:r>
      <w:r w:rsidRPr="00A10963">
        <w:t xml:space="preserve">eceivers should be granted leave to proceed against </w:t>
      </w:r>
      <w:r w:rsidR="007378E6">
        <w:t>CMB Investments</w:t>
      </w:r>
      <w:r w:rsidRPr="00A10963">
        <w:t xml:space="preserve"> under s</w:t>
      </w:r>
      <w:r w:rsidR="00A33C52" w:rsidRPr="00A10963">
        <w:t> </w:t>
      </w:r>
      <w:r w:rsidRPr="00A10963">
        <w:t xml:space="preserve">471B of the </w:t>
      </w:r>
      <w:r w:rsidRPr="00A10963">
        <w:rPr>
          <w:i/>
        </w:rPr>
        <w:t>Corporations Act</w:t>
      </w:r>
      <w:r w:rsidR="00A33C52" w:rsidRPr="00A10963">
        <w:t>.</w:t>
      </w:r>
    </w:p>
    <w:p w14:paraId="15812170" w14:textId="03BB9E0A" w:rsidR="003E0B2A" w:rsidRDefault="007378E6" w:rsidP="004C1B2E">
      <w:pPr>
        <w:pStyle w:val="ParaNumbering"/>
      </w:pPr>
      <w:r>
        <w:t>CMB Investments</w:t>
      </w:r>
      <w:r w:rsidR="004C1B2E">
        <w:t xml:space="preserve"> submitted that leave was unnecessary, but, in any event, should not be granted.  The </w:t>
      </w:r>
      <w:r w:rsidR="000160BB">
        <w:t>R</w:t>
      </w:r>
      <w:r w:rsidR="004C1B2E">
        <w:t>eceivers made submissions which did not positively assert or establish that leave was required, but which</w:t>
      </w:r>
      <w:r w:rsidR="003E0B2A">
        <w:t xml:space="preserve"> said</w:t>
      </w:r>
      <w:r w:rsidR="004C1B2E">
        <w:t>, in effect, that if it was required, it should be granted</w:t>
      </w:r>
      <w:r w:rsidR="003D2B90">
        <w:t>,</w:t>
      </w:r>
      <w:r w:rsidR="004C1B2E">
        <w:t xml:space="preserve"> given what was submitted to be the limited impingement on any property of </w:t>
      </w:r>
      <w:r>
        <w:t>CMB Investments</w:t>
      </w:r>
      <w:r w:rsidR="004C1B2E">
        <w:t xml:space="preserve"> which </w:t>
      </w:r>
      <w:r w:rsidR="003D2B90">
        <w:t xml:space="preserve">would follow from </w:t>
      </w:r>
      <w:r w:rsidR="00712E8D">
        <w:t>the orders proposed.</w:t>
      </w:r>
    </w:p>
    <w:p w14:paraId="15EC8D3F" w14:textId="3F164F24" w:rsidR="00A33C52" w:rsidRDefault="003D2B90" w:rsidP="00712E8D">
      <w:pPr>
        <w:pStyle w:val="ParaNumbering"/>
        <w:spacing w:after="120"/>
      </w:pPr>
      <w:r>
        <w:t>T</w:t>
      </w:r>
      <w:r w:rsidR="004C1B2E">
        <w:t>here is a prima facie case that leave to proceed is required under s</w:t>
      </w:r>
      <w:r w:rsidR="003E0B2A">
        <w:t xml:space="preserve"> 471B, which </w:t>
      </w:r>
      <w:r w:rsidR="00A33C52">
        <w:t>provides:</w:t>
      </w:r>
    </w:p>
    <w:p w14:paraId="2EF36F46" w14:textId="77777777" w:rsidR="00A33C52" w:rsidRPr="00A33C52" w:rsidRDefault="00A33C52" w:rsidP="00A33C52">
      <w:pPr>
        <w:pStyle w:val="Quote1"/>
        <w:rPr>
          <w:b/>
        </w:rPr>
      </w:pPr>
      <w:r w:rsidRPr="00A33C52">
        <w:rPr>
          <w:b/>
        </w:rPr>
        <w:t>Stay of proceedings and suspension of enforcement process</w:t>
      </w:r>
    </w:p>
    <w:p w14:paraId="4C008B8C" w14:textId="77777777" w:rsidR="00A33C52" w:rsidRDefault="00A33C52" w:rsidP="00A33C52">
      <w:pPr>
        <w:pStyle w:val="Quote1"/>
      </w:pPr>
      <w:r>
        <w:t>While a company is being wound up in insolvency or by the Court, or a provisional liquidator of a company is acting, a person cannot begin or proceed with:</w:t>
      </w:r>
    </w:p>
    <w:p w14:paraId="4BF65FC3" w14:textId="77777777" w:rsidR="00A33C52" w:rsidRDefault="00A33C52" w:rsidP="00A33C52">
      <w:pPr>
        <w:pStyle w:val="Quote1"/>
        <w:ind w:left="1440" w:hanging="703"/>
      </w:pPr>
      <w:r>
        <w:t>(a)</w:t>
      </w:r>
      <w:r>
        <w:tab/>
        <w:t xml:space="preserve">a proceeding in a court against the company or in relation to property of the </w:t>
      </w:r>
      <w:r>
        <w:lastRenderedPageBreak/>
        <w:t>company; or</w:t>
      </w:r>
    </w:p>
    <w:p w14:paraId="45C496E1" w14:textId="77777777" w:rsidR="00A33C52" w:rsidRDefault="00A33C52" w:rsidP="00A33C52">
      <w:pPr>
        <w:pStyle w:val="Quote1"/>
        <w:ind w:left="1440" w:hanging="703"/>
      </w:pPr>
      <w:r>
        <w:t>(b)</w:t>
      </w:r>
      <w:r>
        <w:tab/>
        <w:t>enforcement process in relation to such property;</w:t>
      </w:r>
    </w:p>
    <w:p w14:paraId="21DD03D1" w14:textId="77777777" w:rsidR="00A33C52" w:rsidRDefault="00A33C52" w:rsidP="00712E8D">
      <w:pPr>
        <w:pStyle w:val="Quote1"/>
        <w:spacing w:after="360"/>
      </w:pPr>
      <w:r>
        <w:t>except with the leave of the Court and in accordance with such terms (if any) as the Court imposes.</w:t>
      </w:r>
    </w:p>
    <w:p w14:paraId="36E826BE" w14:textId="64E12C29" w:rsidR="003E0B2A" w:rsidRDefault="004C1B2E" w:rsidP="00750073">
      <w:pPr>
        <w:pStyle w:val="ParaNumbering"/>
      </w:pPr>
      <w:r>
        <w:t xml:space="preserve">The necessity for leave, in my view, emerges out of the order sought by the </w:t>
      </w:r>
      <w:r w:rsidR="00404320">
        <w:t>R</w:t>
      </w:r>
      <w:r>
        <w:t xml:space="preserve">eceivers </w:t>
      </w:r>
      <w:r w:rsidR="003E0B2A">
        <w:t>that they</w:t>
      </w:r>
      <w:r>
        <w:t xml:space="preserve"> be </w:t>
      </w:r>
      <w:r w:rsidR="003E0B2A">
        <w:t>given</w:t>
      </w:r>
      <w:r>
        <w:t xml:space="preserve"> at least 21</w:t>
      </w:r>
      <w:r w:rsidR="00A33C52">
        <w:t> </w:t>
      </w:r>
      <w:r>
        <w:t>days</w:t>
      </w:r>
      <w:r w:rsidR="00A33C52">
        <w:t>'</w:t>
      </w:r>
      <w:r>
        <w:t xml:space="preserve"> notice of any proposed distribution of future proceeds of either the first or second respondents.  While the </w:t>
      </w:r>
      <w:r w:rsidR="007378E6">
        <w:t xml:space="preserve">proposed </w:t>
      </w:r>
      <w:r w:rsidR="003D2B90">
        <w:t>order does not</w:t>
      </w:r>
      <w:r>
        <w:t xml:space="preserve"> clear</w:t>
      </w:r>
      <w:r w:rsidR="007378E6">
        <w:t>ly state</w:t>
      </w:r>
      <w:r w:rsidR="003E0B2A">
        <w:t xml:space="preserve"> who the subject of the order</w:t>
      </w:r>
      <w:r w:rsidR="00404320">
        <w:t xml:space="preserve"> is</w:t>
      </w:r>
      <w:r>
        <w:t>, the company, CMB Investments, is a party to the proceedin</w:t>
      </w:r>
      <w:r w:rsidR="00A33C52">
        <w:t>g and the liquidators are not</w:t>
      </w:r>
      <w:r w:rsidR="003E0B2A">
        <w:t xml:space="preserve">, and </w:t>
      </w:r>
      <w:r w:rsidR="00404320">
        <w:t xml:space="preserve">neither </w:t>
      </w:r>
      <w:r w:rsidR="003E0B2A">
        <w:t xml:space="preserve">the applicants </w:t>
      </w:r>
      <w:r w:rsidR="00404320">
        <w:t>n</w:t>
      </w:r>
      <w:r w:rsidR="003E0B2A">
        <w:t>or</w:t>
      </w:r>
      <w:r w:rsidR="00404320">
        <w:t xml:space="preserve"> the</w:t>
      </w:r>
      <w:r w:rsidR="003E0B2A">
        <w:t xml:space="preserve"> Receivers sought to join the liquidators.  Insofar as the </w:t>
      </w:r>
      <w:r>
        <w:t xml:space="preserve">order touches upon </w:t>
      </w:r>
      <w:r w:rsidR="00664DE3">
        <w:t>CMB Investments</w:t>
      </w:r>
      <w:r w:rsidR="003E0B2A">
        <w:t xml:space="preserve"> (as distinct from Mr Brown</w:t>
      </w:r>
      <w:r w:rsidR="00712E8D">
        <w:t>'</w:t>
      </w:r>
      <w:r w:rsidR="003E0B2A">
        <w:t xml:space="preserve">s personal bankruptcy), it </w:t>
      </w:r>
      <w:r>
        <w:t xml:space="preserve">can only be directed against </w:t>
      </w:r>
      <w:r w:rsidR="00DD67CB">
        <w:t>the company</w:t>
      </w:r>
      <w:r>
        <w:t xml:space="preserve">.  On the face of things, </w:t>
      </w:r>
      <w:r w:rsidR="003E0B2A">
        <w:t xml:space="preserve">then, </w:t>
      </w:r>
      <w:r>
        <w:t xml:space="preserve">it falls within the ordinary meaning of the phrase </w:t>
      </w:r>
      <w:r w:rsidR="00712E8D">
        <w:t>'</w:t>
      </w:r>
      <w:r w:rsidR="003D2B90">
        <w:t>proceed</w:t>
      </w:r>
      <w:r>
        <w:t xml:space="preserve"> with</w:t>
      </w:r>
      <w:r w:rsidR="00712E8D">
        <w:t xml:space="preserve"> </w:t>
      </w:r>
      <w:r w:rsidR="003D2B90">
        <w:t>…</w:t>
      </w:r>
      <w:r>
        <w:t xml:space="preserve"> a proceeding in a </w:t>
      </w:r>
      <w:r w:rsidR="00000828">
        <w:t>c</w:t>
      </w:r>
      <w:r>
        <w:t>ourt against the company</w:t>
      </w:r>
      <w:r w:rsidR="00712E8D">
        <w:t>'.</w:t>
      </w:r>
    </w:p>
    <w:p w14:paraId="03231B3F" w14:textId="7A508165" w:rsidR="004C1B2E" w:rsidRDefault="004C1B2E" w:rsidP="00750073">
      <w:pPr>
        <w:pStyle w:val="ParaNumbering"/>
      </w:pPr>
      <w:r>
        <w:t xml:space="preserve">It is not necessary to go into further detail to resolve the </w:t>
      </w:r>
      <w:r w:rsidR="003E0B2A">
        <w:t>argument</w:t>
      </w:r>
      <w:r>
        <w:t xml:space="preserve"> about leave because, for reasons which will emerge later, </w:t>
      </w:r>
      <w:r w:rsidR="0079348F">
        <w:t>CMB Investments</w:t>
      </w:r>
      <w:r>
        <w:t xml:space="preserve">, </w:t>
      </w:r>
      <w:r w:rsidR="003E0B2A">
        <w:t>on</w:t>
      </w:r>
      <w:r>
        <w:t xml:space="preserve"> instructions provided by the liquidators, has accepted a practical resolution of the </w:t>
      </w:r>
      <w:r w:rsidR="000160BB">
        <w:t>R</w:t>
      </w:r>
      <w:r>
        <w:t>eceivers' concern</w:t>
      </w:r>
      <w:r w:rsidR="003D2B90">
        <w:t xml:space="preserve"> about notice of any distribution of property</w:t>
      </w:r>
      <w:r>
        <w:t xml:space="preserve">.  In those circumstances, I consider it appropriate to grant leave for the limited purpose of the </w:t>
      </w:r>
      <w:r w:rsidR="000160BB">
        <w:t>R</w:t>
      </w:r>
      <w:r>
        <w:t>eceivers seeking the order at paragraph 4 of their minute</w:t>
      </w:r>
      <w:r w:rsidR="00A33C52">
        <w:t>.</w:t>
      </w:r>
    </w:p>
    <w:p w14:paraId="74D8F9A7" w14:textId="77777777" w:rsidR="003E0B2A" w:rsidRDefault="003E0B2A" w:rsidP="003E0B2A">
      <w:pPr>
        <w:pStyle w:val="Heading2"/>
      </w:pPr>
      <w:r>
        <w:t>The assertion of equitable liens</w:t>
      </w:r>
    </w:p>
    <w:p w14:paraId="668E7F3B" w14:textId="3728F3AB" w:rsidR="003D2B90" w:rsidRDefault="004C1B2E" w:rsidP="00750073">
      <w:pPr>
        <w:pStyle w:val="ParaNumbering"/>
      </w:pPr>
      <w:r>
        <w:t xml:space="preserve">The </w:t>
      </w:r>
      <w:r w:rsidR="00FE45CE">
        <w:t>Trustee</w:t>
      </w:r>
      <w:r>
        <w:t xml:space="preserve"> had </w:t>
      </w:r>
      <w:r w:rsidR="003E0B2A">
        <w:t>broader</w:t>
      </w:r>
      <w:r>
        <w:t xml:space="preserve"> bases for opposition to the order</w:t>
      </w:r>
      <w:r w:rsidR="003E0B2A">
        <w:t>s sought</w:t>
      </w:r>
      <w:r>
        <w:t xml:space="preserve">.  The </w:t>
      </w:r>
      <w:r w:rsidR="000160BB">
        <w:t>R</w:t>
      </w:r>
      <w:r>
        <w:t xml:space="preserve">eceivers submitted that </w:t>
      </w:r>
      <w:r w:rsidR="003E0B2A">
        <w:t>it was</w:t>
      </w:r>
      <w:r>
        <w:t xml:space="preserve"> necessary to provide a procedural </w:t>
      </w:r>
      <w:r w:rsidR="0079348F">
        <w:t>'</w:t>
      </w:r>
      <w:r>
        <w:t>framework</w:t>
      </w:r>
      <w:r w:rsidR="00712E8D">
        <w:t>'</w:t>
      </w:r>
      <w:r>
        <w:t xml:space="preserve"> for any application they may make in the future asserting an equitable lien over such property as may be realised by </w:t>
      </w:r>
      <w:r w:rsidR="003E0B2A">
        <w:t>ei</w:t>
      </w:r>
      <w:r>
        <w:t xml:space="preserve">ther the </w:t>
      </w:r>
      <w:r w:rsidR="00FE45CE">
        <w:t>Trustee</w:t>
      </w:r>
      <w:r>
        <w:t xml:space="preserve"> or the liquidators at a future time.  </w:t>
      </w:r>
      <w:r w:rsidR="00A33C52">
        <w:t>S</w:t>
      </w:r>
      <w:r>
        <w:t xml:space="preserve">ave in relation to some modest winnings apparently won by one of the racehorses, there is no basis for the </w:t>
      </w:r>
      <w:r w:rsidR="000160BB">
        <w:t>R</w:t>
      </w:r>
      <w:r>
        <w:t>eceivers to make an application at present asserting an equitable lien over any property</w:t>
      </w:r>
      <w:r w:rsidR="003D2B90">
        <w:t>. That is</w:t>
      </w:r>
      <w:r>
        <w:t xml:space="preserve"> for the simple and obvious reason that there is no property which appears to be in existence</w:t>
      </w:r>
      <w:r w:rsidR="00FE415F">
        <w:t>,</w:t>
      </w:r>
      <w:r>
        <w:t xml:space="preserve"> or </w:t>
      </w:r>
      <w:r w:rsidR="003E0B2A">
        <w:t xml:space="preserve">to be </w:t>
      </w:r>
      <w:r>
        <w:t>available</w:t>
      </w:r>
      <w:r w:rsidR="00FE415F">
        <w:t>,</w:t>
      </w:r>
      <w:r>
        <w:t xml:space="preserve"> over which that interest can be asserted.  </w:t>
      </w:r>
      <w:r w:rsidR="006626ED">
        <w:t>T</w:t>
      </w:r>
      <w:r w:rsidR="003E0B2A">
        <w:t xml:space="preserve">he question of whether </w:t>
      </w:r>
      <w:r>
        <w:t xml:space="preserve">there is a sufficient causal connection between the efforts </w:t>
      </w:r>
      <w:r w:rsidR="006626ED">
        <w:t xml:space="preserve">of the </w:t>
      </w:r>
      <w:r w:rsidR="000160BB">
        <w:t>R</w:t>
      </w:r>
      <w:r w:rsidR="006626ED">
        <w:t xml:space="preserve">eceivers and </w:t>
      </w:r>
      <w:r w:rsidR="003D2B90">
        <w:t xml:space="preserve">any </w:t>
      </w:r>
      <w:r w:rsidR="006626ED">
        <w:t>future recoveries of</w:t>
      </w:r>
      <w:r>
        <w:t xml:space="preserve"> property to justify </w:t>
      </w:r>
      <w:r w:rsidR="00FE415F">
        <w:t>an</w:t>
      </w:r>
      <w:r>
        <w:t xml:space="preserve"> equitable lien, or any other order requiring payment of their </w:t>
      </w:r>
      <w:r w:rsidR="00FC354F">
        <w:t>costs</w:t>
      </w:r>
      <w:r>
        <w:t xml:space="preserve"> </w:t>
      </w:r>
      <w:r w:rsidR="006626ED">
        <w:t xml:space="preserve">and </w:t>
      </w:r>
      <w:r w:rsidR="00073084">
        <w:t>expenses</w:t>
      </w:r>
      <w:r>
        <w:t xml:space="preserve"> out of that property, is not a matter which can be determined </w:t>
      </w:r>
      <w:r w:rsidR="006626ED">
        <w:t xml:space="preserve">on </w:t>
      </w:r>
      <w:r w:rsidR="003D2B90">
        <w:t xml:space="preserve">a </w:t>
      </w:r>
      <w:r w:rsidR="006626ED">
        <w:t>hypothesis made in a</w:t>
      </w:r>
      <w:r>
        <w:t xml:space="preserve"> vacuum.</w:t>
      </w:r>
    </w:p>
    <w:p w14:paraId="42EE7D99" w14:textId="0DC6D78F" w:rsidR="006626ED" w:rsidRDefault="004C1B2E" w:rsidP="00750073">
      <w:pPr>
        <w:pStyle w:val="ParaNumbering"/>
      </w:pPr>
      <w:r>
        <w:t xml:space="preserve">The practical concern expressed by the </w:t>
      </w:r>
      <w:r w:rsidR="000160BB">
        <w:t>R</w:t>
      </w:r>
      <w:r>
        <w:t xml:space="preserve">eceivers </w:t>
      </w:r>
      <w:r w:rsidR="006626ED">
        <w:t xml:space="preserve">in light of this </w:t>
      </w:r>
      <w:r>
        <w:t xml:space="preserve">was that the </w:t>
      </w:r>
      <w:r w:rsidR="00FE45CE">
        <w:t>Trustee</w:t>
      </w:r>
      <w:r>
        <w:t xml:space="preserve"> or the liquidators, if they did realise such property, might seek to apply it either in payment of their </w:t>
      </w:r>
      <w:r w:rsidR="007844F7">
        <w:lastRenderedPageBreak/>
        <w:t xml:space="preserve">own </w:t>
      </w:r>
      <w:r w:rsidR="00FC354F">
        <w:t>costs</w:t>
      </w:r>
      <w:r>
        <w:t xml:space="preserve"> </w:t>
      </w:r>
      <w:r w:rsidR="006626ED">
        <w:t xml:space="preserve">and </w:t>
      </w:r>
      <w:r>
        <w:t>expenses</w:t>
      </w:r>
      <w:r w:rsidR="006626ED">
        <w:t>,</w:t>
      </w:r>
      <w:r>
        <w:t xml:space="preserve"> or by way of a dividend to creditors</w:t>
      </w:r>
      <w:r w:rsidR="006626ED">
        <w:t>,</w:t>
      </w:r>
      <w:r>
        <w:t xml:space="preserve"> without acknowledging the claim to the lien or giving the </w:t>
      </w:r>
      <w:r w:rsidR="000160BB">
        <w:t>R</w:t>
      </w:r>
      <w:r>
        <w:t>eceivers a pr</w:t>
      </w:r>
      <w:r w:rsidR="00682D5D">
        <w:t>oper opportunity to assert it.</w:t>
      </w:r>
    </w:p>
    <w:p w14:paraId="52551FC9" w14:textId="74DDDB68" w:rsidR="006626ED" w:rsidRDefault="003D2B90" w:rsidP="00750073">
      <w:pPr>
        <w:pStyle w:val="ParaNumbering"/>
      </w:pPr>
      <w:r>
        <w:t>T</w:t>
      </w:r>
      <w:r w:rsidR="004C1B2E">
        <w:t xml:space="preserve">he </w:t>
      </w:r>
      <w:r w:rsidR="00FE45CE">
        <w:t>Trustee</w:t>
      </w:r>
      <w:r w:rsidR="004C1B2E">
        <w:t xml:space="preserve"> opposed the orders sought on various bases.  </w:t>
      </w:r>
      <w:r w:rsidR="00A24025">
        <w:t>T</w:t>
      </w:r>
      <w:r w:rsidR="00FE45CE">
        <w:t>he T</w:t>
      </w:r>
      <w:r w:rsidR="004C1B2E">
        <w:t xml:space="preserve">rustee submitted that the proceedings should not </w:t>
      </w:r>
      <w:r w:rsidR="00A33C52">
        <w:t>'</w:t>
      </w:r>
      <w:r w:rsidR="004C1B2E">
        <w:t>hang around</w:t>
      </w:r>
      <w:r w:rsidR="00A33C52">
        <w:t>'</w:t>
      </w:r>
      <w:r w:rsidR="004C1B2E">
        <w:t xml:space="preserve"> for the</w:t>
      </w:r>
      <w:r w:rsidR="007844F7">
        <w:t xml:space="preserve"> likely</w:t>
      </w:r>
      <w:r w:rsidR="004C1B2E">
        <w:t xml:space="preserve"> three years </w:t>
      </w:r>
      <w:r w:rsidR="006626ED">
        <w:t xml:space="preserve">or longer for </w:t>
      </w:r>
      <w:r w:rsidR="004C1B2E">
        <w:t xml:space="preserve">which the bankruptcy </w:t>
      </w:r>
      <w:r w:rsidR="00D90080">
        <w:t xml:space="preserve">may </w:t>
      </w:r>
      <w:r w:rsidR="004C1B2E">
        <w:t xml:space="preserve">run.  The </w:t>
      </w:r>
      <w:r w:rsidR="00FE45CE">
        <w:t>T</w:t>
      </w:r>
      <w:r w:rsidR="004C1B2E">
        <w:t xml:space="preserve">rustee submitted that the </w:t>
      </w:r>
      <w:r w:rsidR="000160BB">
        <w:t>R</w:t>
      </w:r>
      <w:r w:rsidR="004C1B2E">
        <w:t>eceivers should file any application</w:t>
      </w:r>
      <w:r w:rsidR="006626ED">
        <w:t xml:space="preserve"> asserting an equitable lien</w:t>
      </w:r>
      <w:r w:rsidR="004C1B2E">
        <w:t xml:space="preserve"> now.  He submitted that he could not make decisions to pursue recovery action if potential claims to liens existed.  For example, </w:t>
      </w:r>
      <w:r w:rsidR="006626ED">
        <w:t>if</w:t>
      </w:r>
      <w:r w:rsidR="004C1B2E">
        <w:t xml:space="preserve"> a claim for a lien was asserted and found to be valid, it might be in the interests of the </w:t>
      </w:r>
      <w:r w:rsidR="006626ED">
        <w:t>bankrupt estate</w:t>
      </w:r>
      <w:r w:rsidR="004C1B2E">
        <w:t xml:space="preserve"> to disclaim </w:t>
      </w:r>
      <w:r w:rsidR="006626ED">
        <w:t xml:space="preserve">the </w:t>
      </w:r>
      <w:r w:rsidR="004C1B2E">
        <w:t>property instead</w:t>
      </w:r>
      <w:r w:rsidR="006626ED">
        <w:t xml:space="preserve"> of taking steps to recover it</w:t>
      </w:r>
      <w:r w:rsidR="004C1B2E">
        <w:t>.</w:t>
      </w:r>
      <w:r w:rsidR="006626ED">
        <w:t xml:space="preserve">  </w:t>
      </w:r>
      <w:r w:rsidR="00FE45CE">
        <w:t>The T</w:t>
      </w:r>
      <w:r w:rsidR="004C1B2E">
        <w:t xml:space="preserve">rustee submitted that </w:t>
      </w:r>
      <w:r w:rsidR="006626ED">
        <w:t>if questions like that were to persist</w:t>
      </w:r>
      <w:r>
        <w:t>,</w:t>
      </w:r>
      <w:r w:rsidR="006626ED">
        <w:t xml:space="preserve"> it</w:t>
      </w:r>
      <w:r w:rsidR="004C1B2E">
        <w:t xml:space="preserve"> would be an unacceptable impediment to his administration of the bankrupt estate i</w:t>
      </w:r>
      <w:r w:rsidR="00682D5D">
        <w:t>n the discharge of his duties.</w:t>
      </w:r>
    </w:p>
    <w:p w14:paraId="26B14D9E" w14:textId="2821D73A" w:rsidR="006626ED" w:rsidRDefault="004C1B2E" w:rsidP="00750073">
      <w:pPr>
        <w:pStyle w:val="ParaNumbering"/>
      </w:pPr>
      <w:r>
        <w:t xml:space="preserve">The </w:t>
      </w:r>
      <w:r w:rsidR="00FE45CE">
        <w:t>Trustee</w:t>
      </w:r>
      <w:r w:rsidR="006626ED">
        <w:t xml:space="preserve"> </w:t>
      </w:r>
      <w:r>
        <w:t xml:space="preserve">also characterised the orders sought by the </w:t>
      </w:r>
      <w:r w:rsidR="000160BB">
        <w:t>R</w:t>
      </w:r>
      <w:r>
        <w:t xml:space="preserve">eceivers as </w:t>
      </w:r>
      <w:r w:rsidR="00A33C52">
        <w:t>'</w:t>
      </w:r>
      <w:r>
        <w:t>holding orders</w:t>
      </w:r>
      <w:r w:rsidR="00A33C52">
        <w:t>'</w:t>
      </w:r>
      <w:r>
        <w:t xml:space="preserve">.  </w:t>
      </w:r>
      <w:r w:rsidR="006626ED">
        <w:t>I</w:t>
      </w:r>
      <w:r>
        <w:t>t was submitted  that if the orders note</w:t>
      </w:r>
      <w:r w:rsidR="006626ED">
        <w:t>d</w:t>
      </w:r>
      <w:r>
        <w:t xml:space="preserve"> asserted claims to an equitable lien, that could lead third parties who may be in possession of assets of the bankrupt estate to refuse to provide those assets to the </w:t>
      </w:r>
      <w:r w:rsidR="00FE45CE">
        <w:t>Trustee</w:t>
      </w:r>
      <w:r>
        <w:t xml:space="preserve"> because of doubt</w:t>
      </w:r>
      <w:r w:rsidR="006626ED">
        <w:t>s</w:t>
      </w:r>
      <w:r w:rsidR="00FE45CE">
        <w:t xml:space="preserve"> over whether the T</w:t>
      </w:r>
      <w:r>
        <w:t xml:space="preserve">rustee is entitled to them or the </w:t>
      </w:r>
      <w:r w:rsidR="000160BB">
        <w:t>R</w:t>
      </w:r>
      <w:r w:rsidR="00682D5D">
        <w:t>eceivers are.</w:t>
      </w:r>
    </w:p>
    <w:p w14:paraId="7AFB79F1" w14:textId="1DCAD745" w:rsidR="004C1B2E" w:rsidRDefault="004C1B2E" w:rsidP="00750073">
      <w:pPr>
        <w:pStyle w:val="ParaNumbering"/>
        <w:spacing w:after="360"/>
      </w:pPr>
      <w:r>
        <w:t xml:space="preserve">Nevertheless, counsel for the </w:t>
      </w:r>
      <w:r w:rsidR="00FE45CE">
        <w:t>Trustee</w:t>
      </w:r>
      <w:r>
        <w:t xml:space="preserve"> acknowledged that if assets were </w:t>
      </w:r>
      <w:r w:rsidR="006626ED">
        <w:t>re</w:t>
      </w:r>
      <w:r w:rsidR="000160BB">
        <w:t>c</w:t>
      </w:r>
      <w:r w:rsidR="006626ED">
        <w:t>overed</w:t>
      </w:r>
      <w:r>
        <w:t xml:space="preserve"> and the </w:t>
      </w:r>
      <w:r w:rsidR="000160BB">
        <w:t>R</w:t>
      </w:r>
      <w:r>
        <w:t xml:space="preserve">eceivers asserted a claim to them, including possibly </w:t>
      </w:r>
      <w:r w:rsidR="00A24025">
        <w:t xml:space="preserve">by </w:t>
      </w:r>
      <w:r>
        <w:t xml:space="preserve">way of an equitable lien, the </w:t>
      </w:r>
      <w:r w:rsidR="00FE45CE">
        <w:t>Trustee</w:t>
      </w:r>
      <w:r>
        <w:t xml:space="preserve"> would deal with that claim in the ordinary course in accordance with his duties under the </w:t>
      </w:r>
      <w:r w:rsidRPr="006626ED">
        <w:rPr>
          <w:i/>
        </w:rPr>
        <w:t>Bankruptcy Act</w:t>
      </w:r>
      <w:r w:rsidR="006626ED" w:rsidRPr="006626ED">
        <w:t>, including s</w:t>
      </w:r>
      <w:r w:rsidR="006626ED">
        <w:t> </w:t>
      </w:r>
      <w:r w:rsidR="006626ED" w:rsidRPr="006626ED">
        <w:t>58(5)</w:t>
      </w:r>
      <w:r w:rsidRPr="006626ED">
        <w:t xml:space="preserve"> which provides</w:t>
      </w:r>
      <w:r>
        <w:t xml:space="preserve"> that</w:t>
      </w:r>
      <w:r w:rsidR="006626ED">
        <w:t xml:space="preserve"> n</w:t>
      </w:r>
      <w:r w:rsidR="00A33C52" w:rsidRPr="00A33C52">
        <w:t xml:space="preserve">othing in </w:t>
      </w:r>
      <w:r w:rsidR="00682D5D">
        <w:t>s 58,</w:t>
      </w:r>
      <w:r w:rsidR="00A33C52" w:rsidRPr="00A33C52">
        <w:t xml:space="preserve"> </w:t>
      </w:r>
      <w:r w:rsidR="006626ED">
        <w:t xml:space="preserve">concerning </w:t>
      </w:r>
      <w:r w:rsidR="00FE45CE">
        <w:t>the vesting of property in the T</w:t>
      </w:r>
      <w:r w:rsidR="006626ED">
        <w:t xml:space="preserve">rustee, </w:t>
      </w:r>
      <w:r w:rsidR="00A33C52" w:rsidRPr="00A33C52">
        <w:t>affects the right of a secured creditor to reali</w:t>
      </w:r>
      <w:r w:rsidR="006626ED">
        <w:t>s</w:t>
      </w:r>
      <w:r w:rsidR="00A33C52" w:rsidRPr="00A33C52">
        <w:t>e or otherwise deal with his or her security.</w:t>
      </w:r>
    </w:p>
    <w:p w14:paraId="12A997F9" w14:textId="11815A32" w:rsidR="000763C7" w:rsidRDefault="00EB5DAC" w:rsidP="00750073">
      <w:pPr>
        <w:pStyle w:val="ParaNumbering"/>
      </w:pPr>
      <w:r>
        <w:t xml:space="preserve">Counsel </w:t>
      </w:r>
      <w:r w:rsidR="006626ED">
        <w:t xml:space="preserve">for the </w:t>
      </w:r>
      <w:r w:rsidR="00FE45CE">
        <w:t>Trustee</w:t>
      </w:r>
      <w:r w:rsidR="006626ED">
        <w:t xml:space="preserve"> also addressed the</w:t>
      </w:r>
      <w:r w:rsidR="004C1B2E">
        <w:t xml:space="preserve"> </w:t>
      </w:r>
      <w:r w:rsidR="000160BB">
        <w:t>R</w:t>
      </w:r>
      <w:r w:rsidR="00FE45CE">
        <w:t>eceivers' concern that the T</w:t>
      </w:r>
      <w:r w:rsidR="004C1B2E">
        <w:t>rustee may distribute assets realised in the bankruptcy</w:t>
      </w:r>
      <w:r w:rsidR="006626ED">
        <w:t>,</w:t>
      </w:r>
      <w:r w:rsidR="004C1B2E">
        <w:t xml:space="preserve"> </w:t>
      </w:r>
      <w:r w:rsidR="006626ED">
        <w:t xml:space="preserve">or take </w:t>
      </w:r>
      <w:r w:rsidR="003D2B90">
        <w:t xml:space="preserve">them </w:t>
      </w:r>
      <w:r w:rsidR="006626ED">
        <w:t xml:space="preserve">for himself in payment of his </w:t>
      </w:r>
      <w:r w:rsidR="005B41BF">
        <w:t xml:space="preserve">own </w:t>
      </w:r>
      <w:r w:rsidR="00FC354F">
        <w:t>costs</w:t>
      </w:r>
      <w:r w:rsidR="006626ED">
        <w:t xml:space="preserve"> and expenses, </w:t>
      </w:r>
      <w:r w:rsidR="004C1B2E">
        <w:t xml:space="preserve">without giving the </w:t>
      </w:r>
      <w:r w:rsidR="000160BB">
        <w:t>R</w:t>
      </w:r>
      <w:r w:rsidR="004C1B2E">
        <w:t>eceivers an</w:t>
      </w:r>
      <w:r w:rsidR="003D2B90">
        <w:t xml:space="preserve"> opportunity to assert the lien</w:t>
      </w:r>
      <w:r w:rsidR="004C1B2E">
        <w:t xml:space="preserve">.  </w:t>
      </w:r>
      <w:r w:rsidR="006626ED">
        <w:t>After exchanges betw</w:t>
      </w:r>
      <w:r w:rsidR="003D2B90">
        <w:t>een</w:t>
      </w:r>
      <w:r w:rsidR="00FE45CE">
        <w:t xml:space="preserve"> bar table and bench, both the T</w:t>
      </w:r>
      <w:r w:rsidR="003D2B90">
        <w:t>rustee,</w:t>
      </w:r>
      <w:r w:rsidR="006626ED">
        <w:t xml:space="preserve"> and CMB Investments</w:t>
      </w:r>
      <w:r w:rsidR="004C1B2E">
        <w:t xml:space="preserve"> on instructions provided by its liquidators, indicated</w:t>
      </w:r>
      <w:r w:rsidR="006626ED">
        <w:t xml:space="preserve"> </w:t>
      </w:r>
      <w:r w:rsidR="004C1B2E">
        <w:t>that they would have no objection to order</w:t>
      </w:r>
      <w:r w:rsidR="00A24025">
        <w:t>s</w:t>
      </w:r>
      <w:r w:rsidR="00FE45CE">
        <w:t xml:space="preserve"> requiring the T</w:t>
      </w:r>
      <w:r w:rsidR="004C1B2E">
        <w:t xml:space="preserve">rustee and the company respectively to include the </w:t>
      </w:r>
      <w:r w:rsidR="000160BB">
        <w:t>R</w:t>
      </w:r>
      <w:r w:rsidR="004C1B2E">
        <w:t>eceivers in circulars to creditors which are sent out in the usual way</w:t>
      </w:r>
      <w:r w:rsidR="006626ED">
        <w:t xml:space="preserve"> (in the end, </w:t>
      </w:r>
      <w:r>
        <w:t>counsel</w:t>
      </w:r>
      <w:r w:rsidR="006626ED">
        <w:t xml:space="preserve"> for </w:t>
      </w:r>
      <w:r w:rsidR="0001686E">
        <w:t>CMB Investments</w:t>
      </w:r>
      <w:r w:rsidR="006626ED">
        <w:t xml:space="preserve"> confirmed that the instructions of the liquidators </w:t>
      </w:r>
      <w:r w:rsidR="00750073">
        <w:t>indicated</w:t>
      </w:r>
      <w:r w:rsidR="006626ED">
        <w:t xml:space="preserve"> that it would be more convenient if the</w:t>
      </w:r>
      <w:r w:rsidR="006D64DC">
        <w:t xml:space="preserve"> liquidators</w:t>
      </w:r>
      <w:r w:rsidR="006626ED">
        <w:t xml:space="preserve"> were made subject to the order rather than the company</w:t>
      </w:r>
      <w:r w:rsidR="00750073">
        <w:t>)</w:t>
      </w:r>
      <w:r w:rsidR="00682D5D">
        <w:t>.</w:t>
      </w:r>
    </w:p>
    <w:p w14:paraId="1C8200B3" w14:textId="6A45EF8A" w:rsidR="00750073" w:rsidRDefault="00750073" w:rsidP="00750073">
      <w:pPr>
        <w:pStyle w:val="ParaNumbering"/>
      </w:pPr>
      <w:r>
        <w:lastRenderedPageBreak/>
        <w:t>I</w:t>
      </w:r>
      <w:r w:rsidR="004C1B2E">
        <w:t>t appear</w:t>
      </w:r>
      <w:r>
        <w:t>s</w:t>
      </w:r>
      <w:r w:rsidR="004C1B2E">
        <w:t xml:space="preserve"> to me </w:t>
      </w:r>
      <w:r>
        <w:t xml:space="preserve">to be </w:t>
      </w:r>
      <w:r w:rsidR="004C1B2E">
        <w:t xml:space="preserve">likely that </w:t>
      </w:r>
      <w:r>
        <w:t>notification of that kind will permit the</w:t>
      </w:r>
      <w:r w:rsidR="004C1B2E">
        <w:t xml:space="preserve"> </w:t>
      </w:r>
      <w:r w:rsidR="000160BB">
        <w:t>R</w:t>
      </w:r>
      <w:r w:rsidR="004C1B2E">
        <w:t>eceivers to learn, promptly and ahead of time, of the realisation of any assets, and</w:t>
      </w:r>
      <w:r>
        <w:t xml:space="preserve"> of </w:t>
      </w:r>
      <w:r w:rsidR="004C1B2E">
        <w:t>any proposal to dis</w:t>
      </w:r>
      <w:r>
        <w:t>bu</w:t>
      </w:r>
      <w:r w:rsidR="004C1B2E">
        <w:t>rse those assets.</w:t>
      </w:r>
      <w:r>
        <w:t xml:space="preserve">  C</w:t>
      </w:r>
      <w:r w:rsidR="004C1B2E">
        <w:t xml:space="preserve">ounsel for the </w:t>
      </w:r>
      <w:r w:rsidR="000160BB">
        <w:t>R</w:t>
      </w:r>
      <w:r w:rsidR="004C1B2E">
        <w:t>eceivers indicated, after taking instructions, that their clients remained concerned that</w:t>
      </w:r>
      <w:r w:rsidR="006D64DC">
        <w:t>,</w:t>
      </w:r>
      <w:r w:rsidR="004C1B2E">
        <w:t xml:space="preserve"> although they might be included in such circulars, there would be no certainty about whether and to what extent property recovered would be notified to them, and whether any proposals to pay </w:t>
      </w:r>
      <w:r w:rsidR="000763C7">
        <w:t>money out</w:t>
      </w:r>
      <w:r w:rsidR="004C1B2E">
        <w:t xml:space="preserve"> would be notified ahead of time.  However, the </w:t>
      </w:r>
      <w:r w:rsidR="000160BB">
        <w:t>R</w:t>
      </w:r>
      <w:r w:rsidR="004C1B2E">
        <w:t xml:space="preserve">eceivers </w:t>
      </w:r>
      <w:r w:rsidR="000763C7">
        <w:t>did not</w:t>
      </w:r>
      <w:r w:rsidR="004C1B2E">
        <w:t xml:space="preserve"> develop tha</w:t>
      </w:r>
      <w:r w:rsidR="003B378D">
        <w:t>t submission in any detail or</w:t>
      </w:r>
      <w:r w:rsidR="004C1B2E">
        <w:t xml:space="preserve"> point to any specific reason why a direction of the kind pro</w:t>
      </w:r>
      <w:r w:rsidR="00682D5D">
        <w:t>posed would not be sufficient.</w:t>
      </w:r>
    </w:p>
    <w:p w14:paraId="4261871A" w14:textId="77777777" w:rsidR="00750073" w:rsidRDefault="00750073" w:rsidP="00750073">
      <w:pPr>
        <w:pStyle w:val="Heading2"/>
      </w:pPr>
      <w:r>
        <w:t>Consideration</w:t>
      </w:r>
    </w:p>
    <w:p w14:paraId="3288D380" w14:textId="08CB3410" w:rsidR="00750073" w:rsidRDefault="004C1B2E" w:rsidP="00750073">
      <w:pPr>
        <w:pStyle w:val="ParaNumbering"/>
      </w:pPr>
      <w:r>
        <w:t xml:space="preserve">In my view, the competing concerns that I have outlined are to be </w:t>
      </w:r>
      <w:r w:rsidR="00682D5D">
        <w:t>resolved in the following way.</w:t>
      </w:r>
    </w:p>
    <w:p w14:paraId="4626B449" w14:textId="5E04A560" w:rsidR="004C1B2E" w:rsidRDefault="004C1B2E" w:rsidP="00750073">
      <w:pPr>
        <w:pStyle w:val="ParaNumbering"/>
      </w:pPr>
      <w:r w:rsidRPr="003556DE">
        <w:rPr>
          <w:i/>
        </w:rPr>
        <w:t>First</w:t>
      </w:r>
      <w:r>
        <w:t xml:space="preserve">, I do not consider that there is any utility in the court noting the assertion of a claim by the </w:t>
      </w:r>
      <w:r w:rsidR="000160BB">
        <w:t>R</w:t>
      </w:r>
      <w:r>
        <w:t xml:space="preserve">eceivers </w:t>
      </w:r>
      <w:r w:rsidR="00A33C52">
        <w:t>to present or future property</w:t>
      </w:r>
      <w:r w:rsidR="00750073">
        <w:t xml:space="preserve">, and I consider </w:t>
      </w:r>
      <w:r w:rsidR="00EB5DAC">
        <w:t xml:space="preserve">that </w:t>
      </w:r>
      <w:r w:rsidR="00750073">
        <w:t>to do so would be undesirable</w:t>
      </w:r>
      <w:r w:rsidR="00A33C52">
        <w:t>.</w:t>
      </w:r>
      <w:r w:rsidR="00750073">
        <w:t xml:space="preserve">  I</w:t>
      </w:r>
      <w:r>
        <w:t xml:space="preserve">nsofar as property is already in the hands of the </w:t>
      </w:r>
      <w:r w:rsidR="000160BB">
        <w:t>R</w:t>
      </w:r>
      <w:r>
        <w:t xml:space="preserve">eceivers, there is no need for that to be noted, </w:t>
      </w:r>
      <w:r w:rsidR="00750073">
        <w:t>because it is, as I have indicated, un</w:t>
      </w:r>
      <w:r>
        <w:t>controversial</w:t>
      </w:r>
      <w:r w:rsidR="00750073">
        <w:t xml:space="preserve"> that they may apply that modest sum </w:t>
      </w:r>
      <w:r>
        <w:t xml:space="preserve">of money to their </w:t>
      </w:r>
      <w:r w:rsidR="00FC354F">
        <w:t>costs</w:t>
      </w:r>
      <w:r>
        <w:t xml:space="preserve"> </w:t>
      </w:r>
      <w:r w:rsidR="00750073">
        <w:t xml:space="preserve">and </w:t>
      </w:r>
      <w:r>
        <w:t xml:space="preserve">expenses.  </w:t>
      </w:r>
      <w:r w:rsidR="00750073">
        <w:t>T</w:t>
      </w:r>
      <w:r>
        <w:t xml:space="preserve">o the extent that </w:t>
      </w:r>
      <w:r w:rsidR="00750073">
        <w:t>there</w:t>
      </w:r>
      <w:r>
        <w:t xml:space="preserve"> is property which has been identified and does exist</w:t>
      </w:r>
      <w:r w:rsidR="00750073">
        <w:t>,</w:t>
      </w:r>
      <w:r>
        <w:t xml:space="preserve"> but is not in </w:t>
      </w:r>
      <w:r w:rsidR="00BA3C5E">
        <w:t xml:space="preserve">the </w:t>
      </w:r>
      <w:r>
        <w:t xml:space="preserve">hands of the </w:t>
      </w:r>
      <w:r w:rsidR="000160BB">
        <w:t>R</w:t>
      </w:r>
      <w:r>
        <w:t>eceivers</w:t>
      </w:r>
      <w:r w:rsidR="00750073">
        <w:t xml:space="preserve"> - </w:t>
      </w:r>
      <w:r>
        <w:t xml:space="preserve">for example, the winnings of </w:t>
      </w:r>
      <w:r w:rsidR="00EB5DAC">
        <w:t>the previously mentioned</w:t>
      </w:r>
      <w:r>
        <w:t xml:space="preserve"> racehorse</w:t>
      </w:r>
      <w:r w:rsidR="00750073">
        <w:t xml:space="preserve"> - </w:t>
      </w:r>
      <w:r>
        <w:t xml:space="preserve">it is open to the </w:t>
      </w:r>
      <w:r w:rsidR="000160BB">
        <w:t>R</w:t>
      </w:r>
      <w:r>
        <w:t>eceivers now to assert that lien if they wish</w:t>
      </w:r>
      <w:r w:rsidR="00750073">
        <w:t>,</w:t>
      </w:r>
      <w:r>
        <w:t xml:space="preserve"> and for </w:t>
      </w:r>
      <w:r w:rsidR="00750073">
        <w:t>a</w:t>
      </w:r>
      <w:r>
        <w:t xml:space="preserve">ny issues arising from that to be resolved in the ordinary course.  </w:t>
      </w:r>
      <w:r w:rsidR="00750073">
        <w:t>To the extent that the</w:t>
      </w:r>
      <w:r w:rsidR="00EB5DAC">
        <w:t>ir</w:t>
      </w:r>
      <w:r w:rsidR="00750073">
        <w:t xml:space="preserve"> wish to assert a lien relat</w:t>
      </w:r>
      <w:r>
        <w:t xml:space="preserve">es to future property, </w:t>
      </w:r>
      <w:r w:rsidR="00750073">
        <w:t>that</w:t>
      </w:r>
      <w:r>
        <w:t xml:space="preserve"> is, at this stage, entirely hypothetical</w:t>
      </w:r>
      <w:r w:rsidR="00750073">
        <w:t xml:space="preserve">.  </w:t>
      </w:r>
      <w:r>
        <w:t>I accept</w:t>
      </w:r>
      <w:r w:rsidR="00FE45CE">
        <w:t>, as the T</w:t>
      </w:r>
      <w:r w:rsidR="00750073">
        <w:t xml:space="preserve">rustee submitted, that a formal notation by the court could be confusing to third parties, </w:t>
      </w:r>
      <w:r>
        <w:t xml:space="preserve">even if what is in truth noted is only the assertion of a claim.  I say that without </w:t>
      </w:r>
      <w:r w:rsidR="00750073">
        <w:t>acce</w:t>
      </w:r>
      <w:r w:rsidR="00FE45CE">
        <w:t>pting, as the T</w:t>
      </w:r>
      <w:r w:rsidR="00750073">
        <w:t>rustee also submitted,</w:t>
      </w:r>
      <w:r>
        <w:t xml:space="preserve"> that </w:t>
      </w:r>
      <w:r w:rsidR="00750073">
        <w:t>this</w:t>
      </w:r>
      <w:r>
        <w:t xml:space="preserve"> confusion was an objective the </w:t>
      </w:r>
      <w:r w:rsidR="000160BB">
        <w:t>R</w:t>
      </w:r>
      <w:r>
        <w:t>eceivers sought to achieve</w:t>
      </w:r>
      <w:r w:rsidR="00750073">
        <w:t>.</w:t>
      </w:r>
    </w:p>
    <w:p w14:paraId="55DF25BE" w14:textId="4C4E3508" w:rsidR="004C1B2E" w:rsidRDefault="004C1B2E" w:rsidP="00750073">
      <w:pPr>
        <w:pStyle w:val="ParaNumbering"/>
      </w:pPr>
      <w:r w:rsidRPr="003556DE">
        <w:rPr>
          <w:i/>
        </w:rPr>
        <w:t>Second</w:t>
      </w:r>
      <w:r>
        <w:t>, there has been no final judgment in this proceeding</w:t>
      </w:r>
      <w:r w:rsidR="00750073">
        <w:t xml:space="preserve"> so</w:t>
      </w:r>
      <w:r>
        <w:t xml:space="preserve"> it remains on foot.  </w:t>
      </w:r>
      <w:r w:rsidR="00750073">
        <w:t>Despite Mr Brown</w:t>
      </w:r>
      <w:r w:rsidR="00712E8D">
        <w:t>'</w:t>
      </w:r>
      <w:r w:rsidR="00750073">
        <w:t>s acknowledgment of indebtedness, the</w:t>
      </w:r>
      <w:r>
        <w:t xml:space="preserve"> monetary claims made by the applicants have not been finally determined</w:t>
      </w:r>
      <w:r w:rsidR="00750073">
        <w:t xml:space="preserve"> by binding judgment</w:t>
      </w:r>
      <w:r>
        <w:t xml:space="preserve">.  Nevertheless, the proceedings will </w:t>
      </w:r>
      <w:r w:rsidR="00750073">
        <w:t>obviously</w:t>
      </w:r>
      <w:r>
        <w:t xml:space="preserve"> be inutile while the respective insolvency administrations are on foot.  </w:t>
      </w:r>
      <w:r w:rsidR="00750073">
        <w:t xml:space="preserve">Without precluding any application for leave to proceed under </w:t>
      </w:r>
      <w:r>
        <w:t>s</w:t>
      </w:r>
      <w:r w:rsidR="00A33C52">
        <w:t> </w:t>
      </w:r>
      <w:r>
        <w:t xml:space="preserve">58(3) of the </w:t>
      </w:r>
      <w:r w:rsidRPr="00A33C52">
        <w:rPr>
          <w:i/>
        </w:rPr>
        <w:t>Bankruptcy Act</w:t>
      </w:r>
      <w:r>
        <w:t xml:space="preserve"> </w:t>
      </w:r>
      <w:r w:rsidR="00B14C28">
        <w:t>or</w:t>
      </w:r>
      <w:r>
        <w:t xml:space="preserve"> s</w:t>
      </w:r>
      <w:r w:rsidR="00A33C52">
        <w:t> </w:t>
      </w:r>
      <w:r>
        <w:t xml:space="preserve">471B of the </w:t>
      </w:r>
      <w:r w:rsidRPr="00A33C52">
        <w:rPr>
          <w:i/>
        </w:rPr>
        <w:t>Corporations Act</w:t>
      </w:r>
      <w:r w:rsidR="00750073">
        <w:t xml:space="preserve">, this proceeding is no longer a convenient forum for </w:t>
      </w:r>
      <w:r>
        <w:t xml:space="preserve">the applicants to recover the sums which they seek in their originating process.  </w:t>
      </w:r>
      <w:r w:rsidR="00750073">
        <w:t xml:space="preserve">I therefore </w:t>
      </w:r>
      <w:r>
        <w:t xml:space="preserve">consider it appropriate to make the status of the proceeding clear by ordering, pursuant to the court's general power under </w:t>
      </w:r>
      <w:r>
        <w:lastRenderedPageBreak/>
        <w:t>s</w:t>
      </w:r>
      <w:r w:rsidR="00A33C52">
        <w:t> </w:t>
      </w:r>
      <w:r>
        <w:t xml:space="preserve">23 of the </w:t>
      </w:r>
      <w:r w:rsidR="00A33C52" w:rsidRPr="00000828">
        <w:rPr>
          <w:i/>
        </w:rPr>
        <w:t>Federal Court of Australia Act 1976</w:t>
      </w:r>
      <w:r w:rsidR="00A33C52" w:rsidRPr="00000828">
        <w:t xml:space="preserve"> (Cth)</w:t>
      </w:r>
      <w:r w:rsidR="00750073">
        <w:t xml:space="preserve">, </w:t>
      </w:r>
      <w:r>
        <w:t xml:space="preserve">which </w:t>
      </w:r>
      <w:r w:rsidR="00750073">
        <w:t>encompasses</w:t>
      </w:r>
      <w:r>
        <w:t xml:space="preserve"> its implied power to control its own proceedings</w:t>
      </w:r>
      <w:r w:rsidR="003556DE">
        <w:t xml:space="preserve">, </w:t>
      </w:r>
      <w:r w:rsidR="000763C7">
        <w:t>a</w:t>
      </w:r>
      <w:r>
        <w:t xml:space="preserve"> stay </w:t>
      </w:r>
      <w:r w:rsidR="000763C7">
        <w:t xml:space="preserve">of </w:t>
      </w:r>
      <w:r>
        <w:t>the proceeding until further order</w:t>
      </w:r>
      <w:r w:rsidR="003556DE">
        <w:t>,</w:t>
      </w:r>
      <w:r>
        <w:t xml:space="preserve"> subject to the </w:t>
      </w:r>
      <w:r w:rsidR="003556DE">
        <w:t>other</w:t>
      </w:r>
      <w:r>
        <w:t xml:space="preserve"> orders which I will be making.</w:t>
      </w:r>
    </w:p>
    <w:p w14:paraId="6CB7BFF7" w14:textId="05EDC77B" w:rsidR="004C1B2E" w:rsidRDefault="004C1B2E" w:rsidP="004C1B2E">
      <w:pPr>
        <w:pStyle w:val="ParaNumbering"/>
      </w:pPr>
      <w:r w:rsidRPr="003556DE">
        <w:rPr>
          <w:i/>
        </w:rPr>
        <w:t>Third</w:t>
      </w:r>
      <w:r>
        <w:t xml:space="preserve">, </w:t>
      </w:r>
      <w:r w:rsidR="003556DE">
        <w:t xml:space="preserve">self-evidently </w:t>
      </w:r>
      <w:r>
        <w:t xml:space="preserve">there is no point in forcing the </w:t>
      </w:r>
      <w:r w:rsidR="000160BB">
        <w:t>R</w:t>
      </w:r>
      <w:r>
        <w:t>eceivers to make any application now asserting an interest i</w:t>
      </w:r>
      <w:r w:rsidR="003556DE">
        <w:t>n property which does not exist</w:t>
      </w:r>
      <w:r>
        <w:t xml:space="preserve">.  But they were </w:t>
      </w:r>
      <w:r w:rsidR="000160BB">
        <w:t>R</w:t>
      </w:r>
      <w:r>
        <w:t xml:space="preserve">eceivers appointed in this proceeding, for the purpose of the proceeding, pursuant to orders of the court, and </w:t>
      </w:r>
      <w:r w:rsidR="003556DE">
        <w:t>the court has made</w:t>
      </w:r>
      <w:r>
        <w:t xml:space="preserve"> orders </w:t>
      </w:r>
      <w:r w:rsidR="003556DE">
        <w:t>providing</w:t>
      </w:r>
      <w:r>
        <w:t xml:space="preserve"> for the payment of their </w:t>
      </w:r>
      <w:r w:rsidR="00FC354F">
        <w:t>costs</w:t>
      </w:r>
      <w:r w:rsidR="003556DE">
        <w:t xml:space="preserve"> and expenses and the realis</w:t>
      </w:r>
      <w:r>
        <w:t>ation of assets for that purpose and other purposes</w:t>
      </w:r>
      <w:r w:rsidR="003556DE">
        <w:t xml:space="preserve">.  So on </w:t>
      </w:r>
      <w:r>
        <w:t xml:space="preserve">the face of things, if after future developments the </w:t>
      </w:r>
      <w:r w:rsidR="000160BB">
        <w:t>R</w:t>
      </w:r>
      <w:r>
        <w:t>eceivers see a need to assert a claim to any particular asset, it would be appropriate for them to assert that claim in the context of this proceeding.</w:t>
      </w:r>
    </w:p>
    <w:p w14:paraId="604C4DAE" w14:textId="47698C5D" w:rsidR="004C1B2E" w:rsidRDefault="004C1B2E" w:rsidP="004C1B2E">
      <w:pPr>
        <w:pStyle w:val="ParaNumbering"/>
      </w:pPr>
      <w:r w:rsidRPr="003556DE">
        <w:rPr>
          <w:i/>
        </w:rPr>
        <w:t>Fourth</w:t>
      </w:r>
      <w:r>
        <w:t xml:space="preserve">, there is no need to make any provision for any procedural framework for any such asserted claim, beyond a simple provision for liberty to apply.  If the </w:t>
      </w:r>
      <w:r w:rsidR="000160BB">
        <w:t>R</w:t>
      </w:r>
      <w:r>
        <w:t>eceivers wish to make an application asserting, for example, an equitable lien over a</w:t>
      </w:r>
      <w:r w:rsidR="00B14C28">
        <w:t>ny</w:t>
      </w:r>
      <w:r>
        <w:t xml:space="preserve"> particular </w:t>
      </w:r>
      <w:r w:rsidR="00B14C28">
        <w:t xml:space="preserve">asset </w:t>
      </w:r>
      <w:r>
        <w:t xml:space="preserve">of one of the respondents, and if the </w:t>
      </w:r>
      <w:r w:rsidR="000160BB">
        <w:t>R</w:t>
      </w:r>
      <w:r>
        <w:t>eceivers determine that they will need to also seek leave under s</w:t>
      </w:r>
      <w:r w:rsidR="00000828">
        <w:t> </w:t>
      </w:r>
      <w:r>
        <w:t xml:space="preserve">58(3) of the </w:t>
      </w:r>
      <w:r w:rsidRPr="00000828">
        <w:rPr>
          <w:i/>
        </w:rPr>
        <w:t>Bankruptcy Act</w:t>
      </w:r>
      <w:r>
        <w:t xml:space="preserve"> or s</w:t>
      </w:r>
      <w:r w:rsidR="00000828">
        <w:t> </w:t>
      </w:r>
      <w:r>
        <w:t xml:space="preserve">471B of the </w:t>
      </w:r>
      <w:r w:rsidRPr="00000828">
        <w:rPr>
          <w:i/>
        </w:rPr>
        <w:t>Corporations Act</w:t>
      </w:r>
      <w:r>
        <w:t>, they can seek that leave at the same time.</w:t>
      </w:r>
    </w:p>
    <w:p w14:paraId="6A4CFC3A" w14:textId="79652590" w:rsidR="004C1B2E" w:rsidRDefault="004C1B2E" w:rsidP="004C1B2E">
      <w:pPr>
        <w:pStyle w:val="ParaNumbering"/>
      </w:pPr>
      <w:r w:rsidRPr="003556DE">
        <w:rPr>
          <w:i/>
        </w:rPr>
        <w:t>Fifth</w:t>
      </w:r>
      <w:r>
        <w:t xml:space="preserve">, </w:t>
      </w:r>
      <w:r w:rsidR="003556DE">
        <w:t>as already indicated I</w:t>
      </w:r>
      <w:r>
        <w:t xml:space="preserve"> consider that the concern of the </w:t>
      </w:r>
      <w:r w:rsidR="000160BB">
        <w:t>R</w:t>
      </w:r>
      <w:r>
        <w:t>eceivers</w:t>
      </w:r>
      <w:r w:rsidR="000763C7">
        <w:t>,</w:t>
      </w:r>
      <w:r>
        <w:t xml:space="preserve"> that they receive adequate advance notice of any potential disbursement of assets which have been identified and realised by the </w:t>
      </w:r>
      <w:r w:rsidR="00FE45CE">
        <w:t>Trustee</w:t>
      </w:r>
      <w:r>
        <w:t xml:space="preserve"> or the liquidators, is likely to be adequately met by </w:t>
      </w:r>
      <w:r w:rsidR="003556DE">
        <w:t>an order</w:t>
      </w:r>
      <w:r>
        <w:t xml:space="preserve"> requiring, in effect, the </w:t>
      </w:r>
      <w:r w:rsidR="000160BB">
        <w:t>R</w:t>
      </w:r>
      <w:r>
        <w:t xml:space="preserve">eceivers to be included in any circular to the general body of creditors.  To the extent that, as matters emerge, that proves not to </w:t>
      </w:r>
      <w:r w:rsidR="000763C7">
        <w:t>address the Receivers' concern adequately</w:t>
      </w:r>
      <w:r>
        <w:t xml:space="preserve">, the </w:t>
      </w:r>
      <w:r w:rsidR="000160BB">
        <w:t>R</w:t>
      </w:r>
      <w:r>
        <w:t>eceivers will have the general liberty</w:t>
      </w:r>
      <w:r w:rsidR="000763C7">
        <w:t xml:space="preserve"> to apply</w:t>
      </w:r>
      <w:r>
        <w:t xml:space="preserve">.  I note that the </w:t>
      </w:r>
      <w:r w:rsidR="00FE45CE">
        <w:t>Trustee</w:t>
      </w:r>
      <w:r>
        <w:t xml:space="preserve">'s </w:t>
      </w:r>
      <w:r w:rsidR="00B14C28">
        <w:t xml:space="preserve">counsel </w:t>
      </w:r>
      <w:r w:rsidR="003556DE">
        <w:t>indicated</w:t>
      </w:r>
      <w:r>
        <w:t xml:space="preserve"> that it may be open to the </w:t>
      </w:r>
      <w:r w:rsidR="000160BB">
        <w:t>R</w:t>
      </w:r>
      <w:r>
        <w:t xml:space="preserve">eceivers to sit on the committee of creditors in the bankruptcy.  </w:t>
      </w:r>
      <w:r w:rsidR="003556DE">
        <w:t>I</w:t>
      </w:r>
      <w:r>
        <w:t>f that t</w:t>
      </w:r>
      <w:r w:rsidR="000763C7">
        <w:t>ranspires, it</w:t>
      </w:r>
      <w:r>
        <w:t xml:space="preserve"> will provide the </w:t>
      </w:r>
      <w:r w:rsidR="000160BB">
        <w:t>R</w:t>
      </w:r>
      <w:r>
        <w:t>eceivers with further comfort.</w:t>
      </w:r>
    </w:p>
    <w:p w14:paraId="26752C1E" w14:textId="36860AB5" w:rsidR="004C1B2E" w:rsidRDefault="004C1B2E" w:rsidP="004C1B2E">
      <w:pPr>
        <w:pStyle w:val="ParaNumbering"/>
      </w:pPr>
      <w:r w:rsidRPr="003556DE">
        <w:rPr>
          <w:i/>
        </w:rPr>
        <w:t>Sixth</w:t>
      </w:r>
      <w:r>
        <w:t>, as I have indicated, I consider it is appropriate to give leave under s</w:t>
      </w:r>
      <w:r w:rsidR="00000828">
        <w:t> </w:t>
      </w:r>
      <w:r>
        <w:t xml:space="preserve">471B of the </w:t>
      </w:r>
      <w:r w:rsidRPr="00000828">
        <w:rPr>
          <w:i/>
        </w:rPr>
        <w:t>Corporations Act</w:t>
      </w:r>
      <w:r>
        <w:t xml:space="preserve"> to the extent necessary </w:t>
      </w:r>
      <w:r w:rsidR="003556DE">
        <w:t xml:space="preserve">for the </w:t>
      </w:r>
      <w:r>
        <w:t xml:space="preserve">order </w:t>
      </w:r>
      <w:r w:rsidR="003556DE">
        <w:t>requiring</w:t>
      </w:r>
      <w:r>
        <w:t xml:space="preserve"> the </w:t>
      </w:r>
      <w:r w:rsidR="000160BB">
        <w:t>R</w:t>
      </w:r>
      <w:r>
        <w:t xml:space="preserve">eceivers </w:t>
      </w:r>
      <w:r w:rsidR="003556DE">
        <w:t xml:space="preserve">to be included </w:t>
      </w:r>
      <w:r>
        <w:t>in any circularisation to the general body of creditors to be made</w:t>
      </w:r>
      <w:r w:rsidR="003556DE">
        <w:t>, on</w:t>
      </w:r>
      <w:r>
        <w:t xml:space="preserve"> the basis that </w:t>
      </w:r>
      <w:r w:rsidR="003556DE">
        <w:t>this will be an attenuated</w:t>
      </w:r>
      <w:r>
        <w:t xml:space="preserve"> version of </w:t>
      </w:r>
      <w:r w:rsidR="003556DE">
        <w:t xml:space="preserve">the orders about notification sought in the </w:t>
      </w:r>
      <w:r w:rsidR="000160BB">
        <w:t>R</w:t>
      </w:r>
      <w:r>
        <w:t>eceivers</w:t>
      </w:r>
      <w:r w:rsidR="00712E8D">
        <w:t>'</w:t>
      </w:r>
      <w:r>
        <w:t xml:space="preserve"> minute.</w:t>
      </w:r>
    </w:p>
    <w:p w14:paraId="782A35B7" w14:textId="77777777" w:rsidR="001D352C" w:rsidRDefault="001D352C" w:rsidP="001D352C">
      <w:pPr>
        <w:pStyle w:val="Heading2"/>
      </w:pPr>
      <w:r>
        <w:t>Conclusion</w:t>
      </w:r>
    </w:p>
    <w:p w14:paraId="065B9DE0" w14:textId="64350CCC" w:rsidR="0051434F" w:rsidRDefault="004C1B2E" w:rsidP="004C1B2E">
      <w:pPr>
        <w:pStyle w:val="ParaNumbering"/>
      </w:pPr>
      <w:r>
        <w:t>In my view, resolving the issues in the manner I have outlined above</w:t>
      </w:r>
      <w:r w:rsidR="001D352C">
        <w:t xml:space="preserve"> </w:t>
      </w:r>
      <w:r>
        <w:t xml:space="preserve">will </w:t>
      </w:r>
      <w:r w:rsidR="001D352C">
        <w:t>strike</w:t>
      </w:r>
      <w:r>
        <w:t xml:space="preserve"> a suitable balance between the interests of the </w:t>
      </w:r>
      <w:r w:rsidR="000160BB">
        <w:t>R</w:t>
      </w:r>
      <w:r>
        <w:t xml:space="preserve">eceivers, the </w:t>
      </w:r>
      <w:r w:rsidR="00FE45CE">
        <w:t>Trustee</w:t>
      </w:r>
      <w:r>
        <w:t xml:space="preserve"> and </w:t>
      </w:r>
      <w:r w:rsidR="00B14C28">
        <w:t>CMB Investments</w:t>
      </w:r>
      <w:r>
        <w:t xml:space="preserve">.  I have </w:t>
      </w:r>
      <w:r>
        <w:lastRenderedPageBreak/>
        <w:t xml:space="preserve">referred to the </w:t>
      </w:r>
      <w:r w:rsidR="00FE45CE">
        <w:t>Trustee</w:t>
      </w:r>
      <w:r>
        <w:t xml:space="preserve">'s submission that it will be unsatisfactory </w:t>
      </w:r>
      <w:r w:rsidR="001D352C">
        <w:t>in</w:t>
      </w:r>
      <w:r>
        <w:t xml:space="preserve"> his administration of the bankrupt estate for </w:t>
      </w:r>
      <w:r w:rsidR="001D352C">
        <w:t>this</w:t>
      </w:r>
      <w:r>
        <w:t xml:space="preserve"> proceeding to </w:t>
      </w:r>
      <w:r w:rsidR="00712E8D">
        <w:t>'</w:t>
      </w:r>
      <w:r>
        <w:t>hang around</w:t>
      </w:r>
      <w:r w:rsidR="00712E8D">
        <w:t>'</w:t>
      </w:r>
      <w:r>
        <w:t>, and that it may impede his decisions to pursue or realise assets.  However, it seems to me that</w:t>
      </w:r>
      <w:r w:rsidR="001D352C">
        <w:t>,</w:t>
      </w:r>
      <w:r>
        <w:t xml:space="preserve"> in the end</w:t>
      </w:r>
      <w:r w:rsidR="001D352C">
        <w:t>,</w:t>
      </w:r>
      <w:r>
        <w:t xml:space="preserve"> that is simply a function of </w:t>
      </w:r>
      <w:r w:rsidR="001D352C">
        <w:t>the</w:t>
      </w:r>
      <w:r>
        <w:t xml:space="preserve"> common circumstance</w:t>
      </w:r>
      <w:r w:rsidR="001D352C">
        <w:t xml:space="preserve"> that </w:t>
      </w:r>
      <w:r w:rsidR="00FE45CE">
        <w:t>the T</w:t>
      </w:r>
      <w:r>
        <w:t>rustee</w:t>
      </w:r>
      <w:r w:rsidR="001D352C">
        <w:t xml:space="preserve"> may</w:t>
      </w:r>
      <w:r>
        <w:t xml:space="preserve"> wish to realise a particular asset </w:t>
      </w:r>
      <w:r w:rsidR="001D352C">
        <w:t>while being</w:t>
      </w:r>
      <w:r>
        <w:t xml:space="preserve"> aware that there is another party who may assert a claim to that asset, </w:t>
      </w:r>
      <w:r w:rsidR="001D352C">
        <w:t>perhaps</w:t>
      </w:r>
      <w:r>
        <w:t xml:space="preserve"> by way of a security interest.  The </w:t>
      </w:r>
      <w:r w:rsidRPr="00000828">
        <w:rPr>
          <w:i/>
        </w:rPr>
        <w:t>Bankruptcy Act</w:t>
      </w:r>
      <w:r w:rsidR="001D352C">
        <w:t xml:space="preserve"> make</w:t>
      </w:r>
      <w:r w:rsidR="008A1584">
        <w:t>s</w:t>
      </w:r>
      <w:r w:rsidR="001D352C">
        <w:t xml:space="preserve"> provision for</w:t>
      </w:r>
      <w:r>
        <w:t xml:space="preserve"> situations of that kind.</w:t>
      </w:r>
    </w:p>
    <w:p w14:paraId="03C45F8A" w14:textId="77777777" w:rsidR="001D352C" w:rsidRDefault="001D352C" w:rsidP="00564813">
      <w:pPr>
        <w:pStyle w:val="Heading2"/>
      </w:pPr>
      <w:r>
        <w:t>Costs</w:t>
      </w:r>
    </w:p>
    <w:p w14:paraId="1F91D759" w14:textId="7231D7D3" w:rsidR="001D352C" w:rsidRDefault="00564813" w:rsidP="004C1B2E">
      <w:pPr>
        <w:pStyle w:val="ParaNumbering"/>
      </w:pPr>
      <w:r>
        <w:t xml:space="preserve">I will order that the applicants pay </w:t>
      </w:r>
      <w:r w:rsidR="002A3ED6">
        <w:t>CMB Investments</w:t>
      </w:r>
      <w:r w:rsidR="00712E8D">
        <w:t>'</w:t>
      </w:r>
      <w:r>
        <w:t xml:space="preserve"> costs</w:t>
      </w:r>
      <w:r w:rsidR="002A3ED6">
        <w:t xml:space="preserve"> of the hearing on the basis that they were seeking an indulgence to permit them to proceed against the company and it was necessary for the liquidators to instruct a practitioner to appear to assist the court in that regard.  As to whether the </w:t>
      </w:r>
      <w:r w:rsidR="000160BB">
        <w:t>R</w:t>
      </w:r>
      <w:r w:rsidR="002A3ED6">
        <w:t xml:space="preserve">eceivers should also be jointly liable for those costs, or liable for the costs of the </w:t>
      </w:r>
      <w:r w:rsidR="00FE45CE">
        <w:t>Trustee</w:t>
      </w:r>
      <w:r w:rsidR="002A3ED6">
        <w:t xml:space="preserve">, it is appropriate after hearing oral submissions to permit the </w:t>
      </w:r>
      <w:r w:rsidR="000160BB">
        <w:t>R</w:t>
      </w:r>
      <w:r w:rsidR="002A3ED6">
        <w:t xml:space="preserve">eceivers to file a very short submission raising any authorities pertaining to their arguably </w:t>
      </w:r>
      <w:r w:rsidR="000763C7">
        <w:t>distinct</w:t>
      </w:r>
      <w:r w:rsidR="002A3ED6">
        <w:t xml:space="preserve"> position as officers appointed by the court, rather than adversarial parties.  Directions f</w:t>
      </w:r>
      <w:r w:rsidR="00682D5D">
        <w:t>acilitating that will be made.</w:t>
      </w:r>
    </w:p>
    <w:p w14:paraId="38FF3D3C" w14:textId="77777777" w:rsidR="00A10963" w:rsidRDefault="00A10963" w:rsidP="00750073">
      <w:pPr>
        <w:pStyle w:val="BodyText"/>
      </w:pPr>
      <w:bookmarkStart w:id="24" w:name="Certification"/>
    </w:p>
    <w:tbl>
      <w:tblPr>
        <w:tblW w:w="0" w:type="auto"/>
        <w:tblLook w:val="04A0" w:firstRow="1" w:lastRow="0" w:firstColumn="1" w:lastColumn="0" w:noHBand="0" w:noVBand="1"/>
      </w:tblPr>
      <w:tblGrid>
        <w:gridCol w:w="3794"/>
      </w:tblGrid>
      <w:tr w:rsidR="00A10963" w:rsidRPr="00A10963" w14:paraId="63711EC1" w14:textId="77777777">
        <w:tc>
          <w:tcPr>
            <w:tcW w:w="3794" w:type="dxa"/>
            <w:shd w:val="clear" w:color="auto" w:fill="auto"/>
          </w:tcPr>
          <w:p w14:paraId="32DD00B6" w14:textId="5E12CA44" w:rsidR="00A10963" w:rsidRPr="00A10963" w:rsidRDefault="00A10963" w:rsidP="00073084">
            <w:pPr>
              <w:pStyle w:val="Normal1linespace"/>
            </w:pPr>
            <w:r w:rsidRPr="00A10963">
              <w:t xml:space="preserve">I certify that the preceding </w:t>
            </w:r>
            <w:r w:rsidR="000763C7">
              <w:t>thirty-eight</w:t>
            </w:r>
            <w:r w:rsidRPr="00A10963">
              <w:t xml:space="preserve"> (</w:t>
            </w:r>
            <w:r w:rsidR="000763C7">
              <w:t>38</w:t>
            </w:r>
            <w:r w:rsidRPr="00A10963">
              <w:t xml:space="preserve">) numbered </w:t>
            </w:r>
            <w:bookmarkStart w:id="25" w:name="CertPara"/>
            <w:r w:rsidR="00682D5D">
              <w:t>paragraphs are</w:t>
            </w:r>
            <w:bookmarkEnd w:id="25"/>
            <w:r w:rsidRPr="00A10963">
              <w:t xml:space="preserve"> a true copy of the Reasons for Judgment of </w:t>
            </w:r>
            <w:bookmarkStart w:id="26" w:name="bkHonourable"/>
            <w:r w:rsidRPr="00A10963">
              <w:t xml:space="preserve">the Honourable </w:t>
            </w:r>
            <w:bookmarkStart w:id="27" w:name="Justice"/>
            <w:bookmarkEnd w:id="26"/>
            <w:r>
              <w:t>Justice Jackson</w:t>
            </w:r>
            <w:bookmarkEnd w:id="27"/>
            <w:r w:rsidRPr="00A10963">
              <w:t>.</w:t>
            </w:r>
          </w:p>
        </w:tc>
      </w:tr>
    </w:tbl>
    <w:p w14:paraId="05B5CDC0" w14:textId="06D5AF4D" w:rsidR="00A10963" w:rsidRDefault="00A10963" w:rsidP="00750073">
      <w:pPr>
        <w:pStyle w:val="BodyText"/>
      </w:pPr>
      <w:bookmarkStart w:id="28" w:name="_GoBack"/>
      <w:bookmarkEnd w:id="28"/>
    </w:p>
    <w:p w14:paraId="2AA2E6FD" w14:textId="77777777" w:rsidR="00A10963" w:rsidRDefault="00A10963" w:rsidP="00750073">
      <w:pPr>
        <w:pStyle w:val="BodyText"/>
      </w:pPr>
    </w:p>
    <w:p w14:paraId="46844024" w14:textId="77777777" w:rsidR="00A10963" w:rsidRDefault="00A10963" w:rsidP="00750073">
      <w:pPr>
        <w:pStyle w:val="BodyText"/>
      </w:pPr>
      <w:r>
        <w:t>Associate:</w:t>
      </w:r>
    </w:p>
    <w:p w14:paraId="5A9D82D0" w14:textId="77777777" w:rsidR="00A10963" w:rsidRDefault="00A10963" w:rsidP="00750073">
      <w:pPr>
        <w:pStyle w:val="BodyText"/>
      </w:pPr>
    </w:p>
    <w:p w14:paraId="67B04851" w14:textId="1EB526F0" w:rsidR="00000828" w:rsidRDefault="00A10963" w:rsidP="00A10963">
      <w:pPr>
        <w:pStyle w:val="BodyText"/>
        <w:tabs>
          <w:tab w:val="left" w:pos="1134"/>
        </w:tabs>
      </w:pPr>
      <w:r>
        <w:t>Dated:</w:t>
      </w:r>
      <w:r>
        <w:tab/>
      </w:r>
      <w:bookmarkStart w:id="29" w:name="CertifyDated"/>
      <w:r w:rsidR="00682D5D" w:rsidRPr="00682D5D">
        <w:t>19</w:t>
      </w:r>
      <w:r>
        <w:t xml:space="preserve"> July 2021</w:t>
      </w:r>
      <w:bookmarkEnd w:id="29"/>
      <w:bookmarkEnd w:id="24"/>
    </w:p>
    <w:p w14:paraId="70D334B3" w14:textId="77777777" w:rsidR="00984AA3" w:rsidRDefault="00984AA3">
      <w:pPr>
        <w:spacing w:line="240" w:lineRule="auto"/>
        <w:jc w:val="left"/>
      </w:pPr>
      <w:r>
        <w:br w:type="page"/>
      </w:r>
    </w:p>
    <w:p w14:paraId="719998BB" w14:textId="77777777" w:rsidR="00984AA3" w:rsidRPr="00CD498A" w:rsidRDefault="00984AA3" w:rsidP="00E91A0F">
      <w:pPr>
        <w:pStyle w:val="NormalHeadings"/>
        <w:spacing w:before="180" w:line="480" w:lineRule="auto"/>
        <w:jc w:val="center"/>
        <w:rPr>
          <w:sz w:val="28"/>
          <w:szCs w:val="28"/>
        </w:rPr>
      </w:pPr>
      <w:bookmarkStart w:id="30" w:name="SOP_Section"/>
      <w:r w:rsidRPr="00CD498A">
        <w:rPr>
          <w:sz w:val="28"/>
          <w:szCs w:val="28"/>
        </w:rPr>
        <w:lastRenderedPageBreak/>
        <w:t>SCHEDULE OF PARTIES</w:t>
      </w:r>
    </w:p>
    <w:p w14:paraId="2C8538BE" w14:textId="77777777" w:rsidR="00984AA3" w:rsidRPr="00663089" w:rsidRDefault="00984AA3" w:rsidP="00750073">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984AA3" w14:paraId="28FBA594" w14:textId="77777777" w:rsidTr="00984AA3">
        <w:tc>
          <w:tcPr>
            <w:tcW w:w="3368" w:type="dxa"/>
          </w:tcPr>
          <w:p w14:paraId="0DDE9FC7" w14:textId="77777777" w:rsidR="00984AA3" w:rsidRDefault="00984AA3" w:rsidP="00750073">
            <w:pPr>
              <w:pStyle w:val="NormalHeadings"/>
              <w:jc w:val="left"/>
              <w:rPr>
                <w:caps/>
                <w:szCs w:val="24"/>
              </w:rPr>
            </w:pPr>
          </w:p>
        </w:tc>
        <w:tc>
          <w:tcPr>
            <w:tcW w:w="5874" w:type="dxa"/>
          </w:tcPr>
          <w:p w14:paraId="30A44519" w14:textId="77777777" w:rsidR="00984AA3" w:rsidRDefault="00091FF3" w:rsidP="00750073">
            <w:pPr>
              <w:pStyle w:val="NormalHeadings"/>
              <w:jc w:val="right"/>
            </w:pPr>
            <w:fldSimple w:instr=" REF  FileNo " w:fldLock="1">
              <w:r w:rsidR="00984AA3">
                <w:t>WAD 59 of 2021</w:t>
              </w:r>
            </w:fldSimple>
          </w:p>
        </w:tc>
      </w:tr>
      <w:tr w:rsidR="00984AA3" w14:paraId="1E11C174" w14:textId="77777777" w:rsidTr="00984AA3">
        <w:trPr>
          <w:trHeight w:val="386"/>
        </w:trPr>
        <w:tc>
          <w:tcPr>
            <w:tcW w:w="3368" w:type="dxa"/>
          </w:tcPr>
          <w:p w14:paraId="590BDBE8" w14:textId="77777777" w:rsidR="00984AA3" w:rsidRDefault="00984AA3" w:rsidP="00750073">
            <w:pPr>
              <w:pStyle w:val="BodyTextBold"/>
              <w:spacing w:before="180"/>
              <w:jc w:val="left"/>
            </w:pPr>
            <w:bookmarkStart w:id="31" w:name="SOP_ApplicantsRows" w:colFirst="0" w:colLast="1"/>
            <w:r>
              <w:t>Applicants</w:t>
            </w:r>
          </w:p>
        </w:tc>
        <w:tc>
          <w:tcPr>
            <w:tcW w:w="5874" w:type="dxa"/>
            <w:tcMar>
              <w:left w:w="28" w:type="dxa"/>
            </w:tcMar>
          </w:tcPr>
          <w:p w14:paraId="37003583" w14:textId="77777777" w:rsidR="00984AA3" w:rsidRDefault="00984AA3" w:rsidP="00750073">
            <w:pPr>
              <w:pStyle w:val="BodyText"/>
              <w:jc w:val="left"/>
            </w:pPr>
          </w:p>
        </w:tc>
      </w:tr>
      <w:tr w:rsidR="00984AA3" w14:paraId="1B5ED756" w14:textId="77777777" w:rsidTr="00984AA3">
        <w:trPr>
          <w:trHeight w:val="386"/>
        </w:trPr>
        <w:tc>
          <w:tcPr>
            <w:tcW w:w="3368" w:type="dxa"/>
          </w:tcPr>
          <w:p w14:paraId="2A3730F8" w14:textId="77777777" w:rsidR="00984AA3" w:rsidRDefault="00984AA3" w:rsidP="00750073">
            <w:pPr>
              <w:pStyle w:val="BodyText"/>
              <w:spacing w:after="240" w:line="240" w:lineRule="auto"/>
              <w:jc w:val="left"/>
            </w:pPr>
            <w:bookmarkStart w:id="32" w:name="SOP_FirstApplicant"/>
            <w:bookmarkEnd w:id="32"/>
            <w:r>
              <w:t>Fourth Applicant:</w:t>
            </w:r>
          </w:p>
        </w:tc>
        <w:tc>
          <w:tcPr>
            <w:tcW w:w="5874" w:type="dxa"/>
            <w:tcMar>
              <w:left w:w="28" w:type="dxa"/>
            </w:tcMar>
          </w:tcPr>
          <w:p w14:paraId="225E6BEB" w14:textId="77777777" w:rsidR="00984AA3" w:rsidRDefault="00984AA3" w:rsidP="00750073">
            <w:pPr>
              <w:pStyle w:val="BodyText"/>
              <w:spacing w:after="240" w:line="240" w:lineRule="auto"/>
              <w:jc w:val="left"/>
            </w:pPr>
            <w:r>
              <w:t>365 PLANT HIRE PTY LTD (ACN 621 477 978)</w:t>
            </w:r>
          </w:p>
        </w:tc>
      </w:tr>
      <w:tr w:rsidR="00984AA3" w14:paraId="483C1956" w14:textId="77777777" w:rsidTr="00984AA3">
        <w:trPr>
          <w:trHeight w:val="386"/>
        </w:trPr>
        <w:tc>
          <w:tcPr>
            <w:tcW w:w="3368" w:type="dxa"/>
          </w:tcPr>
          <w:p w14:paraId="2077C43A" w14:textId="77777777" w:rsidR="00984AA3" w:rsidRDefault="00984AA3" w:rsidP="00750073">
            <w:pPr>
              <w:pStyle w:val="BodyText"/>
              <w:spacing w:after="240" w:line="240" w:lineRule="auto"/>
              <w:jc w:val="left"/>
            </w:pPr>
            <w:r>
              <w:t>Fifth Applicant:</w:t>
            </w:r>
          </w:p>
        </w:tc>
        <w:tc>
          <w:tcPr>
            <w:tcW w:w="5874" w:type="dxa"/>
            <w:tcMar>
              <w:left w:w="28" w:type="dxa"/>
            </w:tcMar>
          </w:tcPr>
          <w:p w14:paraId="2DAFB193" w14:textId="77777777" w:rsidR="00984AA3" w:rsidRDefault="00984AA3" w:rsidP="00750073">
            <w:pPr>
              <w:pStyle w:val="BodyText"/>
              <w:spacing w:after="240" w:line="240" w:lineRule="auto"/>
              <w:jc w:val="left"/>
            </w:pPr>
            <w:r>
              <w:t>JAYTONA PTY LTD (ACN 137 723 418)</w:t>
            </w:r>
          </w:p>
        </w:tc>
      </w:tr>
      <w:tr w:rsidR="00984AA3" w14:paraId="30692A3E" w14:textId="77777777" w:rsidTr="00984AA3">
        <w:trPr>
          <w:trHeight w:val="386"/>
        </w:trPr>
        <w:tc>
          <w:tcPr>
            <w:tcW w:w="3368" w:type="dxa"/>
          </w:tcPr>
          <w:p w14:paraId="44A4D647" w14:textId="77777777" w:rsidR="00984AA3" w:rsidRDefault="00984AA3" w:rsidP="00750073">
            <w:pPr>
              <w:pStyle w:val="BodyText"/>
              <w:spacing w:after="240" w:line="240" w:lineRule="auto"/>
              <w:jc w:val="left"/>
            </w:pPr>
            <w:r>
              <w:t>Sixth Applicant:</w:t>
            </w:r>
          </w:p>
        </w:tc>
        <w:tc>
          <w:tcPr>
            <w:tcW w:w="5874" w:type="dxa"/>
            <w:tcMar>
              <w:left w:w="28" w:type="dxa"/>
            </w:tcMar>
          </w:tcPr>
          <w:p w14:paraId="02BD3A10" w14:textId="77777777" w:rsidR="00984AA3" w:rsidRDefault="00984AA3" w:rsidP="00750073">
            <w:pPr>
              <w:pStyle w:val="BodyText"/>
              <w:spacing w:after="240" w:line="240" w:lineRule="auto"/>
              <w:jc w:val="left"/>
            </w:pPr>
            <w:r>
              <w:t>NAMEO PTY LTD (ACN 155 839 197)</w:t>
            </w:r>
          </w:p>
        </w:tc>
      </w:tr>
      <w:bookmarkEnd w:id="31"/>
    </w:tbl>
    <w:p w14:paraId="4D86495E" w14:textId="77777777" w:rsidR="00984AA3" w:rsidRDefault="00984AA3" w:rsidP="002B0E91">
      <w:pPr>
        <w:pStyle w:val="BodyText"/>
      </w:pPr>
    </w:p>
    <w:bookmarkEnd w:id="30"/>
    <w:p w14:paraId="33B97883" w14:textId="77777777" w:rsidR="00984AA3" w:rsidRDefault="00984AA3" w:rsidP="00984AA3">
      <w:pPr>
        <w:pStyle w:val="BodyText"/>
      </w:pPr>
    </w:p>
    <w:sectPr w:rsidR="00984AA3"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F60D4" w14:textId="77777777" w:rsidR="00EB5DAC" w:rsidRDefault="00EB5DAC">
      <w:pPr>
        <w:spacing w:line="20" w:lineRule="exact"/>
      </w:pPr>
    </w:p>
    <w:p w14:paraId="1272847A" w14:textId="77777777" w:rsidR="00EB5DAC" w:rsidRDefault="00EB5DAC"/>
    <w:p w14:paraId="4E50FF88" w14:textId="77777777" w:rsidR="00EB5DAC" w:rsidRDefault="00EB5DAC"/>
  </w:endnote>
  <w:endnote w:type="continuationSeparator" w:id="0">
    <w:p w14:paraId="6F614D15" w14:textId="77777777" w:rsidR="00EB5DAC" w:rsidRDefault="00EB5DAC">
      <w:r>
        <w:t xml:space="preserve"> </w:t>
      </w:r>
    </w:p>
    <w:p w14:paraId="02D7152B" w14:textId="77777777" w:rsidR="00EB5DAC" w:rsidRDefault="00EB5DAC"/>
    <w:p w14:paraId="1053D3E3" w14:textId="77777777" w:rsidR="00EB5DAC" w:rsidRDefault="00EB5DAC"/>
  </w:endnote>
  <w:endnote w:type="continuationNotice" w:id="1">
    <w:p w14:paraId="0D1EBE64" w14:textId="77777777" w:rsidR="00EB5DAC" w:rsidRDefault="00EB5DAC">
      <w:r>
        <w:t xml:space="preserve"> </w:t>
      </w:r>
    </w:p>
    <w:p w14:paraId="6F7ABFB1" w14:textId="77777777" w:rsidR="00EB5DAC" w:rsidRDefault="00EB5DAC"/>
    <w:p w14:paraId="5318E070" w14:textId="77777777" w:rsidR="00EB5DAC" w:rsidRDefault="00EB5D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5F973" w14:textId="77777777" w:rsidR="00EB5DAC" w:rsidRDefault="00EB5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D2292" w14:textId="77777777" w:rsidR="00EB5DAC" w:rsidRPr="00C47B9D" w:rsidRDefault="00EB5DAC"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070403FB" wp14:editId="40197A18">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3FB2E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Pr>
            <w:bCs/>
            <w:sz w:val="18"/>
            <w:szCs w:val="18"/>
          </w:rPr>
          <w:t>Fletcher v Brown (No 3) [2021] FCA 803</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9A083" w14:textId="77777777" w:rsidR="00EB5DAC" w:rsidRPr="00984AA3" w:rsidRDefault="00EB5DAC" w:rsidP="00984A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944E6" w14:textId="00F1721B" w:rsidR="00EB5DAC" w:rsidRPr="00C47B9D" w:rsidRDefault="00EB5DAC"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C6DB041" wp14:editId="070F76AC">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C70507"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13CD4890D46F4ADEB3BC2A3FBD319293"/>
        </w:placeholder>
        <w:dataBinding w:prefixMappings="xmlns:ns0='http://schemas.globalmacros.com/FCA'" w:xpath="/ns0:root[1]/ns0:Name[1]" w:storeItemID="{687E7CCB-4AA5-44E7-B148-17BA2B6F57C0}"/>
        <w:text w:multiLine="1"/>
      </w:sdtPr>
      <w:sdtEndPr/>
      <w:sdtContent>
        <w:r>
          <w:rPr>
            <w:bCs/>
            <w:sz w:val="18"/>
            <w:szCs w:val="18"/>
          </w:rPr>
          <w:t>Fletcher v Brown (No 3) [2021] FCA 803</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FA0B5D">
      <w:rPr>
        <w:bCs/>
        <w:noProof/>
        <w:sz w:val="20"/>
      </w:rPr>
      <w:t>iv</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B7595" w14:textId="709C3087" w:rsidR="00EB5DAC" w:rsidRPr="00C47B9D" w:rsidRDefault="00EB5DAC"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77485BC7" wp14:editId="2DF5E37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84426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CDE316DE71094965BF21C84F7C3B8EBA"/>
        </w:placeholder>
        <w:dataBinding w:prefixMappings="xmlns:ns0='http://schemas.globalmacros.com/FCA'" w:xpath="/ns0:root[1]/ns0:Name[1]" w:storeItemID="{687E7CCB-4AA5-44E7-B148-17BA2B6F57C0}"/>
        <w:text w:multiLine="1"/>
      </w:sdtPr>
      <w:sdtEndPr/>
      <w:sdtContent>
        <w:r>
          <w:rPr>
            <w:bCs/>
            <w:sz w:val="18"/>
            <w:szCs w:val="18"/>
          </w:rPr>
          <w:t>Fletcher v Brown (No 3) [2021] FCA 803</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FA0B5D">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C71F7" w14:textId="074469E8" w:rsidR="00EB5DAC" w:rsidRPr="00C47B9D" w:rsidRDefault="00EB5DAC"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4D235385" wp14:editId="5F47FD9D">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2B7555"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E8F6CD06DA614964BEA33FE37E98E462"/>
        </w:placeholder>
        <w:dataBinding w:prefixMappings="xmlns:ns0='http://schemas.globalmacros.com/FCA'" w:xpath="/ns0:root[1]/ns0:Name[1]" w:storeItemID="{687E7CCB-4AA5-44E7-B148-17BA2B6F57C0}"/>
        <w:text w:multiLine="1"/>
      </w:sdtPr>
      <w:sdtEndPr/>
      <w:sdtContent>
        <w:r>
          <w:rPr>
            <w:bCs/>
            <w:sz w:val="18"/>
            <w:szCs w:val="18"/>
          </w:rPr>
          <w:t>Fletcher v Brown (No 3) [2021] FCA 803</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FA0B5D">
      <w:rPr>
        <w:bCs/>
        <w:noProof/>
        <w:sz w:val="20"/>
      </w:rPr>
      <w:t>9</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BB4B1" w14:textId="787D501D" w:rsidR="00EB5DAC" w:rsidRPr="00C47B9D" w:rsidRDefault="00EB5DAC"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67D96A3E" wp14:editId="1ACDB02E">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5F452D"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642FC65C9EBE48789280454E27D29752"/>
        </w:placeholder>
        <w:dataBinding w:prefixMappings="xmlns:ns0='http://schemas.globalmacros.com/FCA'" w:xpath="/ns0:root[1]/ns0:Name[1]" w:storeItemID="{687E7CCB-4AA5-44E7-B148-17BA2B6F57C0}"/>
        <w:text w:multiLine="1"/>
      </w:sdtPr>
      <w:sdtEndPr/>
      <w:sdtContent>
        <w:r>
          <w:rPr>
            <w:bCs/>
            <w:sz w:val="18"/>
            <w:szCs w:val="18"/>
          </w:rPr>
          <w:t>Fletcher v Brown (No 3) [2021] FCA 803</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FA0B5D">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BE613" w14:textId="77777777" w:rsidR="00EB5DAC" w:rsidRDefault="00EB5DAC"/>
    <w:p w14:paraId="06762698" w14:textId="77777777" w:rsidR="00EB5DAC" w:rsidRDefault="00EB5DAC"/>
    <w:p w14:paraId="7DB357D4" w14:textId="77777777" w:rsidR="00EB5DAC" w:rsidRDefault="00EB5DAC"/>
  </w:footnote>
  <w:footnote w:type="continuationSeparator" w:id="0">
    <w:p w14:paraId="1EA1988C" w14:textId="77777777" w:rsidR="00EB5DAC" w:rsidRDefault="00EB5DAC">
      <w:r>
        <w:continuationSeparator/>
      </w:r>
    </w:p>
    <w:p w14:paraId="38660009" w14:textId="77777777" w:rsidR="00EB5DAC" w:rsidRDefault="00EB5DAC"/>
    <w:p w14:paraId="3C1C368E" w14:textId="77777777" w:rsidR="00EB5DAC" w:rsidRDefault="00EB5DA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4D322" w14:textId="77777777" w:rsidR="00EB5DAC" w:rsidRDefault="00EB5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66C83" w14:textId="77777777" w:rsidR="00EB5DAC" w:rsidRDefault="00EB5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B3C2B" w14:textId="77777777" w:rsidR="00EB5DAC" w:rsidRDefault="00EB5D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43B28" w14:textId="77777777" w:rsidR="00EB5DAC" w:rsidRDefault="00EB5DAC">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1F3ED" w14:textId="77777777" w:rsidR="00EB5DAC" w:rsidRDefault="00EB5DAC">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00932" w14:textId="77777777" w:rsidR="00EB5DAC" w:rsidRDefault="00EB5DAC"/>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B15AD" w14:textId="77777777" w:rsidR="00EB5DAC" w:rsidRDefault="00EB5DAC">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8FC37" w14:textId="77777777" w:rsidR="00EB5DAC" w:rsidRDefault="00EB5DAC"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2D27BF7"/>
    <w:multiLevelType w:val="multilevel"/>
    <w:tmpl w:val="0F0EC90E"/>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5D41B8E"/>
    <w:multiLevelType w:val="multilevel"/>
    <w:tmpl w:val="A1C8FFD0"/>
    <w:numStyleLink w:val="FCOrders"/>
  </w:abstractNum>
  <w:abstractNum w:abstractNumId="20" w15:restartNumberingAfterBreak="0">
    <w:nsid w:val="494817A7"/>
    <w:multiLevelType w:val="multilevel"/>
    <w:tmpl w:val="0F0EC90E"/>
    <w:numStyleLink w:val="FCListNo"/>
  </w:abstractNum>
  <w:abstractNum w:abstractNumId="2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4174D8B"/>
    <w:multiLevelType w:val="multilevel"/>
    <w:tmpl w:val="A1C8FFD0"/>
    <w:numStyleLink w:val="FCOrders"/>
  </w:abstractNum>
  <w:abstractNum w:abstractNumId="24" w15:restartNumberingAfterBreak="0">
    <w:nsid w:val="62634030"/>
    <w:multiLevelType w:val="multilevel"/>
    <w:tmpl w:val="AC54AC4C"/>
    <w:lvl w:ilvl="0">
      <w:start w:val="1"/>
      <w:numFmt w:val="decimal"/>
      <w:lvlText w:val="%1."/>
      <w:lvlJc w:val="left"/>
      <w:pPr>
        <w:tabs>
          <w:tab w:val="num" w:pos="720"/>
        </w:tabs>
        <w:ind w:left="720" w:hanging="720"/>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5"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DF521E4"/>
    <w:multiLevelType w:val="hybridMultilevel"/>
    <w:tmpl w:val="96AA5B7E"/>
    <w:lvl w:ilvl="0" w:tplc="86749530">
      <w:start w:val="1"/>
      <w:numFmt w:val="upp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1"/>
  </w:num>
  <w:num w:numId="15">
    <w:abstractNumId w:val="22"/>
  </w:num>
  <w:num w:numId="16">
    <w:abstractNumId w:val="28"/>
  </w:num>
  <w:num w:numId="17">
    <w:abstractNumId w:val="13"/>
  </w:num>
  <w:num w:numId="18">
    <w:abstractNumId w:val="27"/>
  </w:num>
  <w:num w:numId="19">
    <w:abstractNumId w:val="11"/>
  </w:num>
  <w:num w:numId="20">
    <w:abstractNumId w:val="18"/>
  </w:num>
  <w:num w:numId="21">
    <w:abstractNumId w:val="20"/>
    <w:lvlOverride w:ilvl="0">
      <w:lvl w:ilvl="0">
        <w:start w:val="1"/>
        <w:numFmt w:val="decimal"/>
        <w:lvlRestart w:val="0"/>
        <w:pStyle w:val="ListNo1"/>
        <w:lvlText w:val="(%1)"/>
        <w:lvlJc w:val="left"/>
        <w:pPr>
          <w:tabs>
            <w:tab w:val="num" w:pos="720"/>
          </w:tabs>
          <w:ind w:left="720" w:hanging="720"/>
        </w:pPr>
        <w:rPr>
          <w:rFonts w:ascii="Times New Roman" w:hAnsi="Times New Roman"/>
        </w:rPr>
      </w:lvl>
    </w:lvlOverride>
    <w:lvlOverride w:ilvl="1">
      <w:lvl w:ilvl="1">
        <w:start w:val="1"/>
        <w:numFmt w:val="lowerLetter"/>
        <w:pStyle w:val="ListNo2"/>
        <w:lvlText w:val="(%2)"/>
        <w:lvlJc w:val="left"/>
        <w:pPr>
          <w:tabs>
            <w:tab w:val="num" w:pos="1440"/>
          </w:tabs>
          <w:ind w:left="1440" w:hanging="720"/>
        </w:pPr>
        <w:rPr>
          <w:rFonts w:hint="default"/>
        </w:rPr>
      </w:lvl>
    </w:lvlOverride>
  </w:num>
  <w:num w:numId="22">
    <w:abstractNumId w:val="16"/>
  </w:num>
  <w:num w:numId="23">
    <w:abstractNumId w:val="16"/>
  </w:num>
  <w:num w:numId="24">
    <w:abstractNumId w:val="17"/>
  </w:num>
  <w:num w:numId="25">
    <w:abstractNumId w:val="16"/>
  </w:num>
  <w:num w:numId="26">
    <w:abstractNumId w:val="16"/>
  </w:num>
  <w:num w:numId="27">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num>
  <w:num w:numId="29">
    <w:abstractNumId w:val="14"/>
  </w:num>
  <w:num w:numId="30">
    <w:abstractNumId w:val="24"/>
  </w:num>
  <w:num w:numId="31">
    <w:abstractNumId w:val="19"/>
  </w:num>
  <w:num w:numId="32">
    <w:abstractNumId w:val="19"/>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3"/>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0"/>
  </w:num>
  <w:num w:numId="37">
    <w:abstractNumId w:val="20"/>
  </w:num>
  <w:num w:numId="38">
    <w:abstractNumId w:val="13"/>
  </w:num>
  <w:num w:numId="39">
    <w:abstractNumId w:val="20"/>
  </w:num>
  <w:num w:numId="40">
    <w:abstractNumId w:val="20"/>
  </w:num>
  <w:num w:numId="41">
    <w:abstractNumId w:val="2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26"/>
  </w:num>
  <w:num w:numId="50">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False"/>
    <w:docVar w:name="APPAndOthers" w:val="True"/>
    <w:docVar w:name="Applicant" w:val="ADAM FLETCHER|STUART CAMPBELL|JAYSEN TAYLOR|365 PLANT HIRE PTY LTD (ACN 621 477 978)|JAYTONA PTY LTD (ACN 137 723 418)|NAMEO PTY LTD (ACN 155 839 197)"/>
    <w:docVar w:name="CounselParties" w:val="Applicant"/>
    <w:docVar w:name="CounselType" w:val="Solicitor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FileNumbers" w:val="WAD 59 of 2021"/>
    <w:docVar w:name="grpRadioJudges" w:val="Justice"/>
    <w:docVar w:name="Initiators" w:val="(and another named in the Schedule)"/>
    <w:docVar w:name="Judgdate" w:val="# July 2021"/>
    <w:docVar w:name="Judge" w:val="Jackson"/>
    <w:docVar w:name="lstEntryList" w:val="-1"/>
    <w:docVar w:name="myEntryList" w:val="Counsel for the Applicants=Mr JW Daly|Solicitor for the Applicants=Mills Oakley Lawyers|Counsel for the First Respondent=Mr LCA Palmos|Solicitor for the First Respondent=Palmos Legal|Counsel for the Second Respondent=Mr JG Abberton |Solicitor for the Second Respondent=Lavan"/>
    <w:docVar w:name="NSD" w:val="NSD "/>
    <w:docVar w:name="NumApps" w:val="6"/>
    <w:docVar w:name="NumApps_" w:val="6"/>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Commercial and Corporations"/>
    <w:docVar w:name="RadioJudge" w:val="False"/>
    <w:docVar w:name="RadioJustice" w:val="True"/>
    <w:docVar w:name="RadioJustices" w:val="False"/>
    <w:docVar w:name="RESAndAnother" w:val="True"/>
    <w:docVar w:name="RESAndOthers" w:val="False"/>
    <w:docVar w:name="Respondent" w:val="CHRISTOPHER MICHAEL BROWN|CMB INVESTMENTS 1993 PTY LTD (ACN 618 397 925)"/>
    <w:docVar w:name="ResState" w:val="Western Australia"/>
    <w:docVar w:name="SubArea" w:val="Corporations and Corporate Insolvency (C &amp; C)"/>
  </w:docVars>
  <w:rsids>
    <w:rsidRoot w:val="00984AA3"/>
    <w:rsid w:val="00000747"/>
    <w:rsid w:val="00000828"/>
    <w:rsid w:val="000115C5"/>
    <w:rsid w:val="0001469E"/>
    <w:rsid w:val="00014764"/>
    <w:rsid w:val="00015993"/>
    <w:rsid w:val="000160BB"/>
    <w:rsid w:val="0001686E"/>
    <w:rsid w:val="00021CCB"/>
    <w:rsid w:val="00022289"/>
    <w:rsid w:val="00027398"/>
    <w:rsid w:val="0003201A"/>
    <w:rsid w:val="0003207A"/>
    <w:rsid w:val="00032F9F"/>
    <w:rsid w:val="00041C07"/>
    <w:rsid w:val="00042E27"/>
    <w:rsid w:val="00045BB7"/>
    <w:rsid w:val="00055719"/>
    <w:rsid w:val="0005641B"/>
    <w:rsid w:val="0006196A"/>
    <w:rsid w:val="00073084"/>
    <w:rsid w:val="000763C7"/>
    <w:rsid w:val="00081497"/>
    <w:rsid w:val="00085255"/>
    <w:rsid w:val="00091FF3"/>
    <w:rsid w:val="0009578E"/>
    <w:rsid w:val="000A2E76"/>
    <w:rsid w:val="000A4807"/>
    <w:rsid w:val="000A4BE4"/>
    <w:rsid w:val="000B0B90"/>
    <w:rsid w:val="000C023E"/>
    <w:rsid w:val="000C5195"/>
    <w:rsid w:val="000C62EF"/>
    <w:rsid w:val="000D2137"/>
    <w:rsid w:val="000D3FD2"/>
    <w:rsid w:val="000D4B2E"/>
    <w:rsid w:val="000E3FC8"/>
    <w:rsid w:val="000E7BAE"/>
    <w:rsid w:val="000F133D"/>
    <w:rsid w:val="0010536B"/>
    <w:rsid w:val="0011145C"/>
    <w:rsid w:val="001128BD"/>
    <w:rsid w:val="0011419D"/>
    <w:rsid w:val="00114B02"/>
    <w:rsid w:val="001226C0"/>
    <w:rsid w:val="00126EC8"/>
    <w:rsid w:val="0012731C"/>
    <w:rsid w:val="00132054"/>
    <w:rsid w:val="00134964"/>
    <w:rsid w:val="001351B9"/>
    <w:rsid w:val="00155CD2"/>
    <w:rsid w:val="001727A4"/>
    <w:rsid w:val="0017376C"/>
    <w:rsid w:val="001738AB"/>
    <w:rsid w:val="001765E0"/>
    <w:rsid w:val="00177759"/>
    <w:rsid w:val="00180BB3"/>
    <w:rsid w:val="00185E6B"/>
    <w:rsid w:val="00187BBC"/>
    <w:rsid w:val="00191C1F"/>
    <w:rsid w:val="001932F3"/>
    <w:rsid w:val="001A04B0"/>
    <w:rsid w:val="001A2B40"/>
    <w:rsid w:val="001A4309"/>
    <w:rsid w:val="001A46AE"/>
    <w:rsid w:val="001A6C52"/>
    <w:rsid w:val="001B1053"/>
    <w:rsid w:val="001B14AC"/>
    <w:rsid w:val="001B7940"/>
    <w:rsid w:val="001C171A"/>
    <w:rsid w:val="001C37CA"/>
    <w:rsid w:val="001C4085"/>
    <w:rsid w:val="001D352C"/>
    <w:rsid w:val="001D4303"/>
    <w:rsid w:val="001D6746"/>
    <w:rsid w:val="001E3B49"/>
    <w:rsid w:val="001E4A05"/>
    <w:rsid w:val="001E67C4"/>
    <w:rsid w:val="001E7388"/>
    <w:rsid w:val="001F13DD"/>
    <w:rsid w:val="001F2473"/>
    <w:rsid w:val="001F2DBC"/>
    <w:rsid w:val="001F73E8"/>
    <w:rsid w:val="0020262C"/>
    <w:rsid w:val="00202723"/>
    <w:rsid w:val="00206BD2"/>
    <w:rsid w:val="00211A3E"/>
    <w:rsid w:val="00215BCA"/>
    <w:rsid w:val="00217AC4"/>
    <w:rsid w:val="00221461"/>
    <w:rsid w:val="00224537"/>
    <w:rsid w:val="00235956"/>
    <w:rsid w:val="00243E5E"/>
    <w:rsid w:val="00247C9A"/>
    <w:rsid w:val="0025160C"/>
    <w:rsid w:val="002535D0"/>
    <w:rsid w:val="002539B3"/>
    <w:rsid w:val="00256336"/>
    <w:rsid w:val="00257C3E"/>
    <w:rsid w:val="002602C2"/>
    <w:rsid w:val="002666C9"/>
    <w:rsid w:val="00270136"/>
    <w:rsid w:val="00270FD7"/>
    <w:rsid w:val="00274F5B"/>
    <w:rsid w:val="00280836"/>
    <w:rsid w:val="00282E1A"/>
    <w:rsid w:val="002840F1"/>
    <w:rsid w:val="0029113B"/>
    <w:rsid w:val="002934C0"/>
    <w:rsid w:val="0029764C"/>
    <w:rsid w:val="002A1B50"/>
    <w:rsid w:val="002A3ED6"/>
    <w:rsid w:val="002B0E91"/>
    <w:rsid w:val="002B132C"/>
    <w:rsid w:val="002B3F23"/>
    <w:rsid w:val="002B4EB5"/>
    <w:rsid w:val="002B5AF5"/>
    <w:rsid w:val="002B6779"/>
    <w:rsid w:val="002B71C0"/>
    <w:rsid w:val="002B7A34"/>
    <w:rsid w:val="002C31AD"/>
    <w:rsid w:val="002C7385"/>
    <w:rsid w:val="002D117E"/>
    <w:rsid w:val="002D2DBB"/>
    <w:rsid w:val="002D37D8"/>
    <w:rsid w:val="002D54A6"/>
    <w:rsid w:val="002E5BF9"/>
    <w:rsid w:val="002E6A7A"/>
    <w:rsid w:val="002F1E49"/>
    <w:rsid w:val="002F3BD8"/>
    <w:rsid w:val="002F4E9C"/>
    <w:rsid w:val="00302F4E"/>
    <w:rsid w:val="0031256C"/>
    <w:rsid w:val="00314D6C"/>
    <w:rsid w:val="00316D2A"/>
    <w:rsid w:val="00322A7C"/>
    <w:rsid w:val="00322EEC"/>
    <w:rsid w:val="00323061"/>
    <w:rsid w:val="003402D3"/>
    <w:rsid w:val="00343ABC"/>
    <w:rsid w:val="00343E6F"/>
    <w:rsid w:val="003463FE"/>
    <w:rsid w:val="00347D41"/>
    <w:rsid w:val="003543EF"/>
    <w:rsid w:val="003554B3"/>
    <w:rsid w:val="003556DE"/>
    <w:rsid w:val="00356632"/>
    <w:rsid w:val="00357C7E"/>
    <w:rsid w:val="003653B6"/>
    <w:rsid w:val="00374CC4"/>
    <w:rsid w:val="003774B2"/>
    <w:rsid w:val="00380F2D"/>
    <w:rsid w:val="003845A9"/>
    <w:rsid w:val="003850C9"/>
    <w:rsid w:val="00390883"/>
    <w:rsid w:val="003922F8"/>
    <w:rsid w:val="00395B24"/>
    <w:rsid w:val="003A2D38"/>
    <w:rsid w:val="003A7ECC"/>
    <w:rsid w:val="003B2C72"/>
    <w:rsid w:val="003B378D"/>
    <w:rsid w:val="003B4F44"/>
    <w:rsid w:val="003B58B4"/>
    <w:rsid w:val="003C1333"/>
    <w:rsid w:val="003C20FF"/>
    <w:rsid w:val="003C550A"/>
    <w:rsid w:val="003C6055"/>
    <w:rsid w:val="003D2650"/>
    <w:rsid w:val="003D2B90"/>
    <w:rsid w:val="003D4498"/>
    <w:rsid w:val="003D560C"/>
    <w:rsid w:val="003D5C00"/>
    <w:rsid w:val="003E0B2A"/>
    <w:rsid w:val="003E3154"/>
    <w:rsid w:val="003E5874"/>
    <w:rsid w:val="003E72D3"/>
    <w:rsid w:val="003F193E"/>
    <w:rsid w:val="003F242C"/>
    <w:rsid w:val="003F34F1"/>
    <w:rsid w:val="003F72AF"/>
    <w:rsid w:val="00404320"/>
    <w:rsid w:val="004104B6"/>
    <w:rsid w:val="00411AE8"/>
    <w:rsid w:val="00413B74"/>
    <w:rsid w:val="00423BA8"/>
    <w:rsid w:val="004342F3"/>
    <w:rsid w:val="00435C5F"/>
    <w:rsid w:val="00436155"/>
    <w:rsid w:val="00441E98"/>
    <w:rsid w:val="00450F3A"/>
    <w:rsid w:val="0045111F"/>
    <w:rsid w:val="004532F7"/>
    <w:rsid w:val="00464D51"/>
    <w:rsid w:val="00472027"/>
    <w:rsid w:val="00473CC9"/>
    <w:rsid w:val="004804CF"/>
    <w:rsid w:val="00484962"/>
    <w:rsid w:val="00484F6D"/>
    <w:rsid w:val="00484FB7"/>
    <w:rsid w:val="0048554D"/>
    <w:rsid w:val="0049338A"/>
    <w:rsid w:val="0049417F"/>
    <w:rsid w:val="00496D41"/>
    <w:rsid w:val="004A6602"/>
    <w:rsid w:val="004B3EFA"/>
    <w:rsid w:val="004C1B2E"/>
    <w:rsid w:val="004C2A87"/>
    <w:rsid w:val="004C4D7B"/>
    <w:rsid w:val="004C4ED3"/>
    <w:rsid w:val="004C667B"/>
    <w:rsid w:val="004C7ECD"/>
    <w:rsid w:val="004D2EA5"/>
    <w:rsid w:val="004D32A6"/>
    <w:rsid w:val="004D53E5"/>
    <w:rsid w:val="004E6DC4"/>
    <w:rsid w:val="004F21C1"/>
    <w:rsid w:val="00501A12"/>
    <w:rsid w:val="0050309C"/>
    <w:rsid w:val="0051327C"/>
    <w:rsid w:val="0051346D"/>
    <w:rsid w:val="00513EAE"/>
    <w:rsid w:val="0051434F"/>
    <w:rsid w:val="00516806"/>
    <w:rsid w:val="0052098C"/>
    <w:rsid w:val="00525A49"/>
    <w:rsid w:val="005262D1"/>
    <w:rsid w:val="00530876"/>
    <w:rsid w:val="00535613"/>
    <w:rsid w:val="005359EB"/>
    <w:rsid w:val="0054254A"/>
    <w:rsid w:val="0054500B"/>
    <w:rsid w:val="005466B5"/>
    <w:rsid w:val="00546FA7"/>
    <w:rsid w:val="00554314"/>
    <w:rsid w:val="00562829"/>
    <w:rsid w:val="005629B3"/>
    <w:rsid w:val="00564813"/>
    <w:rsid w:val="005724F6"/>
    <w:rsid w:val="0057289F"/>
    <w:rsid w:val="00573AC4"/>
    <w:rsid w:val="005801FC"/>
    <w:rsid w:val="00585BA9"/>
    <w:rsid w:val="00587359"/>
    <w:rsid w:val="005908E0"/>
    <w:rsid w:val="00595016"/>
    <w:rsid w:val="00597AAE"/>
    <w:rsid w:val="005A222C"/>
    <w:rsid w:val="005A4DF8"/>
    <w:rsid w:val="005A78C8"/>
    <w:rsid w:val="005B1426"/>
    <w:rsid w:val="005B41BF"/>
    <w:rsid w:val="005C0A8E"/>
    <w:rsid w:val="005C1767"/>
    <w:rsid w:val="005C185C"/>
    <w:rsid w:val="005C42EF"/>
    <w:rsid w:val="005E00DA"/>
    <w:rsid w:val="005E02F5"/>
    <w:rsid w:val="005E0510"/>
    <w:rsid w:val="005E176E"/>
    <w:rsid w:val="005E218E"/>
    <w:rsid w:val="005E35A0"/>
    <w:rsid w:val="005E74EE"/>
    <w:rsid w:val="005F0D1B"/>
    <w:rsid w:val="005F1865"/>
    <w:rsid w:val="006007BD"/>
    <w:rsid w:val="006013C8"/>
    <w:rsid w:val="0060270D"/>
    <w:rsid w:val="00604611"/>
    <w:rsid w:val="00611586"/>
    <w:rsid w:val="00612D26"/>
    <w:rsid w:val="00615855"/>
    <w:rsid w:val="00620DA8"/>
    <w:rsid w:val="00621887"/>
    <w:rsid w:val="00624520"/>
    <w:rsid w:val="006271F5"/>
    <w:rsid w:val="00632300"/>
    <w:rsid w:val="00632BB7"/>
    <w:rsid w:val="00635B36"/>
    <w:rsid w:val="00636871"/>
    <w:rsid w:val="00640EE1"/>
    <w:rsid w:val="00640F4E"/>
    <w:rsid w:val="00641C45"/>
    <w:rsid w:val="00643DE0"/>
    <w:rsid w:val="0064437D"/>
    <w:rsid w:val="00644E85"/>
    <w:rsid w:val="00652C52"/>
    <w:rsid w:val="0066063F"/>
    <w:rsid w:val="006626ED"/>
    <w:rsid w:val="00662BB0"/>
    <w:rsid w:val="00663878"/>
    <w:rsid w:val="00664DE3"/>
    <w:rsid w:val="00667773"/>
    <w:rsid w:val="00670743"/>
    <w:rsid w:val="00676C72"/>
    <w:rsid w:val="00680A85"/>
    <w:rsid w:val="00681ADF"/>
    <w:rsid w:val="00682D5D"/>
    <w:rsid w:val="00690EE2"/>
    <w:rsid w:val="00693854"/>
    <w:rsid w:val="00694BEB"/>
    <w:rsid w:val="006A0E20"/>
    <w:rsid w:val="006A24E3"/>
    <w:rsid w:val="006A5695"/>
    <w:rsid w:val="006B0439"/>
    <w:rsid w:val="006B3904"/>
    <w:rsid w:val="006B5B7D"/>
    <w:rsid w:val="006C5B46"/>
    <w:rsid w:val="006C6E39"/>
    <w:rsid w:val="006D0ECF"/>
    <w:rsid w:val="006D3D5B"/>
    <w:rsid w:val="006D3D83"/>
    <w:rsid w:val="006D4C92"/>
    <w:rsid w:val="006D4EB6"/>
    <w:rsid w:val="006D64DC"/>
    <w:rsid w:val="006E35BF"/>
    <w:rsid w:val="006E7850"/>
    <w:rsid w:val="006F46D6"/>
    <w:rsid w:val="007028D9"/>
    <w:rsid w:val="00707218"/>
    <w:rsid w:val="00710D04"/>
    <w:rsid w:val="00712B1D"/>
    <w:rsid w:val="00712E8D"/>
    <w:rsid w:val="00715751"/>
    <w:rsid w:val="007171BA"/>
    <w:rsid w:val="00717616"/>
    <w:rsid w:val="007325D9"/>
    <w:rsid w:val="0073583B"/>
    <w:rsid w:val="007360CA"/>
    <w:rsid w:val="007378E6"/>
    <w:rsid w:val="0074667B"/>
    <w:rsid w:val="007470BD"/>
    <w:rsid w:val="00750073"/>
    <w:rsid w:val="00760EC0"/>
    <w:rsid w:val="007669DB"/>
    <w:rsid w:val="007711BD"/>
    <w:rsid w:val="0078003A"/>
    <w:rsid w:val="00780771"/>
    <w:rsid w:val="00782419"/>
    <w:rsid w:val="007844F7"/>
    <w:rsid w:val="007929CF"/>
    <w:rsid w:val="0079348F"/>
    <w:rsid w:val="007A49E7"/>
    <w:rsid w:val="007A6F28"/>
    <w:rsid w:val="007B03C6"/>
    <w:rsid w:val="007B0DB1"/>
    <w:rsid w:val="007B5673"/>
    <w:rsid w:val="007B56A6"/>
    <w:rsid w:val="007B7238"/>
    <w:rsid w:val="007B76FF"/>
    <w:rsid w:val="007C3BF6"/>
    <w:rsid w:val="007C67B3"/>
    <w:rsid w:val="007D0FD2"/>
    <w:rsid w:val="007D2EF8"/>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02017"/>
    <w:rsid w:val="008052B1"/>
    <w:rsid w:val="008216E7"/>
    <w:rsid w:val="00825BE6"/>
    <w:rsid w:val="008276B4"/>
    <w:rsid w:val="00831927"/>
    <w:rsid w:val="00837288"/>
    <w:rsid w:val="00841BD3"/>
    <w:rsid w:val="0084273D"/>
    <w:rsid w:val="00844E3F"/>
    <w:rsid w:val="00845A83"/>
    <w:rsid w:val="00846BB9"/>
    <w:rsid w:val="008649D5"/>
    <w:rsid w:val="008712BB"/>
    <w:rsid w:val="008830E7"/>
    <w:rsid w:val="00890EDE"/>
    <w:rsid w:val="00892B38"/>
    <w:rsid w:val="008A1584"/>
    <w:rsid w:val="008A1741"/>
    <w:rsid w:val="008A2484"/>
    <w:rsid w:val="008A52F3"/>
    <w:rsid w:val="008C26D9"/>
    <w:rsid w:val="008C6D50"/>
    <w:rsid w:val="008C7167"/>
    <w:rsid w:val="008C7503"/>
    <w:rsid w:val="008D1617"/>
    <w:rsid w:val="008D330F"/>
    <w:rsid w:val="008D48C1"/>
    <w:rsid w:val="008E6315"/>
    <w:rsid w:val="008F07FC"/>
    <w:rsid w:val="008F11E0"/>
    <w:rsid w:val="008F3EA7"/>
    <w:rsid w:val="008F78BC"/>
    <w:rsid w:val="008F7B63"/>
    <w:rsid w:val="008F7D6A"/>
    <w:rsid w:val="00901C86"/>
    <w:rsid w:val="00903603"/>
    <w:rsid w:val="009054CB"/>
    <w:rsid w:val="00911F8D"/>
    <w:rsid w:val="00912F94"/>
    <w:rsid w:val="009171BC"/>
    <w:rsid w:val="0092497E"/>
    <w:rsid w:val="00924F39"/>
    <w:rsid w:val="0092590B"/>
    <w:rsid w:val="00925BF3"/>
    <w:rsid w:val="00925E60"/>
    <w:rsid w:val="00926320"/>
    <w:rsid w:val="009264B3"/>
    <w:rsid w:val="009365E0"/>
    <w:rsid w:val="00942BA2"/>
    <w:rsid w:val="009432B7"/>
    <w:rsid w:val="00944C86"/>
    <w:rsid w:val="00947C02"/>
    <w:rsid w:val="00950BE6"/>
    <w:rsid w:val="00957DE8"/>
    <w:rsid w:val="00960ECB"/>
    <w:rsid w:val="009615D6"/>
    <w:rsid w:val="00967855"/>
    <w:rsid w:val="00974709"/>
    <w:rsid w:val="00980736"/>
    <w:rsid w:val="00981A39"/>
    <w:rsid w:val="00982D56"/>
    <w:rsid w:val="00983DBF"/>
    <w:rsid w:val="00984AA3"/>
    <w:rsid w:val="00987097"/>
    <w:rsid w:val="00991123"/>
    <w:rsid w:val="00991CAB"/>
    <w:rsid w:val="00992A04"/>
    <w:rsid w:val="009A3A9C"/>
    <w:rsid w:val="009B046C"/>
    <w:rsid w:val="009B13FA"/>
    <w:rsid w:val="009B1E2D"/>
    <w:rsid w:val="009C59FB"/>
    <w:rsid w:val="009C6F3B"/>
    <w:rsid w:val="009D1467"/>
    <w:rsid w:val="009D328D"/>
    <w:rsid w:val="009E1AAA"/>
    <w:rsid w:val="009E4FA6"/>
    <w:rsid w:val="009E7D93"/>
    <w:rsid w:val="009F3C34"/>
    <w:rsid w:val="009F462C"/>
    <w:rsid w:val="009F5C33"/>
    <w:rsid w:val="00A026F0"/>
    <w:rsid w:val="00A03EAC"/>
    <w:rsid w:val="00A04DBB"/>
    <w:rsid w:val="00A07EA0"/>
    <w:rsid w:val="00A10963"/>
    <w:rsid w:val="00A11CA6"/>
    <w:rsid w:val="00A20C49"/>
    <w:rsid w:val="00A22932"/>
    <w:rsid w:val="00A24025"/>
    <w:rsid w:val="00A269CA"/>
    <w:rsid w:val="00A336EE"/>
    <w:rsid w:val="00A33C52"/>
    <w:rsid w:val="00A33F46"/>
    <w:rsid w:val="00A3427E"/>
    <w:rsid w:val="00A359AC"/>
    <w:rsid w:val="00A40F83"/>
    <w:rsid w:val="00A410FB"/>
    <w:rsid w:val="00A41413"/>
    <w:rsid w:val="00A431E6"/>
    <w:rsid w:val="00A436E8"/>
    <w:rsid w:val="00A45FB1"/>
    <w:rsid w:val="00A46CCC"/>
    <w:rsid w:val="00A47996"/>
    <w:rsid w:val="00A51CFE"/>
    <w:rsid w:val="00A5204D"/>
    <w:rsid w:val="00A61605"/>
    <w:rsid w:val="00A61EBA"/>
    <w:rsid w:val="00A65F97"/>
    <w:rsid w:val="00A76C13"/>
    <w:rsid w:val="00A81951"/>
    <w:rsid w:val="00A84FD0"/>
    <w:rsid w:val="00A92E79"/>
    <w:rsid w:val="00A950B6"/>
    <w:rsid w:val="00A95D45"/>
    <w:rsid w:val="00AB41C1"/>
    <w:rsid w:val="00AB4CF2"/>
    <w:rsid w:val="00AB6CCA"/>
    <w:rsid w:val="00AC223F"/>
    <w:rsid w:val="00AC33B1"/>
    <w:rsid w:val="00AD12A8"/>
    <w:rsid w:val="00AD5B00"/>
    <w:rsid w:val="00AE023F"/>
    <w:rsid w:val="00AF3577"/>
    <w:rsid w:val="00AF35F9"/>
    <w:rsid w:val="00B0424C"/>
    <w:rsid w:val="00B05C7D"/>
    <w:rsid w:val="00B14C28"/>
    <w:rsid w:val="00B15D57"/>
    <w:rsid w:val="00B16347"/>
    <w:rsid w:val="00B17D6E"/>
    <w:rsid w:val="00B2435E"/>
    <w:rsid w:val="00B346C3"/>
    <w:rsid w:val="00B4005C"/>
    <w:rsid w:val="00B4227E"/>
    <w:rsid w:val="00B4471C"/>
    <w:rsid w:val="00B451A6"/>
    <w:rsid w:val="00B56D6E"/>
    <w:rsid w:val="00B64347"/>
    <w:rsid w:val="00B65DC6"/>
    <w:rsid w:val="00B67AC2"/>
    <w:rsid w:val="00B722DE"/>
    <w:rsid w:val="00B751E3"/>
    <w:rsid w:val="00B75BA6"/>
    <w:rsid w:val="00B76C44"/>
    <w:rsid w:val="00B8184A"/>
    <w:rsid w:val="00B82283"/>
    <w:rsid w:val="00B828D8"/>
    <w:rsid w:val="00B83F87"/>
    <w:rsid w:val="00B87CDC"/>
    <w:rsid w:val="00B910C1"/>
    <w:rsid w:val="00BA2CA4"/>
    <w:rsid w:val="00BA2EFA"/>
    <w:rsid w:val="00BA3C5E"/>
    <w:rsid w:val="00BA3DBC"/>
    <w:rsid w:val="00BA5D47"/>
    <w:rsid w:val="00BA707A"/>
    <w:rsid w:val="00BB1AFB"/>
    <w:rsid w:val="00BB27AE"/>
    <w:rsid w:val="00BB2DA2"/>
    <w:rsid w:val="00BB56DC"/>
    <w:rsid w:val="00BE183D"/>
    <w:rsid w:val="00BF5D7A"/>
    <w:rsid w:val="00C01C2E"/>
    <w:rsid w:val="00C02D33"/>
    <w:rsid w:val="00C04B53"/>
    <w:rsid w:val="00C05327"/>
    <w:rsid w:val="00C1232C"/>
    <w:rsid w:val="00C27C6B"/>
    <w:rsid w:val="00C3594D"/>
    <w:rsid w:val="00C36442"/>
    <w:rsid w:val="00C400CE"/>
    <w:rsid w:val="00C410FD"/>
    <w:rsid w:val="00C457DE"/>
    <w:rsid w:val="00C47DD3"/>
    <w:rsid w:val="00C53562"/>
    <w:rsid w:val="00C539FB"/>
    <w:rsid w:val="00C66E57"/>
    <w:rsid w:val="00C74150"/>
    <w:rsid w:val="00C75594"/>
    <w:rsid w:val="00C85982"/>
    <w:rsid w:val="00CA0466"/>
    <w:rsid w:val="00CA246D"/>
    <w:rsid w:val="00CA50D9"/>
    <w:rsid w:val="00CB3054"/>
    <w:rsid w:val="00CB5636"/>
    <w:rsid w:val="00CB639E"/>
    <w:rsid w:val="00CC08E6"/>
    <w:rsid w:val="00CC3EE5"/>
    <w:rsid w:val="00CE425C"/>
    <w:rsid w:val="00CE58AC"/>
    <w:rsid w:val="00CF5A80"/>
    <w:rsid w:val="00D045EE"/>
    <w:rsid w:val="00D05091"/>
    <w:rsid w:val="00D10CA6"/>
    <w:rsid w:val="00D10F21"/>
    <w:rsid w:val="00D134CF"/>
    <w:rsid w:val="00D1573B"/>
    <w:rsid w:val="00D23DA1"/>
    <w:rsid w:val="00D24806"/>
    <w:rsid w:val="00D34040"/>
    <w:rsid w:val="00D34E69"/>
    <w:rsid w:val="00D36C78"/>
    <w:rsid w:val="00D375EE"/>
    <w:rsid w:val="00D55AE8"/>
    <w:rsid w:val="00D56056"/>
    <w:rsid w:val="00D6085F"/>
    <w:rsid w:val="00D62699"/>
    <w:rsid w:val="00D778E9"/>
    <w:rsid w:val="00D812BF"/>
    <w:rsid w:val="00D82620"/>
    <w:rsid w:val="00D85707"/>
    <w:rsid w:val="00D90080"/>
    <w:rsid w:val="00D9725F"/>
    <w:rsid w:val="00DA01B1"/>
    <w:rsid w:val="00DA11A2"/>
    <w:rsid w:val="00DA14ED"/>
    <w:rsid w:val="00DA26D6"/>
    <w:rsid w:val="00DB2EF1"/>
    <w:rsid w:val="00DB3DE1"/>
    <w:rsid w:val="00DB5DA0"/>
    <w:rsid w:val="00DB716C"/>
    <w:rsid w:val="00DC54C8"/>
    <w:rsid w:val="00DC5C85"/>
    <w:rsid w:val="00DC7C5D"/>
    <w:rsid w:val="00DD4236"/>
    <w:rsid w:val="00DD44F1"/>
    <w:rsid w:val="00DD67CB"/>
    <w:rsid w:val="00DD6957"/>
    <w:rsid w:val="00DD6E7A"/>
    <w:rsid w:val="00DE3067"/>
    <w:rsid w:val="00DF3EEE"/>
    <w:rsid w:val="00DF75E1"/>
    <w:rsid w:val="00E027BC"/>
    <w:rsid w:val="00E0346A"/>
    <w:rsid w:val="00E07382"/>
    <w:rsid w:val="00E10F0D"/>
    <w:rsid w:val="00E14EA5"/>
    <w:rsid w:val="00E2070E"/>
    <w:rsid w:val="00E21133"/>
    <w:rsid w:val="00E2327E"/>
    <w:rsid w:val="00E266EF"/>
    <w:rsid w:val="00E326A8"/>
    <w:rsid w:val="00E47428"/>
    <w:rsid w:val="00E5137E"/>
    <w:rsid w:val="00E56C8E"/>
    <w:rsid w:val="00E5716B"/>
    <w:rsid w:val="00E57F1F"/>
    <w:rsid w:val="00E62130"/>
    <w:rsid w:val="00E66B9F"/>
    <w:rsid w:val="00E70A6A"/>
    <w:rsid w:val="00E710D6"/>
    <w:rsid w:val="00E73DA4"/>
    <w:rsid w:val="00E76E45"/>
    <w:rsid w:val="00E777C9"/>
    <w:rsid w:val="00E81DA6"/>
    <w:rsid w:val="00E84212"/>
    <w:rsid w:val="00E9086C"/>
    <w:rsid w:val="00E90AAA"/>
    <w:rsid w:val="00E91A0F"/>
    <w:rsid w:val="00E94A71"/>
    <w:rsid w:val="00E94CBF"/>
    <w:rsid w:val="00EA03CE"/>
    <w:rsid w:val="00EA23E5"/>
    <w:rsid w:val="00EA3867"/>
    <w:rsid w:val="00EA4E2E"/>
    <w:rsid w:val="00EB2417"/>
    <w:rsid w:val="00EB2CCB"/>
    <w:rsid w:val="00EB5DAC"/>
    <w:rsid w:val="00EB7A25"/>
    <w:rsid w:val="00EC0F3E"/>
    <w:rsid w:val="00EC57A7"/>
    <w:rsid w:val="00ED0817"/>
    <w:rsid w:val="00ED7DD9"/>
    <w:rsid w:val="00EE1F16"/>
    <w:rsid w:val="00EE445B"/>
    <w:rsid w:val="00EF3113"/>
    <w:rsid w:val="00EF3F84"/>
    <w:rsid w:val="00F176AC"/>
    <w:rsid w:val="00F26F28"/>
    <w:rsid w:val="00F27714"/>
    <w:rsid w:val="00F3276E"/>
    <w:rsid w:val="00F33D3C"/>
    <w:rsid w:val="00F37A91"/>
    <w:rsid w:val="00F408A0"/>
    <w:rsid w:val="00F45CF5"/>
    <w:rsid w:val="00F47DB0"/>
    <w:rsid w:val="00F50C3F"/>
    <w:rsid w:val="00F50E34"/>
    <w:rsid w:val="00F53EF7"/>
    <w:rsid w:val="00F549C3"/>
    <w:rsid w:val="00F54BF2"/>
    <w:rsid w:val="00F60D22"/>
    <w:rsid w:val="00F64B68"/>
    <w:rsid w:val="00F775AC"/>
    <w:rsid w:val="00F92355"/>
    <w:rsid w:val="00F93963"/>
    <w:rsid w:val="00F94291"/>
    <w:rsid w:val="00FA0B5D"/>
    <w:rsid w:val="00FA298A"/>
    <w:rsid w:val="00FA2D30"/>
    <w:rsid w:val="00FA5B66"/>
    <w:rsid w:val="00FB30EB"/>
    <w:rsid w:val="00FB7982"/>
    <w:rsid w:val="00FC0734"/>
    <w:rsid w:val="00FC0FC5"/>
    <w:rsid w:val="00FC354F"/>
    <w:rsid w:val="00FC588F"/>
    <w:rsid w:val="00FC5C70"/>
    <w:rsid w:val="00FC6879"/>
    <w:rsid w:val="00FE1B30"/>
    <w:rsid w:val="00FE415F"/>
    <w:rsid w:val="00FE45CE"/>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38A0493"/>
  <w15:docId w15:val="{0B278D77-187C-4F0F-BE48-AD599AF4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41"/>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2"/>
      </w:numPr>
      <w:spacing w:before="60" w:after="60"/>
    </w:pPr>
  </w:style>
  <w:style w:type="numbering" w:customStyle="1" w:styleId="FCOrders">
    <w:name w:val="FCOrders"/>
    <w:uiPriority w:val="99"/>
    <w:rsid w:val="004104B6"/>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4"/>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48"/>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42"/>
      </w:numPr>
    </w:pPr>
  </w:style>
  <w:style w:type="paragraph" w:customStyle="1" w:styleId="Order4">
    <w:name w:val="Order 4"/>
    <w:basedOn w:val="Order3"/>
    <w:rsid w:val="004104B6"/>
    <w:pPr>
      <w:numPr>
        <w:ilvl w:val="3"/>
      </w:numPr>
    </w:pPr>
  </w:style>
  <w:style w:type="paragraph" w:customStyle="1" w:styleId="Default">
    <w:name w:val="Default"/>
    <w:rsid w:val="00984AA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97FE0F2AB54892979D5EECDB4BD3CE"/>
        <w:category>
          <w:name w:val="General"/>
          <w:gallery w:val="placeholder"/>
        </w:category>
        <w:types>
          <w:type w:val="bbPlcHdr"/>
        </w:types>
        <w:behaviors>
          <w:behavior w:val="content"/>
        </w:behaviors>
        <w:guid w:val="{E8DBECEB-CB3C-4161-B45F-8CE51CC0C83C}"/>
      </w:docPartPr>
      <w:docPartBody>
        <w:p w:rsidR="00AA20E4" w:rsidRDefault="00AA20E4">
          <w:pPr>
            <w:pStyle w:val="6097FE0F2AB54892979D5EECDB4BD3CE"/>
          </w:pPr>
          <w:r>
            <w:rPr>
              <w:rStyle w:val="PlaceholderText"/>
            </w:rPr>
            <w:t>MNC Text</w:t>
          </w:r>
        </w:p>
      </w:docPartBody>
    </w:docPart>
    <w:docPart>
      <w:docPartPr>
        <w:name w:val="13CD4890D46F4ADEB3BC2A3FBD319293"/>
        <w:category>
          <w:name w:val="General"/>
          <w:gallery w:val="placeholder"/>
        </w:category>
        <w:types>
          <w:type w:val="bbPlcHdr"/>
        </w:types>
        <w:behaviors>
          <w:behavior w:val="content"/>
        </w:behaviors>
        <w:guid w:val="{8B0F9C53-1C27-4649-AACB-D5DC66CDE3E7}"/>
      </w:docPartPr>
      <w:docPartBody>
        <w:p w:rsidR="00AA20E4" w:rsidRDefault="00AA20E4">
          <w:pPr>
            <w:pStyle w:val="13CD4890D46F4ADEB3BC2A3FBD319293"/>
          </w:pPr>
          <w:r w:rsidRPr="005C44BE">
            <w:rPr>
              <w:rStyle w:val="PlaceholderText"/>
            </w:rPr>
            <w:t>Click or tap here to enter text.</w:t>
          </w:r>
        </w:p>
      </w:docPartBody>
    </w:docPart>
    <w:docPart>
      <w:docPartPr>
        <w:name w:val="CDE316DE71094965BF21C84F7C3B8EBA"/>
        <w:category>
          <w:name w:val="General"/>
          <w:gallery w:val="placeholder"/>
        </w:category>
        <w:types>
          <w:type w:val="bbPlcHdr"/>
        </w:types>
        <w:behaviors>
          <w:behavior w:val="content"/>
        </w:behaviors>
        <w:guid w:val="{B0097B8B-27C6-46F6-B497-4B6F31A2DF86}"/>
      </w:docPartPr>
      <w:docPartBody>
        <w:p w:rsidR="00AA20E4" w:rsidRDefault="00AA20E4">
          <w:pPr>
            <w:pStyle w:val="CDE316DE71094965BF21C84F7C3B8EBA"/>
          </w:pPr>
          <w:r w:rsidRPr="005C44BE">
            <w:rPr>
              <w:rStyle w:val="PlaceholderText"/>
            </w:rPr>
            <w:t>Click or tap here to enter text.</w:t>
          </w:r>
        </w:p>
      </w:docPartBody>
    </w:docPart>
    <w:docPart>
      <w:docPartPr>
        <w:name w:val="E8F6CD06DA614964BEA33FE37E98E462"/>
        <w:category>
          <w:name w:val="General"/>
          <w:gallery w:val="placeholder"/>
        </w:category>
        <w:types>
          <w:type w:val="bbPlcHdr"/>
        </w:types>
        <w:behaviors>
          <w:behavior w:val="content"/>
        </w:behaviors>
        <w:guid w:val="{99CDD620-51BA-4AEF-A939-0870961D4472}"/>
      </w:docPartPr>
      <w:docPartBody>
        <w:p w:rsidR="00AA20E4" w:rsidRDefault="00AA20E4">
          <w:pPr>
            <w:pStyle w:val="E8F6CD06DA614964BEA33FE37E98E462"/>
          </w:pPr>
          <w:r w:rsidRPr="005C44BE">
            <w:rPr>
              <w:rStyle w:val="PlaceholderText"/>
            </w:rPr>
            <w:t>Click or tap here to enter text.</w:t>
          </w:r>
        </w:p>
      </w:docPartBody>
    </w:docPart>
    <w:docPart>
      <w:docPartPr>
        <w:name w:val="642FC65C9EBE48789280454E27D29752"/>
        <w:category>
          <w:name w:val="General"/>
          <w:gallery w:val="placeholder"/>
        </w:category>
        <w:types>
          <w:type w:val="bbPlcHdr"/>
        </w:types>
        <w:behaviors>
          <w:behavior w:val="content"/>
        </w:behaviors>
        <w:guid w:val="{CFB53D0B-1A2F-4D61-9CE6-512CCF974AE9}"/>
      </w:docPartPr>
      <w:docPartBody>
        <w:p w:rsidR="00AA20E4" w:rsidRDefault="00AA20E4">
          <w:pPr>
            <w:pStyle w:val="642FC65C9EBE48789280454E27D29752"/>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0E4"/>
    <w:rsid w:val="001F4168"/>
    <w:rsid w:val="002759A8"/>
    <w:rsid w:val="00AA20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097FE0F2AB54892979D5EECDB4BD3CE">
    <w:name w:val="6097FE0F2AB54892979D5EECDB4BD3CE"/>
  </w:style>
  <w:style w:type="paragraph" w:customStyle="1" w:styleId="13CD4890D46F4ADEB3BC2A3FBD319293">
    <w:name w:val="13CD4890D46F4ADEB3BC2A3FBD319293"/>
  </w:style>
  <w:style w:type="paragraph" w:customStyle="1" w:styleId="CDE316DE71094965BF21C84F7C3B8EBA">
    <w:name w:val="CDE316DE71094965BF21C84F7C3B8EBA"/>
  </w:style>
  <w:style w:type="paragraph" w:customStyle="1" w:styleId="E8F6CD06DA614964BEA33FE37E98E462">
    <w:name w:val="E8F6CD06DA614964BEA33FE37E98E462"/>
  </w:style>
  <w:style w:type="paragraph" w:customStyle="1" w:styleId="642FC65C9EBE48789280454E27D29752">
    <w:name w:val="642FC65C9EBE48789280454E27D297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Fletcher v Brown (No 3) [2021] FCA 803</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8CE05E37-C310-401D-98F7-2A3284299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3</TotalTime>
  <Pages>15</Pages>
  <Words>4282</Words>
  <Characters>21301</Characters>
  <Application>Microsoft Office Word</Application>
  <DocSecurity>0</DocSecurity>
  <Lines>495</Lines>
  <Paragraphs>204</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25379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Deanne Jaffé</dc:creator>
  <cp:lastModifiedBy>Federal Court of Australia</cp:lastModifiedBy>
  <cp:revision>3</cp:revision>
  <cp:lastPrinted>2006-02-06T01:31:00Z</cp:lastPrinted>
  <dcterms:created xsi:type="dcterms:W3CDTF">2021-07-20T00:37:00Z</dcterms:created>
  <dcterms:modified xsi:type="dcterms:W3CDTF">2021-07-20T00:39:00Z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4</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Western Australia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Corporations and Corporate Insolvency</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