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F0726E" w:rsidP="00A22932">
      <w:pPr>
        <w:pStyle w:val="CourtTitle"/>
      </w:pPr>
      <w:r>
        <w:fldChar w:fldCharType="begin" w:fldLock="1"/>
      </w:r>
      <w:r>
        <w:instrText xml:space="preserve"> DOCPROPERTY  Court  \* MERGEFORMAT </w:instrText>
      </w:r>
      <w:r>
        <w:fldChar w:fldCharType="separate"/>
      </w:r>
      <w:r w:rsidR="0014406E">
        <w:t>Federal Court of Australia</w:t>
      </w:r>
      <w:r>
        <w:fldChar w:fldCharType="end"/>
      </w:r>
    </w:p>
    <w:p w:rsidR="00395B24" w:rsidRDefault="00395B24">
      <w:pPr>
        <w:pStyle w:val="NormalHeadings"/>
        <w:jc w:val="center"/>
        <w:rPr>
          <w:sz w:val="32"/>
        </w:rPr>
      </w:pPr>
    </w:p>
    <w:bookmarkStart w:id="0" w:name="MNC"/>
    <w:p w:rsidR="00374CC4" w:rsidRDefault="003C1295" w:rsidP="001A2B40">
      <w:pPr>
        <w:pStyle w:val="MNC"/>
      </w:pPr>
      <w:sdt>
        <w:sdtPr>
          <w:rPr>
            <w:bCs/>
          </w:rPr>
          <w:alias w:val="MNC"/>
          <w:tag w:val="MNC"/>
          <w:id w:val="343289786"/>
          <w:lock w:val="sdtLocked"/>
          <w:placeholder>
            <w:docPart w:val="031EC17EA6D64C20B293EA62A8FAE453"/>
          </w:placeholder>
          <w:dataBinding w:prefixMappings="xmlns:ns0='http://schemas.globalmacros.com/FCA'" w:xpath="/ns0:root[1]/ns0:Name[1]" w:storeItemID="{687E7CCB-4AA5-44E7-B148-17BA2B6F57C0}"/>
          <w:text w:multiLine="1"/>
        </w:sdtPr>
        <w:sdtEndPr/>
        <w:sdtContent>
          <w:r w:rsidR="002D4872">
            <w:rPr>
              <w:bCs/>
            </w:rPr>
            <w:t xml:space="preserve"> Stead v Fairfax Media Publications Pty Ltd (No 2) [2021] FCA 65 </w:t>
          </w:r>
        </w:sdtContent>
      </w:sdt>
      <w:bookmarkEnd w:id="0"/>
      <w:r w:rsidR="005C185C">
        <w:t xml:space="preserve"> </w:t>
      </w:r>
    </w:p>
    <w:tbl>
      <w:tblPr>
        <w:tblW w:w="9073" w:type="dxa"/>
        <w:tblLayout w:type="fixed"/>
        <w:tblLook w:val="01E0" w:firstRow="1" w:lastRow="1" w:firstColumn="1" w:lastColumn="1" w:noHBand="0" w:noVBand="0"/>
        <w:tblCaption w:val="Cover Table"/>
        <w:tblDescription w:val="Cover Table"/>
      </w:tblPr>
      <w:tblGrid>
        <w:gridCol w:w="3084"/>
        <w:gridCol w:w="5989"/>
      </w:tblGrid>
      <w:tr w:rsidR="0014406E" w:rsidTr="0014406E">
        <w:tc>
          <w:tcPr>
            <w:tcW w:w="3084" w:type="dxa"/>
            <w:shd w:val="clear" w:color="auto" w:fill="auto"/>
          </w:tcPr>
          <w:p w:rsidR="0014406E" w:rsidRDefault="0014406E" w:rsidP="00AE0C1A">
            <w:pPr>
              <w:pStyle w:val="Normal1linespace"/>
              <w:widowControl w:val="0"/>
              <w:jc w:val="left"/>
            </w:pPr>
            <w:r>
              <w:t>File number:</w:t>
            </w:r>
          </w:p>
        </w:tc>
        <w:tc>
          <w:tcPr>
            <w:tcW w:w="5989" w:type="dxa"/>
            <w:shd w:val="clear" w:color="auto" w:fill="auto"/>
          </w:tcPr>
          <w:p w:rsidR="0014406E" w:rsidRPr="00F03506" w:rsidRDefault="00112D3C" w:rsidP="00AE0C1A">
            <w:pPr>
              <w:pStyle w:val="Normal1linespace"/>
              <w:jc w:val="left"/>
            </w:pPr>
            <w:fldSimple w:instr=" REF  FileNo  \* MERGEFORMAT " w:fldLock="1">
              <w:r w:rsidR="0014406E" w:rsidRPr="00F03506">
                <w:t>NSD 2153 of 2019</w:t>
              </w:r>
            </w:fldSimple>
          </w:p>
        </w:tc>
      </w:tr>
      <w:tr w:rsidR="0014406E" w:rsidTr="0014406E">
        <w:tc>
          <w:tcPr>
            <w:tcW w:w="3084" w:type="dxa"/>
            <w:shd w:val="clear" w:color="auto" w:fill="auto"/>
          </w:tcPr>
          <w:p w:rsidR="0014406E" w:rsidRDefault="0014406E" w:rsidP="00AE0C1A">
            <w:pPr>
              <w:pStyle w:val="Normal1linespace"/>
              <w:widowControl w:val="0"/>
              <w:jc w:val="left"/>
            </w:pPr>
          </w:p>
        </w:tc>
        <w:tc>
          <w:tcPr>
            <w:tcW w:w="5989" w:type="dxa"/>
            <w:shd w:val="clear" w:color="auto" w:fill="auto"/>
          </w:tcPr>
          <w:p w:rsidR="0014406E" w:rsidRDefault="0014406E" w:rsidP="00AE0C1A">
            <w:pPr>
              <w:pStyle w:val="Normal1linespace"/>
              <w:widowControl w:val="0"/>
              <w:jc w:val="left"/>
            </w:pPr>
          </w:p>
        </w:tc>
      </w:tr>
      <w:tr w:rsidR="0014406E" w:rsidTr="0014406E">
        <w:tc>
          <w:tcPr>
            <w:tcW w:w="3084" w:type="dxa"/>
            <w:shd w:val="clear" w:color="auto" w:fill="auto"/>
          </w:tcPr>
          <w:p w:rsidR="0014406E" w:rsidRDefault="0014406E" w:rsidP="00AE0C1A">
            <w:pPr>
              <w:pStyle w:val="Normal1linespace"/>
              <w:widowControl w:val="0"/>
              <w:jc w:val="left"/>
            </w:pPr>
            <w:r>
              <w:t>Judgment of:</w:t>
            </w:r>
          </w:p>
        </w:tc>
        <w:tc>
          <w:tcPr>
            <w:tcW w:w="5989" w:type="dxa"/>
            <w:shd w:val="clear" w:color="auto" w:fill="auto"/>
          </w:tcPr>
          <w:p w:rsidR="0014406E" w:rsidRDefault="0014406E" w:rsidP="00AE0C1A">
            <w:pPr>
              <w:pStyle w:val="Normal1linespace"/>
              <w:widowControl w:val="0"/>
              <w:jc w:val="left"/>
              <w:rPr>
                <w:b/>
              </w:rPr>
            </w:pPr>
            <w:r w:rsidRPr="00F03506">
              <w:rPr>
                <w:b/>
              </w:rPr>
              <w:fldChar w:fldCharType="begin" w:fldLock="1"/>
            </w:r>
            <w:r w:rsidRPr="00F03506">
              <w:rPr>
                <w:b/>
              </w:rPr>
              <w:instrText xml:space="preserve"> REF  Judge  \* MERGEFORMAT </w:instrText>
            </w:r>
            <w:r w:rsidRPr="00F03506">
              <w:rPr>
                <w:b/>
              </w:rPr>
              <w:fldChar w:fldCharType="separate"/>
            </w:r>
            <w:r w:rsidRPr="00F03506">
              <w:rPr>
                <w:b/>
                <w:caps/>
                <w:szCs w:val="24"/>
              </w:rPr>
              <w:t>LEE J</w:t>
            </w:r>
            <w:r w:rsidRPr="00F03506">
              <w:rPr>
                <w:b/>
              </w:rPr>
              <w:fldChar w:fldCharType="end"/>
            </w:r>
          </w:p>
        </w:tc>
      </w:tr>
      <w:tr w:rsidR="0014406E" w:rsidTr="0014406E">
        <w:tc>
          <w:tcPr>
            <w:tcW w:w="3084" w:type="dxa"/>
            <w:shd w:val="clear" w:color="auto" w:fill="auto"/>
          </w:tcPr>
          <w:p w:rsidR="0014406E" w:rsidRDefault="0014406E" w:rsidP="00AE0C1A">
            <w:pPr>
              <w:pStyle w:val="Normal1linespace"/>
              <w:widowControl w:val="0"/>
              <w:jc w:val="left"/>
            </w:pPr>
          </w:p>
        </w:tc>
        <w:tc>
          <w:tcPr>
            <w:tcW w:w="5989" w:type="dxa"/>
            <w:shd w:val="clear" w:color="auto" w:fill="auto"/>
          </w:tcPr>
          <w:p w:rsidR="0014406E" w:rsidRDefault="0014406E" w:rsidP="00AE0C1A">
            <w:pPr>
              <w:pStyle w:val="Normal1linespace"/>
              <w:widowControl w:val="0"/>
              <w:jc w:val="left"/>
            </w:pPr>
          </w:p>
        </w:tc>
      </w:tr>
      <w:tr w:rsidR="00112D3C" w:rsidTr="0014406E">
        <w:tc>
          <w:tcPr>
            <w:tcW w:w="3084" w:type="dxa"/>
            <w:shd w:val="clear" w:color="auto" w:fill="auto"/>
          </w:tcPr>
          <w:p w:rsidR="00112D3C" w:rsidRDefault="00112D3C" w:rsidP="00112D3C">
            <w:pPr>
              <w:pStyle w:val="Normal1linespace"/>
              <w:widowControl w:val="0"/>
              <w:jc w:val="left"/>
            </w:pPr>
            <w:r>
              <w:t>Date of judgment:</w:t>
            </w:r>
          </w:p>
        </w:tc>
        <w:tc>
          <w:tcPr>
            <w:tcW w:w="5989" w:type="dxa"/>
            <w:shd w:val="clear" w:color="auto" w:fill="auto"/>
          </w:tcPr>
          <w:p w:rsidR="00112D3C" w:rsidRDefault="00112D3C" w:rsidP="00112D3C">
            <w:pPr>
              <w:pStyle w:val="Normal1linespace"/>
              <w:widowControl w:val="0"/>
              <w:jc w:val="left"/>
            </w:pPr>
            <w:r>
              <w:t>8 February 2021</w:t>
            </w:r>
          </w:p>
        </w:tc>
      </w:tr>
      <w:tr w:rsidR="00112D3C" w:rsidTr="0014406E">
        <w:tc>
          <w:tcPr>
            <w:tcW w:w="3084" w:type="dxa"/>
            <w:shd w:val="clear" w:color="auto" w:fill="auto"/>
          </w:tcPr>
          <w:p w:rsidR="00112D3C" w:rsidRDefault="00112D3C" w:rsidP="00112D3C">
            <w:pPr>
              <w:pStyle w:val="Normal1linespace"/>
              <w:widowControl w:val="0"/>
              <w:jc w:val="left"/>
            </w:pPr>
          </w:p>
        </w:tc>
        <w:tc>
          <w:tcPr>
            <w:tcW w:w="5989" w:type="dxa"/>
            <w:shd w:val="clear" w:color="auto" w:fill="auto"/>
          </w:tcPr>
          <w:p w:rsidR="00112D3C" w:rsidRDefault="00112D3C" w:rsidP="00112D3C">
            <w:pPr>
              <w:pStyle w:val="Normal1linespace"/>
              <w:widowControl w:val="0"/>
              <w:jc w:val="left"/>
            </w:pPr>
          </w:p>
        </w:tc>
      </w:tr>
      <w:tr w:rsidR="00112D3C" w:rsidTr="0014406E">
        <w:tc>
          <w:tcPr>
            <w:tcW w:w="3084" w:type="dxa"/>
            <w:shd w:val="clear" w:color="auto" w:fill="auto"/>
          </w:tcPr>
          <w:p w:rsidR="00112D3C" w:rsidRDefault="00112D3C" w:rsidP="00112D3C">
            <w:pPr>
              <w:pStyle w:val="Normal1linespace"/>
              <w:widowControl w:val="0"/>
              <w:jc w:val="left"/>
            </w:pPr>
            <w:r>
              <w:t>Catchwords:</w:t>
            </w:r>
          </w:p>
        </w:tc>
        <w:tc>
          <w:tcPr>
            <w:tcW w:w="5989" w:type="dxa"/>
            <w:shd w:val="clear" w:color="auto" w:fill="auto"/>
          </w:tcPr>
          <w:p w:rsidR="00112D3C" w:rsidRPr="00A40910" w:rsidRDefault="00112D3C" w:rsidP="00112D3C">
            <w:pPr>
              <w:pStyle w:val="Normal1linespace"/>
              <w:widowControl w:val="0"/>
              <w:jc w:val="left"/>
            </w:pPr>
            <w:r w:rsidRPr="00A40910">
              <w:rPr>
                <w:b/>
                <w:bCs/>
                <w:caps/>
                <w:szCs w:val="24"/>
              </w:rPr>
              <w:t xml:space="preserve">PRACTICE AND PROCEDURE </w:t>
            </w:r>
            <w:r>
              <w:rPr>
                <w:b/>
                <w:bCs/>
                <w:caps/>
                <w:szCs w:val="24"/>
              </w:rPr>
              <w:t xml:space="preserve">– </w:t>
            </w:r>
            <w:r>
              <w:t>d</w:t>
            </w:r>
            <w:r w:rsidRPr="00A40910">
              <w:t xml:space="preserve">istinction between verdict and judgment at common law – </w:t>
            </w:r>
            <w:r>
              <w:t xml:space="preserve">order in terms of verdict and judgment in judge alone trial ahistorical – order for judgment only </w:t>
            </w:r>
            <w:r>
              <w:rPr>
                <w:i/>
              </w:rPr>
              <w:t xml:space="preserve"> </w:t>
            </w:r>
          </w:p>
          <w:p w:rsidR="00112D3C" w:rsidRDefault="00112D3C" w:rsidP="00112D3C">
            <w:pPr>
              <w:pStyle w:val="Normal1linespace"/>
              <w:widowControl w:val="0"/>
              <w:jc w:val="left"/>
              <w:rPr>
                <w:bCs/>
                <w:caps/>
                <w:szCs w:val="24"/>
              </w:rPr>
            </w:pPr>
          </w:p>
          <w:p w:rsidR="00112D3C" w:rsidRPr="00A40910" w:rsidRDefault="00112D3C" w:rsidP="00112D3C">
            <w:pPr>
              <w:pStyle w:val="Normal1linespace"/>
              <w:widowControl w:val="0"/>
              <w:jc w:val="left"/>
              <w:rPr>
                <w:b/>
              </w:rPr>
            </w:pPr>
            <w:r>
              <w:rPr>
                <w:b/>
                <w:bCs/>
                <w:caps/>
                <w:szCs w:val="24"/>
              </w:rPr>
              <w:t xml:space="preserve">COSTS – </w:t>
            </w:r>
            <w:r>
              <w:t xml:space="preserve">whether to award indemnity costs – whether rejection of first offer of compromise unreasonable – assessment of whether judgment obtained was more favourable than the terms of the first offer – artificiality in assessing success of claim by reference to the different causes of action and imputations pleaded – need to assess whether, as a matter of substance, one state of affairs (that provided for by the judgment) is more favourable than another state of affairs (that provided for by the offer) – rejection of offer unreasonable – indemnity costs awarded in accordance with r 25.14(3) of the </w:t>
            </w:r>
            <w:r w:rsidRPr="006E13E2">
              <w:rPr>
                <w:i/>
              </w:rPr>
              <w:t>Federal Court Rules 2011</w:t>
            </w:r>
            <w:r>
              <w:t xml:space="preserve"> (Cth)</w:t>
            </w:r>
          </w:p>
        </w:tc>
      </w:tr>
      <w:tr w:rsidR="00112D3C" w:rsidTr="0014406E">
        <w:tc>
          <w:tcPr>
            <w:tcW w:w="3084" w:type="dxa"/>
            <w:shd w:val="clear" w:color="auto" w:fill="auto"/>
          </w:tcPr>
          <w:p w:rsidR="00112D3C" w:rsidRDefault="00112D3C" w:rsidP="00112D3C">
            <w:pPr>
              <w:pStyle w:val="Normal1linespace"/>
              <w:widowControl w:val="0"/>
              <w:jc w:val="left"/>
            </w:pPr>
          </w:p>
        </w:tc>
        <w:tc>
          <w:tcPr>
            <w:tcW w:w="5989" w:type="dxa"/>
            <w:shd w:val="clear" w:color="auto" w:fill="auto"/>
          </w:tcPr>
          <w:p w:rsidR="00112D3C" w:rsidRDefault="00112D3C" w:rsidP="00112D3C">
            <w:pPr>
              <w:pStyle w:val="Normal1linespace"/>
              <w:widowControl w:val="0"/>
              <w:jc w:val="left"/>
            </w:pPr>
          </w:p>
        </w:tc>
      </w:tr>
      <w:tr w:rsidR="00112D3C" w:rsidTr="0014406E">
        <w:tc>
          <w:tcPr>
            <w:tcW w:w="3084" w:type="dxa"/>
            <w:shd w:val="clear" w:color="auto" w:fill="auto"/>
          </w:tcPr>
          <w:p w:rsidR="00112D3C" w:rsidRDefault="00112D3C" w:rsidP="00112D3C">
            <w:pPr>
              <w:pStyle w:val="Normal1linespace"/>
              <w:widowControl w:val="0"/>
              <w:jc w:val="left"/>
            </w:pPr>
            <w:r>
              <w:t>Legislation:</w:t>
            </w:r>
          </w:p>
        </w:tc>
        <w:tc>
          <w:tcPr>
            <w:tcW w:w="5989" w:type="dxa"/>
            <w:shd w:val="clear" w:color="auto" w:fill="auto"/>
          </w:tcPr>
          <w:p w:rsidR="00112D3C" w:rsidRDefault="00112D3C" w:rsidP="00112D3C">
            <w:pPr>
              <w:pStyle w:val="CasesLegislationAppealFrom"/>
              <w:spacing w:after="60"/>
            </w:pPr>
            <w:r w:rsidRPr="00437E49">
              <w:rPr>
                <w:i/>
              </w:rPr>
              <w:t>Evidence Act 1995</w:t>
            </w:r>
            <w:r w:rsidRPr="00437E49">
              <w:t> (</w:t>
            </w:r>
            <w:proofErr w:type="spellStart"/>
            <w:r w:rsidRPr="00437E49">
              <w:t>Cth</w:t>
            </w:r>
            <w:proofErr w:type="spellEnd"/>
            <w:r w:rsidRPr="00437E49">
              <w:t>)</w:t>
            </w:r>
            <w:r>
              <w:t xml:space="preserve"> s 131</w:t>
            </w:r>
          </w:p>
          <w:p w:rsidR="00112D3C" w:rsidRDefault="00112D3C" w:rsidP="00112D3C">
            <w:pPr>
              <w:pStyle w:val="CasesLegislationAppealFrom"/>
              <w:spacing w:after="60"/>
            </w:pPr>
            <w:r w:rsidRPr="00B90DC8">
              <w:rPr>
                <w:i/>
              </w:rPr>
              <w:t>Federal Court of Australia Act 1976</w:t>
            </w:r>
            <w:r>
              <w:t xml:space="preserve"> (Cth) ss 23, 37M, 43 53A, 53B</w:t>
            </w:r>
          </w:p>
          <w:p w:rsidR="00112D3C" w:rsidRDefault="00112D3C" w:rsidP="00112D3C">
            <w:pPr>
              <w:pStyle w:val="CasesLegislationAppealFrom"/>
              <w:spacing w:after="60"/>
            </w:pPr>
            <w:r w:rsidRPr="006E13E2">
              <w:rPr>
                <w:i/>
              </w:rPr>
              <w:t>Federal Court Rules 2011</w:t>
            </w:r>
            <w:r>
              <w:t xml:space="preserve"> (</w:t>
            </w:r>
            <w:proofErr w:type="spellStart"/>
            <w:r>
              <w:t>Cth</w:t>
            </w:r>
            <w:proofErr w:type="spellEnd"/>
            <w:r>
              <w:t>) r 25</w:t>
            </w:r>
          </w:p>
          <w:p w:rsidR="00112D3C" w:rsidRDefault="00112D3C" w:rsidP="00112D3C">
            <w:pPr>
              <w:pStyle w:val="CasesLegislationAppealFrom"/>
              <w:spacing w:after="60"/>
            </w:pPr>
            <w:r w:rsidRPr="004154DD">
              <w:rPr>
                <w:i/>
              </w:rPr>
              <w:t>Defamation Act 2005</w:t>
            </w:r>
            <w:r>
              <w:t xml:space="preserve"> (NSW) s 40</w:t>
            </w:r>
          </w:p>
          <w:p w:rsidR="00112D3C" w:rsidRDefault="00112D3C" w:rsidP="00112D3C">
            <w:pPr>
              <w:pStyle w:val="CasesLegislationAppealFrom"/>
              <w:spacing w:after="60"/>
            </w:pPr>
            <w:r w:rsidRPr="00152CEA">
              <w:rPr>
                <w:i/>
              </w:rPr>
              <w:t>Supreme Court Rules 1970</w:t>
            </w:r>
            <w:r>
              <w:t xml:space="preserve"> (NSW) Pt 22 (prior to amendment by </w:t>
            </w:r>
            <w:r w:rsidRPr="003C40AD">
              <w:rPr>
                <w:i/>
              </w:rPr>
              <w:t>Supreme Court Act 1970 - Supreme Court Rules (Amendment No 405) 2005 (2005-407)</w:t>
            </w:r>
            <w:r w:rsidRPr="009A06AD">
              <w:t xml:space="preserve"> </w:t>
            </w:r>
            <w:r>
              <w:t>(NSW))</w:t>
            </w:r>
          </w:p>
        </w:tc>
      </w:tr>
      <w:tr w:rsidR="00112D3C" w:rsidTr="0014406E">
        <w:tc>
          <w:tcPr>
            <w:tcW w:w="3084" w:type="dxa"/>
            <w:shd w:val="clear" w:color="auto" w:fill="auto"/>
          </w:tcPr>
          <w:p w:rsidR="00112D3C" w:rsidRDefault="00112D3C" w:rsidP="00112D3C">
            <w:pPr>
              <w:pStyle w:val="Normal1linespace"/>
              <w:widowControl w:val="0"/>
              <w:jc w:val="left"/>
            </w:pPr>
          </w:p>
        </w:tc>
        <w:tc>
          <w:tcPr>
            <w:tcW w:w="5989" w:type="dxa"/>
            <w:shd w:val="clear" w:color="auto" w:fill="auto"/>
          </w:tcPr>
          <w:p w:rsidR="00112D3C" w:rsidRDefault="00112D3C" w:rsidP="00112D3C">
            <w:pPr>
              <w:pStyle w:val="Normal1linespace"/>
              <w:widowControl w:val="0"/>
              <w:jc w:val="left"/>
            </w:pPr>
          </w:p>
        </w:tc>
      </w:tr>
      <w:tr w:rsidR="00112D3C" w:rsidTr="0014406E">
        <w:tc>
          <w:tcPr>
            <w:tcW w:w="3084" w:type="dxa"/>
            <w:shd w:val="clear" w:color="auto" w:fill="auto"/>
          </w:tcPr>
          <w:p w:rsidR="00112D3C" w:rsidRDefault="00112D3C" w:rsidP="00112D3C">
            <w:pPr>
              <w:pStyle w:val="Normal1linespace"/>
              <w:widowControl w:val="0"/>
              <w:jc w:val="left"/>
            </w:pPr>
            <w:r>
              <w:t>Cases cited:</w:t>
            </w:r>
          </w:p>
        </w:tc>
        <w:tc>
          <w:tcPr>
            <w:tcW w:w="5989" w:type="dxa"/>
            <w:shd w:val="clear" w:color="auto" w:fill="auto"/>
          </w:tcPr>
          <w:p w:rsidR="00112D3C" w:rsidRDefault="00112D3C" w:rsidP="00112D3C">
            <w:pPr>
              <w:pStyle w:val="CasesLegislationAppealFrom"/>
              <w:spacing w:after="60"/>
            </w:pPr>
            <w:r w:rsidRPr="004516F3">
              <w:rPr>
                <w:i/>
              </w:rPr>
              <w:t xml:space="preserve">CGU Insurance Ltd v Corrections Corporation of Australia Staff Superannuation Ltd </w:t>
            </w:r>
            <w:r w:rsidRPr="004516F3">
              <w:t>[2008] FCAFC 173; (2009) 15 ANZ Insurance Cases 61-785</w:t>
            </w:r>
          </w:p>
          <w:p w:rsidR="00112D3C" w:rsidRDefault="00112D3C" w:rsidP="00112D3C">
            <w:pPr>
              <w:pStyle w:val="CasesLegislationAppealFrom"/>
              <w:spacing w:after="60"/>
            </w:pPr>
            <w:r w:rsidRPr="004516F3">
              <w:rPr>
                <w:i/>
              </w:rPr>
              <w:t>Commercial Union Assurance Company of Australia Limited v Pelosi (No 2)</w:t>
            </w:r>
            <w:r w:rsidRPr="004516F3">
              <w:t xml:space="preserve"> (</w:t>
            </w:r>
            <w:r>
              <w:t xml:space="preserve">unreported, </w:t>
            </w:r>
            <w:r w:rsidRPr="004516F3">
              <w:t xml:space="preserve">NSWCA, </w:t>
            </w:r>
            <w:r>
              <w:t>Handley, Sheller and Powell JJA, 27 February 1996</w:t>
            </w:r>
            <w:r w:rsidRPr="004516F3">
              <w:t>)</w:t>
            </w:r>
          </w:p>
          <w:p w:rsidR="00112D3C" w:rsidRDefault="00112D3C" w:rsidP="00112D3C">
            <w:pPr>
              <w:pStyle w:val="CasesLegislationAppealFrom"/>
              <w:spacing w:after="60"/>
            </w:pPr>
            <w:r w:rsidRPr="00C70EE5">
              <w:rPr>
                <w:i/>
              </w:rPr>
              <w:t xml:space="preserve">Ettingshausen v Australian Consolidated Press </w:t>
            </w:r>
            <w:r>
              <w:rPr>
                <w:i/>
              </w:rPr>
              <w:t>Ltd</w:t>
            </w:r>
            <w:r w:rsidRPr="00C70EE5">
              <w:t xml:space="preserve"> (1995) 38 NSWLR 404</w:t>
            </w:r>
          </w:p>
          <w:p w:rsidR="00112D3C" w:rsidRDefault="00112D3C" w:rsidP="00112D3C">
            <w:pPr>
              <w:pStyle w:val="CasesLegislationAppealFrom"/>
              <w:spacing w:after="60"/>
            </w:pPr>
            <w:r w:rsidRPr="004516F3">
              <w:rPr>
                <w:i/>
              </w:rPr>
              <w:t>Fotheringham v Fotheringham (No 2)</w:t>
            </w:r>
            <w:r w:rsidRPr="004516F3">
              <w:t xml:space="preserve"> [1999] NSWCA 21</w:t>
            </w:r>
          </w:p>
          <w:p w:rsidR="00112D3C" w:rsidRDefault="00112D3C" w:rsidP="00112D3C">
            <w:pPr>
              <w:pStyle w:val="CasesLegislationAppealFrom"/>
              <w:spacing w:after="60"/>
            </w:pPr>
            <w:r w:rsidRPr="004516F3">
              <w:rPr>
                <w:i/>
              </w:rPr>
              <w:t xml:space="preserve">Minister Administering the Environmental Planning and </w:t>
            </w:r>
            <w:r w:rsidRPr="004516F3">
              <w:rPr>
                <w:i/>
              </w:rPr>
              <w:lastRenderedPageBreak/>
              <w:t xml:space="preserve">Assessment Act 1979 v Carson </w:t>
            </w:r>
            <w:r w:rsidRPr="004516F3">
              <w:t>(1994) 35 NSWLR 342</w:t>
            </w:r>
          </w:p>
          <w:p w:rsidR="00112D3C" w:rsidRDefault="00112D3C" w:rsidP="00112D3C">
            <w:pPr>
              <w:pStyle w:val="CasesLegislationAppealFrom"/>
              <w:spacing w:after="60"/>
            </w:pPr>
            <w:r w:rsidRPr="004516F3">
              <w:rPr>
                <w:i/>
              </w:rPr>
              <w:t>NH v Director of Public Prosecutions for the State of South Australia</w:t>
            </w:r>
            <w:r w:rsidRPr="004516F3">
              <w:t xml:space="preserve"> [2016] HCA 33; (2016) 260 CLR 546</w:t>
            </w:r>
          </w:p>
          <w:p w:rsidR="00112D3C" w:rsidRDefault="00112D3C" w:rsidP="00112D3C">
            <w:pPr>
              <w:pStyle w:val="CasesLegislationAppealFrom"/>
              <w:spacing w:after="60"/>
            </w:pPr>
            <w:r w:rsidRPr="00414CA9">
              <w:rPr>
                <w:i/>
              </w:rPr>
              <w:t xml:space="preserve">Otis Elevators Pty Ltd v </w:t>
            </w:r>
            <w:proofErr w:type="spellStart"/>
            <w:r w:rsidRPr="00414CA9">
              <w:rPr>
                <w:i/>
              </w:rPr>
              <w:t>Zitis</w:t>
            </w:r>
            <w:proofErr w:type="spellEnd"/>
            <w:r w:rsidRPr="00414CA9">
              <w:t xml:space="preserve"> (1986) 5 NSWLR 171</w:t>
            </w:r>
          </w:p>
          <w:p w:rsidR="00112D3C" w:rsidRDefault="00112D3C" w:rsidP="00112D3C">
            <w:pPr>
              <w:pStyle w:val="CasesLegislationAppealFrom"/>
              <w:spacing w:after="60"/>
            </w:pPr>
            <w:r w:rsidRPr="00A56295">
              <w:rPr>
                <w:i/>
              </w:rPr>
              <w:t xml:space="preserve">Phillips v </w:t>
            </w:r>
            <w:proofErr w:type="spellStart"/>
            <w:r w:rsidRPr="00A56295">
              <w:rPr>
                <w:i/>
              </w:rPr>
              <w:t>Elli</w:t>
            </w:r>
            <w:r>
              <w:rPr>
                <w:i/>
              </w:rPr>
              <w:t>n</w:t>
            </w:r>
            <w:r w:rsidRPr="00A56295">
              <w:rPr>
                <w:i/>
              </w:rPr>
              <w:t>son</w:t>
            </w:r>
            <w:proofErr w:type="spellEnd"/>
            <w:r w:rsidRPr="00A56295">
              <w:rPr>
                <w:i/>
              </w:rPr>
              <w:t xml:space="preserve"> Brothers Pty Ltd</w:t>
            </w:r>
            <w:r>
              <w:t xml:space="preserve"> (1941) 65 CLR 221</w:t>
            </w:r>
          </w:p>
        </w:tc>
      </w:tr>
      <w:tr w:rsidR="00112D3C" w:rsidTr="0014406E">
        <w:tc>
          <w:tcPr>
            <w:tcW w:w="3084" w:type="dxa"/>
            <w:shd w:val="clear" w:color="auto" w:fill="auto"/>
          </w:tcPr>
          <w:p w:rsidR="00112D3C" w:rsidRDefault="00112D3C" w:rsidP="00112D3C">
            <w:pPr>
              <w:pStyle w:val="Normal1linespace"/>
              <w:widowControl w:val="0"/>
            </w:pPr>
          </w:p>
        </w:tc>
        <w:tc>
          <w:tcPr>
            <w:tcW w:w="5989" w:type="dxa"/>
            <w:shd w:val="clear" w:color="auto" w:fill="auto"/>
          </w:tcPr>
          <w:p w:rsidR="00112D3C" w:rsidRDefault="00112D3C" w:rsidP="00112D3C">
            <w:pPr>
              <w:pStyle w:val="Normal1linespace"/>
              <w:widowControl w:val="0"/>
              <w:jc w:val="left"/>
            </w:pPr>
          </w:p>
        </w:tc>
      </w:tr>
      <w:tr w:rsidR="00112D3C" w:rsidTr="0014406E">
        <w:tc>
          <w:tcPr>
            <w:tcW w:w="3084" w:type="dxa"/>
            <w:shd w:val="clear" w:color="auto" w:fill="auto"/>
          </w:tcPr>
          <w:p w:rsidR="00112D3C" w:rsidRDefault="00112D3C" w:rsidP="00112D3C">
            <w:pPr>
              <w:pStyle w:val="Normal1linespace"/>
              <w:widowControl w:val="0"/>
            </w:pPr>
            <w:r>
              <w:t>Division:</w:t>
            </w:r>
          </w:p>
        </w:tc>
        <w:tc>
          <w:tcPr>
            <w:tcW w:w="5989" w:type="dxa"/>
            <w:shd w:val="clear" w:color="auto" w:fill="auto"/>
          </w:tcPr>
          <w:p w:rsidR="00112D3C" w:rsidRPr="00F17599" w:rsidRDefault="003C1295" w:rsidP="00112D3C">
            <w:pPr>
              <w:pStyle w:val="Normal1linespace"/>
              <w:widowControl w:val="0"/>
              <w:jc w:val="left"/>
            </w:pPr>
            <w:r>
              <w:fldChar w:fldCharType="begin" w:fldLock="1"/>
            </w:r>
            <w:r>
              <w:instrText xml:space="preserve"> DOCPROPERTY  Division </w:instrText>
            </w:r>
            <w:r>
              <w:fldChar w:fldCharType="separate"/>
            </w:r>
            <w:r w:rsidR="00112D3C">
              <w:t>General Division</w:t>
            </w:r>
            <w:r>
              <w:fldChar w:fldCharType="end"/>
            </w:r>
          </w:p>
        </w:tc>
      </w:tr>
      <w:tr w:rsidR="00112D3C" w:rsidTr="0014406E">
        <w:tc>
          <w:tcPr>
            <w:tcW w:w="3084" w:type="dxa"/>
            <w:shd w:val="clear" w:color="auto" w:fill="auto"/>
          </w:tcPr>
          <w:p w:rsidR="00112D3C" w:rsidRDefault="00112D3C" w:rsidP="00112D3C">
            <w:pPr>
              <w:pStyle w:val="Normal1linespace"/>
              <w:widowControl w:val="0"/>
            </w:pPr>
            <w:bookmarkStart w:id="1" w:name="Registry_rows" w:colFirst="0" w:colLast="1"/>
          </w:p>
        </w:tc>
        <w:tc>
          <w:tcPr>
            <w:tcW w:w="5989" w:type="dxa"/>
            <w:shd w:val="clear" w:color="auto" w:fill="auto"/>
          </w:tcPr>
          <w:p w:rsidR="00112D3C" w:rsidRDefault="00112D3C" w:rsidP="00112D3C">
            <w:pPr>
              <w:pStyle w:val="Normal1linespace"/>
              <w:widowControl w:val="0"/>
              <w:jc w:val="left"/>
            </w:pPr>
          </w:p>
        </w:tc>
      </w:tr>
      <w:tr w:rsidR="00112D3C" w:rsidTr="0014406E">
        <w:tc>
          <w:tcPr>
            <w:tcW w:w="3084" w:type="dxa"/>
            <w:shd w:val="clear" w:color="auto" w:fill="auto"/>
          </w:tcPr>
          <w:p w:rsidR="00112D3C" w:rsidRDefault="00112D3C" w:rsidP="00112D3C">
            <w:pPr>
              <w:pStyle w:val="Normal1linespace"/>
              <w:widowControl w:val="0"/>
            </w:pPr>
            <w:r>
              <w:t>Registry:</w:t>
            </w:r>
          </w:p>
        </w:tc>
        <w:tc>
          <w:tcPr>
            <w:tcW w:w="5989" w:type="dxa"/>
            <w:shd w:val="clear" w:color="auto" w:fill="auto"/>
          </w:tcPr>
          <w:p w:rsidR="00112D3C" w:rsidRPr="00F17599" w:rsidRDefault="003C1295" w:rsidP="00112D3C">
            <w:pPr>
              <w:pStyle w:val="Normal1linespace"/>
              <w:widowControl w:val="0"/>
              <w:jc w:val="left"/>
            </w:pPr>
            <w:r>
              <w:fldChar w:fldCharType="begin" w:fldLock="1"/>
            </w:r>
            <w:r>
              <w:instrText xml:space="preserve"> DOCPROPERTY  Registry </w:instrText>
            </w:r>
            <w:r>
              <w:fldChar w:fldCharType="separate"/>
            </w:r>
            <w:r w:rsidR="00112D3C">
              <w:t>New South Wales</w:t>
            </w:r>
            <w:r>
              <w:fldChar w:fldCharType="end"/>
            </w:r>
          </w:p>
        </w:tc>
      </w:tr>
      <w:tr w:rsidR="00112D3C" w:rsidTr="0014406E">
        <w:tc>
          <w:tcPr>
            <w:tcW w:w="3084" w:type="dxa"/>
            <w:shd w:val="clear" w:color="auto" w:fill="auto"/>
          </w:tcPr>
          <w:p w:rsidR="00112D3C" w:rsidRDefault="00112D3C" w:rsidP="00112D3C">
            <w:pPr>
              <w:pStyle w:val="Normal1linespace"/>
              <w:widowControl w:val="0"/>
            </w:pPr>
            <w:bookmarkStart w:id="2" w:name="NPARow" w:colFirst="0" w:colLast="1"/>
            <w:bookmarkEnd w:id="1"/>
          </w:p>
        </w:tc>
        <w:tc>
          <w:tcPr>
            <w:tcW w:w="5989" w:type="dxa"/>
            <w:shd w:val="clear" w:color="auto" w:fill="auto"/>
          </w:tcPr>
          <w:p w:rsidR="00112D3C" w:rsidRPr="00F17599" w:rsidRDefault="00112D3C" w:rsidP="00112D3C">
            <w:pPr>
              <w:pStyle w:val="Normal1linespace"/>
              <w:widowControl w:val="0"/>
              <w:jc w:val="left"/>
              <w:rPr>
                <w:b/>
              </w:rPr>
            </w:pPr>
          </w:p>
        </w:tc>
      </w:tr>
      <w:tr w:rsidR="00112D3C" w:rsidTr="0014406E">
        <w:tc>
          <w:tcPr>
            <w:tcW w:w="3084" w:type="dxa"/>
            <w:shd w:val="clear" w:color="auto" w:fill="auto"/>
          </w:tcPr>
          <w:p w:rsidR="00112D3C" w:rsidRDefault="00112D3C" w:rsidP="00112D3C">
            <w:pPr>
              <w:pStyle w:val="Normal1linespace"/>
              <w:widowControl w:val="0"/>
            </w:pPr>
            <w:r>
              <w:t>National Practice Area:</w:t>
            </w:r>
          </w:p>
        </w:tc>
        <w:tc>
          <w:tcPr>
            <w:tcW w:w="5989" w:type="dxa"/>
            <w:shd w:val="clear" w:color="auto" w:fill="auto"/>
          </w:tcPr>
          <w:p w:rsidR="00112D3C" w:rsidRPr="00F17599" w:rsidRDefault="003C1295" w:rsidP="00112D3C">
            <w:pPr>
              <w:pStyle w:val="Normal1linespace"/>
              <w:widowControl w:val="0"/>
              <w:jc w:val="left"/>
              <w:rPr>
                <w:b/>
              </w:rPr>
            </w:pPr>
            <w:r>
              <w:fldChar w:fldCharType="begin" w:fldLock="1"/>
            </w:r>
            <w:r>
              <w:instrText xml:space="preserve"> DOCPROPERTY  "Practice Area"  \* MERGEFORMAT </w:instrText>
            </w:r>
            <w:r>
              <w:fldChar w:fldCharType="separate"/>
            </w:r>
            <w:r w:rsidR="00112D3C">
              <w:t>Other Federal Jurisdiction</w:t>
            </w:r>
            <w:r>
              <w:fldChar w:fldCharType="end"/>
            </w:r>
          </w:p>
        </w:tc>
      </w:tr>
      <w:bookmarkEnd w:id="2"/>
      <w:tr w:rsidR="00112D3C" w:rsidTr="0014406E">
        <w:tc>
          <w:tcPr>
            <w:tcW w:w="3084" w:type="dxa"/>
            <w:shd w:val="clear" w:color="auto" w:fill="auto"/>
          </w:tcPr>
          <w:p w:rsidR="00112D3C" w:rsidRDefault="00112D3C" w:rsidP="00112D3C">
            <w:pPr>
              <w:pStyle w:val="Normal1linespace"/>
              <w:widowControl w:val="0"/>
            </w:pPr>
          </w:p>
        </w:tc>
        <w:tc>
          <w:tcPr>
            <w:tcW w:w="5989" w:type="dxa"/>
            <w:shd w:val="clear" w:color="auto" w:fill="auto"/>
          </w:tcPr>
          <w:p w:rsidR="00112D3C" w:rsidRDefault="00112D3C" w:rsidP="00112D3C">
            <w:pPr>
              <w:pStyle w:val="Normal1linespace"/>
              <w:widowControl w:val="0"/>
              <w:jc w:val="left"/>
            </w:pPr>
          </w:p>
        </w:tc>
      </w:tr>
      <w:tr w:rsidR="00112D3C" w:rsidTr="0014406E">
        <w:tc>
          <w:tcPr>
            <w:tcW w:w="3084" w:type="dxa"/>
            <w:shd w:val="clear" w:color="auto" w:fill="auto"/>
          </w:tcPr>
          <w:p w:rsidR="00112D3C" w:rsidRDefault="00112D3C" w:rsidP="00112D3C">
            <w:pPr>
              <w:pStyle w:val="Normal1linespace"/>
              <w:widowControl w:val="0"/>
            </w:pPr>
            <w:r>
              <w:t>Number of paragraphs:</w:t>
            </w:r>
          </w:p>
        </w:tc>
        <w:tc>
          <w:tcPr>
            <w:tcW w:w="5989" w:type="dxa"/>
            <w:shd w:val="clear" w:color="auto" w:fill="auto"/>
          </w:tcPr>
          <w:p w:rsidR="00112D3C" w:rsidRDefault="00112D3C" w:rsidP="00112D3C">
            <w:pPr>
              <w:pStyle w:val="Normal1linespace"/>
              <w:widowControl w:val="0"/>
              <w:jc w:val="left"/>
            </w:pPr>
            <w:r>
              <w:t>31</w:t>
            </w:r>
          </w:p>
        </w:tc>
      </w:tr>
      <w:tr w:rsidR="00112D3C" w:rsidTr="0014406E">
        <w:tc>
          <w:tcPr>
            <w:tcW w:w="3084" w:type="dxa"/>
            <w:shd w:val="clear" w:color="auto" w:fill="auto"/>
          </w:tcPr>
          <w:p w:rsidR="00112D3C" w:rsidRDefault="00112D3C" w:rsidP="00112D3C">
            <w:pPr>
              <w:pStyle w:val="Normal1linespace"/>
              <w:widowControl w:val="0"/>
              <w:jc w:val="left"/>
            </w:pPr>
          </w:p>
        </w:tc>
        <w:tc>
          <w:tcPr>
            <w:tcW w:w="5989" w:type="dxa"/>
            <w:shd w:val="clear" w:color="auto" w:fill="auto"/>
          </w:tcPr>
          <w:p w:rsidR="00112D3C" w:rsidRDefault="00112D3C" w:rsidP="00112D3C">
            <w:pPr>
              <w:pStyle w:val="Normal1linespace"/>
              <w:widowControl w:val="0"/>
              <w:jc w:val="left"/>
            </w:pPr>
          </w:p>
        </w:tc>
      </w:tr>
      <w:tr w:rsidR="00112D3C" w:rsidTr="0014406E">
        <w:tc>
          <w:tcPr>
            <w:tcW w:w="3084" w:type="dxa"/>
            <w:shd w:val="clear" w:color="auto" w:fill="auto"/>
          </w:tcPr>
          <w:p w:rsidR="00112D3C" w:rsidRDefault="00112D3C" w:rsidP="00112D3C">
            <w:pPr>
              <w:pStyle w:val="Normal1linespace"/>
              <w:widowControl w:val="0"/>
              <w:jc w:val="left"/>
            </w:pPr>
            <w:bookmarkStart w:id="3" w:name="CounselDate" w:colFirst="0" w:colLast="2"/>
            <w:r w:rsidRPr="006A24E3">
              <w:t>Date of hearing:</w:t>
            </w:r>
          </w:p>
        </w:tc>
        <w:tc>
          <w:tcPr>
            <w:tcW w:w="5989" w:type="dxa"/>
            <w:shd w:val="clear" w:color="auto" w:fill="auto"/>
          </w:tcPr>
          <w:p w:rsidR="00112D3C" w:rsidRPr="00CF4DE7" w:rsidRDefault="00112D3C" w:rsidP="00112D3C">
            <w:pPr>
              <w:pStyle w:val="Normal1linespace"/>
              <w:widowControl w:val="0"/>
              <w:jc w:val="left"/>
            </w:pPr>
            <w:bookmarkStart w:id="4" w:name="HearingDate"/>
            <w:r>
              <w:t xml:space="preserve">4 </w:t>
            </w:r>
            <w:r w:rsidR="003C1295">
              <w:t>February</w:t>
            </w:r>
            <w:bookmarkStart w:id="5" w:name="_GoBack"/>
            <w:bookmarkEnd w:id="5"/>
            <w:r>
              <w:t xml:space="preserve"> 2021</w:t>
            </w:r>
            <w:r w:rsidRPr="00CF4DE7">
              <w:t xml:space="preserve"> </w:t>
            </w:r>
            <w:bookmarkEnd w:id="4"/>
          </w:p>
        </w:tc>
      </w:tr>
      <w:tr w:rsidR="00112D3C" w:rsidTr="0014406E">
        <w:tc>
          <w:tcPr>
            <w:tcW w:w="3084" w:type="dxa"/>
            <w:shd w:val="clear" w:color="auto" w:fill="auto"/>
          </w:tcPr>
          <w:p w:rsidR="00112D3C" w:rsidRDefault="00112D3C" w:rsidP="00112D3C">
            <w:pPr>
              <w:pStyle w:val="Normal1linespace"/>
              <w:widowControl w:val="0"/>
              <w:jc w:val="left"/>
            </w:pPr>
          </w:p>
        </w:tc>
        <w:tc>
          <w:tcPr>
            <w:tcW w:w="5989" w:type="dxa"/>
            <w:shd w:val="clear" w:color="auto" w:fill="auto"/>
          </w:tcPr>
          <w:p w:rsidR="00112D3C" w:rsidRDefault="00112D3C" w:rsidP="00112D3C">
            <w:pPr>
              <w:pStyle w:val="Normal1linespace"/>
              <w:widowControl w:val="0"/>
              <w:jc w:val="left"/>
            </w:pPr>
          </w:p>
        </w:tc>
      </w:tr>
      <w:tr w:rsidR="00112D3C" w:rsidTr="0014406E">
        <w:tc>
          <w:tcPr>
            <w:tcW w:w="3084" w:type="dxa"/>
            <w:shd w:val="clear" w:color="auto" w:fill="auto"/>
          </w:tcPr>
          <w:p w:rsidR="00112D3C" w:rsidRDefault="00112D3C" w:rsidP="00112D3C">
            <w:pPr>
              <w:pStyle w:val="Normal1linespace"/>
              <w:widowControl w:val="0"/>
              <w:jc w:val="left"/>
            </w:pPr>
            <w:bookmarkStart w:id="6" w:name="Counsel" w:colFirst="0" w:colLast="2"/>
            <w:bookmarkEnd w:id="3"/>
            <w:r>
              <w:t>Counsel for the Applicant:</w:t>
            </w:r>
          </w:p>
        </w:tc>
        <w:tc>
          <w:tcPr>
            <w:tcW w:w="5989" w:type="dxa"/>
            <w:shd w:val="clear" w:color="auto" w:fill="auto"/>
          </w:tcPr>
          <w:p w:rsidR="00112D3C" w:rsidRDefault="00112D3C" w:rsidP="00112D3C">
            <w:pPr>
              <w:pStyle w:val="Normal1linespace"/>
              <w:widowControl w:val="0"/>
              <w:jc w:val="left"/>
            </w:pPr>
            <w:bookmarkStart w:id="7" w:name="AppCounsel"/>
            <w:bookmarkEnd w:id="7"/>
            <w:r>
              <w:t>Ms S Chrysanthou SC and Mr B Dean</w:t>
            </w:r>
          </w:p>
        </w:tc>
      </w:tr>
      <w:tr w:rsidR="00112D3C" w:rsidTr="0014406E">
        <w:tc>
          <w:tcPr>
            <w:tcW w:w="3084" w:type="dxa"/>
            <w:shd w:val="clear" w:color="auto" w:fill="auto"/>
          </w:tcPr>
          <w:p w:rsidR="00112D3C" w:rsidRDefault="00112D3C" w:rsidP="00112D3C">
            <w:pPr>
              <w:pStyle w:val="Normal1linespace"/>
              <w:widowControl w:val="0"/>
              <w:jc w:val="left"/>
            </w:pPr>
          </w:p>
        </w:tc>
        <w:tc>
          <w:tcPr>
            <w:tcW w:w="5989" w:type="dxa"/>
            <w:shd w:val="clear" w:color="auto" w:fill="auto"/>
          </w:tcPr>
          <w:p w:rsidR="00112D3C" w:rsidRDefault="00112D3C" w:rsidP="00112D3C">
            <w:pPr>
              <w:pStyle w:val="Normal1linespace"/>
              <w:widowControl w:val="0"/>
              <w:jc w:val="left"/>
            </w:pPr>
          </w:p>
        </w:tc>
      </w:tr>
      <w:tr w:rsidR="00112D3C" w:rsidTr="0014406E">
        <w:tc>
          <w:tcPr>
            <w:tcW w:w="3084" w:type="dxa"/>
            <w:shd w:val="clear" w:color="auto" w:fill="auto"/>
          </w:tcPr>
          <w:p w:rsidR="00112D3C" w:rsidRDefault="00112D3C" w:rsidP="00112D3C">
            <w:pPr>
              <w:pStyle w:val="Normal1linespace"/>
              <w:widowControl w:val="0"/>
              <w:jc w:val="left"/>
            </w:pPr>
            <w:r>
              <w:t>Solicitor for the Applicant:</w:t>
            </w:r>
          </w:p>
        </w:tc>
        <w:tc>
          <w:tcPr>
            <w:tcW w:w="5989" w:type="dxa"/>
            <w:shd w:val="clear" w:color="auto" w:fill="auto"/>
          </w:tcPr>
          <w:p w:rsidR="00112D3C" w:rsidRDefault="00112D3C" w:rsidP="00112D3C">
            <w:pPr>
              <w:pStyle w:val="Normal1linespace"/>
              <w:widowControl w:val="0"/>
              <w:jc w:val="left"/>
            </w:pPr>
            <w:r>
              <w:t>Corrs Chambers Westgarth</w:t>
            </w:r>
          </w:p>
        </w:tc>
      </w:tr>
      <w:tr w:rsidR="00112D3C" w:rsidTr="0014406E">
        <w:tc>
          <w:tcPr>
            <w:tcW w:w="3084" w:type="dxa"/>
            <w:shd w:val="clear" w:color="auto" w:fill="auto"/>
          </w:tcPr>
          <w:p w:rsidR="00112D3C" w:rsidRDefault="00112D3C" w:rsidP="00112D3C">
            <w:pPr>
              <w:pStyle w:val="Normal1linespace"/>
              <w:widowControl w:val="0"/>
              <w:jc w:val="left"/>
            </w:pPr>
          </w:p>
        </w:tc>
        <w:tc>
          <w:tcPr>
            <w:tcW w:w="5989" w:type="dxa"/>
            <w:shd w:val="clear" w:color="auto" w:fill="auto"/>
          </w:tcPr>
          <w:p w:rsidR="00112D3C" w:rsidRDefault="00112D3C" w:rsidP="00112D3C">
            <w:pPr>
              <w:pStyle w:val="Normal1linespace"/>
              <w:widowControl w:val="0"/>
              <w:jc w:val="left"/>
            </w:pPr>
          </w:p>
        </w:tc>
      </w:tr>
      <w:tr w:rsidR="00112D3C" w:rsidTr="0014406E">
        <w:tc>
          <w:tcPr>
            <w:tcW w:w="3084" w:type="dxa"/>
            <w:shd w:val="clear" w:color="auto" w:fill="auto"/>
          </w:tcPr>
          <w:p w:rsidR="00112D3C" w:rsidRDefault="00112D3C" w:rsidP="00112D3C">
            <w:pPr>
              <w:pStyle w:val="Normal1linespace"/>
              <w:widowControl w:val="0"/>
              <w:jc w:val="left"/>
            </w:pPr>
            <w:r>
              <w:t>Counsel for the Respondents:</w:t>
            </w:r>
          </w:p>
        </w:tc>
        <w:tc>
          <w:tcPr>
            <w:tcW w:w="5989" w:type="dxa"/>
            <w:shd w:val="clear" w:color="auto" w:fill="auto"/>
          </w:tcPr>
          <w:p w:rsidR="00112D3C" w:rsidRDefault="00112D3C" w:rsidP="00112D3C">
            <w:pPr>
              <w:pStyle w:val="Normal1linespace"/>
              <w:widowControl w:val="0"/>
              <w:jc w:val="left"/>
            </w:pPr>
            <w:r>
              <w:t>Ms L Barnett</w:t>
            </w:r>
          </w:p>
        </w:tc>
      </w:tr>
      <w:tr w:rsidR="00112D3C" w:rsidTr="0014406E">
        <w:tc>
          <w:tcPr>
            <w:tcW w:w="3084" w:type="dxa"/>
            <w:shd w:val="clear" w:color="auto" w:fill="auto"/>
          </w:tcPr>
          <w:p w:rsidR="00112D3C" w:rsidRDefault="00112D3C" w:rsidP="00112D3C">
            <w:pPr>
              <w:pStyle w:val="Normal1linespace"/>
              <w:widowControl w:val="0"/>
              <w:jc w:val="left"/>
            </w:pPr>
          </w:p>
        </w:tc>
        <w:tc>
          <w:tcPr>
            <w:tcW w:w="5989" w:type="dxa"/>
            <w:shd w:val="clear" w:color="auto" w:fill="auto"/>
          </w:tcPr>
          <w:p w:rsidR="00112D3C" w:rsidRDefault="00112D3C" w:rsidP="00112D3C">
            <w:pPr>
              <w:pStyle w:val="Normal1linespace"/>
              <w:widowControl w:val="0"/>
              <w:jc w:val="left"/>
            </w:pPr>
          </w:p>
        </w:tc>
      </w:tr>
      <w:tr w:rsidR="00112D3C" w:rsidTr="0014406E">
        <w:tc>
          <w:tcPr>
            <w:tcW w:w="3084" w:type="dxa"/>
            <w:shd w:val="clear" w:color="auto" w:fill="auto"/>
          </w:tcPr>
          <w:p w:rsidR="00112D3C" w:rsidRDefault="00112D3C" w:rsidP="00112D3C">
            <w:pPr>
              <w:pStyle w:val="Normal1linespace"/>
              <w:widowControl w:val="0"/>
              <w:jc w:val="left"/>
            </w:pPr>
            <w:r>
              <w:t>Solicitor for the Respondents:</w:t>
            </w:r>
          </w:p>
        </w:tc>
        <w:tc>
          <w:tcPr>
            <w:tcW w:w="5989" w:type="dxa"/>
            <w:shd w:val="clear" w:color="auto" w:fill="auto"/>
          </w:tcPr>
          <w:p w:rsidR="00112D3C" w:rsidRDefault="00112D3C" w:rsidP="00112D3C">
            <w:pPr>
              <w:pStyle w:val="Normal1linespace"/>
              <w:widowControl w:val="0"/>
              <w:jc w:val="left"/>
            </w:pPr>
            <w:proofErr w:type="spellStart"/>
            <w:r>
              <w:t>Banki</w:t>
            </w:r>
            <w:proofErr w:type="spellEnd"/>
            <w:r>
              <w:t xml:space="preserve"> Haddock </w:t>
            </w:r>
            <w:proofErr w:type="spellStart"/>
            <w:r>
              <w:t>Fiora</w:t>
            </w:r>
            <w:proofErr w:type="spellEnd"/>
          </w:p>
        </w:tc>
      </w:tr>
    </w:tbl>
    <w:p w:rsidR="00B17D6E" w:rsidRDefault="00B17D6E">
      <w:pPr>
        <w:pStyle w:val="Normal1linespace"/>
      </w:pPr>
      <w:bookmarkStart w:id="8" w:name="CompletionTable"/>
      <w:bookmarkEnd w:id="6"/>
    </w:p>
    <w:bookmarkEnd w:id="8"/>
    <w:p w:rsidR="007470BD" w:rsidRDefault="007470BD">
      <w:pPr>
        <w:pStyle w:val="Normal1linespace"/>
      </w:pPr>
    </w:p>
    <w:p w:rsidR="00E94CBF" w:rsidRDefault="00E94CBF">
      <w:pPr>
        <w:pStyle w:val="Normal1linespace"/>
      </w:pPr>
    </w:p>
    <w:p w:rsidR="00395B24" w:rsidRDefault="00395B24">
      <w:pPr>
        <w:pStyle w:val="Normal1linespace"/>
        <w:sectPr w:rsidR="00395B24" w:rsidSect="001F2473">
          <w:footerReference w:type="default" r:id="rId8"/>
          <w:endnotePr>
            <w:numFmt w:val="decimal"/>
          </w:endnotePr>
          <w:type w:val="continuous"/>
          <w:pgSz w:w="11907" w:h="16840" w:code="9"/>
          <w:pgMar w:top="1440" w:right="1440" w:bottom="1440" w:left="1440" w:header="851" w:footer="768" w:gutter="0"/>
          <w:pgNumType w:start="1"/>
          <w:cols w:space="720"/>
          <w:noEndnote/>
          <w:titlePg/>
        </w:sectPr>
      </w:pPr>
    </w:p>
    <w:p w:rsidR="0014406E" w:rsidRPr="00045BB7" w:rsidRDefault="0014406E" w:rsidP="0014406E">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14406E" w:rsidTr="00AE0C1A">
        <w:tc>
          <w:tcPr>
            <w:tcW w:w="6912" w:type="dxa"/>
            <w:gridSpan w:val="2"/>
          </w:tcPr>
          <w:p w:rsidR="0014406E" w:rsidRPr="001765E0" w:rsidRDefault="0014406E" w:rsidP="00AE0C1A">
            <w:pPr>
              <w:pStyle w:val="NormalHeadings"/>
            </w:pPr>
          </w:p>
        </w:tc>
        <w:tc>
          <w:tcPr>
            <w:tcW w:w="2330" w:type="dxa"/>
          </w:tcPr>
          <w:p w:rsidR="0014406E" w:rsidRDefault="0014406E" w:rsidP="00AE0C1A">
            <w:pPr>
              <w:pStyle w:val="NormalHeadings"/>
              <w:jc w:val="right"/>
            </w:pPr>
            <w:bookmarkStart w:id="9" w:name="FileNo"/>
            <w:r>
              <w:t>NSD 2153 of 2019</w:t>
            </w:r>
            <w:bookmarkEnd w:id="9"/>
          </w:p>
        </w:tc>
      </w:tr>
      <w:tr w:rsidR="0014406E" w:rsidTr="00AE0C1A">
        <w:tc>
          <w:tcPr>
            <w:tcW w:w="9242" w:type="dxa"/>
            <w:gridSpan w:val="3"/>
          </w:tcPr>
          <w:p w:rsidR="0014406E" w:rsidRPr="00A76C13" w:rsidRDefault="0014406E" w:rsidP="00AE0C1A">
            <w:pPr>
              <w:pStyle w:val="NormalHeadings"/>
              <w:jc w:val="left"/>
            </w:pPr>
            <w:bookmarkStart w:id="10" w:name="InTheMatterOf"/>
            <w:r>
              <w:t xml:space="preserve"> </w:t>
            </w:r>
            <w:bookmarkEnd w:id="10"/>
          </w:p>
        </w:tc>
      </w:tr>
      <w:tr w:rsidR="0014406E" w:rsidTr="00AE0C1A">
        <w:trPr>
          <w:trHeight w:val="386"/>
        </w:trPr>
        <w:tc>
          <w:tcPr>
            <w:tcW w:w="2376" w:type="dxa"/>
          </w:tcPr>
          <w:p w:rsidR="0014406E" w:rsidRDefault="0014406E" w:rsidP="00AE0C1A">
            <w:pPr>
              <w:pStyle w:val="NormalHeadings"/>
              <w:jc w:val="left"/>
              <w:rPr>
                <w:caps/>
                <w:szCs w:val="24"/>
              </w:rPr>
            </w:pPr>
            <w:bookmarkStart w:id="11" w:name="Parties"/>
            <w:r>
              <w:rPr>
                <w:caps/>
                <w:szCs w:val="24"/>
              </w:rPr>
              <w:t>BETWEEN:</w:t>
            </w:r>
          </w:p>
        </w:tc>
        <w:tc>
          <w:tcPr>
            <w:tcW w:w="6866" w:type="dxa"/>
            <w:gridSpan w:val="2"/>
          </w:tcPr>
          <w:p w:rsidR="0014406E" w:rsidRDefault="0014406E" w:rsidP="00AE0C1A">
            <w:pPr>
              <w:pStyle w:val="NormalHeadings"/>
              <w:jc w:val="left"/>
            </w:pPr>
            <w:bookmarkStart w:id="12" w:name="Applicant"/>
            <w:r>
              <w:t>ELAINE STEAD</w:t>
            </w:r>
          </w:p>
          <w:p w:rsidR="0014406E" w:rsidRDefault="0014406E" w:rsidP="00AE0C1A">
            <w:pPr>
              <w:pStyle w:val="PartyType"/>
            </w:pPr>
            <w:r>
              <w:t>Applicant</w:t>
            </w:r>
          </w:p>
          <w:bookmarkEnd w:id="12"/>
          <w:p w:rsidR="0014406E" w:rsidRPr="006555B4" w:rsidRDefault="0014406E" w:rsidP="00AE0C1A">
            <w:pPr>
              <w:pStyle w:val="NormalHeadings"/>
              <w:jc w:val="left"/>
            </w:pPr>
          </w:p>
        </w:tc>
      </w:tr>
      <w:tr w:rsidR="0014406E" w:rsidTr="00AE0C1A">
        <w:trPr>
          <w:trHeight w:val="386"/>
        </w:trPr>
        <w:tc>
          <w:tcPr>
            <w:tcW w:w="2376" w:type="dxa"/>
          </w:tcPr>
          <w:p w:rsidR="0014406E" w:rsidRDefault="0014406E" w:rsidP="00AE0C1A">
            <w:pPr>
              <w:pStyle w:val="NormalHeadings"/>
              <w:jc w:val="left"/>
              <w:rPr>
                <w:caps/>
                <w:szCs w:val="24"/>
              </w:rPr>
            </w:pPr>
            <w:r>
              <w:rPr>
                <w:caps/>
                <w:szCs w:val="24"/>
              </w:rPr>
              <w:t>AND:</w:t>
            </w:r>
          </w:p>
        </w:tc>
        <w:tc>
          <w:tcPr>
            <w:tcW w:w="6866" w:type="dxa"/>
            <w:gridSpan w:val="2"/>
          </w:tcPr>
          <w:p w:rsidR="0014406E" w:rsidRDefault="0014406E" w:rsidP="00AE0C1A">
            <w:pPr>
              <w:pStyle w:val="NormalHeadings"/>
              <w:jc w:val="left"/>
            </w:pPr>
            <w:bookmarkStart w:id="13" w:name="Respondent"/>
            <w:r>
              <w:t>FAIRFAX MEDIA PUBLICATIONS PTY LTD (ACN 003 357 720)</w:t>
            </w:r>
          </w:p>
          <w:p w:rsidR="0014406E" w:rsidRDefault="0014406E" w:rsidP="00AE0C1A">
            <w:pPr>
              <w:pStyle w:val="PartyType"/>
            </w:pPr>
            <w:r>
              <w:t>First Respondent</w:t>
            </w:r>
          </w:p>
          <w:p w:rsidR="0014406E" w:rsidRDefault="0014406E" w:rsidP="00AE0C1A">
            <w:pPr>
              <w:pStyle w:val="NormalHeadings"/>
              <w:jc w:val="left"/>
              <w:rPr>
                <w:szCs w:val="24"/>
              </w:rPr>
            </w:pPr>
          </w:p>
          <w:p w:rsidR="0014406E" w:rsidRDefault="0014406E" w:rsidP="00AE0C1A">
            <w:pPr>
              <w:pStyle w:val="NormalHeadings"/>
              <w:jc w:val="left"/>
            </w:pPr>
            <w:r>
              <w:t>JOE ASTON</w:t>
            </w:r>
          </w:p>
          <w:p w:rsidR="0014406E" w:rsidRDefault="0014406E" w:rsidP="00AE0C1A">
            <w:pPr>
              <w:pStyle w:val="PartyType"/>
            </w:pPr>
            <w:r>
              <w:t>Second Respondent</w:t>
            </w:r>
          </w:p>
          <w:bookmarkEnd w:id="13"/>
          <w:p w:rsidR="0014406E" w:rsidRPr="006555B4" w:rsidRDefault="0014406E" w:rsidP="00AE0C1A">
            <w:pPr>
              <w:pStyle w:val="NormalHeadings"/>
              <w:jc w:val="left"/>
            </w:pPr>
          </w:p>
        </w:tc>
      </w:tr>
    </w:tbl>
    <w:p w:rsidR="0014406E" w:rsidRDefault="0014406E" w:rsidP="0014406E">
      <w:pPr>
        <w:pStyle w:val="NormalHeadings"/>
      </w:pPr>
      <w:bookmarkStart w:id="14" w:name="CrossClaimPosition"/>
      <w:bookmarkEnd w:id="11"/>
      <w:bookmarkEnd w:id="14"/>
    </w:p>
    <w:tbl>
      <w:tblPr>
        <w:tblW w:w="0" w:type="auto"/>
        <w:tblLayout w:type="fixed"/>
        <w:tblLook w:val="0000" w:firstRow="0" w:lastRow="0" w:firstColumn="0" w:lastColumn="0" w:noHBand="0" w:noVBand="0"/>
        <w:tblCaption w:val="Judge"/>
        <w:tblDescription w:val="Judge"/>
      </w:tblPr>
      <w:tblGrid>
        <w:gridCol w:w="2376"/>
        <w:gridCol w:w="6866"/>
      </w:tblGrid>
      <w:tr w:rsidR="0014406E" w:rsidTr="00AE0C1A">
        <w:tc>
          <w:tcPr>
            <w:tcW w:w="2376" w:type="dxa"/>
          </w:tcPr>
          <w:p w:rsidR="0014406E" w:rsidRDefault="0014406E" w:rsidP="00AE0C1A">
            <w:pPr>
              <w:pStyle w:val="NormalHeadings"/>
              <w:spacing w:after="120"/>
              <w:jc w:val="left"/>
              <w:rPr>
                <w:caps/>
                <w:szCs w:val="24"/>
              </w:rPr>
            </w:pPr>
            <w:bookmarkStart w:id="15" w:name="JudgeText"/>
            <w:r>
              <w:rPr>
                <w:caps/>
                <w:szCs w:val="24"/>
              </w:rPr>
              <w:t>order made by</w:t>
            </w:r>
            <w:bookmarkEnd w:id="15"/>
            <w:r>
              <w:rPr>
                <w:caps/>
                <w:szCs w:val="24"/>
              </w:rPr>
              <w:t>:</w:t>
            </w:r>
          </w:p>
        </w:tc>
        <w:tc>
          <w:tcPr>
            <w:tcW w:w="6866" w:type="dxa"/>
          </w:tcPr>
          <w:p w:rsidR="0014406E" w:rsidRDefault="0014406E" w:rsidP="00AE0C1A">
            <w:pPr>
              <w:pStyle w:val="NormalHeadings"/>
              <w:jc w:val="left"/>
              <w:rPr>
                <w:caps/>
                <w:szCs w:val="24"/>
              </w:rPr>
            </w:pPr>
            <w:bookmarkStart w:id="16" w:name="Judge"/>
            <w:r>
              <w:rPr>
                <w:caps/>
                <w:szCs w:val="24"/>
              </w:rPr>
              <w:t>LEE J</w:t>
            </w:r>
            <w:bookmarkEnd w:id="16"/>
          </w:p>
        </w:tc>
      </w:tr>
      <w:tr w:rsidR="0014406E" w:rsidTr="00AE0C1A">
        <w:tc>
          <w:tcPr>
            <w:tcW w:w="2376" w:type="dxa"/>
          </w:tcPr>
          <w:p w:rsidR="0014406E" w:rsidRDefault="0014406E" w:rsidP="00AE0C1A">
            <w:pPr>
              <w:pStyle w:val="NormalHeadings"/>
              <w:spacing w:after="120"/>
              <w:jc w:val="left"/>
              <w:rPr>
                <w:caps/>
                <w:szCs w:val="24"/>
              </w:rPr>
            </w:pPr>
            <w:r>
              <w:rPr>
                <w:caps/>
                <w:szCs w:val="24"/>
              </w:rPr>
              <w:t>DATE OF ORDER:</w:t>
            </w:r>
          </w:p>
        </w:tc>
        <w:tc>
          <w:tcPr>
            <w:tcW w:w="6866" w:type="dxa"/>
          </w:tcPr>
          <w:p w:rsidR="0014406E" w:rsidRDefault="00C653F2" w:rsidP="00112D3C">
            <w:pPr>
              <w:pStyle w:val="NormalHeadings"/>
              <w:jc w:val="left"/>
              <w:rPr>
                <w:caps/>
                <w:szCs w:val="24"/>
              </w:rPr>
            </w:pPr>
            <w:r>
              <w:rPr>
                <w:caps/>
                <w:szCs w:val="24"/>
              </w:rPr>
              <w:t>8</w:t>
            </w:r>
            <w:r w:rsidR="0014406E">
              <w:rPr>
                <w:caps/>
                <w:szCs w:val="24"/>
              </w:rPr>
              <w:t xml:space="preserve"> </w:t>
            </w:r>
            <w:r w:rsidR="00112D3C">
              <w:rPr>
                <w:caps/>
                <w:szCs w:val="24"/>
              </w:rPr>
              <w:t>February</w:t>
            </w:r>
            <w:r w:rsidR="0014406E">
              <w:rPr>
                <w:caps/>
                <w:szCs w:val="24"/>
              </w:rPr>
              <w:t xml:space="preserve"> 2021</w:t>
            </w:r>
          </w:p>
        </w:tc>
      </w:tr>
    </w:tbl>
    <w:p w:rsidR="0014406E" w:rsidRDefault="0014406E" w:rsidP="0014406E">
      <w:pPr>
        <w:pStyle w:val="NormalHeadings"/>
        <w:rPr>
          <w:b w:val="0"/>
        </w:rPr>
      </w:pPr>
    </w:p>
    <w:p w:rsidR="0014406E" w:rsidRDefault="0014406E" w:rsidP="0014406E">
      <w:pPr>
        <w:pStyle w:val="NormalHeadings"/>
        <w:rPr>
          <w:b w:val="0"/>
        </w:rPr>
      </w:pPr>
    </w:p>
    <w:p w:rsidR="0014406E" w:rsidRDefault="0014406E" w:rsidP="0014406E">
      <w:pPr>
        <w:pStyle w:val="NormalHeadings"/>
      </w:pPr>
      <w:r>
        <w:t>THE COURT ORDERS THAT:</w:t>
      </w:r>
    </w:p>
    <w:p w:rsidR="0014406E" w:rsidRDefault="0014406E" w:rsidP="0014406E">
      <w:pPr>
        <w:pStyle w:val="NormalHeadings"/>
      </w:pPr>
    </w:p>
    <w:p w:rsidR="00974816" w:rsidRDefault="0014406E" w:rsidP="0014406E">
      <w:pPr>
        <w:pStyle w:val="Order1"/>
      </w:pPr>
      <w:r>
        <w:t>Judgment be entered for the applicant</w:t>
      </w:r>
      <w:r w:rsidR="00974816">
        <w:t xml:space="preserve"> </w:t>
      </w:r>
      <w:r>
        <w:t>against the respondents in the sum of $296,500.</w:t>
      </w:r>
    </w:p>
    <w:p w:rsidR="00974816" w:rsidRDefault="00974816" w:rsidP="00974816">
      <w:pPr>
        <w:pStyle w:val="Order1"/>
      </w:pPr>
      <w:r>
        <w:t xml:space="preserve">The respondents </w:t>
      </w:r>
      <w:r w:rsidRPr="00974816">
        <w:t>pay the applicant</w:t>
      </w:r>
      <w:r>
        <w:t>’</w:t>
      </w:r>
      <w:r w:rsidRPr="00974816">
        <w:t xml:space="preserve">s costs </w:t>
      </w:r>
      <w:r w:rsidR="004B16C6">
        <w:t>of the proceeding</w:t>
      </w:r>
      <w:r>
        <w:t xml:space="preserve"> (including </w:t>
      </w:r>
      <w:r w:rsidR="00260FEB">
        <w:t>any costs the subject of previous</w:t>
      </w:r>
      <w:r>
        <w:t xml:space="preserve"> costs orders or any reserved costs) </w:t>
      </w:r>
      <w:r w:rsidRPr="00974816">
        <w:t>from 11am on 22 April 2020 on an indemnity basis</w:t>
      </w:r>
      <w:r w:rsidR="00260FEB">
        <w:t>,</w:t>
      </w:r>
      <w:r w:rsidRPr="00974816">
        <w:t xml:space="preserve"> and</w:t>
      </w:r>
      <w:r w:rsidR="00455880">
        <w:t xml:space="preserve"> otherwise on a party and </w:t>
      </w:r>
      <w:r w:rsidRPr="00974816">
        <w:t>party basis.</w:t>
      </w:r>
    </w:p>
    <w:p w:rsidR="00C653F2" w:rsidRDefault="00AE0C1A" w:rsidP="00AE0C1A">
      <w:pPr>
        <w:pStyle w:val="Order1"/>
      </w:pPr>
      <w:r>
        <w:t>By 4pm on 9</w:t>
      </w:r>
      <w:r w:rsidR="00C653F2">
        <w:t xml:space="preserve"> January 2021, the </w:t>
      </w:r>
      <w:r w:rsidR="00974816">
        <w:t xml:space="preserve">applicant is to </w:t>
      </w:r>
      <w:r>
        <w:t xml:space="preserve">notify the Associate to Justice Lee </w:t>
      </w:r>
      <w:r w:rsidR="00FD039C">
        <w:t xml:space="preserve">and the respondents </w:t>
      </w:r>
      <w:r>
        <w:t>of any application for a lump sum costs order in which case, subject to any request</w:t>
      </w:r>
      <w:r w:rsidRPr="00AE0C1A">
        <w:t xml:space="preserve"> </w:t>
      </w:r>
      <w:r>
        <w:t xml:space="preserve">to be heard further by any party </w:t>
      </w:r>
      <w:r w:rsidR="00FD039C">
        <w:t xml:space="preserve">being </w:t>
      </w:r>
      <w:r>
        <w:t xml:space="preserve">received prior to 4pm on 10 January 2021, orders </w:t>
      </w:r>
      <w:r w:rsidR="00995DA7">
        <w:t xml:space="preserve">will be made </w:t>
      </w:r>
      <w:r>
        <w:t xml:space="preserve">in Chambers </w:t>
      </w:r>
      <w:r w:rsidR="00995DA7">
        <w:t>which, in the o</w:t>
      </w:r>
      <w:r w:rsidR="00A85307">
        <w:t>pinion of the Court, facilitate</w:t>
      </w:r>
      <w:r w:rsidR="00995DA7">
        <w:t xml:space="preserve"> </w:t>
      </w:r>
      <w:r>
        <w:t xml:space="preserve">the determination of the lump sum costs assessment </w:t>
      </w:r>
      <w:r w:rsidR="00260FEB" w:rsidRPr="004154DD">
        <w:t>as quickly, inexpensively and efficiently as possible</w:t>
      </w:r>
      <w:r w:rsidR="00C653F2">
        <w:t xml:space="preserve">. </w:t>
      </w:r>
    </w:p>
    <w:p w:rsidR="001A6C52" w:rsidRDefault="001A6C52" w:rsidP="0014406E">
      <w:pPr>
        <w:pStyle w:val="Order1"/>
        <w:numPr>
          <w:ilvl w:val="0"/>
          <w:numId w:val="0"/>
        </w:numPr>
        <w:ind w:left="720"/>
      </w:pPr>
    </w:p>
    <w:p w:rsidR="00395B24" w:rsidRDefault="00395B24">
      <w:pPr>
        <w:pStyle w:val="NormalHeadings"/>
        <w:spacing w:before="240" w:after="120"/>
        <w:rPr>
          <w:b w:val="0"/>
        </w:rPr>
        <w:sectPr w:rsidR="00395B24" w:rsidSect="0092590B">
          <w:headerReference w:type="default" r:id="rId9"/>
          <w:footerReference w:type="default" r:id="rId10"/>
          <w:headerReference w:type="first" r:id="rId11"/>
          <w:footerReference w:type="first" r:id="rId12"/>
          <w:endnotePr>
            <w:numFmt w:val="decimal"/>
          </w:endnotePr>
          <w:pgSz w:w="11907" w:h="16840" w:code="9"/>
          <w:pgMar w:top="1440" w:right="1440" w:bottom="1440" w:left="1440" w:header="851" w:footer="851" w:gutter="0"/>
          <w:pgNumType w:fmt="lowerRoman" w:start="1"/>
          <w:cols w:space="720"/>
          <w:noEndnote/>
          <w:titlePg/>
        </w:sectPr>
      </w:pPr>
    </w:p>
    <w:p w:rsidR="0014406E" w:rsidRPr="00045BB7" w:rsidRDefault="00484F6D" w:rsidP="00FD039C">
      <w:pPr>
        <w:pStyle w:val="NormalHeadings"/>
        <w:spacing w:line="480" w:lineRule="auto"/>
        <w:jc w:val="center"/>
        <w:rPr>
          <w:sz w:val="28"/>
          <w:szCs w:val="28"/>
        </w:rPr>
      </w:pPr>
      <w:bookmarkStart w:id="17" w:name="ReasonsPage"/>
      <w:bookmarkEnd w:id="17"/>
      <w:r w:rsidRPr="00045BB7">
        <w:rPr>
          <w:sz w:val="28"/>
          <w:szCs w:val="28"/>
        </w:rPr>
        <w:lastRenderedPageBreak/>
        <w:t>REASONS FOR JUDGMENT</w:t>
      </w:r>
    </w:p>
    <w:p w:rsidR="00694BEB" w:rsidRDefault="0014406E" w:rsidP="005E0510">
      <w:pPr>
        <w:pStyle w:val="NormalHeadings"/>
        <w:spacing w:line="360" w:lineRule="auto"/>
        <w:jc w:val="left"/>
        <w:rPr>
          <w:sz w:val="26"/>
          <w:szCs w:val="26"/>
        </w:rPr>
      </w:pPr>
      <w:r>
        <w:rPr>
          <w:sz w:val="26"/>
          <w:szCs w:val="26"/>
        </w:rPr>
        <w:t>LEE J:</w:t>
      </w:r>
    </w:p>
    <w:p w:rsidR="0051434F" w:rsidRDefault="00467368" w:rsidP="00023E5B">
      <w:pPr>
        <w:pStyle w:val="Heading1"/>
      </w:pPr>
      <w:r>
        <w:t>A</w:t>
      </w:r>
      <w:r w:rsidR="00023E5B">
        <w:tab/>
        <w:t>INTRODUCTION</w:t>
      </w:r>
    </w:p>
    <w:p w:rsidR="00587812" w:rsidRDefault="00587812" w:rsidP="00587812">
      <w:pPr>
        <w:pStyle w:val="ParaNumbering"/>
      </w:pPr>
      <w:r>
        <w:t xml:space="preserve">In the </w:t>
      </w:r>
      <w:r w:rsidR="00023E5B">
        <w:t>primary judgment</w:t>
      </w:r>
      <w:r>
        <w:t>,</w:t>
      </w:r>
      <w:r w:rsidR="00023E5B">
        <w:t xml:space="preserve"> </w:t>
      </w:r>
      <w:r w:rsidR="00023E5B" w:rsidRPr="00023E5B">
        <w:rPr>
          <w:i/>
        </w:rPr>
        <w:t>Stead v Fairfax Media Publications Pty Ltd</w:t>
      </w:r>
      <w:r w:rsidR="00023E5B">
        <w:t xml:space="preserve"> [2021] FCA 15 (</w:t>
      </w:r>
      <w:r w:rsidR="00023E5B" w:rsidRPr="00023E5B">
        <w:rPr>
          <w:b/>
        </w:rPr>
        <w:t>PJ</w:t>
      </w:r>
      <w:r w:rsidR="00023E5B">
        <w:t xml:space="preserve">) </w:t>
      </w:r>
      <w:r w:rsidR="00467368">
        <w:t>(</w:t>
      </w:r>
      <w:r w:rsidR="00023E5B">
        <w:t>at [314]</w:t>
      </w:r>
      <w:r w:rsidR="00467368">
        <w:t>)</w:t>
      </w:r>
      <w:r>
        <w:t>,</w:t>
      </w:r>
      <w:r w:rsidR="00023E5B">
        <w:t xml:space="preserve"> I directed the parties to </w:t>
      </w:r>
      <w:r w:rsidR="00467368">
        <w:t>provide</w:t>
      </w:r>
      <w:r w:rsidR="00023E5B">
        <w:t xml:space="preserve"> a minute of order to give effect to my reasons</w:t>
      </w:r>
      <w:r w:rsidR="007508C2">
        <w:t xml:space="preserve">.  I did so conscious of the fact that there may </w:t>
      </w:r>
      <w:r>
        <w:t>be a residuum of dispute as to three areas</w:t>
      </w:r>
      <w:r w:rsidR="00467368">
        <w:t>, namely</w:t>
      </w:r>
      <w:r>
        <w:t xml:space="preserve">: (a) </w:t>
      </w:r>
      <w:r w:rsidR="00023E5B">
        <w:t xml:space="preserve">whether Fairfax </w:t>
      </w:r>
      <w:r w:rsidR="00260FEB">
        <w:t xml:space="preserve">and Mr Aston should be enjoined, </w:t>
      </w:r>
      <w:r w:rsidR="00023E5B">
        <w:t xml:space="preserve">as initially sought by Dr Stead; </w:t>
      </w:r>
      <w:r>
        <w:t xml:space="preserve">(b) </w:t>
      </w:r>
      <w:r w:rsidR="00023E5B">
        <w:t>the quantum of any interest</w:t>
      </w:r>
      <w:r w:rsidR="00467368">
        <w:t>;</w:t>
      </w:r>
      <w:r w:rsidR="00023E5B">
        <w:t xml:space="preserve"> and</w:t>
      </w:r>
      <w:r>
        <w:t xml:space="preserve"> (c)</w:t>
      </w:r>
      <w:r w:rsidR="00023E5B">
        <w:t xml:space="preserve"> </w:t>
      </w:r>
      <w:r>
        <w:t>the appropriate order as to</w:t>
      </w:r>
      <w:r w:rsidR="00023E5B">
        <w:t xml:space="preserve"> costs.  </w:t>
      </w:r>
    </w:p>
    <w:p w:rsidR="00587812" w:rsidRDefault="00023E5B" w:rsidP="0051434F">
      <w:pPr>
        <w:pStyle w:val="ParaNumbering"/>
      </w:pPr>
      <w:r>
        <w:t xml:space="preserve">As it has turned out, the parties have </w:t>
      </w:r>
      <w:r w:rsidR="00260FEB">
        <w:t>commendably</w:t>
      </w:r>
      <w:r w:rsidR="00587812">
        <w:t xml:space="preserve"> </w:t>
      </w:r>
      <w:r>
        <w:t xml:space="preserve">resolved all issues </w:t>
      </w:r>
      <w:r w:rsidR="00587812">
        <w:t xml:space="preserve">other than as to </w:t>
      </w:r>
      <w:r>
        <w:t>costs</w:t>
      </w:r>
      <w:r w:rsidR="00587812">
        <w:t>,</w:t>
      </w:r>
      <w:r>
        <w:t xml:space="preserve"> and I have been provided with a minute of order by which the parties have agreed that the following order should be made</w:t>
      </w:r>
      <w:r w:rsidR="00587812">
        <w:t xml:space="preserve"> to reflect the reasons:</w:t>
      </w:r>
    </w:p>
    <w:p w:rsidR="00023E5B" w:rsidRDefault="00A56295" w:rsidP="00587812">
      <w:pPr>
        <w:pStyle w:val="Quote1"/>
      </w:pPr>
      <w:r>
        <w:t>Verdict and j</w:t>
      </w:r>
      <w:r w:rsidR="00023E5B">
        <w:t xml:space="preserve">udgment be entered for Dr Stead in the </w:t>
      </w:r>
      <w:r w:rsidR="00DC2422">
        <w:t>sum of</w:t>
      </w:r>
      <w:r w:rsidR="00467368">
        <w:t xml:space="preserve"> $280,000</w:t>
      </w:r>
      <w:r w:rsidR="00023E5B">
        <w:t>, plus i</w:t>
      </w:r>
      <w:r w:rsidR="00056A14">
        <w:t>nterest in the sum of $16,500</w:t>
      </w:r>
      <w:r w:rsidR="00023E5B">
        <w:t>.</w:t>
      </w:r>
    </w:p>
    <w:p w:rsidR="00023E5B" w:rsidRDefault="00023E5B" w:rsidP="0051434F">
      <w:pPr>
        <w:pStyle w:val="ParaNumbering"/>
      </w:pPr>
      <w:r>
        <w:t>It follows that there are only two</w:t>
      </w:r>
      <w:r w:rsidR="00260FEB">
        <w:t xml:space="preserve"> outstanding issues</w:t>
      </w:r>
      <w:r w:rsidR="00587812">
        <w:t xml:space="preserve">: </w:t>
      </w:r>
      <w:r w:rsidR="00587812" w:rsidRPr="00587812">
        <w:rPr>
          <w:i/>
        </w:rPr>
        <w:t>first</w:t>
      </w:r>
      <w:r w:rsidR="00587812">
        <w:t>, w</w:t>
      </w:r>
      <w:r>
        <w:t xml:space="preserve">hether an order should be made in the terms proposed </w:t>
      </w:r>
      <w:r w:rsidR="00587812">
        <w:t xml:space="preserve">by the parties; </w:t>
      </w:r>
      <w:r>
        <w:t xml:space="preserve">and </w:t>
      </w:r>
      <w:r w:rsidR="00587812" w:rsidRPr="00587812">
        <w:rPr>
          <w:i/>
        </w:rPr>
        <w:t>secondly</w:t>
      </w:r>
      <w:r w:rsidR="00587812">
        <w:t xml:space="preserve">, </w:t>
      </w:r>
      <w:r w:rsidR="00D85532">
        <w:t>the appropriate order that should be made as to costs.</w:t>
      </w:r>
    </w:p>
    <w:p w:rsidR="00587812" w:rsidRDefault="00587812" w:rsidP="0051434F">
      <w:pPr>
        <w:pStyle w:val="ParaNumbering"/>
      </w:pPr>
      <w:r>
        <w:t>I will deal with each of these issues in turn.</w:t>
      </w:r>
      <w:r w:rsidR="008333B0">
        <w:t xml:space="preserve"> For clarity, I note that all defined terms are as set out in the PJ unless otherwise stated.</w:t>
      </w:r>
    </w:p>
    <w:p w:rsidR="00D85532" w:rsidRDefault="00467368" w:rsidP="00D85532">
      <w:pPr>
        <w:pStyle w:val="Heading1"/>
      </w:pPr>
      <w:r>
        <w:t>B</w:t>
      </w:r>
      <w:r w:rsidR="00D85532" w:rsidRPr="00D85532">
        <w:tab/>
        <w:t>THE PROPOSED ORDER</w:t>
      </w:r>
    </w:p>
    <w:p w:rsidR="00D85532" w:rsidRDefault="00D85532" w:rsidP="0051434F">
      <w:pPr>
        <w:pStyle w:val="ParaNumbering"/>
      </w:pPr>
      <w:r>
        <w:t>I do not propose to make the order in the minute provided to the Court.  I should explain why.</w:t>
      </w:r>
    </w:p>
    <w:p w:rsidR="00D85532" w:rsidRPr="004516F3" w:rsidRDefault="00260FEB" w:rsidP="00AD7C6A">
      <w:pPr>
        <w:pStyle w:val="ParaNumbering"/>
      </w:pPr>
      <w:r>
        <w:t>As was noted</w:t>
      </w:r>
      <w:r w:rsidR="00D85532" w:rsidRPr="004516F3">
        <w:t xml:space="preserve"> in </w:t>
      </w:r>
      <w:r w:rsidR="00D85532" w:rsidRPr="004516F3">
        <w:rPr>
          <w:i/>
        </w:rPr>
        <w:t>NH v Director of Public Prosecutions for the State of South Australia</w:t>
      </w:r>
      <w:r w:rsidR="00D85532" w:rsidRPr="004516F3">
        <w:t xml:space="preserve"> </w:t>
      </w:r>
      <w:r w:rsidR="00467368" w:rsidRPr="004516F3">
        <w:t xml:space="preserve">[2016] HCA 33; </w:t>
      </w:r>
      <w:r w:rsidR="00D85532" w:rsidRPr="004516F3">
        <w:t xml:space="preserve">(2016) 260 CLR 546 </w:t>
      </w:r>
      <w:r w:rsidR="00467368" w:rsidRPr="004516F3">
        <w:t xml:space="preserve">(at 584 [78] </w:t>
      </w:r>
      <w:r w:rsidR="00D85532" w:rsidRPr="004516F3">
        <w:t>per French CJ, Kiefel and Bell JJ)</w:t>
      </w:r>
      <w:r w:rsidR="001F1EB1">
        <w:t>,</w:t>
      </w:r>
      <w:r w:rsidR="00A56295" w:rsidRPr="004516F3">
        <w:t xml:space="preserve"> the “juristic character of a verdict is a</w:t>
      </w:r>
      <w:r w:rsidR="00467368" w:rsidRPr="004516F3">
        <w:t xml:space="preserve"> collective act of [a]</w:t>
      </w:r>
      <w:r w:rsidR="00A56295" w:rsidRPr="004516F3">
        <w:t xml:space="preserve"> </w:t>
      </w:r>
      <w:r w:rsidR="00A56295" w:rsidRPr="004516F3">
        <w:rPr>
          <w:b/>
        </w:rPr>
        <w:t>jury</w:t>
      </w:r>
      <w:r w:rsidR="00467368" w:rsidRPr="004516F3">
        <w:t xml:space="preserve">”. </w:t>
      </w:r>
      <w:r>
        <w:t>Speaking in broad terms</w:t>
      </w:r>
      <w:r w:rsidR="00414CA9">
        <w:t>, a</w:t>
      </w:r>
      <w:r w:rsidR="00A56295" w:rsidRPr="00AD7C6A">
        <w:t xml:space="preserve"> verdict at common law is the opinion of a jury on a question of fact in a civil or criminal proceeding</w:t>
      </w:r>
      <w:r w:rsidR="00414CA9">
        <w:t xml:space="preserve">.  A general verdict, however, </w:t>
      </w:r>
      <w:r w:rsidR="00414CA9" w:rsidRPr="00414CA9">
        <w:t>“</w:t>
      </w:r>
      <w:r w:rsidR="00AD7C6A" w:rsidRPr="00414CA9">
        <w:t xml:space="preserve">involves a compound of law, fact, and the application of law to fact”: </w:t>
      </w:r>
      <w:r w:rsidR="00AD7C6A" w:rsidRPr="00414CA9">
        <w:rPr>
          <w:i/>
        </w:rPr>
        <w:t xml:space="preserve">Otis Elevators Pty Ltd v </w:t>
      </w:r>
      <w:proofErr w:type="spellStart"/>
      <w:r w:rsidR="00AD7C6A" w:rsidRPr="00414CA9">
        <w:rPr>
          <w:i/>
        </w:rPr>
        <w:t>Zitis</w:t>
      </w:r>
      <w:proofErr w:type="spellEnd"/>
      <w:r w:rsidR="00AD7C6A" w:rsidRPr="00414CA9">
        <w:t xml:space="preserve"> (1986) 5 NSWLR 171 (at 197 per McHugh JA)</w:t>
      </w:r>
      <w:r w:rsidR="00A56295" w:rsidRPr="00AD7C6A">
        <w:t>.</w:t>
      </w:r>
      <w:r w:rsidR="00E946B3">
        <w:t xml:space="preserve"> </w:t>
      </w:r>
      <w:r>
        <w:t>What is evident is that h</w:t>
      </w:r>
      <w:r w:rsidR="00A56295" w:rsidRPr="004516F3">
        <w:t>is</w:t>
      </w:r>
      <w:r w:rsidR="00074533" w:rsidRPr="004516F3">
        <w:t xml:space="preserve">torically, </w:t>
      </w:r>
      <w:r w:rsidR="00414CA9">
        <w:t>irrespective as to whether the verdict</w:t>
      </w:r>
      <w:r w:rsidR="00414CA9" w:rsidRPr="00414CA9">
        <w:t xml:space="preserve"> </w:t>
      </w:r>
      <w:r w:rsidR="00414CA9">
        <w:t xml:space="preserve">is general or special, </w:t>
      </w:r>
      <w:r w:rsidR="00074533" w:rsidRPr="004516F3">
        <w:t xml:space="preserve">there is </w:t>
      </w:r>
      <w:r w:rsidR="00A56295" w:rsidRPr="004516F3">
        <w:t>a fundamental difference between a verdict and a judgment.</w:t>
      </w:r>
    </w:p>
    <w:p w:rsidR="005C6A6F" w:rsidRDefault="00A56295" w:rsidP="0051434F">
      <w:pPr>
        <w:pStyle w:val="ParaNumbering"/>
      </w:pPr>
      <w:r>
        <w:t xml:space="preserve">At common law, no judgment could be entered without the verdict of a jury: </w:t>
      </w:r>
      <w:r w:rsidRPr="00A56295">
        <w:rPr>
          <w:i/>
        </w:rPr>
        <w:t xml:space="preserve">Phillips v </w:t>
      </w:r>
      <w:proofErr w:type="spellStart"/>
      <w:r w:rsidRPr="00A56295">
        <w:rPr>
          <w:i/>
        </w:rPr>
        <w:t>Elli</w:t>
      </w:r>
      <w:r w:rsidR="00731E76">
        <w:rPr>
          <w:i/>
        </w:rPr>
        <w:t>n</w:t>
      </w:r>
      <w:r w:rsidRPr="00A56295">
        <w:rPr>
          <w:i/>
        </w:rPr>
        <w:t>son</w:t>
      </w:r>
      <w:proofErr w:type="spellEnd"/>
      <w:r w:rsidRPr="00A56295">
        <w:rPr>
          <w:i/>
        </w:rPr>
        <w:t xml:space="preserve"> Brothers Pty Ltd</w:t>
      </w:r>
      <w:r w:rsidR="00467368">
        <w:t xml:space="preserve"> (1941) 65 CLR 221 (at 228–</w:t>
      </w:r>
      <w:r>
        <w:t>9</w:t>
      </w:r>
      <w:r w:rsidR="00467368">
        <w:t xml:space="preserve"> per Rich J)</w:t>
      </w:r>
      <w:r>
        <w:t xml:space="preserve">.  The verdict of the jury could be a </w:t>
      </w:r>
      <w:r>
        <w:lastRenderedPageBreak/>
        <w:t xml:space="preserve">general verdict, a special verdict or a notional general verdict subject to the </w:t>
      </w:r>
      <w:r w:rsidR="00F02AC6">
        <w:t>decision</w:t>
      </w:r>
      <w:r>
        <w:t xml:space="preserve"> of the Court on a special case.  </w:t>
      </w:r>
    </w:p>
    <w:p w:rsidR="00A56295" w:rsidRDefault="00A56295" w:rsidP="0051434F">
      <w:pPr>
        <w:pStyle w:val="ParaNumbering"/>
      </w:pPr>
      <w:r>
        <w:t>Initially, at common law</w:t>
      </w:r>
      <w:r w:rsidR="00B90DC8">
        <w:t>,</w:t>
      </w:r>
      <w:r>
        <w:t xml:space="preserve"> it was the exchange of pleadings at Westminster which settled the issues for determination and upon their identification they contain</w:t>
      </w:r>
      <w:r w:rsidR="00587812">
        <w:t>ed</w:t>
      </w:r>
      <w:r>
        <w:t xml:space="preserve"> one or more questions to which a jury could either answer yes or no.  When the jury gave a verdict which answered the question</w:t>
      </w:r>
      <w:r w:rsidR="005C6A6F">
        <w:t>s</w:t>
      </w:r>
      <w:r>
        <w:t xml:space="preserve"> in the issues for trial</w:t>
      </w:r>
      <w:r w:rsidR="005C6A6F">
        <w:t xml:space="preserve"> under the </w:t>
      </w:r>
      <w:r w:rsidR="005C6A6F" w:rsidRPr="005C6A6F">
        <w:rPr>
          <w:i/>
        </w:rPr>
        <w:t>nisi prius</w:t>
      </w:r>
      <w:r w:rsidR="005C6A6F">
        <w:rPr>
          <w:i/>
        </w:rPr>
        <w:t xml:space="preserve"> </w:t>
      </w:r>
      <w:r w:rsidR="005C6A6F" w:rsidRPr="005C6A6F">
        <w:t>system</w:t>
      </w:r>
      <w:r w:rsidR="00074533">
        <w:t>,</w:t>
      </w:r>
      <w:r w:rsidR="005C6A6F">
        <w:t xml:space="preserve"> a </w:t>
      </w:r>
      <w:r w:rsidR="005C6A6F" w:rsidRPr="005C6A6F">
        <w:rPr>
          <w:i/>
        </w:rPr>
        <w:t>postea</w:t>
      </w:r>
      <w:r w:rsidR="005C6A6F">
        <w:t xml:space="preserve"> was awarded to the </w:t>
      </w:r>
      <w:r w:rsidR="00BD4DF7">
        <w:t xml:space="preserve">successful </w:t>
      </w:r>
      <w:r w:rsidR="005C6A6F">
        <w:t xml:space="preserve">party </w:t>
      </w:r>
      <w:r w:rsidR="00587812">
        <w:t xml:space="preserve">upon receipt of the verdict </w:t>
      </w:r>
      <w:r w:rsidR="005C6A6F">
        <w:t>and the s</w:t>
      </w:r>
      <w:r w:rsidR="007508C2">
        <w:t>uccessful party then moved the full c</w:t>
      </w:r>
      <w:r w:rsidR="005C6A6F">
        <w:t xml:space="preserve">ourt </w:t>
      </w:r>
      <w:r w:rsidR="00074533">
        <w:t xml:space="preserve">for judgment </w:t>
      </w:r>
      <w:r w:rsidR="005C6A6F">
        <w:t>at the beginning of the next term</w:t>
      </w:r>
      <w:r w:rsidR="00074533">
        <w:t>.</w:t>
      </w:r>
      <w:r w:rsidR="005C6A6F">
        <w:t xml:space="preserve"> </w:t>
      </w:r>
      <w:r w:rsidR="00074533">
        <w:t xml:space="preserve">  U</w:t>
      </w:r>
      <w:r w:rsidR="00722857">
        <w:t>nless an</w:t>
      </w:r>
      <w:r w:rsidR="005C6A6F">
        <w:t xml:space="preserve"> unsuccessful party was able to move for a new trial </w:t>
      </w:r>
      <w:r w:rsidR="00074533">
        <w:t>(</w:t>
      </w:r>
      <w:r w:rsidR="005C6A6F">
        <w:t>or for some reason was entitled to judgment notwithstanding the verdict</w:t>
      </w:r>
      <w:r w:rsidR="00074533">
        <w:t>),</w:t>
      </w:r>
      <w:r w:rsidR="005C6A6F">
        <w:t xml:space="preserve"> judgment would </w:t>
      </w:r>
      <w:r w:rsidR="00074533">
        <w:t xml:space="preserve">then </w:t>
      </w:r>
      <w:r w:rsidR="005C6A6F">
        <w:t xml:space="preserve">be recorded in </w:t>
      </w:r>
      <w:r w:rsidR="00574B38">
        <w:t>the records of the C</w:t>
      </w:r>
      <w:r w:rsidR="00074533">
        <w:t xml:space="preserve">ourt in </w:t>
      </w:r>
      <w:r w:rsidR="005C6A6F">
        <w:t xml:space="preserve">favour of the party to whom the </w:t>
      </w:r>
      <w:r w:rsidR="005C6A6F" w:rsidRPr="005C6A6F">
        <w:rPr>
          <w:i/>
        </w:rPr>
        <w:t>postea</w:t>
      </w:r>
      <w:r w:rsidR="005C6A6F">
        <w:t xml:space="preserve"> had been awarded.</w:t>
      </w:r>
    </w:p>
    <w:p w:rsidR="005C6A6F" w:rsidRPr="004516F3" w:rsidRDefault="005C6A6F" w:rsidP="0051434F">
      <w:pPr>
        <w:pStyle w:val="ParaNumbering"/>
      </w:pPr>
      <w:r w:rsidRPr="004516F3">
        <w:t xml:space="preserve">As Young A-JA explained in </w:t>
      </w:r>
      <w:r w:rsidRPr="004516F3">
        <w:rPr>
          <w:i/>
        </w:rPr>
        <w:t>Minister</w:t>
      </w:r>
      <w:r w:rsidR="00467368" w:rsidRPr="004516F3">
        <w:rPr>
          <w:i/>
        </w:rPr>
        <w:t xml:space="preserve"> Administering the Environmental Planning and Assessment Act 1979</w:t>
      </w:r>
      <w:r w:rsidRPr="004516F3">
        <w:rPr>
          <w:i/>
        </w:rPr>
        <w:t xml:space="preserve"> v Carson </w:t>
      </w:r>
      <w:r w:rsidRPr="004516F3">
        <w:t xml:space="preserve">(1994) 35 NSWLR 342 </w:t>
      </w:r>
      <w:r w:rsidR="00467368" w:rsidRPr="004516F3">
        <w:t>(</w:t>
      </w:r>
      <w:r w:rsidRPr="004516F3">
        <w:t>at 35</w:t>
      </w:r>
      <w:r w:rsidR="00467368" w:rsidRPr="004516F3">
        <w:t>8–</w:t>
      </w:r>
      <w:r w:rsidR="0093478C">
        <w:t>61</w:t>
      </w:r>
      <w:r w:rsidR="00467368" w:rsidRPr="004516F3">
        <w:t>)</w:t>
      </w:r>
      <w:r w:rsidRPr="004516F3">
        <w:t xml:space="preserve">, these early </w:t>
      </w:r>
      <w:r w:rsidR="00B90DC8" w:rsidRPr="004516F3">
        <w:t xml:space="preserve">processes </w:t>
      </w:r>
      <w:r w:rsidRPr="004516F3">
        <w:t>were the</w:t>
      </w:r>
      <w:r w:rsidR="00BD4DF7" w:rsidRPr="004516F3">
        <w:t xml:space="preserve"> subject of </w:t>
      </w:r>
      <w:r w:rsidR="00414CA9">
        <w:t>pre-</w:t>
      </w:r>
      <w:r w:rsidR="00414CA9" w:rsidRPr="00414CA9">
        <w:rPr>
          <w:i/>
        </w:rPr>
        <w:t>Judicature Act</w:t>
      </w:r>
      <w:r w:rsidR="00414CA9">
        <w:t xml:space="preserve">, </w:t>
      </w:r>
      <w:r w:rsidR="00B90DC8" w:rsidRPr="004516F3">
        <w:t xml:space="preserve">common law </w:t>
      </w:r>
      <w:r w:rsidR="00414CA9" w:rsidRPr="004516F3">
        <w:t xml:space="preserve">procedural </w:t>
      </w:r>
      <w:r w:rsidR="002E4D65" w:rsidRPr="004516F3">
        <w:t>reform in</w:t>
      </w:r>
      <w:r w:rsidR="00BD4DF7" w:rsidRPr="004516F3">
        <w:t xml:space="preserve"> the early part of </w:t>
      </w:r>
      <w:r w:rsidRPr="004516F3">
        <w:t>the 19</w:t>
      </w:r>
      <w:r w:rsidRPr="004516F3">
        <w:rPr>
          <w:vertAlign w:val="superscript"/>
        </w:rPr>
        <w:t>th</w:t>
      </w:r>
      <w:r w:rsidRPr="004516F3">
        <w:t xml:space="preserve"> Century</w:t>
      </w:r>
      <w:r w:rsidR="00074533" w:rsidRPr="004516F3">
        <w:t xml:space="preserve">, but in New South Wales, </w:t>
      </w:r>
      <w:r w:rsidRPr="004516F3">
        <w:t xml:space="preserve">prior to </w:t>
      </w:r>
      <w:r w:rsidR="00074533" w:rsidRPr="004516F3">
        <w:t xml:space="preserve">procedural fusion </w:t>
      </w:r>
      <w:r w:rsidR="00467368" w:rsidRPr="004516F3">
        <w:t xml:space="preserve">in </w:t>
      </w:r>
      <w:r w:rsidRPr="004516F3">
        <w:t>1972</w:t>
      </w:r>
      <w:r w:rsidR="00074533" w:rsidRPr="004516F3">
        <w:t xml:space="preserve">, at common law, the </w:t>
      </w:r>
      <w:r w:rsidR="00B90DC8" w:rsidRPr="004516F3">
        <w:t xml:space="preserve">prevailing </w:t>
      </w:r>
      <w:r w:rsidR="00074533" w:rsidRPr="004516F3">
        <w:t xml:space="preserve">procedures </w:t>
      </w:r>
      <w:r w:rsidR="00B90DC8" w:rsidRPr="004516F3">
        <w:t>always</w:t>
      </w:r>
      <w:r w:rsidR="00BD4DF7" w:rsidRPr="004516F3">
        <w:t xml:space="preserve"> reflect</w:t>
      </w:r>
      <w:r w:rsidR="00B90DC8" w:rsidRPr="004516F3">
        <w:t>ed</w:t>
      </w:r>
      <w:r w:rsidR="00074533" w:rsidRPr="004516F3">
        <w:t xml:space="preserve"> the fundamental distinction between verdict </w:t>
      </w:r>
      <w:r w:rsidR="00056A14" w:rsidRPr="004516F3">
        <w:t xml:space="preserve">(as an act of a jury) </w:t>
      </w:r>
      <w:r w:rsidR="00074533" w:rsidRPr="004516F3">
        <w:t>and judgment</w:t>
      </w:r>
      <w:r w:rsidR="00056A14" w:rsidRPr="004516F3">
        <w:t xml:space="preserve"> (the entry of which was an act of a judge or judges)</w:t>
      </w:r>
      <w:r w:rsidR="00535C31" w:rsidRPr="004516F3">
        <w:t xml:space="preserve">. </w:t>
      </w:r>
      <w:r w:rsidR="00B90DC8" w:rsidRPr="004516F3">
        <w:t xml:space="preserve">Although the separate step of bringing a separate motion for the entry of judgment </w:t>
      </w:r>
      <w:r w:rsidR="007508C2" w:rsidRPr="004516F3">
        <w:t>had been</w:t>
      </w:r>
      <w:r w:rsidR="00B90DC8" w:rsidRPr="004516F3">
        <w:t xml:space="preserve"> replaced by the judge ordering judgment after receipt of a verdict (subject to any application that may be made not to proceed with this course), </w:t>
      </w:r>
      <w:r w:rsidR="00074533" w:rsidRPr="004516F3">
        <w:t xml:space="preserve">in </w:t>
      </w:r>
      <w:r w:rsidR="00B90DC8" w:rsidRPr="004516F3">
        <w:t xml:space="preserve">the Supreme Court, </w:t>
      </w:r>
      <w:r w:rsidRPr="004516F3">
        <w:t>after the jury’s verdict was taken</w:t>
      </w:r>
      <w:r w:rsidR="0061412F" w:rsidRPr="004516F3">
        <w:t>,</w:t>
      </w:r>
      <w:r w:rsidR="00074533" w:rsidRPr="004516F3">
        <w:t xml:space="preserve"> the A</w:t>
      </w:r>
      <w:r w:rsidRPr="004516F3">
        <w:t>ssociate endorse</w:t>
      </w:r>
      <w:r w:rsidR="00BD4DF7" w:rsidRPr="004516F3">
        <w:t>d</w:t>
      </w:r>
      <w:r w:rsidRPr="004516F3">
        <w:t xml:space="preserve"> the verdict on the issues for trial and </w:t>
      </w:r>
      <w:r w:rsidR="00BD4DF7" w:rsidRPr="004516F3">
        <w:t>provided them to the P</w:t>
      </w:r>
      <w:r w:rsidRPr="004516F3">
        <w:t>rothon</w:t>
      </w:r>
      <w:r w:rsidR="004A5170" w:rsidRPr="004516F3">
        <w:t>o</w:t>
      </w:r>
      <w:r w:rsidRPr="004516F3">
        <w:t xml:space="preserve">tary who </w:t>
      </w:r>
      <w:r w:rsidR="00074533" w:rsidRPr="004516F3">
        <w:t xml:space="preserve">then separately </w:t>
      </w:r>
      <w:r w:rsidRPr="004516F3">
        <w:t>entered the judgment in the Court records</w:t>
      </w:r>
      <w:r w:rsidR="00915BFE" w:rsidRPr="004516F3">
        <w:t>.</w:t>
      </w:r>
      <w:r w:rsidR="003A2E30" w:rsidRPr="004516F3">
        <w:t xml:space="preserve"> </w:t>
      </w:r>
      <w:r w:rsidR="00074533" w:rsidRPr="004516F3">
        <w:t>Of course, t</w:t>
      </w:r>
      <w:r w:rsidR="003A2E30" w:rsidRPr="004516F3">
        <w:t>he po</w:t>
      </w:r>
      <w:r w:rsidR="00B90DC8" w:rsidRPr="004516F3">
        <w:t xml:space="preserve">sition on the </w:t>
      </w:r>
      <w:r w:rsidR="00074533" w:rsidRPr="004516F3">
        <w:t>equity</w:t>
      </w:r>
      <w:r w:rsidR="00B90DC8" w:rsidRPr="004516F3">
        <w:t xml:space="preserve"> side</w:t>
      </w:r>
      <w:r w:rsidR="00BD4DF7" w:rsidRPr="004516F3">
        <w:t>, with judge on</w:t>
      </w:r>
      <w:r w:rsidR="00B90DC8" w:rsidRPr="004516F3">
        <w:t xml:space="preserve">ly hearings, </w:t>
      </w:r>
      <w:r w:rsidR="003A2E30" w:rsidRPr="004516F3">
        <w:t xml:space="preserve">was </w:t>
      </w:r>
      <w:r w:rsidR="00915A33" w:rsidRPr="004516F3">
        <w:t xml:space="preserve">entirely </w:t>
      </w:r>
      <w:r w:rsidR="003A2E30" w:rsidRPr="004516F3">
        <w:t>different</w:t>
      </w:r>
      <w:r w:rsidR="00074533" w:rsidRPr="004516F3">
        <w:t xml:space="preserve">: </w:t>
      </w:r>
      <w:r w:rsidR="003A2E30" w:rsidRPr="004516F3">
        <w:t xml:space="preserve">see </w:t>
      </w:r>
      <w:r w:rsidR="003A2E30" w:rsidRPr="004516F3">
        <w:rPr>
          <w:i/>
        </w:rPr>
        <w:t xml:space="preserve">Carson </w:t>
      </w:r>
      <w:r w:rsidR="00535C31" w:rsidRPr="004516F3">
        <w:t>(</w:t>
      </w:r>
      <w:r w:rsidR="003A2E30" w:rsidRPr="004516F3">
        <w:t>at 361</w:t>
      </w:r>
      <w:r w:rsidR="00535C31" w:rsidRPr="004516F3">
        <w:t xml:space="preserve"> per Young A-JA)</w:t>
      </w:r>
      <w:r w:rsidR="003A2E30" w:rsidRPr="004516F3">
        <w:t>.</w:t>
      </w:r>
    </w:p>
    <w:p w:rsidR="0029085E" w:rsidRDefault="007508C2" w:rsidP="00AE0C1A">
      <w:pPr>
        <w:pStyle w:val="ParaNumbering"/>
      </w:pPr>
      <w:r>
        <w:t>R</w:t>
      </w:r>
      <w:r w:rsidR="003A2E30">
        <w:t xml:space="preserve">eferring to </w:t>
      </w:r>
      <w:r>
        <w:t>a verdict</w:t>
      </w:r>
      <w:r w:rsidR="003A2E30">
        <w:t xml:space="preserve"> </w:t>
      </w:r>
      <w:r>
        <w:t xml:space="preserve">as though it is a synonym for a judgment and its more general use </w:t>
      </w:r>
      <w:r w:rsidR="003A2E30">
        <w:t xml:space="preserve">in circumstances where there is no jury determining </w:t>
      </w:r>
      <w:r w:rsidR="00B90DC8">
        <w:t>any issues</w:t>
      </w:r>
      <w:r w:rsidR="003A2E30">
        <w:t xml:space="preserve"> </w:t>
      </w:r>
      <w:r w:rsidR="0091206A">
        <w:t>is</w:t>
      </w:r>
      <w:r w:rsidR="00414CA9">
        <w:t>, with respect to the parties,</w:t>
      </w:r>
      <w:r w:rsidR="0091206A">
        <w:t xml:space="preserve"> </w:t>
      </w:r>
      <w:r w:rsidR="003A2E30">
        <w:t xml:space="preserve">ahistorical.  </w:t>
      </w:r>
      <w:r>
        <w:t>The reference to verdicts in draft orders</w:t>
      </w:r>
      <w:r w:rsidR="00B90DC8">
        <w:t xml:space="preserve"> </w:t>
      </w:r>
      <w:r>
        <w:t xml:space="preserve">proposed by defamation lawyers </w:t>
      </w:r>
      <w:r w:rsidR="00B90DC8">
        <w:t xml:space="preserve">seems to be </w:t>
      </w:r>
      <w:r>
        <w:t xml:space="preserve">a </w:t>
      </w:r>
      <w:r w:rsidR="00F66DF8">
        <w:t xml:space="preserve">wistful </w:t>
      </w:r>
      <w:r w:rsidR="00A0540C">
        <w:t>nod to</w:t>
      </w:r>
      <w:r w:rsidR="00F0726E">
        <w:t xml:space="preserve"> the traditional</w:t>
      </w:r>
      <w:r w:rsidR="00B90DC8">
        <w:t xml:space="preserve"> role of the jury in such proceedings</w:t>
      </w:r>
      <w:r w:rsidR="003C5E16">
        <w:t>,</w:t>
      </w:r>
      <w:r w:rsidR="00B90DC8">
        <w:t xml:space="preserve"> but </w:t>
      </w:r>
      <w:r w:rsidR="003C5E16">
        <w:t xml:space="preserve">such a course </w:t>
      </w:r>
      <w:r w:rsidR="00B90DC8">
        <w:t xml:space="preserve">does not </w:t>
      </w:r>
      <w:r w:rsidR="002E4D65">
        <w:t xml:space="preserve">accurately </w:t>
      </w:r>
      <w:r w:rsidR="00B90DC8">
        <w:t xml:space="preserve">reflect </w:t>
      </w:r>
      <w:r w:rsidR="002E4D65">
        <w:t>what</w:t>
      </w:r>
      <w:r w:rsidR="00B90DC8">
        <w:t xml:space="preserve"> </w:t>
      </w:r>
      <w:r w:rsidR="00915A33">
        <w:t>is occurring</w:t>
      </w:r>
      <w:r w:rsidR="00B90DC8">
        <w:t xml:space="preserve"> </w:t>
      </w:r>
      <w:r w:rsidR="002E4D65">
        <w:t xml:space="preserve">in </w:t>
      </w:r>
      <w:r w:rsidR="00915A33">
        <w:t xml:space="preserve">quelling this controversy by </w:t>
      </w:r>
      <w:r w:rsidR="00414CA9">
        <w:t xml:space="preserve">a judge of the Court determining all issues of fact and law and </w:t>
      </w:r>
      <w:r w:rsidR="00915A33">
        <w:t>the entry of a judgment in the recor</w:t>
      </w:r>
      <w:r>
        <w:t>ds of this</w:t>
      </w:r>
      <w:r w:rsidR="00915A33">
        <w:t xml:space="preserve"> Court</w:t>
      </w:r>
      <w:r w:rsidR="00B90DC8">
        <w:t xml:space="preserve">.  </w:t>
      </w:r>
      <w:r w:rsidR="0029085E">
        <w:t xml:space="preserve">Under s 23 of the </w:t>
      </w:r>
      <w:r w:rsidR="0029085E" w:rsidRPr="00B90DC8">
        <w:rPr>
          <w:i/>
        </w:rPr>
        <w:t>Federal Court of Australia Act 1976</w:t>
      </w:r>
      <w:r w:rsidR="0029085E">
        <w:t xml:space="preserve"> (Cth)</w:t>
      </w:r>
      <w:r w:rsidR="0072794F">
        <w:t xml:space="preserve"> (</w:t>
      </w:r>
      <w:r w:rsidR="005C2042" w:rsidRPr="005C2042">
        <w:rPr>
          <w:b/>
        </w:rPr>
        <w:t>FCAA</w:t>
      </w:r>
      <w:r w:rsidR="0072794F">
        <w:t>)</w:t>
      </w:r>
      <w:r w:rsidR="002E4D65">
        <w:t>,</w:t>
      </w:r>
      <w:r>
        <w:t xml:space="preserve"> the Court has power to </w:t>
      </w:r>
      <w:r w:rsidR="0029085E">
        <w:t>make orders of such kind</w:t>
      </w:r>
      <w:r w:rsidR="001C7872">
        <w:t>s</w:t>
      </w:r>
      <w:r w:rsidR="0029085E">
        <w:t xml:space="preserve"> as it thinks appropriate.  With respect to others who may have taken </w:t>
      </w:r>
      <w:r w:rsidR="0029085E">
        <w:lastRenderedPageBreak/>
        <w:t>a different course</w:t>
      </w:r>
      <w:r w:rsidR="00690D14">
        <w:t>,</w:t>
      </w:r>
      <w:r w:rsidR="0029085E">
        <w:t xml:space="preserve"> it seems to me that the order appropriate to make in circumstances where the</w:t>
      </w:r>
      <w:r w:rsidR="00414CA9">
        <w:t xml:space="preserve"> Court is constituted by a j</w:t>
      </w:r>
      <w:r w:rsidR="0029085E">
        <w:t>udge alone is for the entry of judgment in favour of the successful party who has prevailed on the issues at trial and the e</w:t>
      </w:r>
      <w:r w:rsidR="0072794F">
        <w:t xml:space="preserve">ntry of judgment in an amount. </w:t>
      </w:r>
      <w:r w:rsidR="00B90DC8">
        <w:t>That is the course I propose to take</w:t>
      </w:r>
      <w:r w:rsidR="0029085E">
        <w:t>.</w:t>
      </w:r>
    </w:p>
    <w:p w:rsidR="00780276" w:rsidRDefault="0029085E" w:rsidP="0051434F">
      <w:pPr>
        <w:pStyle w:val="ParaNumbering"/>
      </w:pPr>
      <w:r>
        <w:t>Accordingly</w:t>
      </w:r>
      <w:r w:rsidR="00414CA9">
        <w:t>,</w:t>
      </w:r>
      <w:r>
        <w:t xml:space="preserve"> I propose to make an order that </w:t>
      </w:r>
      <w:r w:rsidR="00FF03CC">
        <w:t>judgment be entered for the applicant against the respondents in the sum of $296,500</w:t>
      </w:r>
      <w:r w:rsidR="00D02B38">
        <w:t xml:space="preserve">.  </w:t>
      </w:r>
    </w:p>
    <w:p w:rsidR="00780276" w:rsidRDefault="00780276" w:rsidP="00780276">
      <w:pPr>
        <w:pStyle w:val="Heading1"/>
      </w:pPr>
      <w:r>
        <w:t>C</w:t>
      </w:r>
      <w:r>
        <w:tab/>
        <w:t>COSTS</w:t>
      </w:r>
    </w:p>
    <w:p w:rsidR="0029085E" w:rsidRDefault="00D02B38" w:rsidP="0051434F">
      <w:pPr>
        <w:pStyle w:val="ParaNumbering"/>
      </w:pPr>
      <w:r>
        <w:t xml:space="preserve">Dr Stead </w:t>
      </w:r>
      <w:r w:rsidR="00780276">
        <w:t xml:space="preserve">submits that </w:t>
      </w:r>
      <w:r>
        <w:t>Fairfax and Mr Aston should pay her costs</w:t>
      </w:r>
      <w:r w:rsidR="00FF03CC">
        <w:t xml:space="preserve"> of the entire proceeding </w:t>
      </w:r>
      <w:r w:rsidR="00F03EDE">
        <w:t>(from vario</w:t>
      </w:r>
      <w:r w:rsidR="00FF03CC">
        <w:t xml:space="preserve">us dates) on an indemnity basis, </w:t>
      </w:r>
      <w:r w:rsidR="00F03EDE">
        <w:t xml:space="preserve">whereas Fairfax and Mr Aston submit that </w:t>
      </w:r>
      <w:r w:rsidR="001F1EB1">
        <w:t>they</w:t>
      </w:r>
      <w:r w:rsidR="00F03EDE">
        <w:t xml:space="preserve"> should be ordered to pay only 75%</w:t>
      </w:r>
      <w:r w:rsidR="00FB53C5">
        <w:t xml:space="preserve"> of Dr Stead’s costs on a party</w:t>
      </w:r>
      <w:r w:rsidR="00112D3C">
        <w:t xml:space="preserve"> and </w:t>
      </w:r>
      <w:r w:rsidR="00F03EDE">
        <w:t>party basis.  Before coming to considering these submissions it is necessary to set out the relevant chronology of events as re</w:t>
      </w:r>
      <w:r w:rsidR="00B20941">
        <w:t>vealed by the evidence</w:t>
      </w:r>
      <w:r w:rsidR="00F03EDE">
        <w:t xml:space="preserve">: </w:t>
      </w:r>
    </w:p>
    <w:tbl>
      <w:tblPr>
        <w:tblStyle w:val="TableGrid"/>
        <w:tblW w:w="0" w:type="auto"/>
        <w:tblLook w:val="04A0" w:firstRow="1" w:lastRow="0" w:firstColumn="1" w:lastColumn="0" w:noHBand="0" w:noVBand="1"/>
      </w:tblPr>
      <w:tblGrid>
        <w:gridCol w:w="2122"/>
        <w:gridCol w:w="6895"/>
      </w:tblGrid>
      <w:tr w:rsidR="00F03EDE" w:rsidTr="003401B0">
        <w:tc>
          <w:tcPr>
            <w:tcW w:w="2122" w:type="dxa"/>
          </w:tcPr>
          <w:p w:rsidR="00F03EDE" w:rsidRPr="002550B9" w:rsidRDefault="00FF03CC" w:rsidP="00F03EDE">
            <w:pPr>
              <w:pStyle w:val="BodyText"/>
              <w:rPr>
                <w:b/>
              </w:rPr>
            </w:pPr>
            <w:r>
              <w:rPr>
                <w:b/>
              </w:rPr>
              <w:t>Date</w:t>
            </w:r>
          </w:p>
        </w:tc>
        <w:tc>
          <w:tcPr>
            <w:tcW w:w="6895" w:type="dxa"/>
          </w:tcPr>
          <w:p w:rsidR="00F03EDE" w:rsidRPr="002550B9" w:rsidRDefault="00F03EDE" w:rsidP="00F03EDE">
            <w:pPr>
              <w:pStyle w:val="BodyText"/>
              <w:rPr>
                <w:b/>
              </w:rPr>
            </w:pPr>
            <w:r w:rsidRPr="002550B9">
              <w:rPr>
                <w:b/>
              </w:rPr>
              <w:t>Events</w:t>
            </w:r>
          </w:p>
        </w:tc>
      </w:tr>
      <w:tr w:rsidR="00F03EDE" w:rsidTr="003401B0">
        <w:tc>
          <w:tcPr>
            <w:tcW w:w="2122" w:type="dxa"/>
          </w:tcPr>
          <w:p w:rsidR="00F03EDE" w:rsidRDefault="00F03EDE" w:rsidP="0075089B">
            <w:pPr>
              <w:pStyle w:val="BodyText"/>
              <w:jc w:val="left"/>
            </w:pPr>
            <w:r>
              <w:t>1 November 2019</w:t>
            </w:r>
          </w:p>
        </w:tc>
        <w:tc>
          <w:tcPr>
            <w:tcW w:w="6895" w:type="dxa"/>
          </w:tcPr>
          <w:p w:rsidR="00F03EDE" w:rsidRDefault="00F03EDE" w:rsidP="0075089B">
            <w:pPr>
              <w:pStyle w:val="BodyText"/>
              <w:jc w:val="left"/>
            </w:pPr>
            <w:r>
              <w:t xml:space="preserve">Concerns notice sent seeking that Fairfax immediately remove the </w:t>
            </w:r>
            <w:r w:rsidR="003401B0">
              <w:t>Second Matter, cease publishing any matter which convey</w:t>
            </w:r>
            <w:r w:rsidR="00831FCE">
              <w:t>s similar imputations, publish a</w:t>
            </w:r>
            <w:r w:rsidR="003401B0">
              <w:t xml:space="preserve"> correction </w:t>
            </w:r>
            <w:r w:rsidR="00831FCE">
              <w:t xml:space="preserve">and </w:t>
            </w:r>
            <w:r w:rsidR="003401B0">
              <w:t xml:space="preserve">apology and pay Dr Stead’s legal expenses. </w:t>
            </w:r>
          </w:p>
        </w:tc>
      </w:tr>
      <w:tr w:rsidR="00F03EDE" w:rsidTr="003401B0">
        <w:tc>
          <w:tcPr>
            <w:tcW w:w="2122" w:type="dxa"/>
          </w:tcPr>
          <w:p w:rsidR="00F03EDE" w:rsidRDefault="003401B0" w:rsidP="0075089B">
            <w:pPr>
              <w:pStyle w:val="BodyText"/>
              <w:jc w:val="left"/>
            </w:pPr>
            <w:r>
              <w:t>8 November 2019</w:t>
            </w:r>
          </w:p>
        </w:tc>
        <w:tc>
          <w:tcPr>
            <w:tcW w:w="6895" w:type="dxa"/>
          </w:tcPr>
          <w:p w:rsidR="00F03EDE" w:rsidRDefault="00245FEF" w:rsidP="0075089B">
            <w:pPr>
              <w:pStyle w:val="BodyText"/>
              <w:jc w:val="left"/>
            </w:pPr>
            <w:r>
              <w:t>Fairfax asserted</w:t>
            </w:r>
            <w:r w:rsidR="003401B0">
              <w:t xml:space="preserve"> it will “vigorously” defend any proceeding.</w:t>
            </w:r>
          </w:p>
        </w:tc>
      </w:tr>
      <w:tr w:rsidR="00F03EDE" w:rsidTr="003401B0">
        <w:tc>
          <w:tcPr>
            <w:tcW w:w="2122" w:type="dxa"/>
          </w:tcPr>
          <w:p w:rsidR="00F03EDE" w:rsidRDefault="003401B0" w:rsidP="0075089B">
            <w:pPr>
              <w:pStyle w:val="BodyText"/>
              <w:jc w:val="left"/>
            </w:pPr>
            <w:r>
              <w:t>23 December 2019</w:t>
            </w:r>
          </w:p>
        </w:tc>
        <w:tc>
          <w:tcPr>
            <w:tcW w:w="6895" w:type="dxa"/>
          </w:tcPr>
          <w:p w:rsidR="00F03EDE" w:rsidRDefault="00245FEF" w:rsidP="0075089B">
            <w:pPr>
              <w:pStyle w:val="BodyText"/>
              <w:jc w:val="left"/>
            </w:pPr>
            <w:r>
              <w:t>Proceeding</w:t>
            </w:r>
            <w:r w:rsidR="003401B0">
              <w:t xml:space="preserve"> commenced</w:t>
            </w:r>
            <w:r w:rsidR="002550B9">
              <w:t>.</w:t>
            </w:r>
          </w:p>
        </w:tc>
      </w:tr>
      <w:tr w:rsidR="00F03EDE" w:rsidTr="003401B0">
        <w:tc>
          <w:tcPr>
            <w:tcW w:w="2122" w:type="dxa"/>
          </w:tcPr>
          <w:p w:rsidR="00F03EDE" w:rsidRDefault="003401B0" w:rsidP="0075089B">
            <w:pPr>
              <w:pStyle w:val="BodyText"/>
              <w:jc w:val="left"/>
            </w:pPr>
            <w:r>
              <w:t>20 April 2020</w:t>
            </w:r>
          </w:p>
        </w:tc>
        <w:tc>
          <w:tcPr>
            <w:tcW w:w="6895" w:type="dxa"/>
          </w:tcPr>
          <w:p w:rsidR="00F03EDE" w:rsidRDefault="003401B0" w:rsidP="0075089B">
            <w:pPr>
              <w:pStyle w:val="BodyText"/>
              <w:jc w:val="left"/>
            </w:pPr>
            <w:r>
              <w:t>First Court ordered mediation</w:t>
            </w:r>
            <w:r w:rsidR="002550B9">
              <w:t>.</w:t>
            </w:r>
            <w:r w:rsidR="00AA5A4D">
              <w:t xml:space="preserve"> Dr Stead made an offer of compromise which provided: (a) judgment in the sum of $190,000; (b) removal of matters complained of; and (c) payment of costs (</w:t>
            </w:r>
            <w:r w:rsidR="00AA5A4D" w:rsidRPr="00FF03CC">
              <w:rPr>
                <w:b/>
              </w:rPr>
              <w:t>First Stead Offer</w:t>
            </w:r>
            <w:r w:rsidR="00AA5A4D">
              <w:t>).</w:t>
            </w:r>
          </w:p>
        </w:tc>
      </w:tr>
      <w:tr w:rsidR="00D61356" w:rsidTr="003401B0">
        <w:tc>
          <w:tcPr>
            <w:tcW w:w="2122" w:type="dxa"/>
          </w:tcPr>
          <w:p w:rsidR="00D61356" w:rsidRDefault="00D61356" w:rsidP="0075089B">
            <w:pPr>
              <w:pStyle w:val="BodyText"/>
              <w:jc w:val="left"/>
            </w:pPr>
            <w:r>
              <w:t>21 April 2020</w:t>
            </w:r>
          </w:p>
        </w:tc>
        <w:tc>
          <w:tcPr>
            <w:tcW w:w="6895" w:type="dxa"/>
          </w:tcPr>
          <w:p w:rsidR="00D61356" w:rsidRDefault="00D61356" w:rsidP="0075089B">
            <w:pPr>
              <w:pStyle w:val="BodyText"/>
              <w:jc w:val="left"/>
            </w:pPr>
            <w:r>
              <w:t>First Stead Offer</w:t>
            </w:r>
            <w:r w:rsidR="00FF03CC">
              <w:t xml:space="preserve"> </w:t>
            </w:r>
            <w:r>
              <w:t>rejected</w:t>
            </w:r>
            <w:r w:rsidR="00FF03CC">
              <w:t>.</w:t>
            </w:r>
          </w:p>
        </w:tc>
      </w:tr>
      <w:tr w:rsidR="002550B9" w:rsidTr="003401B0">
        <w:tc>
          <w:tcPr>
            <w:tcW w:w="2122" w:type="dxa"/>
          </w:tcPr>
          <w:p w:rsidR="002550B9" w:rsidRDefault="002550B9" w:rsidP="0075089B">
            <w:pPr>
              <w:pStyle w:val="BodyText"/>
              <w:jc w:val="left"/>
            </w:pPr>
            <w:r>
              <w:t>28 April 2020</w:t>
            </w:r>
          </w:p>
        </w:tc>
        <w:tc>
          <w:tcPr>
            <w:tcW w:w="6895" w:type="dxa"/>
          </w:tcPr>
          <w:p w:rsidR="002550B9" w:rsidRDefault="00FF03CC" w:rsidP="0075089B">
            <w:pPr>
              <w:pStyle w:val="BodyText"/>
              <w:jc w:val="left"/>
            </w:pPr>
            <w:r>
              <w:t xml:space="preserve">Dr Stead made a further offer </w:t>
            </w:r>
            <w:r w:rsidR="002550B9">
              <w:t xml:space="preserve">which provided: </w:t>
            </w:r>
            <w:r>
              <w:t>(</w:t>
            </w:r>
            <w:r w:rsidR="002550B9">
              <w:t xml:space="preserve">a) judgment; </w:t>
            </w:r>
            <w:r>
              <w:t>(</w:t>
            </w:r>
            <w:r w:rsidR="002550B9">
              <w:t>b) payment of $140</w:t>
            </w:r>
            <w:r>
              <w:t>,000</w:t>
            </w:r>
            <w:r w:rsidR="002550B9">
              <w:t xml:space="preserve">; </w:t>
            </w:r>
            <w:r>
              <w:t>(</w:t>
            </w:r>
            <w:r w:rsidR="002550B9">
              <w:t xml:space="preserve">c) </w:t>
            </w:r>
            <w:r w:rsidR="002B30ED">
              <w:t>publishing an</w:t>
            </w:r>
            <w:r w:rsidR="002550B9">
              <w:t xml:space="preserve"> apology in terms stated in </w:t>
            </w:r>
            <w:r w:rsidR="00245FEF">
              <w:t xml:space="preserve">the </w:t>
            </w:r>
            <w:r w:rsidR="002550B9">
              <w:t>offer</w:t>
            </w:r>
            <w:r w:rsidR="002B30ED">
              <w:t xml:space="preserve">; </w:t>
            </w:r>
            <w:r w:rsidR="00404F73">
              <w:t>(</w:t>
            </w:r>
            <w:r w:rsidR="002550B9">
              <w:t>d) removal of matters</w:t>
            </w:r>
            <w:r w:rsidR="00404F73">
              <w:t>;</w:t>
            </w:r>
            <w:r w:rsidR="002550B9">
              <w:t xml:space="preserve"> and </w:t>
            </w:r>
            <w:r w:rsidR="00404F73">
              <w:t>(</w:t>
            </w:r>
            <w:r w:rsidR="002B30ED">
              <w:t xml:space="preserve">e) </w:t>
            </w:r>
            <w:r w:rsidR="00404F73">
              <w:t xml:space="preserve">payment of costs </w:t>
            </w:r>
            <w:r w:rsidR="00404F73" w:rsidRPr="005E728A">
              <w:t>(</w:t>
            </w:r>
            <w:r w:rsidR="00404F73" w:rsidRPr="00404F73">
              <w:rPr>
                <w:b/>
              </w:rPr>
              <w:t>Second Stead Offer</w:t>
            </w:r>
            <w:r w:rsidR="00404F73" w:rsidRPr="005E728A">
              <w:t>).</w:t>
            </w:r>
          </w:p>
        </w:tc>
      </w:tr>
      <w:tr w:rsidR="00D61356" w:rsidTr="003401B0">
        <w:tc>
          <w:tcPr>
            <w:tcW w:w="2122" w:type="dxa"/>
          </w:tcPr>
          <w:p w:rsidR="00D61356" w:rsidRDefault="00D61356" w:rsidP="0075089B">
            <w:pPr>
              <w:pStyle w:val="BodyText"/>
              <w:jc w:val="left"/>
            </w:pPr>
            <w:r>
              <w:t>29 April 2020</w:t>
            </w:r>
          </w:p>
        </w:tc>
        <w:tc>
          <w:tcPr>
            <w:tcW w:w="6895" w:type="dxa"/>
          </w:tcPr>
          <w:p w:rsidR="00D61356" w:rsidRDefault="00E65BDC" w:rsidP="0075089B">
            <w:pPr>
              <w:pStyle w:val="BodyText"/>
              <w:jc w:val="left"/>
            </w:pPr>
            <w:r>
              <w:t>Second Stead O</w:t>
            </w:r>
            <w:r w:rsidR="00D61356">
              <w:t xml:space="preserve">ffer </w:t>
            </w:r>
            <w:r w:rsidR="00831FCE">
              <w:t>rejected</w:t>
            </w:r>
            <w:r w:rsidR="00404F73">
              <w:t>.</w:t>
            </w:r>
          </w:p>
        </w:tc>
      </w:tr>
      <w:tr w:rsidR="002550B9" w:rsidTr="003401B0">
        <w:tc>
          <w:tcPr>
            <w:tcW w:w="2122" w:type="dxa"/>
          </w:tcPr>
          <w:p w:rsidR="002550B9" w:rsidRDefault="00D61356" w:rsidP="0075089B">
            <w:pPr>
              <w:pStyle w:val="BodyText"/>
              <w:jc w:val="left"/>
            </w:pPr>
            <w:r>
              <w:t>28 Oct</w:t>
            </w:r>
            <w:r w:rsidR="00B20941">
              <w:t>ober</w:t>
            </w:r>
            <w:r>
              <w:t xml:space="preserve"> </w:t>
            </w:r>
            <w:r w:rsidR="002550B9">
              <w:t>2020</w:t>
            </w:r>
          </w:p>
        </w:tc>
        <w:tc>
          <w:tcPr>
            <w:tcW w:w="6895" w:type="dxa"/>
          </w:tcPr>
          <w:p w:rsidR="002550B9" w:rsidRDefault="00F801E7" w:rsidP="005E728A">
            <w:pPr>
              <w:pStyle w:val="BodyText"/>
              <w:jc w:val="left"/>
            </w:pPr>
            <w:r>
              <w:t>Fairfax and Mr Aston granted leave to file a second further amended defence and ordered to pay Dr Stead’s costs thrown away</w:t>
            </w:r>
            <w:r w:rsidR="00245FEF">
              <w:t xml:space="preserve"> b</w:t>
            </w:r>
            <w:r w:rsidR="0009741C">
              <w:t xml:space="preserve">y virtue </w:t>
            </w:r>
            <w:r w:rsidR="0009741C">
              <w:lastRenderedPageBreak/>
              <w:t>of the filing of the defence</w:t>
            </w:r>
            <w:r>
              <w:t>.</w:t>
            </w:r>
          </w:p>
        </w:tc>
      </w:tr>
      <w:tr w:rsidR="002550B9" w:rsidTr="003401B0">
        <w:tc>
          <w:tcPr>
            <w:tcW w:w="2122" w:type="dxa"/>
          </w:tcPr>
          <w:p w:rsidR="002550B9" w:rsidRDefault="002550B9" w:rsidP="0075089B">
            <w:pPr>
              <w:pStyle w:val="BodyText"/>
              <w:jc w:val="left"/>
            </w:pPr>
            <w:r>
              <w:lastRenderedPageBreak/>
              <w:t>2 November 2020</w:t>
            </w:r>
          </w:p>
        </w:tc>
        <w:tc>
          <w:tcPr>
            <w:tcW w:w="6895" w:type="dxa"/>
          </w:tcPr>
          <w:p w:rsidR="002550B9" w:rsidRDefault="00831FCE" w:rsidP="0009741C">
            <w:pPr>
              <w:pStyle w:val="BodyText"/>
              <w:jc w:val="left"/>
            </w:pPr>
            <w:r>
              <w:t xml:space="preserve">Fairfax </w:t>
            </w:r>
            <w:r w:rsidR="00C844E6">
              <w:t>a</w:t>
            </w:r>
            <w:r w:rsidR="002D4872">
              <w:t>nd Mr Aston made an offer which</w:t>
            </w:r>
            <w:r w:rsidR="002550B9">
              <w:t xml:space="preserve"> provided: </w:t>
            </w:r>
            <w:r w:rsidR="00C844E6">
              <w:t>(</w:t>
            </w:r>
            <w:r w:rsidR="002550B9">
              <w:t xml:space="preserve">a) payment of </w:t>
            </w:r>
            <w:r w:rsidR="00245FEF">
              <w:t xml:space="preserve">a </w:t>
            </w:r>
            <w:r w:rsidR="002550B9">
              <w:t xml:space="preserve">“confidential sum” </w:t>
            </w:r>
            <w:r w:rsidR="002B30ED">
              <w:t xml:space="preserve">of </w:t>
            </w:r>
            <w:r w:rsidR="002550B9">
              <w:t>$2</w:t>
            </w:r>
            <w:r w:rsidR="00F843D8">
              <w:t>00</w:t>
            </w:r>
            <w:r>
              <w:t>,000</w:t>
            </w:r>
            <w:r w:rsidR="002550B9">
              <w:t xml:space="preserve"> in</w:t>
            </w:r>
            <w:r>
              <w:t xml:space="preserve">clusive of costs; </w:t>
            </w:r>
            <w:r w:rsidR="00C844E6">
              <w:t>(</w:t>
            </w:r>
            <w:r>
              <w:t xml:space="preserve">b) </w:t>
            </w:r>
            <w:r w:rsidR="00C844E6">
              <w:t xml:space="preserve">the </w:t>
            </w:r>
            <w:r>
              <w:t>proceeding</w:t>
            </w:r>
            <w:r w:rsidR="002550B9">
              <w:t xml:space="preserve"> </w:t>
            </w:r>
            <w:r w:rsidR="005A7668">
              <w:t xml:space="preserve">be </w:t>
            </w:r>
            <w:r w:rsidR="002550B9">
              <w:t>dismissed with no orders</w:t>
            </w:r>
            <w:r w:rsidR="005A7668">
              <w:t xml:space="preserve"> as</w:t>
            </w:r>
            <w:r w:rsidR="002550B9">
              <w:t xml:space="preserve"> to costs; </w:t>
            </w:r>
            <w:r w:rsidR="00C844E6">
              <w:t>(</w:t>
            </w:r>
            <w:r w:rsidR="002550B9">
              <w:t xml:space="preserve">c) all </w:t>
            </w:r>
            <w:r w:rsidR="0009741C">
              <w:t>existing</w:t>
            </w:r>
            <w:r w:rsidR="002550B9">
              <w:t xml:space="preserve"> cost</w:t>
            </w:r>
            <w:r w:rsidR="002B30ED">
              <w:t>s</w:t>
            </w:r>
            <w:r>
              <w:t xml:space="preserve"> orders </w:t>
            </w:r>
            <w:r w:rsidR="002550B9">
              <w:t xml:space="preserve">be vacated; </w:t>
            </w:r>
            <w:r w:rsidR="00C844E6">
              <w:t>(</w:t>
            </w:r>
            <w:r w:rsidR="002550B9">
              <w:t xml:space="preserve">d) clarification to be published in terms </w:t>
            </w:r>
            <w:r w:rsidR="0009741C">
              <w:t>provided for in</w:t>
            </w:r>
            <w:r w:rsidR="00245FEF">
              <w:t xml:space="preserve"> the</w:t>
            </w:r>
            <w:r w:rsidR="0009741C">
              <w:t xml:space="preserve"> offer; and </w:t>
            </w:r>
            <w:r w:rsidR="00C844E6">
              <w:t>(</w:t>
            </w:r>
            <w:r w:rsidR="002550B9">
              <w:t xml:space="preserve">e) </w:t>
            </w:r>
            <w:r w:rsidR="00C844E6">
              <w:t>the settlement to be effected by wa</w:t>
            </w:r>
            <w:r w:rsidR="0009741C">
              <w:t xml:space="preserve">y of a confidential settlement </w:t>
            </w:r>
            <w:r w:rsidR="00C844E6">
              <w:t>seed (</w:t>
            </w:r>
            <w:r w:rsidR="00C844E6" w:rsidRPr="00C844E6">
              <w:rPr>
                <w:b/>
              </w:rPr>
              <w:t>First Fairfax Offer</w:t>
            </w:r>
            <w:r w:rsidR="00C844E6">
              <w:t>)</w:t>
            </w:r>
            <w:r w:rsidR="002550B9">
              <w:t>.</w:t>
            </w:r>
            <w:r w:rsidR="0009741C">
              <w:t xml:space="preserve"> </w:t>
            </w:r>
            <w:r w:rsidR="00360E95">
              <w:t>This offer was accompanied by a detailed letter</w:t>
            </w:r>
            <w:r w:rsidR="002B30ED">
              <w:t>.</w:t>
            </w:r>
          </w:p>
        </w:tc>
      </w:tr>
      <w:tr w:rsidR="00C844E6" w:rsidTr="003401B0">
        <w:tc>
          <w:tcPr>
            <w:tcW w:w="2122" w:type="dxa"/>
          </w:tcPr>
          <w:p w:rsidR="00C844E6" w:rsidRDefault="00C844E6" w:rsidP="0075089B">
            <w:pPr>
              <w:pStyle w:val="BodyText"/>
              <w:jc w:val="left"/>
            </w:pPr>
            <w:r>
              <w:t>13 November 2020</w:t>
            </w:r>
          </w:p>
        </w:tc>
        <w:tc>
          <w:tcPr>
            <w:tcW w:w="6895" w:type="dxa"/>
          </w:tcPr>
          <w:p w:rsidR="00C844E6" w:rsidRDefault="00C844E6" w:rsidP="0075089B">
            <w:pPr>
              <w:pStyle w:val="BodyText"/>
              <w:jc w:val="left"/>
            </w:pPr>
            <w:r>
              <w:t>First Fairfax Offer rejected.</w:t>
            </w:r>
            <w:r w:rsidR="00766DAB">
              <w:t xml:space="preserve"> Dr Stead made an “open”</w:t>
            </w:r>
            <w:r w:rsidR="00FB53C5">
              <w:t xml:space="preserve"> offer to settle the proceeding</w:t>
            </w:r>
            <w:r w:rsidR="00766DAB">
              <w:t xml:space="preserve"> which provided: (a) judgment in the sum of $650,000; (b) previous costs orders be vacated and there be no orders as to costs; (c) an apology as set out in offer; and (d) removal of matters (</w:t>
            </w:r>
            <w:r w:rsidR="00766DAB" w:rsidRPr="00853C0F">
              <w:rPr>
                <w:b/>
              </w:rPr>
              <w:t>Third Stead Offer</w:t>
            </w:r>
            <w:r w:rsidR="00766DAB">
              <w:t>). This offer was open to be accepted up until 10am on 18 November 2020.</w:t>
            </w:r>
          </w:p>
        </w:tc>
      </w:tr>
      <w:tr w:rsidR="00360E95" w:rsidTr="003401B0">
        <w:tc>
          <w:tcPr>
            <w:tcW w:w="2122" w:type="dxa"/>
          </w:tcPr>
          <w:p w:rsidR="00360E95" w:rsidRDefault="00360E95" w:rsidP="0075089B">
            <w:pPr>
              <w:pStyle w:val="BodyText"/>
              <w:jc w:val="left"/>
            </w:pPr>
            <w:r>
              <w:t>16 November 2020</w:t>
            </w:r>
          </w:p>
        </w:tc>
        <w:tc>
          <w:tcPr>
            <w:tcW w:w="6895" w:type="dxa"/>
          </w:tcPr>
          <w:p w:rsidR="00360E95" w:rsidRDefault="0075089B" w:rsidP="00245FEF">
            <w:pPr>
              <w:pStyle w:val="BodyText"/>
              <w:jc w:val="left"/>
            </w:pPr>
            <w:r>
              <w:t xml:space="preserve">Third Stead Offer rejected. Fairfax and Mr Aston made an offer in </w:t>
            </w:r>
            <w:r w:rsidR="00EB24C3">
              <w:t xml:space="preserve">the </w:t>
            </w:r>
            <w:r w:rsidR="00831FCE">
              <w:t>same terms as</w:t>
            </w:r>
            <w:r w:rsidR="005A7668">
              <w:t xml:space="preserve"> the</w:t>
            </w:r>
            <w:r w:rsidR="00831FCE">
              <w:t xml:space="preserve"> First Fairfax O</w:t>
            </w:r>
            <w:r w:rsidR="00360E95">
              <w:t>ffer</w:t>
            </w:r>
            <w:r>
              <w:t>,</w:t>
            </w:r>
            <w:r w:rsidR="00360E95">
              <w:t xml:space="preserve"> save for </w:t>
            </w:r>
            <w:r>
              <w:t>the confidential settlement sum being</w:t>
            </w:r>
            <w:r w:rsidR="00360E95">
              <w:t xml:space="preserve"> </w:t>
            </w:r>
            <w:r>
              <w:t>increased to $250,000</w:t>
            </w:r>
            <w:r w:rsidR="006C79F0">
              <w:t xml:space="preserve"> (</w:t>
            </w:r>
            <w:r w:rsidR="006C79F0" w:rsidRPr="0009741C">
              <w:rPr>
                <w:b/>
              </w:rPr>
              <w:t>Second Fairfax Offer</w:t>
            </w:r>
            <w:r w:rsidR="006C79F0">
              <w:t>)</w:t>
            </w:r>
            <w:r w:rsidR="00360E95">
              <w:t>.</w:t>
            </w:r>
            <w:r w:rsidR="006C79F0">
              <w:t xml:space="preserve"> This offer was open to be accepted up until 20 November 2020 and was expressed to be the “final offer to settle the proceedings”.</w:t>
            </w:r>
          </w:p>
        </w:tc>
      </w:tr>
      <w:tr w:rsidR="0009741C" w:rsidTr="003401B0">
        <w:tc>
          <w:tcPr>
            <w:tcW w:w="2122" w:type="dxa"/>
          </w:tcPr>
          <w:p w:rsidR="0009741C" w:rsidRDefault="0009741C" w:rsidP="0075089B">
            <w:pPr>
              <w:pStyle w:val="BodyText"/>
              <w:jc w:val="left"/>
            </w:pPr>
            <w:r>
              <w:t>20 November 2020</w:t>
            </w:r>
          </w:p>
        </w:tc>
        <w:tc>
          <w:tcPr>
            <w:tcW w:w="6895" w:type="dxa"/>
          </w:tcPr>
          <w:p w:rsidR="0009741C" w:rsidRDefault="0009741C" w:rsidP="0075089B">
            <w:pPr>
              <w:pStyle w:val="BodyText"/>
              <w:jc w:val="left"/>
            </w:pPr>
            <w:r>
              <w:t>Second Fairfax Offer rejected.</w:t>
            </w:r>
          </w:p>
        </w:tc>
      </w:tr>
      <w:tr w:rsidR="00360E95" w:rsidTr="003401B0">
        <w:tc>
          <w:tcPr>
            <w:tcW w:w="2122" w:type="dxa"/>
          </w:tcPr>
          <w:p w:rsidR="00360E95" w:rsidRDefault="00360E95" w:rsidP="0075089B">
            <w:pPr>
              <w:pStyle w:val="BodyText"/>
              <w:jc w:val="left"/>
            </w:pPr>
            <w:r>
              <w:t xml:space="preserve">1 </w:t>
            </w:r>
            <w:r w:rsidR="00C82962">
              <w:t>December</w:t>
            </w:r>
            <w:r>
              <w:t xml:space="preserve"> 2020</w:t>
            </w:r>
          </w:p>
        </w:tc>
        <w:tc>
          <w:tcPr>
            <w:tcW w:w="6895" w:type="dxa"/>
          </w:tcPr>
          <w:p w:rsidR="00360E95" w:rsidRDefault="00360E95" w:rsidP="0075089B">
            <w:pPr>
              <w:pStyle w:val="BodyText"/>
              <w:jc w:val="left"/>
            </w:pPr>
            <w:r>
              <w:t>Second Court ordered mediation.</w:t>
            </w:r>
          </w:p>
        </w:tc>
      </w:tr>
      <w:tr w:rsidR="00360E95" w:rsidTr="003401B0">
        <w:tc>
          <w:tcPr>
            <w:tcW w:w="2122" w:type="dxa"/>
          </w:tcPr>
          <w:p w:rsidR="00360E95" w:rsidRDefault="00360E95" w:rsidP="0075089B">
            <w:pPr>
              <w:pStyle w:val="BodyText"/>
              <w:jc w:val="left"/>
            </w:pPr>
            <w:r>
              <w:t>2 December 2020</w:t>
            </w:r>
          </w:p>
        </w:tc>
        <w:tc>
          <w:tcPr>
            <w:tcW w:w="6895" w:type="dxa"/>
          </w:tcPr>
          <w:p w:rsidR="00360E95" w:rsidRDefault="00360E95" w:rsidP="0075089B">
            <w:pPr>
              <w:pStyle w:val="BodyText"/>
              <w:jc w:val="left"/>
            </w:pPr>
            <w:r>
              <w:t>Trial commenced</w:t>
            </w:r>
            <w:r w:rsidR="00EB24C3">
              <w:t>.</w:t>
            </w:r>
          </w:p>
        </w:tc>
      </w:tr>
    </w:tbl>
    <w:p w:rsidR="00F03EDE" w:rsidRPr="00EF3DBC" w:rsidRDefault="00F03EDE" w:rsidP="00F03EDE">
      <w:pPr>
        <w:pStyle w:val="BodyText"/>
        <w:rPr>
          <w:sz w:val="10"/>
          <w:szCs w:val="10"/>
        </w:rPr>
      </w:pPr>
    </w:p>
    <w:p w:rsidR="00717C4B" w:rsidRDefault="004154DD" w:rsidP="00717C4B">
      <w:pPr>
        <w:pStyle w:val="ParaNumbering"/>
      </w:pPr>
      <w:r>
        <w:t>Dr Stead suggested several bases upon which she was entitled to indemnity costs including</w:t>
      </w:r>
      <w:r w:rsidR="00B43EEA">
        <w:t xml:space="preserve"> </w:t>
      </w:r>
      <w:r w:rsidR="006E13E2">
        <w:t>by virtue of the</w:t>
      </w:r>
      <w:r>
        <w:t xml:space="preserve"> application of s 40 of the </w:t>
      </w:r>
      <w:r w:rsidRPr="004154DD">
        <w:rPr>
          <w:i/>
        </w:rPr>
        <w:t>Defamation Act 2005</w:t>
      </w:r>
      <w:r>
        <w:t xml:space="preserve"> (NSW) </w:t>
      </w:r>
      <w:r w:rsidR="00717C4B">
        <w:t>(</w:t>
      </w:r>
      <w:r w:rsidR="00717C4B" w:rsidRPr="00717C4B">
        <w:rPr>
          <w:b/>
        </w:rPr>
        <w:t>Act</w:t>
      </w:r>
      <w:r w:rsidR="00717C4B">
        <w:t>)</w:t>
      </w:r>
      <w:r w:rsidR="00B43EEA">
        <w:t xml:space="preserve"> or</w:t>
      </w:r>
      <w:r>
        <w:t xml:space="preserve"> by reason of the fact that Fairfax and Mr Aston had failed, in their approach to settlement, to comply with </w:t>
      </w:r>
      <w:r w:rsidRPr="004154DD">
        <w:t>the overarching purpose of the civil practice and procedure provisions, being</w:t>
      </w:r>
      <w:r w:rsidR="006E13E2">
        <w:t xml:space="preserve"> to facilitate</w:t>
      </w:r>
      <w:r w:rsidRPr="004154DD">
        <w:t xml:space="preserve"> the just resolution of disputes according to law as quickly, inexpensively and efficiently as possible</w:t>
      </w:r>
      <w:r w:rsidR="006E13E2">
        <w:t xml:space="preserve">: s 37M of the </w:t>
      </w:r>
      <w:r w:rsidR="005C2042">
        <w:t>FCAA</w:t>
      </w:r>
      <w:r w:rsidRPr="004154DD">
        <w:t>.</w:t>
      </w:r>
      <w:r>
        <w:t xml:space="preserve"> </w:t>
      </w:r>
      <w:r w:rsidR="003C3C28">
        <w:t>Some</w:t>
      </w:r>
      <w:r>
        <w:t xml:space="preserve"> complexities arose in relation to these arguments including that it may be unsafe to conclude that the First Fairfax Offer and the Second Fairfax Offer constitute the entire scope of settlement communications coming from Fairfax and Mr Aston</w:t>
      </w:r>
      <w:r w:rsidR="006E13E2">
        <w:t>,</w:t>
      </w:r>
      <w:r>
        <w:t xml:space="preserve"> </w:t>
      </w:r>
      <w:r w:rsidR="008A6A85">
        <w:t>given</w:t>
      </w:r>
      <w:r>
        <w:t xml:space="preserve"> the </w:t>
      </w:r>
      <w:r w:rsidR="008A6A85">
        <w:t>statutory</w:t>
      </w:r>
      <w:r>
        <w:t xml:space="preserve"> </w:t>
      </w:r>
      <w:r w:rsidR="008A6A85">
        <w:t>prohibition</w:t>
      </w:r>
      <w:r>
        <w:t xml:space="preserve"> in </w:t>
      </w:r>
      <w:r w:rsidR="006E13E2">
        <w:t xml:space="preserve">s 53B of the </w:t>
      </w:r>
      <w:r w:rsidR="005C2042">
        <w:t>FCAA</w:t>
      </w:r>
      <w:r w:rsidR="006E13E2">
        <w:t xml:space="preserve"> </w:t>
      </w:r>
      <w:r w:rsidR="008A6A85">
        <w:t xml:space="preserve">preventing evidence being adduced as to </w:t>
      </w:r>
      <w:r w:rsidR="008A6A85" w:rsidRPr="008A6A85">
        <w:t xml:space="preserve">anything said, or of any admission made, at the two mediations ordered to take place under s 53A of the </w:t>
      </w:r>
      <w:r w:rsidR="00097ABA">
        <w:t>FCAA</w:t>
      </w:r>
      <w:r w:rsidR="008A6A85">
        <w:t>.</w:t>
      </w:r>
      <w:r w:rsidR="00717C4B">
        <w:t xml:space="preserve"> A further </w:t>
      </w:r>
      <w:r w:rsidR="00056A14">
        <w:t xml:space="preserve">(at least potential) </w:t>
      </w:r>
      <w:r w:rsidR="00717C4B">
        <w:t xml:space="preserve">complication is whether </w:t>
      </w:r>
      <w:r w:rsidR="00717C4B" w:rsidRPr="00717C4B">
        <w:t>s 40</w:t>
      </w:r>
      <w:r w:rsidR="003C5E16">
        <w:t xml:space="preserve"> of the Act </w:t>
      </w:r>
      <w:r w:rsidR="00717C4B">
        <w:t>is</w:t>
      </w:r>
      <w:r w:rsidR="00717C4B" w:rsidRPr="00717C4B">
        <w:t xml:space="preserve"> “picked up” </w:t>
      </w:r>
      <w:r w:rsidR="00717C4B">
        <w:t xml:space="preserve">in </w:t>
      </w:r>
      <w:r w:rsidR="00717C4B">
        <w:lastRenderedPageBreak/>
        <w:t xml:space="preserve">federal jurisdiction </w:t>
      </w:r>
      <w:r w:rsidR="00717C4B" w:rsidRPr="00717C4B">
        <w:t>under s 79 of the </w:t>
      </w:r>
      <w:r w:rsidR="00717C4B" w:rsidRPr="00717C4B">
        <w:rPr>
          <w:i/>
        </w:rPr>
        <w:t>Judiciary Act 1903</w:t>
      </w:r>
      <w:r w:rsidR="00717C4B" w:rsidRPr="00717C4B">
        <w:t> (</w:t>
      </w:r>
      <w:proofErr w:type="spellStart"/>
      <w:r w:rsidR="00717C4B" w:rsidRPr="00717C4B">
        <w:t>Cth</w:t>
      </w:r>
      <w:proofErr w:type="spellEnd"/>
      <w:r w:rsidR="00717C4B" w:rsidRPr="00717C4B">
        <w:t>).</w:t>
      </w:r>
      <w:r w:rsidR="007508C2">
        <w:t xml:space="preserve">  Finally, the later offers made by Dr Stead were also somewhat complicated by </w:t>
      </w:r>
      <w:r w:rsidR="003A4B3D">
        <w:t>both being conditional on Fairfax and Mr Aston being required to publish</w:t>
      </w:r>
      <w:r w:rsidR="007508C2">
        <w:t xml:space="preserve"> an apology.</w:t>
      </w:r>
      <w:r w:rsidR="00717C4B" w:rsidRPr="00717C4B">
        <w:t xml:space="preserve"> </w:t>
      </w:r>
    </w:p>
    <w:p w:rsidR="000F40A3" w:rsidRDefault="00717C4B" w:rsidP="00717C4B">
      <w:pPr>
        <w:pStyle w:val="ParaNumbering"/>
        <w:tabs>
          <w:tab w:val="clear" w:pos="720"/>
        </w:tabs>
      </w:pPr>
      <w:r>
        <w:t xml:space="preserve">These </w:t>
      </w:r>
      <w:r w:rsidR="003A4B3D">
        <w:t>wrinkles</w:t>
      </w:r>
      <w:r>
        <w:t xml:space="preserve"> can be put to on</w:t>
      </w:r>
      <w:r w:rsidR="006E13E2">
        <w:t>e</w:t>
      </w:r>
      <w:r>
        <w:t xml:space="preserve"> side because</w:t>
      </w:r>
      <w:r w:rsidR="00915A33">
        <w:t>,</w:t>
      </w:r>
      <w:r>
        <w:t xml:space="preserve"> d</w:t>
      </w:r>
      <w:r w:rsidR="004154DD">
        <w:t xml:space="preserve">uring the course of </w:t>
      </w:r>
      <w:r w:rsidR="00915A33">
        <w:t>oral submissions</w:t>
      </w:r>
      <w:r w:rsidR="004154DD">
        <w:t xml:space="preserve">, Dr Stead accepted that her best argument for the award of indemnity costs arose </w:t>
      </w:r>
      <w:r>
        <w:t>by reason of the making and rejection of the First Stead Offer</w:t>
      </w:r>
      <w:r w:rsidR="000F40A3">
        <w:t>.</w:t>
      </w:r>
      <w:r w:rsidR="00476339">
        <w:t xml:space="preserve"> </w:t>
      </w:r>
    </w:p>
    <w:p w:rsidR="00186BAA" w:rsidRDefault="000F40A3" w:rsidP="000F40A3">
      <w:pPr>
        <w:pStyle w:val="ParaNumbering"/>
        <w:tabs>
          <w:tab w:val="clear" w:pos="720"/>
        </w:tabs>
      </w:pPr>
      <w:r>
        <w:t xml:space="preserve">The </w:t>
      </w:r>
      <w:r w:rsidR="00DD7782">
        <w:t>primary</w:t>
      </w:r>
      <w:r>
        <w:t xml:space="preserve"> way this was put was </w:t>
      </w:r>
      <w:r w:rsidR="004154DD">
        <w:t>throu</w:t>
      </w:r>
      <w:r w:rsidR="00717C4B">
        <w:t>gh the</w:t>
      </w:r>
      <w:r w:rsidR="004154DD">
        <w:t xml:space="preserve"> application of </w:t>
      </w:r>
      <w:r w:rsidR="006E13E2">
        <w:t xml:space="preserve">r 25.14(3) of the </w:t>
      </w:r>
      <w:r w:rsidR="006E13E2" w:rsidRPr="006E13E2">
        <w:rPr>
          <w:i/>
        </w:rPr>
        <w:t>Federal Court Rules 2011</w:t>
      </w:r>
      <w:r w:rsidR="006E13E2">
        <w:t xml:space="preserve"> (Cth) (</w:t>
      </w:r>
      <w:r w:rsidR="006E13E2" w:rsidRPr="006E13E2">
        <w:rPr>
          <w:b/>
        </w:rPr>
        <w:t>FCR</w:t>
      </w:r>
      <w:r w:rsidR="006E13E2">
        <w:t>)</w:t>
      </w:r>
      <w:r w:rsidR="004154DD" w:rsidRPr="004154DD">
        <w:t> </w:t>
      </w:r>
      <w:r w:rsidR="00717C4B">
        <w:t xml:space="preserve">(which </w:t>
      </w:r>
      <w:r w:rsidR="004154DD" w:rsidRPr="004154DD">
        <w:t>applies if an offer is made by an applicant but is not accepted by a respondent and the applicant obtains a judgment that is more favourable to the applicant than the terms of the offer</w:t>
      </w:r>
      <w:r w:rsidR="00717C4B">
        <w:t>)</w:t>
      </w:r>
      <w:r w:rsidR="004154DD" w:rsidRPr="004154DD">
        <w:t>. In such a case</w:t>
      </w:r>
      <w:r w:rsidR="001B5C6D">
        <w:t>, the</w:t>
      </w:r>
      <w:r w:rsidR="004154DD" w:rsidRPr="004154DD">
        <w:t xml:space="preserve"> rule </w:t>
      </w:r>
      <w:r w:rsidR="001B5C6D">
        <w:t>provides that an</w:t>
      </w:r>
      <w:r w:rsidR="004154DD" w:rsidRPr="004154DD">
        <w:t xml:space="preserve"> applicant is entitled to an order that </w:t>
      </w:r>
      <w:r w:rsidR="00B43EEA">
        <w:t>the</w:t>
      </w:r>
      <w:r w:rsidR="004154DD" w:rsidRPr="004154DD">
        <w:t xml:space="preserve"> respondent pay </w:t>
      </w:r>
      <w:r w:rsidR="006E13E2">
        <w:t>the applicant’s costs before 11</w:t>
      </w:r>
      <w:r w:rsidR="004154DD" w:rsidRPr="004154DD">
        <w:t>am on the second business day after the offer was served on a party and party basis</w:t>
      </w:r>
      <w:r w:rsidR="001B5C6D">
        <w:t>,</w:t>
      </w:r>
      <w:r w:rsidR="004154DD" w:rsidRPr="004154DD">
        <w:t xml:space="preserve"> and after that time on an indemnity basis.</w:t>
      </w:r>
      <w:r>
        <w:t xml:space="preserve">  </w:t>
      </w:r>
      <w:r w:rsidR="003A4B3D">
        <w:t>T</w:t>
      </w:r>
      <w:r w:rsidR="001B5C6D">
        <w:t xml:space="preserve">he application made by Dr Stead </w:t>
      </w:r>
      <w:r w:rsidR="00186BAA">
        <w:t xml:space="preserve">under the </w:t>
      </w:r>
      <w:r w:rsidR="006E13E2">
        <w:t>FCR</w:t>
      </w:r>
      <w:r w:rsidR="00186BAA">
        <w:t xml:space="preserve"> </w:t>
      </w:r>
      <w:r w:rsidR="000C1CE7">
        <w:t>comes</w:t>
      </w:r>
      <w:r w:rsidR="001B5C6D">
        <w:t xml:space="preserve"> do</w:t>
      </w:r>
      <w:r w:rsidR="003A4B3D">
        <w:t xml:space="preserve">wn to an assessment of whether </w:t>
      </w:r>
      <w:r w:rsidR="001B5C6D">
        <w:t>the judgment obtained by Dr Stead in the sum of $296,500 (and the removal of the First</w:t>
      </w:r>
      <w:r w:rsidR="007A7828">
        <w:t xml:space="preserve"> Internet</w:t>
      </w:r>
      <w:r w:rsidR="001B5C6D">
        <w:t xml:space="preserve"> Matter, </w:t>
      </w:r>
      <w:r w:rsidR="00097ABA">
        <w:t xml:space="preserve">the </w:t>
      </w:r>
      <w:r w:rsidR="001B5C6D">
        <w:t>Second</w:t>
      </w:r>
      <w:r w:rsidR="007A7828">
        <w:t xml:space="preserve"> Internet</w:t>
      </w:r>
      <w:r w:rsidR="001B5C6D">
        <w:t xml:space="preserve"> Matter and part of the Third Matter as a consequence</w:t>
      </w:r>
      <w:r w:rsidR="00A92442">
        <w:t xml:space="preserve"> of my findings)</w:t>
      </w:r>
      <w:r w:rsidR="001B5C6D">
        <w:t xml:space="preserve"> was </w:t>
      </w:r>
      <w:r w:rsidR="001B5C6D" w:rsidRPr="000F40A3">
        <w:rPr>
          <w:i/>
        </w:rPr>
        <w:t>more favourable</w:t>
      </w:r>
      <w:r w:rsidR="001B5C6D" w:rsidRPr="004154DD">
        <w:t xml:space="preserve"> to </w:t>
      </w:r>
      <w:r w:rsidR="001B5C6D">
        <w:t>Dr Stead</w:t>
      </w:r>
      <w:r w:rsidR="001B5C6D" w:rsidRPr="004154DD">
        <w:t xml:space="preserve"> than the terms of the </w:t>
      </w:r>
      <w:r w:rsidR="001B5C6D">
        <w:t>First Stead Offe</w:t>
      </w:r>
      <w:r w:rsidR="001B5C6D" w:rsidRPr="004154DD">
        <w:t>r</w:t>
      </w:r>
      <w:r w:rsidR="001B5C6D">
        <w:t>.</w:t>
      </w:r>
      <w:r w:rsidR="00186BAA">
        <w:t xml:space="preserve"> </w:t>
      </w:r>
    </w:p>
    <w:p w:rsidR="001B5C6D" w:rsidRPr="004516F3" w:rsidRDefault="00186BAA" w:rsidP="000F40A3">
      <w:pPr>
        <w:pStyle w:val="ParaNumbering"/>
      </w:pPr>
      <w:r w:rsidRPr="00442EA1">
        <w:t xml:space="preserve">Further, </w:t>
      </w:r>
      <w:r w:rsidR="000F40A3" w:rsidRPr="00442EA1">
        <w:t xml:space="preserve">Dr Stead pointed to the fact that </w:t>
      </w:r>
      <w:r w:rsidRPr="00442EA1">
        <w:t>s 43 of the FCAA confers a wide discretion and s 43(3) permits awards of costs in relation to different parts of the proceeding or to order that costs awarded against a party be assessed on an indemnity basis or othe</w:t>
      </w:r>
      <w:r w:rsidR="00871763">
        <w:t>rwise (see subs (b) and (g))</w:t>
      </w:r>
      <w:r w:rsidR="003957CA" w:rsidRPr="00442EA1">
        <w:t xml:space="preserve">. </w:t>
      </w:r>
      <w:r w:rsidRPr="00442EA1">
        <w:t>Dr Stead</w:t>
      </w:r>
      <w:r w:rsidRPr="004516F3">
        <w:t xml:space="preserve"> submits that in the exercise of the general discretion as to awarding costs, the circumstances are such that an award of indemnity costs should be made.</w:t>
      </w:r>
      <w:r w:rsidR="00B43EEA" w:rsidRPr="004516F3">
        <w:t xml:space="preserve"> </w:t>
      </w:r>
      <w:r w:rsidRPr="004516F3">
        <w:t xml:space="preserve">Of course, put this way, it is necessary for Dr Stead to demonstrate that the refusal of </w:t>
      </w:r>
      <w:r w:rsidR="00B43EEA" w:rsidRPr="004516F3">
        <w:t>the First Stead Offer was unreasonable; a question</w:t>
      </w:r>
      <w:r w:rsidR="000F40A3" w:rsidRPr="004516F3">
        <w:t xml:space="preserve"> to</w:t>
      </w:r>
      <w:r w:rsidRPr="004516F3">
        <w:t xml:space="preserve"> be judged by reference to the circumstances facing </w:t>
      </w:r>
      <w:r w:rsidR="000F40A3" w:rsidRPr="004516F3">
        <w:t>Fairfax and Mr Aston</w:t>
      </w:r>
      <w:r w:rsidRPr="004516F3">
        <w:t xml:space="preserve"> at the time of the offer. </w:t>
      </w:r>
      <w:r w:rsidR="00B43EEA" w:rsidRPr="004516F3">
        <w:t>W</w:t>
      </w:r>
      <w:r w:rsidRPr="004516F3">
        <w:t xml:space="preserve">hile the eventual outcome in the case may go part of the way in this regard, there is no presumption that ultimate success in the proceeding </w:t>
      </w:r>
      <w:r w:rsidR="000F40A3" w:rsidRPr="004516F3">
        <w:t>necessarily renders the</w:t>
      </w:r>
      <w:r w:rsidRPr="004516F3">
        <w:t xml:space="preserve"> rejection</w:t>
      </w:r>
      <w:r w:rsidR="000F40A3" w:rsidRPr="004516F3">
        <w:t xml:space="preserve"> unreasonable: see </w:t>
      </w:r>
      <w:r w:rsidR="000F40A3" w:rsidRPr="004516F3">
        <w:rPr>
          <w:i/>
        </w:rPr>
        <w:t>CGU Insurance Ltd v Corrections Corporation of Australia Staff Superannuation Ltd</w:t>
      </w:r>
      <w:r w:rsidR="00B43EEA" w:rsidRPr="004516F3">
        <w:rPr>
          <w:i/>
        </w:rPr>
        <w:t xml:space="preserve"> </w:t>
      </w:r>
      <w:r w:rsidR="00B43EEA" w:rsidRPr="004516F3">
        <w:t>[2008] FCAFC 173; (2009</w:t>
      </w:r>
      <w:r w:rsidR="000F40A3" w:rsidRPr="004516F3">
        <w:t>) 15 ANZ Insurance Cases 61-785</w:t>
      </w:r>
      <w:r w:rsidR="00B43EEA" w:rsidRPr="004516F3">
        <w:t xml:space="preserve"> (at 77,135 </w:t>
      </w:r>
      <w:r w:rsidR="000F40A3" w:rsidRPr="004516F3">
        <w:t>[75]</w:t>
      </w:r>
      <w:r w:rsidR="00B43EEA" w:rsidRPr="004516F3">
        <w:t xml:space="preserve"> per </w:t>
      </w:r>
      <w:r w:rsidR="000F40A3" w:rsidRPr="004516F3">
        <w:t xml:space="preserve">Moore, Finn and Jessup JJ).  </w:t>
      </w:r>
    </w:p>
    <w:p w:rsidR="003C3551" w:rsidRPr="003C3551" w:rsidRDefault="00B756D8" w:rsidP="003C3551">
      <w:pPr>
        <w:pStyle w:val="ParaNumbering"/>
      </w:pPr>
      <w:r>
        <w:t>A</w:t>
      </w:r>
      <w:r w:rsidR="000F40A3">
        <w:t>t first glance, the</w:t>
      </w:r>
      <w:r>
        <w:t xml:space="preserve"> evaluati</w:t>
      </w:r>
      <w:r w:rsidR="003C3551">
        <w:t xml:space="preserve">ve assessment </w:t>
      </w:r>
      <w:r w:rsidR="000F40A3">
        <w:t>under FCR</w:t>
      </w:r>
      <w:r w:rsidR="000F40A3" w:rsidRPr="004154DD">
        <w:t> 25.14(3) </w:t>
      </w:r>
      <w:r w:rsidR="003C3551">
        <w:t>might seem</w:t>
      </w:r>
      <w:r>
        <w:t xml:space="preserve"> straightforward.  </w:t>
      </w:r>
      <w:r w:rsidR="003A4B3D">
        <w:t xml:space="preserve">In monetary terms, </w:t>
      </w:r>
      <w:r>
        <w:t>Dr S</w:t>
      </w:r>
      <w:r w:rsidR="003A4B3D">
        <w:t xml:space="preserve">tead has received a greater entitlement </w:t>
      </w:r>
      <w:r>
        <w:t>by the judgment</w:t>
      </w:r>
      <w:r w:rsidR="003C3551">
        <w:t>,</w:t>
      </w:r>
      <w:r>
        <w:t xml:space="preserve"> but it is not quite a</w:t>
      </w:r>
      <w:r w:rsidR="000F40A3">
        <w:t>s</w:t>
      </w:r>
      <w:r>
        <w:t xml:space="preserve"> st</w:t>
      </w:r>
      <w:r w:rsidR="005C68B0">
        <w:t>raightforward as it might seem.</w:t>
      </w:r>
      <w:r>
        <w:t xml:space="preserve"> </w:t>
      </w:r>
      <w:r w:rsidR="003C3551">
        <w:t xml:space="preserve">Fairfax and Mr Aston made two important </w:t>
      </w:r>
      <w:r w:rsidR="00B43EEA">
        <w:t xml:space="preserve">points. </w:t>
      </w:r>
      <w:r w:rsidR="00B43EEA" w:rsidRPr="00B43EEA">
        <w:rPr>
          <w:i/>
        </w:rPr>
        <w:t>F</w:t>
      </w:r>
      <w:r w:rsidR="00A8784B" w:rsidRPr="00B43EEA">
        <w:rPr>
          <w:i/>
        </w:rPr>
        <w:t>irst</w:t>
      </w:r>
      <w:r w:rsidR="00A8784B">
        <w:t xml:space="preserve">, as noted above, the First Stead Offer made on 20 April 2020, included a requirement for Fairfax </w:t>
      </w:r>
      <w:r w:rsidR="00A8784B">
        <w:lastRenderedPageBreak/>
        <w:t>and Mr Aston to remove all the matters, including the Third M</w:t>
      </w:r>
      <w:r w:rsidR="003C3551">
        <w:t>atter; i</w:t>
      </w:r>
      <w:r w:rsidR="00A8784B">
        <w:t xml:space="preserve">t was not unreasonable for this to be </w:t>
      </w:r>
      <w:r w:rsidR="003C3551">
        <w:t>rejec</w:t>
      </w:r>
      <w:r w:rsidR="00A8784B">
        <w:t>ted in circumstances where Fairfax and Mr Aston were strongly of the view that the matters were not defamatory in the sense alleged by Dr Stead, a view that was ultimately upheld with respect to the Third</w:t>
      </w:r>
      <w:r w:rsidR="00A8784B" w:rsidRPr="003C3551">
        <w:rPr>
          <w:spacing w:val="-2"/>
        </w:rPr>
        <w:t xml:space="preserve"> </w:t>
      </w:r>
      <w:r w:rsidR="00A8784B">
        <w:t>Matter</w:t>
      </w:r>
      <w:r w:rsidR="00B43EEA">
        <w:t xml:space="preserve">. </w:t>
      </w:r>
      <w:r w:rsidR="00B43EEA" w:rsidRPr="00B43EEA">
        <w:rPr>
          <w:i/>
        </w:rPr>
        <w:t>S</w:t>
      </w:r>
      <w:r w:rsidR="00A8784B" w:rsidRPr="00B43EEA">
        <w:rPr>
          <w:i/>
        </w:rPr>
        <w:t>e</w:t>
      </w:r>
      <w:r w:rsidR="00A8784B" w:rsidRPr="003C3551">
        <w:rPr>
          <w:i/>
        </w:rPr>
        <w:t>condly</w:t>
      </w:r>
      <w:r w:rsidR="00A8784B">
        <w:t xml:space="preserve">, </w:t>
      </w:r>
      <w:r w:rsidR="003C3551" w:rsidRPr="003C3551">
        <w:t>Dr Stead was unsuccessful in relation to three of the more serious imputations</w:t>
      </w:r>
      <w:r w:rsidR="003C3551" w:rsidRPr="003C3551">
        <w:rPr>
          <w:spacing w:val="-1"/>
        </w:rPr>
        <w:t xml:space="preserve"> </w:t>
      </w:r>
      <w:r w:rsidR="003C3551">
        <w:t xml:space="preserve">pleaded and </w:t>
      </w:r>
      <w:r w:rsidR="003C3551" w:rsidRPr="003C3551">
        <w:t>was</w:t>
      </w:r>
      <w:r w:rsidR="003C3551" w:rsidRPr="003C3551">
        <w:rPr>
          <w:spacing w:val="-8"/>
        </w:rPr>
        <w:t xml:space="preserve"> only </w:t>
      </w:r>
      <w:r w:rsidR="003C3551" w:rsidRPr="003C3551">
        <w:t>successful</w:t>
      </w:r>
      <w:r w:rsidR="003C3551" w:rsidRPr="003C3551">
        <w:rPr>
          <w:spacing w:val="-10"/>
        </w:rPr>
        <w:t xml:space="preserve"> </w:t>
      </w:r>
      <w:r w:rsidR="003C3551" w:rsidRPr="003C3551">
        <w:t>in</w:t>
      </w:r>
      <w:r w:rsidR="003C3551" w:rsidRPr="003C3551">
        <w:rPr>
          <w:spacing w:val="-8"/>
        </w:rPr>
        <w:t xml:space="preserve"> </w:t>
      </w:r>
      <w:r w:rsidR="003C3551" w:rsidRPr="003C3551">
        <w:t>relation</w:t>
      </w:r>
      <w:r w:rsidR="003C3551" w:rsidRPr="003C3551">
        <w:rPr>
          <w:spacing w:val="-8"/>
        </w:rPr>
        <w:t xml:space="preserve"> </w:t>
      </w:r>
      <w:r w:rsidR="003C3551" w:rsidRPr="003C3551">
        <w:t>to</w:t>
      </w:r>
      <w:r w:rsidR="003C3551" w:rsidRPr="003C3551">
        <w:rPr>
          <w:spacing w:val="-9"/>
        </w:rPr>
        <w:t xml:space="preserve"> </w:t>
      </w:r>
      <w:r w:rsidR="003C3551" w:rsidRPr="003C3551">
        <w:t>one</w:t>
      </w:r>
      <w:r w:rsidR="003C3551" w:rsidRPr="003C3551">
        <w:rPr>
          <w:spacing w:val="-10"/>
        </w:rPr>
        <w:t xml:space="preserve"> </w:t>
      </w:r>
      <w:r w:rsidR="003C3551" w:rsidRPr="003C3551">
        <w:t>imputation</w:t>
      </w:r>
      <w:r w:rsidR="003C3551" w:rsidRPr="003C3551">
        <w:rPr>
          <w:spacing w:val="-8"/>
        </w:rPr>
        <w:t xml:space="preserve"> </w:t>
      </w:r>
      <w:r w:rsidR="003C3551" w:rsidRPr="003C3551">
        <w:t>as</w:t>
      </w:r>
      <w:r w:rsidR="003C3551" w:rsidRPr="003C3551">
        <w:rPr>
          <w:spacing w:val="-8"/>
        </w:rPr>
        <w:t xml:space="preserve"> </w:t>
      </w:r>
      <w:r w:rsidR="003C3551" w:rsidRPr="003C3551">
        <w:t>pleaded,</w:t>
      </w:r>
      <w:r w:rsidR="003C3551" w:rsidRPr="003C3551">
        <w:rPr>
          <w:spacing w:val="-9"/>
        </w:rPr>
        <w:t xml:space="preserve"> </w:t>
      </w:r>
      <w:r w:rsidR="003C3551" w:rsidRPr="003C3551">
        <w:t>and three imputations on the basis that the Court was satisfied they were imputations comprehended within the pleaded</w:t>
      </w:r>
      <w:r w:rsidR="003C3551" w:rsidRPr="003C3551">
        <w:rPr>
          <w:spacing w:val="-6"/>
        </w:rPr>
        <w:t xml:space="preserve"> </w:t>
      </w:r>
      <w:r w:rsidR="003C3551" w:rsidRPr="003C3551">
        <w:t>meanings.</w:t>
      </w:r>
      <w:r w:rsidR="00413D64">
        <w:t xml:space="preserve"> </w:t>
      </w:r>
    </w:p>
    <w:p w:rsidR="00437E49" w:rsidRDefault="003C5E16" w:rsidP="00534B99">
      <w:pPr>
        <w:pStyle w:val="ParaNumbering"/>
      </w:pPr>
      <w:r>
        <w:t xml:space="preserve">Despite </w:t>
      </w:r>
      <w:r w:rsidR="00563B46">
        <w:t xml:space="preserve">Ms Barnett’s cogent </w:t>
      </w:r>
      <w:r w:rsidR="003C3C28">
        <w:t xml:space="preserve">and well-presented </w:t>
      </w:r>
      <w:r w:rsidR="00563B46">
        <w:t xml:space="preserve">submissions to the contrary, I do not consider </w:t>
      </w:r>
      <w:r>
        <w:t xml:space="preserve">the failure of the cause of action in relation to the Third Matter </w:t>
      </w:r>
      <w:r w:rsidR="00563B46">
        <w:t>and the failure to sustain a number of the pleaded meanings</w:t>
      </w:r>
      <w:r>
        <w:t xml:space="preserve">, leads </w:t>
      </w:r>
      <w:r w:rsidR="00C05378">
        <w:t>otherwise than to the conclusion that</w:t>
      </w:r>
      <w:r w:rsidR="00534B99">
        <w:t xml:space="preserve"> the judgment </w:t>
      </w:r>
      <w:r w:rsidR="00C70EE5">
        <w:t>represents</w:t>
      </w:r>
      <w:r w:rsidR="00534B99">
        <w:t xml:space="preserve"> a more favourable result</w:t>
      </w:r>
      <w:r w:rsidR="00C05378">
        <w:t xml:space="preserve"> than the First Stead Offer</w:t>
      </w:r>
      <w:r w:rsidR="00534B99">
        <w:t>.</w:t>
      </w:r>
      <w:r w:rsidR="00C05378">
        <w:t xml:space="preserve">  It is necessary to explain this conclusion in a little detail</w:t>
      </w:r>
      <w:r w:rsidRPr="00534B99">
        <w:t xml:space="preserve">. </w:t>
      </w:r>
      <w:r w:rsidR="00437E49">
        <w:t xml:space="preserve"> </w:t>
      </w:r>
    </w:p>
    <w:p w:rsidR="00A8784B" w:rsidRDefault="00437E49" w:rsidP="00437E49">
      <w:pPr>
        <w:pStyle w:val="ParaNumbering"/>
      </w:pPr>
      <w:r>
        <w:t xml:space="preserve">In the PJ </w:t>
      </w:r>
      <w:r w:rsidR="00B43EEA">
        <w:t>(</w:t>
      </w:r>
      <w:r>
        <w:t>at [302]</w:t>
      </w:r>
      <w:r w:rsidR="00B43EEA">
        <w:t>)</w:t>
      </w:r>
      <w:r w:rsidR="003C3C28">
        <w:t>,</w:t>
      </w:r>
      <w:r>
        <w:t xml:space="preserve"> I noted </w:t>
      </w:r>
      <w:r w:rsidRPr="00437E49">
        <w:t>the close connexion between the causes of action up</w:t>
      </w:r>
      <w:r w:rsidR="00C05378">
        <w:t>on which Dr Stead has succeeded</w:t>
      </w:r>
      <w:r w:rsidRPr="00437E49">
        <w:t xml:space="preserve"> and</w:t>
      </w:r>
      <w:r w:rsidR="00C05378">
        <w:t>,</w:t>
      </w:r>
      <w:r w:rsidRPr="00437E49">
        <w:t xml:space="preserve"> as a consequence</w:t>
      </w:r>
      <w:r w:rsidR="00C05378">
        <w:t>,</w:t>
      </w:r>
      <w:r w:rsidRPr="00437E49">
        <w:t xml:space="preserve"> I assessed damages in a single sum.  </w:t>
      </w:r>
      <w:r>
        <w:t xml:space="preserve">This focus on the </w:t>
      </w:r>
      <w:r w:rsidRPr="00C05378">
        <w:t>claim f</w:t>
      </w:r>
      <w:r>
        <w:t xml:space="preserve">or damages made by Dr Stead (rather than the individual causes of action arising from the different publications which were component parts of that claim) was the reason why </w:t>
      </w:r>
      <w:r w:rsidRPr="00437E49">
        <w:t xml:space="preserve">I noted </w:t>
      </w:r>
      <w:r w:rsidR="00FB53C5">
        <w:t>(a</w:t>
      </w:r>
      <w:r w:rsidR="00FB53C5" w:rsidRPr="00437E49">
        <w:t>t [315]</w:t>
      </w:r>
      <w:r w:rsidR="00FB53C5">
        <w:t>)</w:t>
      </w:r>
      <w:r w:rsidR="00FB53C5" w:rsidRPr="00437E49">
        <w:t xml:space="preserve"> </w:t>
      </w:r>
      <w:r w:rsidRPr="00437E49">
        <w:t>that subject to any offers of compromise or evidence of settlement negot</w:t>
      </w:r>
      <w:r w:rsidR="005C68B0">
        <w:t xml:space="preserve">iations admissible by reason of s 131(2)(h) of the </w:t>
      </w:r>
      <w:r w:rsidRPr="00437E49">
        <w:rPr>
          <w:i/>
        </w:rPr>
        <w:t>Evidence Act 1995</w:t>
      </w:r>
      <w:r w:rsidRPr="00437E49">
        <w:t> (</w:t>
      </w:r>
      <w:proofErr w:type="spellStart"/>
      <w:r w:rsidRPr="00437E49">
        <w:t>Cth</w:t>
      </w:r>
      <w:proofErr w:type="spellEnd"/>
      <w:r w:rsidRPr="00437E49">
        <w:t>)</w:t>
      </w:r>
      <w:r>
        <w:t>, my preliminary view wa</w:t>
      </w:r>
      <w:r w:rsidRPr="00437E49">
        <w:t>s that costs should follow the event, notwithstanding Dr Stead did not succeed in relation to the Third Matter.</w:t>
      </w:r>
    </w:p>
    <w:p w:rsidR="00A8784B" w:rsidRDefault="00152CEA" w:rsidP="00AE0C1A">
      <w:pPr>
        <w:pStyle w:val="ParaNumbering"/>
      </w:pPr>
      <w:r>
        <w:t>There is a degree of artificiality in proc</w:t>
      </w:r>
      <w:r w:rsidR="00B43EEA">
        <w:t xml:space="preserve">eeding otherwise. </w:t>
      </w:r>
      <w:r>
        <w:t xml:space="preserve">Although FCR 25.14 does not speak in terms of an offer to compromise </w:t>
      </w:r>
      <w:r w:rsidRPr="00152CEA">
        <w:rPr>
          <w:i/>
        </w:rPr>
        <w:t>a</w:t>
      </w:r>
      <w:r w:rsidR="009067CD">
        <w:rPr>
          <w:i/>
        </w:rPr>
        <w:t>ny</w:t>
      </w:r>
      <w:r w:rsidRPr="00152CEA">
        <w:rPr>
          <w:i/>
        </w:rPr>
        <w:t xml:space="preserve"> claim in proceedings</w:t>
      </w:r>
      <w:r w:rsidR="00175E15">
        <w:t xml:space="preserve"> (unlike the old P</w:t>
      </w:r>
      <w:r>
        <w:t xml:space="preserve">t 22 rule 2 of the </w:t>
      </w:r>
      <w:r w:rsidRPr="00152CEA">
        <w:rPr>
          <w:i/>
        </w:rPr>
        <w:t>Supreme Court Rules 1970</w:t>
      </w:r>
      <w:r>
        <w:t xml:space="preserve"> (NSW)</w:t>
      </w:r>
      <w:r w:rsidR="00C70EE5">
        <w:t>)</w:t>
      </w:r>
      <w:r w:rsidR="00C05378">
        <w:t>,</w:t>
      </w:r>
      <w:r>
        <w:t xml:space="preserve"> the submissions of Fairfax and Mr Aston echo submissions that were made in that </w:t>
      </w:r>
      <w:r w:rsidR="00C05378">
        <w:t>earlier and different context when</w:t>
      </w:r>
      <w:r>
        <w:t xml:space="preserve"> </w:t>
      </w:r>
      <w:r w:rsidR="00C70EE5">
        <w:t xml:space="preserve">it was </w:t>
      </w:r>
      <w:r w:rsidR="00C05378">
        <w:t xml:space="preserve">asserted it was </w:t>
      </w:r>
      <w:r w:rsidR="00C70EE5">
        <w:t xml:space="preserve">necessary to focus </w:t>
      </w:r>
      <w:r>
        <w:t>on whether each claim in a proceeding</w:t>
      </w:r>
      <w:r w:rsidR="00B43EEA">
        <w:t xml:space="preserve"> had been vindicated rather than</w:t>
      </w:r>
      <w:r>
        <w:t xml:space="preserve"> the result in the proceeding generally.  In a proceeding at a time where each imputation was a cause of action</w:t>
      </w:r>
      <w:r w:rsidR="00C05378">
        <w:t>, this</w:t>
      </w:r>
      <w:r>
        <w:t xml:space="preserve"> led to a contention that a </w:t>
      </w:r>
      <w:r w:rsidR="00175E15">
        <w:t>“claim”, for the purposes of P</w:t>
      </w:r>
      <w:r w:rsidRPr="00152CEA">
        <w:t>t 22, meant the imputations extant at the time of the makin</w:t>
      </w:r>
      <w:r w:rsidR="003C3C28">
        <w:t>g of the offer, required</w:t>
      </w:r>
      <w:r w:rsidRPr="00152CEA">
        <w:t xml:space="preserve"> a judge to distinguish between the “claims” upon which a plaintiff obtained a verdict (to use that expression in its proper sense) and the “claims” pleaded at the time of the offer.</w:t>
      </w:r>
      <w:r w:rsidR="00A8784B">
        <w:t xml:space="preserve"> </w:t>
      </w:r>
    </w:p>
    <w:p w:rsidR="00F25499" w:rsidRPr="00C70EE5" w:rsidRDefault="00F25499" w:rsidP="00C70EE5">
      <w:pPr>
        <w:pStyle w:val="ParaNumbering"/>
      </w:pPr>
      <w:r w:rsidRPr="00C70EE5">
        <w:t xml:space="preserve">In </w:t>
      </w:r>
      <w:r w:rsidRPr="00C70EE5">
        <w:rPr>
          <w:i/>
        </w:rPr>
        <w:t xml:space="preserve">Ettingshausen v Australian Consolidated Press </w:t>
      </w:r>
      <w:r w:rsidR="00B43EEA">
        <w:rPr>
          <w:i/>
        </w:rPr>
        <w:t>Ltd</w:t>
      </w:r>
      <w:r w:rsidRPr="00C70EE5">
        <w:t xml:space="preserve"> (1995) 38 NSWLR 404</w:t>
      </w:r>
      <w:r w:rsidR="00FB53C5">
        <w:t>,</w:t>
      </w:r>
      <w:r w:rsidRPr="00C70EE5">
        <w:t xml:space="preserve"> Gleeson CJ and Priestley JA rejected a submission that an offer of compromise ceased to have effect once the </w:t>
      </w:r>
      <w:r w:rsidRPr="00C70EE5">
        <w:lastRenderedPageBreak/>
        <w:t>claim to which it related had been the subject of a complete trial and did not apply in relation to the</w:t>
      </w:r>
      <w:r w:rsidR="00B43EEA">
        <w:t xml:space="preserve"> costs of any appeal. At 409</w:t>
      </w:r>
      <w:r w:rsidRPr="00C70EE5">
        <w:t xml:space="preserve"> they said: </w:t>
      </w:r>
    </w:p>
    <w:p w:rsidR="00F25499" w:rsidRPr="00C70EE5" w:rsidRDefault="004155C0" w:rsidP="00C70EE5">
      <w:pPr>
        <w:pStyle w:val="Quote1"/>
      </w:pPr>
      <w:r>
        <w:t xml:space="preserve">… </w:t>
      </w:r>
      <w:r w:rsidR="00F25499" w:rsidRPr="00C70EE5">
        <w:t>the offer is made, not in respect of a trial, but in respect of a claim. Depending upon the circumstances of a case, a claim may not be finally heard and determined until after there have been a number of appeals, a</w:t>
      </w:r>
      <w:r w:rsidR="005C2042">
        <w:t>nd, perhaps, a number of trials</w:t>
      </w:r>
      <w:r w:rsidR="00F25499" w:rsidRPr="00C70EE5">
        <w:t>.</w:t>
      </w:r>
    </w:p>
    <w:p w:rsidR="00F25499" w:rsidRPr="00C70EE5" w:rsidRDefault="00F25499" w:rsidP="00C70EE5">
      <w:pPr>
        <w:pStyle w:val="ParaNumbering"/>
      </w:pPr>
      <w:r w:rsidRPr="00C70EE5">
        <w:t>The</w:t>
      </w:r>
      <w:r w:rsidR="00C70EE5">
        <w:t xml:space="preserve">ir Honours </w:t>
      </w:r>
      <w:r w:rsidRPr="00C70EE5">
        <w:t xml:space="preserve">also defined “claim” for the purposes of the </w:t>
      </w:r>
      <w:r w:rsidR="00F84FBF" w:rsidRPr="003C3C28">
        <w:rPr>
          <w:i/>
        </w:rPr>
        <w:t xml:space="preserve">Supreme Court </w:t>
      </w:r>
      <w:r w:rsidRPr="003C3C28">
        <w:rPr>
          <w:i/>
        </w:rPr>
        <w:t>Rules</w:t>
      </w:r>
      <w:r w:rsidRPr="00C70EE5">
        <w:t>, coincidentally in the context of a defamation case</w:t>
      </w:r>
      <w:r w:rsidR="00F84FBF">
        <w:t>, as follows (at 408)</w:t>
      </w:r>
      <w:r w:rsidRPr="00C70EE5">
        <w:t>:</w:t>
      </w:r>
    </w:p>
    <w:p w:rsidR="00C05378" w:rsidRDefault="00F25499" w:rsidP="00C70EE5">
      <w:pPr>
        <w:pStyle w:val="Quote1"/>
      </w:pPr>
      <w:r w:rsidRPr="00C70EE5">
        <w:t xml:space="preserve">First, the subject of an offer of compromise is </w:t>
      </w:r>
      <w:r w:rsidRPr="00F84FBF">
        <w:rPr>
          <w:i/>
        </w:rPr>
        <w:t>a</w:t>
      </w:r>
      <w:r w:rsidRPr="00C70EE5">
        <w:t xml:space="preserve"> </w:t>
      </w:r>
      <w:r w:rsidRPr="00F84FBF">
        <w:rPr>
          <w:i/>
        </w:rPr>
        <w:t>claim in proceedings</w:t>
      </w:r>
      <w:r w:rsidRPr="00C70EE5">
        <w:t xml:space="preserve"> (Pt</w:t>
      </w:r>
      <w:r w:rsidR="00F84FBF">
        <w:t xml:space="preserve"> </w:t>
      </w:r>
      <w:r w:rsidRPr="00C70EE5">
        <w:t>22, r</w:t>
      </w:r>
      <w:r w:rsidR="00F84FBF">
        <w:t xml:space="preserve"> </w:t>
      </w:r>
      <w:r w:rsidRPr="00C70EE5">
        <w:t xml:space="preserve">2). In the present case, </w:t>
      </w:r>
      <w:r w:rsidRPr="00F84FBF">
        <w:rPr>
          <w:b/>
        </w:rPr>
        <w:t>the claim was for damages for defamation</w:t>
      </w:r>
      <w:r w:rsidRPr="00C70EE5">
        <w:t>. In accordanc</w:t>
      </w:r>
      <w:r w:rsidR="00F84FBF">
        <w:t>e with the Rules, the appellant’</w:t>
      </w:r>
      <w:r w:rsidRPr="00C70EE5">
        <w:t>s offer to compromise was expressed as an offer to compromise that claim for a c</w:t>
      </w:r>
      <w:r w:rsidR="004516F3">
        <w:t>ertain sum of money plus costs.</w:t>
      </w:r>
      <w:r w:rsidRPr="00C70EE5">
        <w:t xml:space="preserve"> The concept of the relevant compromise being the compromise of a claim is basic to the rules in question: see Pt</w:t>
      </w:r>
      <w:r w:rsidR="00F84FBF">
        <w:t xml:space="preserve"> </w:t>
      </w:r>
      <w:r w:rsidRPr="00C70EE5">
        <w:t>22 r</w:t>
      </w:r>
      <w:r w:rsidR="00F84FBF">
        <w:t xml:space="preserve"> </w:t>
      </w:r>
      <w:r w:rsidRPr="00C70EE5">
        <w:t>2, r</w:t>
      </w:r>
      <w:r w:rsidR="00F84FBF">
        <w:t xml:space="preserve"> </w:t>
      </w:r>
      <w:r w:rsidRPr="00C70EE5">
        <w:t xml:space="preserve">3. It is not a compromise of a hearing, or of one round in a bout of litigation.  </w:t>
      </w:r>
      <w:r w:rsidRPr="00F84FBF">
        <w:rPr>
          <w:b/>
        </w:rPr>
        <w:t>The appellant had only one claim, and it was that which he offered to compromise.</w:t>
      </w:r>
      <w:r w:rsidRPr="00C70EE5">
        <w:t xml:space="preserve"> The same claim was litigated at the second trial. That claim was only finally heard and determined at the conclusion of the second trial (and, still then, subject to the appeal process)</w:t>
      </w:r>
      <w:r w:rsidR="00C05378">
        <w:t>.</w:t>
      </w:r>
    </w:p>
    <w:p w:rsidR="00F25499" w:rsidRPr="00C70EE5" w:rsidRDefault="00C05378" w:rsidP="00C70EE5">
      <w:pPr>
        <w:pStyle w:val="Quote1"/>
      </w:pPr>
      <w:r>
        <w:t>(Emphasis added)</w:t>
      </w:r>
      <w:r w:rsidR="00F84FBF">
        <w:t>.</w:t>
      </w:r>
    </w:p>
    <w:p w:rsidR="00F25499" w:rsidRPr="004516F3" w:rsidRDefault="00F25499" w:rsidP="00AF6ECD">
      <w:pPr>
        <w:pStyle w:val="ParaNumbering"/>
      </w:pPr>
      <w:r w:rsidRPr="004516F3">
        <w:t xml:space="preserve">The decision in </w:t>
      </w:r>
      <w:proofErr w:type="spellStart"/>
      <w:r w:rsidRPr="004516F3">
        <w:rPr>
          <w:i/>
        </w:rPr>
        <w:t>Ettingshausen</w:t>
      </w:r>
      <w:proofErr w:type="spellEnd"/>
      <w:r w:rsidRPr="004516F3">
        <w:t xml:space="preserve"> </w:t>
      </w:r>
      <w:r w:rsidR="00C70EE5" w:rsidRPr="004516F3">
        <w:t xml:space="preserve">was </w:t>
      </w:r>
      <w:r w:rsidRPr="004516F3">
        <w:t xml:space="preserve">considered on a number of occasions, for example, </w:t>
      </w:r>
      <w:r w:rsidR="00753E18" w:rsidRPr="004516F3">
        <w:t xml:space="preserve">in </w:t>
      </w:r>
      <w:r w:rsidR="00AF6ECD" w:rsidRPr="00AF6ECD">
        <w:rPr>
          <w:i/>
        </w:rPr>
        <w:t>Commercial Union Assurance Company of Australia Limited v Pelosi (No 2)</w:t>
      </w:r>
      <w:r w:rsidR="00AF6ECD" w:rsidRPr="00AF6ECD">
        <w:t xml:space="preserve"> (unreported, NSWCA, Handley, Sheller and Powell JJA, 27 February 1996)</w:t>
      </w:r>
      <w:r w:rsidRPr="004516F3">
        <w:t xml:space="preserve"> and </w:t>
      </w:r>
      <w:r w:rsidRPr="004516F3">
        <w:rPr>
          <w:i/>
        </w:rPr>
        <w:t>Fotheringham v Fotheringham (No 2)</w:t>
      </w:r>
      <w:r w:rsidRPr="004516F3">
        <w:t xml:space="preserve"> </w:t>
      </w:r>
      <w:r w:rsidR="00C70EE5" w:rsidRPr="004516F3">
        <w:t>[</w:t>
      </w:r>
      <w:r w:rsidRPr="004516F3">
        <w:t>1999</w:t>
      </w:r>
      <w:r w:rsidR="00C70EE5" w:rsidRPr="004516F3">
        <w:t>]</w:t>
      </w:r>
      <w:r w:rsidRPr="004516F3">
        <w:t xml:space="preserve"> NSWCA 21, but in the context of demonstrating the discretion to “otherwise order” in the context of an appeal and so negate the prima facie operation of an offer of compromise according to the circumstances </w:t>
      </w:r>
      <w:r w:rsidR="00C70EE5" w:rsidRPr="004516F3">
        <w:t>and outcome of the appeal.  It w</w:t>
      </w:r>
      <w:r w:rsidR="00C05378" w:rsidRPr="004516F3">
        <w:t xml:space="preserve">as not </w:t>
      </w:r>
      <w:r w:rsidRPr="004516F3">
        <w:t>doubted that a “</w:t>
      </w:r>
      <w:r w:rsidR="00477F69">
        <w:t>claim” within the meaning of P</w:t>
      </w:r>
      <w:r w:rsidRPr="004516F3">
        <w:t xml:space="preserve">t 22, for the purposes of an action in defamation </w:t>
      </w:r>
      <w:r w:rsidR="00C05378" w:rsidRPr="004516F3">
        <w:t>comprising different causes of action</w:t>
      </w:r>
      <w:r w:rsidR="00246017">
        <w:t>,</w:t>
      </w:r>
      <w:r w:rsidR="00C05378" w:rsidRPr="004516F3">
        <w:t xml:space="preserve"> </w:t>
      </w:r>
      <w:r w:rsidRPr="004516F3">
        <w:t>means anything other than the claim (singular) for damages and any other relief.</w:t>
      </w:r>
    </w:p>
    <w:p w:rsidR="00C70EE5" w:rsidRDefault="003C3C28" w:rsidP="00C70EE5">
      <w:pPr>
        <w:pStyle w:val="ParaNumbering"/>
      </w:pPr>
      <w:r>
        <w:t>By parity of reasoning</w:t>
      </w:r>
      <w:r w:rsidR="00C05378">
        <w:t>, t</w:t>
      </w:r>
      <w:r w:rsidR="00F25499" w:rsidRPr="00C70EE5">
        <w:t xml:space="preserve">he mere fact that </w:t>
      </w:r>
      <w:r w:rsidR="00C05378">
        <w:t xml:space="preserve">under the current Act </w:t>
      </w:r>
      <w:r w:rsidR="00F25499" w:rsidRPr="00C70EE5">
        <w:t xml:space="preserve">a number of causes of action are involved in a controversy does not mean </w:t>
      </w:r>
      <w:r w:rsidR="00C70EE5">
        <w:t xml:space="preserve">the focus of </w:t>
      </w:r>
      <w:r w:rsidR="00C05378">
        <w:t>FCR</w:t>
      </w:r>
      <w:r w:rsidR="00C05378" w:rsidRPr="004154DD">
        <w:t> 25</w:t>
      </w:r>
      <w:r w:rsidR="00C05378">
        <w:t xml:space="preserve"> </w:t>
      </w:r>
      <w:r w:rsidR="00C70EE5">
        <w:t>should be diverted to a more granular examination of the result of each cause of action within the proceeding</w:t>
      </w:r>
      <w:r w:rsidR="00C05378">
        <w:t>,</w:t>
      </w:r>
      <w:r w:rsidR="00C70EE5">
        <w:t xml:space="preserve"> let alone the success in establishing each pleaded meaning.  To do so would divert attention away from the substance of the eval</w:t>
      </w:r>
      <w:r w:rsidR="00A755F3">
        <w:t>uation of whether the result has</w:t>
      </w:r>
      <w:r w:rsidR="00C70EE5">
        <w:t xml:space="preserve"> been more favourable.</w:t>
      </w:r>
    </w:p>
    <w:p w:rsidR="00A8784B" w:rsidRDefault="00F25499" w:rsidP="002C73FC">
      <w:pPr>
        <w:pStyle w:val="ParaNumbering"/>
      </w:pPr>
      <w:r w:rsidRPr="00C70EE5">
        <w:t>Much litigation is hydra headed.</w:t>
      </w:r>
      <w:r w:rsidR="00C70EE5">
        <w:t xml:space="preserve"> The more granular approach</w:t>
      </w:r>
      <w:r w:rsidRPr="00C70EE5">
        <w:t xml:space="preserve"> postulated by </w:t>
      </w:r>
      <w:r w:rsidR="00C70EE5">
        <w:t>Fairfax and Mr Aston exhibits some tension with the evident</w:t>
      </w:r>
      <w:r w:rsidRPr="00C70EE5">
        <w:t xml:space="preserve"> policy behind the Rule and </w:t>
      </w:r>
      <w:r w:rsidR="00C70EE5">
        <w:t xml:space="preserve">also </w:t>
      </w:r>
      <w:r w:rsidRPr="00C70EE5">
        <w:t>the unfathomab</w:t>
      </w:r>
      <w:r w:rsidR="00EF4735">
        <w:t xml:space="preserve">le vicissitudes of litigation. </w:t>
      </w:r>
      <w:r w:rsidRPr="00C70EE5">
        <w:t xml:space="preserve">Amendment and procedural flexibility in pleading has long been regarded as one of the distinguishing characteristics of the modern judicial process.  The whole </w:t>
      </w:r>
      <w:r w:rsidRPr="00C70EE5">
        <w:lastRenderedPageBreak/>
        <w:t>purpose of the Rule is to</w:t>
      </w:r>
      <w:r w:rsidR="00171ADF">
        <w:t xml:space="preserve"> encourage early attention be</w:t>
      </w:r>
      <w:r w:rsidRPr="00C70EE5">
        <w:t xml:space="preserve"> given to appropriate compromise.  This purpose would be </w:t>
      </w:r>
      <w:r w:rsidR="004516F3">
        <w:t>undermined</w:t>
      </w:r>
      <w:r w:rsidRPr="00C70EE5">
        <w:t xml:space="preserve"> by adopting a formulaic approach that would cause the determination of an application for costs to be informed by </w:t>
      </w:r>
      <w:r w:rsidR="002C73FC">
        <w:t xml:space="preserve">some </w:t>
      </w:r>
      <w:r w:rsidR="00EF4735">
        <w:t>method</w:t>
      </w:r>
      <w:r w:rsidR="002C73FC">
        <w:t xml:space="preserve"> of</w:t>
      </w:r>
      <w:r w:rsidRPr="00C70EE5">
        <w:t xml:space="preserve"> mechanical comparison.</w:t>
      </w:r>
      <w:r w:rsidR="002C73FC">
        <w:t xml:space="preserve">  </w:t>
      </w:r>
    </w:p>
    <w:p w:rsidR="006E50D8" w:rsidRDefault="00C05378" w:rsidP="0051434F">
      <w:pPr>
        <w:pStyle w:val="ParaNumbering"/>
      </w:pPr>
      <w:r>
        <w:t xml:space="preserve">If one approaches the </w:t>
      </w:r>
      <w:r w:rsidR="006E50D8">
        <w:t xml:space="preserve">broader, </w:t>
      </w:r>
      <w:r>
        <w:t>evaluative assessment required by FCR</w:t>
      </w:r>
      <w:r w:rsidRPr="004154DD">
        <w:t> 25</w:t>
      </w:r>
      <w:r>
        <w:t>.14</w:t>
      </w:r>
      <w:r w:rsidR="003F743D">
        <w:t xml:space="preserve"> as to whether, </w:t>
      </w:r>
      <w:r w:rsidR="003F743D" w:rsidRPr="003A4B3D">
        <w:rPr>
          <w:i/>
        </w:rPr>
        <w:t>as a matter of substance</w:t>
      </w:r>
      <w:r w:rsidR="003F743D">
        <w:t>, one state of affairs (that provided for by the judgment) is more favourable than another state of affairs (the First Stead Offer)</w:t>
      </w:r>
      <w:r w:rsidR="004516F3">
        <w:t>,</w:t>
      </w:r>
      <w:r w:rsidR="003F743D">
        <w:t xml:space="preserve"> the correct assessment is tolerably clear.  </w:t>
      </w:r>
      <w:r w:rsidR="00E80BF2">
        <w:t xml:space="preserve">The judgment provides for a monetary sum in excess of $100,000 more than would have been the case if the First Stead Offer had been accepted.  The practical consequence of the judgment was to effect the removal of the First Internet Matter, the Second Internet Matter and an important part of the Third Matter. </w:t>
      </w:r>
      <w:r w:rsidR="006E50D8">
        <w:t>Although p</w:t>
      </w:r>
      <w:r w:rsidR="00EF4735">
        <w:t>arts of Mr Aston’s tweet remain</w:t>
      </w:r>
      <w:r w:rsidR="003A4B3D">
        <w:t xml:space="preserve"> to be viewed</w:t>
      </w:r>
      <w:r w:rsidR="006E50D8">
        <w:t xml:space="preserve"> (if one</w:t>
      </w:r>
      <w:r w:rsidR="003A4B3D">
        <w:t xml:space="preserve">, for some reason, was inclined </w:t>
      </w:r>
      <w:r w:rsidR="006E50D8">
        <w:t xml:space="preserve">to scroll back or search for it) and those parts that remain contributed to Dr Stead’s </w:t>
      </w:r>
      <w:r w:rsidR="003A4B3D">
        <w:t xml:space="preserve">contemporaneous </w:t>
      </w:r>
      <w:r w:rsidR="006E50D8">
        <w:t>subjective hurt, given the disparity between the money in the factual and the counterfactual, the re</w:t>
      </w:r>
      <w:r w:rsidR="003A4B3D">
        <w:t xml:space="preserve">mnant </w:t>
      </w:r>
      <w:r w:rsidR="006E50D8">
        <w:t xml:space="preserve">online </w:t>
      </w:r>
      <w:r w:rsidR="00E261C7">
        <w:t xml:space="preserve">tweet </w:t>
      </w:r>
      <w:r w:rsidR="006E50D8">
        <w:t>is a relevant but far from decisive consideration in the overall assessment.</w:t>
      </w:r>
    </w:p>
    <w:p w:rsidR="006E50D8" w:rsidRDefault="006E50D8" w:rsidP="001817A1">
      <w:pPr>
        <w:pStyle w:val="ParaNumbering"/>
      </w:pPr>
      <w:r>
        <w:t>There was no other</w:t>
      </w:r>
      <w:r w:rsidR="001817A1">
        <w:t xml:space="preserve"> technical</w:t>
      </w:r>
      <w:r>
        <w:t xml:space="preserve"> reason advanced as to why </w:t>
      </w:r>
      <w:r w:rsidR="00335631">
        <w:t>FCR</w:t>
      </w:r>
      <w:r w:rsidR="00335631" w:rsidRPr="004154DD">
        <w:t> 25.14(3) </w:t>
      </w:r>
      <w:r w:rsidR="00335631">
        <w:t>was not engaged</w:t>
      </w:r>
      <w:r w:rsidR="001817A1">
        <w:t>. There is nothing about the circumstances (including those matters referred to at [17] above)</w:t>
      </w:r>
      <w:r w:rsidR="00E261C7">
        <w:t>,</w:t>
      </w:r>
      <w:r w:rsidR="001817A1">
        <w:t xml:space="preserve"> which would cause me to depart from the course of applying the Rule in accordance with its terms. It follows that </w:t>
      </w:r>
      <w:r w:rsidR="00335631">
        <w:t xml:space="preserve">Dr Stead </w:t>
      </w:r>
      <w:r w:rsidR="00335631" w:rsidRPr="004154DD">
        <w:t xml:space="preserve">is entitled to an order that </w:t>
      </w:r>
      <w:r w:rsidR="00335631">
        <w:t xml:space="preserve">Fairfax and Mr Aston </w:t>
      </w:r>
      <w:r w:rsidR="00335631" w:rsidRPr="004154DD">
        <w:t xml:space="preserve">pay </w:t>
      </w:r>
      <w:r w:rsidR="00335631">
        <w:t>her</w:t>
      </w:r>
      <w:r w:rsidR="004516F3">
        <w:t xml:space="preserve"> costs before 11</w:t>
      </w:r>
      <w:r w:rsidR="00335631" w:rsidRPr="004154DD">
        <w:t>am on the second business day after the </w:t>
      </w:r>
      <w:r w:rsidR="00335631">
        <w:t xml:space="preserve">First Stead Offer </w:t>
      </w:r>
      <w:r w:rsidR="00335631" w:rsidRPr="004154DD">
        <w:t>was served on a party and party basis</w:t>
      </w:r>
      <w:r w:rsidR="00335631">
        <w:t>,</w:t>
      </w:r>
      <w:r w:rsidR="00335631" w:rsidRPr="004154DD">
        <w:t xml:space="preserve"> and after that time on an indemnity basis.</w:t>
      </w:r>
      <w:r w:rsidR="00335631">
        <w:t xml:space="preserve">  </w:t>
      </w:r>
    </w:p>
    <w:p w:rsidR="00ED73B2" w:rsidRDefault="00335631" w:rsidP="00335631">
      <w:pPr>
        <w:pStyle w:val="ParaNumbering"/>
      </w:pPr>
      <w:r>
        <w:t>If I was wrong about the application of FCR 25.14(3), I would, in any event, have exercised my general discretion to award indemnity costs from around the same date.  I am satisfied that in all the circumstances</w:t>
      </w:r>
      <w:r w:rsidRPr="000F40A3">
        <w:t xml:space="preserve"> the refusal of </w:t>
      </w:r>
      <w:r w:rsidR="004516F3">
        <w:t xml:space="preserve">the First Stead Offer </w:t>
      </w:r>
      <w:r w:rsidRPr="000F40A3">
        <w:t>was unreasonable</w:t>
      </w:r>
      <w:r w:rsidR="00EF4735">
        <w:t>,</w:t>
      </w:r>
      <w:r>
        <w:t xml:space="preserve"> </w:t>
      </w:r>
      <w:r w:rsidRPr="000F40A3">
        <w:t xml:space="preserve">judged by reference to the circumstances facing </w:t>
      </w:r>
      <w:r>
        <w:t>Fairfax and Mr Aston</w:t>
      </w:r>
      <w:r w:rsidRPr="000F40A3">
        <w:t xml:space="preserve"> at the time of the offer. </w:t>
      </w:r>
    </w:p>
    <w:p w:rsidR="001817A1" w:rsidRDefault="00ED73B2" w:rsidP="00F7555F">
      <w:pPr>
        <w:pStyle w:val="ParaNumbering"/>
      </w:pPr>
      <w:r>
        <w:t xml:space="preserve">I have accepted that Mr Aston had genuine </w:t>
      </w:r>
      <w:r w:rsidR="00E261C7">
        <w:t xml:space="preserve">and cogent </w:t>
      </w:r>
      <w:r>
        <w:t xml:space="preserve">grounds for his concerns as to what had occurred at Blue Sky and Dr Stead’s behaviour did, as I have explained, demonstrate an apparent unwillingness to face up to the true reasons as to why Blue Sky failed.  I have further </w:t>
      </w:r>
      <w:r w:rsidR="00B26542">
        <w:t>explained</w:t>
      </w:r>
      <w:r>
        <w:t xml:space="preserve"> that questions </w:t>
      </w:r>
      <w:r w:rsidR="00B26542">
        <w:t xml:space="preserve">legitimately arose </w:t>
      </w:r>
      <w:r>
        <w:t xml:space="preserve">as to her behaviour (together </w:t>
      </w:r>
      <w:r w:rsidR="00B26542">
        <w:t xml:space="preserve">with her fellow directors) in not taking steps to correct the incorrect information prevailing as to the composition of assets under management.  </w:t>
      </w:r>
      <w:r>
        <w:t xml:space="preserve">No doubt in those circumstances the prospect of </w:t>
      </w:r>
      <w:r>
        <w:lastRenderedPageBreak/>
        <w:t xml:space="preserve">consenting to a judgment in her favour for a significant sum was </w:t>
      </w:r>
      <w:r w:rsidR="00B26542">
        <w:t xml:space="preserve">perhaps </w:t>
      </w:r>
      <w:r>
        <w:t xml:space="preserve">galling (particularly when she had pleaded some imputations which, </w:t>
      </w:r>
      <w:r w:rsidRPr="00B26542">
        <w:rPr>
          <w:i/>
        </w:rPr>
        <w:t>ex facie</w:t>
      </w:r>
      <w:r>
        <w:t xml:space="preserve">, </w:t>
      </w:r>
      <w:r w:rsidR="00B26542">
        <w:t>w</w:t>
      </w:r>
      <w:r>
        <w:t xml:space="preserve">ere never soundly based). </w:t>
      </w:r>
    </w:p>
    <w:p w:rsidR="00D13103" w:rsidRDefault="00B26542" w:rsidP="001817A1">
      <w:pPr>
        <w:pStyle w:val="ParaNumbering"/>
      </w:pPr>
      <w:r>
        <w:t xml:space="preserve">But Fairfax </w:t>
      </w:r>
      <w:r w:rsidR="004D7C7C">
        <w:t>and</w:t>
      </w:r>
      <w:r w:rsidR="00F0726E">
        <w:t xml:space="preserve"> Mr Aston were well-</w:t>
      </w:r>
      <w:r>
        <w:t xml:space="preserve">advised.  Although they had conscientiously </w:t>
      </w:r>
      <w:r w:rsidR="00EF3F13">
        <w:t xml:space="preserve">pleaded truth, the </w:t>
      </w:r>
      <w:r w:rsidR="004E0F51">
        <w:t xml:space="preserve">snag was they did not at the relevant </w:t>
      </w:r>
      <w:r w:rsidR="00EF3F13">
        <w:t xml:space="preserve">time have sufficient </w:t>
      </w:r>
      <w:r w:rsidR="000F03EB">
        <w:t xml:space="preserve">evidentiary </w:t>
      </w:r>
      <w:r w:rsidR="00EF3F13">
        <w:t>material to justify those imputations that were likely to be found to have been conveyed</w:t>
      </w:r>
      <w:r w:rsidR="004E0F51">
        <w:t xml:space="preserve"> (and it was by no means assured that such material would emerge)</w:t>
      </w:r>
      <w:r w:rsidR="00EF3F13">
        <w:t>.  Moreover, as to honest opinion, and putting the matter</w:t>
      </w:r>
      <w:r w:rsidR="00F7555F">
        <w:t xml:space="preserve"> very</w:t>
      </w:r>
      <w:r w:rsidR="00EF3F13">
        <w:t xml:space="preserve"> generally, the issue was not Mr Aston being critical, or even highly critical in expressing his opinions, but rather the </w:t>
      </w:r>
      <w:r w:rsidR="00B924D1">
        <w:t xml:space="preserve">real </w:t>
      </w:r>
      <w:r w:rsidR="00EF3F13">
        <w:t xml:space="preserve">problem, referred to in the PJ, of </w:t>
      </w:r>
      <w:r w:rsidR="00B924D1">
        <w:t xml:space="preserve">proving that </w:t>
      </w:r>
      <w:r w:rsidR="00EF3F13" w:rsidRPr="00EF3F13">
        <w:t xml:space="preserve">those opinions </w:t>
      </w:r>
      <w:r w:rsidR="00B924D1">
        <w:t>were</w:t>
      </w:r>
      <w:r w:rsidR="00EF3F13" w:rsidRPr="00EF3F13">
        <w:t xml:space="preserve"> properly based on </w:t>
      </w:r>
      <w:r w:rsidR="00EF3F13" w:rsidRPr="001817A1">
        <w:rPr>
          <w:i/>
        </w:rPr>
        <w:t>facts stated in what was written</w:t>
      </w:r>
      <w:r w:rsidR="00335631" w:rsidRPr="000F40A3">
        <w:t xml:space="preserve">.  </w:t>
      </w:r>
    </w:p>
    <w:p w:rsidR="00A8784B" w:rsidRDefault="00E261C7" w:rsidP="001817A1">
      <w:pPr>
        <w:pStyle w:val="ParaNumbering"/>
      </w:pPr>
      <w:r>
        <w:t xml:space="preserve">The problem always came back to the </w:t>
      </w:r>
      <w:r w:rsidR="003C3C28">
        <w:t xml:space="preserve">colourful, but less than adroit </w:t>
      </w:r>
      <w:r w:rsidR="00B924D1">
        <w:t xml:space="preserve">way the articles were </w:t>
      </w:r>
      <w:r w:rsidR="00D13103">
        <w:t xml:space="preserve">originally </w:t>
      </w:r>
      <w:r>
        <w:t>put together.  The lack of proper material being evident in the publications meant</w:t>
      </w:r>
      <w:r w:rsidR="00B924D1">
        <w:t xml:space="preserve"> the risks associated with making out the honest opinion defence were always high.  </w:t>
      </w:r>
      <w:r>
        <w:t xml:space="preserve">Fairfax and Mr Aston </w:t>
      </w:r>
      <w:r w:rsidR="00F7555F">
        <w:t>proceed</w:t>
      </w:r>
      <w:r>
        <w:t xml:space="preserve">ed </w:t>
      </w:r>
      <w:r w:rsidR="00B924D1">
        <w:t xml:space="preserve">Micawber-like, </w:t>
      </w:r>
      <w:r>
        <w:t xml:space="preserve">in the hope </w:t>
      </w:r>
      <w:r w:rsidR="00B924D1">
        <w:t xml:space="preserve">something might turn up to </w:t>
      </w:r>
      <w:r>
        <w:t>prove truth or allow substantial truth to be proved, notwithstanding the deficiencies in setting out some of the facts relied upon.</w:t>
      </w:r>
      <w:r w:rsidR="00B924D1">
        <w:t xml:space="preserve"> </w:t>
      </w:r>
      <w:r>
        <w:t xml:space="preserve">On </w:t>
      </w:r>
      <w:r w:rsidR="00B924D1">
        <w:t xml:space="preserve">one level </w:t>
      </w:r>
      <w:r>
        <w:t xml:space="preserve">this may </w:t>
      </w:r>
      <w:r w:rsidR="00B924D1">
        <w:t>b</w:t>
      </w:r>
      <w:r w:rsidR="00F7555F">
        <w:t>e</w:t>
      </w:r>
      <w:r w:rsidR="00B924D1">
        <w:t xml:space="preserve"> understandable</w:t>
      </w:r>
      <w:r w:rsidR="00F7555F">
        <w:t>,</w:t>
      </w:r>
      <w:r w:rsidR="00B924D1">
        <w:t xml:space="preserve"> </w:t>
      </w:r>
      <w:r w:rsidR="00F7555F">
        <w:t xml:space="preserve">but given </w:t>
      </w:r>
      <w:r w:rsidR="00B924D1">
        <w:t>the</w:t>
      </w:r>
      <w:r w:rsidR="00B924D1" w:rsidRPr="000F40A3">
        <w:t xml:space="preserve"> circumstances facing </w:t>
      </w:r>
      <w:r w:rsidR="00B924D1">
        <w:t>Fairfax and Mr Aston</w:t>
      </w:r>
      <w:r w:rsidR="00B924D1" w:rsidRPr="000F40A3">
        <w:t xml:space="preserve"> at the time of the offer</w:t>
      </w:r>
      <w:r w:rsidR="00F7555F">
        <w:t>,</w:t>
      </w:r>
      <w:r w:rsidR="00B924D1">
        <w:t xml:space="preserve"> </w:t>
      </w:r>
      <w:r w:rsidR="000F03EB">
        <w:t xml:space="preserve">on balance, </w:t>
      </w:r>
      <w:r w:rsidR="00B924D1">
        <w:t xml:space="preserve">I am satisfied </w:t>
      </w:r>
      <w:r w:rsidR="00B924D1" w:rsidRPr="000F40A3">
        <w:t xml:space="preserve">the refusal </w:t>
      </w:r>
      <w:r w:rsidR="00F7555F">
        <w:t xml:space="preserve">of the First Stead Offer </w:t>
      </w:r>
      <w:r w:rsidR="00B924D1" w:rsidRPr="000F40A3">
        <w:t xml:space="preserve">was unreasonable. </w:t>
      </w:r>
    </w:p>
    <w:p w:rsidR="004516F3" w:rsidRDefault="004516F3" w:rsidP="00815065">
      <w:pPr>
        <w:pStyle w:val="BodyText"/>
      </w:pPr>
      <w:bookmarkStart w:id="18" w:name="Certification"/>
    </w:p>
    <w:tbl>
      <w:tblPr>
        <w:tblW w:w="0" w:type="auto"/>
        <w:tblLook w:val="04A0" w:firstRow="1" w:lastRow="0" w:firstColumn="1" w:lastColumn="0" w:noHBand="0" w:noVBand="1"/>
      </w:tblPr>
      <w:tblGrid>
        <w:gridCol w:w="3794"/>
      </w:tblGrid>
      <w:tr w:rsidR="004516F3" w:rsidRPr="004516F3">
        <w:tc>
          <w:tcPr>
            <w:tcW w:w="3794" w:type="dxa"/>
            <w:shd w:val="clear" w:color="auto" w:fill="auto"/>
          </w:tcPr>
          <w:p w:rsidR="004516F3" w:rsidRPr="004516F3" w:rsidRDefault="004516F3" w:rsidP="004516F3">
            <w:pPr>
              <w:pStyle w:val="Normal1linespace"/>
            </w:pPr>
            <w:r w:rsidRPr="004516F3">
              <w:t xml:space="preserve">I certify that the preceding </w:t>
            </w:r>
            <w:bookmarkStart w:id="19" w:name="NumberWord"/>
            <w:r>
              <w:t>thirty-one</w:t>
            </w:r>
            <w:bookmarkEnd w:id="19"/>
            <w:r w:rsidRPr="004516F3">
              <w:t xml:space="preserve"> (</w:t>
            </w:r>
            <w:bookmarkStart w:id="20" w:name="NumberNumeral"/>
            <w:r>
              <w:t>31</w:t>
            </w:r>
            <w:bookmarkEnd w:id="20"/>
            <w:r w:rsidRPr="004516F3">
              <w:t xml:space="preserve">) numbered </w:t>
            </w:r>
            <w:bookmarkStart w:id="21" w:name="CertPara"/>
            <w:r>
              <w:t>paragraphs are</w:t>
            </w:r>
            <w:bookmarkEnd w:id="21"/>
            <w:r w:rsidRPr="004516F3">
              <w:t xml:space="preserve"> a true copy of the Reasons for Judgment of </w:t>
            </w:r>
            <w:bookmarkStart w:id="22" w:name="bkHonourable"/>
            <w:r w:rsidRPr="004516F3">
              <w:t xml:space="preserve">the Honourable </w:t>
            </w:r>
            <w:bookmarkStart w:id="23" w:name="Justice"/>
            <w:bookmarkEnd w:id="22"/>
            <w:r>
              <w:t>Justice Lee</w:t>
            </w:r>
            <w:bookmarkEnd w:id="23"/>
            <w:r w:rsidRPr="004516F3">
              <w:t>.</w:t>
            </w:r>
          </w:p>
        </w:tc>
      </w:tr>
    </w:tbl>
    <w:p w:rsidR="004516F3" w:rsidRDefault="004516F3" w:rsidP="00815065">
      <w:pPr>
        <w:pStyle w:val="BodyText"/>
      </w:pPr>
    </w:p>
    <w:p w:rsidR="004516F3" w:rsidRDefault="004516F3" w:rsidP="00815065">
      <w:pPr>
        <w:pStyle w:val="BodyText"/>
      </w:pPr>
    </w:p>
    <w:p w:rsidR="004516F3" w:rsidRDefault="004516F3" w:rsidP="00815065">
      <w:pPr>
        <w:pStyle w:val="BodyText"/>
      </w:pPr>
      <w:r>
        <w:t>Associate:</w:t>
      </w:r>
    </w:p>
    <w:p w:rsidR="004516F3" w:rsidRDefault="004516F3" w:rsidP="00815065">
      <w:pPr>
        <w:pStyle w:val="BodyText"/>
      </w:pPr>
    </w:p>
    <w:p w:rsidR="004516F3" w:rsidRDefault="004516F3" w:rsidP="00815065">
      <w:pPr>
        <w:pStyle w:val="BodyText"/>
        <w:tabs>
          <w:tab w:val="left" w:pos="1134"/>
        </w:tabs>
      </w:pPr>
      <w:r>
        <w:t>Dated:</w:t>
      </w:r>
      <w:r>
        <w:tab/>
      </w:r>
      <w:bookmarkStart w:id="24" w:name="CertifyDated"/>
      <w:bookmarkEnd w:id="24"/>
      <w:r>
        <w:t>8 February 2021</w:t>
      </w:r>
    </w:p>
    <w:p w:rsidR="004516F3" w:rsidRDefault="004516F3" w:rsidP="00815065">
      <w:pPr>
        <w:pStyle w:val="BodyText"/>
      </w:pPr>
    </w:p>
    <w:bookmarkEnd w:id="18"/>
    <w:p w:rsidR="003957CA" w:rsidRPr="004516F3" w:rsidRDefault="003957CA" w:rsidP="004154DD">
      <w:pPr>
        <w:pStyle w:val="ParaNumbering"/>
        <w:numPr>
          <w:ilvl w:val="0"/>
          <w:numId w:val="0"/>
        </w:numPr>
        <w:rPr>
          <w:highlight w:val="yellow"/>
        </w:rPr>
      </w:pPr>
    </w:p>
    <w:sectPr w:rsidR="003957CA" w:rsidRPr="004516F3" w:rsidSect="00A84FD0">
      <w:headerReference w:type="even" r:id="rId13"/>
      <w:headerReference w:type="default"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C25" w:rsidRDefault="008F3C25">
      <w:pPr>
        <w:spacing w:line="20" w:lineRule="exact"/>
      </w:pPr>
    </w:p>
    <w:p w:rsidR="008F3C25" w:rsidRDefault="008F3C25"/>
    <w:p w:rsidR="008F3C25" w:rsidRDefault="008F3C25"/>
  </w:endnote>
  <w:endnote w:type="continuationSeparator" w:id="0">
    <w:p w:rsidR="008F3C25" w:rsidRDefault="008F3C25">
      <w:r>
        <w:t xml:space="preserve"> </w:t>
      </w:r>
    </w:p>
    <w:p w:rsidR="008F3C25" w:rsidRDefault="008F3C25"/>
    <w:p w:rsidR="008F3C25" w:rsidRDefault="008F3C25"/>
  </w:endnote>
  <w:endnote w:type="continuationNotice" w:id="1">
    <w:p w:rsidR="008F3C25" w:rsidRDefault="008F3C25">
      <w:r>
        <w:t xml:space="preserve"> </w:t>
      </w:r>
    </w:p>
    <w:p w:rsidR="008F3C25" w:rsidRDefault="008F3C25"/>
    <w:p w:rsidR="008F3C25" w:rsidRDefault="008F3C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C1A" w:rsidRPr="006F3C3C" w:rsidRDefault="00AE0C1A" w:rsidP="006F3C3C">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D0E71C"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0446FE">
          <w:rPr>
            <w:bCs/>
            <w:sz w:val="18"/>
            <w:szCs w:val="18"/>
          </w:rPr>
          <w:t xml:space="preserve"> Stead v Fairfax Media Publications Pty Ltd (No 2) [2021] FCA 65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C1A" w:rsidRPr="00C47B9D" w:rsidRDefault="00AE0C1A"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F4C5CF"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3E4968400BEB4A5281DDA7CF3CF4FF21"/>
        </w:placeholder>
        <w:dataBinding w:prefixMappings="xmlns:ns0='http://schemas.globalmacros.com/FCA'" w:xpath="/ns0:root[1]/ns0:Name[1]" w:storeItemID="{687E7CCB-4AA5-44E7-B148-17BA2B6F57C0}"/>
        <w:text w:multiLine="1"/>
      </w:sdtPr>
      <w:sdtEndPr/>
      <w:sdtContent>
        <w:r w:rsidR="000446FE">
          <w:rPr>
            <w:bCs/>
            <w:sz w:val="18"/>
            <w:szCs w:val="18"/>
          </w:rPr>
          <w:t xml:space="preserve"> Stead v Fairfax Media Publications Pty Ltd (No 2) [2021] FCA 65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noProof/>
        <w:sz w:val="20"/>
      </w:rPr>
      <w:t>ii</w:t>
    </w:r>
    <w:r w:rsidRPr="00EA7F6D">
      <w:rPr>
        <w:bCs/>
        <w:noProof/>
        <w:sz w:val="20"/>
      </w:rPr>
      <w:fldChar w:fldCharType="end"/>
    </w:r>
  </w:p>
  <w:p w:rsidR="00AE0C1A" w:rsidRPr="00A84FD0" w:rsidRDefault="00AE0C1A" w:rsidP="00A84FD0">
    <w:pPr>
      <w:pStyle w:val="Footer"/>
      <w:jc w:val="center"/>
      <w:rPr>
        <w:sz w:val="28"/>
      </w:rPr>
    </w:pPr>
    <w:r>
      <w:rPr>
        <w:b/>
        <w:sz w:val="28"/>
      </w:rPr>
      <w:t xml:space="preserve">DRAFT - Judgment Template v.1 - </w:t>
    </w:r>
    <w:r>
      <w:rPr>
        <w:b/>
        <w:sz w:val="28"/>
      </w:rPr>
      <w:fldChar w:fldCharType="begin"/>
    </w:r>
    <w:r>
      <w:rPr>
        <w:b/>
        <w:sz w:val="28"/>
      </w:rPr>
      <w:instrText xml:space="preserve"> DATE  \@ "d MMMM yyyy"  \* MERGEFORMAT </w:instrText>
    </w:r>
    <w:r>
      <w:rPr>
        <w:b/>
        <w:sz w:val="28"/>
      </w:rPr>
      <w:fldChar w:fldCharType="separate"/>
    </w:r>
    <w:r w:rsidR="003C1295">
      <w:rPr>
        <w:b/>
        <w:noProof/>
        <w:sz w:val="28"/>
      </w:rPr>
      <w:t>8 February 2021</w:t>
    </w:r>
    <w:r>
      <w:rPr>
        <w:b/>
        <w:sz w:val="28"/>
      </w:rPr>
      <w:fldChar w:fldCharType="end"/>
    </w:r>
    <w:r>
      <w:rPr>
        <w:b/>
        <w:sz w:val="28"/>
      </w:rPr>
      <w:t xml:space="preserve"> </w:t>
    </w:r>
    <w:r>
      <w:rPr>
        <w:b/>
        <w:sz w:val="28"/>
      </w:rPr>
      <w:fldChar w:fldCharType="begin"/>
    </w:r>
    <w:r>
      <w:rPr>
        <w:b/>
        <w:sz w:val="28"/>
      </w:rPr>
      <w:instrText xml:space="preserve"> TIME  \@ "h:mm am/pm"  \* MERGEFORMAT </w:instrText>
    </w:r>
    <w:r>
      <w:rPr>
        <w:b/>
        <w:sz w:val="28"/>
      </w:rPr>
      <w:fldChar w:fldCharType="separate"/>
    </w:r>
    <w:r w:rsidR="003C1295">
      <w:rPr>
        <w:b/>
        <w:noProof/>
        <w:sz w:val="28"/>
      </w:rPr>
      <w:t>1:42 PM</w:t>
    </w:r>
    <w:r>
      <w:rPr>
        <w:b/>
        <w:sz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C1A" w:rsidRPr="006F3C3C" w:rsidRDefault="00AE0C1A" w:rsidP="006F3C3C">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082590"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4F82BDF4651545C6A29FC658309BB9DB"/>
        </w:placeholder>
        <w:dataBinding w:prefixMappings="xmlns:ns0='http://schemas.globalmacros.com/FCA'" w:xpath="/ns0:root[1]/ns0:Name[1]" w:storeItemID="{687E7CCB-4AA5-44E7-B148-17BA2B6F57C0}"/>
        <w:text w:multiLine="1"/>
      </w:sdtPr>
      <w:sdtEndPr/>
      <w:sdtContent>
        <w:r w:rsidR="000446FE">
          <w:rPr>
            <w:bCs/>
            <w:sz w:val="18"/>
            <w:szCs w:val="18"/>
          </w:rPr>
          <w:t xml:space="preserve"> Stead v Fairfax Media Publications Pty Ltd (No 2) [2021] FCA 65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3C1295">
      <w:rPr>
        <w:bCs/>
        <w:noProof/>
        <w:sz w:val="20"/>
      </w:rPr>
      <w:t>i</w:t>
    </w:r>
    <w:r w:rsidRPr="00EA7F6D">
      <w:rPr>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C1A" w:rsidRPr="003957CA" w:rsidRDefault="00AE0C1A" w:rsidP="003957CA">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4DFC80"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DA7D0A0165664F7F8D6DF4DBDB73E95F"/>
        </w:placeholder>
        <w:dataBinding w:prefixMappings="xmlns:ns0='http://schemas.globalmacros.com/FCA'" w:xpath="/ns0:root[1]/ns0:Name[1]" w:storeItemID="{687E7CCB-4AA5-44E7-B148-17BA2B6F57C0}"/>
        <w:text w:multiLine="1"/>
      </w:sdtPr>
      <w:sdtEndPr/>
      <w:sdtContent>
        <w:r w:rsidR="000446FE">
          <w:rPr>
            <w:bCs/>
            <w:sz w:val="18"/>
            <w:szCs w:val="18"/>
          </w:rPr>
          <w:t xml:space="preserve"> Stead v Fairfax Media Publications Pty Ltd (No 2) [2021] FCA 65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3C1295">
      <w:rPr>
        <w:bCs/>
        <w:noProof/>
        <w:sz w:val="20"/>
      </w:rPr>
      <w:t>9</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C1A" w:rsidRPr="006F3C3C" w:rsidRDefault="00AE0C1A" w:rsidP="006F3C3C">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F15C15"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DD78E06581D140E8830C10AF08AF2F98"/>
        </w:placeholder>
        <w:dataBinding w:prefixMappings="xmlns:ns0='http://schemas.globalmacros.com/FCA'" w:xpath="/ns0:root[1]/ns0:Name[1]" w:storeItemID="{687E7CCB-4AA5-44E7-B148-17BA2B6F57C0}"/>
        <w:text w:multiLine="1"/>
      </w:sdtPr>
      <w:sdtEndPr/>
      <w:sdtContent>
        <w:r w:rsidR="000446FE">
          <w:rPr>
            <w:bCs/>
            <w:sz w:val="18"/>
            <w:szCs w:val="18"/>
          </w:rPr>
          <w:t xml:space="preserve"> Stead v Fairfax Media Publications Pty Ltd (No 2) [2021] FCA 65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3C1295">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C25" w:rsidRDefault="008F3C25"/>
    <w:p w:rsidR="008F3C25" w:rsidRDefault="008F3C25"/>
    <w:p w:rsidR="008F3C25" w:rsidRDefault="008F3C25"/>
  </w:footnote>
  <w:footnote w:type="continuationSeparator" w:id="0">
    <w:p w:rsidR="008F3C25" w:rsidRDefault="008F3C25">
      <w:r>
        <w:continuationSeparator/>
      </w:r>
    </w:p>
    <w:p w:rsidR="008F3C25" w:rsidRDefault="008F3C25"/>
    <w:p w:rsidR="008F3C25" w:rsidRDefault="008F3C2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C1A" w:rsidRDefault="00AE0C1A">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C1A" w:rsidRDefault="00AE0C1A">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C1A" w:rsidRDefault="00AE0C1A"/>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C1A" w:rsidRDefault="00AE0C1A">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C1A" w:rsidRDefault="00AE0C1A"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15:restartNumberingAfterBreak="0">
    <w:nsid w:val="494817A7"/>
    <w:multiLevelType w:val="multilevel"/>
    <w:tmpl w:val="0F0EC90E"/>
    <w:numStyleLink w:val="FCListNo"/>
  </w:abstractNum>
  <w:abstractNum w:abstractNumId="19"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3"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9"/>
  </w:num>
  <w:num w:numId="15">
    <w:abstractNumId w:val="20"/>
  </w:num>
  <w:num w:numId="16">
    <w:abstractNumId w:val="23"/>
  </w:num>
  <w:num w:numId="17">
    <w:abstractNumId w:val="13"/>
  </w:num>
  <w:num w:numId="18">
    <w:abstractNumId w:val="22"/>
  </w:num>
  <w:num w:numId="19">
    <w:abstractNumId w:val="11"/>
  </w:num>
  <w:num w:numId="20">
    <w:abstractNumId w:val="17"/>
  </w:num>
  <w:num w:numId="21">
    <w:abstractNumId w:val="15"/>
  </w:num>
  <w:num w:numId="22">
    <w:abstractNumId w:val="16"/>
  </w:num>
  <w:num w:numId="23">
    <w:abstractNumId w:val="18"/>
  </w:num>
  <w:num w:numId="24">
    <w:abstractNumId w:val="10"/>
  </w:num>
  <w:num w:numId="25">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unselParties" w:val="Appellant"/>
    <w:docVar w:name="CounselType" w:val="Counsel for the "/>
    <w:docVar w:name="DocCreated" w:val="True"/>
    <w:docVar w:name="grpRadioJudges" w:val="Justice"/>
    <w:docVar w:name="lstEntryList" w:val="-1"/>
    <w:docVar w:name="NumApps_" w:val="0"/>
    <w:docVar w:name="RadioJudge" w:val="False"/>
    <w:docVar w:name="RadioJustice" w:val="True"/>
    <w:docVar w:name="RadioJustices" w:val="False"/>
  </w:docVars>
  <w:rsids>
    <w:rsidRoot w:val="0014406E"/>
    <w:rsid w:val="00000747"/>
    <w:rsid w:val="00007BF8"/>
    <w:rsid w:val="000115C5"/>
    <w:rsid w:val="0001469E"/>
    <w:rsid w:val="00015993"/>
    <w:rsid w:val="00021CCB"/>
    <w:rsid w:val="00022289"/>
    <w:rsid w:val="00023E5B"/>
    <w:rsid w:val="00027398"/>
    <w:rsid w:val="000311DF"/>
    <w:rsid w:val="0003201A"/>
    <w:rsid w:val="0003207A"/>
    <w:rsid w:val="00032F9F"/>
    <w:rsid w:val="00041C07"/>
    <w:rsid w:val="000446FE"/>
    <w:rsid w:val="00045BB7"/>
    <w:rsid w:val="00055719"/>
    <w:rsid w:val="0005641B"/>
    <w:rsid w:val="00056A14"/>
    <w:rsid w:val="0006196A"/>
    <w:rsid w:val="00074533"/>
    <w:rsid w:val="00081497"/>
    <w:rsid w:val="00085255"/>
    <w:rsid w:val="0009741C"/>
    <w:rsid w:val="00097ABA"/>
    <w:rsid w:val="000A2E76"/>
    <w:rsid w:val="000A4807"/>
    <w:rsid w:val="000A4BE4"/>
    <w:rsid w:val="000C023E"/>
    <w:rsid w:val="000C1CE7"/>
    <w:rsid w:val="000C5195"/>
    <w:rsid w:val="000C62EF"/>
    <w:rsid w:val="000D2137"/>
    <w:rsid w:val="000D3FD2"/>
    <w:rsid w:val="000D4B2E"/>
    <w:rsid w:val="000E3FC8"/>
    <w:rsid w:val="000E7BAE"/>
    <w:rsid w:val="000F03EB"/>
    <w:rsid w:val="000F133D"/>
    <w:rsid w:val="000F40A3"/>
    <w:rsid w:val="0010536B"/>
    <w:rsid w:val="0011145C"/>
    <w:rsid w:val="001128BD"/>
    <w:rsid w:val="00112D3C"/>
    <w:rsid w:val="0011419D"/>
    <w:rsid w:val="00114B02"/>
    <w:rsid w:val="001226C0"/>
    <w:rsid w:val="00126EC8"/>
    <w:rsid w:val="0012731C"/>
    <w:rsid w:val="00132054"/>
    <w:rsid w:val="00132D4B"/>
    <w:rsid w:val="00134964"/>
    <w:rsid w:val="001351B9"/>
    <w:rsid w:val="0014406E"/>
    <w:rsid w:val="00152CEA"/>
    <w:rsid w:val="00155CD2"/>
    <w:rsid w:val="00171ADF"/>
    <w:rsid w:val="001727A4"/>
    <w:rsid w:val="0017376C"/>
    <w:rsid w:val="001738AB"/>
    <w:rsid w:val="00175A3E"/>
    <w:rsid w:val="00175E15"/>
    <w:rsid w:val="001765E0"/>
    <w:rsid w:val="00177759"/>
    <w:rsid w:val="00180BB3"/>
    <w:rsid w:val="001815A4"/>
    <w:rsid w:val="001817A1"/>
    <w:rsid w:val="00185E6B"/>
    <w:rsid w:val="00186BAA"/>
    <w:rsid w:val="00187BBC"/>
    <w:rsid w:val="001932F3"/>
    <w:rsid w:val="001A2B40"/>
    <w:rsid w:val="001A4309"/>
    <w:rsid w:val="001A46AE"/>
    <w:rsid w:val="001A6C52"/>
    <w:rsid w:val="001B1053"/>
    <w:rsid w:val="001B14AC"/>
    <w:rsid w:val="001B19E9"/>
    <w:rsid w:val="001B5C6D"/>
    <w:rsid w:val="001B7940"/>
    <w:rsid w:val="001C171A"/>
    <w:rsid w:val="001C37CA"/>
    <w:rsid w:val="001C4085"/>
    <w:rsid w:val="001C7872"/>
    <w:rsid w:val="001D4303"/>
    <w:rsid w:val="001D6746"/>
    <w:rsid w:val="001E3B49"/>
    <w:rsid w:val="001E4A05"/>
    <w:rsid w:val="001E7388"/>
    <w:rsid w:val="001F13DD"/>
    <w:rsid w:val="001F1EB1"/>
    <w:rsid w:val="001F2473"/>
    <w:rsid w:val="001F2DBC"/>
    <w:rsid w:val="001F73E8"/>
    <w:rsid w:val="0020262C"/>
    <w:rsid w:val="00211A3E"/>
    <w:rsid w:val="00215BCA"/>
    <w:rsid w:val="00217AC4"/>
    <w:rsid w:val="00221461"/>
    <w:rsid w:val="00224537"/>
    <w:rsid w:val="00235956"/>
    <w:rsid w:val="00243E5E"/>
    <w:rsid w:val="00245FEF"/>
    <w:rsid w:val="00246017"/>
    <w:rsid w:val="00247C9A"/>
    <w:rsid w:val="0025160C"/>
    <w:rsid w:val="002535D0"/>
    <w:rsid w:val="002539B3"/>
    <w:rsid w:val="002550B9"/>
    <w:rsid w:val="00256336"/>
    <w:rsid w:val="00257C3E"/>
    <w:rsid w:val="002602C2"/>
    <w:rsid w:val="00260FEB"/>
    <w:rsid w:val="002666C9"/>
    <w:rsid w:val="00270136"/>
    <w:rsid w:val="00270FD7"/>
    <w:rsid w:val="00274F5B"/>
    <w:rsid w:val="00280836"/>
    <w:rsid w:val="00282E1A"/>
    <w:rsid w:val="002840F1"/>
    <w:rsid w:val="0029085E"/>
    <w:rsid w:val="0029113B"/>
    <w:rsid w:val="002934C0"/>
    <w:rsid w:val="0029764C"/>
    <w:rsid w:val="002A1B50"/>
    <w:rsid w:val="002B0E91"/>
    <w:rsid w:val="002B132C"/>
    <w:rsid w:val="002B30ED"/>
    <w:rsid w:val="002B3F23"/>
    <w:rsid w:val="002B4EB5"/>
    <w:rsid w:val="002B6779"/>
    <w:rsid w:val="002B71C0"/>
    <w:rsid w:val="002B7A34"/>
    <w:rsid w:val="002C31AD"/>
    <w:rsid w:val="002C7385"/>
    <w:rsid w:val="002C73FC"/>
    <w:rsid w:val="002D2DBB"/>
    <w:rsid w:val="002D37D8"/>
    <w:rsid w:val="002D4872"/>
    <w:rsid w:val="002D54A6"/>
    <w:rsid w:val="002E4D65"/>
    <w:rsid w:val="002E5BF9"/>
    <w:rsid w:val="002E6A7A"/>
    <w:rsid w:val="002F1E49"/>
    <w:rsid w:val="002F4E9C"/>
    <w:rsid w:val="002F60B1"/>
    <w:rsid w:val="00302F4E"/>
    <w:rsid w:val="0031256C"/>
    <w:rsid w:val="00314D6C"/>
    <w:rsid w:val="00316D2A"/>
    <w:rsid w:val="00322A7C"/>
    <w:rsid w:val="00322EEC"/>
    <w:rsid w:val="00323061"/>
    <w:rsid w:val="00335631"/>
    <w:rsid w:val="003401B0"/>
    <w:rsid w:val="003402D3"/>
    <w:rsid w:val="00343ABC"/>
    <w:rsid w:val="003463FE"/>
    <w:rsid w:val="00347D41"/>
    <w:rsid w:val="003554B3"/>
    <w:rsid w:val="00356632"/>
    <w:rsid w:val="00357C7E"/>
    <w:rsid w:val="00360E95"/>
    <w:rsid w:val="003653B6"/>
    <w:rsid w:val="00374CC4"/>
    <w:rsid w:val="003774B2"/>
    <w:rsid w:val="00380F2D"/>
    <w:rsid w:val="003845A9"/>
    <w:rsid w:val="003850C9"/>
    <w:rsid w:val="00390883"/>
    <w:rsid w:val="003922F8"/>
    <w:rsid w:val="003957CA"/>
    <w:rsid w:val="00395B24"/>
    <w:rsid w:val="003A2D38"/>
    <w:rsid w:val="003A2E30"/>
    <w:rsid w:val="003A4B3D"/>
    <w:rsid w:val="003A7ECC"/>
    <w:rsid w:val="003B2C72"/>
    <w:rsid w:val="003B58B4"/>
    <w:rsid w:val="003C1295"/>
    <w:rsid w:val="003C1333"/>
    <w:rsid w:val="003C20FF"/>
    <w:rsid w:val="003C3551"/>
    <w:rsid w:val="003C3C28"/>
    <w:rsid w:val="003C40AD"/>
    <w:rsid w:val="003C550A"/>
    <w:rsid w:val="003C5E16"/>
    <w:rsid w:val="003C6055"/>
    <w:rsid w:val="003C671A"/>
    <w:rsid w:val="003D2650"/>
    <w:rsid w:val="003D560C"/>
    <w:rsid w:val="003D5C00"/>
    <w:rsid w:val="003E3154"/>
    <w:rsid w:val="003E5874"/>
    <w:rsid w:val="003E6C7B"/>
    <w:rsid w:val="003E72D3"/>
    <w:rsid w:val="003F193E"/>
    <w:rsid w:val="003F242C"/>
    <w:rsid w:val="003F34F1"/>
    <w:rsid w:val="003F743D"/>
    <w:rsid w:val="00404F73"/>
    <w:rsid w:val="004104B6"/>
    <w:rsid w:val="00411AE8"/>
    <w:rsid w:val="00413B74"/>
    <w:rsid w:val="00413D64"/>
    <w:rsid w:val="00414CA9"/>
    <w:rsid w:val="004154DD"/>
    <w:rsid w:val="004155C0"/>
    <w:rsid w:val="004342F3"/>
    <w:rsid w:val="00435C5F"/>
    <w:rsid w:val="00436155"/>
    <w:rsid w:val="00437BB6"/>
    <w:rsid w:val="00437E49"/>
    <w:rsid w:val="00441E98"/>
    <w:rsid w:val="00442EA1"/>
    <w:rsid w:val="00450F3A"/>
    <w:rsid w:val="004516F3"/>
    <w:rsid w:val="004532F7"/>
    <w:rsid w:val="00455880"/>
    <w:rsid w:val="00464D51"/>
    <w:rsid w:val="00466C31"/>
    <w:rsid w:val="00467368"/>
    <w:rsid w:val="00472027"/>
    <w:rsid w:val="00476339"/>
    <w:rsid w:val="00477F69"/>
    <w:rsid w:val="004804CF"/>
    <w:rsid w:val="00484962"/>
    <w:rsid w:val="00484F6D"/>
    <w:rsid w:val="00484FB7"/>
    <w:rsid w:val="0048554D"/>
    <w:rsid w:val="0049338A"/>
    <w:rsid w:val="0049417F"/>
    <w:rsid w:val="00496D41"/>
    <w:rsid w:val="004A404A"/>
    <w:rsid w:val="004A5170"/>
    <w:rsid w:val="004A6602"/>
    <w:rsid w:val="004B16C6"/>
    <w:rsid w:val="004B3EFA"/>
    <w:rsid w:val="004C2A87"/>
    <w:rsid w:val="004C4D7B"/>
    <w:rsid w:val="004C4ED3"/>
    <w:rsid w:val="004C667B"/>
    <w:rsid w:val="004C7ECD"/>
    <w:rsid w:val="004D2EA5"/>
    <w:rsid w:val="004D32A6"/>
    <w:rsid w:val="004D53E5"/>
    <w:rsid w:val="004D7C7C"/>
    <w:rsid w:val="004E0F51"/>
    <w:rsid w:val="004E6DC4"/>
    <w:rsid w:val="004F00ED"/>
    <w:rsid w:val="004F0E36"/>
    <w:rsid w:val="004F21C1"/>
    <w:rsid w:val="00501A12"/>
    <w:rsid w:val="0050309C"/>
    <w:rsid w:val="0051327C"/>
    <w:rsid w:val="0051346D"/>
    <w:rsid w:val="00513EAE"/>
    <w:rsid w:val="0051434F"/>
    <w:rsid w:val="00516806"/>
    <w:rsid w:val="0052098C"/>
    <w:rsid w:val="00525A49"/>
    <w:rsid w:val="005262D1"/>
    <w:rsid w:val="00530876"/>
    <w:rsid w:val="00534B99"/>
    <w:rsid w:val="00535613"/>
    <w:rsid w:val="005359EB"/>
    <w:rsid w:val="00535C31"/>
    <w:rsid w:val="0054254A"/>
    <w:rsid w:val="0054500B"/>
    <w:rsid w:val="005466B5"/>
    <w:rsid w:val="00547297"/>
    <w:rsid w:val="00554314"/>
    <w:rsid w:val="00562829"/>
    <w:rsid w:val="005629B3"/>
    <w:rsid w:val="00563B46"/>
    <w:rsid w:val="005724F6"/>
    <w:rsid w:val="00573AC4"/>
    <w:rsid w:val="00574B38"/>
    <w:rsid w:val="005801FC"/>
    <w:rsid w:val="005815D0"/>
    <w:rsid w:val="00585BA9"/>
    <w:rsid w:val="00587359"/>
    <w:rsid w:val="00587812"/>
    <w:rsid w:val="00595016"/>
    <w:rsid w:val="00597AAE"/>
    <w:rsid w:val="005A222C"/>
    <w:rsid w:val="005A4DF8"/>
    <w:rsid w:val="005A7668"/>
    <w:rsid w:val="005A78C8"/>
    <w:rsid w:val="005B1426"/>
    <w:rsid w:val="005C0A8E"/>
    <w:rsid w:val="005C1767"/>
    <w:rsid w:val="005C185C"/>
    <w:rsid w:val="005C2042"/>
    <w:rsid w:val="005C42EF"/>
    <w:rsid w:val="005C68B0"/>
    <w:rsid w:val="005C6A6F"/>
    <w:rsid w:val="005E02F5"/>
    <w:rsid w:val="005E0510"/>
    <w:rsid w:val="005E176E"/>
    <w:rsid w:val="005E218E"/>
    <w:rsid w:val="005E35A0"/>
    <w:rsid w:val="005E728A"/>
    <w:rsid w:val="005F0D1B"/>
    <w:rsid w:val="005F1865"/>
    <w:rsid w:val="006007BD"/>
    <w:rsid w:val="006013C8"/>
    <w:rsid w:val="0060270D"/>
    <w:rsid w:val="00604611"/>
    <w:rsid w:val="00611586"/>
    <w:rsid w:val="00612D26"/>
    <w:rsid w:val="0061412F"/>
    <w:rsid w:val="00615855"/>
    <w:rsid w:val="00620DA8"/>
    <w:rsid w:val="00621887"/>
    <w:rsid w:val="00624520"/>
    <w:rsid w:val="006271F5"/>
    <w:rsid w:val="00632300"/>
    <w:rsid w:val="00632BB7"/>
    <w:rsid w:val="00635B36"/>
    <w:rsid w:val="00636871"/>
    <w:rsid w:val="00640EE1"/>
    <w:rsid w:val="00640F4E"/>
    <w:rsid w:val="00643DE0"/>
    <w:rsid w:val="0064437D"/>
    <w:rsid w:val="00644E85"/>
    <w:rsid w:val="00652C52"/>
    <w:rsid w:val="0066063F"/>
    <w:rsid w:val="00662BB0"/>
    <w:rsid w:val="00663878"/>
    <w:rsid w:val="00667773"/>
    <w:rsid w:val="00670743"/>
    <w:rsid w:val="00680A85"/>
    <w:rsid w:val="00681ADF"/>
    <w:rsid w:val="00690D14"/>
    <w:rsid w:val="00690EE2"/>
    <w:rsid w:val="00693854"/>
    <w:rsid w:val="00694BEB"/>
    <w:rsid w:val="006A0E20"/>
    <w:rsid w:val="006A24E3"/>
    <w:rsid w:val="006A4AE2"/>
    <w:rsid w:val="006A5695"/>
    <w:rsid w:val="006B0439"/>
    <w:rsid w:val="006B3904"/>
    <w:rsid w:val="006B5B7D"/>
    <w:rsid w:val="006C5B46"/>
    <w:rsid w:val="006C6E39"/>
    <w:rsid w:val="006C79F0"/>
    <w:rsid w:val="006D0ECF"/>
    <w:rsid w:val="006D3D5B"/>
    <w:rsid w:val="006D4C92"/>
    <w:rsid w:val="006D4EB6"/>
    <w:rsid w:val="006E13E2"/>
    <w:rsid w:val="006E3202"/>
    <w:rsid w:val="006E35BF"/>
    <w:rsid w:val="006E46B4"/>
    <w:rsid w:val="006E50D8"/>
    <w:rsid w:val="006E7850"/>
    <w:rsid w:val="006F2753"/>
    <w:rsid w:val="006F3C3C"/>
    <w:rsid w:val="006F46D6"/>
    <w:rsid w:val="007028D9"/>
    <w:rsid w:val="00707218"/>
    <w:rsid w:val="00710D04"/>
    <w:rsid w:val="00712B1D"/>
    <w:rsid w:val="00715751"/>
    <w:rsid w:val="007171BA"/>
    <w:rsid w:val="00717616"/>
    <w:rsid w:val="00717C4B"/>
    <w:rsid w:val="00722857"/>
    <w:rsid w:val="0072794F"/>
    <w:rsid w:val="00731E76"/>
    <w:rsid w:val="007325D9"/>
    <w:rsid w:val="0073541A"/>
    <w:rsid w:val="0073583B"/>
    <w:rsid w:val="007360CA"/>
    <w:rsid w:val="0074667B"/>
    <w:rsid w:val="007470BD"/>
    <w:rsid w:val="0075089B"/>
    <w:rsid w:val="007508C2"/>
    <w:rsid w:val="00753E18"/>
    <w:rsid w:val="00760EC0"/>
    <w:rsid w:val="00766DAB"/>
    <w:rsid w:val="007711BD"/>
    <w:rsid w:val="0078003A"/>
    <w:rsid w:val="00780276"/>
    <w:rsid w:val="00780771"/>
    <w:rsid w:val="007929CF"/>
    <w:rsid w:val="007A49E7"/>
    <w:rsid w:val="007A6F28"/>
    <w:rsid w:val="007A7828"/>
    <w:rsid w:val="007B03C6"/>
    <w:rsid w:val="007B0DB1"/>
    <w:rsid w:val="007B5673"/>
    <w:rsid w:val="007B7238"/>
    <w:rsid w:val="007B76FF"/>
    <w:rsid w:val="007C3BF6"/>
    <w:rsid w:val="007C3D8C"/>
    <w:rsid w:val="007C67B3"/>
    <w:rsid w:val="007D0FD2"/>
    <w:rsid w:val="007D2EF8"/>
    <w:rsid w:val="007D561F"/>
    <w:rsid w:val="007D7FD2"/>
    <w:rsid w:val="007E13D9"/>
    <w:rsid w:val="007E2AEC"/>
    <w:rsid w:val="007E41BE"/>
    <w:rsid w:val="007E4DB6"/>
    <w:rsid w:val="007E6733"/>
    <w:rsid w:val="007E7CD4"/>
    <w:rsid w:val="007F12AC"/>
    <w:rsid w:val="007F4501"/>
    <w:rsid w:val="007F60DF"/>
    <w:rsid w:val="00801800"/>
    <w:rsid w:val="00801861"/>
    <w:rsid w:val="00801B5B"/>
    <w:rsid w:val="008216E7"/>
    <w:rsid w:val="00825BE6"/>
    <w:rsid w:val="008276B4"/>
    <w:rsid w:val="00831927"/>
    <w:rsid w:val="00831FCE"/>
    <w:rsid w:val="008333B0"/>
    <w:rsid w:val="00837288"/>
    <w:rsid w:val="00841BD3"/>
    <w:rsid w:val="0084273D"/>
    <w:rsid w:val="00844E3F"/>
    <w:rsid w:val="00845A83"/>
    <w:rsid w:val="00846BB9"/>
    <w:rsid w:val="00853C0F"/>
    <w:rsid w:val="008649D5"/>
    <w:rsid w:val="008712BB"/>
    <w:rsid w:val="00871763"/>
    <w:rsid w:val="008830E7"/>
    <w:rsid w:val="00890EDE"/>
    <w:rsid w:val="00892536"/>
    <w:rsid w:val="00892B38"/>
    <w:rsid w:val="008A1741"/>
    <w:rsid w:val="008A2484"/>
    <w:rsid w:val="008A52F3"/>
    <w:rsid w:val="008A6A85"/>
    <w:rsid w:val="008B2CE8"/>
    <w:rsid w:val="008B3CC2"/>
    <w:rsid w:val="008C26D9"/>
    <w:rsid w:val="008C6D50"/>
    <w:rsid w:val="008C7167"/>
    <w:rsid w:val="008C7503"/>
    <w:rsid w:val="008D1617"/>
    <w:rsid w:val="008D330F"/>
    <w:rsid w:val="008D48C1"/>
    <w:rsid w:val="008E0448"/>
    <w:rsid w:val="008E6315"/>
    <w:rsid w:val="008F07FC"/>
    <w:rsid w:val="008F11E0"/>
    <w:rsid w:val="008F3C25"/>
    <w:rsid w:val="008F3EA7"/>
    <w:rsid w:val="008F78BC"/>
    <w:rsid w:val="008F7B63"/>
    <w:rsid w:val="008F7D6A"/>
    <w:rsid w:val="00901C86"/>
    <w:rsid w:val="00903603"/>
    <w:rsid w:val="009054CB"/>
    <w:rsid w:val="009067CD"/>
    <w:rsid w:val="00911F8D"/>
    <w:rsid w:val="0091206A"/>
    <w:rsid w:val="00912F94"/>
    <w:rsid w:val="00915A33"/>
    <w:rsid w:val="00915BFE"/>
    <w:rsid w:val="009171BC"/>
    <w:rsid w:val="0092497E"/>
    <w:rsid w:val="00925410"/>
    <w:rsid w:val="0092590B"/>
    <w:rsid w:val="00925BF3"/>
    <w:rsid w:val="00925E60"/>
    <w:rsid w:val="009264B3"/>
    <w:rsid w:val="0093478C"/>
    <w:rsid w:val="009365E0"/>
    <w:rsid w:val="00942BA2"/>
    <w:rsid w:val="009432B7"/>
    <w:rsid w:val="00944C86"/>
    <w:rsid w:val="00947C02"/>
    <w:rsid w:val="00950BE6"/>
    <w:rsid w:val="00957DE8"/>
    <w:rsid w:val="00960ECB"/>
    <w:rsid w:val="009615D6"/>
    <w:rsid w:val="00967855"/>
    <w:rsid w:val="00974709"/>
    <w:rsid w:val="00974816"/>
    <w:rsid w:val="00980736"/>
    <w:rsid w:val="00981A39"/>
    <w:rsid w:val="00982D56"/>
    <w:rsid w:val="00983DBF"/>
    <w:rsid w:val="00987097"/>
    <w:rsid w:val="00991123"/>
    <w:rsid w:val="00991CAB"/>
    <w:rsid w:val="00995982"/>
    <w:rsid w:val="00995DA7"/>
    <w:rsid w:val="009A06AD"/>
    <w:rsid w:val="009A3A9C"/>
    <w:rsid w:val="009B046C"/>
    <w:rsid w:val="009B13FA"/>
    <w:rsid w:val="009B1E2D"/>
    <w:rsid w:val="009C59FB"/>
    <w:rsid w:val="009C6F3B"/>
    <w:rsid w:val="009D1467"/>
    <w:rsid w:val="009E4FA6"/>
    <w:rsid w:val="009E7D93"/>
    <w:rsid w:val="009F3C34"/>
    <w:rsid w:val="009F462C"/>
    <w:rsid w:val="009F5C33"/>
    <w:rsid w:val="00A01BCC"/>
    <w:rsid w:val="00A026F0"/>
    <w:rsid w:val="00A03EAC"/>
    <w:rsid w:val="00A04DBB"/>
    <w:rsid w:val="00A0540C"/>
    <w:rsid w:val="00A07EA0"/>
    <w:rsid w:val="00A11CA6"/>
    <w:rsid w:val="00A20C49"/>
    <w:rsid w:val="00A22932"/>
    <w:rsid w:val="00A269CA"/>
    <w:rsid w:val="00A336EE"/>
    <w:rsid w:val="00A33F46"/>
    <w:rsid w:val="00A3427E"/>
    <w:rsid w:val="00A359AC"/>
    <w:rsid w:val="00A40910"/>
    <w:rsid w:val="00A40F83"/>
    <w:rsid w:val="00A410FB"/>
    <w:rsid w:val="00A41413"/>
    <w:rsid w:val="00A431E6"/>
    <w:rsid w:val="00A436E8"/>
    <w:rsid w:val="00A45FB1"/>
    <w:rsid w:val="00A46CCC"/>
    <w:rsid w:val="00A47996"/>
    <w:rsid w:val="00A51CFE"/>
    <w:rsid w:val="00A5204D"/>
    <w:rsid w:val="00A56295"/>
    <w:rsid w:val="00A61605"/>
    <w:rsid w:val="00A64BB4"/>
    <w:rsid w:val="00A65F97"/>
    <w:rsid w:val="00A755F3"/>
    <w:rsid w:val="00A76C13"/>
    <w:rsid w:val="00A84FD0"/>
    <w:rsid w:val="00A85307"/>
    <w:rsid w:val="00A8784B"/>
    <w:rsid w:val="00A92442"/>
    <w:rsid w:val="00A92E79"/>
    <w:rsid w:val="00A950B6"/>
    <w:rsid w:val="00A95D45"/>
    <w:rsid w:val="00AA5A4D"/>
    <w:rsid w:val="00AB41C1"/>
    <w:rsid w:val="00AB4CF2"/>
    <w:rsid w:val="00AB6CCA"/>
    <w:rsid w:val="00AC1F18"/>
    <w:rsid w:val="00AC223F"/>
    <w:rsid w:val="00AC33B1"/>
    <w:rsid w:val="00AC5C5D"/>
    <w:rsid w:val="00AD12A8"/>
    <w:rsid w:val="00AD7C6A"/>
    <w:rsid w:val="00AE023F"/>
    <w:rsid w:val="00AE0C1A"/>
    <w:rsid w:val="00AF3577"/>
    <w:rsid w:val="00AF35F9"/>
    <w:rsid w:val="00AF6ECD"/>
    <w:rsid w:val="00B0424C"/>
    <w:rsid w:val="00B05C7D"/>
    <w:rsid w:val="00B15D57"/>
    <w:rsid w:val="00B16347"/>
    <w:rsid w:val="00B17D6E"/>
    <w:rsid w:val="00B20941"/>
    <w:rsid w:val="00B2435E"/>
    <w:rsid w:val="00B26542"/>
    <w:rsid w:val="00B346C3"/>
    <w:rsid w:val="00B4005C"/>
    <w:rsid w:val="00B4227E"/>
    <w:rsid w:val="00B43EEA"/>
    <w:rsid w:val="00B4471C"/>
    <w:rsid w:val="00B451A6"/>
    <w:rsid w:val="00B56D6E"/>
    <w:rsid w:val="00B64347"/>
    <w:rsid w:val="00B65DC6"/>
    <w:rsid w:val="00B67AC2"/>
    <w:rsid w:val="00B722DE"/>
    <w:rsid w:val="00B751E3"/>
    <w:rsid w:val="00B756D8"/>
    <w:rsid w:val="00B75BA6"/>
    <w:rsid w:val="00B76C44"/>
    <w:rsid w:val="00B8184A"/>
    <w:rsid w:val="00B82283"/>
    <w:rsid w:val="00B828D8"/>
    <w:rsid w:val="00B83F87"/>
    <w:rsid w:val="00B87CDC"/>
    <w:rsid w:val="00B90DC8"/>
    <w:rsid w:val="00B910C1"/>
    <w:rsid w:val="00B924D1"/>
    <w:rsid w:val="00BA2CA4"/>
    <w:rsid w:val="00BA2EFA"/>
    <w:rsid w:val="00BA3DBC"/>
    <w:rsid w:val="00BA707A"/>
    <w:rsid w:val="00BB1AFB"/>
    <w:rsid w:val="00BB27AE"/>
    <w:rsid w:val="00BB2DA2"/>
    <w:rsid w:val="00BB56DC"/>
    <w:rsid w:val="00BD385A"/>
    <w:rsid w:val="00BD4DF7"/>
    <w:rsid w:val="00BE183D"/>
    <w:rsid w:val="00BF3652"/>
    <w:rsid w:val="00BF4849"/>
    <w:rsid w:val="00BF5D7A"/>
    <w:rsid w:val="00C01C2E"/>
    <w:rsid w:val="00C02D33"/>
    <w:rsid w:val="00C04B53"/>
    <w:rsid w:val="00C05378"/>
    <w:rsid w:val="00C1232C"/>
    <w:rsid w:val="00C27C6B"/>
    <w:rsid w:val="00C3594D"/>
    <w:rsid w:val="00C36442"/>
    <w:rsid w:val="00C400CE"/>
    <w:rsid w:val="00C410FD"/>
    <w:rsid w:val="00C457DE"/>
    <w:rsid w:val="00C47DD3"/>
    <w:rsid w:val="00C53562"/>
    <w:rsid w:val="00C539FB"/>
    <w:rsid w:val="00C653F2"/>
    <w:rsid w:val="00C66E57"/>
    <w:rsid w:val="00C70EE5"/>
    <w:rsid w:val="00C74150"/>
    <w:rsid w:val="00C75594"/>
    <w:rsid w:val="00C82962"/>
    <w:rsid w:val="00C844E6"/>
    <w:rsid w:val="00C85982"/>
    <w:rsid w:val="00C97517"/>
    <w:rsid w:val="00C9767B"/>
    <w:rsid w:val="00CA0466"/>
    <w:rsid w:val="00CA246D"/>
    <w:rsid w:val="00CA50D9"/>
    <w:rsid w:val="00CB137E"/>
    <w:rsid w:val="00CB3054"/>
    <w:rsid w:val="00CB5636"/>
    <w:rsid w:val="00CC3EE5"/>
    <w:rsid w:val="00CE425C"/>
    <w:rsid w:val="00CE58AC"/>
    <w:rsid w:val="00CF5A80"/>
    <w:rsid w:val="00D008E6"/>
    <w:rsid w:val="00D02B38"/>
    <w:rsid w:val="00D045EE"/>
    <w:rsid w:val="00D05091"/>
    <w:rsid w:val="00D10CA6"/>
    <w:rsid w:val="00D10F21"/>
    <w:rsid w:val="00D13103"/>
    <w:rsid w:val="00D134CF"/>
    <w:rsid w:val="00D1573B"/>
    <w:rsid w:val="00D15DB2"/>
    <w:rsid w:val="00D24806"/>
    <w:rsid w:val="00D34040"/>
    <w:rsid w:val="00D34E69"/>
    <w:rsid w:val="00D36C78"/>
    <w:rsid w:val="00D375EE"/>
    <w:rsid w:val="00D55AE8"/>
    <w:rsid w:val="00D56056"/>
    <w:rsid w:val="00D6085F"/>
    <w:rsid w:val="00D61356"/>
    <w:rsid w:val="00D62699"/>
    <w:rsid w:val="00D778E9"/>
    <w:rsid w:val="00D812BF"/>
    <w:rsid w:val="00D82620"/>
    <w:rsid w:val="00D85532"/>
    <w:rsid w:val="00D85707"/>
    <w:rsid w:val="00D9725F"/>
    <w:rsid w:val="00DA01B1"/>
    <w:rsid w:val="00DA11A2"/>
    <w:rsid w:val="00DA14ED"/>
    <w:rsid w:val="00DA26D6"/>
    <w:rsid w:val="00DB2EF1"/>
    <w:rsid w:val="00DB3DE1"/>
    <w:rsid w:val="00DB5DA0"/>
    <w:rsid w:val="00DB716C"/>
    <w:rsid w:val="00DC2422"/>
    <w:rsid w:val="00DC5C85"/>
    <w:rsid w:val="00DC7C5D"/>
    <w:rsid w:val="00DD4236"/>
    <w:rsid w:val="00DD44F1"/>
    <w:rsid w:val="00DD6957"/>
    <w:rsid w:val="00DD6E7A"/>
    <w:rsid w:val="00DD7782"/>
    <w:rsid w:val="00DE3067"/>
    <w:rsid w:val="00DF3EEE"/>
    <w:rsid w:val="00DF75E1"/>
    <w:rsid w:val="00E027BC"/>
    <w:rsid w:val="00E04497"/>
    <w:rsid w:val="00E10F0D"/>
    <w:rsid w:val="00E14EA5"/>
    <w:rsid w:val="00E164EB"/>
    <w:rsid w:val="00E2070E"/>
    <w:rsid w:val="00E21133"/>
    <w:rsid w:val="00E2327E"/>
    <w:rsid w:val="00E261C7"/>
    <w:rsid w:val="00E266EF"/>
    <w:rsid w:val="00E47428"/>
    <w:rsid w:val="00E51403"/>
    <w:rsid w:val="00E56C8E"/>
    <w:rsid w:val="00E5716B"/>
    <w:rsid w:val="00E57F1F"/>
    <w:rsid w:val="00E649AF"/>
    <w:rsid w:val="00E65BDC"/>
    <w:rsid w:val="00E66B9F"/>
    <w:rsid w:val="00E70A6A"/>
    <w:rsid w:val="00E710D6"/>
    <w:rsid w:val="00E73DA4"/>
    <w:rsid w:val="00E76E45"/>
    <w:rsid w:val="00E777C9"/>
    <w:rsid w:val="00E80BF2"/>
    <w:rsid w:val="00E81DA6"/>
    <w:rsid w:val="00E84212"/>
    <w:rsid w:val="00E9086C"/>
    <w:rsid w:val="00E90AAA"/>
    <w:rsid w:val="00E91A0F"/>
    <w:rsid w:val="00E946B3"/>
    <w:rsid w:val="00E94A71"/>
    <w:rsid w:val="00E94CBF"/>
    <w:rsid w:val="00EA03CE"/>
    <w:rsid w:val="00EA23E5"/>
    <w:rsid w:val="00EA4E2E"/>
    <w:rsid w:val="00EB2417"/>
    <w:rsid w:val="00EB24C3"/>
    <w:rsid w:val="00EB2CCB"/>
    <w:rsid w:val="00EB7A25"/>
    <w:rsid w:val="00EC0F3E"/>
    <w:rsid w:val="00EC57A7"/>
    <w:rsid w:val="00ED0817"/>
    <w:rsid w:val="00ED73B2"/>
    <w:rsid w:val="00ED7DD9"/>
    <w:rsid w:val="00EE445B"/>
    <w:rsid w:val="00EF05C2"/>
    <w:rsid w:val="00EF3113"/>
    <w:rsid w:val="00EF3DBC"/>
    <w:rsid w:val="00EF3F13"/>
    <w:rsid w:val="00EF3F84"/>
    <w:rsid w:val="00EF4735"/>
    <w:rsid w:val="00F02AC6"/>
    <w:rsid w:val="00F03EDE"/>
    <w:rsid w:val="00F0726E"/>
    <w:rsid w:val="00F176AC"/>
    <w:rsid w:val="00F25499"/>
    <w:rsid w:val="00F26F28"/>
    <w:rsid w:val="00F27714"/>
    <w:rsid w:val="00F3276E"/>
    <w:rsid w:val="00F33D3C"/>
    <w:rsid w:val="00F37A91"/>
    <w:rsid w:val="00F408A0"/>
    <w:rsid w:val="00F40D65"/>
    <w:rsid w:val="00F45CF5"/>
    <w:rsid w:val="00F47DB0"/>
    <w:rsid w:val="00F50C3F"/>
    <w:rsid w:val="00F50E34"/>
    <w:rsid w:val="00F53EF7"/>
    <w:rsid w:val="00F54BF2"/>
    <w:rsid w:val="00F66DF8"/>
    <w:rsid w:val="00F7555F"/>
    <w:rsid w:val="00F775AC"/>
    <w:rsid w:val="00F801E7"/>
    <w:rsid w:val="00F843D8"/>
    <w:rsid w:val="00F84FBF"/>
    <w:rsid w:val="00F92355"/>
    <w:rsid w:val="00F93963"/>
    <w:rsid w:val="00F94291"/>
    <w:rsid w:val="00FA298A"/>
    <w:rsid w:val="00FA5B66"/>
    <w:rsid w:val="00FB30EB"/>
    <w:rsid w:val="00FB53C5"/>
    <w:rsid w:val="00FB7982"/>
    <w:rsid w:val="00FC0734"/>
    <w:rsid w:val="00FC0FC5"/>
    <w:rsid w:val="00FC588F"/>
    <w:rsid w:val="00FC6879"/>
    <w:rsid w:val="00FD039C"/>
    <w:rsid w:val="00FE1B30"/>
    <w:rsid w:val="00FE7B44"/>
    <w:rsid w:val="00FF03CC"/>
    <w:rsid w:val="00FF59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43CE83FA-AF5E-456F-9707-586D556A6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3"/>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uiPriority w:val="22"/>
    <w:qFormat/>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1"/>
      </w:numPr>
      <w:spacing w:before="60" w:after="60"/>
    </w:pPr>
  </w:style>
  <w:style w:type="numbering" w:customStyle="1" w:styleId="FCOrders">
    <w:name w:val="FCOrders"/>
    <w:uiPriority w:val="99"/>
    <w:rsid w:val="004104B6"/>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5"/>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4"/>
      </w:numPr>
    </w:pPr>
  </w:style>
  <w:style w:type="paragraph" w:customStyle="1" w:styleId="Order4">
    <w:name w:val="Order 4"/>
    <w:basedOn w:val="Order3"/>
    <w:rsid w:val="004104B6"/>
    <w:pPr>
      <w:numPr>
        <w:ilvl w:val="3"/>
      </w:numPr>
    </w:pPr>
  </w:style>
  <w:style w:type="character" w:customStyle="1" w:styleId="sssh">
    <w:name w:val="ss_sh"/>
    <w:basedOn w:val="DefaultParagraphFont"/>
    <w:rsid w:val="004154DD"/>
  </w:style>
  <w:style w:type="character" w:customStyle="1" w:styleId="ssit">
    <w:name w:val="ss_it"/>
    <w:basedOn w:val="DefaultParagraphFont"/>
    <w:rsid w:val="004154DD"/>
  </w:style>
  <w:style w:type="paragraph" w:customStyle="1" w:styleId="subsection">
    <w:name w:val="subsection"/>
    <w:basedOn w:val="Normal"/>
    <w:rsid w:val="008A6A85"/>
    <w:pPr>
      <w:spacing w:before="100" w:beforeAutospacing="1" w:after="100" w:afterAutospacing="1" w:line="240" w:lineRule="auto"/>
      <w:jc w:val="left"/>
    </w:pPr>
    <w:rPr>
      <w:rFonts w:eastAsia="Times New Roman"/>
      <w:szCs w:val="24"/>
      <w:lang w:eastAsia="en-AU"/>
    </w:rPr>
  </w:style>
  <w:style w:type="paragraph" w:styleId="ListParagraph">
    <w:name w:val="List Paragraph"/>
    <w:basedOn w:val="Normal"/>
    <w:uiPriority w:val="1"/>
    <w:qFormat/>
    <w:rsid w:val="003C3551"/>
    <w:pPr>
      <w:widowControl w:val="0"/>
      <w:autoSpaceDE w:val="0"/>
      <w:autoSpaceDN w:val="0"/>
      <w:spacing w:before="121" w:line="240" w:lineRule="auto"/>
      <w:ind w:left="678" w:right="165" w:hanging="531"/>
    </w:pPr>
    <w:rPr>
      <w:rFonts w:eastAsia="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7644">
      <w:bodyDiv w:val="1"/>
      <w:marLeft w:val="0"/>
      <w:marRight w:val="0"/>
      <w:marTop w:val="0"/>
      <w:marBottom w:val="0"/>
      <w:divBdr>
        <w:top w:val="none" w:sz="0" w:space="0" w:color="auto"/>
        <w:left w:val="none" w:sz="0" w:space="0" w:color="auto"/>
        <w:bottom w:val="none" w:sz="0" w:space="0" w:color="auto"/>
        <w:right w:val="none" w:sz="0" w:space="0" w:color="auto"/>
      </w:divBdr>
    </w:div>
    <w:div w:id="112330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1EC17EA6D64C20B293EA62A8FAE453"/>
        <w:category>
          <w:name w:val="General"/>
          <w:gallery w:val="placeholder"/>
        </w:category>
        <w:types>
          <w:type w:val="bbPlcHdr"/>
        </w:types>
        <w:behaviors>
          <w:behavior w:val="content"/>
        </w:behaviors>
        <w:guid w:val="{D80CD787-39BA-4FF2-915F-1E9E18455988}"/>
      </w:docPartPr>
      <w:docPartBody>
        <w:p w:rsidR="0097542D" w:rsidRDefault="0064213D">
          <w:pPr>
            <w:pStyle w:val="031EC17EA6D64C20B293EA62A8FAE453"/>
          </w:pPr>
          <w:r>
            <w:rPr>
              <w:rStyle w:val="PlaceholderText"/>
            </w:rPr>
            <w:t>MNC Text</w:t>
          </w:r>
        </w:p>
      </w:docPartBody>
    </w:docPart>
    <w:docPart>
      <w:docPartPr>
        <w:name w:val="3E4968400BEB4A5281DDA7CF3CF4FF21"/>
        <w:category>
          <w:name w:val="General"/>
          <w:gallery w:val="placeholder"/>
        </w:category>
        <w:types>
          <w:type w:val="bbPlcHdr"/>
        </w:types>
        <w:behaviors>
          <w:behavior w:val="content"/>
        </w:behaviors>
        <w:guid w:val="{75921AA9-36A7-41E0-9DB5-99721E9E316D}"/>
      </w:docPartPr>
      <w:docPartBody>
        <w:p w:rsidR="0097542D" w:rsidRDefault="0064213D">
          <w:pPr>
            <w:pStyle w:val="3E4968400BEB4A5281DDA7CF3CF4FF21"/>
          </w:pPr>
          <w:r w:rsidRPr="005C44BE">
            <w:rPr>
              <w:rStyle w:val="PlaceholderText"/>
            </w:rPr>
            <w:t>Click or tap here to enter text.</w:t>
          </w:r>
        </w:p>
      </w:docPartBody>
    </w:docPart>
    <w:docPart>
      <w:docPartPr>
        <w:name w:val="4F82BDF4651545C6A29FC658309BB9DB"/>
        <w:category>
          <w:name w:val="General"/>
          <w:gallery w:val="placeholder"/>
        </w:category>
        <w:types>
          <w:type w:val="bbPlcHdr"/>
        </w:types>
        <w:behaviors>
          <w:behavior w:val="content"/>
        </w:behaviors>
        <w:guid w:val="{7306119F-F4CD-4921-8DCC-4F2BDA046034}"/>
      </w:docPartPr>
      <w:docPartBody>
        <w:p w:rsidR="0097542D" w:rsidRDefault="0064213D">
          <w:pPr>
            <w:pStyle w:val="4F82BDF4651545C6A29FC658309BB9DB"/>
          </w:pPr>
          <w:r w:rsidRPr="005C44BE">
            <w:rPr>
              <w:rStyle w:val="PlaceholderText"/>
            </w:rPr>
            <w:t>Click or tap here to enter text.</w:t>
          </w:r>
        </w:p>
      </w:docPartBody>
    </w:docPart>
    <w:docPart>
      <w:docPartPr>
        <w:name w:val="DA7D0A0165664F7F8D6DF4DBDB73E95F"/>
        <w:category>
          <w:name w:val="General"/>
          <w:gallery w:val="placeholder"/>
        </w:category>
        <w:types>
          <w:type w:val="bbPlcHdr"/>
        </w:types>
        <w:behaviors>
          <w:behavior w:val="content"/>
        </w:behaviors>
        <w:guid w:val="{D02D560E-484C-4D24-AA72-71CCA596A34F}"/>
      </w:docPartPr>
      <w:docPartBody>
        <w:p w:rsidR="0097542D" w:rsidRDefault="0064213D">
          <w:pPr>
            <w:pStyle w:val="DA7D0A0165664F7F8D6DF4DBDB73E95F"/>
          </w:pPr>
          <w:r w:rsidRPr="005C44BE">
            <w:rPr>
              <w:rStyle w:val="PlaceholderText"/>
            </w:rPr>
            <w:t>Click or tap here to enter text.</w:t>
          </w:r>
        </w:p>
      </w:docPartBody>
    </w:docPart>
    <w:docPart>
      <w:docPartPr>
        <w:name w:val="DD78E06581D140E8830C10AF08AF2F98"/>
        <w:category>
          <w:name w:val="General"/>
          <w:gallery w:val="placeholder"/>
        </w:category>
        <w:types>
          <w:type w:val="bbPlcHdr"/>
        </w:types>
        <w:behaviors>
          <w:behavior w:val="content"/>
        </w:behaviors>
        <w:guid w:val="{F07E0EB9-AC16-4C2E-B588-13FFAB8A8484}"/>
      </w:docPartPr>
      <w:docPartBody>
        <w:p w:rsidR="0097542D" w:rsidRDefault="0064213D">
          <w:pPr>
            <w:pStyle w:val="DD78E06581D140E8830C10AF08AF2F98"/>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13D"/>
    <w:rsid w:val="00352324"/>
    <w:rsid w:val="0064213D"/>
    <w:rsid w:val="0097542D"/>
    <w:rsid w:val="009A11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213D"/>
    <w:rPr>
      <w:color w:val="808080"/>
    </w:rPr>
  </w:style>
  <w:style w:type="paragraph" w:customStyle="1" w:styleId="031EC17EA6D64C20B293EA62A8FAE453">
    <w:name w:val="031EC17EA6D64C20B293EA62A8FAE453"/>
  </w:style>
  <w:style w:type="paragraph" w:customStyle="1" w:styleId="3E4968400BEB4A5281DDA7CF3CF4FF21">
    <w:name w:val="3E4968400BEB4A5281DDA7CF3CF4FF21"/>
  </w:style>
  <w:style w:type="paragraph" w:customStyle="1" w:styleId="4F82BDF4651545C6A29FC658309BB9DB">
    <w:name w:val="4F82BDF4651545C6A29FC658309BB9DB"/>
  </w:style>
  <w:style w:type="paragraph" w:customStyle="1" w:styleId="DA7D0A0165664F7F8D6DF4DBDB73E95F">
    <w:name w:val="DA7D0A0165664F7F8D6DF4DBDB73E95F"/>
  </w:style>
  <w:style w:type="paragraph" w:customStyle="1" w:styleId="DD78E06581D140E8830C10AF08AF2F98">
    <w:name w:val="DD78E06581D140E8830C10AF08AF2F98"/>
  </w:style>
  <w:style w:type="paragraph" w:customStyle="1" w:styleId="B45716B7DA4A484F8A1BE6669B551E45">
    <w:name w:val="B45716B7DA4A484F8A1BE6669B551E45"/>
    <w:rsid w:val="006421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http://schemas.globalmacros.com/FCA">
  <Name> Stead v Fairfax Media Publications Pty Ltd (No 2) [2021] FCA 65 </Name>
</root>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docProps/app.xml><?xml version="1.0" encoding="utf-8"?>
<Properties xmlns="http://schemas.openxmlformats.org/officeDocument/2006/extended-properties" xmlns:vt="http://schemas.openxmlformats.org/officeDocument/2006/docPropsVTypes">
  <Template>Judgment.dotx</Template>
  <TotalTime>20</TotalTime>
  <Pages>12</Pages>
  <Words>4423</Words>
  <Characters>21431</Characters>
  <Application>Microsoft Office Word</Application>
  <DocSecurity>0</DocSecurity>
  <Lines>455</Lines>
  <Paragraphs>164</Paragraphs>
  <ScaleCrop>false</ScaleCrop>
  <HeadingPairs>
    <vt:vector size="2" baseType="variant">
      <vt:variant>
        <vt:lpstr>Title</vt:lpstr>
      </vt:variant>
      <vt:variant>
        <vt:i4>1</vt:i4>
      </vt:variant>
    </vt:vector>
  </HeadingPairs>
  <TitlesOfParts>
    <vt:vector size="1" baseType="lpstr">
      <vt:lpstr>Stead v Fairfax Media Publications Pty Ltd (No 2) [2021] FCA 65</vt:lpstr>
    </vt:vector>
  </TitlesOfParts>
  <Company>Federal Court of Australia</Company>
  <LinksUpToDate>false</LinksUpToDate>
  <CharactersWithSpaces>25690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Stead v Fairfax Media Publications Pty Ltd (No 2) [2021] FCA 65</dc:title>
  <dc:creator>Federal Court of Australia</dc:creator>
  <cp:lastModifiedBy>Federal Court of Australia</cp:lastModifiedBy>
  <cp:revision>7</cp:revision>
  <cp:lastPrinted>2021-02-06T07:31:00Z</cp:lastPrinted>
  <dcterms:created xsi:type="dcterms:W3CDTF">2021-02-07T23:09:00Z</dcterms:created>
  <dcterms:modified xsi:type="dcterms:W3CDTF">2021-02-08T02:42:00Z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SYDNEY</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&lt;Registry&gt;</vt:lpwstr>
  </property>
  <property fmtid="{D5CDD505-2E9C-101B-9397-08002B2CF9AE}" pid="13" name="Division">
    <vt:lpwstr>&lt;Division&gt;</vt:lpwstr>
  </property>
  <property fmtid="{D5CDD505-2E9C-101B-9397-08002B2CF9AE}" pid="14" name="FileNo">
    <vt:lpwstr>&lt;FILE NO&gt;</vt:lpwstr>
  </property>
  <property fmtid="{D5CDD505-2E9C-101B-9397-08002B2CF9AE}" pid="15" name="Practice Area">
    <vt:lpwstr>&lt;Practice Area&gt;</vt:lpwstr>
  </property>
  <property fmtid="{D5CDD505-2E9C-101B-9397-08002B2CF9AE}" pid="16" name="Court">
    <vt:lpwstr>Federal Court of Australia</vt:lpwstr>
  </property>
  <property fmtid="{D5CDD505-2E9C-101B-9397-08002B2CF9AE}" pid="17" name="Sub Area">
    <vt:lpwstr>&lt;Sub Area&gt;</vt:lpwstr>
  </property>
  <property fmtid="{D5CDD505-2E9C-101B-9397-08002B2CF9AE}" pid="18" name="AppealFrom">
    <vt:lpwstr>&lt;AppealFrom&gt;</vt:lpwstr>
  </property>
</Properties>
</file>