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40F2F">
      <w:pPr>
        <w:pStyle w:val="MediaNeutralStyle"/>
      </w:pPr>
      <w:bookmarkStart w:id="0" w:name="MNC"/>
      <w:r w:rsidRPr="00340F2F">
        <w:t xml:space="preserve">Gill v Ethicon </w:t>
      </w:r>
      <w:proofErr w:type="spellStart"/>
      <w:r w:rsidR="001C2D0D">
        <w:t>Sàrl</w:t>
      </w:r>
      <w:proofErr w:type="spellEnd"/>
      <w:r w:rsidR="001C2D0D">
        <w:t xml:space="preserve"> </w:t>
      </w:r>
      <w:r w:rsidR="00761040">
        <w:t>(No 2)</w:t>
      </w:r>
      <w:r w:rsidRPr="00340F2F">
        <w:t xml:space="preserve"> [201</w:t>
      </w:r>
      <w:r w:rsidR="00B902B3">
        <w:t>9</w:t>
      </w:r>
      <w:r w:rsidRPr="00340F2F">
        <w:t>] FCA</w:t>
      </w:r>
      <w:r w:rsidR="000B156A">
        <w:t xml:space="preserve"> 177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45B4E">
        <w:tc>
          <w:tcPr>
            <w:tcW w:w="3085" w:type="dxa"/>
            <w:shd w:val="clear" w:color="auto" w:fill="auto"/>
          </w:tcPr>
          <w:p w:rsidR="00395B24" w:rsidRDefault="00AA0CBD" w:rsidP="00663878">
            <w:pPr>
              <w:pStyle w:val="Normal1linespace"/>
              <w:widowControl w:val="0"/>
              <w:jc w:val="left"/>
            </w:pPr>
            <w:r>
              <w:t>File number</w:t>
            </w:r>
            <w:r w:rsidR="002C7385">
              <w:t>:</w:t>
            </w:r>
          </w:p>
        </w:tc>
        <w:tc>
          <w:tcPr>
            <w:tcW w:w="5989" w:type="dxa"/>
            <w:shd w:val="clear" w:color="auto" w:fill="auto"/>
          </w:tcPr>
          <w:p w:rsidR="00395B24" w:rsidRPr="00601DFC" w:rsidRDefault="001C2D0D" w:rsidP="00601DFC">
            <w:pPr>
              <w:pStyle w:val="Normal1linespace"/>
              <w:jc w:val="left"/>
            </w:pPr>
            <w:fldSimple w:instr=" REF  FileNo  \* MERGEFORMAT " w:fldLock="1">
              <w:r w:rsidR="00601DFC" w:rsidRPr="00601DFC">
                <w:t>NSD 1590 of 2012</w:t>
              </w:r>
            </w:fldSimple>
          </w:p>
        </w:tc>
      </w:tr>
      <w:tr w:rsidR="00395B24" w:rsidTr="00845B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45B4E">
        <w:tc>
          <w:tcPr>
            <w:tcW w:w="3085" w:type="dxa"/>
            <w:shd w:val="clear" w:color="auto" w:fill="auto"/>
          </w:tcPr>
          <w:p w:rsidR="00395B24" w:rsidRDefault="00AA0CB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01DFC">
              <w:rPr>
                <w:b/>
              </w:rPr>
              <w:fldChar w:fldCharType="begin" w:fldLock="1"/>
            </w:r>
            <w:r w:rsidRPr="00601DFC">
              <w:rPr>
                <w:b/>
              </w:rPr>
              <w:instrText xml:space="preserve"> REF  Judge  \* MERGEFORMAT </w:instrText>
            </w:r>
            <w:r w:rsidRPr="00601DFC">
              <w:rPr>
                <w:b/>
              </w:rPr>
              <w:fldChar w:fldCharType="separate"/>
            </w:r>
            <w:r w:rsidR="00601DFC" w:rsidRPr="00601DFC">
              <w:rPr>
                <w:b/>
                <w:caps/>
                <w:szCs w:val="24"/>
              </w:rPr>
              <w:t>LEE J</w:t>
            </w:r>
            <w:r w:rsidRPr="00601DFC">
              <w:rPr>
                <w:b/>
              </w:rPr>
              <w:fldChar w:fldCharType="end"/>
            </w:r>
          </w:p>
        </w:tc>
      </w:tr>
      <w:tr w:rsidR="00395B24" w:rsidTr="00845B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45B4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01DFC" w:rsidP="00663878">
            <w:pPr>
              <w:pStyle w:val="Normal1linespace"/>
              <w:widowControl w:val="0"/>
              <w:jc w:val="left"/>
            </w:pPr>
            <w:bookmarkStart w:id="1" w:name="JudgmentDate"/>
            <w:r>
              <w:t>4 February 2019</w:t>
            </w:r>
            <w:bookmarkEnd w:id="1"/>
          </w:p>
        </w:tc>
      </w:tr>
      <w:tr w:rsidR="00395B24" w:rsidTr="00845B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45B4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45D36" w:rsidP="0016350E">
            <w:pPr>
              <w:pStyle w:val="Normal1linespace"/>
              <w:widowControl w:val="0"/>
              <w:ind w:left="60"/>
              <w:jc w:val="left"/>
            </w:pPr>
            <w:bookmarkStart w:id="2" w:name="Catchwords"/>
            <w:r>
              <w:rPr>
                <w:b/>
              </w:rPr>
              <w:t>RE</w:t>
            </w:r>
            <w:r w:rsidR="00AD04F9" w:rsidRPr="0082035E">
              <w:rPr>
                <w:b/>
              </w:rPr>
              <w:t>PRESENTATIVE PROCEEDINGS</w:t>
            </w:r>
            <w:r w:rsidR="00AD04F9">
              <w:t xml:space="preserve"> – application for “hard closure” of the class – </w:t>
            </w:r>
            <w:r w:rsidR="0016350E">
              <w:t xml:space="preserve">appropriateness of “hard closure” orders – possibility of “soft closure” –  likelihood of settlement offer being made to resolve whole of proceedings prior to judgment being delivered – </w:t>
            </w:r>
            <w:r w:rsidR="00AD04F9">
              <w:t xml:space="preserve">interlocutory application dismissed </w:t>
            </w:r>
            <w:r w:rsidR="0016350E">
              <w:t xml:space="preserve">– filing of large amounts of  irrelevant material relevant to costs order </w:t>
            </w:r>
            <w:r w:rsidR="002C7385">
              <w:t xml:space="preserve"> </w:t>
            </w:r>
            <w:bookmarkEnd w:id="2"/>
          </w:p>
        </w:tc>
      </w:tr>
      <w:tr w:rsidR="00395B24" w:rsidTr="00845B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45B4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C0FCD" w:rsidRPr="004C0FCD" w:rsidRDefault="004C0FCD" w:rsidP="00D82620">
            <w:pPr>
              <w:pStyle w:val="CasesLegislationAppealFrom"/>
              <w:spacing w:after="60"/>
            </w:pPr>
            <w:bookmarkStart w:id="3" w:name="Legislation"/>
            <w:r>
              <w:rPr>
                <w:i/>
              </w:rPr>
              <w:t xml:space="preserve">Evidence Act 1995 </w:t>
            </w:r>
            <w:r>
              <w:t>(Cth) s 131</w:t>
            </w:r>
          </w:p>
          <w:p w:rsidR="00395B24" w:rsidRDefault="004C0FCD" w:rsidP="00D82620">
            <w:pPr>
              <w:pStyle w:val="CasesLegislationAppealFrom"/>
              <w:spacing w:after="60"/>
            </w:pPr>
            <w:r>
              <w:rPr>
                <w:i/>
              </w:rPr>
              <w:t xml:space="preserve">Federal Court of Australia Act 1976 </w:t>
            </w:r>
            <w:r w:rsidRPr="004C0FCD">
              <w:t>(Cth)</w:t>
            </w:r>
            <w:r>
              <w:t xml:space="preserve"> Pt VB, </w:t>
            </w:r>
            <w:r w:rsidR="00435098">
              <w:t xml:space="preserve">s 33V, s 33Z(1)(f), </w:t>
            </w:r>
            <w:r>
              <w:t xml:space="preserve">s 33ZF </w:t>
            </w:r>
            <w:r w:rsidR="002C7385">
              <w:t xml:space="preserve"> </w:t>
            </w:r>
            <w:bookmarkEnd w:id="3"/>
          </w:p>
        </w:tc>
      </w:tr>
      <w:tr w:rsidR="00395B24" w:rsidTr="00845B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45B4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766A7" w:rsidRDefault="00E766A7" w:rsidP="00D82620">
            <w:pPr>
              <w:pStyle w:val="CasesLegislationAppealFrom"/>
              <w:spacing w:after="60"/>
            </w:pPr>
            <w:bookmarkStart w:id="4" w:name="Cases_Cited"/>
            <w:r w:rsidRPr="00547AD8">
              <w:rPr>
                <w:i/>
              </w:rPr>
              <w:t xml:space="preserve">Courtney v </w:t>
            </w:r>
            <w:proofErr w:type="spellStart"/>
            <w:r w:rsidRPr="00547AD8">
              <w:rPr>
                <w:i/>
              </w:rPr>
              <w:t>Medtel</w:t>
            </w:r>
            <w:proofErr w:type="spellEnd"/>
            <w:r w:rsidRPr="00547AD8">
              <w:rPr>
                <w:i/>
              </w:rPr>
              <w:t xml:space="preserve"> Pty Limited</w:t>
            </w:r>
            <w:r>
              <w:t xml:space="preserve"> [2002] FCA 957; (2002) 122 FCR 168</w:t>
            </w:r>
          </w:p>
          <w:p w:rsidR="0016350E" w:rsidRDefault="0016350E" w:rsidP="00D82620">
            <w:pPr>
              <w:pStyle w:val="CasesLegislationAppealFrom"/>
              <w:spacing w:after="60"/>
            </w:pPr>
            <w:r w:rsidRPr="00226254">
              <w:rPr>
                <w:i/>
              </w:rPr>
              <w:t>Dillon v RBS Group (Australia) Pty Limited</w:t>
            </w:r>
            <w:r>
              <w:t xml:space="preserve"> [2017] FCA 896; (2017) 252 FCR 150</w:t>
            </w:r>
          </w:p>
          <w:p w:rsidR="0016350E" w:rsidRDefault="0016350E" w:rsidP="00D82620">
            <w:pPr>
              <w:pStyle w:val="CasesLegislationAppealFrom"/>
              <w:spacing w:after="60"/>
            </w:pPr>
            <w:r w:rsidRPr="00226254">
              <w:rPr>
                <w:i/>
              </w:rPr>
              <w:t xml:space="preserve">Ethicon </w:t>
            </w:r>
            <w:proofErr w:type="spellStart"/>
            <w:r w:rsidRPr="00226254">
              <w:rPr>
                <w:i/>
              </w:rPr>
              <w:t>S</w:t>
            </w:r>
            <w:r w:rsidRPr="000673B3">
              <w:rPr>
                <w:i/>
              </w:rPr>
              <w:t>à</w:t>
            </w:r>
            <w:r w:rsidRPr="00226254">
              <w:rPr>
                <w:i/>
              </w:rPr>
              <w:t>rl</w:t>
            </w:r>
            <w:proofErr w:type="spellEnd"/>
            <w:r w:rsidRPr="00226254">
              <w:rPr>
                <w:i/>
              </w:rPr>
              <w:t xml:space="preserve"> v Gill</w:t>
            </w:r>
            <w:r>
              <w:t xml:space="preserve"> [2018] FCAFC 137</w:t>
            </w:r>
          </w:p>
          <w:p w:rsidR="00516AE7" w:rsidRDefault="00516AE7" w:rsidP="00D82620">
            <w:pPr>
              <w:pStyle w:val="CasesLegislationAppealFrom"/>
              <w:spacing w:after="60"/>
            </w:pPr>
            <w:r w:rsidRPr="00340F2F">
              <w:rPr>
                <w:i/>
              </w:rPr>
              <w:t>Jones v Treasury Wine Estates Limited (No 2)</w:t>
            </w:r>
            <w:r>
              <w:t xml:space="preserve"> [2017] FCA 296</w:t>
            </w:r>
          </w:p>
          <w:p w:rsidR="0093608A" w:rsidRDefault="0093608A" w:rsidP="00D82620">
            <w:pPr>
              <w:pStyle w:val="CasesLegislationAppealFrom"/>
              <w:spacing w:after="60"/>
              <w:rPr>
                <w:i/>
              </w:rPr>
            </w:pPr>
            <w:proofErr w:type="spellStart"/>
            <w:r w:rsidRPr="00226254">
              <w:rPr>
                <w:i/>
              </w:rPr>
              <w:t>McMullin</w:t>
            </w:r>
            <w:proofErr w:type="spellEnd"/>
            <w:r w:rsidRPr="00226254">
              <w:rPr>
                <w:i/>
              </w:rPr>
              <w:t xml:space="preserve"> v ICA Operations Pty </w:t>
            </w:r>
            <w:r>
              <w:rPr>
                <w:i/>
              </w:rPr>
              <w:t>Ltd</w:t>
            </w:r>
            <w:r>
              <w:t xml:space="preserve"> (1998) 84 FCR 1</w:t>
            </w:r>
          </w:p>
          <w:p w:rsidR="001C105A" w:rsidRDefault="001C105A" w:rsidP="00D82620">
            <w:pPr>
              <w:pStyle w:val="CasesLegislationAppealFrom"/>
              <w:spacing w:after="60"/>
            </w:pPr>
            <w:r w:rsidRPr="00340F2F">
              <w:rPr>
                <w:i/>
              </w:rPr>
              <w:t xml:space="preserve">Melbourne City Investments Pty </w:t>
            </w:r>
            <w:r>
              <w:rPr>
                <w:i/>
              </w:rPr>
              <w:t>Ltd v Treasury Wine</w:t>
            </w:r>
            <w:r w:rsidRPr="00340F2F">
              <w:rPr>
                <w:i/>
              </w:rPr>
              <w:t xml:space="preserve"> </w:t>
            </w:r>
            <w:r>
              <w:rPr>
                <w:i/>
              </w:rPr>
              <w:t xml:space="preserve">Estates </w:t>
            </w:r>
            <w:r w:rsidR="00CB4C71">
              <w:rPr>
                <w:i/>
              </w:rPr>
              <w:t>Limited</w:t>
            </w:r>
            <w:r>
              <w:t xml:space="preserve"> [2017] FCAFC 98; (2017) 252 FCR 1</w:t>
            </w:r>
          </w:p>
          <w:p w:rsidR="0016350E" w:rsidRDefault="0016350E" w:rsidP="00D82620">
            <w:pPr>
              <w:pStyle w:val="CasesLegislationAppealFrom"/>
              <w:spacing w:after="60"/>
            </w:pPr>
            <w:r w:rsidRPr="00547AD8">
              <w:rPr>
                <w:i/>
              </w:rPr>
              <w:t xml:space="preserve">Money Max </w:t>
            </w:r>
            <w:proofErr w:type="spellStart"/>
            <w:r w:rsidRPr="00547AD8">
              <w:rPr>
                <w:i/>
              </w:rPr>
              <w:t>Int</w:t>
            </w:r>
            <w:proofErr w:type="spellEnd"/>
            <w:r w:rsidRPr="00547AD8">
              <w:rPr>
                <w:i/>
              </w:rPr>
              <w:t xml:space="preserve"> Pty Ltd (Trustee) v QBE Insurance Group Limited</w:t>
            </w:r>
            <w:r w:rsidRPr="00226254">
              <w:t xml:space="preserve"> </w:t>
            </w:r>
            <w:r>
              <w:t>[2016] FCAFC 148; (2016) 245 FCR 191</w:t>
            </w:r>
          </w:p>
          <w:p w:rsidR="00F27FE2" w:rsidRDefault="00F27FE2" w:rsidP="00D82620">
            <w:pPr>
              <w:pStyle w:val="CasesLegislationAppealFrom"/>
              <w:spacing w:after="60"/>
            </w:pPr>
            <w:r w:rsidRPr="00226254">
              <w:rPr>
                <w:i/>
              </w:rPr>
              <w:t xml:space="preserve">Regent Holdings Pty </w:t>
            </w:r>
            <w:r>
              <w:rPr>
                <w:i/>
              </w:rPr>
              <w:t>Ltd</w:t>
            </w:r>
            <w:r w:rsidRPr="00226254">
              <w:rPr>
                <w:i/>
              </w:rPr>
              <w:t xml:space="preserve"> v State of Victoria</w:t>
            </w:r>
            <w:r>
              <w:t xml:space="preserve"> [2012] VSCA 221; (2012) 36 VR 424</w:t>
            </w:r>
          </w:p>
          <w:p w:rsidR="001C105A" w:rsidRDefault="001C105A" w:rsidP="00D82620">
            <w:pPr>
              <w:pStyle w:val="CasesLegislationAppealFrom"/>
              <w:spacing w:after="60"/>
            </w:pPr>
          </w:p>
          <w:p w:rsidR="00395B24" w:rsidRDefault="00AD04F9" w:rsidP="00D82620">
            <w:pPr>
              <w:pStyle w:val="CasesLegislationAppealFrom"/>
              <w:spacing w:after="60"/>
            </w:pPr>
            <w:r>
              <w:t xml:space="preserve">Morabito, </w:t>
            </w:r>
            <w:r w:rsidR="00242A6F">
              <w:t xml:space="preserve">V, “Judicial Responses to Class </w:t>
            </w:r>
            <w:r>
              <w:t>Action Settlements that Provide no Benefits to some Class Members” (2006) 32 Monash University Law Review 75</w:t>
            </w:r>
            <w:r w:rsidR="002C7385">
              <w:t xml:space="preserve"> </w:t>
            </w:r>
            <w:bookmarkEnd w:id="4"/>
          </w:p>
        </w:tc>
      </w:tr>
      <w:tr w:rsidR="00845B4E" w:rsidRPr="00845B4E" w:rsidTr="00845B4E">
        <w:tc>
          <w:tcPr>
            <w:tcW w:w="3085" w:type="dxa"/>
            <w:shd w:val="clear" w:color="auto" w:fill="auto"/>
          </w:tcPr>
          <w:p w:rsidR="00845B4E" w:rsidRPr="00845B4E" w:rsidRDefault="00845B4E" w:rsidP="00845B4E">
            <w:pPr>
              <w:pStyle w:val="Normal1linespace"/>
              <w:jc w:val="left"/>
            </w:pPr>
          </w:p>
        </w:tc>
        <w:tc>
          <w:tcPr>
            <w:tcW w:w="5989" w:type="dxa"/>
            <w:shd w:val="clear" w:color="auto" w:fill="auto"/>
          </w:tcPr>
          <w:p w:rsidR="00845B4E" w:rsidRPr="00845B4E" w:rsidRDefault="00845B4E" w:rsidP="00845B4E">
            <w:pPr>
              <w:pStyle w:val="Normal1linespace"/>
              <w:jc w:val="left"/>
            </w:pPr>
          </w:p>
        </w:tc>
      </w:tr>
      <w:tr w:rsidR="00845B4E" w:rsidRPr="00845B4E" w:rsidTr="00845B4E">
        <w:tc>
          <w:tcPr>
            <w:tcW w:w="3085" w:type="dxa"/>
            <w:shd w:val="clear" w:color="auto" w:fill="auto"/>
          </w:tcPr>
          <w:p w:rsidR="00845B4E" w:rsidRPr="00845B4E" w:rsidRDefault="00845B4E" w:rsidP="00845B4E">
            <w:pPr>
              <w:pStyle w:val="Normal1linespace"/>
              <w:jc w:val="left"/>
            </w:pPr>
            <w:bookmarkStart w:id="5" w:name="CounselDate" w:colFirst="0" w:colLast="2"/>
            <w:r w:rsidRPr="00845B4E">
              <w:t>Date of hearing:</w:t>
            </w:r>
          </w:p>
        </w:tc>
        <w:tc>
          <w:tcPr>
            <w:tcW w:w="5989" w:type="dxa"/>
            <w:shd w:val="clear" w:color="auto" w:fill="auto"/>
          </w:tcPr>
          <w:p w:rsidR="00845B4E" w:rsidRPr="00845B4E" w:rsidRDefault="00845B4E" w:rsidP="00845B4E">
            <w:pPr>
              <w:pStyle w:val="Normal1linespace"/>
              <w:jc w:val="left"/>
            </w:pPr>
            <w:bookmarkStart w:id="6" w:name="HearingDate"/>
            <w:r>
              <w:t>4 February 2019</w:t>
            </w:r>
            <w:bookmarkEnd w:id="6"/>
          </w:p>
        </w:tc>
      </w:tr>
      <w:bookmarkEnd w:id="5"/>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Registry:</w:t>
            </w:r>
          </w:p>
        </w:tc>
        <w:tc>
          <w:tcPr>
            <w:tcW w:w="5989" w:type="dxa"/>
            <w:shd w:val="clear" w:color="auto" w:fill="auto"/>
          </w:tcPr>
          <w:p w:rsidR="00845B4E" w:rsidRPr="00F17599" w:rsidRDefault="001C2D0D" w:rsidP="00845B4E">
            <w:pPr>
              <w:pStyle w:val="Normal1linespace"/>
              <w:widowControl w:val="0"/>
              <w:jc w:val="left"/>
            </w:pPr>
            <w:fldSimple w:instr=" DOCPROPERTY  Registry ">
              <w:r w:rsidR="00845B4E">
                <w:t>New South Wales</w:t>
              </w:r>
            </w:fldSimple>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D37318">
            <w:pPr>
              <w:pStyle w:val="Normal1linespace"/>
              <w:widowControl w:val="0"/>
              <w:tabs>
                <w:tab w:val="left" w:pos="1861"/>
              </w:tabs>
              <w:jc w:val="left"/>
            </w:pPr>
            <w:r>
              <w:t>Division:</w:t>
            </w:r>
            <w:r w:rsidR="00D37318">
              <w:tab/>
            </w:r>
          </w:p>
        </w:tc>
        <w:tc>
          <w:tcPr>
            <w:tcW w:w="5989" w:type="dxa"/>
            <w:shd w:val="clear" w:color="auto" w:fill="auto"/>
          </w:tcPr>
          <w:p w:rsidR="00845B4E" w:rsidRPr="00F17599" w:rsidRDefault="001C2D0D" w:rsidP="00845B4E">
            <w:pPr>
              <w:pStyle w:val="Normal1linespace"/>
              <w:widowControl w:val="0"/>
              <w:jc w:val="left"/>
            </w:pPr>
            <w:fldSimple w:instr=" DOCPROPERTY  Division ">
              <w:r w:rsidR="00845B4E">
                <w:t>General Division</w:t>
              </w:r>
            </w:fldSimple>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Pr="00F17599" w:rsidRDefault="00845B4E" w:rsidP="00845B4E">
            <w:pPr>
              <w:pStyle w:val="Normal1linespace"/>
              <w:widowControl w:val="0"/>
              <w:jc w:val="left"/>
              <w:rPr>
                <w:b/>
              </w:rPr>
            </w:pPr>
          </w:p>
        </w:tc>
      </w:tr>
      <w:tr w:rsidR="00845B4E" w:rsidTr="00845B4E">
        <w:tc>
          <w:tcPr>
            <w:tcW w:w="3085" w:type="dxa"/>
            <w:shd w:val="clear" w:color="auto" w:fill="auto"/>
          </w:tcPr>
          <w:p w:rsidR="00845B4E" w:rsidRDefault="00845B4E" w:rsidP="00845B4E">
            <w:pPr>
              <w:pStyle w:val="Normal1linespace"/>
              <w:widowControl w:val="0"/>
              <w:jc w:val="left"/>
            </w:pPr>
            <w:r>
              <w:t>National Practice Area:</w:t>
            </w:r>
          </w:p>
        </w:tc>
        <w:tc>
          <w:tcPr>
            <w:tcW w:w="5989" w:type="dxa"/>
            <w:shd w:val="clear" w:color="auto" w:fill="auto"/>
          </w:tcPr>
          <w:p w:rsidR="00845B4E" w:rsidRPr="00F17599" w:rsidRDefault="001C2D0D" w:rsidP="00845B4E">
            <w:pPr>
              <w:pStyle w:val="Normal1linespace"/>
              <w:widowControl w:val="0"/>
              <w:jc w:val="left"/>
              <w:rPr>
                <w:b/>
              </w:rPr>
            </w:pPr>
            <w:fldSimple w:instr=" DOCPROPERTY  &quot;Practice Area&quot;  \* MERGEFORMAT ">
              <w:r w:rsidR="00845B4E">
                <w:t>Commercial and Corporations</w:t>
              </w:r>
            </w:fldSimple>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Sub-area:</w:t>
            </w:r>
          </w:p>
        </w:tc>
        <w:tc>
          <w:tcPr>
            <w:tcW w:w="5989" w:type="dxa"/>
            <w:shd w:val="clear" w:color="auto" w:fill="auto"/>
          </w:tcPr>
          <w:p w:rsidR="00845B4E" w:rsidRPr="00435936" w:rsidRDefault="00B902B3" w:rsidP="00845B4E">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845B4E" w:rsidRPr="00845B4E">
              <w:rPr>
                <w:bCs/>
                <w:lang w:val="en-US"/>
              </w:rPr>
              <w:t>Regulator and Consumer</w:t>
            </w:r>
            <w:r w:rsidR="00845B4E">
              <w:t xml:space="preserve"> Protection</w:t>
            </w:r>
            <w:r>
              <w:fldChar w:fldCharType="end"/>
            </w:r>
          </w:p>
        </w:tc>
      </w:tr>
      <w:tr w:rsidR="00845B4E" w:rsidTr="00845B4E">
        <w:tc>
          <w:tcPr>
            <w:tcW w:w="3085" w:type="dxa"/>
            <w:shd w:val="clear" w:color="auto" w:fill="auto"/>
          </w:tcPr>
          <w:p w:rsidR="00845B4E" w:rsidRPr="00AD04F9" w:rsidRDefault="00845B4E" w:rsidP="00845B4E">
            <w:pPr>
              <w:pStyle w:val="Normal1linespace"/>
              <w:widowControl w:val="0"/>
              <w:jc w:val="left"/>
            </w:pPr>
          </w:p>
        </w:tc>
        <w:tc>
          <w:tcPr>
            <w:tcW w:w="5989" w:type="dxa"/>
            <w:shd w:val="clear" w:color="auto" w:fill="auto"/>
          </w:tcPr>
          <w:p w:rsidR="00845B4E" w:rsidRPr="00AD04F9" w:rsidRDefault="00845B4E" w:rsidP="00845B4E">
            <w:pPr>
              <w:pStyle w:val="Normal1linespace"/>
              <w:widowControl w:val="0"/>
              <w:jc w:val="left"/>
              <w:rPr>
                <w:b/>
              </w:rPr>
            </w:pPr>
          </w:p>
        </w:tc>
      </w:tr>
      <w:tr w:rsidR="00845B4E" w:rsidTr="00845B4E">
        <w:tc>
          <w:tcPr>
            <w:tcW w:w="3085" w:type="dxa"/>
            <w:shd w:val="clear" w:color="auto" w:fill="auto"/>
          </w:tcPr>
          <w:p w:rsidR="00845B4E" w:rsidRPr="00AD04F9" w:rsidRDefault="00845B4E" w:rsidP="00845B4E">
            <w:pPr>
              <w:pStyle w:val="Normal1linespace"/>
              <w:widowControl w:val="0"/>
              <w:jc w:val="left"/>
            </w:pPr>
            <w:r w:rsidRPr="00AD04F9">
              <w:t>Category:</w:t>
            </w:r>
          </w:p>
        </w:tc>
        <w:tc>
          <w:tcPr>
            <w:tcW w:w="5989" w:type="dxa"/>
            <w:shd w:val="clear" w:color="auto" w:fill="auto"/>
          </w:tcPr>
          <w:p w:rsidR="00845B4E" w:rsidRPr="00AD04F9" w:rsidRDefault="00845B4E" w:rsidP="00845B4E">
            <w:pPr>
              <w:pStyle w:val="Normal1linespace"/>
              <w:widowControl w:val="0"/>
              <w:jc w:val="left"/>
            </w:pPr>
            <w:r w:rsidRPr="00AD04F9">
              <w:t>C</w:t>
            </w:r>
            <w:r w:rsidR="00AD04F9" w:rsidRPr="00AD04F9">
              <w:t>atchwords</w:t>
            </w:r>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Number of paragraphs:</w:t>
            </w:r>
          </w:p>
        </w:tc>
        <w:tc>
          <w:tcPr>
            <w:tcW w:w="5989" w:type="dxa"/>
            <w:shd w:val="clear" w:color="auto" w:fill="auto"/>
          </w:tcPr>
          <w:p w:rsidR="00845B4E" w:rsidRDefault="002C40D6" w:rsidP="00845B4E">
            <w:pPr>
              <w:pStyle w:val="Normal1linespace"/>
              <w:widowControl w:val="0"/>
              <w:jc w:val="left"/>
            </w:pPr>
            <w:bookmarkStart w:id="7" w:name="PlaceCategoryParagraphs"/>
            <w:r>
              <w:t>3</w:t>
            </w:r>
            <w:bookmarkEnd w:id="7"/>
            <w:r w:rsidR="000B156A">
              <w:t>7</w:t>
            </w:r>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bookmarkStart w:id="8" w:name="Counsel" w:colFirst="0" w:colLast="2"/>
            <w:r>
              <w:t>Counsel for the Applicants:</w:t>
            </w:r>
          </w:p>
        </w:tc>
        <w:tc>
          <w:tcPr>
            <w:tcW w:w="5989" w:type="dxa"/>
            <w:shd w:val="clear" w:color="auto" w:fill="auto"/>
          </w:tcPr>
          <w:p w:rsidR="00845B4E" w:rsidRDefault="0001608D" w:rsidP="00845B4E">
            <w:pPr>
              <w:pStyle w:val="Normal1linespace"/>
              <w:widowControl w:val="0"/>
              <w:jc w:val="left"/>
            </w:pPr>
            <w:bookmarkStart w:id="9" w:name="AppCounsel"/>
            <w:bookmarkEnd w:id="9"/>
            <w:r>
              <w:t xml:space="preserve">Dr D E Graham SC </w:t>
            </w:r>
            <w:r w:rsidR="00845B4E">
              <w:t>with Mr A Naylor</w:t>
            </w:r>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Solicitor for the Applicants:</w:t>
            </w:r>
          </w:p>
        </w:tc>
        <w:tc>
          <w:tcPr>
            <w:tcW w:w="5989" w:type="dxa"/>
            <w:shd w:val="clear" w:color="auto" w:fill="auto"/>
          </w:tcPr>
          <w:p w:rsidR="00845B4E" w:rsidRDefault="00845B4E" w:rsidP="00845B4E">
            <w:pPr>
              <w:pStyle w:val="Normal1linespace"/>
              <w:widowControl w:val="0"/>
              <w:jc w:val="left"/>
            </w:pPr>
            <w:r>
              <w:t>Shine Lawyers</w:t>
            </w:r>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Counsel for the Respondents:</w:t>
            </w:r>
          </w:p>
        </w:tc>
        <w:tc>
          <w:tcPr>
            <w:tcW w:w="5989" w:type="dxa"/>
            <w:shd w:val="clear" w:color="auto" w:fill="auto"/>
          </w:tcPr>
          <w:p w:rsidR="00845B4E" w:rsidRDefault="00845B4E" w:rsidP="00845B4E">
            <w:pPr>
              <w:pStyle w:val="Normal1linespace"/>
              <w:widowControl w:val="0"/>
              <w:jc w:val="left"/>
            </w:pPr>
            <w:r>
              <w:t>Mr S Finch SC with Mr D T W Wong</w:t>
            </w:r>
          </w:p>
        </w:tc>
      </w:tr>
      <w:tr w:rsidR="00845B4E" w:rsidTr="00845B4E">
        <w:tc>
          <w:tcPr>
            <w:tcW w:w="3085" w:type="dxa"/>
            <w:shd w:val="clear" w:color="auto" w:fill="auto"/>
          </w:tcPr>
          <w:p w:rsidR="00845B4E" w:rsidRDefault="00845B4E" w:rsidP="00845B4E">
            <w:pPr>
              <w:pStyle w:val="Normal1linespace"/>
              <w:widowControl w:val="0"/>
              <w:jc w:val="left"/>
            </w:pPr>
          </w:p>
        </w:tc>
        <w:tc>
          <w:tcPr>
            <w:tcW w:w="5989" w:type="dxa"/>
            <w:shd w:val="clear" w:color="auto" w:fill="auto"/>
          </w:tcPr>
          <w:p w:rsidR="00845B4E" w:rsidRDefault="00845B4E" w:rsidP="00845B4E">
            <w:pPr>
              <w:pStyle w:val="Normal1linespace"/>
              <w:widowControl w:val="0"/>
              <w:jc w:val="left"/>
            </w:pPr>
          </w:p>
        </w:tc>
      </w:tr>
      <w:tr w:rsidR="00845B4E" w:rsidTr="00845B4E">
        <w:tc>
          <w:tcPr>
            <w:tcW w:w="3085" w:type="dxa"/>
            <w:shd w:val="clear" w:color="auto" w:fill="auto"/>
          </w:tcPr>
          <w:p w:rsidR="00845B4E" w:rsidRDefault="00845B4E" w:rsidP="00845B4E">
            <w:pPr>
              <w:pStyle w:val="Normal1linespace"/>
              <w:widowControl w:val="0"/>
              <w:jc w:val="left"/>
            </w:pPr>
            <w:r>
              <w:t>Solicitor for the Respondents:</w:t>
            </w:r>
          </w:p>
        </w:tc>
        <w:tc>
          <w:tcPr>
            <w:tcW w:w="5989" w:type="dxa"/>
            <w:shd w:val="clear" w:color="auto" w:fill="auto"/>
          </w:tcPr>
          <w:p w:rsidR="00845B4E" w:rsidRDefault="00845B4E" w:rsidP="00845B4E">
            <w:pPr>
              <w:pStyle w:val="Normal1linespace"/>
              <w:widowControl w:val="0"/>
              <w:jc w:val="left"/>
            </w:pPr>
            <w:r>
              <w:t xml:space="preserve">Clayton </w:t>
            </w:r>
            <w:proofErr w:type="spellStart"/>
            <w:r>
              <w:t>Utz</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01DFC" w:rsidP="00F92355">
            <w:pPr>
              <w:pStyle w:val="NormalHeadings"/>
              <w:jc w:val="right"/>
            </w:pPr>
            <w:bookmarkStart w:id="10" w:name="FileNo"/>
            <w:r>
              <w:t>NSD 1590 of 2012</w:t>
            </w:r>
            <w:bookmarkEnd w:id="10"/>
          </w:p>
        </w:tc>
      </w:tr>
      <w:tr w:rsidR="00A76C13" w:rsidTr="00A8582F">
        <w:tc>
          <w:tcPr>
            <w:tcW w:w="9242" w:type="dxa"/>
            <w:gridSpan w:val="3"/>
          </w:tcPr>
          <w:p w:rsidR="00A76C13" w:rsidRPr="00A76C13" w:rsidRDefault="00601DFC" w:rsidP="00601DFC">
            <w:pPr>
              <w:pStyle w:val="NormalHeadings"/>
              <w:jc w:val="left"/>
            </w:pPr>
            <w:bookmarkStart w:id="11" w:name="InTheMatterOf"/>
            <w:r>
              <w:t xml:space="preserve"> </w:t>
            </w:r>
            <w:bookmarkEnd w:id="11"/>
          </w:p>
        </w:tc>
      </w:tr>
      <w:tr w:rsidR="00A46CCC" w:rsidTr="00A8582F">
        <w:trPr>
          <w:trHeight w:val="386"/>
        </w:trPr>
        <w:tc>
          <w:tcPr>
            <w:tcW w:w="2376" w:type="dxa"/>
          </w:tcPr>
          <w:p w:rsidR="00A46CCC" w:rsidRDefault="00A46CCC" w:rsidP="00A8582F">
            <w:pPr>
              <w:pStyle w:val="NormalHeadings"/>
              <w:jc w:val="left"/>
              <w:rPr>
                <w:caps/>
                <w:szCs w:val="24"/>
              </w:rPr>
            </w:pPr>
            <w:bookmarkStart w:id="12" w:name="Parties"/>
            <w:r>
              <w:rPr>
                <w:caps/>
                <w:szCs w:val="24"/>
              </w:rPr>
              <w:t>BETWEEN:</w:t>
            </w:r>
          </w:p>
        </w:tc>
        <w:tc>
          <w:tcPr>
            <w:tcW w:w="6866" w:type="dxa"/>
            <w:gridSpan w:val="2"/>
          </w:tcPr>
          <w:p w:rsidR="00601DFC" w:rsidRDefault="00601DFC" w:rsidP="00601DFC">
            <w:pPr>
              <w:pStyle w:val="NormalHeadings"/>
              <w:jc w:val="left"/>
            </w:pPr>
            <w:bookmarkStart w:id="13" w:name="Applicant"/>
            <w:r>
              <w:t>KATHRYN GILL</w:t>
            </w:r>
          </w:p>
          <w:p w:rsidR="00601DFC" w:rsidRDefault="00601DFC" w:rsidP="00601DFC">
            <w:pPr>
              <w:pStyle w:val="PartyType"/>
            </w:pPr>
            <w:r>
              <w:t>First Applicant</w:t>
            </w:r>
          </w:p>
          <w:p w:rsidR="00601DFC" w:rsidRDefault="00601DFC" w:rsidP="00A8582F">
            <w:pPr>
              <w:pStyle w:val="NormalHeadings"/>
              <w:jc w:val="left"/>
            </w:pPr>
          </w:p>
          <w:p w:rsidR="00601DFC" w:rsidRDefault="00601DFC" w:rsidP="00601DFC">
            <w:pPr>
              <w:pStyle w:val="NormalHeadings"/>
              <w:jc w:val="left"/>
            </w:pPr>
            <w:r>
              <w:t>DIANE DAWSON</w:t>
            </w:r>
          </w:p>
          <w:p w:rsidR="00601DFC" w:rsidRDefault="00601DFC" w:rsidP="00601DFC">
            <w:pPr>
              <w:pStyle w:val="PartyType"/>
            </w:pPr>
            <w:r>
              <w:t>Second Applicant</w:t>
            </w:r>
          </w:p>
          <w:p w:rsidR="00601DFC" w:rsidRDefault="00601DFC" w:rsidP="00A8582F">
            <w:pPr>
              <w:pStyle w:val="NormalHeadings"/>
              <w:jc w:val="left"/>
            </w:pPr>
          </w:p>
          <w:p w:rsidR="00601DFC" w:rsidRDefault="00601DFC" w:rsidP="00601DFC">
            <w:pPr>
              <w:pStyle w:val="NormalHeadings"/>
              <w:jc w:val="left"/>
            </w:pPr>
            <w:r>
              <w:t>ANN SANDERS</w:t>
            </w:r>
          </w:p>
          <w:p w:rsidR="00601DFC" w:rsidRDefault="00601DFC" w:rsidP="00601DFC">
            <w:pPr>
              <w:pStyle w:val="PartyType"/>
            </w:pPr>
            <w:r>
              <w:t>Third Applicant</w:t>
            </w:r>
          </w:p>
          <w:bookmarkEnd w:id="13"/>
          <w:p w:rsidR="00A46CCC" w:rsidRPr="006555B4" w:rsidRDefault="00A46CCC" w:rsidP="00A8582F">
            <w:pPr>
              <w:pStyle w:val="NormalHeadings"/>
              <w:jc w:val="left"/>
            </w:pPr>
          </w:p>
        </w:tc>
      </w:tr>
      <w:tr w:rsidR="00A46CCC" w:rsidTr="00A8582F">
        <w:trPr>
          <w:trHeight w:val="386"/>
        </w:trPr>
        <w:tc>
          <w:tcPr>
            <w:tcW w:w="2376" w:type="dxa"/>
          </w:tcPr>
          <w:p w:rsidR="00A46CCC" w:rsidRDefault="00A46CCC" w:rsidP="00A8582F">
            <w:pPr>
              <w:pStyle w:val="NormalHeadings"/>
              <w:jc w:val="left"/>
              <w:rPr>
                <w:caps/>
                <w:szCs w:val="24"/>
              </w:rPr>
            </w:pPr>
            <w:r>
              <w:rPr>
                <w:caps/>
                <w:szCs w:val="24"/>
              </w:rPr>
              <w:t>AND:</w:t>
            </w:r>
          </w:p>
        </w:tc>
        <w:tc>
          <w:tcPr>
            <w:tcW w:w="6866" w:type="dxa"/>
            <w:gridSpan w:val="2"/>
          </w:tcPr>
          <w:p w:rsidR="00601DFC" w:rsidRDefault="00601DFC" w:rsidP="00601DFC">
            <w:pPr>
              <w:pStyle w:val="NormalHeadings"/>
              <w:jc w:val="left"/>
            </w:pPr>
            <w:bookmarkStart w:id="14" w:name="Respondent"/>
            <w:r>
              <w:t>ETHICON SÁRL</w:t>
            </w:r>
          </w:p>
          <w:p w:rsidR="00601DFC" w:rsidRDefault="00601DFC" w:rsidP="00601DFC">
            <w:pPr>
              <w:pStyle w:val="PartyType"/>
            </w:pPr>
            <w:r>
              <w:t>First Respondent</w:t>
            </w:r>
          </w:p>
          <w:p w:rsidR="00601DFC" w:rsidRDefault="00601DFC" w:rsidP="00A8582F">
            <w:pPr>
              <w:pStyle w:val="NormalHeadings"/>
              <w:jc w:val="left"/>
            </w:pPr>
          </w:p>
          <w:p w:rsidR="00601DFC" w:rsidRDefault="00601DFC" w:rsidP="00601DFC">
            <w:pPr>
              <w:pStyle w:val="NormalHeadings"/>
              <w:jc w:val="left"/>
            </w:pPr>
            <w:r>
              <w:t>ETHICON INC</w:t>
            </w:r>
          </w:p>
          <w:p w:rsidR="00601DFC" w:rsidRDefault="00601DFC" w:rsidP="00601DFC">
            <w:pPr>
              <w:pStyle w:val="PartyType"/>
            </w:pPr>
            <w:r>
              <w:t>Second Respondent</w:t>
            </w:r>
          </w:p>
          <w:p w:rsidR="00601DFC" w:rsidRDefault="00601DFC" w:rsidP="00A8582F">
            <w:pPr>
              <w:pStyle w:val="NormalHeadings"/>
              <w:jc w:val="left"/>
            </w:pPr>
          </w:p>
          <w:p w:rsidR="00601DFC" w:rsidRDefault="00601DFC" w:rsidP="00601DFC">
            <w:pPr>
              <w:pStyle w:val="NormalHeadings"/>
              <w:jc w:val="left"/>
            </w:pPr>
            <w:r>
              <w:t>JOHNSON &amp; JOHNSON MEDICAL PTY LIMITED ACN 000 160 403</w:t>
            </w:r>
          </w:p>
          <w:p w:rsidR="00601DFC" w:rsidRDefault="00601DFC" w:rsidP="00601DFC">
            <w:pPr>
              <w:pStyle w:val="PartyType"/>
            </w:pPr>
            <w:r>
              <w:t>Third Respondent</w:t>
            </w:r>
          </w:p>
          <w:bookmarkEnd w:id="14"/>
          <w:p w:rsidR="00A46CCC" w:rsidRPr="006555B4" w:rsidRDefault="00A46CCC" w:rsidP="00A8582F">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01DF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601DFC">
            <w:pPr>
              <w:pStyle w:val="NormalHeadings"/>
              <w:jc w:val="left"/>
              <w:rPr>
                <w:caps/>
                <w:szCs w:val="24"/>
              </w:rPr>
            </w:pPr>
            <w:bookmarkStart w:id="17" w:name="Judge"/>
            <w:r>
              <w:rPr>
                <w:caps/>
                <w:szCs w:val="24"/>
              </w:rPr>
              <w:t>LEE J</w:t>
            </w:r>
            <w:bookmarkEnd w:id="17"/>
          </w:p>
          <w:p w:rsidR="00340F2F" w:rsidRDefault="00340F2F">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01DFC">
            <w:pPr>
              <w:pStyle w:val="NormalHeadings"/>
              <w:jc w:val="left"/>
              <w:rPr>
                <w:caps/>
                <w:szCs w:val="24"/>
              </w:rPr>
            </w:pPr>
            <w:bookmarkStart w:id="18" w:name="Judgment_Dated"/>
            <w:r>
              <w:rPr>
                <w:caps/>
                <w:szCs w:val="24"/>
              </w:rPr>
              <w:t>4 FEBRUARY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F0D73" w:rsidRDefault="008F0D73" w:rsidP="008F0D73">
      <w:pPr>
        <w:pStyle w:val="Order1"/>
      </w:pPr>
      <w:bookmarkStart w:id="19" w:name="Order_Start_Text"/>
      <w:bookmarkEnd w:id="19"/>
      <w:r>
        <w:t>The interlocutory application by the respondents dated 12 December 2018 be dismissed.</w:t>
      </w:r>
    </w:p>
    <w:p w:rsidR="008F0D73" w:rsidRDefault="008F0D73" w:rsidP="008F0D73">
      <w:pPr>
        <w:pStyle w:val="Order1"/>
      </w:pPr>
      <w:r>
        <w:t>The respondents pay 75% of the applicants’ costs of the application, those costs not to include costs of the preparation of the confidential affidavit of Rebecca Lee Jancauskas dated 30 January 2019 (which was not read).</w:t>
      </w:r>
    </w:p>
    <w:p w:rsidR="008F0D73" w:rsidRDefault="008F0D73" w:rsidP="008F0D73">
      <w:pPr>
        <w:pStyle w:val="Order1"/>
      </w:pPr>
      <w:r>
        <w:t xml:space="preserve">The applicants’ solicitors are to file and serve an affidavit setting out the lump sum costs of the applicants calculated on the basis referred to </w:t>
      </w:r>
      <w:proofErr w:type="spellStart"/>
      <w:r>
        <w:t>at</w:t>
      </w:r>
      <w:proofErr w:type="spellEnd"/>
      <w:r>
        <w:t xml:space="preserve"> Order 2, above.</w:t>
      </w:r>
    </w:p>
    <w:p w:rsidR="00395B24" w:rsidRDefault="008F0D73" w:rsidP="008F0D73">
      <w:pPr>
        <w:pStyle w:val="Order1"/>
      </w:pPr>
      <w:r>
        <w:t>There be a further case management hearing which is to be conducted on a date to be fixed and the parties are to communicate to the Associate to Justice Lee mutually convenient dates when they believe the case management hearing could be most usefully conducted.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14743" w:rsidRPr="00045BB7" w:rsidRDefault="00314743" w:rsidP="00045BB7">
      <w:pPr>
        <w:pStyle w:val="NormalHeadings"/>
        <w:spacing w:line="480" w:lineRule="auto"/>
        <w:jc w:val="center"/>
        <w:rPr>
          <w:sz w:val="28"/>
          <w:szCs w:val="28"/>
        </w:rPr>
      </w:pPr>
      <w:r>
        <w:rPr>
          <w:sz w:val="28"/>
          <w:szCs w:val="28"/>
        </w:rPr>
        <w:t>(Revised from the Transcript)</w:t>
      </w:r>
    </w:p>
    <w:p w:rsidR="00395B24" w:rsidRPr="00EA03CE" w:rsidRDefault="00340F2F" w:rsidP="005E0510">
      <w:pPr>
        <w:pStyle w:val="NormalHeadings"/>
        <w:spacing w:line="360" w:lineRule="auto"/>
        <w:jc w:val="left"/>
        <w:rPr>
          <w:sz w:val="26"/>
          <w:szCs w:val="26"/>
        </w:rPr>
      </w:pPr>
      <w:r>
        <w:rPr>
          <w:sz w:val="26"/>
          <w:szCs w:val="26"/>
        </w:rPr>
        <w:t>LEE J</w:t>
      </w:r>
      <w:r w:rsidR="00484F6D" w:rsidRPr="00EA03CE">
        <w:rPr>
          <w:sz w:val="26"/>
          <w:szCs w:val="26"/>
        </w:rPr>
        <w:t>:</w:t>
      </w:r>
    </w:p>
    <w:p w:rsidR="00340F2F" w:rsidRDefault="00314743" w:rsidP="00601DFC">
      <w:pPr>
        <w:pStyle w:val="Heading1"/>
      </w:pPr>
      <w:r>
        <w:t>A</w:t>
      </w:r>
      <w:r w:rsidR="00340F2F">
        <w:tab/>
        <w:t>Introduction</w:t>
      </w:r>
    </w:p>
    <w:p w:rsidR="00340F2F" w:rsidRDefault="00340F2F" w:rsidP="00340F2F">
      <w:pPr>
        <w:pStyle w:val="ParaNumbering"/>
      </w:pPr>
      <w:r>
        <w:t xml:space="preserve">The respondents in this class action seek a “hard closure” of the class.  In the </w:t>
      </w:r>
      <w:r w:rsidRPr="009F760F">
        <w:rPr>
          <w:i/>
        </w:rPr>
        <w:t>lingua franca</w:t>
      </w:r>
      <w:r>
        <w:t xml:space="preserve"> of Part </w:t>
      </w:r>
      <w:r w:rsidR="00226254">
        <w:t>IV</w:t>
      </w:r>
      <w:r w:rsidR="009F760F">
        <w:t>A practitioners,</w:t>
      </w:r>
      <w:r>
        <w:t xml:space="preserve"> a “hard closure” is a closure </w:t>
      </w:r>
      <w:r w:rsidR="009F760F">
        <w:t xml:space="preserve">of the class </w:t>
      </w:r>
      <w:r>
        <w:t>which extinguishes a group member’s rights to share in the fruits of a subsequent judgment unless the class member t</w:t>
      </w:r>
      <w:r w:rsidR="00314743">
        <w:t>ake</w:t>
      </w:r>
      <w:r w:rsidR="0016350E">
        <w:t>s</w:t>
      </w:r>
      <w:r w:rsidR="00314743">
        <w:t xml:space="preserve"> </w:t>
      </w:r>
      <w:r w:rsidR="009F760F">
        <w:t>step</w:t>
      </w:r>
      <w:r w:rsidR="00314743">
        <w:t>s</w:t>
      </w:r>
      <w:r>
        <w:t xml:space="preserve"> to register in the proceeding.  </w:t>
      </w:r>
      <w:r w:rsidR="009F760F">
        <w:t>By way of contrast, a so-called</w:t>
      </w:r>
      <w:r>
        <w:t xml:space="preserve"> “soft closure”</w:t>
      </w:r>
      <w:r w:rsidR="009F760F">
        <w:t>,</w:t>
      </w:r>
      <w:r>
        <w:t xml:space="preserve"> refers to </w:t>
      </w:r>
      <w:r w:rsidR="009F760F">
        <w:t xml:space="preserve">orders that </w:t>
      </w:r>
      <w:r w:rsidR="00AD04F9">
        <w:t>are</w:t>
      </w:r>
      <w:r>
        <w:t xml:space="preserve"> made to facilitate settlement, </w:t>
      </w:r>
      <w:r w:rsidR="009F760F">
        <w:t xml:space="preserve">which provide for </w:t>
      </w:r>
      <w:r>
        <w:t xml:space="preserve">group members to come forward and register </w:t>
      </w:r>
      <w:r w:rsidR="002D4A26">
        <w:t>by a</w:t>
      </w:r>
      <w:r w:rsidR="00AD04F9">
        <w:t xml:space="preserve"> particular</w:t>
      </w:r>
      <w:r w:rsidR="002D4A26">
        <w:t xml:space="preserve"> date (</w:t>
      </w:r>
      <w:r w:rsidR="002D4A26" w:rsidRPr="002D4A26">
        <w:rPr>
          <w:b/>
        </w:rPr>
        <w:t>registration date</w:t>
      </w:r>
      <w:r w:rsidR="002D4A26">
        <w:t xml:space="preserve">) </w:t>
      </w:r>
      <w:r>
        <w:t xml:space="preserve">in order to </w:t>
      </w:r>
      <w:r w:rsidR="009F760F">
        <w:t xml:space="preserve">participate in a </w:t>
      </w:r>
      <w:r>
        <w:t>settlement</w:t>
      </w:r>
      <w:r w:rsidR="00314743">
        <w:t xml:space="preserve">, provided such </w:t>
      </w:r>
      <w:r w:rsidR="002D4A26">
        <w:t xml:space="preserve">settlement </w:t>
      </w:r>
      <w:r w:rsidR="009F760F">
        <w:t>take</w:t>
      </w:r>
      <w:r w:rsidR="002D4A26">
        <w:t>s</w:t>
      </w:r>
      <w:r w:rsidR="009F760F">
        <w:t xml:space="preserve"> place by a </w:t>
      </w:r>
      <w:r w:rsidR="006C1E1D">
        <w:t xml:space="preserve">specified </w:t>
      </w:r>
      <w:r w:rsidR="009F760F">
        <w:t>date</w:t>
      </w:r>
      <w:r w:rsidR="00791CB6">
        <w:t xml:space="preserve"> </w:t>
      </w:r>
      <w:r w:rsidR="00791CB6" w:rsidRPr="00791CB6">
        <w:t>in the future</w:t>
      </w:r>
      <w:r w:rsidR="009F760F" w:rsidRPr="00791CB6">
        <w:t xml:space="preserve"> (usually</w:t>
      </w:r>
      <w:r w:rsidR="00791CB6" w:rsidRPr="00791CB6">
        <w:t xml:space="preserve"> a date</w:t>
      </w:r>
      <w:r w:rsidR="009F760F" w:rsidRPr="00791CB6">
        <w:t xml:space="preserve"> </w:t>
      </w:r>
      <w:r w:rsidR="002D4A26" w:rsidRPr="00791CB6">
        <w:t>chosen to allow</w:t>
      </w:r>
      <w:r w:rsidR="0016350E" w:rsidRPr="00791CB6">
        <w:t xml:space="preserve"> enough time for</w:t>
      </w:r>
      <w:r w:rsidR="002D4A26" w:rsidRPr="00791CB6">
        <w:t xml:space="preserve"> </w:t>
      </w:r>
      <w:r w:rsidR="009F760F" w:rsidRPr="00791CB6">
        <w:t>a scheduled mediation</w:t>
      </w:r>
      <w:r w:rsidR="002D4A26" w:rsidRPr="00791CB6">
        <w:t xml:space="preserve"> to take place </w:t>
      </w:r>
      <w:r w:rsidR="0016350E" w:rsidRPr="00791CB6">
        <w:t>and</w:t>
      </w:r>
      <w:r w:rsidR="002D4A26" w:rsidRPr="00791CB6">
        <w:t xml:space="preserve"> </w:t>
      </w:r>
      <w:r w:rsidR="006C1E1D">
        <w:t>for any</w:t>
      </w:r>
      <w:r w:rsidR="002D4A26" w:rsidRPr="00791CB6">
        <w:t xml:space="preserve"> </w:t>
      </w:r>
      <w:r w:rsidR="006C1E1D">
        <w:t>prospective</w:t>
      </w:r>
      <w:r w:rsidR="002D4A26" w:rsidRPr="00791CB6">
        <w:t xml:space="preserve"> s 33V application</w:t>
      </w:r>
      <w:r w:rsidR="006C1E1D">
        <w:t xml:space="preserve"> to be determined</w:t>
      </w:r>
      <w:r w:rsidR="009F760F" w:rsidRPr="00791CB6">
        <w:t xml:space="preserve">) </w:t>
      </w:r>
      <w:r w:rsidR="002D4A26" w:rsidRPr="00791CB6">
        <w:t>(</w:t>
      </w:r>
      <w:r w:rsidR="002D4A26" w:rsidRPr="00791CB6">
        <w:rPr>
          <w:b/>
        </w:rPr>
        <w:t>specified date</w:t>
      </w:r>
      <w:r w:rsidR="002D4A26" w:rsidRPr="00791CB6">
        <w:t>)</w:t>
      </w:r>
      <w:r w:rsidR="001C105A" w:rsidRPr="00791CB6">
        <w:t xml:space="preserve">. </w:t>
      </w:r>
      <w:r w:rsidR="001C105A" w:rsidRPr="00791CB6">
        <w:rPr>
          <w:i/>
        </w:rPr>
        <w:t>A</w:t>
      </w:r>
      <w:r w:rsidR="009F760F" w:rsidRPr="00791CB6">
        <w:rPr>
          <w:i/>
        </w:rPr>
        <w:t>ll</w:t>
      </w:r>
      <w:r w:rsidR="009F760F" w:rsidRPr="00791CB6">
        <w:t xml:space="preserve"> group</w:t>
      </w:r>
      <w:r w:rsidRPr="00791CB6">
        <w:t xml:space="preserve"> members be</w:t>
      </w:r>
      <w:r w:rsidR="001C105A" w:rsidRPr="00791CB6">
        <w:t>come</w:t>
      </w:r>
      <w:r w:rsidRPr="00791CB6">
        <w:t xml:space="preserve"> bound </w:t>
      </w:r>
      <w:r w:rsidR="009F760F" w:rsidRPr="00791CB6">
        <w:t>by</w:t>
      </w:r>
      <w:r w:rsidRPr="00791CB6">
        <w:t xml:space="preserve"> the settlement</w:t>
      </w:r>
      <w:r w:rsidR="009F760F" w:rsidRPr="00791CB6">
        <w:t>,</w:t>
      </w:r>
      <w:r w:rsidRPr="00791CB6">
        <w:t xml:space="preserve"> but </w:t>
      </w:r>
      <w:r w:rsidR="009F760F" w:rsidRPr="00791CB6">
        <w:t>any group member</w:t>
      </w:r>
      <w:r w:rsidR="009F760F" w:rsidRPr="001C105A">
        <w:t xml:space="preserve"> </w:t>
      </w:r>
      <w:r w:rsidR="002D4A26" w:rsidRPr="001C105A">
        <w:t xml:space="preserve">who does not register by the registration date is </w:t>
      </w:r>
      <w:r w:rsidRPr="001C105A">
        <w:t>barre</w:t>
      </w:r>
      <w:r w:rsidR="009F760F" w:rsidRPr="001C105A">
        <w:t xml:space="preserve">d from </w:t>
      </w:r>
      <w:r w:rsidR="006C1E1D">
        <w:t>participating in the settlement</w:t>
      </w:r>
      <w:r w:rsidR="002D4A26">
        <w:t>.  I</w:t>
      </w:r>
      <w:r w:rsidR="009F760F">
        <w:t>f there is no settlement</w:t>
      </w:r>
      <w:r w:rsidR="002D4A26">
        <w:t>,</w:t>
      </w:r>
      <w:r w:rsidR="009F760F">
        <w:t xml:space="preserve"> the closure is temporary (or “soft”)</w:t>
      </w:r>
      <w:r w:rsidR="002D4A26">
        <w:t>,</w:t>
      </w:r>
      <w:r w:rsidR="009F760F">
        <w:t xml:space="preserve"> in that the class closure order is </w:t>
      </w:r>
      <w:r w:rsidR="002D4A26">
        <w:t xml:space="preserve">then </w:t>
      </w:r>
      <w:r w:rsidR="009F760F">
        <w:t>spent and the class, as it were, “springs” open</w:t>
      </w:r>
      <w:r w:rsidR="002D4A26">
        <w:t xml:space="preserve"> upon the passing of the</w:t>
      </w:r>
      <w:r w:rsidR="00314743">
        <w:t xml:space="preserve"> specified date.  This allows </w:t>
      </w:r>
      <w:r w:rsidR="002D4A26">
        <w:t xml:space="preserve">group members who fail to register by the registration date to continue to participate in the class action because their rights have not been extinguished by </w:t>
      </w:r>
      <w:r w:rsidR="006C1E1D">
        <w:t xml:space="preserve">reason of </w:t>
      </w:r>
      <w:r w:rsidR="002D4A26">
        <w:t xml:space="preserve">a want of registration. </w:t>
      </w:r>
    </w:p>
    <w:p w:rsidR="002D4A26" w:rsidRDefault="00340F2F" w:rsidP="00A8582F">
      <w:pPr>
        <w:pStyle w:val="ParaNumbering"/>
      </w:pPr>
      <w:r>
        <w:t xml:space="preserve">Class closure orders have been controversial.  </w:t>
      </w:r>
      <w:r w:rsidR="006C1E1D">
        <w:t>Aspects of t</w:t>
      </w:r>
      <w:r w:rsidR="00546882">
        <w:t>he</w:t>
      </w:r>
      <w:r w:rsidR="006C1E1D">
        <w:t xml:space="preserve"> practice have</w:t>
      </w:r>
      <w:r>
        <w:t xml:space="preserve"> been referred to by a leading expert in class actions, Professor Morabito, as “grossly unsatisfactory”</w:t>
      </w:r>
      <w:r w:rsidR="00242A6F">
        <w:t xml:space="preserve">. Professor Morabito </w:t>
      </w:r>
      <w:r w:rsidR="00F82CB4">
        <w:t>contends</w:t>
      </w:r>
      <w:r w:rsidR="00242A6F">
        <w:t xml:space="preserve"> t</w:t>
      </w:r>
      <w:r>
        <w:t>hat it fails to pay</w:t>
      </w:r>
      <w:r w:rsidR="00F82CB4">
        <w:t xml:space="preserve"> sufficient</w:t>
      </w:r>
      <w:r>
        <w:t xml:space="preserve"> regard to the opt-out model adopted by Part </w:t>
      </w:r>
      <w:r w:rsidR="00226254">
        <w:t>IV</w:t>
      </w:r>
      <w:r>
        <w:t>A which has</w:t>
      </w:r>
      <w:r w:rsidR="002D4A26">
        <w:t>,</w:t>
      </w:r>
      <w:r w:rsidR="005A3C5F">
        <w:t xml:space="preserve"> at</w:t>
      </w:r>
      <w:r>
        <w:t xml:space="preserve"> its heart</w:t>
      </w:r>
      <w:r w:rsidR="002D4A26">
        <w:t>,</w:t>
      </w:r>
      <w:r>
        <w:t xml:space="preserve"> the notion that persons </w:t>
      </w:r>
      <w:r w:rsidR="00AF634B">
        <w:t>who</w:t>
      </w:r>
      <w:r>
        <w:t xml:space="preserve"> fall within the description of the group will be included in the </w:t>
      </w:r>
      <w:r w:rsidR="005A3C5F">
        <w:t xml:space="preserve">class </w:t>
      </w:r>
      <w:r>
        <w:t>action and be entitled to receive whatever relief is obtained by the group</w:t>
      </w:r>
      <w:r w:rsidR="002D4A26">
        <w:t>,</w:t>
      </w:r>
      <w:r>
        <w:t xml:space="preserve"> without being required to indicate their desire to</w:t>
      </w:r>
      <w:r w:rsidR="006C1E1D">
        <w:t xml:space="preserve"> participate in the proceeding:</w:t>
      </w:r>
      <w:r>
        <w:t xml:space="preserve"> see Morabito</w:t>
      </w:r>
      <w:r w:rsidR="00AD04F9">
        <w:t>, V,</w:t>
      </w:r>
      <w:r>
        <w:t xml:space="preserve"> </w:t>
      </w:r>
      <w:r w:rsidR="002D4A26">
        <w:t>“</w:t>
      </w:r>
      <w:r w:rsidRPr="00F82CB4">
        <w:rPr>
          <w:i/>
        </w:rPr>
        <w:t>Judicial Responses to Class</w:t>
      </w:r>
      <w:r w:rsidR="00E34AAD" w:rsidRPr="00F82CB4">
        <w:rPr>
          <w:i/>
        </w:rPr>
        <w:t xml:space="preserve"> </w:t>
      </w:r>
      <w:r w:rsidRPr="00F82CB4">
        <w:rPr>
          <w:i/>
        </w:rPr>
        <w:t>Action Settlements that Provide no Benefits to some Class Members</w:t>
      </w:r>
      <w:r w:rsidR="002D4A26">
        <w:t>”</w:t>
      </w:r>
      <w:r>
        <w:t xml:space="preserve"> (2006) 32 Monash University Law Review 75 at </w:t>
      </w:r>
      <w:r w:rsidR="00242A6F">
        <w:t>103-</w:t>
      </w:r>
      <w:r>
        <w:t xml:space="preserve">104.  </w:t>
      </w:r>
    </w:p>
    <w:p w:rsidR="00AA7DB7" w:rsidRDefault="00340F2F" w:rsidP="00A8582F">
      <w:pPr>
        <w:pStyle w:val="ParaNumbering"/>
      </w:pPr>
      <w:r>
        <w:t xml:space="preserve">Despite this </w:t>
      </w:r>
      <w:r w:rsidR="002D4A26">
        <w:t>controversy</w:t>
      </w:r>
      <w:r>
        <w:t xml:space="preserve">, “soft” class closure orders have become common.  Their rationale, as the Full Court explained in </w:t>
      </w:r>
      <w:r w:rsidR="002D4A26" w:rsidRPr="00340F2F">
        <w:rPr>
          <w:i/>
        </w:rPr>
        <w:t xml:space="preserve">Melbourne City Investments Pty </w:t>
      </w:r>
      <w:r w:rsidR="001C105A">
        <w:rPr>
          <w:i/>
        </w:rPr>
        <w:t>Ltd v Treasury Wine</w:t>
      </w:r>
      <w:r w:rsidR="002D4A26" w:rsidRPr="00340F2F">
        <w:rPr>
          <w:i/>
        </w:rPr>
        <w:t xml:space="preserve"> </w:t>
      </w:r>
      <w:r w:rsidR="001C105A">
        <w:rPr>
          <w:i/>
        </w:rPr>
        <w:t xml:space="preserve">Estates </w:t>
      </w:r>
      <w:r w:rsidR="002D4A26" w:rsidRPr="00340F2F">
        <w:rPr>
          <w:i/>
        </w:rPr>
        <w:t>L</w:t>
      </w:r>
      <w:r w:rsidR="00CB4C71">
        <w:rPr>
          <w:i/>
        </w:rPr>
        <w:t>imite</w:t>
      </w:r>
      <w:r w:rsidR="002D4A26" w:rsidRPr="00340F2F">
        <w:rPr>
          <w:i/>
        </w:rPr>
        <w:t>d</w:t>
      </w:r>
      <w:r w:rsidR="002D4A26">
        <w:t xml:space="preserve"> </w:t>
      </w:r>
      <w:r w:rsidR="00242A6F">
        <w:t xml:space="preserve">[2017] FCAFC 98; </w:t>
      </w:r>
      <w:r w:rsidR="002D4A26">
        <w:t>(2017) 252 FCR</w:t>
      </w:r>
      <w:r w:rsidR="005A3C5F">
        <w:t xml:space="preserve"> </w:t>
      </w:r>
      <w:r w:rsidR="002D4A26">
        <w:t>1</w:t>
      </w:r>
      <w:r w:rsidR="00AA7DB7">
        <w:t xml:space="preserve"> at 22 [75]</w:t>
      </w:r>
      <w:r w:rsidR="00D37318">
        <w:t>,</w:t>
      </w:r>
      <w:r w:rsidR="00AA7DB7">
        <w:t xml:space="preserve"> is that:</w:t>
      </w:r>
    </w:p>
    <w:p w:rsidR="00AA7DB7" w:rsidRDefault="00AA7DB7" w:rsidP="00AA7DB7">
      <w:pPr>
        <w:pStyle w:val="Quote1"/>
        <w:rPr>
          <w:lang w:eastAsia="en-AU"/>
        </w:rPr>
      </w:pPr>
      <w:r>
        <w:rPr>
          <w:lang w:eastAsia="en-AU"/>
        </w:rPr>
        <w:lastRenderedPageBreak/>
        <w:t xml:space="preserve">… a requirement for class members to register their claims will facilitate settlement, because it allows both sides to have a better understanding of the total quantum of class members’ claims, permits the settlement amount to be capped by reference to the number of class members, and assists in achieving finality (to the extent the Pt IVA regime permits): see Grave D, Adams K and Betts J, </w:t>
      </w:r>
      <w:r>
        <w:rPr>
          <w:rFonts w:ascii="Times-Italic" w:hAnsi="Times-Italic" w:cs="Times-Italic"/>
          <w:i/>
          <w:iCs/>
          <w:lang w:eastAsia="en-AU"/>
        </w:rPr>
        <w:t>Class Actions in Australia</w:t>
      </w:r>
      <w:r>
        <w:rPr>
          <w:lang w:eastAsia="en-AU"/>
        </w:rPr>
        <w:t xml:space="preserve"> (2nd </w:t>
      </w:r>
      <w:proofErr w:type="spellStart"/>
      <w:r>
        <w:rPr>
          <w:lang w:eastAsia="en-AU"/>
        </w:rPr>
        <w:t>ed</w:t>
      </w:r>
      <w:proofErr w:type="spellEnd"/>
      <w:r>
        <w:rPr>
          <w:lang w:eastAsia="en-AU"/>
        </w:rPr>
        <w:t xml:space="preserve">, </w:t>
      </w:r>
      <w:proofErr w:type="spellStart"/>
      <w:r>
        <w:rPr>
          <w:lang w:eastAsia="en-AU"/>
        </w:rPr>
        <w:t>Lawbook</w:t>
      </w:r>
      <w:proofErr w:type="spellEnd"/>
      <w:r>
        <w:rPr>
          <w:lang w:eastAsia="en-AU"/>
        </w:rPr>
        <w:t xml:space="preserve"> Co, 2012) at [14.410]. A class closure order that precludes class members, who neither opt out nor register, from sharing in a subsequent settlement may facilitate settlement, and therefore be reasonably adapted to the purpose of seeking or obtaining justice in the proceeding.</w:t>
      </w:r>
    </w:p>
    <w:p w:rsidR="00340F2F" w:rsidRDefault="00340F2F" w:rsidP="00340F2F">
      <w:pPr>
        <w:pStyle w:val="ParaNumbering"/>
      </w:pPr>
      <w:r>
        <w:t xml:space="preserve">In the decision the subject of appeal in </w:t>
      </w:r>
      <w:r w:rsidRPr="00340F2F">
        <w:rPr>
          <w:i/>
        </w:rPr>
        <w:t>Melbourne City Investments</w:t>
      </w:r>
      <w:r>
        <w:t>, the primary judge, Foster</w:t>
      </w:r>
      <w:r w:rsidR="00226254">
        <w:t> </w:t>
      </w:r>
      <w:r>
        <w:t xml:space="preserve">J, in </w:t>
      </w:r>
      <w:r w:rsidRPr="00340F2F">
        <w:rPr>
          <w:i/>
        </w:rPr>
        <w:t>Jones v Treasury Wine Estates Limited (No 2)</w:t>
      </w:r>
      <w:r>
        <w:t xml:space="preserve"> [2017] FCA 296</w:t>
      </w:r>
      <w:r w:rsidR="005A3C5F">
        <w:t>,</w:t>
      </w:r>
      <w:r>
        <w:t xml:space="preserve"> express</w:t>
      </w:r>
      <w:r w:rsidR="00226254">
        <w:t>ed</w:t>
      </w:r>
      <w:r>
        <w:t xml:space="preserve"> doubt that the </w:t>
      </w:r>
      <w:r w:rsidR="00226254">
        <w:t>C</w:t>
      </w:r>
      <w:r>
        <w:t>ourt had power to make a</w:t>
      </w:r>
      <w:r w:rsidR="00F82CB4">
        <w:t>n</w:t>
      </w:r>
      <w:r>
        <w:t xml:space="preserve"> </w:t>
      </w:r>
      <w:r w:rsidR="00516AE7">
        <w:t>order</w:t>
      </w:r>
      <w:r>
        <w:t xml:space="preserve"> before the initial trial of a </w:t>
      </w:r>
      <w:r w:rsidR="00226254">
        <w:t>P</w:t>
      </w:r>
      <w:r>
        <w:t xml:space="preserve">art </w:t>
      </w:r>
      <w:r w:rsidR="00226254">
        <w:t>IV</w:t>
      </w:r>
      <w:r w:rsidR="00AF634B">
        <w:t>A proceeding, that would</w:t>
      </w:r>
      <w:r>
        <w:t xml:space="preserve"> extinguish a group member’s rights to share in the fruits of a subsequent judgment unless the class member took steps to register</w:t>
      </w:r>
      <w:r w:rsidR="00F82CB4">
        <w:t xml:space="preserve"> (that is, a “hard” closure order)</w:t>
      </w:r>
      <w:r>
        <w:t>.  Despite expressing those doubts</w:t>
      </w:r>
      <w:r w:rsidR="00F82CB4">
        <w:t xml:space="preserve"> as to power</w:t>
      </w:r>
      <w:r>
        <w:t>, his Honour refused the application made on disc</w:t>
      </w:r>
      <w:r w:rsidR="00516AE7">
        <w:t>retionary grounds:  see [61]-</w:t>
      </w:r>
      <w:r>
        <w:t xml:space="preserve">[62] and </w:t>
      </w:r>
      <w:r w:rsidRPr="00226254">
        <w:rPr>
          <w:i/>
        </w:rPr>
        <w:t xml:space="preserve">Melbourne City Investments </w:t>
      </w:r>
      <w:r>
        <w:t xml:space="preserve">at </w:t>
      </w:r>
      <w:r w:rsidR="00516AE7">
        <w:t xml:space="preserve">20-21 </w:t>
      </w:r>
      <w:r>
        <w:t xml:space="preserve">[71]. </w:t>
      </w:r>
    </w:p>
    <w:p w:rsidR="00340F2F" w:rsidRDefault="00340F2F" w:rsidP="00340F2F">
      <w:pPr>
        <w:pStyle w:val="ParaNumbering"/>
      </w:pPr>
      <w:r>
        <w:t>The Full Court agreed with the exercise of his Honour’s discretion and</w:t>
      </w:r>
      <w:r w:rsidR="00F82CB4">
        <w:t>,</w:t>
      </w:r>
      <w:r>
        <w:t xml:space="preserve"> when it came to </w:t>
      </w:r>
      <w:r w:rsidR="005A3C5F">
        <w:t>“</w:t>
      </w:r>
      <w:r>
        <w:t>hard</w:t>
      </w:r>
      <w:r w:rsidR="005A3C5F">
        <w:t>”</w:t>
      </w:r>
      <w:r>
        <w:t xml:space="preserve"> closure orders, said the following at</w:t>
      </w:r>
      <w:r w:rsidR="00AF634B">
        <w:t xml:space="preserve"> 22</w:t>
      </w:r>
      <w:r>
        <w:t xml:space="preserve"> [76]:</w:t>
      </w:r>
    </w:p>
    <w:p w:rsidR="00340F2F" w:rsidRDefault="00340F2F" w:rsidP="00226254">
      <w:pPr>
        <w:pStyle w:val="Quote1"/>
      </w:pPr>
      <w:r>
        <w:t xml:space="preserve">... </w:t>
      </w:r>
      <w:proofErr w:type="gramStart"/>
      <w:r>
        <w:t>we</w:t>
      </w:r>
      <w:proofErr w:type="gramEnd"/>
      <w:r>
        <w:t xml:space="preserve"> share the views expressed by the primary judge in relation to a class closure order that also precludes class members from sharing in a subsequ</w:t>
      </w:r>
      <w:r w:rsidR="00CB4C71">
        <w:t>ent judgment.  In our view, the C</w:t>
      </w:r>
      <w:r>
        <w:t xml:space="preserve">ourt should be cautious before making a class closure order that, in the event settlement is not achieved, operates to lock class members out of their entitlement to make a claim and share in a judgment.  That is, the facilitation of settlement is a good reason for a class closure order but, if settlement is not achieved, an order to shut out class members who do not respond to an arbitrary deadline is not. </w:t>
      </w:r>
    </w:p>
    <w:p w:rsidR="00340F2F" w:rsidRDefault="00340F2F" w:rsidP="005A3C5F">
      <w:pPr>
        <w:pStyle w:val="ParaNumbering"/>
        <w:tabs>
          <w:tab w:val="clear" w:pos="720"/>
        </w:tabs>
      </w:pPr>
      <w:r>
        <w:t xml:space="preserve">Like in many aspects of </w:t>
      </w:r>
      <w:r w:rsidR="00236B97">
        <w:t xml:space="preserve">practice and procedure relating to </w:t>
      </w:r>
      <w:r>
        <w:t>representative p</w:t>
      </w:r>
      <w:r w:rsidR="00236B97">
        <w:t>roceedings, there is a danger in</w:t>
      </w:r>
      <w:r>
        <w:t xml:space="preserve"> generalising and care must be taken to </w:t>
      </w:r>
      <w:r w:rsidR="00CB4C71">
        <w:t>“</w:t>
      </w:r>
      <w:r>
        <w:t>avoid rea</w:t>
      </w:r>
      <w:r w:rsidR="00CB4C71">
        <w:t xml:space="preserve">ding judgments on fact </w:t>
      </w:r>
      <w:r>
        <w:t>specific i</w:t>
      </w:r>
      <w:r w:rsidR="005A3C5F">
        <w:t xml:space="preserve">nterlocutory issues </w:t>
      </w:r>
      <w:r w:rsidR="00CB4C71">
        <w:t xml:space="preserve">of practice and procedure </w:t>
      </w:r>
      <w:r>
        <w:t>as if they were determinative of precepts and principles of general application</w:t>
      </w:r>
      <w:r w:rsidR="00CB4C71">
        <w:t>”</w:t>
      </w:r>
      <w:r w:rsidR="006C1E1D">
        <w:t xml:space="preserve">: </w:t>
      </w:r>
      <w:r>
        <w:t xml:space="preserve">see </w:t>
      </w:r>
      <w:r w:rsidRPr="00226254">
        <w:rPr>
          <w:i/>
        </w:rPr>
        <w:t xml:space="preserve">Regent Holdings Pty </w:t>
      </w:r>
      <w:r w:rsidR="00F27FE2">
        <w:rPr>
          <w:i/>
        </w:rPr>
        <w:t>Ltd</w:t>
      </w:r>
      <w:r w:rsidRPr="00226254">
        <w:rPr>
          <w:i/>
        </w:rPr>
        <w:t xml:space="preserve"> v State of Victoria</w:t>
      </w:r>
      <w:r w:rsidR="00226254">
        <w:t xml:space="preserve"> </w:t>
      </w:r>
      <w:r w:rsidR="00CB4C71">
        <w:t xml:space="preserve">[2012] VSCA 221; </w:t>
      </w:r>
      <w:r w:rsidR="00226254">
        <w:t xml:space="preserve">(2012) 36 VR </w:t>
      </w:r>
      <w:r>
        <w:t xml:space="preserve">424 at 429 [19] </w:t>
      </w:r>
      <w:r w:rsidR="00F27FE2">
        <w:t xml:space="preserve">per </w:t>
      </w:r>
      <w:r>
        <w:t>Nettle, Redlich a</w:t>
      </w:r>
      <w:r w:rsidR="00226254">
        <w:t>nd Osborn JJA</w:t>
      </w:r>
      <w:r>
        <w:t xml:space="preserve">.  </w:t>
      </w:r>
      <w:r w:rsidR="005A3C5F">
        <w:t xml:space="preserve">Having sounded that note of caution, </w:t>
      </w:r>
      <w:r>
        <w:t xml:space="preserve">for my part, it is </w:t>
      </w:r>
      <w:r w:rsidR="005A3C5F">
        <w:t xml:space="preserve">very </w:t>
      </w:r>
      <w:r>
        <w:t>difficult to see how it is appropriate for a court</w:t>
      </w:r>
      <w:r w:rsidR="005A3C5F">
        <w:t>,</w:t>
      </w:r>
      <w:r>
        <w:t xml:space="preserve"> exercising a protective and supervisory role in respect of group members</w:t>
      </w:r>
      <w:r w:rsidR="005A3C5F">
        <w:t>,</w:t>
      </w:r>
      <w:r w:rsidR="00236B97">
        <w:t xml:space="preserve"> </w:t>
      </w:r>
      <w:r w:rsidR="00F27FE2">
        <w:t>to</w:t>
      </w:r>
      <w:r w:rsidR="00236B97">
        <w:t xml:space="preserve"> tak</w:t>
      </w:r>
      <w:r w:rsidR="00F27FE2">
        <w:t>e</w:t>
      </w:r>
      <w:r>
        <w:t xml:space="preserve"> </w:t>
      </w:r>
      <w:r w:rsidR="005A3C5F">
        <w:t>the step</w:t>
      </w:r>
      <w:r>
        <w:t xml:space="preserve"> </w:t>
      </w:r>
      <w:r w:rsidR="00546882">
        <w:t>of</w:t>
      </w:r>
      <w:r>
        <w:t xml:space="preserve"> extinguish</w:t>
      </w:r>
      <w:r w:rsidR="00546882">
        <w:t>ing</w:t>
      </w:r>
      <w:r>
        <w:t xml:space="preserve"> the </w:t>
      </w:r>
      <w:r w:rsidR="005A3C5F">
        <w:t xml:space="preserve">property </w:t>
      </w:r>
      <w:r>
        <w:t xml:space="preserve">rights of persons </w:t>
      </w:r>
      <w:r w:rsidR="00236B97">
        <w:t>on a final basis</w:t>
      </w:r>
      <w:r w:rsidR="003E3872">
        <w:t>,</w:t>
      </w:r>
      <w:r w:rsidR="00236B97">
        <w:t xml:space="preserve"> </w:t>
      </w:r>
      <w:r>
        <w:t xml:space="preserve">unless it is in the context of approving a settlement </w:t>
      </w:r>
      <w:r w:rsidR="00236B97">
        <w:t>prior to an initial trial</w:t>
      </w:r>
      <w:r>
        <w:t xml:space="preserve">.  When this is appreciated, and </w:t>
      </w:r>
      <w:r w:rsidR="00546882">
        <w:t xml:space="preserve">it is understood that </w:t>
      </w:r>
      <w:r w:rsidR="005A3C5F">
        <w:t xml:space="preserve">“soft” closure </w:t>
      </w:r>
      <w:r>
        <w:t>orders c</w:t>
      </w:r>
      <w:r w:rsidR="00236B97">
        <w:t>an be adapted to serve the</w:t>
      </w:r>
      <w:r w:rsidR="005A3C5F">
        <w:t xml:space="preserve"> </w:t>
      </w:r>
      <w:r w:rsidR="00236B97">
        <w:t xml:space="preserve">admittedly desirable </w:t>
      </w:r>
      <w:r w:rsidR="005A3C5F">
        <w:t>end</w:t>
      </w:r>
      <w:r w:rsidR="00236B97">
        <w:t xml:space="preserve"> of facilitating </w:t>
      </w:r>
      <w:r w:rsidR="00547AD8">
        <w:t xml:space="preserve">such a </w:t>
      </w:r>
      <w:r w:rsidR="00236B97">
        <w:t>settlement</w:t>
      </w:r>
      <w:r>
        <w:t xml:space="preserve">, it is </w:t>
      </w:r>
      <w:r w:rsidR="005A3C5F">
        <w:t xml:space="preserve">not evident to me why </w:t>
      </w:r>
      <w:r>
        <w:t xml:space="preserve">a </w:t>
      </w:r>
      <w:r w:rsidR="00236B97">
        <w:t>“</w:t>
      </w:r>
      <w:r>
        <w:t>hard</w:t>
      </w:r>
      <w:r w:rsidR="00236B97">
        <w:t>”</w:t>
      </w:r>
      <w:r>
        <w:t xml:space="preserve"> closure order would </w:t>
      </w:r>
      <w:r w:rsidR="00236B97">
        <w:t xml:space="preserve">ever </w:t>
      </w:r>
      <w:r>
        <w:t>be appropriate</w:t>
      </w:r>
      <w:r w:rsidR="005A3C5F">
        <w:t xml:space="preserve"> </w:t>
      </w:r>
      <w:r w:rsidR="00CE1750">
        <w:t>(at lea</w:t>
      </w:r>
      <w:r w:rsidR="003E3872">
        <w:t>st in</w:t>
      </w:r>
      <w:r w:rsidR="005A3C5F">
        <w:t xml:space="preserve"> an open class proceeding or a closed class proceeding with </w:t>
      </w:r>
      <w:r w:rsidR="00236B97">
        <w:t>a large number of group members</w:t>
      </w:r>
      <w:r w:rsidR="003E3872">
        <w:t>)</w:t>
      </w:r>
      <w:r>
        <w:t xml:space="preserve">.  </w:t>
      </w:r>
      <w:bookmarkStart w:id="21" w:name="_GoBack"/>
      <w:bookmarkEnd w:id="21"/>
    </w:p>
    <w:p w:rsidR="00E1592E" w:rsidRDefault="00547AD8" w:rsidP="00547AD8">
      <w:pPr>
        <w:pStyle w:val="ParaNumbering"/>
      </w:pPr>
      <w:r>
        <w:lastRenderedPageBreak/>
        <w:t>The</w:t>
      </w:r>
      <w:r w:rsidR="00340F2F">
        <w:t xml:space="preserve"> legislative foundation upon which class closure orders rest is s</w:t>
      </w:r>
      <w:r w:rsidR="00226254">
        <w:t> </w:t>
      </w:r>
      <w:r>
        <w:t>33</w:t>
      </w:r>
      <w:r w:rsidR="00340F2F">
        <w:t xml:space="preserve">ZF of the </w:t>
      </w:r>
      <w:r w:rsidR="00340F2F" w:rsidRPr="00226254">
        <w:rPr>
          <w:i/>
        </w:rPr>
        <w:t>Federal Court of Australia Act 1976</w:t>
      </w:r>
      <w:r w:rsidR="00340F2F">
        <w:t xml:space="preserve"> (Cth)</w:t>
      </w:r>
      <w:r w:rsidR="00435098">
        <w:t xml:space="preserve"> (</w:t>
      </w:r>
      <w:r w:rsidR="00435098" w:rsidRPr="00435098">
        <w:rPr>
          <w:b/>
        </w:rPr>
        <w:t>Act</w:t>
      </w:r>
      <w:r w:rsidR="00435098">
        <w:t>)</w:t>
      </w:r>
      <w:r w:rsidR="00340F2F">
        <w:t>.  As it has often</w:t>
      </w:r>
      <w:r w:rsidR="00F27FE2">
        <w:t xml:space="preserve"> been</w:t>
      </w:r>
      <w:r w:rsidR="00340F2F">
        <w:t xml:space="preserve"> said, the purpose </w:t>
      </w:r>
      <w:r>
        <w:t>of s 33</w:t>
      </w:r>
      <w:r w:rsidR="00340F2F">
        <w:t xml:space="preserve">ZF is to equip the </w:t>
      </w:r>
      <w:r w:rsidR="00226254">
        <w:t>c</w:t>
      </w:r>
      <w:r w:rsidR="00340F2F">
        <w:t>ourt with the “widest possible power” (</w:t>
      </w:r>
      <w:proofErr w:type="spellStart"/>
      <w:r w:rsidR="00340F2F" w:rsidRPr="00226254">
        <w:rPr>
          <w:i/>
        </w:rPr>
        <w:t>McMullin</w:t>
      </w:r>
      <w:proofErr w:type="spellEnd"/>
      <w:r w:rsidR="00340F2F" w:rsidRPr="00226254">
        <w:rPr>
          <w:i/>
        </w:rPr>
        <w:t xml:space="preserve"> v ICA Operations Pty </w:t>
      </w:r>
      <w:r w:rsidR="0093608A">
        <w:rPr>
          <w:i/>
        </w:rPr>
        <w:t>Ltd</w:t>
      </w:r>
      <w:r w:rsidR="00340F2F">
        <w:t xml:space="preserve"> (1998) 84 FCR</w:t>
      </w:r>
      <w:r w:rsidR="0093608A">
        <w:t xml:space="preserve"> </w:t>
      </w:r>
      <w:r w:rsidR="00340F2F">
        <w:t xml:space="preserve">1 </w:t>
      </w:r>
      <w:r w:rsidR="0093608A">
        <w:t xml:space="preserve">at 4 </w:t>
      </w:r>
      <w:r w:rsidR="00340F2F">
        <w:t xml:space="preserve">(Wilcox J)) and, like any other provision granting broad powers to a </w:t>
      </w:r>
      <w:r w:rsidR="00226254">
        <w:t>c</w:t>
      </w:r>
      <w:r w:rsidR="00340F2F">
        <w:t xml:space="preserve">ourt, its operation should not be limited absent clear indication in </w:t>
      </w:r>
      <w:r w:rsidR="00546882">
        <w:t>its</w:t>
      </w:r>
      <w:r w:rsidR="00340F2F">
        <w:t xml:space="preserve"> terms or </w:t>
      </w:r>
      <w:r>
        <w:t xml:space="preserve">by reason of </w:t>
      </w:r>
      <w:r w:rsidR="00340F2F">
        <w:t xml:space="preserve">context. </w:t>
      </w:r>
      <w:r>
        <w:t xml:space="preserve"> </w:t>
      </w:r>
      <w:r w:rsidR="00340F2F">
        <w:t xml:space="preserve">In enacting </w:t>
      </w:r>
      <w:r w:rsidR="00226254">
        <w:t>P</w:t>
      </w:r>
      <w:r w:rsidR="00340F2F">
        <w:t xml:space="preserve">art </w:t>
      </w:r>
      <w:r w:rsidR="00226254">
        <w:t>IV</w:t>
      </w:r>
      <w:r w:rsidR="00340F2F">
        <w:t xml:space="preserve">A, Parliament was introducing an “entirely novel procedure” and “in order to avoid the necessity for frequent resort to Parliament for amendments to the legislation, it was obviously desirable to empower the Court to make the orders necessary to resolve unforeseen difficulties” (see </w:t>
      </w:r>
      <w:proofErr w:type="spellStart"/>
      <w:r w:rsidR="00340F2F" w:rsidRPr="00547AD8">
        <w:rPr>
          <w:i/>
        </w:rPr>
        <w:t>McMullin</w:t>
      </w:r>
      <w:proofErr w:type="spellEnd"/>
      <w:r w:rsidR="00340F2F">
        <w:t xml:space="preserve"> at 4</w:t>
      </w:r>
      <w:r w:rsidR="0062131A">
        <w:t>;</w:t>
      </w:r>
      <w:r w:rsidR="00340F2F">
        <w:t xml:space="preserve"> </w:t>
      </w:r>
      <w:r w:rsidR="00340F2F" w:rsidRPr="00547AD8">
        <w:rPr>
          <w:i/>
        </w:rPr>
        <w:t xml:space="preserve">Courtney v </w:t>
      </w:r>
      <w:proofErr w:type="spellStart"/>
      <w:r w:rsidR="00340F2F" w:rsidRPr="00547AD8">
        <w:rPr>
          <w:i/>
        </w:rPr>
        <w:t>Medtel</w:t>
      </w:r>
      <w:proofErr w:type="spellEnd"/>
      <w:r w:rsidR="00340F2F" w:rsidRPr="00547AD8">
        <w:rPr>
          <w:i/>
        </w:rPr>
        <w:t xml:space="preserve"> Pty Limited</w:t>
      </w:r>
      <w:r w:rsidR="00340F2F">
        <w:t xml:space="preserve"> </w:t>
      </w:r>
      <w:r w:rsidR="0062131A">
        <w:t xml:space="preserve">[2002] FCA 957; </w:t>
      </w:r>
      <w:r w:rsidR="00340F2F">
        <w:t xml:space="preserve">(2002) 122 FCR 168 at </w:t>
      </w:r>
      <w:r w:rsidR="0062131A">
        <w:t xml:space="preserve">182 </w:t>
      </w:r>
      <w:r w:rsidR="00340F2F">
        <w:t>[48]).  There is no doubt</w:t>
      </w:r>
      <w:r>
        <w:t xml:space="preserve"> </w:t>
      </w:r>
      <w:r w:rsidR="00340F2F">
        <w:t xml:space="preserve">that the power exists to make class closure orders to facilitate settlement.  Having said that, the power to make “any order” is only enlivened where the court “thinks” the order is </w:t>
      </w:r>
      <w:r>
        <w:t>“</w:t>
      </w:r>
      <w:r w:rsidR="00340F2F">
        <w:t>necessary or appropriate</w:t>
      </w:r>
      <w:r>
        <w:t>” to ensure justice is done in the proceeding</w:t>
      </w:r>
      <w:r w:rsidR="00340F2F">
        <w:t>.  Once the court reaches this level of satisfaction, it follows (subject to constitutional limitations) that the court</w:t>
      </w:r>
      <w:r>
        <w:t xml:space="preserve"> has power to make an </w:t>
      </w:r>
      <w:r w:rsidR="00340F2F">
        <w:t>order</w:t>
      </w:r>
      <w:r>
        <w:t xml:space="preserve"> under s 33ZF</w:t>
      </w:r>
      <w:r w:rsidR="00340F2F">
        <w:t xml:space="preserve">. The word “necessary” does not impose a requirement that the court </w:t>
      </w:r>
      <w:r w:rsidR="00130F5E">
        <w:t>must be</w:t>
      </w:r>
      <w:r w:rsidR="00340F2F">
        <w:t xml:space="preserve"> satisfied that unless the order is made, the administration of justice will be undermined.  Rather, it requires that the proposed order “be reasonably adapted to the purpose of seeking or obtainin</w:t>
      </w:r>
      <w:r w:rsidR="00E1592E">
        <w:t xml:space="preserve">g justice in the proceeding”: </w:t>
      </w:r>
      <w:r w:rsidR="00340F2F">
        <w:t xml:space="preserve">see </w:t>
      </w:r>
      <w:r w:rsidR="00226254" w:rsidRPr="00547AD8">
        <w:rPr>
          <w:i/>
        </w:rPr>
        <w:t xml:space="preserve">Money Max </w:t>
      </w:r>
      <w:proofErr w:type="spellStart"/>
      <w:r w:rsidR="00226254" w:rsidRPr="00547AD8">
        <w:rPr>
          <w:i/>
        </w:rPr>
        <w:t>Int</w:t>
      </w:r>
      <w:proofErr w:type="spellEnd"/>
      <w:r w:rsidR="00226254" w:rsidRPr="00547AD8">
        <w:rPr>
          <w:i/>
        </w:rPr>
        <w:t xml:space="preserve"> Pty Ltd (Trustee) v QBE Insurance Group Limited</w:t>
      </w:r>
      <w:r w:rsidR="00226254" w:rsidRPr="00226254">
        <w:t xml:space="preserve"> </w:t>
      </w:r>
      <w:r w:rsidR="00E766A7">
        <w:t xml:space="preserve">[2016] FCAFC 148; </w:t>
      </w:r>
      <w:r w:rsidR="00E1592E">
        <w:t>(2016) 245 FCR 191 at</w:t>
      </w:r>
      <w:r w:rsidR="00130F5E">
        <w:t xml:space="preserve"> 224</w:t>
      </w:r>
      <w:r w:rsidR="00E1592E">
        <w:t xml:space="preserve"> </w:t>
      </w:r>
      <w:r w:rsidR="00130F5E">
        <w:t>[</w:t>
      </w:r>
      <w:r w:rsidR="00E1592E">
        <w:t>165</w:t>
      </w:r>
      <w:r w:rsidR="00130F5E">
        <w:t>]</w:t>
      </w:r>
      <w:r w:rsidR="00340F2F">
        <w:t xml:space="preserve">.  </w:t>
      </w:r>
    </w:p>
    <w:p w:rsidR="00F82CB4" w:rsidRDefault="00E1592E" w:rsidP="009A7D0B">
      <w:pPr>
        <w:pStyle w:val="ParaNumbering"/>
        <w:tabs>
          <w:tab w:val="clear" w:pos="720"/>
        </w:tabs>
      </w:pPr>
      <w:r>
        <w:t>It follows that in order for me to be</w:t>
      </w:r>
      <w:r w:rsidR="00130F5E">
        <w:t xml:space="preserve"> able to</w:t>
      </w:r>
      <w:r>
        <w:t xml:space="preserve"> make the order sought by the respondents, at the very least, I would need to “think”, </w:t>
      </w:r>
      <w:r w:rsidR="00340F2F">
        <w:t>in the present context</w:t>
      </w:r>
      <w:r>
        <w:t xml:space="preserve"> of the Part IVA opt-out regime, that</w:t>
      </w:r>
      <w:r w:rsidR="00340F2F">
        <w:t xml:space="preserve"> it is appropriate that </w:t>
      </w:r>
      <w:r>
        <w:t xml:space="preserve">the relevant </w:t>
      </w:r>
      <w:r w:rsidR="00340F2F">
        <w:t xml:space="preserve">group members’ claims be extinguished for all time in the event that they do not respond </w:t>
      </w:r>
      <w:r>
        <w:t xml:space="preserve">timeously </w:t>
      </w:r>
      <w:r w:rsidR="00340F2F">
        <w:t>to a court notice requiring them to take active steps</w:t>
      </w:r>
      <w:r>
        <w:t xml:space="preserve"> to, in effect, “opt-in” to the proceeding</w:t>
      </w:r>
      <w:r w:rsidR="00340F2F">
        <w:t>.  The whole point of class closure orders is to provide some certainty</w:t>
      </w:r>
      <w:r>
        <w:t xml:space="preserve"> </w:t>
      </w:r>
      <w:r w:rsidR="00694953">
        <w:t>(</w:t>
      </w:r>
      <w:r>
        <w:t>or at least some guidance</w:t>
      </w:r>
      <w:r w:rsidR="00694953">
        <w:t>)</w:t>
      </w:r>
      <w:r w:rsidR="00340F2F">
        <w:t xml:space="preserve"> to a respondent </w:t>
      </w:r>
      <w:r>
        <w:t>as</w:t>
      </w:r>
      <w:r w:rsidR="00340F2F">
        <w:t xml:space="preserve"> to the nature and quantum of the case advanced against the respondent</w:t>
      </w:r>
      <w:r w:rsidR="00694953">
        <w:t xml:space="preserve"> by non-parties </w:t>
      </w:r>
      <w:r w:rsidR="00F82CB4">
        <w:t>in appropriate cases</w:t>
      </w:r>
      <w:r w:rsidR="00340F2F">
        <w:t xml:space="preserve">.  </w:t>
      </w:r>
      <w:r w:rsidR="00694953">
        <w:t>As noted above, i</w:t>
      </w:r>
      <w:r w:rsidR="00340F2F">
        <w:t>n circumstances where this information can be provided without extinguishing group member claims for all purposes</w:t>
      </w:r>
      <w:r w:rsidR="00694953">
        <w:t>,</w:t>
      </w:r>
      <w:r w:rsidR="00340F2F">
        <w:t xml:space="preserve"> it is </w:t>
      </w:r>
      <w:r w:rsidR="00694953">
        <w:t>not self-evident to me how such a “hard” closure order c</w:t>
      </w:r>
      <w:r w:rsidR="00340F2F">
        <w:t xml:space="preserve">ould </w:t>
      </w:r>
      <w:r w:rsidR="00694953">
        <w:t xml:space="preserve">ever </w:t>
      </w:r>
      <w:r w:rsidR="00340F2F">
        <w:t>be either necessary or appropriate in the relevant sense</w:t>
      </w:r>
      <w:r w:rsidR="00694953">
        <w:t xml:space="preserve"> (absent, perhaps, an outlier case of a very small sophisticated group conducting litigation as a common enterprise)</w:t>
      </w:r>
      <w:r w:rsidR="00340F2F">
        <w:t>.</w:t>
      </w:r>
      <w:r w:rsidR="00F82CB4">
        <w:t xml:space="preserve"> </w:t>
      </w:r>
    </w:p>
    <w:p w:rsidR="00340F2F" w:rsidRDefault="00F82CB4" w:rsidP="00E768EA">
      <w:pPr>
        <w:pStyle w:val="ParaNumbering"/>
      </w:pPr>
      <w:r>
        <w:t>Before leaving these general observations I should make a final point: I h</w:t>
      </w:r>
      <w:r w:rsidR="006C1E1D">
        <w:t>ave already referred to the undesirability</w:t>
      </w:r>
      <w:r>
        <w:t xml:space="preserve"> of “fixed”</w:t>
      </w:r>
      <w:r w:rsidR="006C1E1D">
        <w:t xml:space="preserve"> rules when</w:t>
      </w:r>
      <w:r>
        <w:t xml:space="preserve"> dealing with issues of practice and procedure.  It should not be assumed that </w:t>
      </w:r>
      <w:r w:rsidR="00435098">
        <w:t xml:space="preserve">“soft” </w:t>
      </w:r>
      <w:r>
        <w:t xml:space="preserve">closure orders will </w:t>
      </w:r>
      <w:r w:rsidRPr="00F82CB4">
        <w:rPr>
          <w:i/>
        </w:rPr>
        <w:t>always</w:t>
      </w:r>
      <w:r>
        <w:t xml:space="preserve"> be appropriate as a pre-condition </w:t>
      </w:r>
      <w:r>
        <w:lastRenderedPageBreak/>
        <w:t xml:space="preserve">to settlement discussions or prior to a Court approved mediation. </w:t>
      </w:r>
      <w:r w:rsidR="00340F2F">
        <w:t xml:space="preserve"> </w:t>
      </w:r>
      <w:r>
        <w:t xml:space="preserve">It is case dependent.  It is possible to imagine, for example, </w:t>
      </w:r>
      <w:r w:rsidR="00E768EA">
        <w:t xml:space="preserve">that such an order may not be </w:t>
      </w:r>
      <w:r w:rsidR="00435098">
        <w:t>utile when the claim made by an applicant i</w:t>
      </w:r>
      <w:r w:rsidR="00E768EA">
        <w:t xml:space="preserve">s for an award of </w:t>
      </w:r>
      <w:r w:rsidR="00E768EA" w:rsidRPr="00E768EA">
        <w:t>damages in an aggregate amount without specifying amounts awarded in respect of individual group members</w:t>
      </w:r>
      <w:r w:rsidR="00E768EA">
        <w:t xml:space="preserve"> (see s 33Z(1)(f)</w:t>
      </w:r>
      <w:r w:rsidR="00435098">
        <w:t xml:space="preserve"> of the Act</w:t>
      </w:r>
      <w:r w:rsidR="00E768EA">
        <w:t>).</w:t>
      </w:r>
    </w:p>
    <w:p w:rsidR="00340F2F" w:rsidRDefault="00314743" w:rsidP="00226254">
      <w:pPr>
        <w:pStyle w:val="Heading1"/>
      </w:pPr>
      <w:r>
        <w:t>B</w:t>
      </w:r>
      <w:r w:rsidR="00226254">
        <w:tab/>
      </w:r>
      <w:r w:rsidR="00340F2F">
        <w:t>The Present Application</w:t>
      </w:r>
    </w:p>
    <w:p w:rsidR="00340F2F" w:rsidRDefault="00340F2F" w:rsidP="00340F2F">
      <w:pPr>
        <w:pStyle w:val="ParaNumbering"/>
      </w:pPr>
      <w:r>
        <w:t xml:space="preserve">The </w:t>
      </w:r>
      <w:r w:rsidR="00667CE1">
        <w:t xml:space="preserve">respondents apply for </w:t>
      </w:r>
      <w:r>
        <w:t xml:space="preserve">orders that any group member who had </w:t>
      </w:r>
      <w:r w:rsidR="00694953">
        <w:t>a</w:t>
      </w:r>
      <w:r>
        <w:t xml:space="preserve"> “Registrable Product” </w:t>
      </w:r>
      <w:r w:rsidR="00694953">
        <w:t xml:space="preserve">implanted </w:t>
      </w:r>
      <w:r>
        <w:t>and wishes to pursue a claim for compensation “in relation to that Registrable Product”</w:t>
      </w:r>
      <w:r w:rsidR="009A7D0B">
        <w:t>,</w:t>
      </w:r>
      <w:r>
        <w:t xml:space="preserve"> must register on a date to be fixed and deliver to the applicants’ solicitors</w:t>
      </w:r>
      <w:r w:rsidR="00667CE1">
        <w:t>,</w:t>
      </w:r>
      <w:r>
        <w:t xml:space="preserve"> what is described as a “Claimant Registration Form”.  A regime </w:t>
      </w:r>
      <w:r w:rsidR="009A7D0B">
        <w:t xml:space="preserve">is </w:t>
      </w:r>
      <w:r>
        <w:t xml:space="preserve">then </w:t>
      </w:r>
      <w:r w:rsidR="009A7D0B">
        <w:t>proposed</w:t>
      </w:r>
      <w:r>
        <w:t xml:space="preserve"> which requires the solicitors for the applicant to file a confidential exhibit detailing the respon</w:t>
      </w:r>
      <w:r w:rsidR="009A7D0B">
        <w:t>ses received from those who register</w:t>
      </w:r>
      <w:r>
        <w:t xml:space="preserve">.  A further order is </w:t>
      </w:r>
      <w:r w:rsidR="009A7D0B">
        <w:t xml:space="preserve">then </w:t>
      </w:r>
      <w:r>
        <w:t xml:space="preserve">sought in the following terms: </w:t>
      </w:r>
    </w:p>
    <w:p w:rsidR="00340F2F" w:rsidRDefault="00340F2F" w:rsidP="00226254">
      <w:pPr>
        <w:pStyle w:val="Quote1"/>
      </w:pPr>
      <w:r>
        <w:t xml:space="preserve">The claims of any group member who had implanted </w:t>
      </w:r>
      <w:r w:rsidR="00667CE1">
        <w:t xml:space="preserve">a </w:t>
      </w:r>
      <w:r>
        <w:t>Registrable Product and who is not listed in the confidential exhibit...</w:t>
      </w:r>
      <w:r w:rsidR="000673B3">
        <w:t xml:space="preserve"> </w:t>
      </w:r>
      <w:r>
        <w:t xml:space="preserve">are dismissed, on and from the day after the Registration Date.  This dismissal will operate as a final determination of the rights of those group members to claim damages or other relief against the Respondents </w:t>
      </w:r>
      <w:r w:rsidR="000673B3">
        <w:t>in relation to one or more</w:t>
      </w:r>
      <w:r>
        <w:t xml:space="preserve"> Registrable Product (sic). </w:t>
      </w:r>
    </w:p>
    <w:p w:rsidR="00340F2F" w:rsidRDefault="009A7D0B" w:rsidP="009A7D0B">
      <w:pPr>
        <w:pStyle w:val="ParaNumbering"/>
        <w:tabs>
          <w:tab w:val="clear" w:pos="720"/>
        </w:tabs>
      </w:pPr>
      <w:r>
        <w:t>To understand</w:t>
      </w:r>
      <w:r w:rsidR="00340F2F">
        <w:t xml:space="preserve"> the</w:t>
      </w:r>
      <w:r w:rsidR="00546882">
        <w:t xml:space="preserve"> present</w:t>
      </w:r>
      <w:r w:rsidR="00340F2F">
        <w:t xml:space="preserve"> application</w:t>
      </w:r>
      <w:r w:rsidR="00546882">
        <w:t>,</w:t>
      </w:r>
      <w:r w:rsidR="00340F2F">
        <w:t xml:space="preserve"> </w:t>
      </w:r>
      <w:r>
        <w:t xml:space="preserve">it is necessary </w:t>
      </w:r>
      <w:r w:rsidR="00340F2F">
        <w:t xml:space="preserve">to </w:t>
      </w:r>
      <w:r>
        <w:t>appreciate what</w:t>
      </w:r>
      <w:r w:rsidR="00340F2F">
        <w:t xml:space="preserve"> amounts to a Registrable </w:t>
      </w:r>
      <w:r w:rsidR="00226254">
        <w:t>P</w:t>
      </w:r>
      <w:r w:rsidR="00340F2F">
        <w:t xml:space="preserve">roduct.  In </w:t>
      </w:r>
      <w:r w:rsidR="00340F2F" w:rsidRPr="00226254">
        <w:rPr>
          <w:i/>
        </w:rPr>
        <w:t xml:space="preserve">Ethicon </w:t>
      </w:r>
      <w:proofErr w:type="spellStart"/>
      <w:r w:rsidR="00340F2F" w:rsidRPr="00226254">
        <w:rPr>
          <w:i/>
        </w:rPr>
        <w:t>S</w:t>
      </w:r>
      <w:r w:rsidR="000673B3" w:rsidRPr="000673B3">
        <w:rPr>
          <w:i/>
        </w:rPr>
        <w:t>à</w:t>
      </w:r>
      <w:r w:rsidR="00340F2F" w:rsidRPr="00226254">
        <w:rPr>
          <w:i/>
        </w:rPr>
        <w:t>rl</w:t>
      </w:r>
      <w:proofErr w:type="spellEnd"/>
      <w:r w:rsidR="00340F2F" w:rsidRPr="00226254">
        <w:rPr>
          <w:i/>
        </w:rPr>
        <w:t xml:space="preserve"> v Gill</w:t>
      </w:r>
      <w:r w:rsidR="00340F2F">
        <w:t xml:space="preserve"> [2018] FCAFC 137, the Full Court</w:t>
      </w:r>
      <w:r>
        <w:t>,</w:t>
      </w:r>
      <w:r w:rsidR="00340F2F">
        <w:t xml:space="preserve"> at [1]</w:t>
      </w:r>
      <w:r w:rsidR="00226254">
        <w:t>-</w:t>
      </w:r>
      <w:r w:rsidR="00340F2F">
        <w:t>[2]</w:t>
      </w:r>
      <w:r>
        <w:t>,</w:t>
      </w:r>
      <w:r w:rsidR="00340F2F">
        <w:t xml:space="preserve"> described the class action as being </w:t>
      </w:r>
      <w:r w:rsidR="000673B3">
        <w:t>“</w:t>
      </w:r>
      <w:r w:rsidR="00340F2F">
        <w:t xml:space="preserve">maintained on behalf of three representative applicants who, </w:t>
      </w:r>
      <w:r>
        <w:t>together with group members, were</w:t>
      </w:r>
      <w:r w:rsidR="00340F2F">
        <w:t xml:space="preserve"> surgically implanted with medical devices</w:t>
      </w:r>
      <w:r w:rsidR="000673B3">
        <w:t>”</w:t>
      </w:r>
      <w:r w:rsidR="00340F2F">
        <w:t xml:space="preserve">.  These devices were manufactured by two overseas companies (which are the first two respondents) and </w:t>
      </w:r>
      <w:r w:rsidR="000673B3">
        <w:t>were</w:t>
      </w:r>
      <w:r w:rsidR="00340F2F">
        <w:t xml:space="preserve"> sold in Australia by the third respondent.  As the Full Court noted</w:t>
      </w:r>
      <w:r w:rsidR="000673B3">
        <w:t xml:space="preserve"> at [2]</w:t>
      </w:r>
      <w:r w:rsidR="00340F2F">
        <w:t xml:space="preserve">:  </w:t>
      </w:r>
    </w:p>
    <w:p w:rsidR="00340F2F" w:rsidRDefault="00340F2F" w:rsidP="00226254">
      <w:pPr>
        <w:pStyle w:val="Quote1"/>
      </w:pPr>
      <w:r>
        <w:t>In broad summary, it is alleged that the devices were defective and/or unfit for purpose and that representations were made about them which contravene</w:t>
      </w:r>
      <w:r w:rsidR="000673B3">
        <w:t>d</w:t>
      </w:r>
      <w:r>
        <w:t xml:space="preserve"> norms contained in the </w:t>
      </w:r>
      <w:r w:rsidRPr="00226254">
        <w:rPr>
          <w:i/>
        </w:rPr>
        <w:t>Trade Practices Act 1974</w:t>
      </w:r>
      <w:r>
        <w:t xml:space="preserve"> (Cth) and the </w:t>
      </w:r>
      <w:r w:rsidRPr="00226254">
        <w:rPr>
          <w:i/>
        </w:rPr>
        <w:t>Competition and Consumer Act 2010</w:t>
      </w:r>
      <w:r>
        <w:t xml:space="preserve"> (Cth).  It is further alleged</w:t>
      </w:r>
      <w:r w:rsidR="000673B3">
        <w:t xml:space="preserve"> the respondents were negligent</w:t>
      </w:r>
      <w:r>
        <w:t>.  Monetary and non</w:t>
      </w:r>
      <w:r w:rsidR="009A7D0B">
        <w:t>-</w:t>
      </w:r>
      <w:r>
        <w:t>monetary relief is sought.</w:t>
      </w:r>
    </w:p>
    <w:p w:rsidR="009A7D0B" w:rsidRDefault="00340F2F" w:rsidP="009A7D0B">
      <w:pPr>
        <w:pStyle w:val="ParaNumbering"/>
      </w:pPr>
      <w:r>
        <w:t>The current group defin</w:t>
      </w:r>
      <w:r w:rsidR="009A7D0B">
        <w:t>ition, the evolution of which was</w:t>
      </w:r>
      <w:r>
        <w:t xml:space="preserve"> described </w:t>
      </w:r>
      <w:r w:rsidR="009A7D0B">
        <w:t xml:space="preserve">by the Full Court </w:t>
      </w:r>
      <w:r>
        <w:t>at [7]</w:t>
      </w:r>
      <w:r w:rsidR="00226254">
        <w:t>-</w:t>
      </w:r>
      <w:r>
        <w:t>[13]</w:t>
      </w:r>
      <w:r w:rsidR="009A7D0B">
        <w:t>,</w:t>
      </w:r>
      <w:r>
        <w:t xml:space="preserve"> defines the amended class by reference to group members satisfying three criteria:  </w:t>
      </w:r>
      <w:r w:rsidRPr="009A7D0B">
        <w:rPr>
          <w:i/>
        </w:rPr>
        <w:t>first</w:t>
      </w:r>
      <w:r>
        <w:t>, they had surgery performed on them in Australia to implant one or more</w:t>
      </w:r>
      <w:r w:rsidR="009A7D0B">
        <w:t xml:space="preserve"> of the devices specified;  </w:t>
      </w:r>
      <w:r w:rsidR="009A7D0B" w:rsidRPr="009A7D0B">
        <w:rPr>
          <w:i/>
        </w:rPr>
        <w:t>secondly</w:t>
      </w:r>
      <w:r w:rsidR="009A7D0B">
        <w:t xml:space="preserve">, </w:t>
      </w:r>
      <w:r>
        <w:t xml:space="preserve">they were supplied with one or more of the devices for specified purposes;  and </w:t>
      </w:r>
      <w:r w:rsidR="009A7D0B" w:rsidRPr="009A7D0B">
        <w:rPr>
          <w:i/>
        </w:rPr>
        <w:t>thirdly</w:t>
      </w:r>
      <w:r w:rsidR="009A7D0B">
        <w:t xml:space="preserve">, </w:t>
      </w:r>
      <w:r>
        <w:t>they have suffered from one or more complications, defined in th</w:t>
      </w:r>
      <w:r w:rsidR="009A7D0B">
        <w:t>e statement of claim, attributable</w:t>
      </w:r>
      <w:r>
        <w:t xml:space="preserve"> to the devices and/or the consequences of surgical removal of the devices.  </w:t>
      </w:r>
    </w:p>
    <w:p w:rsidR="009A7D0B" w:rsidRDefault="00340F2F" w:rsidP="009A7D0B">
      <w:pPr>
        <w:pStyle w:val="ParaNumbering"/>
      </w:pPr>
      <w:r>
        <w:t>There are currently two subgroups being the</w:t>
      </w:r>
      <w:r w:rsidR="009A7D0B">
        <w:t xml:space="preserve"> “Mesh-Group members” and the “Tape-G</w:t>
      </w:r>
      <w:r>
        <w:t xml:space="preserve">roup members”.  The </w:t>
      </w:r>
      <w:r w:rsidR="00B4576B">
        <w:t>R</w:t>
      </w:r>
      <w:r>
        <w:t xml:space="preserve">egistrable </w:t>
      </w:r>
      <w:r w:rsidR="00B4576B">
        <w:t>P</w:t>
      </w:r>
      <w:r>
        <w:t>roducts relate to three of</w:t>
      </w:r>
      <w:r w:rsidR="00B4576B">
        <w:t xml:space="preserve"> the four </w:t>
      </w:r>
      <w:r>
        <w:t xml:space="preserve">mesh implants and one of the </w:t>
      </w:r>
      <w:r>
        <w:lastRenderedPageBreak/>
        <w:t>five tape implants</w:t>
      </w:r>
      <w:r w:rsidR="00226254">
        <w:t xml:space="preserve">.  </w:t>
      </w:r>
      <w:r>
        <w:t>It is unnecessary to go into the details</w:t>
      </w:r>
      <w:r w:rsidR="009A7D0B">
        <w:t>,</w:t>
      </w:r>
      <w:r>
        <w:t xml:space="preserve"> but it is common ground between the parties that an unknown number of group members may have been implan</w:t>
      </w:r>
      <w:r w:rsidR="009A7D0B">
        <w:t xml:space="preserve">ted with </w:t>
      </w:r>
      <w:r w:rsidR="00B4576B">
        <w:t>R</w:t>
      </w:r>
      <w:r w:rsidR="009A7D0B">
        <w:t xml:space="preserve">egistrable </w:t>
      </w:r>
      <w:r w:rsidR="00B4576B">
        <w:t>P</w:t>
      </w:r>
      <w:r w:rsidR="009A7D0B">
        <w:t>roducts and</w:t>
      </w:r>
      <w:r>
        <w:t xml:space="preserve"> </w:t>
      </w:r>
      <w:r w:rsidR="009A7D0B">
        <w:t xml:space="preserve">also </w:t>
      </w:r>
      <w:r>
        <w:t>other implants.  It is unknown how many group members fall into this category</w:t>
      </w:r>
      <w:r w:rsidR="009A7D0B">
        <w:t>,</w:t>
      </w:r>
      <w:r>
        <w:t xml:space="preserve"> partly because the number of grou</w:t>
      </w:r>
      <w:r w:rsidR="007B6E59">
        <w:t>p members is</w:t>
      </w:r>
      <w:r>
        <w:t xml:space="preserve"> unknown.  </w:t>
      </w:r>
    </w:p>
    <w:p w:rsidR="00340F2F" w:rsidRDefault="009A7D0B" w:rsidP="009A7D0B">
      <w:pPr>
        <w:pStyle w:val="ParaNumbering"/>
      </w:pPr>
      <w:r>
        <w:t>Turning more generally to group composition, a</w:t>
      </w:r>
      <w:r w:rsidR="00340F2F">
        <w:t>n estimate made by the applicants</w:t>
      </w:r>
      <w:r>
        <w:t>,</w:t>
      </w:r>
      <w:r w:rsidR="007B6E59">
        <w:t xml:space="preserve"> which was not disputed </w:t>
      </w:r>
      <w:r w:rsidR="00340F2F">
        <w:t>by the respondents</w:t>
      </w:r>
      <w:r>
        <w:t>,</w:t>
      </w:r>
      <w:r w:rsidR="007B6E59">
        <w:t xml:space="preserve"> is that there are</w:t>
      </w:r>
      <w:r w:rsidR="00340F2F">
        <w:t xml:space="preserve"> approximately 5,649 group members.  The </w:t>
      </w:r>
      <w:r>
        <w:t>pin-</w:t>
      </w:r>
      <w:r w:rsidR="00340F2F">
        <w:t>po</w:t>
      </w:r>
      <w:r>
        <w:t>int nature of this</w:t>
      </w:r>
      <w:r w:rsidR="00340F2F">
        <w:t xml:space="preserve"> figure gives a patina of accuracy which</w:t>
      </w:r>
      <w:r>
        <w:t>,</w:t>
      </w:r>
      <w:r w:rsidR="00340F2F">
        <w:t xml:space="preserve"> on </w:t>
      </w:r>
      <w:r>
        <w:t xml:space="preserve">an examination of </w:t>
      </w:r>
      <w:r w:rsidR="00340F2F">
        <w:t>the evidence</w:t>
      </w:r>
      <w:r>
        <w:t>, is not justifiable</w:t>
      </w:r>
      <w:r w:rsidR="00791CB6">
        <w:t>.</w:t>
      </w:r>
      <w:r>
        <w:t xml:space="preserve"> </w:t>
      </w:r>
      <w:r w:rsidR="00791CB6">
        <w:t>T</w:t>
      </w:r>
      <w:r>
        <w:t xml:space="preserve">he best that can be said is that </w:t>
      </w:r>
      <w:r w:rsidR="00340F2F">
        <w:t>it represents a workable figure as to the likely number of group members for present purposes.  Out of that group</w:t>
      </w:r>
      <w:r>
        <w:t>,</w:t>
      </w:r>
      <w:r w:rsidR="00340F2F">
        <w:t xml:space="preserve"> 1,198 group members have </w:t>
      </w:r>
      <w:r>
        <w:t>“</w:t>
      </w:r>
      <w:r w:rsidR="00340F2F">
        <w:t>registered</w:t>
      </w:r>
      <w:r>
        <w:t>”</w:t>
      </w:r>
      <w:r w:rsidR="00340F2F">
        <w:t xml:space="preserve"> with the solicitors for the applicants.  By </w:t>
      </w:r>
      <w:r w:rsidR="00791CB6">
        <w:t>the</w:t>
      </w:r>
      <w:r w:rsidR="00340F2F">
        <w:t xml:space="preserve"> process of registration</w:t>
      </w:r>
      <w:r>
        <w:t>,</w:t>
      </w:r>
      <w:r w:rsidR="00340F2F">
        <w:t xml:space="preserve"> they have not become clients of the applicants’ solicitors</w:t>
      </w:r>
      <w:r>
        <w:t>,</w:t>
      </w:r>
      <w:r w:rsidR="00340F2F">
        <w:t xml:space="preserve"> but presumably have provided them with some details.  More specific details have been provided by 967 group members</w:t>
      </w:r>
      <w:r>
        <w:t>,</w:t>
      </w:r>
      <w:r w:rsidR="00340F2F">
        <w:t xml:space="preserve"> who have participated in a survey.  </w:t>
      </w:r>
    </w:p>
    <w:p w:rsidR="00340F2F" w:rsidRDefault="007B6E59" w:rsidP="00340F2F">
      <w:pPr>
        <w:pStyle w:val="ParaNumbering"/>
      </w:pPr>
      <w:r>
        <w:t xml:space="preserve">It is </w:t>
      </w:r>
      <w:r w:rsidR="00340F2F">
        <w:t xml:space="preserve">necessary to highlight an unusual aspect of this application.  In </w:t>
      </w:r>
      <w:r w:rsidR="00340F2F" w:rsidRPr="00226254">
        <w:rPr>
          <w:i/>
        </w:rPr>
        <w:t>Dillon v RBS Group (Australia) Pty Limited</w:t>
      </w:r>
      <w:r w:rsidR="00C65331">
        <w:t xml:space="preserve"> [2017] FCA 896; (2017) 252</w:t>
      </w:r>
      <w:r w:rsidR="00340F2F">
        <w:t xml:space="preserve"> FC</w:t>
      </w:r>
      <w:r w:rsidR="00C65331">
        <w:t>R</w:t>
      </w:r>
      <w:r w:rsidR="00340F2F">
        <w:t xml:space="preserve"> 150 at 160</w:t>
      </w:r>
      <w:r w:rsidR="009E0C92">
        <w:t>-163 [</w:t>
      </w:r>
      <w:r w:rsidR="00340F2F">
        <w:t>49</w:t>
      </w:r>
      <w:r w:rsidR="009E0C92">
        <w:t>]-</w:t>
      </w:r>
      <w:r w:rsidR="00340F2F">
        <w:t>[61], I dealt with a recurring issue in class actions</w:t>
      </w:r>
      <w:r w:rsidR="00C65331">
        <w:t>, which</w:t>
      </w:r>
      <w:r w:rsidR="009A7D0B">
        <w:t xml:space="preserve"> has been apt to cause </w:t>
      </w:r>
      <w:r w:rsidR="00340F2F">
        <w:t xml:space="preserve">confusion.  At </w:t>
      </w:r>
      <w:r w:rsidR="009E0C92">
        <w:t>[</w:t>
      </w:r>
      <w:r w:rsidR="00340F2F">
        <w:t>50</w:t>
      </w:r>
      <w:r w:rsidR="009E0C92">
        <w:t>]</w:t>
      </w:r>
      <w:r w:rsidR="00340F2F">
        <w:t xml:space="preserve"> I </w:t>
      </w:r>
      <w:r>
        <w:t>noted</w:t>
      </w:r>
      <w:r w:rsidR="00340F2F">
        <w:t xml:space="preserve"> as follows: </w:t>
      </w:r>
    </w:p>
    <w:p w:rsidR="00340F2F" w:rsidRDefault="00340F2F" w:rsidP="009E0C92">
      <w:pPr>
        <w:pStyle w:val="Quote1"/>
      </w:pPr>
      <w:r>
        <w:t>It is important to bear in m</w:t>
      </w:r>
      <w:r w:rsidR="001B5D63">
        <w:t>ind another fundamental concept</w:t>
      </w:r>
      <w:r>
        <w:t xml:space="preserve"> which, although simple, is sometimes obscured:  a group comprises </w:t>
      </w:r>
      <w:r w:rsidRPr="001B5D63">
        <w:rPr>
          <w:i/>
        </w:rPr>
        <w:t>persons</w:t>
      </w:r>
      <w:r>
        <w:t xml:space="preserve"> and not the </w:t>
      </w:r>
      <w:r w:rsidRPr="001B5D63">
        <w:rPr>
          <w:i/>
        </w:rPr>
        <w:t>claims of persons</w:t>
      </w:r>
      <w:r>
        <w:t xml:space="preserve">.  The best way of avoiding confusion is by imagining that a list of group members is always a list of names but, when actual names are not used, the “list” of persons is identified by </w:t>
      </w:r>
      <w:r w:rsidR="001B5D63">
        <w:t xml:space="preserve">a </w:t>
      </w:r>
      <w:r>
        <w:t xml:space="preserve">criterion (or more usually criteria) specified at the time the group is described.  The identity of all persons is ascertainable and the characteristics describing membership, subject to leave under </w:t>
      </w:r>
      <w:r w:rsidR="001B5D63">
        <w:t>s</w:t>
      </w:r>
      <w:r>
        <w:t xml:space="preserve"> 33K, will necessarily all be in existence immediately prior to the commencement of the proceeding on their behalf.  </w:t>
      </w:r>
    </w:p>
    <w:p w:rsidR="00340F2F" w:rsidRDefault="00340F2F" w:rsidP="00B4576B">
      <w:pPr>
        <w:pStyle w:val="ParaNumbering"/>
      </w:pPr>
      <w:r>
        <w:t>The claims which are the subject of the proceeding</w:t>
      </w:r>
      <w:r w:rsidR="00B4576B">
        <w:t>,</w:t>
      </w:r>
      <w:r>
        <w:t xml:space="preserve"> are the </w:t>
      </w:r>
      <w:r w:rsidRPr="00B4576B">
        <w:t>entirety</w:t>
      </w:r>
      <w:r w:rsidR="009A7D0B">
        <w:t xml:space="preserve"> of</w:t>
      </w:r>
      <w:r w:rsidR="00B4576B">
        <w:t xml:space="preserve"> each </w:t>
      </w:r>
      <w:r w:rsidR="009A7D0B">
        <w:t>claim of each group member</w:t>
      </w:r>
      <w:r w:rsidR="00B4576B">
        <w:t>, which exist</w:t>
      </w:r>
      <w:r w:rsidR="009A7D0B">
        <w:t xml:space="preserve"> </w:t>
      </w:r>
      <w:r>
        <w:t xml:space="preserve">separately from the proceeding.  The concept of a “claim” is basal to </w:t>
      </w:r>
      <w:r w:rsidR="009E0C92">
        <w:t>P</w:t>
      </w:r>
      <w:r>
        <w:t xml:space="preserve">art </w:t>
      </w:r>
      <w:r w:rsidR="009E0C92">
        <w:t>IV</w:t>
      </w:r>
      <w:r>
        <w:t>A p</w:t>
      </w:r>
      <w:r w:rsidR="00B4576B">
        <w:t>roceedings</w:t>
      </w:r>
      <w:r w:rsidR="007B6E59">
        <w:t>,</w:t>
      </w:r>
      <w:r w:rsidR="00B4576B">
        <w:t xml:space="preserve"> and as</w:t>
      </w:r>
      <w:r w:rsidR="009E0C92">
        <w:t xml:space="preserve"> I explained in </w:t>
      </w:r>
      <w:r w:rsidRPr="002E42C3">
        <w:rPr>
          <w:i/>
        </w:rPr>
        <w:t>Dillon</w:t>
      </w:r>
      <w:r w:rsidR="00B4576B" w:rsidRPr="002E42C3">
        <w:rPr>
          <w:i/>
        </w:rPr>
        <w:t xml:space="preserve"> v RBS</w:t>
      </w:r>
      <w:r>
        <w:t xml:space="preserve"> at </w:t>
      </w:r>
      <w:r w:rsidR="00513EC0">
        <w:t xml:space="preserve">162 </w:t>
      </w:r>
      <w:r>
        <w:t>[53]</w:t>
      </w:r>
      <w:r w:rsidR="00856EA3">
        <w:t>,</w:t>
      </w:r>
      <w:r>
        <w:t xml:space="preserve"> it is used throughout </w:t>
      </w:r>
      <w:r w:rsidR="009E0C92">
        <w:t>P</w:t>
      </w:r>
      <w:r>
        <w:t xml:space="preserve">art </w:t>
      </w:r>
      <w:r w:rsidR="009E0C92">
        <w:t>IV</w:t>
      </w:r>
      <w:r>
        <w:t>A</w:t>
      </w:r>
      <w:r w:rsidR="00B4576B">
        <w:t>. T</w:t>
      </w:r>
      <w:r>
        <w:t xml:space="preserve">he relevant claim of a person </w:t>
      </w:r>
      <w:r w:rsidR="00B4576B">
        <w:t>must have</w:t>
      </w:r>
      <w:r>
        <w:t xml:space="preserve"> the characteristics identified in s 33C, that is, </w:t>
      </w:r>
      <w:r w:rsidR="00B4576B">
        <w:t>“</w:t>
      </w:r>
      <w:r w:rsidR="00B4576B" w:rsidRPr="00B4576B">
        <w:t>sufficient commonality in the sense that it is one of seven or more claims of persons which are in respect of, or arise out of, the same, similar or related circumstances and give rise to at least one substantial common legal or factual question”</w:t>
      </w:r>
      <w:r w:rsidR="00B4576B">
        <w:t>: 162 [53]</w:t>
      </w:r>
      <w:r>
        <w:t xml:space="preserve">.  It is this claim that is then the subject of the </w:t>
      </w:r>
      <w:r w:rsidR="009E0C92">
        <w:t>P</w:t>
      </w:r>
      <w:r>
        <w:t xml:space="preserve">art </w:t>
      </w:r>
      <w:r w:rsidR="009E0C92">
        <w:t>IV</w:t>
      </w:r>
      <w:r>
        <w:t>A regime until either opt</w:t>
      </w:r>
      <w:r w:rsidR="002E42C3">
        <w:t>-</w:t>
      </w:r>
      <w:r>
        <w:t xml:space="preserve">out, </w:t>
      </w:r>
      <w:r w:rsidR="002E42C3">
        <w:t xml:space="preserve">court-approved </w:t>
      </w:r>
      <w:r>
        <w:t>settlement, judicial determination at an initial or later “group” hearing, or judicial determination at</w:t>
      </w:r>
      <w:r w:rsidR="00513EC0">
        <w:t xml:space="preserve"> an</w:t>
      </w:r>
      <w:r>
        <w:t xml:space="preserve"> individual trial after “declassing”.  What is suggested </w:t>
      </w:r>
      <w:r w:rsidR="00856EA3">
        <w:t xml:space="preserve">on the present application </w:t>
      </w:r>
      <w:r>
        <w:t xml:space="preserve">is </w:t>
      </w:r>
      <w:r w:rsidR="00856EA3">
        <w:t xml:space="preserve">highly </w:t>
      </w:r>
      <w:r>
        <w:t>unusual in th</w:t>
      </w:r>
      <w:r w:rsidR="00856EA3">
        <w:t xml:space="preserve">at, </w:t>
      </w:r>
      <w:r>
        <w:lastRenderedPageBreak/>
        <w:t xml:space="preserve">at least </w:t>
      </w:r>
      <w:r w:rsidR="00856EA3">
        <w:t>with regard</w:t>
      </w:r>
      <w:r>
        <w:t xml:space="preserve"> </w:t>
      </w:r>
      <w:r w:rsidR="00856EA3">
        <w:t>to an</w:t>
      </w:r>
      <w:r>
        <w:t xml:space="preserve"> indeterminate number of group members</w:t>
      </w:r>
      <w:r w:rsidR="00856EA3">
        <w:t>,</w:t>
      </w:r>
      <w:r>
        <w:t xml:space="preserve"> there is a proposal that settlement occur in relation to only </w:t>
      </w:r>
      <w:r w:rsidRPr="00856EA3">
        <w:rPr>
          <w:i/>
        </w:rPr>
        <w:t xml:space="preserve">part </w:t>
      </w:r>
      <w:r>
        <w:t>of their claim</w:t>
      </w:r>
      <w:r w:rsidR="00856EA3">
        <w:t xml:space="preserve"> against the respondents</w:t>
      </w:r>
      <w:r>
        <w:t>.</w:t>
      </w:r>
      <w:r w:rsidR="00856EA3">
        <w:t xml:space="preserve">  </w:t>
      </w:r>
      <w:r>
        <w:t>The significanc</w:t>
      </w:r>
      <w:r w:rsidR="003C4C40">
        <w:t>e of this is obvious:  even if the proposed</w:t>
      </w:r>
      <w:r>
        <w:t xml:space="preserve"> class closure order was made</w:t>
      </w:r>
      <w:r w:rsidR="003C4C40">
        <w:t>,</w:t>
      </w:r>
      <w:r>
        <w:t xml:space="preserve"> in respect of the group members who were implanted with a Registrable Product</w:t>
      </w:r>
      <w:r w:rsidR="00856EA3">
        <w:t xml:space="preserve"> and also another implant</w:t>
      </w:r>
      <w:r>
        <w:t>, information would only be procured in respect of part of their claim and any settlement in relation to the Registrable Products would not quell the entire controversy between that group member and the respondents.</w:t>
      </w:r>
    </w:p>
    <w:p w:rsidR="00340F2F" w:rsidRDefault="00314743" w:rsidP="009E0C92">
      <w:pPr>
        <w:pStyle w:val="Heading1"/>
      </w:pPr>
      <w:r>
        <w:t>C</w:t>
      </w:r>
      <w:r w:rsidR="009E0C92">
        <w:tab/>
      </w:r>
      <w:r w:rsidR="00340F2F">
        <w:t>Evidence</w:t>
      </w:r>
    </w:p>
    <w:p w:rsidR="00340F2F" w:rsidRDefault="00340F2F" w:rsidP="00340F2F">
      <w:pPr>
        <w:pStyle w:val="ParaNumbering"/>
      </w:pPr>
      <w:r>
        <w:t xml:space="preserve">The evidence of the solicitor on the record for the respondents details the constitution of the class action, the history of the proceedings, the awareness of </w:t>
      </w:r>
      <w:r w:rsidR="00A8582F">
        <w:t>(</w:t>
      </w:r>
      <w:r>
        <w:t>and notice about</w:t>
      </w:r>
      <w:r w:rsidR="00A8582F">
        <w:t>)</w:t>
      </w:r>
      <w:r>
        <w:t xml:space="preserve"> the class action, the implants generally and the Registrable Products in particular</w:t>
      </w:r>
      <w:r w:rsidR="00A8582F">
        <w:t>,</w:t>
      </w:r>
      <w:r>
        <w:t xml:space="preserve"> and then turns to the topic of what is de</w:t>
      </w:r>
      <w:r w:rsidR="006A1B61">
        <w:t>scribed as “Further offer to RP</w:t>
      </w:r>
      <w:r>
        <w:t xml:space="preserve"> Group Members”.  The affidavit </w:t>
      </w:r>
      <w:r w:rsidR="00A8582F">
        <w:t xml:space="preserve">then </w:t>
      </w:r>
      <w:r w:rsidR="007B6E59">
        <w:t>continues</w:t>
      </w:r>
      <w:r>
        <w:t>:</w:t>
      </w:r>
    </w:p>
    <w:p w:rsidR="00340F2F" w:rsidRDefault="00340F2F" w:rsidP="009E0C92">
      <w:pPr>
        <w:pStyle w:val="Quote1"/>
      </w:pPr>
      <w:r>
        <w:t>The parties ha</w:t>
      </w:r>
      <w:r w:rsidR="006A1B61">
        <w:t xml:space="preserve">ve attended a series of without </w:t>
      </w:r>
      <w:r>
        <w:t xml:space="preserve">prejudice meetings in an attempt to mediate issues in dispute.  The parties have been unable to agree to terms of settlement or any settlement terms capable of obtaining the court’s </w:t>
      </w:r>
      <w:r w:rsidR="00A8582F">
        <w:t>approval...</w:t>
      </w:r>
    </w:p>
    <w:p w:rsidR="006A1B61" w:rsidRDefault="00340F2F" w:rsidP="009E0C92">
      <w:pPr>
        <w:pStyle w:val="Quote1"/>
      </w:pPr>
      <w:r>
        <w:t xml:space="preserve">The </w:t>
      </w:r>
      <w:r w:rsidR="009E0C92">
        <w:t>r</w:t>
      </w:r>
      <w:r>
        <w:t xml:space="preserve">espondents wish to understand the number and size of claims in respect of the Registrable Products, </w:t>
      </w:r>
      <w:r w:rsidRPr="009E0C92">
        <w:rPr>
          <w:b/>
        </w:rPr>
        <w:t>and to be in a position to make a further offer to the RP Group Members</w:t>
      </w:r>
      <w:r>
        <w:t xml:space="preserve">.  Before doing so, the respondents want to know:  </w:t>
      </w:r>
    </w:p>
    <w:p w:rsidR="006A1B61" w:rsidRDefault="00340F2F" w:rsidP="006A1B61">
      <w:pPr>
        <w:pStyle w:val="Quote2"/>
      </w:pPr>
      <w:r>
        <w:t xml:space="preserve">(a) </w:t>
      </w:r>
      <w:proofErr w:type="gramStart"/>
      <w:r>
        <w:t>the</w:t>
      </w:r>
      <w:proofErr w:type="gramEnd"/>
      <w:r>
        <w:t xml:space="preserve"> number of RP Group Mem</w:t>
      </w:r>
      <w:r w:rsidR="00A8582F">
        <w:t xml:space="preserve">bers who are pursuing a claim; </w:t>
      </w:r>
    </w:p>
    <w:p w:rsidR="006A1B61" w:rsidRDefault="00340F2F" w:rsidP="006A1B61">
      <w:pPr>
        <w:pStyle w:val="Quote2"/>
      </w:pPr>
      <w:r>
        <w:t xml:space="preserve">(b) </w:t>
      </w:r>
      <w:proofErr w:type="gramStart"/>
      <w:r>
        <w:t>what</w:t>
      </w:r>
      <w:proofErr w:type="gramEnd"/>
      <w:r>
        <w:t xml:space="preserve"> Registrable Product is the subject of their claim;  </w:t>
      </w:r>
    </w:p>
    <w:p w:rsidR="006A1B61" w:rsidRDefault="00340F2F" w:rsidP="006A1B61">
      <w:pPr>
        <w:pStyle w:val="Quote2"/>
      </w:pPr>
      <w:r>
        <w:t xml:space="preserve">(c) </w:t>
      </w:r>
      <w:proofErr w:type="gramStart"/>
      <w:r>
        <w:t>when</w:t>
      </w:r>
      <w:proofErr w:type="gramEnd"/>
      <w:r>
        <w:t xml:space="preserve"> the</w:t>
      </w:r>
      <w:r w:rsidR="006A1B61">
        <w:t>ir</w:t>
      </w:r>
      <w:r>
        <w:t xml:space="preserve"> surgery took place;  and </w:t>
      </w:r>
    </w:p>
    <w:p w:rsidR="00A8582F" w:rsidRDefault="00340F2F" w:rsidP="006A1B61">
      <w:pPr>
        <w:pStyle w:val="Quote2"/>
      </w:pPr>
      <w:r>
        <w:t xml:space="preserve">(d) </w:t>
      </w:r>
      <w:proofErr w:type="gramStart"/>
      <w:r>
        <w:t>the</w:t>
      </w:r>
      <w:proofErr w:type="gramEnd"/>
      <w:r>
        <w:t xml:space="preserve"> nature and extent of their alleged complications and loss.</w:t>
      </w:r>
    </w:p>
    <w:p w:rsidR="00340F2F" w:rsidRDefault="00A8582F" w:rsidP="009E0C92">
      <w:pPr>
        <w:pStyle w:val="Quote1"/>
      </w:pPr>
      <w:r>
        <w:t>(Emphasis added)</w:t>
      </w:r>
      <w:r w:rsidR="00340F2F">
        <w:t xml:space="preserve">  </w:t>
      </w:r>
    </w:p>
    <w:p w:rsidR="00340F2F" w:rsidRDefault="00340F2F" w:rsidP="00340F2F">
      <w:pPr>
        <w:pStyle w:val="ParaNumbering"/>
      </w:pPr>
      <w:r>
        <w:t xml:space="preserve">What became evident, however, following the filing of submissions and cross-examination, was that the respondents have not reached any decision to make any further offer to </w:t>
      </w:r>
      <w:r w:rsidR="00A8582F">
        <w:t xml:space="preserve">what they describe as </w:t>
      </w:r>
      <w:r>
        <w:t xml:space="preserve">the </w:t>
      </w:r>
      <w:r w:rsidR="00351272">
        <w:t>“</w:t>
      </w:r>
      <w:r>
        <w:t>RP Group Members</w:t>
      </w:r>
      <w:r w:rsidR="00351272">
        <w:t>”</w:t>
      </w:r>
      <w:r>
        <w:t xml:space="preserve">.  The solicitor for the respondents gave evidence, which I accept, that the current position is that depending upon the quality of the information obtained following any notification process, there is a </w:t>
      </w:r>
      <w:r w:rsidR="00A8582F">
        <w:t>“</w:t>
      </w:r>
      <w:r>
        <w:t>possibility</w:t>
      </w:r>
      <w:r w:rsidR="00A8582F">
        <w:t>”</w:t>
      </w:r>
      <w:r>
        <w:t xml:space="preserve"> of a further offer being made to </w:t>
      </w:r>
      <w:r w:rsidR="00A8582F">
        <w:t xml:space="preserve">the RP Group Members </w:t>
      </w:r>
      <w:r w:rsidR="007B6E59">
        <w:t xml:space="preserve">but </w:t>
      </w:r>
      <w:r w:rsidR="00A8582F">
        <w:t xml:space="preserve">only in relation to their </w:t>
      </w:r>
      <w:r w:rsidR="00B4576B">
        <w:t>R</w:t>
      </w:r>
      <w:r w:rsidR="00A8582F">
        <w:t xml:space="preserve">egistrable </w:t>
      </w:r>
      <w:r w:rsidR="00B4576B">
        <w:t>P</w:t>
      </w:r>
      <w:r w:rsidR="00A8582F">
        <w:t>roduct claim (that is, a subset of group m</w:t>
      </w:r>
      <w:r>
        <w:t>embers</w:t>
      </w:r>
      <w:r w:rsidR="007B6E59">
        <w:t xml:space="preserve"> and, in relation to some of that subset, only as to part of their claim</w:t>
      </w:r>
      <w:r w:rsidR="00A8582F">
        <w:t>)</w:t>
      </w:r>
      <w:r>
        <w:t xml:space="preserve">. </w:t>
      </w:r>
    </w:p>
    <w:p w:rsidR="00340F2F" w:rsidRPr="00351272" w:rsidRDefault="00340F2F" w:rsidP="00340F2F">
      <w:pPr>
        <w:pStyle w:val="ParaNumbering"/>
      </w:pPr>
      <w:r>
        <w:t xml:space="preserve">I accept the subjective view of those advising the respondents that they believe they do not currently have sufficient information </w:t>
      </w:r>
      <w:r w:rsidR="006A1B61">
        <w:t xml:space="preserve">to </w:t>
      </w:r>
      <w:r>
        <w:t xml:space="preserve">make </w:t>
      </w:r>
      <w:r w:rsidR="00A8582F">
        <w:t xml:space="preserve">such </w:t>
      </w:r>
      <w:r>
        <w:t>an offer.  Having said that, the evidence of</w:t>
      </w:r>
      <w:r w:rsidR="002B6B5F">
        <w:t xml:space="preserve"> one of the solicitors for</w:t>
      </w:r>
      <w:r>
        <w:t xml:space="preserve"> the applicants de</w:t>
      </w:r>
      <w:r w:rsidR="00A8582F">
        <w:t xml:space="preserve">monstrates that on 9 April 2018, </w:t>
      </w:r>
      <w:r>
        <w:t xml:space="preserve">the solicitors for the </w:t>
      </w:r>
      <w:r>
        <w:lastRenderedPageBreak/>
        <w:t xml:space="preserve">respondents were provided with survey information collected from 967 individuals who </w:t>
      </w:r>
      <w:r w:rsidR="00A8582F">
        <w:t xml:space="preserve">had earlier </w:t>
      </w:r>
      <w:r>
        <w:t xml:space="preserve">returned questionnaires to the solicitors for the applicants.  This information included </w:t>
      </w:r>
      <w:r w:rsidR="00A8582F">
        <w:t>details as to the type</w:t>
      </w:r>
      <w:r w:rsidR="006A1B61">
        <w:t>s</w:t>
      </w:r>
      <w:r w:rsidR="00A8582F">
        <w:t xml:space="preserve"> of implants </w:t>
      </w:r>
      <w:r>
        <w:t>those group members had received</w:t>
      </w:r>
      <w:r w:rsidR="006A1B61">
        <w:t>;</w:t>
      </w:r>
      <w:r>
        <w:t xml:space="preserve"> the demographics </w:t>
      </w:r>
      <w:r w:rsidR="00A8582F">
        <w:t>(</w:t>
      </w:r>
      <w:r>
        <w:t>including age</w:t>
      </w:r>
      <w:r w:rsidR="00A8582F">
        <w:t>)</w:t>
      </w:r>
      <w:r>
        <w:t xml:space="preserve"> at the time of </w:t>
      </w:r>
      <w:r w:rsidR="006A1B61">
        <w:t>index</w:t>
      </w:r>
      <w:r>
        <w:t xml:space="preserve"> surgery, what was called “first revision surgery”</w:t>
      </w:r>
      <w:r w:rsidR="006A1B61">
        <w:t>;</w:t>
      </w:r>
      <w:r>
        <w:t xml:space="preserve"> the outcomes after </w:t>
      </w:r>
      <w:r w:rsidR="007B6E59">
        <w:t>“</w:t>
      </w:r>
      <w:r>
        <w:t>in</w:t>
      </w:r>
      <w:r w:rsidR="006A1B61">
        <w:t>dex</w:t>
      </w:r>
      <w:r w:rsidR="007B6E59">
        <w:t>”</w:t>
      </w:r>
      <w:r>
        <w:t xml:space="preserve"> surgery</w:t>
      </w:r>
      <w:r w:rsidR="006A1B61">
        <w:t>;</w:t>
      </w:r>
      <w:r>
        <w:t xml:space="preserve"> data regarding revision surgeries, including a summary of the number </w:t>
      </w:r>
      <w:r w:rsidR="006A1B61">
        <w:t>of revision surgeries undergone;</w:t>
      </w:r>
      <w:r>
        <w:t xml:space="preserve"> data regarding reported complications experienced by the group members after their index surgery</w:t>
      </w:r>
      <w:r w:rsidR="006A1B61">
        <w:t>,</w:t>
      </w:r>
      <w:r>
        <w:t xml:space="preserve"> including the proportion of women who suffered various ailments</w:t>
      </w:r>
      <w:r w:rsidR="006A1B61">
        <w:t>;</w:t>
      </w:r>
      <w:r>
        <w:t xml:space="preserve"> data regarding the impact of various complications on the group members’ daily activities including whether or not they required care and assistance </w:t>
      </w:r>
      <w:r w:rsidRPr="00351272">
        <w:t>with daily living</w:t>
      </w:r>
      <w:r w:rsidR="006A1B61" w:rsidRPr="00351272">
        <w:t>;</w:t>
      </w:r>
      <w:r w:rsidRPr="00351272">
        <w:t xml:space="preserve"> data regarding ongoing treatment</w:t>
      </w:r>
      <w:r w:rsidR="006A1B61" w:rsidRPr="00351272">
        <w:t>;</w:t>
      </w:r>
      <w:r w:rsidRPr="00351272">
        <w:t xml:space="preserve"> data regarding economic loss, including whether the </w:t>
      </w:r>
      <w:r w:rsidR="007B6E59">
        <w:t>group members</w:t>
      </w:r>
      <w:r w:rsidRPr="00351272">
        <w:t xml:space="preserve"> were working at the time of their surgery</w:t>
      </w:r>
      <w:r w:rsidR="006A1B61" w:rsidRPr="00351272">
        <w:t>;</w:t>
      </w:r>
      <w:r w:rsidRPr="00351272">
        <w:t xml:space="preserve"> and data regarding out-of-pocket expenses. </w:t>
      </w:r>
    </w:p>
    <w:p w:rsidR="00340F2F" w:rsidRPr="00351272" w:rsidRDefault="00340F2F" w:rsidP="00340F2F">
      <w:pPr>
        <w:pStyle w:val="ParaNumbering"/>
      </w:pPr>
      <w:r w:rsidRPr="00351272">
        <w:t>This data was provided, of course, in relation to the entire claim of the group members who participated i</w:t>
      </w:r>
      <w:r w:rsidR="00A8582F" w:rsidRPr="00351272">
        <w:t xml:space="preserve">n the survey and was </w:t>
      </w:r>
      <w:r w:rsidR="00351272" w:rsidRPr="00351272">
        <w:t xml:space="preserve">not </w:t>
      </w:r>
      <w:r w:rsidR="00A8582F" w:rsidRPr="00351272">
        <w:t>d</w:t>
      </w:r>
      <w:r w:rsidRPr="00351272">
        <w:t xml:space="preserve">irected </w:t>
      </w:r>
      <w:r w:rsidR="00351272" w:rsidRPr="00351272">
        <w:t xml:space="preserve">only </w:t>
      </w:r>
      <w:r w:rsidRPr="00351272">
        <w:t xml:space="preserve">to the Registrable Products. </w:t>
      </w:r>
    </w:p>
    <w:p w:rsidR="00340F2F" w:rsidRDefault="00340F2F" w:rsidP="00340F2F">
      <w:pPr>
        <w:pStyle w:val="ParaNumbering"/>
      </w:pPr>
      <w:r w:rsidRPr="00351272">
        <w:t>Although this material has been provided by quite a large number of the group members, it is common ground that it is incomplete and does not allow extrapolation with great accuracy as to the entire quantum of claims made by group members.  Having said that, it is of a specificity</w:t>
      </w:r>
      <w:r w:rsidR="000D35E6" w:rsidRPr="00351272">
        <w:t xml:space="preserve">, that </w:t>
      </w:r>
      <w:r w:rsidRPr="00351272">
        <w:t>at least in my experience, is considerably more</w:t>
      </w:r>
      <w:r>
        <w:t xml:space="preserve"> detailed than </w:t>
      </w:r>
      <w:r w:rsidR="000D35E6">
        <w:t xml:space="preserve">has been provided </w:t>
      </w:r>
      <w:r>
        <w:t>in a large number of open cl</w:t>
      </w:r>
      <w:r w:rsidR="000D35E6">
        <w:t xml:space="preserve">ass representative proceedings (and which has been provided prior to </w:t>
      </w:r>
      <w:r>
        <w:t xml:space="preserve">meaningful settlement discussions </w:t>
      </w:r>
      <w:r w:rsidR="000D35E6">
        <w:t>taking</w:t>
      </w:r>
      <w:r>
        <w:t xml:space="preserve"> place</w:t>
      </w:r>
      <w:r w:rsidR="000D35E6">
        <w:t>)</w:t>
      </w:r>
      <w:r>
        <w:t xml:space="preserve">. </w:t>
      </w:r>
    </w:p>
    <w:p w:rsidR="00340F2F" w:rsidRPr="00351272" w:rsidRDefault="000D35E6" w:rsidP="000D35E6">
      <w:pPr>
        <w:pStyle w:val="ParaNumbering"/>
      </w:pPr>
      <w:r>
        <w:t xml:space="preserve">As noted above, </w:t>
      </w:r>
      <w:r w:rsidR="00340F2F">
        <w:t xml:space="preserve">as presently advised, the respondents have no present intention of making an offer to resolve the entirety of the class action.  It would be entirely inappropriate for me to criticise the respondents for </w:t>
      </w:r>
      <w:r w:rsidR="007B6E59">
        <w:t>adopting such a stance</w:t>
      </w:r>
      <w:r w:rsidR="00340F2F">
        <w:t xml:space="preserve">.  They are represented by highly competent legal practitioners who, no doubt, </w:t>
      </w:r>
      <w:r>
        <w:t xml:space="preserve">have taken into account </w:t>
      </w:r>
      <w:r w:rsidR="009E0C92">
        <w:t>P</w:t>
      </w:r>
      <w:r w:rsidR="00340F2F">
        <w:t xml:space="preserve">art </w:t>
      </w:r>
      <w:r w:rsidR="009E0C92">
        <w:t>V</w:t>
      </w:r>
      <w:r w:rsidR="00122EE9">
        <w:t>B of the Act</w:t>
      </w:r>
      <w:r>
        <w:t>. They have no doubt</w:t>
      </w:r>
      <w:r w:rsidR="00340F2F">
        <w:t xml:space="preserve"> explain</w:t>
      </w:r>
      <w:r>
        <w:t>ed</w:t>
      </w:r>
      <w:r w:rsidR="00340F2F">
        <w:t xml:space="preserve"> to their client</w:t>
      </w:r>
      <w:r w:rsidR="00923EF7">
        <w:t>s</w:t>
      </w:r>
      <w:r w:rsidR="00340F2F">
        <w:t xml:space="preserve"> that the parties to any civil proceeding before the court are required to conduct negotiations for the settlement of the dispute in a way that is consistent with the overarching purpose:  see s 37N(1).  The respondents’ lawyers are also, of course, under a personal obligation in the conduct of a civil pro</w:t>
      </w:r>
      <w:r w:rsidR="00340F2F" w:rsidRPr="00351272">
        <w:t>ceeding before the court, including negotiations for settlement</w:t>
      </w:r>
      <w:r w:rsidRPr="00351272">
        <w:t>,</w:t>
      </w:r>
      <w:r w:rsidR="00340F2F" w:rsidRPr="00351272">
        <w:t xml:space="preserve"> to take account of the duty imposed pursuant to the overarching purpose and</w:t>
      </w:r>
      <w:r w:rsidR="00484836" w:rsidRPr="00351272">
        <w:t xml:space="preserve"> to</w:t>
      </w:r>
      <w:r w:rsidR="00340F2F" w:rsidRPr="00351272">
        <w:t xml:space="preserve"> assist their clients to comply with that duty.  There is no </w:t>
      </w:r>
      <w:r w:rsidRPr="00351272">
        <w:t>basis for me to conclude that any party to the dispute has</w:t>
      </w:r>
      <w:r w:rsidR="009E0C92" w:rsidRPr="00351272">
        <w:t xml:space="preserve"> </w:t>
      </w:r>
      <w:r w:rsidR="00340F2F" w:rsidRPr="00351272">
        <w:t>failed to comply with those important statutory obligations which are now fundament</w:t>
      </w:r>
      <w:r w:rsidR="00923EF7">
        <w:t>al to the conduct of civil litigation</w:t>
      </w:r>
      <w:r w:rsidR="00340F2F" w:rsidRPr="00351272">
        <w:t xml:space="preserve"> in this </w:t>
      </w:r>
      <w:r w:rsidR="009E0C92" w:rsidRPr="00351272">
        <w:t>C</w:t>
      </w:r>
      <w:r w:rsidR="00340F2F" w:rsidRPr="00351272">
        <w:t xml:space="preserve">ourt.  </w:t>
      </w:r>
    </w:p>
    <w:p w:rsidR="00340F2F" w:rsidRDefault="00340F2F" w:rsidP="006F4269">
      <w:pPr>
        <w:pStyle w:val="ParaNumbering"/>
      </w:pPr>
      <w:r w:rsidRPr="00351272">
        <w:lastRenderedPageBreak/>
        <w:t>Th</w:t>
      </w:r>
      <w:r w:rsidR="000D35E6" w:rsidRPr="00351272">
        <w:t xml:space="preserve">e </w:t>
      </w:r>
      <w:r w:rsidRPr="00351272">
        <w:t>conclusion</w:t>
      </w:r>
      <w:r w:rsidR="000D35E6" w:rsidRPr="00351272">
        <w:t xml:space="preserve"> that there is no present intention of making an offer to resolve the entirety of the class action</w:t>
      </w:r>
      <w:r w:rsidRPr="00351272">
        <w:t>, however, has consequences.  I am not satisfied</w:t>
      </w:r>
      <w:r w:rsidR="00484836" w:rsidRPr="00351272">
        <w:t xml:space="preserve"> that there is any realistic likelihood</w:t>
      </w:r>
      <w:r w:rsidRPr="00351272">
        <w:t xml:space="preserve"> that if I was to </w:t>
      </w:r>
      <w:r w:rsidR="000D35E6" w:rsidRPr="00351272">
        <w:t>make the orders asked</w:t>
      </w:r>
      <w:r w:rsidR="00484836" w:rsidRPr="00351272">
        <w:t>,</w:t>
      </w:r>
      <w:r w:rsidR="000D35E6" w:rsidRPr="00351272">
        <w:t xml:space="preserve"> that</w:t>
      </w:r>
      <w:r w:rsidR="00351272" w:rsidRPr="00351272">
        <w:t xml:space="preserve"> a settlement offer which would resolve the proceedings </w:t>
      </w:r>
      <w:r w:rsidR="00484836" w:rsidRPr="00351272">
        <w:t>would be</w:t>
      </w:r>
      <w:r w:rsidRPr="00351272">
        <w:t xml:space="preserve"> made prior to the docket judge, Katzmann J, being required to </w:t>
      </w:r>
      <w:r w:rsidR="000D35E6" w:rsidRPr="00351272">
        <w:t>complete</w:t>
      </w:r>
      <w:r w:rsidRPr="00351272">
        <w:t xml:space="preserve"> what, no doubt, is the </w:t>
      </w:r>
      <w:r w:rsidR="000D35E6" w:rsidRPr="00351272">
        <w:t xml:space="preserve">very </w:t>
      </w:r>
      <w:r w:rsidRPr="00351272">
        <w:t xml:space="preserve">onerous </w:t>
      </w:r>
      <w:r w:rsidR="000D35E6" w:rsidRPr="00351272">
        <w:t>task of producing the</w:t>
      </w:r>
      <w:r w:rsidRPr="00351272">
        <w:t xml:space="preserve"> judgment </w:t>
      </w:r>
      <w:r w:rsidR="000D35E6" w:rsidRPr="00351272">
        <w:t>which her Honour has</w:t>
      </w:r>
      <w:r w:rsidRPr="00351272">
        <w:t xml:space="preserve"> reserved.</w:t>
      </w:r>
      <w:r w:rsidR="006F4269" w:rsidRPr="00351272">
        <w:rPr>
          <w:color w:val="FF0000"/>
        </w:rPr>
        <w:t xml:space="preserve"> </w:t>
      </w:r>
      <w:r w:rsidRPr="00351272">
        <w:t xml:space="preserve">Indeed, when I raised this during the course of oral argument, </w:t>
      </w:r>
      <w:r w:rsidR="006F4269" w:rsidRPr="00351272">
        <w:t>neither party contested</w:t>
      </w:r>
      <w:r w:rsidRPr="00351272">
        <w:t xml:space="preserve"> the proposition that </w:t>
      </w:r>
      <w:r w:rsidR="000D35E6" w:rsidRPr="00351272">
        <w:t xml:space="preserve">irrespective of </w:t>
      </w:r>
      <w:r w:rsidRPr="00351272">
        <w:t>the outcome of this application</w:t>
      </w:r>
      <w:r w:rsidR="000D35E6" w:rsidRPr="00351272">
        <w:t>,</w:t>
      </w:r>
      <w:r w:rsidRPr="00351272">
        <w:t xml:space="preserve"> her Honour will be required to deliver judgm</w:t>
      </w:r>
      <w:r>
        <w:t xml:space="preserve">ent. </w:t>
      </w:r>
    </w:p>
    <w:p w:rsidR="00340F2F" w:rsidRDefault="00340F2F" w:rsidP="00340F2F">
      <w:pPr>
        <w:pStyle w:val="ParaNumbering"/>
      </w:pPr>
      <w:r>
        <w:t xml:space="preserve">It is against this background that I come to my consideration </w:t>
      </w:r>
      <w:r w:rsidR="000D35E6">
        <w:t>as to</w:t>
      </w:r>
      <w:r>
        <w:t xml:space="preserve"> whether the relief </w:t>
      </w:r>
      <w:r w:rsidR="000D35E6">
        <w:t xml:space="preserve">sought should </w:t>
      </w:r>
      <w:r>
        <w:t xml:space="preserve">be granted. </w:t>
      </w:r>
    </w:p>
    <w:p w:rsidR="00340F2F" w:rsidRDefault="00314743" w:rsidP="009E0C92">
      <w:pPr>
        <w:pStyle w:val="Heading1"/>
      </w:pPr>
      <w:r>
        <w:t>D</w:t>
      </w:r>
      <w:r w:rsidR="009E0C92">
        <w:tab/>
      </w:r>
      <w:r w:rsidR="00340F2F">
        <w:t xml:space="preserve">Disposition </w:t>
      </w:r>
    </w:p>
    <w:p w:rsidR="00340F2F" w:rsidRDefault="00340F2F" w:rsidP="00340F2F">
      <w:pPr>
        <w:pStyle w:val="ParaNumbering"/>
      </w:pPr>
      <w:r>
        <w:t>A</w:t>
      </w:r>
      <w:r w:rsidR="000D35E6">
        <w:t>s might already be anticipated, a</w:t>
      </w:r>
      <w:r>
        <w:t xml:space="preserve"> </w:t>
      </w:r>
      <w:r w:rsidR="00923EF7">
        <w:t>“</w:t>
      </w:r>
      <w:r>
        <w:t>hard</w:t>
      </w:r>
      <w:r w:rsidR="00923EF7">
        <w:t>”</w:t>
      </w:r>
      <w:r>
        <w:t xml:space="preserve"> closure order</w:t>
      </w:r>
      <w:r w:rsidR="000D35E6">
        <w:t xml:space="preserve"> is</w:t>
      </w:r>
      <w:r>
        <w:t>, in my view, wholly inappropriate.  There is no basis u</w:t>
      </w:r>
      <w:r w:rsidR="006A5EF2">
        <w:t>pon which the court</w:t>
      </w:r>
      <w:r>
        <w:t xml:space="preserve"> could be satisfied that it is necessary or appropriate for group member claims to be extinguished in the way sought.  The first and most obvious point is that in the event that all is sought is certainty in order for settlement to be progressed, then a </w:t>
      </w:r>
      <w:r w:rsidR="00923EF7">
        <w:t>“</w:t>
      </w:r>
      <w:r>
        <w:t>soft</w:t>
      </w:r>
      <w:r w:rsidR="00923EF7">
        <w:t>”</w:t>
      </w:r>
      <w:r>
        <w:t xml:space="preserve"> closure order of the type that I have indicated would be adequate. </w:t>
      </w:r>
    </w:p>
    <w:p w:rsidR="00340F2F" w:rsidRDefault="000D35E6" w:rsidP="008575B6">
      <w:pPr>
        <w:pStyle w:val="ParaNumbering"/>
      </w:pPr>
      <w:r>
        <w:t>Indeed, a</w:t>
      </w:r>
      <w:r w:rsidR="00340F2F">
        <w:t xml:space="preserve"> curious aspect of this application is that during the course of the hearing today, it emerged that there may have been some misunderstanding between the parties </w:t>
      </w:r>
      <w:r>
        <w:t>as to what constitutes</w:t>
      </w:r>
      <w:r w:rsidR="00340F2F">
        <w:t xml:space="preserve"> a </w:t>
      </w:r>
      <w:r w:rsidR="00923EF7">
        <w:t>“</w:t>
      </w:r>
      <w:r w:rsidR="00340F2F">
        <w:t>sof</w:t>
      </w:r>
      <w:r>
        <w:t>t</w:t>
      </w:r>
      <w:r w:rsidR="00923EF7">
        <w:t>”</w:t>
      </w:r>
      <w:r>
        <w:t xml:space="preserve"> closure</w:t>
      </w:r>
      <w:r w:rsidR="008575B6">
        <w:t xml:space="preserve"> and how it facilitate</w:t>
      </w:r>
      <w:r w:rsidR="006A5EF2">
        <w:t>s</w:t>
      </w:r>
      <w:r w:rsidR="008575B6">
        <w:t xml:space="preserve"> settlement.  In any event, ap</w:t>
      </w:r>
      <w:r>
        <w:t>art from the fact</w:t>
      </w:r>
      <w:r w:rsidR="00351272">
        <w:t xml:space="preserve"> that</w:t>
      </w:r>
      <w:r>
        <w:t xml:space="preserve"> </w:t>
      </w:r>
      <w:r w:rsidR="008575B6">
        <w:t xml:space="preserve">I am not satisfied that the proposed </w:t>
      </w:r>
      <w:r w:rsidR="006A5EF2">
        <w:t xml:space="preserve">“hard” closure </w:t>
      </w:r>
      <w:r w:rsidR="008575B6">
        <w:t xml:space="preserve">orders are </w:t>
      </w:r>
      <w:r>
        <w:t>either</w:t>
      </w:r>
      <w:r w:rsidR="008575B6">
        <w:t xml:space="preserve"> necessary </w:t>
      </w:r>
      <w:r>
        <w:t>or appropriate to facilitate settlement</w:t>
      </w:r>
      <w:r w:rsidR="00340F2F">
        <w:t xml:space="preserve">, it is very difficult to see why the court would vex </w:t>
      </w:r>
      <w:r>
        <w:t xml:space="preserve">some of </w:t>
      </w:r>
      <w:r w:rsidR="00340F2F">
        <w:t>the group members with obtaining what appears to be quite detailed information relating to only part of the</w:t>
      </w:r>
      <w:r w:rsidR="008575B6">
        <w:t>ir</w:t>
      </w:r>
      <w:r w:rsidR="00340F2F">
        <w:t xml:space="preserve"> entire claims.</w:t>
      </w:r>
      <w:r w:rsidR="006A5EF2">
        <w:t xml:space="preserve">  Obtaining material in order to allow for settlement discussions to take place which would have the aim of settling the whole</w:t>
      </w:r>
      <w:r w:rsidR="006F4269">
        <w:t xml:space="preserve"> of a class action is one thing;</w:t>
      </w:r>
      <w:r w:rsidR="006A5EF2">
        <w:t xml:space="preserve"> what is p</w:t>
      </w:r>
      <w:r w:rsidR="006F4269">
        <w:t>roposed here is quite different.</w:t>
      </w:r>
      <w:r w:rsidR="006A5EF2">
        <w:t xml:space="preserve"> </w:t>
      </w:r>
      <w:r w:rsidR="006F4269">
        <w:t>T</w:t>
      </w:r>
      <w:r w:rsidR="006A5EF2">
        <w:t xml:space="preserve">here is no certainty any offer will be made to even a subset of group members and no prospect at all of a more general offer being made to all group members in relation to all their claims at present.  </w:t>
      </w:r>
    </w:p>
    <w:p w:rsidR="00340F2F" w:rsidRDefault="00340F2F" w:rsidP="00340F2F">
      <w:pPr>
        <w:pStyle w:val="ParaNumbering"/>
      </w:pPr>
      <w:r>
        <w:t>It follows from the above</w:t>
      </w:r>
      <w:r w:rsidR="006A5EF2">
        <w:t>,</w:t>
      </w:r>
      <w:r>
        <w:t xml:space="preserve"> that the interlocutory application made by the respondents must be dismissed. </w:t>
      </w:r>
    </w:p>
    <w:p w:rsidR="00340F2F" w:rsidRDefault="00314743" w:rsidP="009E0C92">
      <w:pPr>
        <w:pStyle w:val="Heading1"/>
      </w:pPr>
      <w:r>
        <w:lastRenderedPageBreak/>
        <w:t>E</w:t>
      </w:r>
      <w:r w:rsidR="009E0C92">
        <w:tab/>
      </w:r>
      <w:r w:rsidR="00340F2F">
        <w:t xml:space="preserve">Where to From Here:  </w:t>
      </w:r>
      <w:r w:rsidR="006A5EF2">
        <w:t>“</w:t>
      </w:r>
      <w:r w:rsidR="00340F2F">
        <w:t>Soft</w:t>
      </w:r>
      <w:r w:rsidR="006A5EF2">
        <w:t>”</w:t>
      </w:r>
      <w:r w:rsidR="00340F2F">
        <w:t xml:space="preserve"> Closure?</w:t>
      </w:r>
    </w:p>
    <w:p w:rsidR="00340F2F" w:rsidRDefault="00340F2F" w:rsidP="00A8582F">
      <w:pPr>
        <w:pStyle w:val="ParaNumbering"/>
      </w:pPr>
      <w:r>
        <w:t xml:space="preserve">The respondents oppose a </w:t>
      </w:r>
      <w:r w:rsidR="006A5EF2">
        <w:t>“</w:t>
      </w:r>
      <w:r>
        <w:t>soft</w:t>
      </w:r>
      <w:r w:rsidR="006A5EF2">
        <w:t>”</w:t>
      </w:r>
      <w:r>
        <w:t xml:space="preserve"> closure.  The applicants embraced the notion of a registration</w:t>
      </w:r>
      <w:r w:rsidR="006A5EF2">
        <w:t>,</w:t>
      </w:r>
      <w:r>
        <w:t xml:space="preserve"> but it was unclear from the oral submissions today as to whether they consented to a </w:t>
      </w:r>
      <w:r w:rsidR="006A5EF2">
        <w:t>“</w:t>
      </w:r>
      <w:r>
        <w:t>soft</w:t>
      </w:r>
      <w:r w:rsidR="006A5EF2">
        <w:t>”</w:t>
      </w:r>
      <w:r>
        <w:t xml:space="preserve"> closure order </w:t>
      </w:r>
      <w:r w:rsidR="006A5EF2">
        <w:t xml:space="preserve">being </w:t>
      </w:r>
      <w:r w:rsidR="006F4269">
        <w:t>made in the usual way.</w:t>
      </w:r>
      <w:r>
        <w:t xml:space="preserve"> </w:t>
      </w:r>
    </w:p>
    <w:p w:rsidR="00340F2F" w:rsidRDefault="00340F2F" w:rsidP="00340F2F">
      <w:pPr>
        <w:pStyle w:val="ParaNumbering"/>
      </w:pPr>
      <w:r>
        <w:t xml:space="preserve">Be that as it may, one </w:t>
      </w:r>
      <w:r w:rsidR="002B6B5F">
        <w:t>of the important aspects of s 33</w:t>
      </w:r>
      <w:r w:rsidR="00923EF7">
        <w:t>ZF is that it is open to the C</w:t>
      </w:r>
      <w:r>
        <w:t>ourt</w:t>
      </w:r>
      <w:r w:rsidR="006A5EF2">
        <w:t>,</w:t>
      </w:r>
      <w:r>
        <w:t xml:space="preserve"> acting on its own account</w:t>
      </w:r>
      <w:r w:rsidR="006A5EF2">
        <w:t>,</w:t>
      </w:r>
      <w:r>
        <w:t xml:space="preserve"> to make orders </w:t>
      </w:r>
      <w:r w:rsidR="006F4269">
        <w:t>which</w:t>
      </w:r>
      <w:r w:rsidR="00923EF7">
        <w:t xml:space="preserve"> the judge</w:t>
      </w:r>
      <w:r>
        <w:t xml:space="preserve"> thinks appropriate or necessary to ensure justice is done in a proceeding.  I confess that when I first saw the application made by the respondents</w:t>
      </w:r>
      <w:r w:rsidR="006A5EF2">
        <w:t>,</w:t>
      </w:r>
      <w:r>
        <w:t xml:space="preserve"> it was difficult for me to understand why a </w:t>
      </w:r>
      <w:r w:rsidR="006A5EF2">
        <w:t>“</w:t>
      </w:r>
      <w:r>
        <w:t>soft</w:t>
      </w:r>
      <w:r w:rsidR="006A5EF2">
        <w:t>”</w:t>
      </w:r>
      <w:r>
        <w:t xml:space="preserve"> closure order would not be appropriate.  Already, vast amounts of public and private resources have been consumed in this litigation.  The demands on the docket judge are both heav</w:t>
      </w:r>
      <w:r w:rsidR="00923EF7">
        <w:t>y and ongoing.  Any step that</w:t>
      </w:r>
      <w:r>
        <w:t xml:space="preserve"> could </w:t>
      </w:r>
      <w:r w:rsidR="00923EF7">
        <w:t xml:space="preserve">be </w:t>
      </w:r>
      <w:r>
        <w:t>take</w:t>
      </w:r>
      <w:r w:rsidR="00923EF7">
        <w:t>n</w:t>
      </w:r>
      <w:r>
        <w:t xml:space="preserve"> to </w:t>
      </w:r>
      <w:r w:rsidR="00923EF7">
        <w:t>facilitate</w:t>
      </w:r>
      <w:r>
        <w:t xml:space="preserve"> the possibility of settlement </w:t>
      </w:r>
      <w:r w:rsidR="006A5EF2">
        <w:t xml:space="preserve">ought, it seemed to me, </w:t>
      </w:r>
      <w:r>
        <w:t xml:space="preserve">be encouraged. </w:t>
      </w:r>
    </w:p>
    <w:p w:rsidR="00340F2F" w:rsidRDefault="00AA0CBD" w:rsidP="00AA0CBD">
      <w:pPr>
        <w:pStyle w:val="ParaNumbering"/>
      </w:pPr>
      <w:r>
        <w:t xml:space="preserve">As I have already outlined, my lamentable conclusion </w:t>
      </w:r>
      <w:r w:rsidR="006A5EF2">
        <w:t>is</w:t>
      </w:r>
      <w:r w:rsidR="00340F2F">
        <w:t xml:space="preserve"> that</w:t>
      </w:r>
      <w:r w:rsidR="00D7342E">
        <w:t xml:space="preserve"> no </w:t>
      </w:r>
      <w:r w:rsidR="00340F2F">
        <w:t xml:space="preserve">offer </w:t>
      </w:r>
      <w:r>
        <w:t>will be made to</w:t>
      </w:r>
      <w:r w:rsidR="00340F2F">
        <w:t xml:space="preserve"> resolve th</w:t>
      </w:r>
      <w:r w:rsidR="00D7342E">
        <w:t>e whole</w:t>
      </w:r>
      <w:r w:rsidR="00340F2F">
        <w:t xml:space="preserve"> </w:t>
      </w:r>
      <w:r w:rsidR="00D7342E">
        <w:t>proceeding</w:t>
      </w:r>
      <w:r>
        <w:t xml:space="preserve"> </w:t>
      </w:r>
      <w:r w:rsidR="00340F2F">
        <w:t>without the court determining common issues in a judgme</w:t>
      </w:r>
      <w:r>
        <w:t>nt following the initial trial.</w:t>
      </w:r>
      <w:r w:rsidR="00340F2F">
        <w:t xml:space="preserve"> </w:t>
      </w:r>
      <w:r w:rsidR="00D7342E">
        <w:t>A judgment may bring</w:t>
      </w:r>
      <w:r w:rsidR="00340F2F">
        <w:t xml:space="preserve"> total success for the applicants, partial success for the applicants or </w:t>
      </w:r>
      <w:r w:rsidR="00D7342E">
        <w:t xml:space="preserve">the total </w:t>
      </w:r>
      <w:r w:rsidR="00340F2F">
        <w:t xml:space="preserve">defeat of the applicants, </w:t>
      </w:r>
      <w:r w:rsidR="00D7342E">
        <w:t xml:space="preserve">but </w:t>
      </w:r>
      <w:r w:rsidR="00340F2F">
        <w:t xml:space="preserve">the issue of registration will only arise in the event that </w:t>
      </w:r>
      <w:r w:rsidR="00D7342E">
        <w:t xml:space="preserve">at least some of </w:t>
      </w:r>
      <w:r w:rsidR="00340F2F">
        <w:t>the group member claims survive the determination by Katzmann J of common is</w:t>
      </w:r>
      <w:r w:rsidR="00D7342E">
        <w:t xml:space="preserve">sues. </w:t>
      </w:r>
      <w:r w:rsidR="00340F2F">
        <w:t>The</w:t>
      </w:r>
      <w:r w:rsidR="00D7342E">
        <w:t xml:space="preserve"> question, therefore, becomes: </w:t>
      </w:r>
      <w:r w:rsidR="00340F2F">
        <w:t xml:space="preserve">is it worth ordering </w:t>
      </w:r>
      <w:r w:rsidR="00D7342E">
        <w:t xml:space="preserve">a </w:t>
      </w:r>
      <w:r w:rsidR="00340F2F">
        <w:t xml:space="preserve">registration </w:t>
      </w:r>
      <w:r w:rsidR="00D7342E">
        <w:t xml:space="preserve">process </w:t>
      </w:r>
      <w:r w:rsidR="00340F2F">
        <w:t>now</w:t>
      </w:r>
      <w:r w:rsidR="00D7342E">
        <w:t>,</w:t>
      </w:r>
      <w:r w:rsidR="00340F2F">
        <w:t xml:space="preserve"> when at least one of the possible outcomes of the initial trial is that registration will never need </w:t>
      </w:r>
      <w:r w:rsidR="006F4269">
        <w:t xml:space="preserve">to </w:t>
      </w:r>
      <w:r w:rsidR="00D7342E">
        <w:t>occur?</w:t>
      </w:r>
    </w:p>
    <w:p w:rsidR="00340F2F" w:rsidRDefault="00923EF7" w:rsidP="00D7342E">
      <w:pPr>
        <w:pStyle w:val="ParaNumbering"/>
      </w:pPr>
      <w:r>
        <w:t>On balance</w:t>
      </w:r>
      <w:r w:rsidR="00340F2F">
        <w:t xml:space="preserve">, I think the better course is to commence the process of seeking registration now even though </w:t>
      </w:r>
      <w:r w:rsidR="00D7342E">
        <w:t>no</w:t>
      </w:r>
      <w:r w:rsidR="00340F2F">
        <w:t xml:space="preserve"> productive settlement discussions are likely to take place until after the delivery of judgment by her Honour or, perhaps even more pessimistically, after appeal rights have been exhausted</w:t>
      </w:r>
      <w:r w:rsidR="00D7342E">
        <w:t xml:space="preserve">.  Although </w:t>
      </w:r>
      <w:r w:rsidR="00340F2F">
        <w:t xml:space="preserve">conscious </w:t>
      </w:r>
      <w:r w:rsidR="00D7342E">
        <w:t xml:space="preserve">of the fact </w:t>
      </w:r>
      <w:r w:rsidR="00340F2F">
        <w:t xml:space="preserve">that if </w:t>
      </w:r>
      <w:r w:rsidR="00D7342E">
        <w:t>the judgment</w:t>
      </w:r>
      <w:r w:rsidR="00340F2F">
        <w:t xml:space="preserve"> is </w:t>
      </w:r>
      <w:r w:rsidR="00D7342E">
        <w:t xml:space="preserve">wholly </w:t>
      </w:r>
      <w:r w:rsidR="00B10A9F">
        <w:t>adverse to the applicants</w:t>
      </w:r>
      <w:r w:rsidR="00340F2F">
        <w:t xml:space="preserve"> there will be some waste of money involved in</w:t>
      </w:r>
      <w:r w:rsidR="00D7342E">
        <w:t xml:space="preserve"> pursuing a registration scheme, </w:t>
      </w:r>
      <w:r w:rsidR="00340F2F">
        <w:t xml:space="preserve">it is clear that the identification of the group members </w:t>
      </w:r>
      <w:r w:rsidR="00D7342E">
        <w:t xml:space="preserve">and </w:t>
      </w:r>
      <w:r w:rsidR="00B10A9F">
        <w:t xml:space="preserve">obtaining </w:t>
      </w:r>
      <w:r w:rsidR="00340F2F">
        <w:t>information is likely to be a time consuming and po</w:t>
      </w:r>
      <w:r w:rsidR="00D7342E">
        <w:t>tentially difficult process.  T</w:t>
      </w:r>
      <w:r w:rsidR="00340F2F">
        <w:t>he qui</w:t>
      </w:r>
      <w:r w:rsidR="00D7342E">
        <w:t xml:space="preserve">cker it starts, </w:t>
      </w:r>
      <w:r w:rsidR="00340F2F">
        <w:t xml:space="preserve">the better. </w:t>
      </w:r>
    </w:p>
    <w:p w:rsidR="00340F2F" w:rsidRDefault="00340F2F" w:rsidP="00A8582F">
      <w:pPr>
        <w:pStyle w:val="ParaNumbering"/>
      </w:pPr>
      <w:r>
        <w:t>What I propose to do is stand the matter over before me for a case management hearing on a date to be fixed.  Prior to that time, I will direct each party to provide draft orders as to how they propose the registration scheme should be conducted</w:t>
      </w:r>
      <w:r w:rsidR="00B10A9F">
        <w:t>,</w:t>
      </w:r>
      <w:r>
        <w:t xml:space="preserve"> including what orders should be made to bring home to the group members the importance of registration. </w:t>
      </w:r>
    </w:p>
    <w:p w:rsidR="00340F2F" w:rsidRDefault="00340F2F" w:rsidP="00340F2F">
      <w:pPr>
        <w:pStyle w:val="ParaNumbering"/>
      </w:pPr>
      <w:r>
        <w:lastRenderedPageBreak/>
        <w:t xml:space="preserve">During the course of argument I discussed with the parties the need to have regard to novel ways to communicate with the group members, including the parties seeking </w:t>
      </w:r>
      <w:r w:rsidR="00923EF7">
        <w:t>the</w:t>
      </w:r>
      <w:r>
        <w:t xml:space="preserve"> issue </w:t>
      </w:r>
      <w:r w:rsidR="00923EF7">
        <w:t xml:space="preserve">of </w:t>
      </w:r>
      <w:r>
        <w:t>compulsory process to third parties in or</w:t>
      </w:r>
      <w:r w:rsidR="009E0C92">
        <w:t xml:space="preserve">der to obtain information </w:t>
      </w:r>
      <w:r>
        <w:t xml:space="preserve">which might better provide details as to </w:t>
      </w:r>
      <w:r w:rsidR="00B10A9F">
        <w:t>group member identity</w:t>
      </w:r>
      <w:r>
        <w:t xml:space="preserve">.  Apart from traditional modes of </w:t>
      </w:r>
      <w:r w:rsidR="00B10A9F">
        <w:t>communication</w:t>
      </w:r>
      <w:r>
        <w:t xml:space="preserve">, the parties </w:t>
      </w:r>
      <w:r w:rsidR="00B10A9F">
        <w:t xml:space="preserve">should </w:t>
      </w:r>
      <w:r w:rsidR="00655F1D">
        <w:t xml:space="preserve">also </w:t>
      </w:r>
      <w:r w:rsidR="00B10A9F">
        <w:t>consider</w:t>
      </w:r>
      <w:r>
        <w:t xml:space="preserve"> social media, </w:t>
      </w:r>
      <w:r w:rsidR="00B10A9F">
        <w:t>including</w:t>
      </w:r>
      <w:r>
        <w:t xml:space="preserve"> communication </w:t>
      </w:r>
      <w:r w:rsidR="00B10A9F">
        <w:t xml:space="preserve">by way of Facebook, Twitter or </w:t>
      </w:r>
      <w:r>
        <w:t xml:space="preserve">similar fora.  Also, the parties should give thought to whether or not the </w:t>
      </w:r>
      <w:r w:rsidR="00B10A9F">
        <w:t>process of having a mediation conducted by</w:t>
      </w:r>
      <w:r>
        <w:t xml:space="preserve"> a </w:t>
      </w:r>
      <w:r w:rsidR="00B10A9F">
        <w:t>Court R</w:t>
      </w:r>
      <w:r>
        <w:t xml:space="preserve">egistrar </w:t>
      </w:r>
      <w:r w:rsidR="00B10A9F">
        <w:t xml:space="preserve">and </w:t>
      </w:r>
      <w:r>
        <w:t xml:space="preserve">a former judge of the court is the </w:t>
      </w:r>
      <w:r w:rsidR="00B10A9F">
        <w:t xml:space="preserve">optimal </w:t>
      </w:r>
      <w:r>
        <w:t xml:space="preserve">way </w:t>
      </w:r>
      <w:r w:rsidR="00B10A9F">
        <w:t>of conducting further formal mediation sessions</w:t>
      </w:r>
      <w:r>
        <w:t xml:space="preserve">.  I am </w:t>
      </w:r>
      <w:r w:rsidR="00B10A9F">
        <w:t>content</w:t>
      </w:r>
      <w:r>
        <w:t xml:space="preserve"> to have regar</w:t>
      </w:r>
      <w:r w:rsidR="00B10A9F">
        <w:t>d to the parties’ wishes in this</w:t>
      </w:r>
      <w:r>
        <w:t xml:space="preserve"> regard</w:t>
      </w:r>
      <w:r w:rsidR="00B10A9F">
        <w:t>,</w:t>
      </w:r>
      <w:r>
        <w:t xml:space="preserve"> but some thought may be given as to whether or not an alternative course should be adopted. </w:t>
      </w:r>
    </w:p>
    <w:p w:rsidR="00340F2F" w:rsidRDefault="00340F2F" w:rsidP="00340F2F">
      <w:pPr>
        <w:pStyle w:val="ParaNumbering"/>
      </w:pPr>
      <w:r>
        <w:t>The applicant seeks the costs of the interlocutory application on a party/party basis.  The respondents did not wish to be heard in opposition to that order but it does not seem to me, notwithstanding the non-opposition, that I should make that order.  A very large amount of irrelevant material was filed on the application and, in particular, affidavit evidence and submissions were served which contained material which</w:t>
      </w:r>
      <w:r w:rsidR="00B10A9F">
        <w:t xml:space="preserve"> </w:t>
      </w:r>
      <w:r>
        <w:t xml:space="preserve">was clearly subject to settlement privilege </w:t>
      </w:r>
      <w:r w:rsidR="00655F1D">
        <w:t>pursuant to</w:t>
      </w:r>
      <w:r>
        <w:t xml:space="preserve"> s 131 of the </w:t>
      </w:r>
      <w:r w:rsidRPr="009E0C92">
        <w:rPr>
          <w:i/>
        </w:rPr>
        <w:t>Evidence Act</w:t>
      </w:r>
      <w:r>
        <w:t xml:space="preserve"> </w:t>
      </w:r>
      <w:r w:rsidR="00B10A9F" w:rsidRPr="00B10A9F">
        <w:rPr>
          <w:i/>
        </w:rPr>
        <w:t>1995</w:t>
      </w:r>
      <w:r w:rsidR="00B10A9F">
        <w:t xml:space="preserve"> (Cth) </w:t>
      </w:r>
      <w:r>
        <w:t xml:space="preserve">and did not, and was not likely to, engage one of the exceptions to that </w:t>
      </w:r>
      <w:r w:rsidR="00B10A9F">
        <w:t>privilege</w:t>
      </w:r>
      <w:r w:rsidR="00923EF7">
        <w:t>.  Costs associated with t</w:t>
      </w:r>
      <w:r>
        <w:t>he preparation of that affidavit material should not be allowed.  In this regard, I note the parties have already agreed to take steps to remove that privileged material contain</w:t>
      </w:r>
      <w:r w:rsidR="009176D0">
        <w:t xml:space="preserve">ed in the submissions from the </w:t>
      </w:r>
      <w:r w:rsidR="00B10A9F">
        <w:t>court file, together with the relevant</w:t>
      </w:r>
      <w:r>
        <w:t xml:space="preserve"> affidavit. </w:t>
      </w:r>
    </w:p>
    <w:p w:rsidR="00340F2F" w:rsidRDefault="00340F2F" w:rsidP="00340F2F">
      <w:pPr>
        <w:pStyle w:val="ParaNumbering"/>
      </w:pPr>
      <w:r>
        <w:t>A</w:t>
      </w:r>
      <w:r w:rsidR="00B10A9F">
        <w:t xml:space="preserve"> further factor relates to the fact that </w:t>
      </w:r>
      <w:r>
        <w:t xml:space="preserve">I initially listed this matter for hearing in late December 2018.  When the matter came before me I was told it was necessary for there to be affidavit evidence filed and hence the matter could </w:t>
      </w:r>
      <w:r w:rsidR="00B10A9F">
        <w:t xml:space="preserve">not </w:t>
      </w:r>
      <w:r>
        <w:t>proceed on that date.  I expressed my scepticism as to the utility of such affidavit material</w:t>
      </w:r>
      <w:r w:rsidR="00B10A9F">
        <w:t>,</w:t>
      </w:r>
      <w:r>
        <w:t xml:space="preserve"> but the respondents did not press for the hearing to take place at that time.</w:t>
      </w:r>
      <w:r w:rsidR="00B10A9F">
        <w:t xml:space="preserve">  </w:t>
      </w:r>
      <w:r>
        <w:t xml:space="preserve"> </w:t>
      </w:r>
    </w:p>
    <w:p w:rsidR="00340F2F" w:rsidRDefault="00340F2F" w:rsidP="00B10A9F">
      <w:pPr>
        <w:pStyle w:val="ParaNumbering"/>
      </w:pPr>
      <w:r>
        <w:t>I have a broad discretion i</w:t>
      </w:r>
      <w:r w:rsidR="00923EF7">
        <w:t xml:space="preserve">n relation to costs and </w:t>
      </w:r>
      <w:r w:rsidR="00AA0CBD">
        <w:t xml:space="preserve">the fair result is that 75% of the </w:t>
      </w:r>
      <w:r w:rsidR="00B10A9F">
        <w:t xml:space="preserve">applicants’ </w:t>
      </w:r>
      <w:r>
        <w:t>costs of the interlocutory application</w:t>
      </w:r>
      <w:r w:rsidR="00AA0CBD">
        <w:t xml:space="preserve"> </w:t>
      </w:r>
      <w:r w:rsidR="00B10A9F">
        <w:t>be payable by the respondents</w:t>
      </w:r>
      <w:r w:rsidR="00AA0CBD">
        <w:t>, those costs not including the costs of the preparation of the confidential affidavit which was not read</w:t>
      </w:r>
      <w:r>
        <w:t>.  Prior to the matter coming before me at the next case management hearing, I direct the applicants’ solicitors to file an affidavit setting out the</w:t>
      </w:r>
      <w:r w:rsidR="005E0A37">
        <w:t>se</w:t>
      </w:r>
      <w:r>
        <w:t xml:space="preserve"> costs on a lump sum basis </w:t>
      </w:r>
      <w:r w:rsidR="005E0A37">
        <w:t xml:space="preserve">and </w:t>
      </w:r>
      <w:r>
        <w:t xml:space="preserve">I will hear from the parties on that day as to whether or not a lump sum costs order should be made.  </w:t>
      </w:r>
    </w:p>
    <w:p w:rsidR="00340F2F" w:rsidRDefault="00340F2F" w:rsidP="00601DFC">
      <w:pPr>
        <w:pStyle w:val="ParaNumbering"/>
      </w:pPr>
      <w:r>
        <w:lastRenderedPageBreak/>
        <w:t xml:space="preserve">The case management hearing </w:t>
      </w:r>
      <w:r w:rsidR="005E0A37">
        <w:t xml:space="preserve">will </w:t>
      </w:r>
      <w:r>
        <w:t>be conducted on a date to be fixed and the part</w:t>
      </w:r>
      <w:r w:rsidR="005E0A37">
        <w:t>ies are to communicate with my A</w:t>
      </w:r>
      <w:r>
        <w:t xml:space="preserve">ssociate </w:t>
      </w:r>
      <w:r w:rsidR="00D77711">
        <w:t>regarding</w:t>
      </w:r>
      <w:r w:rsidR="005E0A37">
        <w:t xml:space="preserve"> </w:t>
      </w:r>
      <w:r>
        <w:t xml:space="preserve">dates </w:t>
      </w:r>
      <w:r w:rsidR="005E0A37">
        <w:t>upon which</w:t>
      </w:r>
      <w:r>
        <w:t xml:space="preserve"> </w:t>
      </w:r>
      <w:r w:rsidR="005E0A37">
        <w:t>it can be most conveniently</w:t>
      </w:r>
      <w:r>
        <w:t xml:space="preserve"> </w:t>
      </w:r>
      <w:r w:rsidR="002C40D6">
        <w:t xml:space="preserve">and usefully </w:t>
      </w:r>
      <w:r>
        <w:t xml:space="preserve">conducted. </w:t>
      </w:r>
    </w:p>
    <w:p w:rsidR="002C40D6" w:rsidRDefault="002C40D6" w:rsidP="00815065">
      <w:pPr>
        <w:pStyle w:val="BodyText"/>
      </w:pPr>
      <w:bookmarkStart w:id="22" w:name="Certification"/>
    </w:p>
    <w:tbl>
      <w:tblPr>
        <w:tblW w:w="0" w:type="auto"/>
        <w:tblLook w:val="04A0" w:firstRow="1" w:lastRow="0" w:firstColumn="1" w:lastColumn="0" w:noHBand="0" w:noVBand="1"/>
      </w:tblPr>
      <w:tblGrid>
        <w:gridCol w:w="3794"/>
      </w:tblGrid>
      <w:tr w:rsidR="002C40D6" w:rsidRPr="002C40D6">
        <w:tc>
          <w:tcPr>
            <w:tcW w:w="3794" w:type="dxa"/>
            <w:shd w:val="clear" w:color="auto" w:fill="auto"/>
          </w:tcPr>
          <w:p w:rsidR="002C40D6" w:rsidRPr="002C40D6" w:rsidRDefault="002C40D6" w:rsidP="002C40D6">
            <w:pPr>
              <w:pStyle w:val="Normal1linespace"/>
            </w:pPr>
            <w:r w:rsidRPr="002C40D6">
              <w:t xml:space="preserve">I certify that the preceding </w:t>
            </w:r>
            <w:bookmarkStart w:id="23" w:name="NumberWord"/>
            <w:r>
              <w:t>thirty-s</w:t>
            </w:r>
            <w:bookmarkEnd w:id="23"/>
            <w:r w:rsidR="000B156A">
              <w:t>even</w:t>
            </w:r>
            <w:r w:rsidRPr="002C40D6">
              <w:t xml:space="preserve"> (</w:t>
            </w:r>
            <w:bookmarkStart w:id="24" w:name="NumberNumeral"/>
            <w:r>
              <w:t>3</w:t>
            </w:r>
            <w:bookmarkEnd w:id="24"/>
            <w:r w:rsidR="000B156A">
              <w:t>7</w:t>
            </w:r>
            <w:r w:rsidRPr="002C40D6">
              <w:t xml:space="preserve">) numbered </w:t>
            </w:r>
            <w:bookmarkStart w:id="25" w:name="CertPara"/>
            <w:r>
              <w:t>paragraphs are</w:t>
            </w:r>
            <w:bookmarkEnd w:id="25"/>
            <w:r w:rsidRPr="002C40D6">
              <w:t xml:space="preserve"> a true copy of the Reasons for Judgment herein of the Honourable </w:t>
            </w:r>
            <w:bookmarkStart w:id="26" w:name="Justice"/>
            <w:r>
              <w:t>Justice Lee</w:t>
            </w:r>
            <w:bookmarkEnd w:id="26"/>
            <w:r w:rsidRPr="002C40D6">
              <w:t>.</w:t>
            </w:r>
          </w:p>
        </w:tc>
      </w:tr>
    </w:tbl>
    <w:p w:rsidR="002C40D6" w:rsidRDefault="002C40D6" w:rsidP="00815065">
      <w:pPr>
        <w:pStyle w:val="BodyText"/>
      </w:pPr>
    </w:p>
    <w:p w:rsidR="002C40D6" w:rsidRDefault="002C40D6" w:rsidP="00815065">
      <w:pPr>
        <w:pStyle w:val="BodyText"/>
      </w:pPr>
    </w:p>
    <w:p w:rsidR="002C40D6" w:rsidRDefault="002C40D6" w:rsidP="00815065">
      <w:pPr>
        <w:pStyle w:val="BodyText"/>
      </w:pPr>
    </w:p>
    <w:p w:rsidR="002C40D6" w:rsidRDefault="002C40D6" w:rsidP="00815065">
      <w:pPr>
        <w:pStyle w:val="BodyText"/>
      </w:pPr>
      <w:r>
        <w:t xml:space="preserve">Associate: </w:t>
      </w:r>
    </w:p>
    <w:p w:rsidR="002C40D6" w:rsidRDefault="002C40D6" w:rsidP="00815065">
      <w:pPr>
        <w:pStyle w:val="BodyText"/>
      </w:pPr>
    </w:p>
    <w:p w:rsidR="002C40D6" w:rsidRDefault="002C40D6" w:rsidP="00815065">
      <w:pPr>
        <w:pStyle w:val="BodyText"/>
        <w:tabs>
          <w:tab w:val="left" w:pos="1134"/>
        </w:tabs>
      </w:pPr>
      <w:r>
        <w:t>Dated:</w:t>
      </w:r>
      <w:r>
        <w:tab/>
      </w:r>
      <w:bookmarkStart w:id="27" w:name="CertifyDated"/>
      <w:r>
        <w:t>20 February 2019</w:t>
      </w:r>
      <w:bookmarkEnd w:id="27"/>
    </w:p>
    <w:p w:rsidR="002C40D6" w:rsidRDefault="002C40D6" w:rsidP="00815065">
      <w:pPr>
        <w:pStyle w:val="BodyText"/>
      </w:pPr>
    </w:p>
    <w:bookmarkEnd w:id="22"/>
    <w:p w:rsidR="002C40D6" w:rsidRDefault="002C40D6" w:rsidP="002C40D6">
      <w:pPr>
        <w:pStyle w:val="BodyText"/>
      </w:pPr>
    </w:p>
    <w:sectPr w:rsidR="002C40D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2F" w:rsidRDefault="00A8582F">
      <w:pPr>
        <w:spacing w:line="20" w:lineRule="exact"/>
      </w:pPr>
    </w:p>
    <w:p w:rsidR="00A8582F" w:rsidRDefault="00A8582F"/>
    <w:p w:rsidR="00A8582F" w:rsidRDefault="00A8582F"/>
  </w:endnote>
  <w:endnote w:type="continuationSeparator" w:id="0">
    <w:p w:rsidR="00A8582F" w:rsidRDefault="00A8582F">
      <w:r>
        <w:t xml:space="preserve"> </w:t>
      </w:r>
    </w:p>
    <w:p w:rsidR="00A8582F" w:rsidRDefault="00A8582F"/>
    <w:p w:rsidR="00A8582F" w:rsidRDefault="00A8582F"/>
  </w:endnote>
  <w:endnote w:type="continuationNotice" w:id="1">
    <w:p w:rsidR="00A8582F" w:rsidRDefault="00A8582F">
      <w:r>
        <w:t xml:space="preserve"> </w:t>
      </w:r>
    </w:p>
    <w:p w:rsidR="00A8582F" w:rsidRDefault="00A8582F"/>
    <w:p w:rsidR="00A8582F" w:rsidRDefault="00A85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Pr="00624520" w:rsidRDefault="00A8582F"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2F" w:rsidRDefault="00A8582F"/>
    <w:p w:rsidR="00A8582F" w:rsidRDefault="00A8582F"/>
    <w:p w:rsidR="00A8582F" w:rsidRDefault="00A8582F"/>
  </w:footnote>
  <w:footnote w:type="continuationSeparator" w:id="0">
    <w:p w:rsidR="00A8582F" w:rsidRDefault="00A8582F">
      <w:r>
        <w:continuationSeparator/>
      </w:r>
    </w:p>
    <w:p w:rsidR="00A8582F" w:rsidRDefault="00A8582F"/>
    <w:p w:rsidR="00A8582F" w:rsidRDefault="00A858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pPr>
      <w:tabs>
        <w:tab w:val="center" w:pos="4512"/>
      </w:tabs>
      <w:suppressAutoHyphens/>
    </w:pPr>
    <w:r>
      <w:tab/>
      <w:t xml:space="preserve">- </w:t>
    </w:r>
    <w:r>
      <w:fldChar w:fldCharType="begin"/>
    </w:r>
    <w:r>
      <w:instrText xml:space="preserve"> PAGE   \* MERGEFORMAT </w:instrText>
    </w:r>
    <w:r>
      <w:fldChar w:fldCharType="separate"/>
    </w:r>
    <w:r w:rsidR="00CE1750">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pPr>
      <w:tabs>
        <w:tab w:val="center" w:pos="4512"/>
      </w:tabs>
      <w:suppressAutoHyphens/>
    </w:pPr>
    <w:r>
      <w:tab/>
      <w:t xml:space="preserve">- </w:t>
    </w:r>
    <w:r>
      <w:fldChar w:fldCharType="begin"/>
    </w:r>
    <w:r>
      <w:instrText>page \* arabic</w:instrText>
    </w:r>
    <w:r>
      <w:fldChar w:fldCharType="separate"/>
    </w:r>
    <w:r w:rsidR="00CE1750">
      <w:rPr>
        <w:noProof/>
      </w:rPr>
      <w:t>11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2F" w:rsidRDefault="00A8582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athryn Gill|Diane Dawson|Ann Sanders"/>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590 of 2012"/>
    <w:docVar w:name="HearingDate" w:val="4 February 2019"/>
    <w:docVar w:name="Initiators" w:val="(and another named in the Schedule)"/>
    <w:docVar w:name="Judgdate" w:val="20 February 2019"/>
    <w:docVar w:name="Judge" w:val="Lee"/>
    <w:docVar w:name="Justices" w:val="Justice"/>
    <w:docVar w:name="lstEntryList" w:val="-1"/>
    <w:docVar w:name="myEntryList" w:val="Counsel for the Applicants=Dr D E Graham SC with Mr A Naylor|Solicitor for the Applicants=Shine Lawyers|Counsel for the Respondents=Mr S Finch SC with Mr D T W Wong|Solicitor for the Respondents=Clayton Utz"/>
    <w:docVar w:name="NSD" w:val="NSD "/>
    <w:docVar w:name="NumApps" w:val="3"/>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ETHICON SÁRL|Ethicon Inc|Johnson &amp; Johnson Medical Pty Limited ACN 000 160 403"/>
    <w:docVar w:name="ResState" w:val="New South Wales"/>
    <w:docVar w:name="SubArea" w:val="Regulator and Consumer Protection (C &amp; C)"/>
  </w:docVars>
  <w:rsids>
    <w:rsidRoot w:val="00340F2F"/>
    <w:rsid w:val="0001469E"/>
    <w:rsid w:val="00015993"/>
    <w:rsid w:val="0001608D"/>
    <w:rsid w:val="00022289"/>
    <w:rsid w:val="00032F9F"/>
    <w:rsid w:val="00041C07"/>
    <w:rsid w:val="00045BB7"/>
    <w:rsid w:val="00055719"/>
    <w:rsid w:val="0005641B"/>
    <w:rsid w:val="000673B3"/>
    <w:rsid w:val="00081497"/>
    <w:rsid w:val="000A2E76"/>
    <w:rsid w:val="000A4807"/>
    <w:rsid w:val="000A4BE4"/>
    <w:rsid w:val="000B156A"/>
    <w:rsid w:val="000C023E"/>
    <w:rsid w:val="000C5195"/>
    <w:rsid w:val="000C62EF"/>
    <w:rsid w:val="000D2137"/>
    <w:rsid w:val="000D35E6"/>
    <w:rsid w:val="000D3FD2"/>
    <w:rsid w:val="000E3FC8"/>
    <w:rsid w:val="000E7BAE"/>
    <w:rsid w:val="000F133D"/>
    <w:rsid w:val="0010536B"/>
    <w:rsid w:val="0011145C"/>
    <w:rsid w:val="001128BD"/>
    <w:rsid w:val="0011419D"/>
    <w:rsid w:val="00122EE9"/>
    <w:rsid w:val="00130F5E"/>
    <w:rsid w:val="00132054"/>
    <w:rsid w:val="0016350E"/>
    <w:rsid w:val="001727A4"/>
    <w:rsid w:val="0017376C"/>
    <w:rsid w:val="001738AB"/>
    <w:rsid w:val="001765E0"/>
    <w:rsid w:val="00177759"/>
    <w:rsid w:val="00185E6B"/>
    <w:rsid w:val="00187BBC"/>
    <w:rsid w:val="001932F3"/>
    <w:rsid w:val="001A4309"/>
    <w:rsid w:val="001B1053"/>
    <w:rsid w:val="001B14AC"/>
    <w:rsid w:val="001B5D63"/>
    <w:rsid w:val="001B7940"/>
    <w:rsid w:val="001C105A"/>
    <w:rsid w:val="001C2D0D"/>
    <w:rsid w:val="001C37CA"/>
    <w:rsid w:val="001D4303"/>
    <w:rsid w:val="001D6746"/>
    <w:rsid w:val="001E3B49"/>
    <w:rsid w:val="001E7388"/>
    <w:rsid w:val="001F13DD"/>
    <w:rsid w:val="001F2DBC"/>
    <w:rsid w:val="001F73E8"/>
    <w:rsid w:val="0020262C"/>
    <w:rsid w:val="00224537"/>
    <w:rsid w:val="00226254"/>
    <w:rsid w:val="00235956"/>
    <w:rsid w:val="00236B97"/>
    <w:rsid w:val="00242A6F"/>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6B5F"/>
    <w:rsid w:val="002B71C0"/>
    <w:rsid w:val="002B7A34"/>
    <w:rsid w:val="002C31AD"/>
    <w:rsid w:val="002C40D6"/>
    <w:rsid w:val="002C7385"/>
    <w:rsid w:val="002D2DBB"/>
    <w:rsid w:val="002D4A26"/>
    <w:rsid w:val="002D54A6"/>
    <w:rsid w:val="002E42C3"/>
    <w:rsid w:val="002E6A7A"/>
    <w:rsid w:val="002F1E49"/>
    <w:rsid w:val="002F4E9C"/>
    <w:rsid w:val="0031256C"/>
    <w:rsid w:val="00314743"/>
    <w:rsid w:val="00314D6C"/>
    <w:rsid w:val="00316D2A"/>
    <w:rsid w:val="00322A7C"/>
    <w:rsid w:val="003402D3"/>
    <w:rsid w:val="00340F2F"/>
    <w:rsid w:val="00343ABC"/>
    <w:rsid w:val="003463FE"/>
    <w:rsid w:val="00351272"/>
    <w:rsid w:val="003554B3"/>
    <w:rsid w:val="00356632"/>
    <w:rsid w:val="00376004"/>
    <w:rsid w:val="003845A9"/>
    <w:rsid w:val="00390883"/>
    <w:rsid w:val="003922F8"/>
    <w:rsid w:val="00395B24"/>
    <w:rsid w:val="003A2D38"/>
    <w:rsid w:val="003A7ECC"/>
    <w:rsid w:val="003B2C72"/>
    <w:rsid w:val="003C1333"/>
    <w:rsid w:val="003C20FF"/>
    <w:rsid w:val="003C4C40"/>
    <w:rsid w:val="003D2650"/>
    <w:rsid w:val="003D560C"/>
    <w:rsid w:val="003E3872"/>
    <w:rsid w:val="003E5874"/>
    <w:rsid w:val="003F193E"/>
    <w:rsid w:val="003F34F1"/>
    <w:rsid w:val="00411AE8"/>
    <w:rsid w:val="00413B74"/>
    <w:rsid w:val="00435098"/>
    <w:rsid w:val="00435C5F"/>
    <w:rsid w:val="00441E98"/>
    <w:rsid w:val="004532F7"/>
    <w:rsid w:val="00472027"/>
    <w:rsid w:val="004804CF"/>
    <w:rsid w:val="00484836"/>
    <w:rsid w:val="00484962"/>
    <w:rsid w:val="00484F6D"/>
    <w:rsid w:val="0049338A"/>
    <w:rsid w:val="0049417F"/>
    <w:rsid w:val="004947D1"/>
    <w:rsid w:val="004B3EFA"/>
    <w:rsid w:val="004C0FCD"/>
    <w:rsid w:val="004C2A87"/>
    <w:rsid w:val="004C4D7B"/>
    <w:rsid w:val="004C4ED3"/>
    <w:rsid w:val="004D2EA5"/>
    <w:rsid w:val="004D32A6"/>
    <w:rsid w:val="004D53E5"/>
    <w:rsid w:val="00501A12"/>
    <w:rsid w:val="0051346D"/>
    <w:rsid w:val="00513EAE"/>
    <w:rsid w:val="00513EC0"/>
    <w:rsid w:val="00516806"/>
    <w:rsid w:val="00516AE7"/>
    <w:rsid w:val="00525A49"/>
    <w:rsid w:val="00535613"/>
    <w:rsid w:val="005359EB"/>
    <w:rsid w:val="0054254A"/>
    <w:rsid w:val="005466B5"/>
    <w:rsid w:val="00546882"/>
    <w:rsid w:val="00547AD8"/>
    <w:rsid w:val="00554314"/>
    <w:rsid w:val="005629B3"/>
    <w:rsid w:val="00562CF9"/>
    <w:rsid w:val="00573AC4"/>
    <w:rsid w:val="005801FC"/>
    <w:rsid w:val="00595016"/>
    <w:rsid w:val="00597AAE"/>
    <w:rsid w:val="005A222C"/>
    <w:rsid w:val="005A3C5F"/>
    <w:rsid w:val="005A4DF8"/>
    <w:rsid w:val="005B1426"/>
    <w:rsid w:val="005C0A8E"/>
    <w:rsid w:val="005C1767"/>
    <w:rsid w:val="005C42EF"/>
    <w:rsid w:val="005E02F5"/>
    <w:rsid w:val="005E0510"/>
    <w:rsid w:val="005E0A37"/>
    <w:rsid w:val="005E176E"/>
    <w:rsid w:val="005E218E"/>
    <w:rsid w:val="005E35A0"/>
    <w:rsid w:val="005F0D1B"/>
    <w:rsid w:val="005F1865"/>
    <w:rsid w:val="006007BD"/>
    <w:rsid w:val="006013C8"/>
    <w:rsid w:val="00601DFC"/>
    <w:rsid w:val="0060270D"/>
    <w:rsid w:val="00604611"/>
    <w:rsid w:val="00611586"/>
    <w:rsid w:val="0062131A"/>
    <w:rsid w:val="00621887"/>
    <w:rsid w:val="00624520"/>
    <w:rsid w:val="00632300"/>
    <w:rsid w:val="00632BB7"/>
    <w:rsid w:val="00635B36"/>
    <w:rsid w:val="00636871"/>
    <w:rsid w:val="00640F4E"/>
    <w:rsid w:val="00643DE0"/>
    <w:rsid w:val="00644E85"/>
    <w:rsid w:val="00655F1D"/>
    <w:rsid w:val="0066063F"/>
    <w:rsid w:val="00662BB0"/>
    <w:rsid w:val="00663878"/>
    <w:rsid w:val="00667773"/>
    <w:rsid w:val="00667CE1"/>
    <w:rsid w:val="00670743"/>
    <w:rsid w:val="00690EE2"/>
    <w:rsid w:val="00694953"/>
    <w:rsid w:val="006A0E20"/>
    <w:rsid w:val="006A1B61"/>
    <w:rsid w:val="006A5695"/>
    <w:rsid w:val="006A5EF2"/>
    <w:rsid w:val="006B3904"/>
    <w:rsid w:val="006B5B7D"/>
    <w:rsid w:val="006C1E1D"/>
    <w:rsid w:val="006D0ECF"/>
    <w:rsid w:val="006D4C92"/>
    <w:rsid w:val="006D4EB6"/>
    <w:rsid w:val="006E35BF"/>
    <w:rsid w:val="006E7850"/>
    <w:rsid w:val="006F4269"/>
    <w:rsid w:val="007028D9"/>
    <w:rsid w:val="00707218"/>
    <w:rsid w:val="00712B1D"/>
    <w:rsid w:val="007325D9"/>
    <w:rsid w:val="007360CA"/>
    <w:rsid w:val="00760EC0"/>
    <w:rsid w:val="00761040"/>
    <w:rsid w:val="0078003A"/>
    <w:rsid w:val="00780771"/>
    <w:rsid w:val="00791CB6"/>
    <w:rsid w:val="007929CF"/>
    <w:rsid w:val="007A6F28"/>
    <w:rsid w:val="007B03C6"/>
    <w:rsid w:val="007B0DB1"/>
    <w:rsid w:val="007B6E59"/>
    <w:rsid w:val="007C3BF6"/>
    <w:rsid w:val="007C5D7F"/>
    <w:rsid w:val="007D0FD2"/>
    <w:rsid w:val="007D2EF8"/>
    <w:rsid w:val="007D561F"/>
    <w:rsid w:val="007D7FD2"/>
    <w:rsid w:val="007E13D9"/>
    <w:rsid w:val="007E41BE"/>
    <w:rsid w:val="007E4DB6"/>
    <w:rsid w:val="007E7CD4"/>
    <w:rsid w:val="007F12AC"/>
    <w:rsid w:val="00801800"/>
    <w:rsid w:val="00801B5B"/>
    <w:rsid w:val="0082035E"/>
    <w:rsid w:val="008276B4"/>
    <w:rsid w:val="00831927"/>
    <w:rsid w:val="00841BD3"/>
    <w:rsid w:val="0084273D"/>
    <w:rsid w:val="00844E3F"/>
    <w:rsid w:val="00845A83"/>
    <w:rsid w:val="00845B4E"/>
    <w:rsid w:val="00856EA3"/>
    <w:rsid w:val="008575B6"/>
    <w:rsid w:val="008712BB"/>
    <w:rsid w:val="008A2484"/>
    <w:rsid w:val="008C26D9"/>
    <w:rsid w:val="008C6D50"/>
    <w:rsid w:val="008C7167"/>
    <w:rsid w:val="008C7503"/>
    <w:rsid w:val="008D1617"/>
    <w:rsid w:val="008E6315"/>
    <w:rsid w:val="008F0D73"/>
    <w:rsid w:val="008F11E0"/>
    <w:rsid w:val="008F78BC"/>
    <w:rsid w:val="008F7B63"/>
    <w:rsid w:val="008F7D6A"/>
    <w:rsid w:val="009054CB"/>
    <w:rsid w:val="00912F94"/>
    <w:rsid w:val="009176D0"/>
    <w:rsid w:val="00923EF7"/>
    <w:rsid w:val="0092590B"/>
    <w:rsid w:val="00925E60"/>
    <w:rsid w:val="009264B3"/>
    <w:rsid w:val="0093608A"/>
    <w:rsid w:val="009365E0"/>
    <w:rsid w:val="00942BA2"/>
    <w:rsid w:val="00944C86"/>
    <w:rsid w:val="00957DE8"/>
    <w:rsid w:val="00960ECB"/>
    <w:rsid w:val="009615D6"/>
    <w:rsid w:val="00967855"/>
    <w:rsid w:val="00980736"/>
    <w:rsid w:val="00981A39"/>
    <w:rsid w:val="00987097"/>
    <w:rsid w:val="009A3A9C"/>
    <w:rsid w:val="009A7D0B"/>
    <w:rsid w:val="009B046C"/>
    <w:rsid w:val="009B13FA"/>
    <w:rsid w:val="009B1E2D"/>
    <w:rsid w:val="009C59FB"/>
    <w:rsid w:val="009C6F3B"/>
    <w:rsid w:val="009D1467"/>
    <w:rsid w:val="009E0C92"/>
    <w:rsid w:val="009E4FA6"/>
    <w:rsid w:val="009E7D93"/>
    <w:rsid w:val="009F5C33"/>
    <w:rsid w:val="009F760F"/>
    <w:rsid w:val="00A03EAC"/>
    <w:rsid w:val="00A11CA6"/>
    <w:rsid w:val="00A20C49"/>
    <w:rsid w:val="00A269CA"/>
    <w:rsid w:val="00A30AAD"/>
    <w:rsid w:val="00A336EE"/>
    <w:rsid w:val="00A359AC"/>
    <w:rsid w:val="00A41413"/>
    <w:rsid w:val="00A45FB1"/>
    <w:rsid w:val="00A46CCC"/>
    <w:rsid w:val="00A51CFE"/>
    <w:rsid w:val="00A76C13"/>
    <w:rsid w:val="00A8582F"/>
    <w:rsid w:val="00A92E79"/>
    <w:rsid w:val="00A950B6"/>
    <w:rsid w:val="00AA0CBD"/>
    <w:rsid w:val="00AA7DB7"/>
    <w:rsid w:val="00AB41C1"/>
    <w:rsid w:val="00AD04F9"/>
    <w:rsid w:val="00AD12A8"/>
    <w:rsid w:val="00AE023F"/>
    <w:rsid w:val="00AE7E7E"/>
    <w:rsid w:val="00AF3577"/>
    <w:rsid w:val="00AF35F9"/>
    <w:rsid w:val="00AF634B"/>
    <w:rsid w:val="00B05C7D"/>
    <w:rsid w:val="00B10A9F"/>
    <w:rsid w:val="00B346C3"/>
    <w:rsid w:val="00B4471C"/>
    <w:rsid w:val="00B451A6"/>
    <w:rsid w:val="00B4576B"/>
    <w:rsid w:val="00B45D36"/>
    <w:rsid w:val="00B722DE"/>
    <w:rsid w:val="00B76C44"/>
    <w:rsid w:val="00B83F87"/>
    <w:rsid w:val="00B902B3"/>
    <w:rsid w:val="00BA2EFA"/>
    <w:rsid w:val="00BA3DBC"/>
    <w:rsid w:val="00BB2DA2"/>
    <w:rsid w:val="00BB56DC"/>
    <w:rsid w:val="00BE183D"/>
    <w:rsid w:val="00BE1B31"/>
    <w:rsid w:val="00BF5D7A"/>
    <w:rsid w:val="00C02D33"/>
    <w:rsid w:val="00C1232C"/>
    <w:rsid w:val="00C36442"/>
    <w:rsid w:val="00C400CE"/>
    <w:rsid w:val="00C410FD"/>
    <w:rsid w:val="00C539FB"/>
    <w:rsid w:val="00C65331"/>
    <w:rsid w:val="00CA246D"/>
    <w:rsid w:val="00CA50D9"/>
    <w:rsid w:val="00CB4C71"/>
    <w:rsid w:val="00CB5636"/>
    <w:rsid w:val="00CE1750"/>
    <w:rsid w:val="00D10F21"/>
    <w:rsid w:val="00D24806"/>
    <w:rsid w:val="00D34040"/>
    <w:rsid w:val="00D34E69"/>
    <w:rsid w:val="00D37318"/>
    <w:rsid w:val="00D375EE"/>
    <w:rsid w:val="00D62699"/>
    <w:rsid w:val="00D7342E"/>
    <w:rsid w:val="00D77711"/>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592E"/>
    <w:rsid w:val="00E21133"/>
    <w:rsid w:val="00E2327E"/>
    <w:rsid w:val="00E266EF"/>
    <w:rsid w:val="00E34AAD"/>
    <w:rsid w:val="00E47428"/>
    <w:rsid w:val="00E66B9F"/>
    <w:rsid w:val="00E710D6"/>
    <w:rsid w:val="00E766A7"/>
    <w:rsid w:val="00E768EA"/>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27FE2"/>
    <w:rsid w:val="00F3276E"/>
    <w:rsid w:val="00F33D3C"/>
    <w:rsid w:val="00F37A91"/>
    <w:rsid w:val="00F45CF5"/>
    <w:rsid w:val="00F47DB0"/>
    <w:rsid w:val="00F50E34"/>
    <w:rsid w:val="00F53EF7"/>
    <w:rsid w:val="00F54BF2"/>
    <w:rsid w:val="00F82CB4"/>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61AE99"/>
  <w15:docId w15:val="{7FED67C8-DDD2-44B1-82FF-C5E1F591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er2n\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15</Pages>
  <Words>5224</Words>
  <Characters>26276</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Lynn-Maree Nielsen</dc:creator>
  <cp:lastModifiedBy>Natalie Lambert</cp:lastModifiedBy>
  <cp:revision>6</cp:revision>
  <cp:lastPrinted>2019-02-19T22:55:00Z</cp:lastPrinted>
  <dcterms:created xsi:type="dcterms:W3CDTF">2019-02-20T05:18:00Z</dcterms:created>
  <dcterms:modified xsi:type="dcterms:W3CDTF">2019-02-20T06:01:00Z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LEE J</vt:lpwstr>
  </property>
  <property fmtid="{D5CDD505-2E9C-101B-9397-08002B2CF9AE}" pid="4" name="Judgment_dated" linkTarget="Judgment_dated">
    <vt:lpwstr>4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