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74572C" w:rsidP="0074572C">
      <w:pPr>
        <w:pStyle w:val="MediaNeutralStyle"/>
      </w:pPr>
      <w:bookmarkStart w:id="0" w:name="MNC"/>
      <w:r>
        <w:t xml:space="preserve">Gordian Runoff Limited, in the matter of Gordian Runoff Limited (No 2) [2016] FCA </w:t>
      </w:r>
      <w:r w:rsidR="00C93A8F">
        <w:t>687</w:t>
      </w:r>
      <w:r w:rsidR="002C7385">
        <w:t xml:space="preserve"> </w:t>
      </w:r>
      <w:bookmarkEnd w:id="0"/>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073066">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73066">
        <w:tc>
          <w:tcPr>
            <w:tcW w:w="3085" w:type="dxa"/>
            <w:shd w:val="clear" w:color="auto" w:fill="auto"/>
          </w:tcPr>
          <w:p w:rsidR="00395B24" w:rsidRDefault="00C56C9B" w:rsidP="00663878">
            <w:pPr>
              <w:pStyle w:val="Normal1linespace"/>
              <w:widowControl w:val="0"/>
              <w:jc w:val="left"/>
            </w:pPr>
            <w:r>
              <w:t>File number</w:t>
            </w:r>
            <w:r w:rsidR="002C7385">
              <w:t>:</w:t>
            </w:r>
          </w:p>
        </w:tc>
        <w:tc>
          <w:tcPr>
            <w:tcW w:w="5989" w:type="dxa"/>
            <w:shd w:val="clear" w:color="auto" w:fill="auto"/>
          </w:tcPr>
          <w:p w:rsidR="00395B24" w:rsidRPr="00B95E2B" w:rsidRDefault="0049091B" w:rsidP="00B95E2B">
            <w:pPr>
              <w:pStyle w:val="Normal1linespace"/>
              <w:jc w:val="left"/>
            </w:pPr>
            <w:fldSimple w:instr=" REF  FileNo  \* MERGEFORMAT " w:fldLock="1">
              <w:r w:rsidR="00B95E2B" w:rsidRPr="00B95E2B">
                <w:t>NSD 316 of 2016</w:t>
              </w:r>
            </w:fldSimple>
          </w:p>
        </w:tc>
      </w:tr>
      <w:tr w:rsidR="00395B24" w:rsidTr="00073066">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73066">
        <w:tc>
          <w:tcPr>
            <w:tcW w:w="3085" w:type="dxa"/>
            <w:shd w:val="clear" w:color="auto" w:fill="auto"/>
          </w:tcPr>
          <w:p w:rsidR="00395B24" w:rsidRDefault="00C56C9B" w:rsidP="00663878">
            <w:pPr>
              <w:pStyle w:val="Normal1linespace"/>
              <w:widowControl w:val="0"/>
              <w:jc w:val="left"/>
            </w:pPr>
            <w:r>
              <w:t>Judges</w:t>
            </w:r>
            <w:r w:rsidR="002C7385">
              <w:t>:</w:t>
            </w:r>
          </w:p>
        </w:tc>
        <w:tc>
          <w:tcPr>
            <w:tcW w:w="5989" w:type="dxa"/>
            <w:shd w:val="clear" w:color="auto" w:fill="auto"/>
          </w:tcPr>
          <w:p w:rsidR="00395B24" w:rsidRDefault="002C7385" w:rsidP="00663878">
            <w:pPr>
              <w:pStyle w:val="Normal1linespace"/>
              <w:widowControl w:val="0"/>
              <w:jc w:val="left"/>
              <w:rPr>
                <w:b/>
              </w:rPr>
            </w:pPr>
            <w:r w:rsidRPr="00B95E2B">
              <w:rPr>
                <w:b/>
              </w:rPr>
              <w:fldChar w:fldCharType="begin" w:fldLock="1"/>
            </w:r>
            <w:r w:rsidRPr="00B95E2B">
              <w:rPr>
                <w:b/>
              </w:rPr>
              <w:instrText xml:space="preserve"> REF  Judge  \* MERGEFORMAT </w:instrText>
            </w:r>
            <w:r w:rsidRPr="00B95E2B">
              <w:rPr>
                <w:b/>
              </w:rPr>
              <w:fldChar w:fldCharType="separate"/>
            </w:r>
            <w:r w:rsidR="00B95E2B" w:rsidRPr="00B95E2B">
              <w:rPr>
                <w:b/>
                <w:caps/>
                <w:szCs w:val="24"/>
              </w:rPr>
              <w:t xml:space="preserve">ALLSOP </w:t>
            </w:r>
            <w:r w:rsidR="00DB5CB7">
              <w:rPr>
                <w:b/>
                <w:caps/>
                <w:szCs w:val="24"/>
              </w:rPr>
              <w:t>C</w:t>
            </w:r>
            <w:r w:rsidR="00B95E2B" w:rsidRPr="00B95E2B">
              <w:rPr>
                <w:b/>
                <w:caps/>
                <w:szCs w:val="24"/>
              </w:rPr>
              <w:t>J</w:t>
            </w:r>
            <w:r w:rsidRPr="00B95E2B">
              <w:rPr>
                <w:b/>
              </w:rPr>
              <w:fldChar w:fldCharType="end"/>
            </w:r>
          </w:p>
        </w:tc>
      </w:tr>
      <w:tr w:rsidR="00395B24" w:rsidTr="00073066">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73066">
        <w:tc>
          <w:tcPr>
            <w:tcW w:w="3085"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74572C" w:rsidP="00663878">
            <w:pPr>
              <w:pStyle w:val="Normal1linespace"/>
              <w:widowControl w:val="0"/>
              <w:jc w:val="left"/>
            </w:pPr>
            <w:bookmarkStart w:id="1" w:name="JudgmentDate"/>
            <w:r>
              <w:t>9 June 2016</w:t>
            </w:r>
            <w:bookmarkEnd w:id="1"/>
          </w:p>
        </w:tc>
      </w:tr>
      <w:tr w:rsidR="00395B24" w:rsidTr="00073066">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73066">
        <w:tc>
          <w:tcPr>
            <w:tcW w:w="3085"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395B24" w:rsidRDefault="0074572C" w:rsidP="0074572C">
            <w:pPr>
              <w:pStyle w:val="Default"/>
            </w:pPr>
            <w:bookmarkStart w:id="2" w:name="Catchwords"/>
            <w:r>
              <w:rPr>
                <w:b/>
              </w:rPr>
              <w:t>INSURANCE</w:t>
            </w:r>
            <w:r>
              <w:t>— general insurance—application for confirmation of a scheme for the transfer of an insurance business—when both transferee and transferor insurer are conducting a runoff insurance business—the Court’s discretion to confirm a scheme—where the size of the business being transferred is minimal</w:t>
            </w:r>
            <w:r w:rsidR="002C7385">
              <w:t xml:space="preserve"> </w:t>
            </w:r>
            <w:bookmarkEnd w:id="2"/>
          </w:p>
        </w:tc>
      </w:tr>
      <w:tr w:rsidR="00395B24" w:rsidTr="00073066">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73066">
        <w:tc>
          <w:tcPr>
            <w:tcW w:w="3085"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1B4E46" w:rsidRPr="00B414D1" w:rsidRDefault="0074572C" w:rsidP="0049091B">
            <w:pPr>
              <w:pStyle w:val="Normal1linespace"/>
              <w:spacing w:after="60"/>
            </w:pPr>
            <w:bookmarkStart w:id="3" w:name="Legislation"/>
            <w:r w:rsidRPr="00B414D1">
              <w:rPr>
                <w:i/>
              </w:rPr>
              <w:t>Insurance Act 1973</w:t>
            </w:r>
            <w:r w:rsidRPr="00B414D1">
              <w:t xml:space="preserve"> (Cth)</w:t>
            </w:r>
            <w:r w:rsidR="001B4E46" w:rsidRPr="00B414D1">
              <w:t xml:space="preserve"> ss 12, 32, 17A-17G</w:t>
            </w:r>
          </w:p>
          <w:p w:rsidR="00395B24" w:rsidRDefault="001B4E46" w:rsidP="00B414D1">
            <w:pPr>
              <w:pStyle w:val="Normal1linespace"/>
            </w:pPr>
            <w:r w:rsidRPr="00B414D1">
              <w:rPr>
                <w:i/>
              </w:rPr>
              <w:t>Life Insurance Act 1995</w:t>
            </w:r>
            <w:r w:rsidRPr="00B414D1">
              <w:t xml:space="preserve"> (Cth)</w:t>
            </w:r>
            <w:r w:rsidR="002C7385">
              <w:t xml:space="preserve"> </w:t>
            </w:r>
            <w:bookmarkEnd w:id="3"/>
          </w:p>
        </w:tc>
      </w:tr>
      <w:tr w:rsidR="00395B24" w:rsidTr="00073066">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073066">
        <w:tc>
          <w:tcPr>
            <w:tcW w:w="3085"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74572C" w:rsidRPr="00AE7F6D" w:rsidRDefault="0074572C" w:rsidP="0049091B">
            <w:pPr>
              <w:pStyle w:val="Normal1linespace"/>
              <w:spacing w:after="60"/>
            </w:pPr>
            <w:bookmarkStart w:id="4" w:name="Cases_Cited"/>
            <w:r w:rsidRPr="00B414D1">
              <w:rPr>
                <w:i/>
              </w:rPr>
              <w:t>In the matter of GIO Personal Investment Services Ltd and AMP Life Ltd</w:t>
            </w:r>
            <w:r w:rsidRPr="00AE7F6D">
              <w:t xml:space="preserve"> [2000] FCA 1871 </w:t>
            </w:r>
          </w:p>
          <w:p w:rsidR="0074572C" w:rsidRPr="00AE7F6D" w:rsidRDefault="0074572C" w:rsidP="0049091B">
            <w:pPr>
              <w:pStyle w:val="Normal1linespace"/>
              <w:spacing w:after="60"/>
            </w:pPr>
            <w:r w:rsidRPr="00B414D1">
              <w:rPr>
                <w:i/>
              </w:rPr>
              <w:t>In the matter of Reward Insurance Ltd</w:t>
            </w:r>
            <w:r w:rsidRPr="00AE7F6D">
              <w:t xml:space="preserve"> [2004] FCA 151</w:t>
            </w:r>
          </w:p>
          <w:p w:rsidR="00073066" w:rsidRPr="00AE7F6D" w:rsidRDefault="0074572C" w:rsidP="0049091B">
            <w:pPr>
              <w:pStyle w:val="Normal1linespace"/>
              <w:spacing w:after="60"/>
            </w:pPr>
            <w:r w:rsidRPr="00B414D1">
              <w:rPr>
                <w:i/>
              </w:rPr>
              <w:t>Re Insurance Australia Ltd</w:t>
            </w:r>
            <w:r w:rsidRPr="00AE7F6D">
              <w:t xml:space="preserve"> </w:t>
            </w:r>
            <w:r w:rsidR="001B4E46" w:rsidRPr="00AE7F6D">
              <w:t xml:space="preserve">[2004] FCA 524; </w:t>
            </w:r>
            <w:r w:rsidRPr="00AE7F6D">
              <w:t>139 FCR 450</w:t>
            </w:r>
            <w:r w:rsidR="00073066" w:rsidRPr="00AE7F6D">
              <w:t xml:space="preserve"> </w:t>
            </w:r>
          </w:p>
          <w:p w:rsidR="00073066" w:rsidRPr="00AE7F6D" w:rsidRDefault="00073066" w:rsidP="0049091B">
            <w:pPr>
              <w:pStyle w:val="Normal1linespace"/>
              <w:spacing w:after="60"/>
            </w:pPr>
            <w:r w:rsidRPr="00B414D1">
              <w:rPr>
                <w:i/>
              </w:rPr>
              <w:t>Re Royal &amp; Sun Alliance Life Assurance Ltd</w:t>
            </w:r>
            <w:r w:rsidRPr="00AE7F6D">
              <w:t xml:space="preserve"> [2000] FCA 1259; 104 FCR 37</w:t>
            </w:r>
          </w:p>
          <w:p w:rsidR="00395B24" w:rsidRDefault="0074572C" w:rsidP="00B414D1">
            <w:pPr>
              <w:pStyle w:val="Normal1linespace"/>
            </w:pPr>
            <w:r w:rsidRPr="00B414D1">
              <w:rPr>
                <w:i/>
              </w:rPr>
              <w:t xml:space="preserve">Re </w:t>
            </w:r>
            <w:r w:rsidR="00D84271" w:rsidRPr="00B414D1">
              <w:rPr>
                <w:i/>
              </w:rPr>
              <w:t xml:space="preserve">Westport Insurance Corporation (No 2) </w:t>
            </w:r>
            <w:r w:rsidR="00D84271" w:rsidRPr="00AE7F6D">
              <w:t>[2009] FCA 1958; 181 FCR 530</w:t>
            </w:r>
            <w:bookmarkEnd w:id="4"/>
          </w:p>
        </w:tc>
      </w:tr>
      <w:tr w:rsidR="00073066" w:rsidRPr="00073066" w:rsidTr="00073066">
        <w:tc>
          <w:tcPr>
            <w:tcW w:w="3085" w:type="dxa"/>
            <w:shd w:val="clear" w:color="auto" w:fill="auto"/>
          </w:tcPr>
          <w:p w:rsidR="00073066" w:rsidRPr="00073066" w:rsidRDefault="00073066" w:rsidP="00073066">
            <w:pPr>
              <w:pStyle w:val="Normal1linespace"/>
              <w:jc w:val="left"/>
            </w:pPr>
          </w:p>
        </w:tc>
        <w:tc>
          <w:tcPr>
            <w:tcW w:w="5989" w:type="dxa"/>
            <w:shd w:val="clear" w:color="auto" w:fill="auto"/>
          </w:tcPr>
          <w:p w:rsidR="00073066" w:rsidRPr="00073066" w:rsidRDefault="00073066" w:rsidP="00073066">
            <w:pPr>
              <w:pStyle w:val="Normal1linespace"/>
              <w:jc w:val="left"/>
            </w:pPr>
          </w:p>
        </w:tc>
      </w:tr>
      <w:tr w:rsidR="00073066" w:rsidRPr="00073066" w:rsidTr="00073066">
        <w:tc>
          <w:tcPr>
            <w:tcW w:w="3085" w:type="dxa"/>
            <w:shd w:val="clear" w:color="auto" w:fill="auto"/>
          </w:tcPr>
          <w:p w:rsidR="00073066" w:rsidRPr="00073066" w:rsidRDefault="00073066" w:rsidP="00073066">
            <w:pPr>
              <w:pStyle w:val="Normal1linespace"/>
              <w:jc w:val="left"/>
            </w:pPr>
            <w:bookmarkStart w:id="5" w:name="CounselDate" w:colFirst="0" w:colLast="2"/>
            <w:r w:rsidRPr="00073066">
              <w:t>Date of hearing:</w:t>
            </w:r>
          </w:p>
        </w:tc>
        <w:tc>
          <w:tcPr>
            <w:tcW w:w="5989" w:type="dxa"/>
            <w:shd w:val="clear" w:color="auto" w:fill="auto"/>
          </w:tcPr>
          <w:p w:rsidR="00073066" w:rsidRPr="00073066" w:rsidRDefault="00073066" w:rsidP="00073066">
            <w:pPr>
              <w:pStyle w:val="Normal1linespace"/>
              <w:jc w:val="left"/>
            </w:pPr>
            <w:bookmarkStart w:id="6" w:name="HearingDate"/>
            <w:r>
              <w:t>6 June 2016</w:t>
            </w:r>
            <w:bookmarkEnd w:id="6"/>
          </w:p>
        </w:tc>
      </w:tr>
      <w:bookmarkEnd w:id="5"/>
      <w:tr w:rsidR="00073066" w:rsidTr="00073066">
        <w:tc>
          <w:tcPr>
            <w:tcW w:w="3085" w:type="dxa"/>
            <w:shd w:val="clear" w:color="auto" w:fill="auto"/>
          </w:tcPr>
          <w:p w:rsidR="00073066" w:rsidRDefault="00073066" w:rsidP="00073066">
            <w:pPr>
              <w:pStyle w:val="Normal1linespace"/>
              <w:widowControl w:val="0"/>
              <w:jc w:val="left"/>
            </w:pPr>
          </w:p>
        </w:tc>
        <w:tc>
          <w:tcPr>
            <w:tcW w:w="5989" w:type="dxa"/>
            <w:shd w:val="clear" w:color="auto" w:fill="auto"/>
          </w:tcPr>
          <w:p w:rsidR="00073066" w:rsidRDefault="00073066" w:rsidP="00073066">
            <w:pPr>
              <w:pStyle w:val="Normal1linespace"/>
              <w:widowControl w:val="0"/>
              <w:jc w:val="left"/>
            </w:pPr>
          </w:p>
        </w:tc>
      </w:tr>
      <w:tr w:rsidR="00073066" w:rsidTr="00073066">
        <w:tc>
          <w:tcPr>
            <w:tcW w:w="3085" w:type="dxa"/>
            <w:shd w:val="clear" w:color="auto" w:fill="auto"/>
          </w:tcPr>
          <w:p w:rsidR="00073066" w:rsidRDefault="00073066" w:rsidP="00073066">
            <w:pPr>
              <w:pStyle w:val="Normal1linespace"/>
              <w:widowControl w:val="0"/>
              <w:jc w:val="left"/>
            </w:pPr>
            <w:r>
              <w:t>Registry:</w:t>
            </w:r>
          </w:p>
        </w:tc>
        <w:tc>
          <w:tcPr>
            <w:tcW w:w="5989" w:type="dxa"/>
            <w:shd w:val="clear" w:color="auto" w:fill="auto"/>
          </w:tcPr>
          <w:p w:rsidR="00073066" w:rsidRPr="00F17599" w:rsidRDefault="00BF6E67" w:rsidP="00073066">
            <w:pPr>
              <w:pStyle w:val="Normal1linespace"/>
              <w:widowControl w:val="0"/>
              <w:jc w:val="left"/>
            </w:pPr>
            <w:r>
              <w:fldChar w:fldCharType="begin"/>
            </w:r>
            <w:r>
              <w:instrText xml:space="preserve"> DOCPROPERTY  Registry </w:instrText>
            </w:r>
            <w:r>
              <w:fldChar w:fldCharType="separate"/>
            </w:r>
            <w:r w:rsidR="00073066">
              <w:t>New South Wales</w:t>
            </w:r>
            <w:r>
              <w:fldChar w:fldCharType="end"/>
            </w:r>
          </w:p>
        </w:tc>
      </w:tr>
      <w:tr w:rsidR="00073066" w:rsidTr="00073066">
        <w:tc>
          <w:tcPr>
            <w:tcW w:w="3085" w:type="dxa"/>
            <w:shd w:val="clear" w:color="auto" w:fill="auto"/>
          </w:tcPr>
          <w:p w:rsidR="00073066" w:rsidRDefault="00073066" w:rsidP="00073066">
            <w:pPr>
              <w:pStyle w:val="Normal1linespace"/>
              <w:widowControl w:val="0"/>
              <w:jc w:val="left"/>
            </w:pPr>
          </w:p>
        </w:tc>
        <w:tc>
          <w:tcPr>
            <w:tcW w:w="5989" w:type="dxa"/>
            <w:shd w:val="clear" w:color="auto" w:fill="auto"/>
          </w:tcPr>
          <w:p w:rsidR="00073066" w:rsidRDefault="00073066" w:rsidP="00073066">
            <w:pPr>
              <w:pStyle w:val="Normal1linespace"/>
              <w:widowControl w:val="0"/>
              <w:jc w:val="left"/>
            </w:pPr>
          </w:p>
        </w:tc>
      </w:tr>
      <w:tr w:rsidR="00073066" w:rsidTr="00073066">
        <w:tc>
          <w:tcPr>
            <w:tcW w:w="3085" w:type="dxa"/>
            <w:shd w:val="clear" w:color="auto" w:fill="auto"/>
          </w:tcPr>
          <w:p w:rsidR="00073066" w:rsidRDefault="00073066" w:rsidP="00073066">
            <w:pPr>
              <w:pStyle w:val="Normal1linespace"/>
              <w:widowControl w:val="0"/>
              <w:jc w:val="left"/>
            </w:pPr>
            <w:r>
              <w:t>Division:</w:t>
            </w:r>
          </w:p>
        </w:tc>
        <w:tc>
          <w:tcPr>
            <w:tcW w:w="5989" w:type="dxa"/>
            <w:shd w:val="clear" w:color="auto" w:fill="auto"/>
          </w:tcPr>
          <w:p w:rsidR="00073066" w:rsidRPr="00F17599" w:rsidRDefault="00BF6E67" w:rsidP="00073066">
            <w:pPr>
              <w:pStyle w:val="Normal1linespace"/>
              <w:widowControl w:val="0"/>
              <w:jc w:val="left"/>
            </w:pPr>
            <w:r>
              <w:fldChar w:fldCharType="begin"/>
            </w:r>
            <w:r>
              <w:instrText xml:space="preserve"> DOCPROPERTY  Division </w:instrText>
            </w:r>
            <w:r>
              <w:fldChar w:fldCharType="separate"/>
            </w:r>
            <w:r w:rsidR="00073066">
              <w:t>General Division</w:t>
            </w:r>
            <w:r>
              <w:fldChar w:fldCharType="end"/>
            </w:r>
          </w:p>
        </w:tc>
      </w:tr>
      <w:tr w:rsidR="00073066" w:rsidTr="00073066">
        <w:tc>
          <w:tcPr>
            <w:tcW w:w="3085" w:type="dxa"/>
            <w:shd w:val="clear" w:color="auto" w:fill="auto"/>
          </w:tcPr>
          <w:p w:rsidR="00073066" w:rsidRDefault="00073066" w:rsidP="00073066">
            <w:pPr>
              <w:pStyle w:val="Normal1linespace"/>
              <w:widowControl w:val="0"/>
              <w:jc w:val="left"/>
            </w:pPr>
          </w:p>
        </w:tc>
        <w:tc>
          <w:tcPr>
            <w:tcW w:w="5989" w:type="dxa"/>
            <w:shd w:val="clear" w:color="auto" w:fill="auto"/>
          </w:tcPr>
          <w:p w:rsidR="00073066" w:rsidRPr="00F17599" w:rsidRDefault="00073066" w:rsidP="00073066">
            <w:pPr>
              <w:pStyle w:val="Normal1linespace"/>
              <w:widowControl w:val="0"/>
              <w:jc w:val="left"/>
              <w:rPr>
                <w:b/>
              </w:rPr>
            </w:pPr>
          </w:p>
        </w:tc>
      </w:tr>
      <w:tr w:rsidR="00073066" w:rsidTr="00073066">
        <w:tc>
          <w:tcPr>
            <w:tcW w:w="3085" w:type="dxa"/>
            <w:shd w:val="clear" w:color="auto" w:fill="auto"/>
          </w:tcPr>
          <w:p w:rsidR="00073066" w:rsidRDefault="00073066" w:rsidP="00073066">
            <w:pPr>
              <w:pStyle w:val="Normal1linespace"/>
              <w:widowControl w:val="0"/>
              <w:jc w:val="left"/>
            </w:pPr>
            <w:r>
              <w:t>National Practice Area:</w:t>
            </w:r>
          </w:p>
        </w:tc>
        <w:tc>
          <w:tcPr>
            <w:tcW w:w="5989" w:type="dxa"/>
            <w:shd w:val="clear" w:color="auto" w:fill="auto"/>
          </w:tcPr>
          <w:p w:rsidR="00073066" w:rsidRPr="00F17599" w:rsidRDefault="00BF6E67" w:rsidP="00073066">
            <w:pPr>
              <w:pStyle w:val="Normal1linespace"/>
              <w:widowControl w:val="0"/>
              <w:jc w:val="left"/>
              <w:rPr>
                <w:b/>
              </w:rPr>
            </w:pPr>
            <w:r>
              <w:fldChar w:fldCharType="begin"/>
            </w:r>
            <w:r>
              <w:instrText xml:space="preserve"> DOCPROPERTY  "Practice Area"  \* MERGEFORMAT </w:instrText>
            </w:r>
            <w:r>
              <w:fldChar w:fldCharType="separate"/>
            </w:r>
            <w:r w:rsidR="00073066">
              <w:t>Commercial and Corporations</w:t>
            </w:r>
            <w:r>
              <w:fldChar w:fldCharType="end"/>
            </w:r>
          </w:p>
        </w:tc>
      </w:tr>
      <w:tr w:rsidR="00073066" w:rsidTr="00073066">
        <w:tc>
          <w:tcPr>
            <w:tcW w:w="3085" w:type="dxa"/>
            <w:shd w:val="clear" w:color="auto" w:fill="auto"/>
          </w:tcPr>
          <w:p w:rsidR="00073066" w:rsidRDefault="00073066" w:rsidP="00073066">
            <w:pPr>
              <w:pStyle w:val="Normal1linespace"/>
              <w:widowControl w:val="0"/>
              <w:jc w:val="left"/>
            </w:pPr>
          </w:p>
        </w:tc>
        <w:tc>
          <w:tcPr>
            <w:tcW w:w="5989" w:type="dxa"/>
            <w:shd w:val="clear" w:color="auto" w:fill="auto"/>
          </w:tcPr>
          <w:p w:rsidR="00073066" w:rsidRDefault="00073066" w:rsidP="00073066">
            <w:pPr>
              <w:pStyle w:val="Normal1linespace"/>
              <w:widowControl w:val="0"/>
              <w:jc w:val="left"/>
            </w:pPr>
          </w:p>
        </w:tc>
      </w:tr>
      <w:tr w:rsidR="00073066" w:rsidTr="00073066">
        <w:tc>
          <w:tcPr>
            <w:tcW w:w="3085" w:type="dxa"/>
            <w:shd w:val="clear" w:color="auto" w:fill="auto"/>
          </w:tcPr>
          <w:p w:rsidR="00073066" w:rsidRDefault="00073066" w:rsidP="00073066">
            <w:pPr>
              <w:pStyle w:val="Normal1linespace"/>
              <w:widowControl w:val="0"/>
              <w:jc w:val="left"/>
            </w:pPr>
            <w:r>
              <w:t>Sub-area:</w:t>
            </w:r>
          </w:p>
        </w:tc>
        <w:tc>
          <w:tcPr>
            <w:tcW w:w="5989" w:type="dxa"/>
            <w:shd w:val="clear" w:color="auto" w:fill="auto"/>
          </w:tcPr>
          <w:p w:rsidR="00073066" w:rsidRPr="00435936" w:rsidRDefault="00BF6E67" w:rsidP="00073066">
            <w:pPr>
              <w:pStyle w:val="Normal1linespace"/>
              <w:widowControl w:val="0"/>
              <w:jc w:val="left"/>
            </w:pPr>
            <w:r>
              <w:fldChar w:fldCharType="begin"/>
            </w:r>
            <w:r>
              <w:instrText xml:space="preserve"> DOCPROPERTY  "Sub Area"  \* MERGEFORMAT </w:instrText>
            </w:r>
            <w:r>
              <w:fldChar w:fldCharType="separate"/>
            </w:r>
            <w:r w:rsidR="00073066" w:rsidRPr="00073066">
              <w:rPr>
                <w:bCs/>
                <w:lang w:val="en-US"/>
              </w:rPr>
              <w:t xml:space="preserve">Commercial Contracts, </w:t>
            </w:r>
            <w:r w:rsidR="00073066">
              <w:t>Banking, Finance and Insurance</w:t>
            </w:r>
            <w:r>
              <w:fldChar w:fldCharType="end"/>
            </w:r>
          </w:p>
        </w:tc>
      </w:tr>
      <w:tr w:rsidR="00073066" w:rsidTr="00073066">
        <w:tc>
          <w:tcPr>
            <w:tcW w:w="3085" w:type="dxa"/>
            <w:shd w:val="clear" w:color="auto" w:fill="auto"/>
          </w:tcPr>
          <w:p w:rsidR="00073066" w:rsidRDefault="00073066" w:rsidP="00073066">
            <w:pPr>
              <w:pStyle w:val="Normal1linespace"/>
              <w:widowControl w:val="0"/>
              <w:jc w:val="left"/>
            </w:pPr>
          </w:p>
        </w:tc>
        <w:tc>
          <w:tcPr>
            <w:tcW w:w="5989" w:type="dxa"/>
            <w:shd w:val="clear" w:color="auto" w:fill="auto"/>
          </w:tcPr>
          <w:p w:rsidR="00073066" w:rsidRDefault="00073066" w:rsidP="00073066">
            <w:pPr>
              <w:pStyle w:val="Normal1linespace"/>
              <w:widowControl w:val="0"/>
              <w:jc w:val="left"/>
              <w:rPr>
                <w:b/>
              </w:rPr>
            </w:pPr>
          </w:p>
        </w:tc>
      </w:tr>
      <w:tr w:rsidR="00073066" w:rsidTr="00073066">
        <w:tc>
          <w:tcPr>
            <w:tcW w:w="3085" w:type="dxa"/>
            <w:shd w:val="clear" w:color="auto" w:fill="auto"/>
          </w:tcPr>
          <w:p w:rsidR="00073066" w:rsidRDefault="00073066" w:rsidP="00073066">
            <w:pPr>
              <w:pStyle w:val="Normal1linespace"/>
              <w:widowControl w:val="0"/>
              <w:jc w:val="left"/>
            </w:pPr>
            <w:r>
              <w:t>Category:</w:t>
            </w:r>
          </w:p>
        </w:tc>
        <w:tc>
          <w:tcPr>
            <w:tcW w:w="5989" w:type="dxa"/>
            <w:shd w:val="clear" w:color="auto" w:fill="auto"/>
          </w:tcPr>
          <w:p w:rsidR="00073066" w:rsidRDefault="00073066" w:rsidP="00073066">
            <w:pPr>
              <w:pStyle w:val="Normal1linespace"/>
              <w:widowControl w:val="0"/>
              <w:jc w:val="left"/>
            </w:pPr>
            <w:r>
              <w:t>Catchwords</w:t>
            </w:r>
          </w:p>
        </w:tc>
      </w:tr>
      <w:tr w:rsidR="00073066" w:rsidTr="00073066">
        <w:tc>
          <w:tcPr>
            <w:tcW w:w="3085" w:type="dxa"/>
            <w:shd w:val="clear" w:color="auto" w:fill="auto"/>
          </w:tcPr>
          <w:p w:rsidR="00073066" w:rsidRDefault="00073066" w:rsidP="00073066">
            <w:pPr>
              <w:pStyle w:val="Normal1linespace"/>
              <w:widowControl w:val="0"/>
              <w:jc w:val="left"/>
            </w:pPr>
          </w:p>
        </w:tc>
        <w:tc>
          <w:tcPr>
            <w:tcW w:w="5989" w:type="dxa"/>
            <w:shd w:val="clear" w:color="auto" w:fill="auto"/>
          </w:tcPr>
          <w:p w:rsidR="00073066" w:rsidRDefault="00073066" w:rsidP="00073066">
            <w:pPr>
              <w:pStyle w:val="Normal1linespace"/>
              <w:widowControl w:val="0"/>
              <w:jc w:val="left"/>
            </w:pPr>
          </w:p>
        </w:tc>
      </w:tr>
      <w:tr w:rsidR="00073066" w:rsidTr="00073066">
        <w:tc>
          <w:tcPr>
            <w:tcW w:w="3085" w:type="dxa"/>
            <w:shd w:val="clear" w:color="auto" w:fill="auto"/>
          </w:tcPr>
          <w:p w:rsidR="00073066" w:rsidRDefault="00073066" w:rsidP="00073066">
            <w:pPr>
              <w:pStyle w:val="Normal1linespace"/>
              <w:widowControl w:val="0"/>
              <w:jc w:val="left"/>
            </w:pPr>
            <w:r>
              <w:t>Number of paragraphs:</w:t>
            </w:r>
          </w:p>
        </w:tc>
        <w:tc>
          <w:tcPr>
            <w:tcW w:w="5989" w:type="dxa"/>
            <w:shd w:val="clear" w:color="auto" w:fill="auto"/>
          </w:tcPr>
          <w:p w:rsidR="00073066" w:rsidRDefault="009556FA" w:rsidP="00073066">
            <w:pPr>
              <w:pStyle w:val="Normal1linespace"/>
              <w:widowControl w:val="0"/>
              <w:jc w:val="left"/>
            </w:pPr>
            <w:bookmarkStart w:id="7" w:name="PlaceCategoryParagraphs"/>
            <w:r>
              <w:t>80</w:t>
            </w:r>
            <w:bookmarkEnd w:id="7"/>
          </w:p>
        </w:tc>
      </w:tr>
      <w:tr w:rsidR="00073066" w:rsidTr="00073066">
        <w:tc>
          <w:tcPr>
            <w:tcW w:w="3085" w:type="dxa"/>
            <w:shd w:val="clear" w:color="auto" w:fill="auto"/>
          </w:tcPr>
          <w:p w:rsidR="00073066" w:rsidRDefault="00073066" w:rsidP="00073066">
            <w:pPr>
              <w:pStyle w:val="Normal1linespace"/>
              <w:widowControl w:val="0"/>
              <w:jc w:val="left"/>
            </w:pPr>
          </w:p>
        </w:tc>
        <w:tc>
          <w:tcPr>
            <w:tcW w:w="5989" w:type="dxa"/>
            <w:shd w:val="clear" w:color="auto" w:fill="auto"/>
          </w:tcPr>
          <w:p w:rsidR="00073066" w:rsidRDefault="00073066" w:rsidP="00073066">
            <w:pPr>
              <w:pStyle w:val="Normal1linespace"/>
              <w:widowControl w:val="0"/>
              <w:jc w:val="left"/>
            </w:pPr>
          </w:p>
        </w:tc>
      </w:tr>
      <w:tr w:rsidR="00073066" w:rsidTr="00073066">
        <w:tc>
          <w:tcPr>
            <w:tcW w:w="3085" w:type="dxa"/>
            <w:shd w:val="clear" w:color="auto" w:fill="auto"/>
          </w:tcPr>
          <w:p w:rsidR="00073066" w:rsidRDefault="00073066" w:rsidP="00073066">
            <w:pPr>
              <w:pStyle w:val="Normal1linespace"/>
              <w:widowControl w:val="0"/>
              <w:jc w:val="left"/>
            </w:pPr>
            <w:bookmarkStart w:id="8" w:name="Counsel" w:colFirst="0" w:colLast="2"/>
            <w:r>
              <w:t>Counsel for the Applicant:</w:t>
            </w:r>
          </w:p>
        </w:tc>
        <w:tc>
          <w:tcPr>
            <w:tcW w:w="5989" w:type="dxa"/>
            <w:shd w:val="clear" w:color="auto" w:fill="auto"/>
          </w:tcPr>
          <w:p w:rsidR="00073066" w:rsidRDefault="00073066" w:rsidP="00073066">
            <w:pPr>
              <w:pStyle w:val="Normal1linespace"/>
              <w:widowControl w:val="0"/>
              <w:jc w:val="left"/>
            </w:pPr>
            <w:bookmarkStart w:id="9" w:name="AppCounsel"/>
            <w:bookmarkEnd w:id="9"/>
            <w:r>
              <w:t>Mr N J Owens</w:t>
            </w:r>
          </w:p>
        </w:tc>
      </w:tr>
      <w:tr w:rsidR="00073066" w:rsidTr="00073066">
        <w:tc>
          <w:tcPr>
            <w:tcW w:w="3085" w:type="dxa"/>
            <w:shd w:val="clear" w:color="auto" w:fill="auto"/>
          </w:tcPr>
          <w:p w:rsidR="00073066" w:rsidRDefault="00073066" w:rsidP="00073066">
            <w:pPr>
              <w:pStyle w:val="Normal1linespace"/>
              <w:widowControl w:val="0"/>
              <w:jc w:val="left"/>
            </w:pPr>
          </w:p>
        </w:tc>
        <w:tc>
          <w:tcPr>
            <w:tcW w:w="5989" w:type="dxa"/>
            <w:shd w:val="clear" w:color="auto" w:fill="auto"/>
          </w:tcPr>
          <w:p w:rsidR="00073066" w:rsidRDefault="00073066" w:rsidP="00073066">
            <w:pPr>
              <w:pStyle w:val="Normal1linespace"/>
              <w:widowControl w:val="0"/>
              <w:jc w:val="left"/>
            </w:pPr>
          </w:p>
        </w:tc>
      </w:tr>
      <w:tr w:rsidR="00073066" w:rsidTr="00073066">
        <w:tc>
          <w:tcPr>
            <w:tcW w:w="3085" w:type="dxa"/>
            <w:shd w:val="clear" w:color="auto" w:fill="auto"/>
          </w:tcPr>
          <w:p w:rsidR="00073066" w:rsidRDefault="00073066" w:rsidP="00073066">
            <w:pPr>
              <w:pStyle w:val="Normal1linespace"/>
              <w:widowControl w:val="0"/>
              <w:jc w:val="left"/>
            </w:pPr>
            <w:r>
              <w:t>Solicitor for the Applicant:</w:t>
            </w:r>
          </w:p>
        </w:tc>
        <w:tc>
          <w:tcPr>
            <w:tcW w:w="5989" w:type="dxa"/>
            <w:shd w:val="clear" w:color="auto" w:fill="auto"/>
          </w:tcPr>
          <w:p w:rsidR="00073066" w:rsidRDefault="00073066" w:rsidP="00073066">
            <w:pPr>
              <w:pStyle w:val="Normal1linespace"/>
              <w:widowControl w:val="0"/>
              <w:jc w:val="left"/>
            </w:pPr>
            <w:r>
              <w:t>HWL Ebsworth Lawyers</w:t>
            </w:r>
          </w:p>
        </w:tc>
      </w:tr>
      <w:tr w:rsidR="00073066" w:rsidTr="00073066">
        <w:tc>
          <w:tcPr>
            <w:tcW w:w="3085" w:type="dxa"/>
            <w:shd w:val="clear" w:color="auto" w:fill="auto"/>
          </w:tcPr>
          <w:p w:rsidR="00073066" w:rsidRDefault="00073066" w:rsidP="00073066">
            <w:pPr>
              <w:pStyle w:val="Normal1linespace"/>
              <w:widowControl w:val="0"/>
              <w:jc w:val="left"/>
            </w:pPr>
          </w:p>
        </w:tc>
        <w:tc>
          <w:tcPr>
            <w:tcW w:w="5989" w:type="dxa"/>
            <w:shd w:val="clear" w:color="auto" w:fill="auto"/>
          </w:tcPr>
          <w:p w:rsidR="00073066" w:rsidRDefault="00073066" w:rsidP="00073066">
            <w:pPr>
              <w:pStyle w:val="Normal1linespace"/>
              <w:widowControl w:val="0"/>
              <w:jc w:val="left"/>
            </w:pPr>
          </w:p>
        </w:tc>
      </w:tr>
      <w:tr w:rsidR="00073066" w:rsidTr="00073066">
        <w:trPr>
          <w:trHeight w:val="74"/>
        </w:trPr>
        <w:tc>
          <w:tcPr>
            <w:tcW w:w="3085" w:type="dxa"/>
            <w:shd w:val="clear" w:color="auto" w:fill="auto"/>
          </w:tcPr>
          <w:p w:rsidR="00073066" w:rsidRDefault="00073066" w:rsidP="007D018B">
            <w:pPr>
              <w:pStyle w:val="Normal1linespace"/>
              <w:widowControl w:val="0"/>
              <w:jc w:val="left"/>
            </w:pPr>
            <w:r>
              <w:t xml:space="preserve">Solicitor for </w:t>
            </w:r>
            <w:r w:rsidR="007D018B">
              <w:t>APRA</w:t>
            </w:r>
          </w:p>
        </w:tc>
        <w:tc>
          <w:tcPr>
            <w:tcW w:w="5989" w:type="dxa"/>
            <w:shd w:val="clear" w:color="auto" w:fill="auto"/>
          </w:tcPr>
          <w:p w:rsidR="00073066" w:rsidRDefault="00073066" w:rsidP="00073066">
            <w:pPr>
              <w:pStyle w:val="Normal1linespace"/>
              <w:widowControl w:val="0"/>
              <w:jc w:val="left"/>
            </w:pPr>
            <w:r>
              <w:t>Mr D Tran</w:t>
            </w:r>
          </w:p>
        </w:tc>
      </w:tr>
      <w:bookmarkEnd w:id="8"/>
    </w:tbl>
    <w:p w:rsidR="00395B24" w:rsidRDefault="00395B24">
      <w:pPr>
        <w:pStyle w:val="Normal1linespace"/>
        <w:sectPr w:rsidR="00395B24">
          <w:footerReference w:type="first" r:id="rId9"/>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844B3F">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B95E2B" w:rsidP="00F92355">
            <w:pPr>
              <w:pStyle w:val="NormalHeadings"/>
              <w:jc w:val="right"/>
            </w:pPr>
            <w:bookmarkStart w:id="10" w:name="FileNo"/>
            <w:r>
              <w:t>NSD 316 of 2016</w:t>
            </w:r>
            <w:bookmarkEnd w:id="10"/>
          </w:p>
        </w:tc>
      </w:tr>
      <w:tr w:rsidR="00C56C9B" w:rsidTr="00E81DA6">
        <w:tc>
          <w:tcPr>
            <w:tcW w:w="6912" w:type="dxa"/>
            <w:gridSpan w:val="2"/>
          </w:tcPr>
          <w:p w:rsidR="00C56C9B" w:rsidRPr="001765E0" w:rsidRDefault="00C56C9B" w:rsidP="00525A49">
            <w:pPr>
              <w:pStyle w:val="NormalHeadings"/>
            </w:pPr>
          </w:p>
        </w:tc>
        <w:tc>
          <w:tcPr>
            <w:tcW w:w="2330" w:type="dxa"/>
          </w:tcPr>
          <w:p w:rsidR="00C56C9B" w:rsidRDefault="00C56C9B" w:rsidP="00F92355">
            <w:pPr>
              <w:pStyle w:val="NormalHeadings"/>
              <w:jc w:val="right"/>
            </w:pPr>
          </w:p>
        </w:tc>
      </w:tr>
      <w:tr w:rsidR="00A76C13" w:rsidTr="00AC30B6">
        <w:tc>
          <w:tcPr>
            <w:tcW w:w="9242" w:type="dxa"/>
            <w:gridSpan w:val="3"/>
          </w:tcPr>
          <w:p w:rsidR="00A76C13" w:rsidRDefault="00C56C9B" w:rsidP="00B95E2B">
            <w:pPr>
              <w:pStyle w:val="NormalHeadings"/>
              <w:jc w:val="left"/>
            </w:pPr>
            <w:bookmarkStart w:id="11" w:name="InTheMatterOf"/>
            <w:r>
              <w:t xml:space="preserve">GORDIAN RUNOFF LIMITED, IN THE MATTER OF GORDIAN RUNOFF LIMITED </w:t>
            </w:r>
            <w:r w:rsidRPr="00FA3483">
              <w:t>ABN 11 052 179 647</w:t>
            </w:r>
            <w:r w:rsidR="00B95E2B">
              <w:t xml:space="preserve"> </w:t>
            </w:r>
            <w:bookmarkEnd w:id="11"/>
          </w:p>
          <w:p w:rsidR="00C56C9B" w:rsidRPr="00A76C13" w:rsidRDefault="00C56C9B" w:rsidP="00B95E2B">
            <w:pPr>
              <w:pStyle w:val="NormalHeadings"/>
              <w:jc w:val="left"/>
            </w:pPr>
          </w:p>
        </w:tc>
      </w:tr>
      <w:tr w:rsidR="00A46CCC" w:rsidTr="00AC30B6">
        <w:trPr>
          <w:trHeight w:val="386"/>
        </w:trPr>
        <w:tc>
          <w:tcPr>
            <w:tcW w:w="2376" w:type="dxa"/>
          </w:tcPr>
          <w:p w:rsidR="00A46CCC" w:rsidRDefault="00A46CCC" w:rsidP="00AC30B6">
            <w:pPr>
              <w:pStyle w:val="NormalHeadings"/>
              <w:jc w:val="left"/>
              <w:rPr>
                <w:caps/>
                <w:szCs w:val="24"/>
              </w:rPr>
            </w:pPr>
            <w:bookmarkStart w:id="12" w:name="Parties"/>
          </w:p>
        </w:tc>
        <w:tc>
          <w:tcPr>
            <w:tcW w:w="6866" w:type="dxa"/>
            <w:gridSpan w:val="2"/>
          </w:tcPr>
          <w:p w:rsidR="00B95E2B" w:rsidRDefault="00B95E2B" w:rsidP="00B95E2B">
            <w:pPr>
              <w:pStyle w:val="NormalHeadings"/>
              <w:jc w:val="left"/>
            </w:pPr>
            <w:bookmarkStart w:id="13" w:name="Applicant"/>
            <w:r>
              <w:t>GORDIAN RUNOFF LIMITED ABN 11 052 179 647</w:t>
            </w:r>
          </w:p>
          <w:p w:rsidR="00B95E2B" w:rsidRDefault="00B95E2B" w:rsidP="00B95E2B">
            <w:pPr>
              <w:pStyle w:val="PartyType"/>
            </w:pPr>
            <w:r>
              <w:t>Applicant</w:t>
            </w:r>
          </w:p>
          <w:bookmarkEnd w:id="13"/>
          <w:p w:rsidR="00A46CCC" w:rsidRPr="006555B4" w:rsidRDefault="00A46CCC" w:rsidP="00AC30B6">
            <w:pPr>
              <w:pStyle w:val="NormalHeadings"/>
              <w:jc w:val="left"/>
            </w:pPr>
          </w:p>
        </w:tc>
      </w:tr>
    </w:tbl>
    <w:p w:rsidR="00395B24" w:rsidRDefault="00395B24">
      <w:pPr>
        <w:pStyle w:val="NormalHeadings"/>
      </w:pPr>
      <w:bookmarkStart w:id="14" w:name="CrossClaimPosition"/>
      <w:bookmarkEnd w:id="12"/>
      <w:bookmarkEnd w:id="14"/>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B95E2B">
            <w:pPr>
              <w:pStyle w:val="NormalHeadings"/>
              <w:spacing w:after="120"/>
              <w:jc w:val="left"/>
              <w:rPr>
                <w:caps/>
                <w:szCs w:val="24"/>
              </w:rPr>
            </w:pPr>
            <w:bookmarkStart w:id="15" w:name="JudgeText"/>
            <w:r>
              <w:rPr>
                <w:caps/>
                <w:szCs w:val="24"/>
              </w:rPr>
              <w:t>JUDGE</w:t>
            </w:r>
            <w:bookmarkEnd w:id="15"/>
            <w:r w:rsidR="002C7385">
              <w:rPr>
                <w:caps/>
                <w:szCs w:val="24"/>
              </w:rPr>
              <w:t>:</w:t>
            </w:r>
          </w:p>
        </w:tc>
        <w:tc>
          <w:tcPr>
            <w:tcW w:w="6866" w:type="dxa"/>
          </w:tcPr>
          <w:p w:rsidR="00395B24" w:rsidRDefault="00B95E2B">
            <w:pPr>
              <w:pStyle w:val="NormalHeadings"/>
              <w:jc w:val="left"/>
              <w:rPr>
                <w:caps/>
                <w:szCs w:val="24"/>
              </w:rPr>
            </w:pPr>
            <w:bookmarkStart w:id="16" w:name="Judge"/>
            <w:r>
              <w:rPr>
                <w:caps/>
                <w:szCs w:val="24"/>
              </w:rPr>
              <w:t xml:space="preserve">ALLSOP </w:t>
            </w:r>
            <w:r w:rsidR="00073066">
              <w:rPr>
                <w:caps/>
                <w:szCs w:val="24"/>
              </w:rPr>
              <w:t>C</w:t>
            </w:r>
            <w:r>
              <w:rPr>
                <w:caps/>
                <w:szCs w:val="24"/>
              </w:rPr>
              <w:t>J</w:t>
            </w:r>
            <w:bookmarkEnd w:id="16"/>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073066">
            <w:pPr>
              <w:pStyle w:val="NormalHeadings"/>
              <w:jc w:val="left"/>
              <w:rPr>
                <w:caps/>
                <w:szCs w:val="24"/>
              </w:rPr>
            </w:pPr>
            <w:bookmarkStart w:id="17" w:name="Judgment_Dated"/>
            <w:r>
              <w:rPr>
                <w:caps/>
                <w:szCs w:val="24"/>
              </w:rPr>
              <w:t>9 June 2016</w:t>
            </w:r>
            <w:bookmarkEnd w:id="17"/>
          </w:p>
        </w:tc>
      </w:tr>
    </w:tbl>
    <w:p w:rsidR="00395B24" w:rsidRDefault="00395B24">
      <w:pPr>
        <w:pStyle w:val="NormalHeadings"/>
        <w:rPr>
          <w:b w:val="0"/>
        </w:rPr>
      </w:pPr>
    </w:p>
    <w:p w:rsidR="008D1617" w:rsidRDefault="008D1617">
      <w:pPr>
        <w:pStyle w:val="NormalHeadings"/>
        <w:rPr>
          <w:b w:val="0"/>
        </w:rPr>
      </w:pPr>
    </w:p>
    <w:p w:rsidR="00395B24" w:rsidRDefault="002C7385">
      <w:pPr>
        <w:pStyle w:val="NormalHeadings"/>
      </w:pPr>
      <w:r>
        <w:t>THE COURT ORDERS THAT:</w:t>
      </w:r>
    </w:p>
    <w:p w:rsidR="00395B24" w:rsidRDefault="00395B24">
      <w:pPr>
        <w:pStyle w:val="NormalHeadings"/>
      </w:pPr>
    </w:p>
    <w:p w:rsidR="00395B24" w:rsidRDefault="00073066" w:rsidP="00274F5B">
      <w:pPr>
        <w:pStyle w:val="Order1"/>
      </w:pPr>
      <w:bookmarkStart w:id="18" w:name="Order_Start_Text"/>
      <w:bookmarkEnd w:id="18"/>
      <w:r>
        <w:t xml:space="preserve">Pursuant to s 17F of the </w:t>
      </w:r>
      <w:r>
        <w:rPr>
          <w:i/>
        </w:rPr>
        <w:t xml:space="preserve">Insurance Act 1973 </w:t>
      </w:r>
      <w:r>
        <w:t>(Cth) (</w:t>
      </w:r>
      <w:r>
        <w:rPr>
          <w:b/>
        </w:rPr>
        <w:t>the Act</w:t>
      </w:r>
      <w:r>
        <w:t>), the scheme for the transfer of all of the insurance business of Poseidon Insurance Co Ltd (</w:t>
      </w:r>
      <w:r>
        <w:rPr>
          <w:b/>
        </w:rPr>
        <w:t>Poseidon</w:t>
      </w:r>
      <w:r>
        <w:t xml:space="preserve">) to Gordian Runoff Limited </w:t>
      </w:r>
      <w:r>
        <w:rPr>
          <w:b/>
        </w:rPr>
        <w:t>(Gordian</w:t>
      </w:r>
      <w:r>
        <w:t>) (</w:t>
      </w:r>
      <w:r>
        <w:rPr>
          <w:b/>
        </w:rPr>
        <w:t>the Scheme</w:t>
      </w:r>
      <w:r>
        <w:t>) be confirmed in the form of Annexure “A” attached to these orders.</w:t>
      </w:r>
    </w:p>
    <w:p w:rsidR="00073066" w:rsidRDefault="00073066" w:rsidP="00274F5B">
      <w:pPr>
        <w:pStyle w:val="Order1"/>
      </w:pPr>
      <w:r>
        <w:t>The transfer date for the purposes of the Scheme is</w:t>
      </w:r>
      <w:r w:rsidR="00FE08BB" w:rsidRPr="006F7E07">
        <w:t xml:space="preserve"> 10 June 2016.</w:t>
      </w:r>
    </w:p>
    <w:p w:rsidR="00FE08BB" w:rsidRDefault="00FE08BB" w:rsidP="00274F5B">
      <w:pPr>
        <w:pStyle w:val="Order1"/>
      </w:pPr>
      <w:r>
        <w:t>Pursuant to s 17F of the Act, all rights and obligations owed to Poseidon pursuant to any reinsurance treaties, including the claims indemnity agreements with the Indemnitors identified in Annexure “B”, be transferred to Gordian and any reinsurance treaties and indemnity agreements to which Poseidon was a party shall be amended by replacing Poseidon with Gordian.</w:t>
      </w:r>
    </w:p>
    <w:p w:rsidR="00FE08BB" w:rsidRDefault="00FE08BB" w:rsidP="00274F5B">
      <w:pPr>
        <w:pStyle w:val="Order1"/>
      </w:pPr>
      <w:r>
        <w:t>Gordian pay the costs of the proceedings of APRA as agreed or assessed.</w:t>
      </w:r>
    </w:p>
    <w:p w:rsidR="00636871" w:rsidRDefault="00636871" w:rsidP="002B0E91">
      <w:pPr>
        <w:pStyle w:val="BodyText"/>
      </w:pPr>
    </w:p>
    <w:p w:rsidR="00395B24" w:rsidRDefault="00395B24" w:rsidP="002B0E91">
      <w:pPr>
        <w:pStyle w:val="BodyText"/>
      </w:pPr>
    </w:p>
    <w:p w:rsidR="00395B24" w:rsidRDefault="002C7385" w:rsidP="004D53E5">
      <w:pPr>
        <w:pStyle w:val="SingleSpace"/>
      </w:pPr>
      <w:r>
        <w:t>Note:</w:t>
      </w:r>
      <w:r>
        <w:tab/>
        <w:t xml:space="preserve">Entry of orders is dealt with in Rule 39.32 of the </w:t>
      </w:r>
      <w:r>
        <w:rPr>
          <w:i/>
        </w:rPr>
        <w:t>Federal Court Rules 2011</w:t>
      </w:r>
      <w:r>
        <w:t>.</w:t>
      </w:r>
    </w:p>
    <w:p w:rsidR="00395B24" w:rsidRDefault="00395B24" w:rsidP="002B0E91">
      <w:pPr>
        <w:pStyle w:val="BodyText"/>
      </w:pPr>
    </w:p>
    <w:p w:rsidR="00395B24" w:rsidRDefault="00395B24" w:rsidP="001F2DBC">
      <w:pPr>
        <w:pStyle w:val="BodyText"/>
      </w:pPr>
    </w:p>
    <w:p w:rsidR="0092590B" w:rsidRDefault="0092590B" w:rsidP="002B0E91">
      <w:pPr>
        <w:pStyle w:val="BodyText"/>
      </w:pPr>
    </w:p>
    <w:p w:rsidR="00395B24" w:rsidRDefault="00395B24">
      <w:pPr>
        <w:pStyle w:val="NormalHeadings"/>
        <w:spacing w:before="240" w:after="120"/>
        <w:rPr>
          <w:b w:val="0"/>
          <w:noProof/>
          <w:lang w:eastAsia="en-AU"/>
        </w:rPr>
      </w:pPr>
    </w:p>
    <w:p w:rsidR="000F6AC6" w:rsidRDefault="000F6AC6">
      <w:pPr>
        <w:pStyle w:val="NormalHeadings"/>
        <w:spacing w:before="240" w:after="120"/>
        <w:rPr>
          <w:b w:val="0"/>
          <w:noProof/>
          <w:lang w:eastAsia="en-AU"/>
        </w:rPr>
      </w:pPr>
    </w:p>
    <w:p w:rsidR="000F6AC6" w:rsidRDefault="000F6AC6">
      <w:pPr>
        <w:pStyle w:val="NormalHeadings"/>
        <w:spacing w:before="240" w:after="120"/>
        <w:rPr>
          <w:b w:val="0"/>
          <w:noProof/>
          <w:lang w:eastAsia="en-AU"/>
        </w:rPr>
      </w:pPr>
    </w:p>
    <w:p w:rsidR="000F6AC6" w:rsidRDefault="00290523">
      <w:pPr>
        <w:pStyle w:val="NormalHeadings"/>
        <w:spacing w:before="240" w:after="120"/>
        <w:rPr>
          <w:b w:val="0"/>
        </w:rPr>
      </w:pPr>
      <w:r>
        <w:rPr>
          <w:b w:val="0"/>
          <w:noProof/>
          <w:lang w:eastAsia="en-AU"/>
        </w:rPr>
        <w:lastRenderedPageBreak/>
        <w:drawing>
          <wp:inline distT="0" distB="0" distL="0" distR="0">
            <wp:extent cx="5732145" cy="8054340"/>
            <wp:effectExtent l="0" t="0" r="190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2016-06-07-122714_Page_02.jpg"/>
                    <pic:cNvPicPr/>
                  </pic:nvPicPr>
                  <pic:blipFill>
                    <a:blip r:embed="rId10">
                      <a:extLst>
                        <a:ext uri="{28A0092B-C50C-407E-A947-70E740481C1C}">
                          <a14:useLocalDpi xmlns:a14="http://schemas.microsoft.com/office/drawing/2010/main" val="0"/>
                        </a:ext>
                      </a:extLst>
                    </a:blip>
                    <a:stretch>
                      <a:fillRect/>
                    </a:stretch>
                  </pic:blipFill>
                  <pic:spPr>
                    <a:xfrm>
                      <a:off x="0" y="0"/>
                      <a:ext cx="5732145" cy="8054340"/>
                    </a:xfrm>
                    <a:prstGeom prst="rect">
                      <a:avLst/>
                    </a:prstGeom>
                  </pic:spPr>
                </pic:pic>
              </a:graphicData>
            </a:graphic>
          </wp:inline>
        </w:drawing>
      </w:r>
    </w:p>
    <w:p w:rsidR="00290523" w:rsidRDefault="00290523">
      <w:pPr>
        <w:pStyle w:val="NormalHeadings"/>
        <w:spacing w:before="240" w:after="120"/>
        <w:rPr>
          <w:b w:val="0"/>
        </w:rPr>
      </w:pPr>
    </w:p>
    <w:p w:rsidR="00290523" w:rsidRDefault="00290523">
      <w:pPr>
        <w:pStyle w:val="NormalHeadings"/>
        <w:spacing w:before="240" w:after="120"/>
        <w:rPr>
          <w:b w:val="0"/>
        </w:rPr>
      </w:pPr>
    </w:p>
    <w:p w:rsidR="00290523" w:rsidRDefault="00290523">
      <w:pPr>
        <w:pStyle w:val="NormalHeadings"/>
        <w:spacing w:before="240" w:after="120"/>
        <w:rPr>
          <w:b w:val="0"/>
        </w:rPr>
      </w:pPr>
    </w:p>
    <w:p w:rsidR="00290523" w:rsidRDefault="00290523">
      <w:pPr>
        <w:pStyle w:val="NormalHeadings"/>
        <w:spacing w:before="240" w:after="120"/>
        <w:rPr>
          <w:b w:val="0"/>
        </w:rPr>
      </w:pPr>
      <w:r>
        <w:rPr>
          <w:b w:val="0"/>
          <w:noProof/>
          <w:lang w:eastAsia="en-AU"/>
        </w:rPr>
        <w:drawing>
          <wp:inline distT="0" distB="0" distL="0" distR="0">
            <wp:extent cx="5732145" cy="8054340"/>
            <wp:effectExtent l="0" t="0" r="190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2016-06-07-122714_Page_03.jpg"/>
                    <pic:cNvPicPr/>
                  </pic:nvPicPr>
                  <pic:blipFill>
                    <a:blip r:embed="rId11">
                      <a:extLst>
                        <a:ext uri="{28A0092B-C50C-407E-A947-70E740481C1C}">
                          <a14:useLocalDpi xmlns:a14="http://schemas.microsoft.com/office/drawing/2010/main" val="0"/>
                        </a:ext>
                      </a:extLst>
                    </a:blip>
                    <a:stretch>
                      <a:fillRect/>
                    </a:stretch>
                  </pic:blipFill>
                  <pic:spPr>
                    <a:xfrm>
                      <a:off x="0" y="0"/>
                      <a:ext cx="5732145" cy="8054340"/>
                    </a:xfrm>
                    <a:prstGeom prst="rect">
                      <a:avLst/>
                    </a:prstGeom>
                  </pic:spPr>
                </pic:pic>
              </a:graphicData>
            </a:graphic>
          </wp:inline>
        </w:drawing>
      </w:r>
    </w:p>
    <w:p w:rsidR="00290523" w:rsidRDefault="00290523">
      <w:pPr>
        <w:pStyle w:val="NormalHeadings"/>
        <w:spacing w:before="240" w:after="120"/>
        <w:rPr>
          <w:b w:val="0"/>
        </w:rPr>
      </w:pPr>
    </w:p>
    <w:p w:rsidR="00290523" w:rsidRDefault="00290523">
      <w:pPr>
        <w:pStyle w:val="NormalHeadings"/>
        <w:spacing w:before="240" w:after="120"/>
        <w:rPr>
          <w:b w:val="0"/>
        </w:rPr>
      </w:pPr>
    </w:p>
    <w:p w:rsidR="00290523" w:rsidRDefault="00290523">
      <w:pPr>
        <w:pStyle w:val="NormalHeadings"/>
        <w:spacing w:before="240" w:after="120"/>
        <w:rPr>
          <w:b w:val="0"/>
        </w:rPr>
      </w:pPr>
      <w:r>
        <w:rPr>
          <w:b w:val="0"/>
          <w:noProof/>
          <w:lang w:eastAsia="en-AU"/>
        </w:rPr>
        <w:drawing>
          <wp:inline distT="0" distB="0" distL="0" distR="0">
            <wp:extent cx="5732145" cy="8054340"/>
            <wp:effectExtent l="0" t="0" r="190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2016-06-07-122714_Page_04.jpg"/>
                    <pic:cNvPicPr/>
                  </pic:nvPicPr>
                  <pic:blipFill>
                    <a:blip r:embed="rId12">
                      <a:extLst>
                        <a:ext uri="{28A0092B-C50C-407E-A947-70E740481C1C}">
                          <a14:useLocalDpi xmlns:a14="http://schemas.microsoft.com/office/drawing/2010/main" val="0"/>
                        </a:ext>
                      </a:extLst>
                    </a:blip>
                    <a:stretch>
                      <a:fillRect/>
                    </a:stretch>
                  </pic:blipFill>
                  <pic:spPr>
                    <a:xfrm>
                      <a:off x="0" y="0"/>
                      <a:ext cx="5732145" cy="8054340"/>
                    </a:xfrm>
                    <a:prstGeom prst="rect">
                      <a:avLst/>
                    </a:prstGeom>
                  </pic:spPr>
                </pic:pic>
              </a:graphicData>
            </a:graphic>
          </wp:inline>
        </w:drawing>
      </w:r>
    </w:p>
    <w:p w:rsidR="00290523" w:rsidRDefault="00290523">
      <w:pPr>
        <w:pStyle w:val="NormalHeadings"/>
        <w:spacing w:before="240" w:after="120"/>
        <w:rPr>
          <w:b w:val="0"/>
        </w:rPr>
      </w:pPr>
    </w:p>
    <w:p w:rsidR="00290523" w:rsidRDefault="00290523">
      <w:pPr>
        <w:pStyle w:val="NormalHeadings"/>
        <w:spacing w:before="240" w:after="120"/>
        <w:rPr>
          <w:b w:val="0"/>
        </w:rPr>
      </w:pPr>
    </w:p>
    <w:p w:rsidR="00290523" w:rsidRDefault="00290523">
      <w:pPr>
        <w:pStyle w:val="NormalHeadings"/>
        <w:spacing w:before="240" w:after="120"/>
        <w:rPr>
          <w:b w:val="0"/>
        </w:rPr>
      </w:pPr>
    </w:p>
    <w:p w:rsidR="00290523" w:rsidRDefault="00290523">
      <w:pPr>
        <w:pStyle w:val="NormalHeadings"/>
        <w:spacing w:before="240" w:after="120"/>
        <w:rPr>
          <w:b w:val="0"/>
        </w:rPr>
      </w:pPr>
      <w:r>
        <w:rPr>
          <w:b w:val="0"/>
          <w:noProof/>
          <w:lang w:eastAsia="en-AU"/>
        </w:rPr>
        <w:drawing>
          <wp:inline distT="0" distB="0" distL="0" distR="0" wp14:anchorId="10ED660D" wp14:editId="7E70A8BB">
            <wp:extent cx="5732145" cy="8054340"/>
            <wp:effectExtent l="0" t="0" r="190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2016-06-07-122714_Page_05.jpg"/>
                    <pic:cNvPicPr/>
                  </pic:nvPicPr>
                  <pic:blipFill>
                    <a:blip r:embed="rId13">
                      <a:extLst>
                        <a:ext uri="{28A0092B-C50C-407E-A947-70E740481C1C}">
                          <a14:useLocalDpi xmlns:a14="http://schemas.microsoft.com/office/drawing/2010/main" val="0"/>
                        </a:ext>
                      </a:extLst>
                    </a:blip>
                    <a:stretch>
                      <a:fillRect/>
                    </a:stretch>
                  </pic:blipFill>
                  <pic:spPr>
                    <a:xfrm>
                      <a:off x="0" y="0"/>
                      <a:ext cx="5732145" cy="8054340"/>
                    </a:xfrm>
                    <a:prstGeom prst="rect">
                      <a:avLst/>
                    </a:prstGeom>
                  </pic:spPr>
                </pic:pic>
              </a:graphicData>
            </a:graphic>
          </wp:inline>
        </w:drawing>
      </w:r>
    </w:p>
    <w:p w:rsidR="00290523" w:rsidRDefault="00290523">
      <w:pPr>
        <w:pStyle w:val="NormalHeadings"/>
        <w:spacing w:before="240" w:after="120"/>
        <w:rPr>
          <w:b w:val="0"/>
        </w:rPr>
      </w:pPr>
    </w:p>
    <w:p w:rsidR="00290523" w:rsidRDefault="00290523">
      <w:pPr>
        <w:pStyle w:val="NormalHeadings"/>
        <w:spacing w:before="240" w:after="120"/>
        <w:rPr>
          <w:b w:val="0"/>
        </w:rPr>
      </w:pPr>
    </w:p>
    <w:p w:rsidR="00290523" w:rsidRDefault="00290523">
      <w:pPr>
        <w:pStyle w:val="NormalHeadings"/>
        <w:spacing w:before="240" w:after="120"/>
        <w:rPr>
          <w:b w:val="0"/>
        </w:rPr>
      </w:pPr>
      <w:r>
        <w:rPr>
          <w:b w:val="0"/>
          <w:noProof/>
          <w:lang w:eastAsia="en-AU"/>
        </w:rPr>
        <w:drawing>
          <wp:inline distT="0" distB="0" distL="0" distR="0">
            <wp:extent cx="5732145" cy="8054340"/>
            <wp:effectExtent l="0" t="0" r="190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2016-06-07-122714_Page_06.jpg"/>
                    <pic:cNvPicPr/>
                  </pic:nvPicPr>
                  <pic:blipFill>
                    <a:blip r:embed="rId14">
                      <a:extLst>
                        <a:ext uri="{28A0092B-C50C-407E-A947-70E740481C1C}">
                          <a14:useLocalDpi xmlns:a14="http://schemas.microsoft.com/office/drawing/2010/main" val="0"/>
                        </a:ext>
                      </a:extLst>
                    </a:blip>
                    <a:stretch>
                      <a:fillRect/>
                    </a:stretch>
                  </pic:blipFill>
                  <pic:spPr>
                    <a:xfrm>
                      <a:off x="0" y="0"/>
                      <a:ext cx="5732145" cy="8054340"/>
                    </a:xfrm>
                    <a:prstGeom prst="rect">
                      <a:avLst/>
                    </a:prstGeom>
                  </pic:spPr>
                </pic:pic>
              </a:graphicData>
            </a:graphic>
          </wp:inline>
        </w:drawing>
      </w:r>
    </w:p>
    <w:p w:rsidR="00290523" w:rsidRDefault="00290523">
      <w:pPr>
        <w:pStyle w:val="NormalHeadings"/>
        <w:spacing w:before="240" w:after="120"/>
        <w:rPr>
          <w:b w:val="0"/>
        </w:rPr>
      </w:pPr>
    </w:p>
    <w:p w:rsidR="00290523" w:rsidRDefault="00290523">
      <w:pPr>
        <w:pStyle w:val="NormalHeadings"/>
        <w:spacing w:before="240" w:after="120"/>
        <w:rPr>
          <w:b w:val="0"/>
        </w:rPr>
      </w:pPr>
      <w:r>
        <w:rPr>
          <w:b w:val="0"/>
          <w:noProof/>
          <w:lang w:eastAsia="en-AU"/>
        </w:rPr>
        <w:drawing>
          <wp:inline distT="0" distB="0" distL="0" distR="0">
            <wp:extent cx="5732145" cy="8054340"/>
            <wp:effectExtent l="0" t="0" r="190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2016-06-07-122714_Page_07.jpg"/>
                    <pic:cNvPicPr/>
                  </pic:nvPicPr>
                  <pic:blipFill>
                    <a:blip r:embed="rId15">
                      <a:extLst>
                        <a:ext uri="{28A0092B-C50C-407E-A947-70E740481C1C}">
                          <a14:useLocalDpi xmlns:a14="http://schemas.microsoft.com/office/drawing/2010/main" val="0"/>
                        </a:ext>
                      </a:extLst>
                    </a:blip>
                    <a:stretch>
                      <a:fillRect/>
                    </a:stretch>
                  </pic:blipFill>
                  <pic:spPr>
                    <a:xfrm>
                      <a:off x="0" y="0"/>
                      <a:ext cx="5732145" cy="8054340"/>
                    </a:xfrm>
                    <a:prstGeom prst="rect">
                      <a:avLst/>
                    </a:prstGeom>
                  </pic:spPr>
                </pic:pic>
              </a:graphicData>
            </a:graphic>
          </wp:inline>
        </w:drawing>
      </w:r>
    </w:p>
    <w:p w:rsidR="00290523" w:rsidRDefault="00290523">
      <w:pPr>
        <w:pStyle w:val="NormalHeadings"/>
        <w:spacing w:before="240" w:after="120"/>
        <w:rPr>
          <w:b w:val="0"/>
        </w:rPr>
      </w:pPr>
    </w:p>
    <w:p w:rsidR="00290523" w:rsidRDefault="00290523">
      <w:pPr>
        <w:pStyle w:val="NormalHeadings"/>
        <w:spacing w:before="240" w:after="120"/>
        <w:rPr>
          <w:b w:val="0"/>
        </w:rPr>
      </w:pPr>
      <w:r>
        <w:rPr>
          <w:b w:val="0"/>
          <w:noProof/>
          <w:lang w:eastAsia="en-AU"/>
        </w:rPr>
        <w:lastRenderedPageBreak/>
        <w:drawing>
          <wp:inline distT="0" distB="0" distL="0" distR="0">
            <wp:extent cx="5732145" cy="8054340"/>
            <wp:effectExtent l="0" t="0" r="190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2016-06-07-122714_Page_08.jpg"/>
                    <pic:cNvPicPr/>
                  </pic:nvPicPr>
                  <pic:blipFill>
                    <a:blip r:embed="rId16">
                      <a:extLst>
                        <a:ext uri="{28A0092B-C50C-407E-A947-70E740481C1C}">
                          <a14:useLocalDpi xmlns:a14="http://schemas.microsoft.com/office/drawing/2010/main" val="0"/>
                        </a:ext>
                      </a:extLst>
                    </a:blip>
                    <a:stretch>
                      <a:fillRect/>
                    </a:stretch>
                  </pic:blipFill>
                  <pic:spPr>
                    <a:xfrm>
                      <a:off x="0" y="0"/>
                      <a:ext cx="5732145" cy="8054340"/>
                    </a:xfrm>
                    <a:prstGeom prst="rect">
                      <a:avLst/>
                    </a:prstGeom>
                  </pic:spPr>
                </pic:pic>
              </a:graphicData>
            </a:graphic>
          </wp:inline>
        </w:drawing>
      </w:r>
    </w:p>
    <w:p w:rsidR="00290523" w:rsidRDefault="00290523">
      <w:pPr>
        <w:pStyle w:val="NormalHeadings"/>
        <w:spacing w:before="240" w:after="120"/>
        <w:rPr>
          <w:b w:val="0"/>
        </w:rPr>
      </w:pPr>
    </w:p>
    <w:p w:rsidR="00290523" w:rsidRDefault="00290523">
      <w:pPr>
        <w:pStyle w:val="NormalHeadings"/>
        <w:spacing w:before="240" w:after="120"/>
        <w:rPr>
          <w:b w:val="0"/>
        </w:rPr>
      </w:pPr>
      <w:r>
        <w:rPr>
          <w:b w:val="0"/>
          <w:noProof/>
          <w:lang w:eastAsia="en-AU"/>
        </w:rPr>
        <w:lastRenderedPageBreak/>
        <w:drawing>
          <wp:inline distT="0" distB="0" distL="0" distR="0">
            <wp:extent cx="5732145" cy="8054340"/>
            <wp:effectExtent l="0" t="0" r="190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2016-06-07-122714_Page_09.jpg"/>
                    <pic:cNvPicPr/>
                  </pic:nvPicPr>
                  <pic:blipFill>
                    <a:blip r:embed="rId17">
                      <a:extLst>
                        <a:ext uri="{28A0092B-C50C-407E-A947-70E740481C1C}">
                          <a14:useLocalDpi xmlns:a14="http://schemas.microsoft.com/office/drawing/2010/main" val="0"/>
                        </a:ext>
                      </a:extLst>
                    </a:blip>
                    <a:stretch>
                      <a:fillRect/>
                    </a:stretch>
                  </pic:blipFill>
                  <pic:spPr>
                    <a:xfrm>
                      <a:off x="0" y="0"/>
                      <a:ext cx="5732145" cy="8054340"/>
                    </a:xfrm>
                    <a:prstGeom prst="rect">
                      <a:avLst/>
                    </a:prstGeom>
                  </pic:spPr>
                </pic:pic>
              </a:graphicData>
            </a:graphic>
          </wp:inline>
        </w:drawing>
      </w:r>
    </w:p>
    <w:p w:rsidR="00290523" w:rsidRDefault="00290523">
      <w:pPr>
        <w:pStyle w:val="NormalHeadings"/>
        <w:spacing w:before="240" w:after="120"/>
        <w:rPr>
          <w:b w:val="0"/>
        </w:rPr>
      </w:pPr>
    </w:p>
    <w:p w:rsidR="00290523" w:rsidRDefault="00290523">
      <w:pPr>
        <w:pStyle w:val="NormalHeadings"/>
        <w:spacing w:before="240" w:after="120"/>
        <w:rPr>
          <w:b w:val="0"/>
        </w:rPr>
      </w:pPr>
    </w:p>
    <w:p w:rsidR="00290523" w:rsidRDefault="00290523">
      <w:pPr>
        <w:pStyle w:val="NormalHeadings"/>
        <w:spacing w:before="240" w:after="120"/>
        <w:rPr>
          <w:b w:val="0"/>
        </w:rPr>
        <w:sectPr w:rsidR="00290523" w:rsidSect="0092590B">
          <w:headerReference w:type="default" r:id="rId18"/>
          <w:headerReference w:type="first" r:id="rId19"/>
          <w:endnotePr>
            <w:numFmt w:val="decimal"/>
          </w:endnotePr>
          <w:pgSz w:w="11907" w:h="16840" w:code="9"/>
          <w:pgMar w:top="1440" w:right="1440" w:bottom="1440" w:left="1440" w:header="851" w:footer="851" w:gutter="0"/>
          <w:pgNumType w:fmt="lowerRoman" w:start="1"/>
          <w:cols w:space="720"/>
          <w:noEndnote/>
          <w:titlePg/>
        </w:sectPr>
      </w:pPr>
      <w:r>
        <w:rPr>
          <w:b w:val="0"/>
          <w:noProof/>
          <w:lang w:eastAsia="en-AU"/>
        </w:rPr>
        <w:lastRenderedPageBreak/>
        <w:drawing>
          <wp:inline distT="0" distB="0" distL="0" distR="0">
            <wp:extent cx="5732145" cy="8054340"/>
            <wp:effectExtent l="0" t="0" r="190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2016-06-07-122714_Page_10.jpg"/>
                    <pic:cNvPicPr/>
                  </pic:nvPicPr>
                  <pic:blipFill>
                    <a:blip r:embed="rId20">
                      <a:extLst>
                        <a:ext uri="{28A0092B-C50C-407E-A947-70E740481C1C}">
                          <a14:useLocalDpi xmlns:a14="http://schemas.microsoft.com/office/drawing/2010/main" val="0"/>
                        </a:ext>
                      </a:extLst>
                    </a:blip>
                    <a:stretch>
                      <a:fillRect/>
                    </a:stretch>
                  </pic:blipFill>
                  <pic:spPr>
                    <a:xfrm>
                      <a:off x="0" y="0"/>
                      <a:ext cx="5732145" cy="8054340"/>
                    </a:xfrm>
                    <a:prstGeom prst="rect">
                      <a:avLst/>
                    </a:prstGeom>
                  </pic:spPr>
                </pic:pic>
              </a:graphicData>
            </a:graphic>
          </wp:inline>
        </w:drawing>
      </w:r>
    </w:p>
    <w:p w:rsidR="00484F6D" w:rsidRPr="00045BB7" w:rsidRDefault="00484F6D" w:rsidP="00045BB7">
      <w:pPr>
        <w:pStyle w:val="NormalHeadings"/>
        <w:spacing w:line="480" w:lineRule="auto"/>
        <w:jc w:val="center"/>
        <w:rPr>
          <w:sz w:val="28"/>
          <w:szCs w:val="28"/>
        </w:rPr>
      </w:pPr>
      <w:bookmarkStart w:id="19" w:name="ReasonsPage"/>
      <w:bookmarkEnd w:id="19"/>
      <w:r w:rsidRPr="00045BB7">
        <w:rPr>
          <w:sz w:val="28"/>
          <w:szCs w:val="28"/>
        </w:rPr>
        <w:lastRenderedPageBreak/>
        <w:t>REASONS FOR JUDGMENT</w:t>
      </w:r>
    </w:p>
    <w:p w:rsidR="00395B24" w:rsidRPr="00692AAC" w:rsidRDefault="00B95E2B" w:rsidP="005E0510">
      <w:pPr>
        <w:pStyle w:val="NormalHeadings"/>
        <w:spacing w:line="360" w:lineRule="auto"/>
        <w:jc w:val="left"/>
        <w:rPr>
          <w:szCs w:val="24"/>
        </w:rPr>
      </w:pPr>
      <w:r w:rsidRPr="00692AAC">
        <w:rPr>
          <w:szCs w:val="24"/>
        </w:rPr>
        <w:t>ALLSOP CJ</w:t>
      </w:r>
      <w:r w:rsidR="00484F6D" w:rsidRPr="00692AAC">
        <w:rPr>
          <w:szCs w:val="24"/>
        </w:rPr>
        <w:t>:</w:t>
      </w:r>
    </w:p>
    <w:p w:rsidR="00484F6D" w:rsidRPr="00692AAC" w:rsidRDefault="00B95E2B" w:rsidP="00692AAC">
      <w:pPr>
        <w:pStyle w:val="ParaNumbering"/>
        <w:rPr>
          <w:lang w:eastAsia="en-AU"/>
        </w:rPr>
      </w:pPr>
      <w:r w:rsidRPr="00692AAC">
        <w:t xml:space="preserve">This is an </w:t>
      </w:r>
      <w:r w:rsidR="00C93A8F">
        <w:t>application made by Gordian RunO</w:t>
      </w:r>
      <w:r w:rsidRPr="00692AAC">
        <w:t>ff Limited (</w:t>
      </w:r>
      <w:r w:rsidR="00FE08BB">
        <w:rPr>
          <w:b/>
        </w:rPr>
        <w:t>Gordian</w:t>
      </w:r>
      <w:r w:rsidRPr="00692AAC">
        <w:t xml:space="preserve">) under Division 3A of Part III of the </w:t>
      </w:r>
      <w:r w:rsidRPr="00692AAC">
        <w:rPr>
          <w:i/>
        </w:rPr>
        <w:t>Insurance Act</w:t>
      </w:r>
      <w:r w:rsidRPr="00692AAC">
        <w:t xml:space="preserve"> </w:t>
      </w:r>
      <w:r w:rsidRPr="00FE08BB">
        <w:rPr>
          <w:i/>
        </w:rPr>
        <w:t xml:space="preserve">1973 </w:t>
      </w:r>
      <w:r w:rsidRPr="00692AAC">
        <w:t>(Cth) (</w:t>
      </w:r>
      <w:r w:rsidRPr="00692AAC">
        <w:rPr>
          <w:b/>
        </w:rPr>
        <w:t>the Act</w:t>
      </w:r>
      <w:r w:rsidRPr="00692AAC">
        <w:t xml:space="preserve">). The </w:t>
      </w:r>
      <w:r w:rsidR="00C93A8F">
        <w:t>a</w:t>
      </w:r>
      <w:r w:rsidRPr="00692AAC">
        <w:t xml:space="preserve">pplicant seeks orders for confirmation of a scheme transferring </w:t>
      </w:r>
      <w:r w:rsidRPr="00692AAC">
        <w:rPr>
          <w:lang w:eastAsia="en-AU"/>
        </w:rPr>
        <w:t>the insurance business of Poseidon Insurance Co Pty Ltd (</w:t>
      </w:r>
      <w:r w:rsidRPr="00692AAC">
        <w:rPr>
          <w:b/>
          <w:bCs/>
          <w:lang w:eastAsia="en-AU"/>
        </w:rPr>
        <w:t>Poseidon</w:t>
      </w:r>
      <w:r w:rsidRPr="00692AAC">
        <w:rPr>
          <w:lang w:eastAsia="en-AU"/>
        </w:rPr>
        <w:t xml:space="preserve">) to </w:t>
      </w:r>
      <w:r w:rsidR="00FE08BB">
        <w:rPr>
          <w:lang w:eastAsia="en-AU"/>
        </w:rPr>
        <w:t>Gordian</w:t>
      </w:r>
      <w:r w:rsidR="004F0B36">
        <w:rPr>
          <w:lang w:eastAsia="en-AU"/>
        </w:rPr>
        <w:t xml:space="preserve"> (</w:t>
      </w:r>
      <w:r w:rsidR="004F0B36">
        <w:rPr>
          <w:b/>
          <w:lang w:eastAsia="en-AU"/>
        </w:rPr>
        <w:t>the Scheme</w:t>
      </w:r>
      <w:r w:rsidR="004F0B36" w:rsidRPr="004F0B36">
        <w:rPr>
          <w:lang w:eastAsia="en-AU"/>
        </w:rPr>
        <w:t>)</w:t>
      </w:r>
      <w:r w:rsidR="00BA765E">
        <w:rPr>
          <w:lang w:eastAsia="en-AU"/>
        </w:rPr>
        <w:t>.</w:t>
      </w:r>
    </w:p>
    <w:p w:rsidR="0041096C" w:rsidRPr="00692AAC" w:rsidRDefault="0041096C" w:rsidP="0041096C">
      <w:pPr>
        <w:pStyle w:val="Heading1"/>
        <w:spacing w:line="276" w:lineRule="auto"/>
        <w:rPr>
          <w:szCs w:val="24"/>
        </w:rPr>
      </w:pPr>
      <w:r w:rsidRPr="00692AAC">
        <w:rPr>
          <w:szCs w:val="24"/>
        </w:rPr>
        <w:t>THE RELEVANT ENTITIES</w:t>
      </w:r>
    </w:p>
    <w:p w:rsidR="00692AAC" w:rsidRDefault="00692AAC" w:rsidP="00692AAC">
      <w:pPr>
        <w:pStyle w:val="Heading2"/>
      </w:pPr>
      <w:r>
        <w:t>Poseidon</w:t>
      </w:r>
    </w:p>
    <w:p w:rsidR="00E118CD" w:rsidRPr="00E118CD" w:rsidRDefault="00E118CD" w:rsidP="00E118CD">
      <w:pPr>
        <w:pStyle w:val="ParaNumbering"/>
      </w:pPr>
      <w:r w:rsidRPr="00692AAC">
        <w:t xml:space="preserve">Poseidon </w:t>
      </w:r>
      <w:r>
        <w:t>is an Australian corporation</w:t>
      </w:r>
      <w:r w:rsidRPr="00692AAC">
        <w:t xml:space="preserve"> authorised under s 12 of the Act to carry on an insurance business in Australia. </w:t>
      </w:r>
      <w:r>
        <w:t>It is managed by Enstar Australia Ltd (</w:t>
      </w:r>
      <w:r>
        <w:rPr>
          <w:b/>
        </w:rPr>
        <w:t>Enstar</w:t>
      </w:r>
      <w:r w:rsidR="00FE08BB">
        <w:rPr>
          <w:b/>
        </w:rPr>
        <w:t xml:space="preserve"> Australia</w:t>
      </w:r>
      <w:r>
        <w:t>).</w:t>
      </w:r>
    </w:p>
    <w:p w:rsidR="00B95E2B" w:rsidRPr="00692AAC" w:rsidRDefault="0041096C" w:rsidP="00692AAC">
      <w:pPr>
        <w:pStyle w:val="ParaNumbering"/>
      </w:pPr>
      <w:r w:rsidRPr="00692AAC">
        <w:rPr>
          <w:szCs w:val="24"/>
          <w:lang w:eastAsia="en-AU"/>
        </w:rPr>
        <w:t xml:space="preserve">Poseidon began writing workers’ compensation insurance for marine related enterprises (including tug boat operators and stevedores) </w:t>
      </w:r>
      <w:r w:rsidR="00692AAC">
        <w:rPr>
          <w:szCs w:val="24"/>
          <w:lang w:eastAsia="en-AU"/>
        </w:rPr>
        <w:t xml:space="preserve">in 1955. It </w:t>
      </w:r>
      <w:r w:rsidR="00F23894" w:rsidRPr="00692AAC">
        <w:rPr>
          <w:szCs w:val="24"/>
          <w:lang w:eastAsia="en-AU"/>
        </w:rPr>
        <w:t xml:space="preserve">ceased </w:t>
      </w:r>
      <w:r w:rsidR="00EC1756">
        <w:rPr>
          <w:szCs w:val="24"/>
          <w:lang w:eastAsia="en-AU"/>
        </w:rPr>
        <w:t xml:space="preserve">writing </w:t>
      </w:r>
      <w:r w:rsidR="00F23894" w:rsidRPr="00692AAC">
        <w:rPr>
          <w:szCs w:val="24"/>
          <w:lang w:eastAsia="en-AU"/>
        </w:rPr>
        <w:t>business on 20 February 1992</w:t>
      </w:r>
      <w:r w:rsidR="00EC1756">
        <w:rPr>
          <w:szCs w:val="24"/>
          <w:lang w:eastAsia="en-AU"/>
        </w:rPr>
        <w:t>,</w:t>
      </w:r>
      <w:r w:rsidR="00692AAC">
        <w:rPr>
          <w:szCs w:val="24"/>
          <w:lang w:eastAsia="en-AU"/>
        </w:rPr>
        <w:t xml:space="preserve"> and</w:t>
      </w:r>
      <w:r w:rsidR="00C56C9B">
        <w:rPr>
          <w:szCs w:val="24"/>
          <w:lang w:eastAsia="en-AU"/>
        </w:rPr>
        <w:t xml:space="preserve"> since that time</w:t>
      </w:r>
      <w:r w:rsidR="00692AAC">
        <w:rPr>
          <w:szCs w:val="24"/>
          <w:lang w:eastAsia="en-AU"/>
        </w:rPr>
        <w:t xml:space="preserve"> </w:t>
      </w:r>
      <w:r w:rsidR="00FE08BB">
        <w:rPr>
          <w:szCs w:val="24"/>
          <w:lang w:eastAsia="en-AU"/>
        </w:rPr>
        <w:t>has</w:t>
      </w:r>
      <w:r w:rsidR="00692AAC">
        <w:rPr>
          <w:szCs w:val="24"/>
          <w:lang w:eastAsia="en-AU"/>
        </w:rPr>
        <w:t xml:space="preserve"> been in run-off</w:t>
      </w:r>
      <w:r w:rsidR="00F23894" w:rsidRPr="00692AAC">
        <w:rPr>
          <w:szCs w:val="24"/>
          <w:lang w:eastAsia="en-AU"/>
        </w:rPr>
        <w:t>.</w:t>
      </w:r>
    </w:p>
    <w:p w:rsidR="00FF2933" w:rsidRDefault="00692AAC" w:rsidP="00830DF7">
      <w:pPr>
        <w:pStyle w:val="ParaNumbering"/>
      </w:pPr>
      <w:r>
        <w:t xml:space="preserve">The small size of Poseidon’s run-off business means that APRA has exempted it from some of the requirements made of general insurers under the Prudential Standards </w:t>
      </w:r>
      <w:r w:rsidR="007177FD">
        <w:t xml:space="preserve">determined by APRA </w:t>
      </w:r>
      <w:r w:rsidR="00AB4188">
        <w:t>pursuant to</w:t>
      </w:r>
      <w:r>
        <w:t xml:space="preserve"> s 32 of the Act. For example, Poseidon is authorised to have a minimum prescribed capital </w:t>
      </w:r>
      <w:r w:rsidR="00FE08BB">
        <w:t>of</w:t>
      </w:r>
      <w:r>
        <w:t xml:space="preserve"> $2,000,000 rather than the usual $5,000,000</w:t>
      </w:r>
      <w:r w:rsidR="00FE08BB">
        <w:t xml:space="preserve"> required of </w:t>
      </w:r>
      <w:r w:rsidR="007177FD">
        <w:t>most categories of</w:t>
      </w:r>
      <w:r w:rsidR="00FE08BB">
        <w:t xml:space="preserve"> regulated </w:t>
      </w:r>
      <w:r w:rsidR="007177FD">
        <w:t>general insurer</w:t>
      </w:r>
      <w:r w:rsidR="00FF2933">
        <w:t xml:space="preserve">: </w:t>
      </w:r>
      <w:r w:rsidR="00FF2933" w:rsidRPr="00FF2933">
        <w:rPr>
          <w:i/>
          <w:iCs/>
          <w:sz w:val="23"/>
          <w:szCs w:val="23"/>
        </w:rPr>
        <w:t>Prudential Standard GPS 110</w:t>
      </w:r>
      <w:r w:rsidR="007177FD">
        <w:rPr>
          <w:i/>
          <w:iCs/>
          <w:sz w:val="23"/>
          <w:szCs w:val="23"/>
        </w:rPr>
        <w:t>,</w:t>
      </w:r>
      <w:r w:rsidR="00FF2933" w:rsidRPr="00FF2933">
        <w:rPr>
          <w:i/>
          <w:iCs/>
          <w:sz w:val="23"/>
          <w:szCs w:val="23"/>
        </w:rPr>
        <w:t xml:space="preserve"> Capital Adequacy</w:t>
      </w:r>
      <w:r w:rsidR="00830DF7">
        <w:rPr>
          <w:i/>
          <w:iCs/>
          <w:sz w:val="23"/>
          <w:szCs w:val="23"/>
        </w:rPr>
        <w:t>.</w:t>
      </w:r>
      <w:r w:rsidR="00FF2933" w:rsidRPr="00FF2933">
        <w:rPr>
          <w:i/>
          <w:iCs/>
          <w:sz w:val="23"/>
          <w:szCs w:val="23"/>
        </w:rPr>
        <w:t xml:space="preserve"> </w:t>
      </w:r>
      <w:r w:rsidR="00830DF7">
        <w:rPr>
          <w:szCs w:val="24"/>
          <w:lang w:eastAsia="en-AU"/>
        </w:rPr>
        <w:t xml:space="preserve">A summary of Poseidon’s balance sheet as at 31 March 2015 illustrates this, with its </w:t>
      </w:r>
      <w:r w:rsidR="00830DF7" w:rsidRPr="00830DF7">
        <w:rPr>
          <w:szCs w:val="24"/>
          <w:lang w:eastAsia="en-AU"/>
        </w:rPr>
        <w:t xml:space="preserve">net asset position </w:t>
      </w:r>
      <w:r w:rsidR="00830DF7">
        <w:rPr>
          <w:szCs w:val="24"/>
          <w:lang w:eastAsia="en-AU"/>
        </w:rPr>
        <w:t>amounting</w:t>
      </w:r>
      <w:r w:rsidR="00830DF7" w:rsidRPr="00830DF7">
        <w:rPr>
          <w:szCs w:val="24"/>
          <w:lang w:eastAsia="en-AU"/>
        </w:rPr>
        <w:t xml:space="preserve"> to</w:t>
      </w:r>
      <w:r w:rsidR="00830DF7">
        <w:rPr>
          <w:szCs w:val="24"/>
          <w:lang w:eastAsia="en-AU"/>
        </w:rPr>
        <w:t xml:space="preserve"> only</w:t>
      </w:r>
      <w:r w:rsidR="00830DF7" w:rsidRPr="00830DF7">
        <w:rPr>
          <w:szCs w:val="24"/>
          <w:lang w:eastAsia="en-AU"/>
        </w:rPr>
        <w:t xml:space="preserve"> $3,062,000</w:t>
      </w:r>
      <w:r w:rsidR="003D663A">
        <w:rPr>
          <w:szCs w:val="24"/>
          <w:lang w:eastAsia="en-AU"/>
        </w:rPr>
        <w:t xml:space="preserve"> (</w:t>
      </w:r>
      <w:r w:rsidR="00BA765E">
        <w:rPr>
          <w:szCs w:val="24"/>
          <w:lang w:eastAsia="en-AU"/>
        </w:rPr>
        <w:t xml:space="preserve">Figure derived </w:t>
      </w:r>
      <w:r w:rsidR="003D663A">
        <w:rPr>
          <w:szCs w:val="24"/>
          <w:lang w:eastAsia="en-AU"/>
        </w:rPr>
        <w:t>from extracts of P</w:t>
      </w:r>
      <w:r w:rsidR="00BA765E">
        <w:rPr>
          <w:szCs w:val="24"/>
          <w:lang w:eastAsia="en-AU"/>
        </w:rPr>
        <w:t xml:space="preserve">oseidon’s quarterly APRA return, </w:t>
      </w:r>
      <w:r w:rsidR="003D663A">
        <w:rPr>
          <w:szCs w:val="24"/>
          <w:lang w:eastAsia="en-AU"/>
        </w:rPr>
        <w:t>31 March 2016, within Exhibit SOS3 attached to the affi</w:t>
      </w:r>
      <w:r w:rsidR="00BA765E">
        <w:rPr>
          <w:szCs w:val="24"/>
          <w:lang w:eastAsia="en-AU"/>
        </w:rPr>
        <w:t>davit of Ms Sandra O’Sullivan, sworn</w:t>
      </w:r>
      <w:r w:rsidR="003D663A">
        <w:rPr>
          <w:szCs w:val="24"/>
          <w:lang w:eastAsia="en-AU"/>
        </w:rPr>
        <w:t xml:space="preserve"> 2 June 2016</w:t>
      </w:r>
      <w:r w:rsidR="00830DF7" w:rsidRPr="00830DF7">
        <w:rPr>
          <w:szCs w:val="24"/>
          <w:lang w:eastAsia="en-AU"/>
        </w:rPr>
        <w:t>.</w:t>
      </w:r>
      <w:r w:rsidR="003D663A">
        <w:rPr>
          <w:szCs w:val="24"/>
          <w:lang w:eastAsia="en-AU"/>
        </w:rPr>
        <w:t>)</w:t>
      </w:r>
    </w:p>
    <w:p w:rsidR="00692AAC" w:rsidRPr="004B33A5" w:rsidRDefault="00692AAC" w:rsidP="00FF2933">
      <w:pPr>
        <w:pStyle w:val="ParaNumbering"/>
      </w:pPr>
      <w:r w:rsidRPr="00FF2933">
        <w:rPr>
          <w:szCs w:val="24"/>
          <w:lang w:eastAsia="en-AU"/>
        </w:rPr>
        <w:t>Further, APRA has exempted Poseidon</w:t>
      </w:r>
      <w:r w:rsidR="00FF2933">
        <w:rPr>
          <w:szCs w:val="24"/>
          <w:lang w:eastAsia="en-AU"/>
        </w:rPr>
        <w:t xml:space="preserve"> </w:t>
      </w:r>
      <w:r w:rsidR="002E72BC">
        <w:rPr>
          <w:szCs w:val="24"/>
          <w:lang w:eastAsia="en-AU"/>
        </w:rPr>
        <w:t>by virtue of its position as a</w:t>
      </w:r>
      <w:r w:rsidR="00FF2933">
        <w:rPr>
          <w:szCs w:val="24"/>
          <w:lang w:eastAsia="en-AU"/>
        </w:rPr>
        <w:t xml:space="preserve"> small insurer</w:t>
      </w:r>
      <w:r w:rsidR="007177FD">
        <w:rPr>
          <w:szCs w:val="24"/>
          <w:lang w:eastAsia="en-AU"/>
        </w:rPr>
        <w:t xml:space="preserve"> in run-off</w:t>
      </w:r>
      <w:r w:rsidR="004B33A5" w:rsidRPr="00FF2933">
        <w:rPr>
          <w:szCs w:val="24"/>
          <w:lang w:eastAsia="en-AU"/>
        </w:rPr>
        <w:t xml:space="preserve"> from having an </w:t>
      </w:r>
      <w:r w:rsidR="00681A32" w:rsidRPr="00FF2933">
        <w:rPr>
          <w:szCs w:val="24"/>
          <w:lang w:eastAsia="en-AU"/>
        </w:rPr>
        <w:t>appointed actuary</w:t>
      </w:r>
      <w:r w:rsidR="004B33A5" w:rsidRPr="00FF2933">
        <w:rPr>
          <w:szCs w:val="24"/>
          <w:lang w:eastAsia="en-AU"/>
        </w:rPr>
        <w:t xml:space="preserve"> </w:t>
      </w:r>
      <w:r w:rsidRPr="00FF2933">
        <w:rPr>
          <w:szCs w:val="24"/>
          <w:lang w:eastAsia="en-AU"/>
        </w:rPr>
        <w:t xml:space="preserve">and </w:t>
      </w:r>
      <w:r w:rsidR="007B61A2" w:rsidRPr="00FF2933">
        <w:rPr>
          <w:szCs w:val="24"/>
          <w:lang w:eastAsia="en-AU"/>
        </w:rPr>
        <w:t xml:space="preserve">from </w:t>
      </w:r>
      <w:r w:rsidRPr="00FF2933">
        <w:rPr>
          <w:szCs w:val="24"/>
          <w:lang w:eastAsia="en-AU"/>
        </w:rPr>
        <w:t xml:space="preserve">preparing an annual valuation of its insurance liabilities.  </w:t>
      </w:r>
      <w:r w:rsidR="00B5786D">
        <w:rPr>
          <w:szCs w:val="24"/>
          <w:lang w:eastAsia="en-AU"/>
        </w:rPr>
        <w:t>By virtue of APRA’s exemption, the claims</w:t>
      </w:r>
      <w:r w:rsidRPr="00FF2933">
        <w:rPr>
          <w:szCs w:val="24"/>
          <w:lang w:eastAsia="en-AU"/>
        </w:rPr>
        <w:t xml:space="preserve"> liability reserve of the business </w:t>
      </w:r>
      <w:r w:rsidR="00B5786D" w:rsidRPr="00FF2933">
        <w:rPr>
          <w:szCs w:val="24"/>
          <w:lang w:eastAsia="en-AU"/>
        </w:rPr>
        <w:t xml:space="preserve">therefore </w:t>
      </w:r>
      <w:r w:rsidRPr="00FF2933">
        <w:rPr>
          <w:szCs w:val="24"/>
          <w:lang w:eastAsia="en-AU"/>
        </w:rPr>
        <w:t>is determined</w:t>
      </w:r>
      <w:r w:rsidR="007B61A2" w:rsidRPr="00FF2933">
        <w:rPr>
          <w:szCs w:val="24"/>
          <w:lang w:eastAsia="en-AU"/>
        </w:rPr>
        <w:t xml:space="preserve"> solely</w:t>
      </w:r>
      <w:r w:rsidRPr="00FF2933">
        <w:rPr>
          <w:szCs w:val="24"/>
          <w:lang w:eastAsia="en-AU"/>
        </w:rPr>
        <w:t xml:space="preserve"> on the basis of outstanding case estimates and </w:t>
      </w:r>
      <w:r w:rsidR="002E72BC">
        <w:rPr>
          <w:szCs w:val="24"/>
          <w:lang w:eastAsia="en-AU"/>
        </w:rPr>
        <w:t>does not take account of</w:t>
      </w:r>
      <w:r w:rsidRPr="00FF2933">
        <w:rPr>
          <w:szCs w:val="24"/>
          <w:lang w:eastAsia="en-AU"/>
        </w:rPr>
        <w:t xml:space="preserve"> claims that </w:t>
      </w:r>
      <w:r w:rsidR="002E72BC">
        <w:rPr>
          <w:szCs w:val="24"/>
          <w:lang w:eastAsia="en-AU"/>
        </w:rPr>
        <w:t xml:space="preserve">may </w:t>
      </w:r>
      <w:r w:rsidRPr="00FF2933">
        <w:rPr>
          <w:szCs w:val="24"/>
          <w:lang w:eastAsia="en-AU"/>
        </w:rPr>
        <w:t xml:space="preserve">have been incurred but </w:t>
      </w:r>
      <w:r w:rsidR="00AB4188" w:rsidRPr="00FF2933">
        <w:rPr>
          <w:szCs w:val="24"/>
          <w:lang w:eastAsia="en-AU"/>
        </w:rPr>
        <w:t>not</w:t>
      </w:r>
      <w:r w:rsidRPr="00FF2933">
        <w:rPr>
          <w:szCs w:val="24"/>
          <w:lang w:eastAsia="en-AU"/>
        </w:rPr>
        <w:t xml:space="preserve"> reported</w:t>
      </w:r>
      <w:r w:rsidR="00EC1756">
        <w:rPr>
          <w:szCs w:val="24"/>
          <w:lang w:eastAsia="en-AU"/>
        </w:rPr>
        <w:t xml:space="preserve"> (IBNRs)</w:t>
      </w:r>
      <w:r w:rsidRPr="00FF2933">
        <w:rPr>
          <w:szCs w:val="24"/>
          <w:lang w:eastAsia="en-AU"/>
        </w:rPr>
        <w:t xml:space="preserve">. </w:t>
      </w:r>
    </w:p>
    <w:p w:rsidR="004B33A5" w:rsidRPr="004B33A5" w:rsidRDefault="004F0B36" w:rsidP="00692AAC">
      <w:pPr>
        <w:pStyle w:val="ParaNumbering"/>
      </w:pPr>
      <w:r>
        <w:rPr>
          <w:szCs w:val="24"/>
          <w:lang w:eastAsia="en-AU"/>
        </w:rPr>
        <w:t xml:space="preserve">A number of </w:t>
      </w:r>
      <w:r w:rsidR="004B33A5">
        <w:rPr>
          <w:szCs w:val="24"/>
          <w:lang w:eastAsia="en-AU"/>
        </w:rPr>
        <w:t xml:space="preserve">international </w:t>
      </w:r>
      <w:r w:rsidR="00EC1756">
        <w:rPr>
          <w:szCs w:val="24"/>
          <w:lang w:eastAsia="en-AU"/>
        </w:rPr>
        <w:t>m</w:t>
      </w:r>
      <w:r w:rsidR="004B33A5">
        <w:rPr>
          <w:szCs w:val="24"/>
          <w:lang w:eastAsia="en-AU"/>
        </w:rPr>
        <w:t>arine Protection and Indemnity Clubs (</w:t>
      </w:r>
      <w:r w:rsidR="004B33A5">
        <w:rPr>
          <w:b/>
          <w:szCs w:val="24"/>
          <w:lang w:eastAsia="en-AU"/>
        </w:rPr>
        <w:t>P&amp;I Clubs</w:t>
      </w:r>
      <w:r w:rsidR="00FF2933">
        <w:rPr>
          <w:szCs w:val="24"/>
          <w:lang w:eastAsia="en-AU"/>
        </w:rPr>
        <w:t xml:space="preserve">) </w:t>
      </w:r>
      <w:r w:rsidR="00EC1756">
        <w:rPr>
          <w:szCs w:val="24"/>
          <w:lang w:eastAsia="en-AU"/>
        </w:rPr>
        <w:t xml:space="preserve">effectively </w:t>
      </w:r>
      <w:r w:rsidR="00FF2933">
        <w:rPr>
          <w:szCs w:val="24"/>
          <w:lang w:eastAsia="en-AU"/>
        </w:rPr>
        <w:t xml:space="preserve">provide reinsurance to </w:t>
      </w:r>
      <w:r w:rsidR="004B33A5">
        <w:rPr>
          <w:szCs w:val="24"/>
          <w:lang w:eastAsia="en-AU"/>
        </w:rPr>
        <w:t>Poseidon in respect of its liabilities.</w:t>
      </w:r>
      <w:r w:rsidR="00FF2933">
        <w:rPr>
          <w:szCs w:val="24"/>
          <w:lang w:eastAsia="en-AU"/>
        </w:rPr>
        <w:t xml:space="preserve"> A list of those P&amp;I Clubs, referred to in the </w:t>
      </w:r>
      <w:r w:rsidR="002E72BC">
        <w:rPr>
          <w:szCs w:val="24"/>
          <w:lang w:eastAsia="en-AU"/>
        </w:rPr>
        <w:t>S</w:t>
      </w:r>
      <w:r w:rsidR="00FF2933">
        <w:rPr>
          <w:szCs w:val="24"/>
          <w:lang w:eastAsia="en-AU"/>
        </w:rPr>
        <w:t xml:space="preserve">cheme as the “Indemnitors”, are </w:t>
      </w:r>
      <w:r w:rsidR="002E72BC">
        <w:rPr>
          <w:szCs w:val="24"/>
          <w:lang w:eastAsia="en-AU"/>
        </w:rPr>
        <w:t>set out in</w:t>
      </w:r>
      <w:r w:rsidR="00FF2933">
        <w:rPr>
          <w:szCs w:val="24"/>
          <w:lang w:eastAsia="en-AU"/>
        </w:rPr>
        <w:t xml:space="preserve"> Annexure B to the orders of this </w:t>
      </w:r>
      <w:r w:rsidR="00FF2933">
        <w:rPr>
          <w:szCs w:val="24"/>
          <w:lang w:eastAsia="en-AU"/>
        </w:rPr>
        <w:lastRenderedPageBreak/>
        <w:t>judgment. One of the indemnitors</w:t>
      </w:r>
      <w:r w:rsidR="004B33A5">
        <w:rPr>
          <w:szCs w:val="24"/>
          <w:lang w:eastAsia="en-AU"/>
        </w:rPr>
        <w:t>, the Standard Club Limited, provides</w:t>
      </w:r>
      <w:r w:rsidR="007B61A2">
        <w:rPr>
          <w:szCs w:val="24"/>
          <w:lang w:eastAsia="en-AU"/>
        </w:rPr>
        <w:t xml:space="preserve"> a further indemnity </w:t>
      </w:r>
      <w:r w:rsidR="00AB4188">
        <w:rPr>
          <w:szCs w:val="24"/>
          <w:lang w:eastAsia="en-AU"/>
        </w:rPr>
        <w:t xml:space="preserve">in </w:t>
      </w:r>
      <w:r w:rsidR="002E72BC">
        <w:rPr>
          <w:szCs w:val="24"/>
          <w:lang w:eastAsia="en-AU"/>
        </w:rPr>
        <w:t>the</w:t>
      </w:r>
      <w:r w:rsidR="00AB4188">
        <w:rPr>
          <w:szCs w:val="24"/>
          <w:lang w:eastAsia="en-AU"/>
        </w:rPr>
        <w:t xml:space="preserve"> </w:t>
      </w:r>
      <w:r w:rsidR="002E72BC">
        <w:rPr>
          <w:szCs w:val="24"/>
          <w:lang w:eastAsia="en-AU"/>
        </w:rPr>
        <w:t>event that</w:t>
      </w:r>
      <w:r w:rsidR="004B33A5">
        <w:rPr>
          <w:szCs w:val="24"/>
          <w:lang w:eastAsia="en-AU"/>
        </w:rPr>
        <w:t xml:space="preserve"> the other </w:t>
      </w:r>
      <w:r w:rsidR="002E72BC">
        <w:rPr>
          <w:szCs w:val="24"/>
          <w:lang w:eastAsia="en-AU"/>
        </w:rPr>
        <w:t>indemnitors</w:t>
      </w:r>
      <w:r w:rsidR="004B33A5">
        <w:rPr>
          <w:szCs w:val="24"/>
          <w:lang w:eastAsia="en-AU"/>
        </w:rPr>
        <w:t xml:space="preserve"> fail to pay amounts owing to Poseidon pursuant to their underlying indemnities. </w:t>
      </w:r>
    </w:p>
    <w:p w:rsidR="00B23AEB" w:rsidRDefault="004B33A5" w:rsidP="00692AAC">
      <w:pPr>
        <w:pStyle w:val="ParaNumbering"/>
      </w:pPr>
      <w:r>
        <w:t xml:space="preserve">The </w:t>
      </w:r>
      <w:r w:rsidR="007B61A2">
        <w:t>Court has been provided with a</w:t>
      </w:r>
      <w:r w:rsidR="00CA71DC">
        <w:t xml:space="preserve"> report</w:t>
      </w:r>
      <w:r w:rsidR="007B61A2">
        <w:t xml:space="preserve"> </w:t>
      </w:r>
      <w:r w:rsidR="007B61A2" w:rsidRPr="00CA71DC">
        <w:t>which</w:t>
      </w:r>
      <w:r w:rsidRPr="00CA71DC">
        <w:t xml:space="preserve"> </w:t>
      </w:r>
      <w:r w:rsidR="002E72BC">
        <w:t xml:space="preserve">details the </w:t>
      </w:r>
      <w:r>
        <w:t xml:space="preserve">financial situation of Poseidon </w:t>
      </w:r>
      <w:r w:rsidR="007B61A2">
        <w:t xml:space="preserve">and </w:t>
      </w:r>
      <w:r w:rsidR="00B23AEB">
        <w:t xml:space="preserve">gives an overview of the </w:t>
      </w:r>
      <w:r w:rsidR="007B61A2">
        <w:t>benefits and risks associate</w:t>
      </w:r>
      <w:r w:rsidR="00B23AEB">
        <w:t>d with the proposed transfer of scheme. That report was</w:t>
      </w:r>
      <w:r w:rsidR="007B61A2">
        <w:t xml:space="preserve"> </w:t>
      </w:r>
      <w:r>
        <w:t xml:space="preserve">prepared </w:t>
      </w:r>
      <w:r w:rsidR="007B61A2">
        <w:t>by Ms Sandra O’Sullivan, the Chief Executive Officer and Chief Financial Officer of Enstar</w:t>
      </w:r>
      <w:r w:rsidR="00B23AEB">
        <w:t xml:space="preserve">, and is attached to her affidavit dated </w:t>
      </w:r>
      <w:r w:rsidR="002E72BC">
        <w:t xml:space="preserve">17 </w:t>
      </w:r>
      <w:r w:rsidR="00B23AEB">
        <w:t>March 2016</w:t>
      </w:r>
      <w:r w:rsidR="004F0B36">
        <w:t xml:space="preserve"> as part of Exhibit SOS1.</w:t>
      </w:r>
    </w:p>
    <w:p w:rsidR="00B23AEB" w:rsidRDefault="00FF2933" w:rsidP="00B23AEB">
      <w:pPr>
        <w:pStyle w:val="ParaNumbering"/>
      </w:pPr>
      <w:r>
        <w:t>In a transfer of scheme under Division 3A of Part III of the Act, financial information</w:t>
      </w:r>
      <w:r w:rsidR="007B61A2">
        <w:t xml:space="preserve"> provided to the Court </w:t>
      </w:r>
      <w:r>
        <w:t>is</w:t>
      </w:r>
      <w:r w:rsidR="007B61A2">
        <w:t xml:space="preserve"> usually prepared by an </w:t>
      </w:r>
      <w:r>
        <w:t>appointed actuary</w:t>
      </w:r>
      <w:r w:rsidR="007B61A2">
        <w:t xml:space="preserve">. As noted </w:t>
      </w:r>
      <w:r>
        <w:t>above</w:t>
      </w:r>
      <w:r w:rsidR="007B61A2">
        <w:t xml:space="preserve">, however, APRA has exempted Poseidon from adherence to some of the usual requirements demanded of general insurers. </w:t>
      </w:r>
      <w:r w:rsidR="00B23AEB">
        <w:t xml:space="preserve">APRA considered </w:t>
      </w:r>
      <w:r w:rsidR="002E72BC">
        <w:t xml:space="preserve">that the small size of Poseidon’s portfolio meant that, in lieu of an actuarial report, </w:t>
      </w:r>
      <w:r w:rsidR="00B23AEB">
        <w:t>Ms O’Sullivan</w:t>
      </w:r>
      <w:r w:rsidR="002E72BC">
        <w:t>’s report was sufficient to set out the</w:t>
      </w:r>
      <w:r w:rsidR="00F920B3">
        <w:t xml:space="preserve"> business and financial information </w:t>
      </w:r>
      <w:r w:rsidR="00DA68FB">
        <w:t>pertaining to both the</w:t>
      </w:r>
      <w:r w:rsidR="00F920B3">
        <w:t xml:space="preserve"> transferor</w:t>
      </w:r>
      <w:r w:rsidR="00DA68FB">
        <w:t xml:space="preserve"> and transferee</w:t>
      </w:r>
      <w:r w:rsidR="00F920B3">
        <w:t xml:space="preserve"> insurer</w:t>
      </w:r>
      <w:r w:rsidR="00DA68FB">
        <w:t>s</w:t>
      </w:r>
      <w:r w:rsidR="00F920B3">
        <w:t xml:space="preserve">. </w:t>
      </w:r>
    </w:p>
    <w:p w:rsidR="007F036C" w:rsidRDefault="00F920B3" w:rsidP="007F036C">
      <w:pPr>
        <w:pStyle w:val="ParaNumbering"/>
      </w:pPr>
      <w:r>
        <w:t>Ms O’Sullivan’s</w:t>
      </w:r>
      <w:r w:rsidR="00B23AEB">
        <w:t xml:space="preserve"> </w:t>
      </w:r>
      <w:r w:rsidR="00C326A8">
        <w:t>r</w:t>
      </w:r>
      <w:r w:rsidR="00B23AEB">
        <w:t xml:space="preserve">eport states that as at 30 September 2015, Poseidon’s </w:t>
      </w:r>
      <w:r w:rsidR="00DE11E7">
        <w:t xml:space="preserve">total </w:t>
      </w:r>
      <w:r w:rsidR="00B23AEB">
        <w:t>gross outstanding claims amounted to $90,000</w:t>
      </w:r>
      <w:r w:rsidR="00DE11E7">
        <w:t xml:space="preserve">. Its total net outstanding claims </w:t>
      </w:r>
      <w:r>
        <w:t xml:space="preserve">were </w:t>
      </w:r>
      <w:r w:rsidR="00DE11E7">
        <w:t>nil due to the indemnities held by it</w:t>
      </w:r>
      <w:r w:rsidR="00EC1756">
        <w:t xml:space="preserve"> from the P&amp;I clubs</w:t>
      </w:r>
      <w:r w:rsidR="00DE11E7">
        <w:t>. Its total assets amounted to $3</w:t>
      </w:r>
      <w:r w:rsidR="003C6DF5">
        <w:t>,234</w:t>
      </w:r>
      <w:r w:rsidR="00DE11E7">
        <w:t xml:space="preserve">,000 </w:t>
      </w:r>
      <w:r w:rsidR="007F036C">
        <w:t>and its total liabilities amounted to $145,000. These figures are</w:t>
      </w:r>
      <w:r w:rsidR="00DE11E7">
        <w:t xml:space="preserve"> inclusive of </w:t>
      </w:r>
      <w:r w:rsidR="007F036C">
        <w:t xml:space="preserve">the $90,000 of claims due under the indemnities. Its net asset position therefore was $3,089,000. Based on the minimum prescribed capital amount </w:t>
      </w:r>
      <w:r w:rsidR="00BC1F8E">
        <w:t>of $</w:t>
      </w:r>
      <w:r w:rsidR="007F036C">
        <w:t>2,000,000</w:t>
      </w:r>
      <w:r w:rsidR="00BC1F8E">
        <w:t>, its solvency coverage ratio was 1.54.</w:t>
      </w:r>
    </w:p>
    <w:p w:rsidR="00F920B3" w:rsidRDefault="00BC1F8E" w:rsidP="00880EEC">
      <w:pPr>
        <w:pStyle w:val="ParaNumbering"/>
      </w:pPr>
      <w:r>
        <w:t>In her affidavit</w:t>
      </w:r>
      <w:r w:rsidR="0094584C">
        <w:t xml:space="preserve"> of</w:t>
      </w:r>
      <w:r>
        <w:t xml:space="preserve"> 2 June 2016, Ms O’Sullivan provides updated </w:t>
      </w:r>
      <w:r w:rsidR="00880EEC">
        <w:t>information on</w:t>
      </w:r>
      <w:r>
        <w:t xml:space="preserve"> Poseidon’s financial records. </w:t>
      </w:r>
      <w:r w:rsidR="00880EEC">
        <w:t xml:space="preserve"> Attached to that affidavit</w:t>
      </w:r>
      <w:r w:rsidR="00DA68FB">
        <w:t xml:space="preserve"> as part of the Exhibit SOS3</w:t>
      </w:r>
      <w:r w:rsidR="00880EEC">
        <w:t xml:space="preserve"> are extracts of Poseidon’s quarterly APRA return, specifically its Prescribed Capital Amount and Statement of Financial Position. As at 31 March 2016, Poseidon’s </w:t>
      </w:r>
      <w:r>
        <w:t>gross outstanding claims remained at $90,000 with recoveries in respect of those claims still provided for at $90,000.</w:t>
      </w:r>
      <w:r w:rsidR="0071268B">
        <w:t xml:space="preserve"> </w:t>
      </w:r>
      <w:r w:rsidR="00DB5CB7">
        <w:t xml:space="preserve">Its total assets were $3,212,000 and its total liabilities were $150,000. </w:t>
      </w:r>
      <w:r w:rsidR="0071268B">
        <w:t>Its net asset position therefore amounted to $3,062,000.</w:t>
      </w:r>
      <w:r w:rsidR="00DB5CB7">
        <w:t xml:space="preserve"> Its solvency ratio was 1.53.  </w:t>
      </w:r>
    </w:p>
    <w:p w:rsidR="00BC1F8E" w:rsidRDefault="00DB5CB7" w:rsidP="00880EEC">
      <w:pPr>
        <w:pStyle w:val="ParaNumbering"/>
      </w:pPr>
      <w:r>
        <w:t xml:space="preserve">Poseidon’s position at 31 March 2016 therefore </w:t>
      </w:r>
      <w:r w:rsidR="00AB4188">
        <w:t xml:space="preserve">remained </w:t>
      </w:r>
      <w:r>
        <w:t xml:space="preserve">largely unchanged from that at 31 September 2016. </w:t>
      </w:r>
    </w:p>
    <w:p w:rsidR="00DB5CB7" w:rsidRDefault="00FE08BB" w:rsidP="00DB5CB7">
      <w:pPr>
        <w:pStyle w:val="Heading2"/>
      </w:pPr>
      <w:r>
        <w:t>GORDIAN</w:t>
      </w:r>
    </w:p>
    <w:p w:rsidR="00DB5CB7" w:rsidRDefault="00CA71DC" w:rsidP="00DB5CB7">
      <w:pPr>
        <w:pStyle w:val="ParaNumbering"/>
      </w:pPr>
      <w:r>
        <w:t xml:space="preserve">Like Poseidon, </w:t>
      </w:r>
      <w:r w:rsidR="00F920B3">
        <w:t>Gordian</w:t>
      </w:r>
      <w:r>
        <w:t xml:space="preserve"> </w:t>
      </w:r>
      <w:r w:rsidR="00E118CD">
        <w:t>is an Australian authorised insurer managed by Enstar</w:t>
      </w:r>
      <w:r w:rsidR="00F920B3">
        <w:t xml:space="preserve"> Australia</w:t>
      </w:r>
      <w:r w:rsidR="00E118CD">
        <w:t xml:space="preserve">.  </w:t>
      </w:r>
    </w:p>
    <w:p w:rsidR="00AB4188" w:rsidRDefault="00F920B3" w:rsidP="00DB5CB7">
      <w:pPr>
        <w:pStyle w:val="ParaNumbering"/>
      </w:pPr>
      <w:r>
        <w:lastRenderedPageBreak/>
        <w:t>Gordian</w:t>
      </w:r>
      <w:r w:rsidR="00AB4188">
        <w:t xml:space="preserve"> was incorporated in Australia in 1991 and </w:t>
      </w:r>
      <w:r w:rsidR="00EC1756">
        <w:t>carried on and handled</w:t>
      </w:r>
      <w:r w:rsidR="00AB4188">
        <w:t xml:space="preserve"> two portfolios. The first portfolio, Gordian Direct, was a direct insurance portfolio that deal</w:t>
      </w:r>
      <w:r>
        <w:t>t</w:t>
      </w:r>
      <w:r w:rsidR="00AB4188">
        <w:t xml:space="preserve"> mainly wi</w:t>
      </w:r>
      <w:r>
        <w:t>th policies written in the 1990</w:t>
      </w:r>
      <w:r w:rsidR="00AB4188">
        <w:t xml:space="preserve">s </w:t>
      </w:r>
      <w:r w:rsidR="00DA68FB">
        <w:t>concerned with</w:t>
      </w:r>
      <w:r w:rsidR="00AB4188">
        <w:t xml:space="preserve"> professional indemnity</w:t>
      </w:r>
      <w:r w:rsidR="00F05B2F">
        <w:t xml:space="preserve"> and directors and officers</w:t>
      </w:r>
      <w:r w:rsidR="00AB4188">
        <w:t>, public liability</w:t>
      </w:r>
      <w:r w:rsidR="00F05B2F">
        <w:t xml:space="preserve"> (construction risk and NSW Health Department policies)</w:t>
      </w:r>
      <w:r w:rsidR="00AB4188">
        <w:t>, short tail policies, financial risk</w:t>
      </w:r>
      <w:r w:rsidR="00F05B2F">
        <w:t>s</w:t>
      </w:r>
      <w:r w:rsidR="00AB4188">
        <w:t xml:space="preserve"> and a number of a</w:t>
      </w:r>
      <w:r w:rsidR="00F05B2F">
        <w:t>cquired portfolios. The second</w:t>
      </w:r>
      <w:r w:rsidR="00AB4188">
        <w:t xml:space="preserve">, Gordian Re, </w:t>
      </w:r>
      <w:r w:rsidR="00F05B2F">
        <w:t xml:space="preserve">operated as a </w:t>
      </w:r>
      <w:r w:rsidR="005E2A69">
        <w:t>reinsurance</w:t>
      </w:r>
      <w:r w:rsidR="00EC1756">
        <w:t xml:space="preserve"> treaty</w:t>
      </w:r>
      <w:r w:rsidR="00F05B2F">
        <w:t xml:space="preserve"> portfolio</w:t>
      </w:r>
      <w:r w:rsidR="005E2A69">
        <w:t xml:space="preserve">, </w:t>
      </w:r>
      <w:r w:rsidR="00F05B2F">
        <w:t>and encompassed areas as diverse as</w:t>
      </w:r>
      <w:r w:rsidR="005E2A69">
        <w:t xml:space="preserve"> professional indemnity</w:t>
      </w:r>
      <w:r w:rsidR="00F05B2F">
        <w:t xml:space="preserve"> and directors and officers</w:t>
      </w:r>
      <w:r w:rsidR="005E2A69">
        <w:t xml:space="preserve">, casualty risks, aviation and maritime, space, international property, US facultative reinsurance and </w:t>
      </w:r>
      <w:r w:rsidR="00F05B2F">
        <w:t>eight</w:t>
      </w:r>
      <w:r w:rsidR="005E2A69">
        <w:t xml:space="preserve"> acquired portfolios. </w:t>
      </w:r>
    </w:p>
    <w:p w:rsidR="005E2A69" w:rsidRDefault="00FE08BB" w:rsidP="00DB5CB7">
      <w:pPr>
        <w:pStyle w:val="ParaNumbering"/>
      </w:pPr>
      <w:r>
        <w:t>Gordian</w:t>
      </w:r>
      <w:r w:rsidR="00E118CD">
        <w:t xml:space="preserve"> entered intro run-off in </w:t>
      </w:r>
      <w:r w:rsidR="00DA68FB">
        <w:t xml:space="preserve">or around </w:t>
      </w:r>
      <w:r w:rsidR="00E118CD">
        <w:t xml:space="preserve">September 1999. </w:t>
      </w:r>
    </w:p>
    <w:p w:rsidR="00E118CD" w:rsidRDefault="00E118CD" w:rsidP="00DB5CB7">
      <w:pPr>
        <w:pStyle w:val="ParaNumbering"/>
      </w:pPr>
      <w:r>
        <w:t>Certain conditions attach to its</w:t>
      </w:r>
      <w:r w:rsidR="00F05B2F">
        <w:t xml:space="preserve"> </w:t>
      </w:r>
      <w:r>
        <w:t>authorisation</w:t>
      </w:r>
      <w:r w:rsidR="00F05B2F">
        <w:t xml:space="preserve"> by APRA</w:t>
      </w:r>
      <w:r w:rsidR="005E2A69">
        <w:t xml:space="preserve"> to carry on its business as a general insurer</w:t>
      </w:r>
      <w:r>
        <w:t>, including a prohibition on</w:t>
      </w:r>
      <w:r w:rsidR="00F05B2F">
        <w:t xml:space="preserve"> its</w:t>
      </w:r>
      <w:r>
        <w:t xml:space="preserve"> underwriting new business and on its ability to extract </w:t>
      </w:r>
      <w:r w:rsidR="00EC1756">
        <w:t xml:space="preserve"> return of </w:t>
      </w:r>
      <w:r>
        <w:t>capital</w:t>
      </w:r>
      <w:r w:rsidR="00EC1756">
        <w:t xml:space="preserve"> from the business</w:t>
      </w:r>
      <w:r>
        <w:t xml:space="preserve"> without the consent of APRA.  It has no remaining live exposures or unearned premiums and its only insurance liabilities are comprised of outstanding claims.</w:t>
      </w:r>
    </w:p>
    <w:p w:rsidR="00E118CD" w:rsidRDefault="00E118CD" w:rsidP="00DB5CB7">
      <w:pPr>
        <w:pStyle w:val="ParaNumbering"/>
      </w:pPr>
      <w:r>
        <w:t xml:space="preserve">The </w:t>
      </w:r>
      <w:r w:rsidR="00C326A8">
        <w:t>r</w:t>
      </w:r>
      <w:r w:rsidR="00F05B2F">
        <w:t>eport of Ms O’Sullivan</w:t>
      </w:r>
      <w:r w:rsidR="00CA71DC">
        <w:t xml:space="preserve"> states that as at 31 September 2015, </w:t>
      </w:r>
      <w:r w:rsidR="00FE08BB">
        <w:t>Gordian</w:t>
      </w:r>
      <w:r w:rsidR="00CA71DC">
        <w:t>’</w:t>
      </w:r>
      <w:r w:rsidR="005E2A69">
        <w:t xml:space="preserve">s total net </w:t>
      </w:r>
      <w:r w:rsidR="00DA68FB">
        <w:t xml:space="preserve">claims </w:t>
      </w:r>
      <w:r w:rsidR="005E2A69">
        <w:t xml:space="preserve">liabilities at 75% </w:t>
      </w:r>
      <w:r w:rsidR="00F05B2F">
        <w:t>p</w:t>
      </w:r>
      <w:r w:rsidR="005E2A69">
        <w:t xml:space="preserve">robability of </w:t>
      </w:r>
      <w:r w:rsidR="00F05B2F">
        <w:t>s</w:t>
      </w:r>
      <w:r w:rsidR="00DA68FB">
        <w:t>ufficiency amounted to</w:t>
      </w:r>
      <w:r w:rsidR="00CA71DC">
        <w:t xml:space="preserve"> $85,900,000. Its</w:t>
      </w:r>
      <w:r w:rsidR="00DA68FB">
        <w:t xml:space="preserve"> total assets amounted to $210,</w:t>
      </w:r>
      <w:r w:rsidR="00CA71DC">
        <w:t xml:space="preserve">100,000, and total liabilities </w:t>
      </w:r>
      <w:r w:rsidR="00F05B2F">
        <w:t>to</w:t>
      </w:r>
      <w:r w:rsidR="00CA71DC">
        <w:t xml:space="preserve"> $103,700,000</w:t>
      </w:r>
      <w:r w:rsidR="00F05B2F">
        <w:t>. Its net assets were</w:t>
      </w:r>
      <w:r w:rsidR="00CA71DC">
        <w:t xml:space="preserve"> $106,400,000</w:t>
      </w:r>
      <w:r w:rsidR="00F05B2F">
        <w:t xml:space="preserve"> and its</w:t>
      </w:r>
      <w:r w:rsidR="00CA71DC">
        <w:t xml:space="preserve"> solvency coverage range was 4.8.</w:t>
      </w:r>
    </w:p>
    <w:p w:rsidR="00880EEC" w:rsidRDefault="00CA71DC" w:rsidP="00CD77C6">
      <w:pPr>
        <w:pStyle w:val="ParaNumbering"/>
      </w:pPr>
      <w:r>
        <w:t xml:space="preserve">In her affidavit sworn 1 June 2016, Ms O’Sullivan states that since </w:t>
      </w:r>
      <w:r w:rsidR="00EC1756">
        <w:t>her</w:t>
      </w:r>
      <w:r w:rsidR="00B3387D">
        <w:t xml:space="preserve"> report</w:t>
      </w:r>
      <w:r>
        <w:t xml:space="preserve">, </w:t>
      </w:r>
      <w:r w:rsidR="00FE08BB">
        <w:t>Gordian</w:t>
      </w:r>
      <w:r>
        <w:t>, with the consent of APRA, reduced its cap</w:t>
      </w:r>
      <w:r w:rsidR="00B5786D">
        <w:t xml:space="preserve">ital position by $23.7 million. </w:t>
      </w:r>
      <w:r w:rsidR="003C5CE3">
        <w:t xml:space="preserve">In oral evidence at the hearing, Ms O’Sullivan explained the significance of this as an indicator of the satisfactory </w:t>
      </w:r>
      <w:r w:rsidR="003D663A">
        <w:t>financial</w:t>
      </w:r>
      <w:r w:rsidR="003C5CE3">
        <w:t xml:space="preserve"> position of Gordian, given that</w:t>
      </w:r>
      <w:r w:rsidR="00B5786D">
        <w:t xml:space="preserve"> APRA will only approve such </w:t>
      </w:r>
      <w:r w:rsidR="003C5CE3">
        <w:t xml:space="preserve">reductions of capital </w:t>
      </w:r>
      <w:r w:rsidR="00CD77C6">
        <w:t>when the insurance liabilities of an insurer in run-off are valued to a 99.5 per cent probability of sufficiency</w:t>
      </w:r>
    </w:p>
    <w:p w:rsidR="00F05B2F" w:rsidRDefault="00880EEC" w:rsidP="00B3387D">
      <w:pPr>
        <w:pStyle w:val="ParaNumbering"/>
      </w:pPr>
      <w:r>
        <w:t>As with Poseidon, Ms O’Sullivan undertook a further review of the solvency and capital adequacy position</w:t>
      </w:r>
      <w:r w:rsidR="00EC1756">
        <w:t xml:space="preserve"> of Gordian</w:t>
      </w:r>
      <w:r>
        <w:t xml:space="preserve">. Attached to </w:t>
      </w:r>
      <w:r w:rsidR="00186ED4">
        <w:t xml:space="preserve">Exhibit SOS3 of </w:t>
      </w:r>
      <w:r>
        <w:t xml:space="preserve">her affidavit, affirmed 2 June 2016, are extracts from </w:t>
      </w:r>
      <w:r w:rsidR="00FE08BB">
        <w:t>Gordian</w:t>
      </w:r>
      <w:r>
        <w:t>’s quarterly APRA return, specifically its Prescribed Capital Amount and Statement of Financial Position. As at 31 March 2016,</w:t>
      </w:r>
      <w:r w:rsidR="004800A5">
        <w:t xml:space="preserve"> its total outstanding claims liabilities amounted to $88,504,000 and its total assets to $540,480,000. Its total liabilities were $94,072,000 and its net assets were $446,336,000. Its s</w:t>
      </w:r>
      <w:r w:rsidR="00B3387D">
        <w:t xml:space="preserve">olvency ratio coverage </w:t>
      </w:r>
      <w:r w:rsidR="00B3387D">
        <w:lastRenderedPageBreak/>
        <w:t>was 3.85, the</w:t>
      </w:r>
      <w:r w:rsidR="00186ED4">
        <w:t xml:space="preserve"> </w:t>
      </w:r>
      <w:r w:rsidR="00B3387D">
        <w:t xml:space="preserve">drop from September </w:t>
      </w:r>
      <w:r w:rsidR="00186ED4">
        <w:t>in large part</w:t>
      </w:r>
      <w:r w:rsidR="00B3387D">
        <w:t xml:space="preserve"> </w:t>
      </w:r>
      <w:r w:rsidR="00186ED4">
        <w:t>attributable to</w:t>
      </w:r>
      <w:r w:rsidR="00B3387D">
        <w:t xml:space="preserve"> the</w:t>
      </w:r>
      <w:r w:rsidR="00186ED4">
        <w:t xml:space="preserve"> recent</w:t>
      </w:r>
      <w:r w:rsidR="00B3387D">
        <w:t xml:space="preserve"> APRA-approved capital release.</w:t>
      </w:r>
    </w:p>
    <w:p w:rsidR="004800A5" w:rsidRDefault="00681A32" w:rsidP="004800A5">
      <w:pPr>
        <w:pStyle w:val="Heading1"/>
      </w:pPr>
      <w:r>
        <w:t xml:space="preserve">Background and outline of the transfer </w:t>
      </w:r>
    </w:p>
    <w:p w:rsidR="004800A5" w:rsidRDefault="004800A5" w:rsidP="004800A5">
      <w:pPr>
        <w:pStyle w:val="ParaNumbering"/>
      </w:pPr>
      <w:r>
        <w:t>Kenmare Holdings Ltd (</w:t>
      </w:r>
      <w:r>
        <w:rPr>
          <w:b/>
        </w:rPr>
        <w:t>Kenmare</w:t>
      </w:r>
      <w:r>
        <w:t>), a foreign company incorporated in Bermuda</w:t>
      </w:r>
      <w:r w:rsidR="00681A32">
        <w:t xml:space="preserve"> and wholly owned subsidiary of Enstar</w:t>
      </w:r>
      <w:r w:rsidR="00674928">
        <w:t xml:space="preserve"> Group Limited</w:t>
      </w:r>
      <w:r>
        <w:t xml:space="preserve">, acquired all of the issued and outstanding share capital </w:t>
      </w:r>
      <w:r w:rsidR="001755C4">
        <w:t xml:space="preserve">of Poseidon </w:t>
      </w:r>
      <w:r w:rsidR="00CA297C">
        <w:t>on 2 November 2015.</w:t>
      </w:r>
    </w:p>
    <w:p w:rsidR="00CA297C" w:rsidRDefault="00681A32" w:rsidP="004800A5">
      <w:pPr>
        <w:pStyle w:val="ParaNumbering"/>
      </w:pPr>
      <w:r>
        <w:t xml:space="preserve">As Poseidon’s runoff has </w:t>
      </w:r>
      <w:r w:rsidR="00186ED4">
        <w:t>been assumed by</w:t>
      </w:r>
      <w:r>
        <w:t xml:space="preserve"> Enstar</w:t>
      </w:r>
      <w:r w:rsidR="00674928">
        <w:t xml:space="preserve"> Group Limited</w:t>
      </w:r>
      <w:r>
        <w:t xml:space="preserve">, the </w:t>
      </w:r>
      <w:r w:rsidR="00CA297C">
        <w:t xml:space="preserve">purpose of </w:t>
      </w:r>
      <w:r w:rsidR="00186ED4">
        <w:t>the scheme</w:t>
      </w:r>
      <w:r w:rsidR="001755C4">
        <w:t xml:space="preserve"> before the Court is to transfer the insurance liabilities of one</w:t>
      </w:r>
      <w:r w:rsidR="00186ED4">
        <w:t xml:space="preserve"> of</w:t>
      </w:r>
      <w:r w:rsidR="001755C4">
        <w:t xml:space="preserve"> </w:t>
      </w:r>
      <w:r w:rsidR="00186ED4">
        <w:t>Enstar’</w:t>
      </w:r>
      <w:r>
        <w:t>s Australian subsidiaries</w:t>
      </w:r>
      <w:r w:rsidR="00186ED4">
        <w:t xml:space="preserve">, that </w:t>
      </w:r>
      <w:proofErr w:type="gramStart"/>
      <w:r w:rsidR="00186ED4">
        <w:t>is</w:t>
      </w:r>
      <w:proofErr w:type="gramEnd"/>
      <w:r w:rsidR="00186ED4">
        <w:t xml:space="preserve"> </w:t>
      </w:r>
      <w:r w:rsidR="001755C4">
        <w:t xml:space="preserve">Poseidon, to the Australian subsidiary in which Enstar holds most of its Australian insurance liabilities, </w:t>
      </w:r>
      <w:r w:rsidR="00674928">
        <w:t>that is</w:t>
      </w:r>
      <w:r w:rsidR="001755C4">
        <w:t xml:space="preserve"> </w:t>
      </w:r>
      <w:r w:rsidR="00FE08BB">
        <w:t>Gordian</w:t>
      </w:r>
      <w:r w:rsidR="001755C4">
        <w:t>.</w:t>
      </w:r>
    </w:p>
    <w:p w:rsidR="00681A32" w:rsidRDefault="00681A32" w:rsidP="004800A5">
      <w:pPr>
        <w:pStyle w:val="ParaNumbering"/>
      </w:pPr>
      <w:r>
        <w:t xml:space="preserve">The key elements of the transfer, as set out in </w:t>
      </w:r>
      <w:r w:rsidR="00334C63">
        <w:t>Ms O’Sullivan’s</w:t>
      </w:r>
      <w:r>
        <w:t xml:space="preserve"> report, are:</w:t>
      </w:r>
    </w:p>
    <w:p w:rsidR="00681A32" w:rsidRDefault="00681A32" w:rsidP="00681A32">
      <w:pPr>
        <w:pStyle w:val="ListNo2"/>
      </w:pPr>
      <w:r>
        <w:t xml:space="preserve">All liabilities of insurance policies written or assumed </w:t>
      </w:r>
      <w:r w:rsidR="0007025C">
        <w:t xml:space="preserve">by Poseidon (the transferring policies) to be transferred to </w:t>
      </w:r>
      <w:r w:rsidR="00FE08BB">
        <w:t>Gordian</w:t>
      </w:r>
    </w:p>
    <w:p w:rsidR="0007025C" w:rsidRDefault="0007025C" w:rsidP="00681A32">
      <w:pPr>
        <w:pStyle w:val="ListNo2"/>
      </w:pPr>
      <w:r>
        <w:t xml:space="preserve">All general insurance business carried on by Poseidon to be transferred to </w:t>
      </w:r>
      <w:r w:rsidR="00FE08BB">
        <w:t>Gordian</w:t>
      </w:r>
    </w:p>
    <w:p w:rsidR="0007025C" w:rsidRDefault="0007025C" w:rsidP="00681A32">
      <w:pPr>
        <w:pStyle w:val="ListNo2"/>
      </w:pPr>
      <w:r>
        <w:t xml:space="preserve">All entitlements to reinsurance and other indemnities supporting Poseidon’s liabilities under the transferring policies to be transferred to </w:t>
      </w:r>
      <w:r w:rsidR="00FE08BB">
        <w:t>Gordian</w:t>
      </w:r>
    </w:p>
    <w:p w:rsidR="00154AFE" w:rsidRDefault="00154AFE" w:rsidP="00154AFE">
      <w:pPr>
        <w:pStyle w:val="ParaNumbering"/>
      </w:pPr>
      <w:r>
        <w:t>Gordion will receive $26,000 as consideration for the transferring policies.</w:t>
      </w:r>
    </w:p>
    <w:p w:rsidR="0007025C" w:rsidRDefault="0007025C" w:rsidP="0007025C">
      <w:pPr>
        <w:pStyle w:val="ParaNumbering"/>
      </w:pPr>
      <w:r>
        <w:t xml:space="preserve">In additions, certain assets associated with the transferring policies will transfer from Poseidon to </w:t>
      </w:r>
      <w:r w:rsidR="00FE08BB">
        <w:t>Gordian</w:t>
      </w:r>
      <w:r>
        <w:t>, including:</w:t>
      </w:r>
    </w:p>
    <w:p w:rsidR="0007025C" w:rsidRDefault="0007025C" w:rsidP="00F376A4">
      <w:pPr>
        <w:pStyle w:val="ListNo2"/>
        <w:numPr>
          <w:ilvl w:val="1"/>
          <w:numId w:val="24"/>
        </w:numPr>
      </w:pPr>
      <w:r>
        <w:t>All rights, title, interest, benefits and powers of Poseidon under the transferring policies</w:t>
      </w:r>
    </w:p>
    <w:p w:rsidR="0007025C" w:rsidRDefault="0007025C" w:rsidP="00F376A4">
      <w:pPr>
        <w:pStyle w:val="ListNo2"/>
        <w:numPr>
          <w:ilvl w:val="1"/>
          <w:numId w:val="24"/>
        </w:numPr>
      </w:pPr>
      <w:r>
        <w:t>All rights, title, interest, benefits and powers in all claims of  Poseidon against a policyholder or any third party arising out of the transferring policies</w:t>
      </w:r>
    </w:p>
    <w:p w:rsidR="0007025C" w:rsidRDefault="0007025C" w:rsidP="00F376A4">
      <w:pPr>
        <w:pStyle w:val="ListNo2"/>
        <w:numPr>
          <w:ilvl w:val="1"/>
          <w:numId w:val="24"/>
        </w:numPr>
      </w:pPr>
      <w:r>
        <w:t>All claims, personal information and other client files of Poseidon in relation to the transferring policies</w:t>
      </w:r>
    </w:p>
    <w:p w:rsidR="0007025C" w:rsidRDefault="00FE08BB" w:rsidP="00154AFE">
      <w:pPr>
        <w:pStyle w:val="ParaNumbering"/>
      </w:pPr>
      <w:r>
        <w:t>Gordian</w:t>
      </w:r>
      <w:r w:rsidR="00154AFE">
        <w:t xml:space="preserve"> will pay consideration of $2.00 in respect of the transferring assets.</w:t>
      </w:r>
    </w:p>
    <w:p w:rsidR="005E2A69" w:rsidRDefault="00285517" w:rsidP="00285517">
      <w:pPr>
        <w:pStyle w:val="Heading1"/>
      </w:pPr>
      <w:r>
        <w:t>The legislative framework</w:t>
      </w:r>
    </w:p>
    <w:p w:rsidR="00285517" w:rsidRDefault="00285517" w:rsidP="00285517">
      <w:pPr>
        <w:pStyle w:val="ParaNumbering"/>
      </w:pPr>
      <w:r>
        <w:t xml:space="preserve">Division 3A of </w:t>
      </w:r>
      <w:r w:rsidR="00186ED4">
        <w:t xml:space="preserve">Part III of </w:t>
      </w:r>
      <w:r>
        <w:t>the Act relevantly deals with the transfer of an insurance business.</w:t>
      </w:r>
    </w:p>
    <w:p w:rsidR="00285517" w:rsidRDefault="00285517" w:rsidP="00285517">
      <w:pPr>
        <w:pStyle w:val="ParaNumbering"/>
      </w:pPr>
      <w:r>
        <w:lastRenderedPageBreak/>
        <w:t>Section 17B(1) provides that no part of the insurance business of a general insurer may be transferred to another general insurer or amalgamated with the business of another general insurer except under a scheme confirmed by the Court.</w:t>
      </w:r>
    </w:p>
    <w:p w:rsidR="00285517" w:rsidRDefault="008F2633" w:rsidP="00285517">
      <w:pPr>
        <w:pStyle w:val="ParaNumbering"/>
      </w:pPr>
      <w:r>
        <w:t>The</w:t>
      </w:r>
      <w:r w:rsidR="00285517">
        <w:t xml:space="preserve"> </w:t>
      </w:r>
      <w:r>
        <w:t>application for confirmation</w:t>
      </w:r>
      <w:r w:rsidR="00285517">
        <w:t xml:space="preserve"> can be made by any of the </w:t>
      </w:r>
      <w:r>
        <w:t>bodies corporate affected by the scheme, provided that application is made in accordance with prudential standards: s</w:t>
      </w:r>
      <w:r w:rsidR="001B4E46">
        <w:t>s</w:t>
      </w:r>
      <w:r w:rsidR="00674928">
        <w:t xml:space="preserve"> </w:t>
      </w:r>
      <w:proofErr w:type="gramStart"/>
      <w:r w:rsidR="001B4E46">
        <w:t>17E(</w:t>
      </w:r>
      <w:proofErr w:type="gramEnd"/>
      <w:r w:rsidR="001B4E46">
        <w:t xml:space="preserve">1) and </w:t>
      </w:r>
      <w:r>
        <w:t xml:space="preserve">17E(2). Section 17A in substance says that a body corporate affected by the scheme refers to a body corporate that is a party or a proposed party to the contract by which the transfer provided for by the scheme is to be carried out. </w:t>
      </w:r>
      <w:r w:rsidR="00186ED4">
        <w:t>In this matter, it is</w:t>
      </w:r>
      <w:r>
        <w:t xml:space="preserve"> the transferee company, </w:t>
      </w:r>
      <w:r w:rsidR="00FE08BB">
        <w:t>Gordian</w:t>
      </w:r>
      <w:r>
        <w:t xml:space="preserve">, that brings the application for confirmation before the Court. </w:t>
      </w:r>
    </w:p>
    <w:p w:rsidR="008F2633" w:rsidRDefault="008F2633" w:rsidP="00285517">
      <w:pPr>
        <w:pStyle w:val="ParaNumbering"/>
      </w:pPr>
      <w:r>
        <w:t>The steps to be taken before an application for confirmation is heard</w:t>
      </w:r>
      <w:r w:rsidR="000F6649">
        <w:t xml:space="preserve"> by the Court</w:t>
      </w:r>
      <w:r>
        <w:t xml:space="preserve"> are outline</w:t>
      </w:r>
      <w:r w:rsidR="000F6649">
        <w:t>d</w:t>
      </w:r>
      <w:r>
        <w:t xml:space="preserve"> in s </w:t>
      </w:r>
      <w:proofErr w:type="gramStart"/>
      <w:r>
        <w:t>17C(</w:t>
      </w:r>
      <w:proofErr w:type="gramEnd"/>
      <w:r>
        <w:t>2).</w:t>
      </w:r>
    </w:p>
    <w:p w:rsidR="008F2633" w:rsidRDefault="008F2633" w:rsidP="00285517">
      <w:pPr>
        <w:pStyle w:val="ParaNumbering"/>
      </w:pPr>
      <w:r>
        <w:t>Section 17F(1) states the Court may confirm the scheme without modification, confirm the scheme subject to such modifications as it thinks appropriate, or refuse to confirm the scheme.</w:t>
      </w:r>
    </w:p>
    <w:p w:rsidR="008F2633" w:rsidRDefault="008F2633" w:rsidP="008F2633">
      <w:pPr>
        <w:pStyle w:val="Heading1"/>
      </w:pPr>
      <w:r>
        <w:t>the discretion to confirm the scheme</w:t>
      </w:r>
    </w:p>
    <w:p w:rsidR="008F2633" w:rsidRDefault="008F2633" w:rsidP="008F2633">
      <w:pPr>
        <w:pStyle w:val="ParaNumbering"/>
      </w:pPr>
      <w:r>
        <w:t xml:space="preserve">The Court is required to have regard to several factors when exercising its discretion under s 17F(1). Section 17F(1A) </w:t>
      </w:r>
      <w:r w:rsidR="000F6649">
        <w:t xml:space="preserve">relevantly </w:t>
      </w:r>
      <w:r>
        <w:t>provides:</w:t>
      </w:r>
    </w:p>
    <w:p w:rsidR="008F2633" w:rsidRDefault="008F2633" w:rsidP="008F2633">
      <w:pPr>
        <w:pStyle w:val="Quote1"/>
      </w:pPr>
      <w:r>
        <w:t>(1A) In deciding whether to confirm a scheme (with or without modification), the Federal Court must have regard to:</w:t>
      </w:r>
    </w:p>
    <w:p w:rsidR="008F2633" w:rsidRDefault="008F2633" w:rsidP="008F2633">
      <w:pPr>
        <w:pStyle w:val="Quote2"/>
      </w:pPr>
      <w:r>
        <w:t>(a) the interests of the policyholders of a body corporate affected by the scheme; and</w:t>
      </w:r>
    </w:p>
    <w:p w:rsidR="008F2633" w:rsidRDefault="008F2633" w:rsidP="008F2633">
      <w:pPr>
        <w:pStyle w:val="Quote2"/>
      </w:pPr>
      <w:r>
        <w:t>(b) if a report relevant to all or part of the scheme has been filed with the Court under section 62ZI—that report; and</w:t>
      </w:r>
    </w:p>
    <w:p w:rsidR="008F2633" w:rsidRDefault="008F2633" w:rsidP="008F2633">
      <w:pPr>
        <w:pStyle w:val="Quote2"/>
      </w:pPr>
      <w:r>
        <w:t>(c) any other matter the Court considers relevant.</w:t>
      </w:r>
    </w:p>
    <w:p w:rsidR="008F2633" w:rsidRDefault="00EE2B1B" w:rsidP="008F2633">
      <w:pPr>
        <w:pStyle w:val="ParaNumbering"/>
      </w:pPr>
      <w:r>
        <w:t>Subsection (b) is not relevant to the scheme before the Court.</w:t>
      </w:r>
    </w:p>
    <w:p w:rsidR="00EE2B1B" w:rsidRDefault="00687B4F" w:rsidP="001B4E46">
      <w:pPr>
        <w:pStyle w:val="ParaNumbering"/>
      </w:pPr>
      <w:r>
        <w:t>The</w:t>
      </w:r>
      <w:r w:rsidR="00EE2B1B">
        <w:t xml:space="preserve"> </w:t>
      </w:r>
      <w:r>
        <w:t>case law on transfers of schemes, including those made pursuant to the Act and those made pursuant to</w:t>
      </w:r>
      <w:r w:rsidR="00674928">
        <w:t xml:space="preserve"> the</w:t>
      </w:r>
      <w:r>
        <w:t xml:space="preserve"> similar provisions of the </w:t>
      </w:r>
      <w:r>
        <w:rPr>
          <w:i/>
        </w:rPr>
        <w:t>Life Insurance Act 1995</w:t>
      </w:r>
      <w:r>
        <w:t xml:space="preserve"> (Cth),</w:t>
      </w:r>
      <w:r w:rsidR="00EE2B1B">
        <w:t xml:space="preserve"> </w:t>
      </w:r>
      <w:r>
        <w:t xml:space="preserve">has </w:t>
      </w:r>
      <w:r w:rsidR="000F6649">
        <w:t xml:space="preserve">emphasised as </w:t>
      </w:r>
      <w:r w:rsidR="00674928">
        <w:t xml:space="preserve">central to the Court’s inquiry whether </w:t>
      </w:r>
      <w:r w:rsidR="00EE2B1B">
        <w:t xml:space="preserve"> ‘affected policyholders’ </w:t>
      </w:r>
      <w:r w:rsidR="00674928">
        <w:t>may</w:t>
      </w:r>
      <w:r w:rsidR="00EE2B1B">
        <w:t xml:space="preserve"> experience a material detriment as a result of the transfer or amalgamation of scheme: </w:t>
      </w:r>
      <w:r w:rsidR="00EE2B1B" w:rsidRPr="00687B4F">
        <w:rPr>
          <w:i/>
        </w:rPr>
        <w:t xml:space="preserve">Re Insurance Australia Ltd </w:t>
      </w:r>
      <w:r w:rsidR="001B4E46" w:rsidRPr="001B4E46">
        <w:t>[2004] FCA 524</w:t>
      </w:r>
      <w:r w:rsidR="001B4E46">
        <w:t xml:space="preserve">; </w:t>
      </w:r>
      <w:r w:rsidR="00EE2B1B">
        <w:t xml:space="preserve">139 FCR 450 at </w:t>
      </w:r>
      <w:r w:rsidR="000F6649">
        <w:t xml:space="preserve">465 </w:t>
      </w:r>
      <w:r w:rsidR="00EE2B1B">
        <w:t xml:space="preserve">[76]; </w:t>
      </w:r>
      <w:r w:rsidR="00EE2B1B" w:rsidRPr="00687B4F">
        <w:rPr>
          <w:i/>
        </w:rPr>
        <w:t xml:space="preserve">In the matter of GIO Personal Investment Services Ltd and AMP Life Ltd </w:t>
      </w:r>
      <w:r w:rsidR="00EE2B1B">
        <w:t>[2000] FCA 1871 at [27].</w:t>
      </w:r>
    </w:p>
    <w:p w:rsidR="006E4F68" w:rsidRDefault="006E4F68" w:rsidP="006E4F68">
      <w:pPr>
        <w:pStyle w:val="ParaNumbering"/>
      </w:pPr>
      <w:r>
        <w:lastRenderedPageBreak/>
        <w:t xml:space="preserve">The expression ‘affected policyholder’ is defined in s 17C of the Act as the ‘holder of a policy affected by a scheme’. In </w:t>
      </w:r>
      <w:r>
        <w:rPr>
          <w:i/>
        </w:rPr>
        <w:t xml:space="preserve">Re Insurance Australia Limited </w:t>
      </w:r>
      <w:r>
        <w:t>Lindgren J held at</w:t>
      </w:r>
      <w:r w:rsidR="000D0B8D">
        <w:t xml:space="preserve"> </w:t>
      </w:r>
      <w:r>
        <w:t xml:space="preserve">[19]-[24] that for the purposes of s 17C, ‘affected policyholders’ will refer only to the holders of a policy being transferred under the scheme, in this case </w:t>
      </w:r>
      <w:r w:rsidR="00674928">
        <w:t>the</w:t>
      </w:r>
      <w:r>
        <w:t xml:space="preserve"> policyholders of Poseidon.  For the purposes of s 17C, therefore</w:t>
      </w:r>
      <w:r w:rsidR="005855E8">
        <w:t>, it</w:t>
      </w:r>
      <w:r>
        <w:t xml:space="preserve"> is the policyholders of the transferor insurer that must be provided with an approved summary of the scheme</w:t>
      </w:r>
      <w:r w:rsidR="000F6649">
        <w:t xml:space="preserve"> before an application is made</w:t>
      </w:r>
      <w:r>
        <w:t>.</w:t>
      </w:r>
    </w:p>
    <w:p w:rsidR="006E4F68" w:rsidRDefault="006E4F68" w:rsidP="006E4F68">
      <w:pPr>
        <w:pStyle w:val="ParaNumbering"/>
      </w:pPr>
      <w:r>
        <w:t xml:space="preserve">Nevertheless, when the Court </w:t>
      </w:r>
      <w:r w:rsidR="000F6649">
        <w:t>is making its decision</w:t>
      </w:r>
      <w:r>
        <w:t xml:space="preserve"> whether to confirm the scheme with or without modification under s </w:t>
      </w:r>
      <w:proofErr w:type="gramStart"/>
      <w:r>
        <w:t>17F(</w:t>
      </w:r>
      <w:proofErr w:type="gramEnd"/>
      <w:r>
        <w:t>1), the insertion of s</w:t>
      </w:r>
      <w:r w:rsidR="003E3C83">
        <w:t xml:space="preserve"> </w:t>
      </w:r>
      <w:r>
        <w:t xml:space="preserve">17F(1A)(a) makes clear that the Court </w:t>
      </w:r>
      <w:r w:rsidR="005855E8">
        <w:t>must consider</w:t>
      </w:r>
      <w:r>
        <w:t xml:space="preserve"> the interests of policyholders of both the transferor insurer (Poseidon) and transferee insurer (</w:t>
      </w:r>
      <w:r w:rsidR="00FE08BB">
        <w:t>Gordian</w:t>
      </w:r>
      <w:r w:rsidR="008D3352">
        <w:t xml:space="preserve">): See </w:t>
      </w:r>
      <w:r w:rsidR="008D3352">
        <w:rPr>
          <w:rFonts w:ascii="Times-Italic" w:hAnsi="Times-Italic" w:cs="Times-Italic"/>
          <w:i/>
          <w:iCs/>
          <w:szCs w:val="24"/>
          <w:lang w:eastAsia="en-AU"/>
        </w:rPr>
        <w:t xml:space="preserve">Westport Insurance Corporation (No 2) </w:t>
      </w:r>
      <w:r w:rsidR="008D3352">
        <w:rPr>
          <w:rFonts w:ascii="Times-Roman" w:hAnsi="Times-Roman" w:cs="Times-Roman"/>
          <w:szCs w:val="24"/>
          <w:lang w:eastAsia="en-AU"/>
        </w:rPr>
        <w:t xml:space="preserve">[2009] FCA 1958; </w:t>
      </w:r>
      <w:r w:rsidR="008D3352">
        <w:rPr>
          <w:sz w:val="23"/>
          <w:szCs w:val="23"/>
        </w:rPr>
        <w:t>181 FCR 530</w:t>
      </w:r>
      <w:r w:rsidR="008D3352">
        <w:t xml:space="preserve"> </w:t>
      </w:r>
      <w:r w:rsidR="008D3352">
        <w:rPr>
          <w:rFonts w:ascii="Times-Roman" w:hAnsi="Times-Roman" w:cs="Times-Roman"/>
          <w:szCs w:val="24"/>
          <w:lang w:eastAsia="en-AU"/>
        </w:rPr>
        <w:t>at</w:t>
      </w:r>
      <w:r w:rsidR="00D84271">
        <w:rPr>
          <w:rFonts w:ascii="Times-Roman" w:hAnsi="Times-Roman" w:cs="Times-Roman"/>
          <w:szCs w:val="24"/>
          <w:lang w:eastAsia="en-AU"/>
        </w:rPr>
        <w:t xml:space="preserve"> 537</w:t>
      </w:r>
      <w:r w:rsidR="008D3352">
        <w:rPr>
          <w:rFonts w:ascii="Times-Roman" w:hAnsi="Times-Roman" w:cs="Times-Roman"/>
          <w:szCs w:val="24"/>
          <w:lang w:eastAsia="en-AU"/>
        </w:rPr>
        <w:t xml:space="preserve"> [</w:t>
      </w:r>
      <w:r w:rsidR="00D84271">
        <w:rPr>
          <w:rFonts w:ascii="Times-Roman" w:hAnsi="Times-Roman" w:cs="Times-Roman"/>
          <w:szCs w:val="24"/>
          <w:lang w:eastAsia="en-AU"/>
        </w:rPr>
        <w:t>44</w:t>
      </w:r>
      <w:r w:rsidR="008D3352">
        <w:rPr>
          <w:rFonts w:ascii="Times-Roman" w:hAnsi="Times-Roman" w:cs="Times-Roman"/>
          <w:szCs w:val="24"/>
          <w:lang w:eastAsia="en-AU"/>
        </w:rPr>
        <w:t>].</w:t>
      </w:r>
    </w:p>
    <w:p w:rsidR="005855E8" w:rsidRDefault="005855E8" w:rsidP="005855E8">
      <w:pPr>
        <w:pStyle w:val="Heading1"/>
      </w:pPr>
      <w:r>
        <w:t>factors relevant to the exercise of the discretion</w:t>
      </w:r>
    </w:p>
    <w:p w:rsidR="005855E8" w:rsidRDefault="005E50B1" w:rsidP="005855E8">
      <w:pPr>
        <w:pStyle w:val="ParaNumbering"/>
      </w:pPr>
      <w:r>
        <w:t xml:space="preserve">In considering </w:t>
      </w:r>
      <w:r w:rsidR="00674928">
        <w:t>whether the transfer will be of material detriment to the</w:t>
      </w:r>
      <w:r>
        <w:t xml:space="preserve"> interests of the policyholders of Poseidon and </w:t>
      </w:r>
      <w:r w:rsidR="00FE08BB">
        <w:t>Gordian</w:t>
      </w:r>
      <w:r>
        <w:t>, it is necessary to consider the financial and solvency impact of the transfer.</w:t>
      </w:r>
    </w:p>
    <w:p w:rsidR="006E4F68" w:rsidRDefault="00FE08BB" w:rsidP="00EC405D">
      <w:pPr>
        <w:pStyle w:val="ParaNumbering"/>
      </w:pPr>
      <w:r>
        <w:t>Gordian</w:t>
      </w:r>
      <w:r w:rsidR="005E50B1">
        <w:t xml:space="preserve">’s post-transfer solvency position is relevant to the transferring policyholders of Poseidon, as they will be required to look to </w:t>
      </w:r>
      <w:r>
        <w:t>Gordian</w:t>
      </w:r>
      <w:r w:rsidR="005E50B1">
        <w:t xml:space="preserve"> for the satisfaction of their claims. Just as before the transfer, the existing policyholders of </w:t>
      </w:r>
      <w:r>
        <w:t>Gordian</w:t>
      </w:r>
      <w:r w:rsidR="005E50B1">
        <w:t xml:space="preserve"> also will continue to require </w:t>
      </w:r>
      <w:r>
        <w:t>Gordian</w:t>
      </w:r>
      <w:r w:rsidR="005E50B1">
        <w:t xml:space="preserve"> to satisfy their claims.  For this reasons, the Court must be satisfied</w:t>
      </w:r>
      <w:r w:rsidR="000F6649">
        <w:t xml:space="preserve"> from the evidence</w:t>
      </w:r>
      <w:r w:rsidR="005E50B1">
        <w:t xml:space="preserve"> that </w:t>
      </w:r>
      <w:r>
        <w:t>Gordian</w:t>
      </w:r>
      <w:r w:rsidR="005E50B1">
        <w:t xml:space="preserve"> </w:t>
      </w:r>
      <w:r w:rsidR="000F6649">
        <w:t xml:space="preserve">will have </w:t>
      </w:r>
      <w:r w:rsidR="00CE1573">
        <w:t xml:space="preserve">sufficient capital to afford </w:t>
      </w:r>
      <w:r w:rsidR="005E50B1">
        <w:t>adequate protection</w:t>
      </w:r>
      <w:r w:rsidR="00CE1573">
        <w:t xml:space="preserve"> to both groups of policyholders</w:t>
      </w:r>
      <w:r w:rsidR="005E50B1">
        <w:t>.</w:t>
      </w:r>
    </w:p>
    <w:p w:rsidR="00EC405D" w:rsidRDefault="00EC405D" w:rsidP="00EC405D">
      <w:pPr>
        <w:pStyle w:val="ParaNumbering"/>
      </w:pPr>
      <w:r>
        <w:t>The change in solvency coverage to be experienced by the transferring and existing policyholders also speaks to the question of whether either group will suffer a material detriment as a result of the scheme.</w:t>
      </w:r>
    </w:p>
    <w:p w:rsidR="00EC405D" w:rsidRDefault="00EC405D" w:rsidP="00EC405D">
      <w:pPr>
        <w:pStyle w:val="ParaNumbering"/>
      </w:pPr>
      <w:r>
        <w:t xml:space="preserve">The financial reports of Poseidon and </w:t>
      </w:r>
      <w:r w:rsidR="00FE08BB">
        <w:t>Gordian</w:t>
      </w:r>
      <w:r>
        <w:t xml:space="preserve"> as at 31 March stated that the solvency coverage ratio:</w:t>
      </w:r>
    </w:p>
    <w:p w:rsidR="00EC405D" w:rsidRDefault="00EC405D" w:rsidP="00EC405D">
      <w:pPr>
        <w:pStyle w:val="ListNo2"/>
        <w:numPr>
          <w:ilvl w:val="1"/>
          <w:numId w:val="26"/>
        </w:numPr>
      </w:pPr>
      <w:r>
        <w:t>of Poseidon was 1.53</w:t>
      </w:r>
    </w:p>
    <w:p w:rsidR="00EC405D" w:rsidRDefault="00EC405D" w:rsidP="00EC405D">
      <w:pPr>
        <w:pStyle w:val="ListNo2"/>
        <w:numPr>
          <w:ilvl w:val="1"/>
          <w:numId w:val="26"/>
        </w:numPr>
      </w:pPr>
      <w:r>
        <w:t>of Gordion was 3.85</w:t>
      </w:r>
    </w:p>
    <w:p w:rsidR="009F4348" w:rsidRDefault="009F4348" w:rsidP="009F4348">
      <w:pPr>
        <w:pStyle w:val="ParaNumbering"/>
      </w:pPr>
      <w:r>
        <w:lastRenderedPageBreak/>
        <w:t xml:space="preserve">As a consequence of the transfer, Poseidon policyholders will enjoy an increase in the solvency coverage ratio of their insurer, while for existing </w:t>
      </w:r>
      <w:r w:rsidR="00FE08BB">
        <w:t>Gordian</w:t>
      </w:r>
      <w:r>
        <w:t xml:space="preserve"> policyholders, there will be no material change </w:t>
      </w:r>
      <w:r w:rsidR="000F6649">
        <w:t>in this respect</w:t>
      </w:r>
      <w:r>
        <w:t>.</w:t>
      </w:r>
    </w:p>
    <w:p w:rsidR="00CE1573" w:rsidRDefault="00416EF1" w:rsidP="009F4348">
      <w:pPr>
        <w:pStyle w:val="ParaNumbering"/>
      </w:pPr>
      <w:r>
        <w:t xml:space="preserve">In the particular circumstances of this scheme, </w:t>
      </w:r>
      <w:r w:rsidR="000F6649">
        <w:t>information on whether</w:t>
      </w:r>
      <w:r>
        <w:t xml:space="preserve"> solvency coverage ratios </w:t>
      </w:r>
      <w:r w:rsidR="000F6649">
        <w:t>will increase or decrease</w:t>
      </w:r>
      <w:r>
        <w:t xml:space="preserve"> </w:t>
      </w:r>
      <w:r w:rsidR="005D3FEB">
        <w:t>does not prove as</w:t>
      </w:r>
      <w:r w:rsidR="00CE1573">
        <w:t xml:space="preserve"> </w:t>
      </w:r>
      <w:r w:rsidR="005D3FEB">
        <w:t>significant</w:t>
      </w:r>
      <w:r w:rsidR="00CE1573">
        <w:t xml:space="preserve"> </w:t>
      </w:r>
      <w:r w:rsidR="000F6649">
        <w:t>as it</w:t>
      </w:r>
      <w:r>
        <w:t xml:space="preserve"> may be in other transfers of scheme. This is because </w:t>
      </w:r>
      <w:r w:rsidR="00CE1573">
        <w:t xml:space="preserve">usual methods of arriving at a figure for minimal capital have not been engaged </w:t>
      </w:r>
      <w:r w:rsidR="005D3FEB">
        <w:t>for</w:t>
      </w:r>
      <w:r w:rsidR="00CE1573">
        <w:t xml:space="preserve"> Poseidon because of the exemption afford to it by APRA.</w:t>
      </w:r>
    </w:p>
    <w:p w:rsidR="00CE1573" w:rsidRDefault="005D3FEB" w:rsidP="00CE1573">
      <w:pPr>
        <w:pStyle w:val="ParaNumbering"/>
      </w:pPr>
      <w:r>
        <w:t>For this reason</w:t>
      </w:r>
      <w:r w:rsidR="002F1099">
        <w:t xml:space="preserve">, I place greater emphasis on the conclusions in the </w:t>
      </w:r>
      <w:r>
        <w:t>Ms O’Sullivan’s report</w:t>
      </w:r>
      <w:r w:rsidR="002F1099">
        <w:t xml:space="preserve"> that </w:t>
      </w:r>
      <w:r w:rsidR="005E1B47">
        <w:t xml:space="preserve">Poseidon’s policyholders will benefit from the more diversified portfolio of </w:t>
      </w:r>
      <w:r w:rsidR="00FE08BB">
        <w:t>Gordian</w:t>
      </w:r>
      <w:r w:rsidR="005E1B47">
        <w:t xml:space="preserve"> as well as the fact that it holds significantly more net assets and capital.</w:t>
      </w:r>
      <w:r w:rsidR="002F04B7">
        <w:t xml:space="preserve"> The benefit of this for Poseidon policyholders may arise in the event where a particularly large claim arises that may have had a material impact o</w:t>
      </w:r>
      <w:r>
        <w:t>n</w:t>
      </w:r>
      <w:r w:rsidR="002F04B7">
        <w:t xml:space="preserve"> Poseidon’s ability to satisfy any other claims. Following the transfer, such a large claim would not affect the net assets of </w:t>
      </w:r>
      <w:r w:rsidR="00FE08BB">
        <w:t>Gordian</w:t>
      </w:r>
      <w:r w:rsidR="00CE1573">
        <w:t xml:space="preserve"> in the same way. I am satisfied, therefore, that the policyholders of Poseidon will not be detrimentally affected by the transfer in this respect, and may even experience benefits from the large</w:t>
      </w:r>
      <w:r>
        <w:t xml:space="preserve">r, more diversified </w:t>
      </w:r>
      <w:r w:rsidR="00CE1573">
        <w:t xml:space="preserve">portfolio of Gordian that would appear </w:t>
      </w:r>
      <w:r>
        <w:t>more resilient in respect of any</w:t>
      </w:r>
      <w:r w:rsidR="00CE1573">
        <w:t xml:space="preserve"> </w:t>
      </w:r>
      <w:r w:rsidR="00CE1573">
        <w:rPr>
          <w:lang w:eastAsia="en-AU"/>
        </w:rPr>
        <w:t>unexpected development in its claims profile.</w:t>
      </w:r>
    </w:p>
    <w:p w:rsidR="00D7797A" w:rsidRDefault="00CE1573" w:rsidP="00D7797A">
      <w:pPr>
        <w:pStyle w:val="ParaNumbering"/>
      </w:pPr>
      <w:r>
        <w:rPr>
          <w:lang w:eastAsia="en-AU"/>
        </w:rPr>
        <w:t xml:space="preserve">In order </w:t>
      </w:r>
      <w:r w:rsidR="00D7797A">
        <w:rPr>
          <w:lang w:eastAsia="en-AU"/>
        </w:rPr>
        <w:t>to meet my satisfaction</w:t>
      </w:r>
      <w:r w:rsidR="005D3FEB">
        <w:rPr>
          <w:lang w:eastAsia="en-AU"/>
        </w:rPr>
        <w:t xml:space="preserve"> further</w:t>
      </w:r>
      <w:r>
        <w:rPr>
          <w:lang w:eastAsia="en-AU"/>
        </w:rPr>
        <w:t xml:space="preserve"> that no material detriment will be experienced by Poseidon’s policyholders</w:t>
      </w:r>
      <w:r w:rsidR="00D7797A">
        <w:rPr>
          <w:lang w:eastAsia="en-AU"/>
        </w:rPr>
        <w:t xml:space="preserve">, Ms O’Sullivan </w:t>
      </w:r>
      <w:r w:rsidR="005D3FEB">
        <w:rPr>
          <w:lang w:eastAsia="en-AU"/>
        </w:rPr>
        <w:t>was called to give evidence</w:t>
      </w:r>
      <w:r w:rsidR="00D7797A">
        <w:rPr>
          <w:lang w:eastAsia="en-AU"/>
        </w:rPr>
        <w:t xml:space="preserve"> in the hearing on 6 June 2016</w:t>
      </w:r>
      <w:r w:rsidR="005D3FEB">
        <w:rPr>
          <w:lang w:eastAsia="en-AU"/>
        </w:rPr>
        <w:t xml:space="preserve"> and</w:t>
      </w:r>
      <w:r w:rsidR="00D7797A">
        <w:rPr>
          <w:lang w:eastAsia="en-AU"/>
        </w:rPr>
        <w:t xml:space="preserve"> to comment on whether, historically, there have been </w:t>
      </w:r>
      <w:r w:rsidR="00D84271">
        <w:rPr>
          <w:lang w:eastAsia="en-AU"/>
        </w:rPr>
        <w:t>any indicators of instability or</w:t>
      </w:r>
      <w:r w:rsidR="00D7797A">
        <w:rPr>
          <w:lang w:eastAsia="en-AU"/>
        </w:rPr>
        <w:t xml:space="preserve"> volatility in Gordian’s claims portfolio. Ms O’Sullivan commented while some classes have not performed as well as expected in Gordian’s international assumed reinsurance portfolio, the </w:t>
      </w:r>
      <w:r w:rsidR="00D7797A" w:rsidRPr="00D7797A">
        <w:rPr>
          <w:lang w:eastAsia="en-AU"/>
        </w:rPr>
        <w:t xml:space="preserve">incurred development </w:t>
      </w:r>
      <w:r w:rsidR="00D7797A">
        <w:rPr>
          <w:lang w:eastAsia="en-AU"/>
        </w:rPr>
        <w:t xml:space="preserve">overall has </w:t>
      </w:r>
      <w:r w:rsidR="00D7797A" w:rsidRPr="00D7797A">
        <w:rPr>
          <w:lang w:eastAsia="en-AU"/>
        </w:rPr>
        <w:t xml:space="preserve"> been positive</w:t>
      </w:r>
      <w:r w:rsidR="005D3FEB">
        <w:rPr>
          <w:lang w:eastAsia="en-AU"/>
        </w:rPr>
        <w:t xml:space="preserve"> for the company</w:t>
      </w:r>
      <w:r w:rsidR="00D7797A">
        <w:rPr>
          <w:lang w:eastAsia="en-AU"/>
        </w:rPr>
        <w:t xml:space="preserve">. </w:t>
      </w:r>
    </w:p>
    <w:p w:rsidR="00444037" w:rsidRPr="002E0F0B" w:rsidRDefault="00444037" w:rsidP="00444037">
      <w:pPr>
        <w:pStyle w:val="ParaNumbering"/>
      </w:pPr>
      <w:r>
        <w:t>Ms O’Sullivan also spoke to the capital reductions that have been approved by APRA in the recent history of Gordian. She noted that for</w:t>
      </w:r>
      <w:r w:rsidR="00855A88">
        <w:t xml:space="preserve"> a</w:t>
      </w:r>
      <w:r>
        <w:t xml:space="preserve"> runoff insurer, a </w:t>
      </w:r>
      <w:r w:rsidRPr="00007819">
        <w:rPr>
          <w:szCs w:val="24"/>
        </w:rPr>
        <w:t>99.5</w:t>
      </w:r>
      <w:r w:rsidR="00007819" w:rsidRPr="00007819">
        <w:rPr>
          <w:szCs w:val="24"/>
        </w:rPr>
        <w:t xml:space="preserve"> </w:t>
      </w:r>
      <w:r w:rsidR="00007819" w:rsidRPr="00007819">
        <w:rPr>
          <w:color w:val="231F20"/>
          <w:szCs w:val="24"/>
          <w:lang w:eastAsia="en-AU"/>
        </w:rPr>
        <w:t>per cent</w:t>
      </w:r>
      <w:r>
        <w:t xml:space="preserve"> probability of sufficiency is the benchmark for which APRA can approve a c</w:t>
      </w:r>
      <w:r w:rsidR="00D84271">
        <w:t>apital release and stated that “</w:t>
      </w:r>
      <w:r>
        <w:rPr>
          <w:i/>
        </w:rPr>
        <w:t>good development has occurred ove</w:t>
      </w:r>
      <w:r w:rsidR="00D84271">
        <w:rPr>
          <w:i/>
        </w:rPr>
        <w:t xml:space="preserve">r a substantial number of years” </w:t>
      </w:r>
      <w:r>
        <w:t xml:space="preserve">to allow Gordian to carry out APRA-approved capital releases </w:t>
      </w:r>
      <w:r w:rsidR="00D84271">
        <w:rPr>
          <w:i/>
        </w:rPr>
        <w:t>“</w:t>
      </w:r>
      <w:r w:rsidRPr="00444037">
        <w:rPr>
          <w:i/>
          <w:szCs w:val="24"/>
          <w:lang w:eastAsia="en-AU"/>
        </w:rPr>
        <w:t>somewhere in the order of a</w:t>
      </w:r>
      <w:r w:rsidR="00D84271">
        <w:rPr>
          <w:i/>
          <w:szCs w:val="24"/>
          <w:lang w:eastAsia="en-AU"/>
        </w:rPr>
        <w:t>pproximately $600 million”.</w:t>
      </w:r>
    </w:p>
    <w:p w:rsidR="00444037" w:rsidRDefault="00007819" w:rsidP="00D7797A">
      <w:pPr>
        <w:pStyle w:val="ParaNumbering"/>
      </w:pPr>
      <w:r>
        <w:lastRenderedPageBreak/>
        <w:t>This indicator of the health of Gordian coupled with absence of any remarkable historical</w:t>
      </w:r>
      <w:r w:rsidR="00444037">
        <w:t xml:space="preserve"> </w:t>
      </w:r>
      <w:r>
        <w:t>volatility</w:t>
      </w:r>
      <w:r w:rsidR="00444037">
        <w:t xml:space="preserve"> in its claims portfolio</w:t>
      </w:r>
      <w:r w:rsidR="00855A88">
        <w:t xml:space="preserve"> contribute to my satisfaction</w:t>
      </w:r>
      <w:r w:rsidR="00444037">
        <w:t xml:space="preserve"> that the policyholders of Poseidon will face no material detriment.</w:t>
      </w:r>
    </w:p>
    <w:p w:rsidR="005E1B47" w:rsidRDefault="00444037" w:rsidP="009F4348">
      <w:pPr>
        <w:pStyle w:val="ParaNumbering"/>
      </w:pPr>
      <w:r>
        <w:t xml:space="preserve">Further, </w:t>
      </w:r>
      <w:r w:rsidR="00CE1573">
        <w:t>I am satisfied from the evidence that</w:t>
      </w:r>
      <w:r w:rsidR="005E1B47">
        <w:t xml:space="preserve"> </w:t>
      </w:r>
      <w:r w:rsidR="00FE08BB">
        <w:t>Gordian</w:t>
      </w:r>
      <w:r w:rsidR="005E1B47">
        <w:t xml:space="preserve">’s existing </w:t>
      </w:r>
      <w:r w:rsidR="00CE1573">
        <w:t>policyholders</w:t>
      </w:r>
      <w:r w:rsidR="00007819">
        <w:t xml:space="preserve"> likewise</w:t>
      </w:r>
      <w:r w:rsidR="00CE1573">
        <w:t xml:space="preserve"> are not forecast</w:t>
      </w:r>
      <w:r w:rsidR="005E1B47">
        <w:t xml:space="preserve"> to experience </w:t>
      </w:r>
      <w:r>
        <w:t>any disadvantage to them</w:t>
      </w:r>
      <w:r w:rsidR="005E1B47">
        <w:t xml:space="preserve">. This is due to the relative size of </w:t>
      </w:r>
      <w:r w:rsidR="00FE08BB">
        <w:t>Gordian</w:t>
      </w:r>
      <w:r w:rsidR="005E1B47">
        <w:t>’s capital</w:t>
      </w:r>
      <w:r w:rsidR="00CE1573">
        <w:t xml:space="preserve"> base </w:t>
      </w:r>
      <w:r w:rsidR="00007819">
        <w:t xml:space="preserve">proportionate to </w:t>
      </w:r>
      <w:r w:rsidR="00CE1573">
        <w:t>the small</w:t>
      </w:r>
      <w:r w:rsidR="005E1B47">
        <w:t xml:space="preserve"> value of the claims liabilities attaching to the transferring policies of Poseidon.</w:t>
      </w:r>
    </w:p>
    <w:p w:rsidR="00993ECA" w:rsidRDefault="005E1B47" w:rsidP="009F4348">
      <w:pPr>
        <w:pStyle w:val="ParaNumbering"/>
      </w:pPr>
      <w:r>
        <w:t>Further, the fact that Poseidon is transferring the benefit of its indemnities with the P&amp;I Club</w:t>
      </w:r>
      <w:r w:rsidR="00007819">
        <w:t>s in respect of its liabilities means that</w:t>
      </w:r>
      <w:r>
        <w:t xml:space="preserve"> the net value of the liabilities to be transferred is nil, subject to the solvency risk carried by the </w:t>
      </w:r>
      <w:r w:rsidR="00365308">
        <w:t xml:space="preserve">indemnifiers. When compared with </w:t>
      </w:r>
      <w:r w:rsidR="00FE08BB">
        <w:t>Gordian</w:t>
      </w:r>
      <w:r w:rsidR="00365308">
        <w:t xml:space="preserve">’s </w:t>
      </w:r>
      <w:r w:rsidR="00993ECA">
        <w:t xml:space="preserve">total outstanding claims liabilities of $88,504,000 as at 31 March 2016, the impact on existing </w:t>
      </w:r>
      <w:r w:rsidR="00FE08BB">
        <w:t>Gordian</w:t>
      </w:r>
      <w:r w:rsidR="00993ECA">
        <w:t xml:space="preserve"> policyholders </w:t>
      </w:r>
      <w:r w:rsidR="00007819">
        <w:t xml:space="preserve">will be minimal. </w:t>
      </w:r>
    </w:p>
    <w:p w:rsidR="00444037" w:rsidRDefault="00444037" w:rsidP="009F4348">
      <w:pPr>
        <w:pStyle w:val="ParaNumbering"/>
      </w:pPr>
      <w:r>
        <w:t>I am satisfied, therefore, that neither the policyholders of the transferor or transferee insurer will suffer material detriment as a result of confirmation of the scheme.</w:t>
      </w:r>
    </w:p>
    <w:p w:rsidR="00993ECA" w:rsidRDefault="00993ECA" w:rsidP="00993ECA">
      <w:pPr>
        <w:pStyle w:val="Heading2"/>
      </w:pPr>
      <w:r>
        <w:t>Contractual Terms and Claims Management</w:t>
      </w:r>
    </w:p>
    <w:p w:rsidR="005E1B47" w:rsidRDefault="0089720B" w:rsidP="00993ECA">
      <w:pPr>
        <w:pStyle w:val="ParaNumbering"/>
      </w:pPr>
      <w:r>
        <w:t xml:space="preserve">Both Poseidon’s and </w:t>
      </w:r>
      <w:r w:rsidR="00FE08BB">
        <w:t>Gordian</w:t>
      </w:r>
      <w:r>
        <w:t xml:space="preserve">’s claims currently are managed by way of an outsourcing arrangement to Enstar. This is not expected to change following the transfer. I am satisfied therefore that there will be no impact on the claims management for the </w:t>
      </w:r>
      <w:r w:rsidR="007206BC">
        <w:t>transferring</w:t>
      </w:r>
      <w:r>
        <w:t xml:space="preserve"> policyholders.</w:t>
      </w:r>
    </w:p>
    <w:p w:rsidR="005E50B1" w:rsidRDefault="007206BC" w:rsidP="00D22D8A">
      <w:pPr>
        <w:pStyle w:val="ParaNumbering"/>
      </w:pPr>
      <w:r>
        <w:t>Further, the terms of the transferring contracts are not expected to change as a consequence of the scheme.</w:t>
      </w:r>
      <w:r w:rsidR="00844B3F">
        <w:t xml:space="preserve"> I am satisfied that neither the policyholders of Poseidon or of Gordian will experience any disadvantage in this respect.</w:t>
      </w:r>
    </w:p>
    <w:p w:rsidR="00D22D8A" w:rsidRDefault="00D22D8A" w:rsidP="00D22D8A">
      <w:pPr>
        <w:pStyle w:val="Heading2"/>
      </w:pPr>
      <w:r>
        <w:t>The views of APRA</w:t>
      </w:r>
    </w:p>
    <w:p w:rsidR="00D22D8A" w:rsidRPr="00844B3F" w:rsidRDefault="00D22D8A" w:rsidP="00844B3F">
      <w:pPr>
        <w:pStyle w:val="ParaNumbering"/>
        <w:rPr>
          <w:szCs w:val="24"/>
        </w:rPr>
      </w:pPr>
      <w:r>
        <w:t xml:space="preserve">APRA is entitled pursuant to s 17E(3) of the Act to be heard on an application for confirmation. </w:t>
      </w:r>
      <w:r w:rsidR="00844B3F">
        <w:t xml:space="preserve">It </w:t>
      </w:r>
      <w:r w:rsidR="00D84271">
        <w:t xml:space="preserve">has </w:t>
      </w:r>
      <w:r w:rsidR="00844B3F">
        <w:t xml:space="preserve">been involved in the oversight of this transfer, and has dealt with Gordian, amongst other </w:t>
      </w:r>
      <w:r w:rsidR="00007819">
        <w:t>matters of oversight</w:t>
      </w:r>
      <w:r w:rsidR="00844B3F">
        <w:t>, in re</w:t>
      </w:r>
      <w:r w:rsidR="002917D8">
        <w:t>lation to its capital reductions</w:t>
      </w:r>
      <w:r w:rsidR="00844B3F">
        <w:t xml:space="preserve">.  </w:t>
      </w:r>
    </w:p>
    <w:p w:rsidR="00D22D8A" w:rsidRPr="00D22D8A" w:rsidRDefault="00D22D8A" w:rsidP="00844B3F">
      <w:pPr>
        <w:pStyle w:val="ParaNumbering"/>
      </w:pPr>
      <w:r>
        <w:t>In relation to this sc</w:t>
      </w:r>
      <w:r w:rsidR="00844B3F">
        <w:t>heme, it expressed no objection.</w:t>
      </w:r>
      <w:r>
        <w:t xml:space="preserve"> </w:t>
      </w:r>
      <w:r w:rsidR="00844B3F">
        <w:t xml:space="preserve">Given APRA’s </w:t>
      </w:r>
      <w:r w:rsidR="008D3352">
        <w:t>central place in administering</w:t>
      </w:r>
      <w:r w:rsidR="00844B3F">
        <w:t xml:space="preserve"> prudential supervision, I take its non-objection into account</w:t>
      </w:r>
      <w:r>
        <w:t xml:space="preserve"> in maki</w:t>
      </w:r>
      <w:r w:rsidR="00844B3F">
        <w:t xml:space="preserve">ng the orders for confirmation: </w:t>
      </w:r>
      <w:r w:rsidR="00844B3F" w:rsidRPr="00844B3F">
        <w:rPr>
          <w:sz w:val="23"/>
          <w:szCs w:val="23"/>
        </w:rPr>
        <w:t xml:space="preserve">Jacobson J in </w:t>
      </w:r>
      <w:r w:rsidR="00844B3F" w:rsidRPr="00844B3F">
        <w:rPr>
          <w:i/>
          <w:iCs/>
          <w:sz w:val="23"/>
          <w:szCs w:val="23"/>
        </w:rPr>
        <w:t xml:space="preserve">Gordian RunOff Limited, in the matter of Insurance </w:t>
      </w:r>
      <w:r w:rsidR="00844B3F" w:rsidRPr="00844B3F">
        <w:rPr>
          <w:i/>
          <w:iCs/>
          <w:sz w:val="23"/>
          <w:szCs w:val="23"/>
        </w:rPr>
        <w:lastRenderedPageBreak/>
        <w:t xml:space="preserve">Australia Limited </w:t>
      </w:r>
      <w:r w:rsidR="00844B3F" w:rsidRPr="00844B3F">
        <w:rPr>
          <w:sz w:val="23"/>
          <w:szCs w:val="23"/>
        </w:rPr>
        <w:t xml:space="preserve">(No 2) [2011] FCA 1116 at [31]; Katz J in </w:t>
      </w:r>
      <w:r w:rsidR="00844B3F" w:rsidRPr="00844B3F">
        <w:rPr>
          <w:i/>
          <w:iCs/>
          <w:sz w:val="23"/>
          <w:szCs w:val="23"/>
        </w:rPr>
        <w:t xml:space="preserve">Re Royal &amp; Sun Alliance Life Assurance Ltd </w:t>
      </w:r>
      <w:r w:rsidR="00844B3F" w:rsidRPr="00844B3F">
        <w:rPr>
          <w:sz w:val="23"/>
          <w:szCs w:val="23"/>
        </w:rPr>
        <w:t xml:space="preserve">[2000] FCA 1259; 104 FCR 37 at 40-41 [24]–[27]. </w:t>
      </w:r>
    </w:p>
    <w:p w:rsidR="001755C4" w:rsidRDefault="008D3352" w:rsidP="009F4348">
      <w:pPr>
        <w:pStyle w:val="Heading1"/>
      </w:pPr>
      <w:r>
        <w:t>the preconditions to making an application</w:t>
      </w:r>
    </w:p>
    <w:p w:rsidR="008D3352" w:rsidRPr="002917D8" w:rsidRDefault="008D3352" w:rsidP="002917D8">
      <w:pPr>
        <w:pStyle w:val="ParaNumbering"/>
        <w:rPr>
          <w:i/>
        </w:rPr>
      </w:pPr>
      <w:r>
        <w:t xml:space="preserve">The procedural steps required of an applicant before the Court is moved for an order of confirmation of the scheme are set out in s 17C(2) of the Act and </w:t>
      </w:r>
      <w:r w:rsidRPr="008D3352">
        <w:rPr>
          <w:i/>
        </w:rPr>
        <w:t>Prudential Standard GPS 410</w:t>
      </w:r>
      <w:r w:rsidR="002917D8">
        <w:rPr>
          <w:i/>
        </w:rPr>
        <w:t xml:space="preserve">, </w:t>
      </w:r>
      <w:r w:rsidR="002917D8" w:rsidRPr="002917D8">
        <w:rPr>
          <w:i/>
        </w:rPr>
        <w:t>Transfer and Amalgamation of Insurance</w:t>
      </w:r>
      <w:r w:rsidR="002917D8">
        <w:rPr>
          <w:i/>
        </w:rPr>
        <w:t xml:space="preserve"> </w:t>
      </w:r>
      <w:r w:rsidR="002917D8" w:rsidRPr="002917D8">
        <w:rPr>
          <w:i/>
        </w:rPr>
        <w:t>Business for General Insurers</w:t>
      </w:r>
      <w:r>
        <w:t>.</w:t>
      </w:r>
    </w:p>
    <w:p w:rsidR="00060F7C" w:rsidRDefault="00060F7C" w:rsidP="002917D8">
      <w:pPr>
        <w:pStyle w:val="ParaNumbering"/>
      </w:pPr>
      <w:r>
        <w:t xml:space="preserve">I am satisfied that prior to 20 April 2016, the </w:t>
      </w:r>
      <w:r w:rsidR="008D3352" w:rsidRPr="008D3352">
        <w:t xml:space="preserve">applicant </w:t>
      </w:r>
      <w:r>
        <w:t xml:space="preserve">provided a copy of the scheme </w:t>
      </w:r>
      <w:r w:rsidR="003004D0">
        <w:t xml:space="preserve">and </w:t>
      </w:r>
      <w:r>
        <w:t xml:space="preserve">a copy of Ms O’Sullivan’s report </w:t>
      </w:r>
      <w:r w:rsidR="003004D0">
        <w:t>to APRA as required by s 17C(2)(a). These steps were taken before any publication of the notice of intention and before the</w:t>
      </w:r>
      <w:r w:rsidR="002917D8">
        <w:t xml:space="preserve"> provision of the</w:t>
      </w:r>
      <w:r w:rsidR="003004D0">
        <w:t xml:space="preserve"> </w:t>
      </w:r>
      <w:r w:rsidR="002917D8" w:rsidRPr="002917D8">
        <w:t>summary of the scheme</w:t>
      </w:r>
      <w:r w:rsidR="002917D8">
        <w:t xml:space="preserve"> to the affected policyholders</w:t>
      </w:r>
      <w:r w:rsidR="003004D0">
        <w:t xml:space="preserve"> as required by GPS 410 at [5]. The letter sent by Mr Mark Kimberley</w:t>
      </w:r>
      <w:r w:rsidR="002917D8">
        <w:t>, partner of HWL Ebsworth and solicitor for the applicant,</w:t>
      </w:r>
      <w:r w:rsidR="003004D0">
        <w:t xml:space="preserve"> in satisfaction of this step is attached to Exhibit SOS</w:t>
      </w:r>
      <w:r w:rsidR="002917D8">
        <w:t>3</w:t>
      </w:r>
      <w:r w:rsidR="003004D0">
        <w:t xml:space="preserve"> of Ms O’Sullivan’s affidavit of 2 June 2016.</w:t>
      </w:r>
    </w:p>
    <w:p w:rsidR="003004D0" w:rsidRDefault="003004D0" w:rsidP="003004D0">
      <w:pPr>
        <w:pStyle w:val="ParaNumbering"/>
      </w:pPr>
      <w:r>
        <w:t>I am further satisfied that on 29 April 2016, the applicant obtained APRA’s approval of its summary of scheme and its notice of intention as required by GPS 410 at [8]. The letter of approval from APRA is also attached to Exhibit SOS3.</w:t>
      </w:r>
    </w:p>
    <w:p w:rsidR="004E7B20" w:rsidRDefault="004E7B20" w:rsidP="004E7B20">
      <w:pPr>
        <w:pStyle w:val="ParaNumbering"/>
      </w:pPr>
      <w:r>
        <w:t xml:space="preserve">On 22 March 2016, I </w:t>
      </w:r>
      <w:r w:rsidR="00CF7AD4">
        <w:t xml:space="preserve">made orders dispensing </w:t>
      </w:r>
      <w:r>
        <w:t xml:space="preserve">with the need for the applicant to comply with s 17(2)(c) on the condition that the applicant </w:t>
      </w:r>
      <w:r w:rsidR="00CF7AD4">
        <w:t>make the scheme documents available through</w:t>
      </w:r>
      <w:r>
        <w:t xml:space="preserve"> various channels.</w:t>
      </w:r>
      <w:r w:rsidR="003004D0">
        <w:t xml:space="preserve"> The applicant’s level of compliance with these orders is detailed below. </w:t>
      </w:r>
    </w:p>
    <w:p w:rsidR="00CF7AD4" w:rsidRDefault="00CF7AD4" w:rsidP="002917D8">
      <w:pPr>
        <w:pStyle w:val="Heading2"/>
      </w:pPr>
      <w:r>
        <w:t xml:space="preserve">Notification of affected policyholders </w:t>
      </w:r>
    </w:p>
    <w:p w:rsidR="00CF7AD4" w:rsidRDefault="004E7B20" w:rsidP="00CF7AD4">
      <w:pPr>
        <w:pStyle w:val="ParaNumbering"/>
      </w:pPr>
      <w:r>
        <w:t xml:space="preserve">First, prior to the date on which the </w:t>
      </w:r>
      <w:r w:rsidR="003004D0">
        <w:t>s</w:t>
      </w:r>
      <w:r>
        <w:t xml:space="preserve">cheme documents </w:t>
      </w:r>
      <w:r w:rsidR="00855A88">
        <w:t>were</w:t>
      </w:r>
      <w:r>
        <w:t xml:space="preserve"> to be made availa</w:t>
      </w:r>
      <w:r w:rsidR="002917D8">
        <w:t>ble for public inspection, the a</w:t>
      </w:r>
      <w:r>
        <w:t xml:space="preserve">pplicant was to cause a copy of the approved summary of the </w:t>
      </w:r>
      <w:r w:rsidR="003004D0">
        <w:t>s</w:t>
      </w:r>
      <w:r>
        <w:t>cheme t</w:t>
      </w:r>
      <w:r w:rsidR="00844B3F">
        <w:t xml:space="preserve">o be sent to all </w:t>
      </w:r>
      <w:r w:rsidR="007B38AC">
        <w:t>persons</w:t>
      </w:r>
      <w:r w:rsidR="003004D0">
        <w:t xml:space="preserve"> who</w:t>
      </w:r>
      <w:r w:rsidR="007B38AC">
        <w:t>,</w:t>
      </w:r>
      <w:r w:rsidR="00CF7AD4">
        <w:t xml:space="preserve"> as at that date</w:t>
      </w:r>
      <w:r w:rsidR="00844B3F">
        <w:t>,</w:t>
      </w:r>
      <w:r w:rsidR="00CF7AD4">
        <w:t xml:space="preserve"> had been identified as affected policyholders from records and publically available sources for which the </w:t>
      </w:r>
      <w:r w:rsidR="003004D0">
        <w:t>a</w:t>
      </w:r>
      <w:r w:rsidR="00CF7AD4">
        <w:t>pplicant ha</w:t>
      </w:r>
      <w:r w:rsidR="003004D0">
        <w:t>d</w:t>
      </w:r>
      <w:r w:rsidR="00CF7AD4">
        <w:t xml:space="preserve"> an address. </w:t>
      </w:r>
    </w:p>
    <w:p w:rsidR="007C0059" w:rsidRDefault="007C0059" w:rsidP="00CF7AD4">
      <w:pPr>
        <w:pStyle w:val="ParaNumbering"/>
      </w:pPr>
      <w:r>
        <w:t xml:space="preserve">The affidavit of Mr Vu Pham, sworn 1 June 2016, states that on 2 May 2016, Mr Pham caused the scheme summary to be </w:t>
      </w:r>
      <w:r w:rsidR="00844B3F">
        <w:t>sent</w:t>
      </w:r>
      <w:r>
        <w:t xml:space="preserve"> to the five affected policyholders</w:t>
      </w:r>
      <w:r w:rsidR="00844B3F">
        <w:t xml:space="preserve"> of Poseidon</w:t>
      </w:r>
      <w:r w:rsidR="00421EBE">
        <w:t>, all of whom are companies registered with ASIC</w:t>
      </w:r>
      <w:r>
        <w:t xml:space="preserve">. </w:t>
      </w:r>
    </w:p>
    <w:p w:rsidR="007C0059" w:rsidRDefault="007C0059" w:rsidP="00CF7AD4">
      <w:pPr>
        <w:pStyle w:val="ParaNumbering"/>
      </w:pPr>
      <w:r>
        <w:t xml:space="preserve">Mr Pham states that only one of the envelopes containing the scheme summary was returned marked ‘Return to Sender’. That envelope was addressed to an affected policyholder by the name </w:t>
      </w:r>
      <w:r w:rsidR="00421EBE">
        <w:t>of Pauline</w:t>
      </w:r>
      <w:r>
        <w:t xml:space="preserve"> M Laffan Pty Ltd (formerly </w:t>
      </w:r>
      <w:r w:rsidR="00421EBE">
        <w:t xml:space="preserve">Esar Bunkering Services Pty Ltd). </w:t>
      </w:r>
    </w:p>
    <w:p w:rsidR="00421EBE" w:rsidRDefault="00421EBE" w:rsidP="00CF7AD4">
      <w:pPr>
        <w:pStyle w:val="ParaNumbering"/>
      </w:pPr>
      <w:r>
        <w:lastRenderedPageBreak/>
        <w:t>Mr Pham was able to resend the documents to that company by obtaining its current registered address by means of an ASIC search.</w:t>
      </w:r>
    </w:p>
    <w:p w:rsidR="00421EBE" w:rsidRDefault="007B38AC" w:rsidP="007B38AC">
      <w:pPr>
        <w:pStyle w:val="ParaNumbering"/>
      </w:pPr>
      <w:r>
        <w:t>Mr Pham</w:t>
      </w:r>
      <w:r w:rsidR="005B41E5">
        <w:t xml:space="preserve"> states that he</w:t>
      </w:r>
      <w:r>
        <w:t xml:space="preserve"> further caused the scheme summary and a copy of the scheme to be sent on 2 May 2016 to the indemnitors. He </w:t>
      </w:r>
      <w:r w:rsidR="00421EBE">
        <w:t xml:space="preserve">has not received any enquiries from </w:t>
      </w:r>
      <w:r>
        <w:t>them in relation to the scheme.</w:t>
      </w:r>
    </w:p>
    <w:p w:rsidR="005B41E5" w:rsidRDefault="005B41E5" w:rsidP="007B38AC">
      <w:pPr>
        <w:pStyle w:val="ParaNumbering"/>
      </w:pPr>
      <w:r>
        <w:t>I am satisfied from the evidence of Mr Pham that the applicant notified the policyholders</w:t>
      </w:r>
      <w:r w:rsidR="001254ED">
        <w:t xml:space="preserve"> and indemnitors</w:t>
      </w:r>
      <w:r>
        <w:t xml:space="preserve"> of Poseido</w:t>
      </w:r>
      <w:r w:rsidR="001254ED">
        <w:t xml:space="preserve">n in compliance with my order. </w:t>
      </w:r>
    </w:p>
    <w:p w:rsidR="00CF7AD4" w:rsidRDefault="00CF7AD4" w:rsidP="00CF7AD4">
      <w:pPr>
        <w:pStyle w:val="Heading3"/>
      </w:pPr>
      <w:r>
        <w:t xml:space="preserve">Publication in newspapers </w:t>
      </w:r>
    </w:p>
    <w:p w:rsidR="00CF7AD4" w:rsidRDefault="00CF7AD4" w:rsidP="004E7B20">
      <w:pPr>
        <w:pStyle w:val="ParaNumbering"/>
      </w:pPr>
      <w:r>
        <w:t>Second, the applicant was to cause an advertisement approved by</w:t>
      </w:r>
      <w:r w:rsidR="00A33633">
        <w:t xml:space="preserve"> APRA</w:t>
      </w:r>
      <w:r>
        <w:t xml:space="preserve"> providing notification of the proposed scheme to be placed in a range of national and state newspapers. </w:t>
      </w:r>
    </w:p>
    <w:p w:rsidR="00CF7AD4" w:rsidRDefault="007C0059" w:rsidP="005B41E5">
      <w:pPr>
        <w:pStyle w:val="ParaNumbering"/>
      </w:pPr>
      <w:r>
        <w:t xml:space="preserve">The affidavit of Mr Pham </w:t>
      </w:r>
      <w:r w:rsidR="00CF7AD4">
        <w:t xml:space="preserve">states that on 29 April 2016, Mr Pham made arrangements for the notice of intention to be published in the newspapers stipulated in my orders.  A copy of </w:t>
      </w:r>
      <w:r w:rsidR="001254ED">
        <w:t>that document</w:t>
      </w:r>
      <w:r w:rsidR="00CF7AD4">
        <w:t xml:space="preserve"> as it appeared in each of those newspapers on 6 May 2016 is</w:t>
      </w:r>
      <w:r w:rsidR="007B38AC">
        <w:t xml:space="preserve"> found in Exhibit VP1</w:t>
      </w:r>
      <w:r w:rsidR="00CF7AD4">
        <w:t xml:space="preserve"> </w:t>
      </w:r>
      <w:r w:rsidR="005B41E5">
        <w:t xml:space="preserve">of Mr Pham’s </w:t>
      </w:r>
      <w:r w:rsidR="00CF7AD4">
        <w:t>affidavit.</w:t>
      </w:r>
    </w:p>
    <w:p w:rsidR="00CF7AD4" w:rsidRDefault="00CF7AD4" w:rsidP="00CF7AD4">
      <w:pPr>
        <w:pStyle w:val="Heading3"/>
      </w:pPr>
      <w:r>
        <w:t>Publication in journals and other sources</w:t>
      </w:r>
    </w:p>
    <w:p w:rsidR="00A33633" w:rsidRDefault="00CF7AD4" w:rsidP="007B38AC">
      <w:pPr>
        <w:pStyle w:val="ParaNumbering"/>
      </w:pPr>
      <w:r>
        <w:t xml:space="preserve">I </w:t>
      </w:r>
      <w:r w:rsidR="005B41E5">
        <w:t>made further orders</w:t>
      </w:r>
      <w:r>
        <w:t xml:space="preserve"> </w:t>
      </w:r>
      <w:r w:rsidR="00A33633">
        <w:t>that an advertisement providing notification of the proposed scheme also appea</w:t>
      </w:r>
      <w:r w:rsidR="007B38AC">
        <w:t xml:space="preserve">r </w:t>
      </w:r>
      <w:r w:rsidR="001254ED">
        <w:t>in various other</w:t>
      </w:r>
      <w:r w:rsidR="007B38AC">
        <w:t xml:space="preserve"> publications including the NSW, Victorian and Queensland Law Society Journals and the international edition of </w:t>
      </w:r>
      <w:r w:rsidR="00A33633" w:rsidRPr="007B38AC">
        <w:rPr>
          <w:i/>
        </w:rPr>
        <w:t>Lloyd’s List</w:t>
      </w:r>
      <w:r w:rsidR="007B38AC">
        <w:t>.</w:t>
      </w:r>
    </w:p>
    <w:p w:rsidR="00A33633" w:rsidRDefault="00A33633" w:rsidP="00A33633">
      <w:pPr>
        <w:pStyle w:val="ParaNumbering"/>
      </w:pPr>
      <w:r>
        <w:t xml:space="preserve">In relation to those publications, the affidavit of Mr Pham </w:t>
      </w:r>
      <w:r w:rsidR="007B38AC">
        <w:t>provided evidence that</w:t>
      </w:r>
      <w:r>
        <w:t xml:space="preserve"> approved notice was published in the online version of the Law Society of NSW Journal; the </w:t>
      </w:r>
      <w:r>
        <w:rPr>
          <w:i/>
        </w:rPr>
        <w:t>Proctor</w:t>
      </w:r>
      <w:r w:rsidR="007B38AC">
        <w:rPr>
          <w:i/>
        </w:rPr>
        <w:t xml:space="preserve"> </w:t>
      </w:r>
      <w:r w:rsidR="007B38AC">
        <w:t>(the Queensland Law Society Journal)</w:t>
      </w:r>
      <w:r>
        <w:t xml:space="preserve">; and </w:t>
      </w:r>
      <w:r>
        <w:rPr>
          <w:i/>
        </w:rPr>
        <w:t>Lloyd’s List</w:t>
      </w:r>
      <w:r>
        <w:t xml:space="preserve"> from 2 May </w:t>
      </w:r>
      <w:r w:rsidR="001254ED">
        <w:t xml:space="preserve">2016 </w:t>
      </w:r>
      <w:r>
        <w:t>onwards.</w:t>
      </w:r>
      <w:r w:rsidR="00C571E5">
        <w:t xml:space="preserve"> </w:t>
      </w:r>
    </w:p>
    <w:p w:rsidR="00A33633" w:rsidRDefault="007C0059" w:rsidP="00A33633">
      <w:pPr>
        <w:pStyle w:val="ParaNumbering"/>
      </w:pPr>
      <w:r>
        <w:t xml:space="preserve">Mr Pham was informed by </w:t>
      </w:r>
      <w:r w:rsidR="00FE08BB">
        <w:t>Gordian</w:t>
      </w:r>
      <w:r>
        <w:t>’s solicitors that the Law Institute of Victoria could not include the notice of intention in its hard copy or online version of the Law Society Journal for May 2016 but would include it in its daily new roundup entitled LawNews from 4 May to 6 May 2016. A copy of the notice</w:t>
      </w:r>
      <w:r w:rsidR="007B38AC">
        <w:t xml:space="preserve"> of the scheme</w:t>
      </w:r>
      <w:r>
        <w:t xml:space="preserve"> as it appeared in that publication is attached </w:t>
      </w:r>
      <w:r w:rsidR="005B41E5">
        <w:t>to Exhibit VPI</w:t>
      </w:r>
      <w:r>
        <w:t>.</w:t>
      </w:r>
    </w:p>
    <w:p w:rsidR="00256AFA" w:rsidRDefault="00256AFA" w:rsidP="00256AFA">
      <w:pPr>
        <w:pStyle w:val="ParaNumbering"/>
      </w:pPr>
      <w:r>
        <w:t>Whilst</w:t>
      </w:r>
      <w:r w:rsidR="00D73102">
        <w:t xml:space="preserve"> the applicant therefore did not comply </w:t>
      </w:r>
      <w:r>
        <w:t xml:space="preserve">in exact terms </w:t>
      </w:r>
      <w:r w:rsidR="00D73102">
        <w:t xml:space="preserve">with my orders from the dispensation hearing, I am nevertheless satisfied that the inclusion of an advertisement in the Law Institute of Victoria’s LawNews provided adequate circulation amongst the intended legal audience in the state of Victoria, especially given the advertisement was also placed in </w:t>
      </w:r>
      <w:r w:rsidR="00D73102">
        <w:rPr>
          <w:i/>
        </w:rPr>
        <w:lastRenderedPageBreak/>
        <w:t>The Age</w:t>
      </w:r>
      <w:r w:rsidR="005B41E5">
        <w:t xml:space="preserve"> as required by my orders, and also</w:t>
      </w:r>
      <w:r w:rsidR="001254ED">
        <w:t xml:space="preserve"> in satisfaction of s 17C(2)(b) and GPS 410 that deal </w:t>
      </w:r>
      <w:r w:rsidR="005B41E5">
        <w:t xml:space="preserve">with the publication of the notice of intention in the Government Gazette and other newspaper circulating in states and territories where affected policyholders reside. </w:t>
      </w:r>
    </w:p>
    <w:p w:rsidR="00256AFA" w:rsidRDefault="00256AFA" w:rsidP="00256AFA">
      <w:pPr>
        <w:pStyle w:val="ParaNumbering"/>
      </w:pPr>
      <w:r>
        <w:t xml:space="preserve">I am satisfied </w:t>
      </w:r>
      <w:r w:rsidR="005B41E5">
        <w:t>from the copies of the notice of intention as it appeared in each of the online publication</w:t>
      </w:r>
      <w:r w:rsidR="001254ED">
        <w:t>s</w:t>
      </w:r>
      <w:r w:rsidR="005B41E5">
        <w:t xml:space="preserve"> in Exhibit VPI</w:t>
      </w:r>
      <w:r>
        <w:t xml:space="preserve"> that the applicant duly attended to advertising the scheme in </w:t>
      </w:r>
      <w:r w:rsidR="001254ED">
        <w:t>the</w:t>
      </w:r>
      <w:r>
        <w:t xml:space="preserve"> channels stipulated by the orders.</w:t>
      </w:r>
    </w:p>
    <w:p w:rsidR="00421EBE" w:rsidRDefault="00421EBE" w:rsidP="00421EBE">
      <w:pPr>
        <w:pStyle w:val="Heading3"/>
      </w:pPr>
      <w:r>
        <w:t>Website Link to Document</w:t>
      </w:r>
    </w:p>
    <w:p w:rsidR="00421EBE" w:rsidRDefault="00AC30B6" w:rsidP="00421EBE">
      <w:pPr>
        <w:pStyle w:val="ParaNumbering"/>
      </w:pPr>
      <w:r>
        <w:t>Order 5 of 22 March 2016</w:t>
      </w:r>
      <w:r w:rsidR="00421EBE">
        <w:t xml:space="preserve"> also required the proposed </w:t>
      </w:r>
      <w:r w:rsidR="00CD6EB9">
        <w:t>s</w:t>
      </w:r>
      <w:r w:rsidR="00421EBE">
        <w:t>cheme</w:t>
      </w:r>
      <w:r w:rsidR="00855A88">
        <w:t>,</w:t>
      </w:r>
      <w:r w:rsidR="00421EBE">
        <w:t xml:space="preserve"> a summary of the proposed </w:t>
      </w:r>
      <w:r w:rsidR="00CD6EB9">
        <w:t>s</w:t>
      </w:r>
      <w:r w:rsidR="00421EBE">
        <w:t>cheme and the September report of Ms O’Sullivan to be made publically available on Enstar’ s website.</w:t>
      </w:r>
    </w:p>
    <w:p w:rsidR="00421EBE" w:rsidRDefault="00256AFA" w:rsidP="00421EBE">
      <w:pPr>
        <w:pStyle w:val="ParaNumbering"/>
      </w:pPr>
      <w:r>
        <w:t>Printouts</w:t>
      </w:r>
      <w:r w:rsidR="00421EBE">
        <w:t xml:space="preserve"> of the </w:t>
      </w:r>
      <w:r>
        <w:t xml:space="preserve">website link to these documents </w:t>
      </w:r>
      <w:r w:rsidR="00CD6EB9">
        <w:t>are included in</w:t>
      </w:r>
      <w:r>
        <w:t xml:space="preserve"> Exhibit VP1. I am satisfied </w:t>
      </w:r>
      <w:r w:rsidR="00AC30B6">
        <w:t xml:space="preserve">that </w:t>
      </w:r>
      <w:r w:rsidR="00017E6F">
        <w:t>the procedural requirement of providing links on Enstar’s website</w:t>
      </w:r>
      <w:r>
        <w:t xml:space="preserve"> was complied with by the applicant.</w:t>
      </w:r>
    </w:p>
    <w:p w:rsidR="00256AFA" w:rsidRDefault="00256AFA" w:rsidP="00256AFA">
      <w:pPr>
        <w:pStyle w:val="Heading3"/>
      </w:pPr>
      <w:r>
        <w:t xml:space="preserve">Notification of </w:t>
      </w:r>
      <w:r w:rsidR="00AC30B6">
        <w:t>Care NSW (icare)</w:t>
      </w:r>
    </w:p>
    <w:p w:rsidR="00256AFA" w:rsidRDefault="00CD6EB9" w:rsidP="00256AFA">
      <w:pPr>
        <w:pStyle w:val="ParaNumbering"/>
      </w:pPr>
      <w:r>
        <w:t>By the</w:t>
      </w:r>
      <w:r w:rsidR="00AC30B6">
        <w:t xml:space="preserve"> orders of 22 March</w:t>
      </w:r>
      <w:r>
        <w:t xml:space="preserve"> 2016, I</w:t>
      </w:r>
      <w:r w:rsidR="00AC30B6">
        <w:t xml:space="preserve"> also required the applicant to forward copies of the scheme, the summary of the scheme and Ms O’Sullivan’s report to the WorkCover Authority of NSW.</w:t>
      </w:r>
    </w:p>
    <w:p w:rsidR="00AC30B6" w:rsidRDefault="00AC30B6" w:rsidP="00256AFA">
      <w:pPr>
        <w:pStyle w:val="ParaNumbering"/>
      </w:pPr>
      <w:r>
        <w:t xml:space="preserve">Since the making of those orders, I have been informed </w:t>
      </w:r>
      <w:r w:rsidR="00CD6EB9">
        <w:t>that</w:t>
      </w:r>
      <w:r>
        <w:t xml:space="preserve"> the regulatory and insurance functions of WorkCover have been assumed by three discrete organisations. The relevant organisation for workers compensation insurance is Care NSW (icare).</w:t>
      </w:r>
    </w:p>
    <w:p w:rsidR="00AC30B6" w:rsidRDefault="00AC30B6" w:rsidP="00256AFA">
      <w:pPr>
        <w:pStyle w:val="ParaNumbering"/>
      </w:pPr>
      <w:r>
        <w:t>Mr Pham’s affidavit states that he caused to be sent by post the relevant documents</w:t>
      </w:r>
      <w:r w:rsidR="001254ED">
        <w:t xml:space="preserve"> to icare on 3 May 2016</w:t>
      </w:r>
      <w:r>
        <w:t>. Exhibit VP1 contains a copy of the letter accompanying the relevant documents.</w:t>
      </w:r>
    </w:p>
    <w:p w:rsidR="00AC30B6" w:rsidRDefault="00AC30B6" w:rsidP="00256AFA">
      <w:pPr>
        <w:pStyle w:val="ParaNumbering"/>
      </w:pPr>
      <w:r>
        <w:t>I am satisfied therefore that the relevant workers compensation body in NSW was notified of the transfer.</w:t>
      </w:r>
    </w:p>
    <w:p w:rsidR="00017E6F" w:rsidRDefault="00AC30B6" w:rsidP="00017E6F">
      <w:pPr>
        <w:pStyle w:val="Heading3"/>
      </w:pPr>
      <w:r>
        <w:t>The Public Inspection</w:t>
      </w:r>
    </w:p>
    <w:p w:rsidR="00017E6F" w:rsidRDefault="00017E6F" w:rsidP="00C571E5">
      <w:pPr>
        <w:pStyle w:val="ParaNumbering"/>
      </w:pPr>
      <w:r>
        <w:t>APRA’s Prudential Standard GPS 410 requires that a copy of the scheme be available for public inspection from 9.00am until 5.00pm for a period of 15 business days: GPS 410</w:t>
      </w:r>
      <w:r w:rsidR="00CD6EB9">
        <w:t xml:space="preserve"> at </w:t>
      </w:r>
      <w:r w:rsidR="00CD6EB9">
        <w:lastRenderedPageBreak/>
        <w:t>[</w:t>
      </w:r>
      <w:r>
        <w:t>16</w:t>
      </w:r>
      <w:r w:rsidR="00CD6EB9">
        <w:t>]</w:t>
      </w:r>
      <w:r>
        <w:t xml:space="preserve">. </w:t>
      </w:r>
      <w:r w:rsidR="00C571E5">
        <w:t xml:space="preserve"> The requirement of a public inspection period was also incorporated in my orders of </w:t>
      </w:r>
      <w:r>
        <w:t>22 March 2016.</w:t>
      </w:r>
    </w:p>
    <w:p w:rsidR="00AC30B6" w:rsidRDefault="00AC30B6" w:rsidP="00AC30B6">
      <w:pPr>
        <w:pStyle w:val="ParaNumbering"/>
      </w:pPr>
      <w:r>
        <w:t>I am satisfied from the affidavits of Mr Pham and Ms Rani Donohue, sworn 1 June 20</w:t>
      </w:r>
      <w:r w:rsidR="00017E6F">
        <w:t>16, that the relevant scheme documents were made available for public inspection in the Sydney and Melbourne offices of HWL Ebsworth Lawyers from 9 May 2016 to 27 May 2016.</w:t>
      </w:r>
      <w:r w:rsidR="00C571E5">
        <w:t xml:space="preserve"> Both Mr Pham and Ms Donohue state that no person attended for public viewing of the scheme documents during the inspection period.</w:t>
      </w:r>
    </w:p>
    <w:p w:rsidR="00017E6F" w:rsidRDefault="00017E6F" w:rsidP="00AC30B6">
      <w:pPr>
        <w:pStyle w:val="ParaNumbering"/>
      </w:pPr>
      <w:r>
        <w:t xml:space="preserve">The reason for </w:t>
      </w:r>
      <w:r w:rsidR="00C571E5">
        <w:t xml:space="preserve">the public inspection occurring only in </w:t>
      </w:r>
      <w:r>
        <w:t xml:space="preserve">Sydney and Melbourne is the fact that GPS 410 stipulates that </w:t>
      </w:r>
      <w:r w:rsidR="00C571E5">
        <w:t>the scheme documents are to be</w:t>
      </w:r>
      <w:r>
        <w:t xml:space="preserve"> available in each State and Territory in which an affected policyholder resides. </w:t>
      </w:r>
      <w:r w:rsidR="00C571E5">
        <w:t>Poseidon’s</w:t>
      </w:r>
      <w:r>
        <w:t xml:space="preserve"> policyholders are located</w:t>
      </w:r>
      <w:r w:rsidR="00C571E5">
        <w:t xml:space="preserve"> exclusively</w:t>
      </w:r>
      <w:r>
        <w:t xml:space="preserve"> in the States of NSW and Victoria. </w:t>
      </w:r>
    </w:p>
    <w:p w:rsidR="00CD6EB9" w:rsidRDefault="00017E6F" w:rsidP="00CD6EB9">
      <w:pPr>
        <w:pStyle w:val="ParaNumbering"/>
      </w:pPr>
      <w:r>
        <w:t>I am satisfied</w:t>
      </w:r>
      <w:r w:rsidR="00C571E5">
        <w:t xml:space="preserve"> therefore </w:t>
      </w:r>
      <w:r>
        <w:t xml:space="preserve">that the period of public inspection occurred </w:t>
      </w:r>
      <w:r w:rsidR="00C571E5">
        <w:t>for the required number of days in the required locations and that no person inspected the documents by way of that channel.</w:t>
      </w:r>
    </w:p>
    <w:p w:rsidR="00C571E5" w:rsidRDefault="00C571E5" w:rsidP="00C571E5">
      <w:pPr>
        <w:pStyle w:val="Heading1"/>
      </w:pPr>
      <w:r>
        <w:t>Conclusion</w:t>
      </w:r>
    </w:p>
    <w:p w:rsidR="00BE758E" w:rsidRDefault="00CD6EB9" w:rsidP="00C571E5">
      <w:pPr>
        <w:pStyle w:val="ParaNumbering"/>
      </w:pPr>
      <w:r>
        <w:t xml:space="preserve">The applicant has attended diligently to the procedural requirements </w:t>
      </w:r>
      <w:r w:rsidR="00BE758E">
        <w:t xml:space="preserve">attaching to an application of this kind and, in </w:t>
      </w:r>
      <w:r w:rsidR="00C571E5">
        <w:t>light of evidence placed before the Court, I am satisfied that</w:t>
      </w:r>
      <w:r w:rsidR="00BE758E">
        <w:t xml:space="preserve"> the policyholders of the transferee and transferor insurer</w:t>
      </w:r>
      <w:r w:rsidR="00CD77C6">
        <w:t>s</w:t>
      </w:r>
      <w:r w:rsidR="00BE758E">
        <w:t xml:space="preserve"> will experience no material detriment as a result of the scheme. </w:t>
      </w:r>
      <w:r w:rsidR="00C571E5">
        <w:t xml:space="preserve"> </w:t>
      </w:r>
    </w:p>
    <w:p w:rsidR="00017E6F" w:rsidRPr="00485B4C" w:rsidRDefault="00BE758E" w:rsidP="00485B4C">
      <w:pPr>
        <w:pStyle w:val="ParaNumbering"/>
      </w:pPr>
      <w:r>
        <w:t>It</w:t>
      </w:r>
      <w:r w:rsidR="00C571E5">
        <w:t xml:space="preserve"> is appropriate that the scheme be confirmed, without modification.</w:t>
      </w:r>
    </w:p>
    <w:p w:rsidR="00073066" w:rsidRDefault="00073066" w:rsidP="00AC30B6">
      <w:pPr>
        <w:pStyle w:val="BodyText"/>
      </w:pPr>
      <w:bookmarkStart w:id="20" w:name="Certification"/>
    </w:p>
    <w:tbl>
      <w:tblPr>
        <w:tblW w:w="0" w:type="auto"/>
        <w:tblLook w:val="04A0" w:firstRow="1" w:lastRow="0" w:firstColumn="1" w:lastColumn="0" w:noHBand="0" w:noVBand="1"/>
      </w:tblPr>
      <w:tblGrid>
        <w:gridCol w:w="3794"/>
      </w:tblGrid>
      <w:tr w:rsidR="00073066" w:rsidRPr="00073066">
        <w:tc>
          <w:tcPr>
            <w:tcW w:w="3794" w:type="dxa"/>
            <w:shd w:val="clear" w:color="auto" w:fill="auto"/>
          </w:tcPr>
          <w:p w:rsidR="00073066" w:rsidRPr="00073066" w:rsidRDefault="00073066" w:rsidP="00073066">
            <w:pPr>
              <w:pStyle w:val="Normal1linespace"/>
            </w:pPr>
            <w:r w:rsidRPr="00073066">
              <w:t xml:space="preserve">I certify that the preceding </w:t>
            </w:r>
            <w:bookmarkStart w:id="21" w:name="NumberWord"/>
            <w:r w:rsidR="009556FA">
              <w:t>eighty</w:t>
            </w:r>
            <w:bookmarkEnd w:id="21"/>
            <w:r w:rsidRPr="00073066">
              <w:t xml:space="preserve"> (</w:t>
            </w:r>
            <w:bookmarkStart w:id="22" w:name="NumberNumeral"/>
            <w:r w:rsidR="009556FA">
              <w:t>80</w:t>
            </w:r>
            <w:bookmarkEnd w:id="22"/>
            <w:r w:rsidRPr="00073066">
              <w:t xml:space="preserve">) numbered </w:t>
            </w:r>
            <w:bookmarkStart w:id="23" w:name="CertPara"/>
            <w:r w:rsidR="009556FA">
              <w:t>paragraphs are</w:t>
            </w:r>
            <w:bookmarkEnd w:id="23"/>
            <w:r w:rsidRPr="00073066">
              <w:t xml:space="preserve"> a true copy of the Reasons for Judgment herein of the Honourable </w:t>
            </w:r>
            <w:bookmarkStart w:id="24" w:name="Justice"/>
            <w:r w:rsidR="00CD6EB9">
              <w:t xml:space="preserve">Chief </w:t>
            </w:r>
            <w:r>
              <w:t>Justice Allsop</w:t>
            </w:r>
            <w:bookmarkEnd w:id="24"/>
            <w:r w:rsidRPr="00073066">
              <w:t>.</w:t>
            </w:r>
          </w:p>
        </w:tc>
      </w:tr>
    </w:tbl>
    <w:p w:rsidR="00073066" w:rsidRDefault="00073066" w:rsidP="00AC30B6">
      <w:pPr>
        <w:pStyle w:val="BodyText"/>
      </w:pPr>
    </w:p>
    <w:p w:rsidR="00073066" w:rsidRDefault="00073066" w:rsidP="00AC30B6">
      <w:pPr>
        <w:pStyle w:val="BodyText"/>
      </w:pPr>
    </w:p>
    <w:p w:rsidR="00073066" w:rsidRDefault="00073066" w:rsidP="00AC30B6">
      <w:pPr>
        <w:pStyle w:val="BodyText"/>
      </w:pPr>
      <w:r>
        <w:t>Associate:</w:t>
      </w:r>
      <w:bookmarkStart w:id="25" w:name="_GoBack"/>
      <w:bookmarkEnd w:id="25"/>
    </w:p>
    <w:p w:rsidR="00073066" w:rsidRDefault="00073066" w:rsidP="00AC30B6">
      <w:pPr>
        <w:pStyle w:val="BodyText"/>
      </w:pPr>
    </w:p>
    <w:p w:rsidR="00073066" w:rsidRPr="00421EBE" w:rsidRDefault="00073066" w:rsidP="00485B4C">
      <w:pPr>
        <w:pStyle w:val="BodyText"/>
        <w:tabs>
          <w:tab w:val="left" w:pos="1134"/>
        </w:tabs>
      </w:pPr>
      <w:r>
        <w:t>Dated:</w:t>
      </w:r>
      <w:r>
        <w:tab/>
      </w:r>
      <w:r w:rsidR="00485B4C">
        <w:t>9 June 2016</w:t>
      </w:r>
      <w:bookmarkEnd w:id="20"/>
    </w:p>
    <w:sectPr w:rsidR="00073066" w:rsidRPr="00421EBE">
      <w:headerReference w:type="even" r:id="rId21"/>
      <w:headerReference w:type="default" r:id="rId22"/>
      <w:footerReference w:type="default" r:id="rId23"/>
      <w:headerReference w:type="first" r:id="rId24"/>
      <w:footerReference w:type="first" r:id="rId25"/>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96E" w:rsidRDefault="0036296E">
      <w:pPr>
        <w:spacing w:line="20" w:lineRule="exact"/>
      </w:pPr>
    </w:p>
    <w:p w:rsidR="0036296E" w:rsidRDefault="0036296E"/>
    <w:p w:rsidR="0036296E" w:rsidRDefault="0036296E"/>
  </w:endnote>
  <w:endnote w:type="continuationSeparator" w:id="0">
    <w:p w:rsidR="0036296E" w:rsidRDefault="0036296E">
      <w:r>
        <w:t xml:space="preserve"> </w:t>
      </w:r>
    </w:p>
    <w:p w:rsidR="0036296E" w:rsidRDefault="0036296E"/>
    <w:p w:rsidR="0036296E" w:rsidRDefault="0036296E"/>
  </w:endnote>
  <w:endnote w:type="continuationNotice" w:id="1">
    <w:p w:rsidR="0036296E" w:rsidRDefault="0036296E">
      <w:r>
        <w:t xml:space="preserve"> </w:t>
      </w:r>
    </w:p>
    <w:p w:rsidR="0036296E" w:rsidRDefault="0036296E"/>
    <w:p w:rsidR="0036296E" w:rsidRDefault="003629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0B6" w:rsidRDefault="00AC30B6">
    <w:pPr>
      <w:pStyle w:val="Footer"/>
      <w:jc w:val="center"/>
      <w:rPr>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0B6" w:rsidRPr="00624520" w:rsidRDefault="00AC30B6" w:rsidP="00624520">
    <w:pPr>
      <w:pStyle w:val="Footer"/>
      <w:jc w:val="center"/>
      <w:rPr>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0B6" w:rsidRDefault="00AC30B6" w:rsidP="002F1E49">
    <w:pPr>
      <w:pStyle w:val="Footer"/>
      <w:jc w:val="center"/>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96E" w:rsidRDefault="0036296E"/>
    <w:p w:rsidR="0036296E" w:rsidRDefault="0036296E"/>
    <w:p w:rsidR="0036296E" w:rsidRDefault="0036296E"/>
  </w:footnote>
  <w:footnote w:type="continuationSeparator" w:id="0">
    <w:p w:rsidR="0036296E" w:rsidRDefault="0036296E">
      <w:r>
        <w:continuationSeparator/>
      </w:r>
    </w:p>
    <w:p w:rsidR="0036296E" w:rsidRDefault="0036296E"/>
    <w:p w:rsidR="0036296E" w:rsidRDefault="003629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0B6" w:rsidRDefault="00AC30B6">
    <w:pPr>
      <w:tabs>
        <w:tab w:val="center" w:pos="4512"/>
      </w:tabs>
      <w:suppressAutoHyphens/>
    </w:pPr>
    <w:r>
      <w:tab/>
      <w:t xml:space="preserve">- </w:t>
    </w:r>
    <w:r>
      <w:fldChar w:fldCharType="begin"/>
    </w:r>
    <w:r>
      <w:instrText xml:space="preserve"> PAGE   \* MERGEFORMAT </w:instrText>
    </w:r>
    <w:r>
      <w:fldChar w:fldCharType="separate"/>
    </w:r>
    <w:r w:rsidR="00BF6E67">
      <w:rPr>
        <w:noProof/>
      </w:rPr>
      <w:t>x</w:t>
    </w:r>
    <w:r>
      <w:rPr>
        <w:noProof/>
      </w:rP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0B6" w:rsidRDefault="00AC30B6">
    <w:pPr>
      <w:pStyle w:val="Header"/>
      <w:tabs>
        <w:tab w:val="clear" w:pos="4320"/>
        <w:tab w:val="clear" w:pos="864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0B6" w:rsidRDefault="00AC30B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0B6" w:rsidRDefault="00AC30B6">
    <w:pPr>
      <w:tabs>
        <w:tab w:val="center" w:pos="4512"/>
      </w:tabs>
      <w:suppressAutoHyphens/>
    </w:pPr>
    <w:r>
      <w:tab/>
      <w:t xml:space="preserve">- </w:t>
    </w:r>
    <w:r>
      <w:fldChar w:fldCharType="begin"/>
    </w:r>
    <w:r>
      <w:instrText>page \* arabic</w:instrText>
    </w:r>
    <w:r>
      <w:fldChar w:fldCharType="separate"/>
    </w:r>
    <w:r w:rsidR="00BF6E67">
      <w:rPr>
        <w:noProof/>
      </w:rPr>
      <w:t>12</w:t>
    </w:r>
    <w:r>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0B6" w:rsidRDefault="00AC30B6">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3">
    <w:nsid w:val="29AE3DD1"/>
    <w:multiLevelType w:val="singleLevel"/>
    <w:tmpl w:val="9594D5D6"/>
    <w:lvl w:ilvl="0">
      <w:start w:val="1"/>
      <w:numFmt w:val="decimal"/>
      <w:lvlRestart w:val="0"/>
      <w:pStyle w:val="ParaNumbering"/>
      <w:lvlText w:val="%1"/>
      <w:lvlJc w:val="left"/>
      <w:pPr>
        <w:tabs>
          <w:tab w:val="num" w:pos="720"/>
        </w:tabs>
        <w:ind w:left="0" w:hanging="720"/>
      </w:pPr>
      <w:rPr>
        <w:rFonts w:hint="default"/>
        <w:sz w:val="20"/>
      </w:rPr>
    </w:lvl>
  </w:abstractNum>
  <w:abstractNum w:abstractNumId="14">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6">
    <w:nsid w:val="494817A7"/>
    <w:multiLevelType w:val="multilevel"/>
    <w:tmpl w:val="0F0EC90E"/>
    <w:numStyleLink w:val="FCListNo"/>
  </w:abstractNum>
  <w:abstractNum w:abstractNumId="17">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1">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3"/>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num>
  <w:num w:numId="14">
    <w:abstractNumId w:val="17"/>
  </w:num>
  <w:num w:numId="15">
    <w:abstractNumId w:val="18"/>
  </w:num>
  <w:num w:numId="16">
    <w:abstractNumId w:val="21"/>
  </w:num>
  <w:num w:numId="17">
    <w:abstractNumId w:val="12"/>
  </w:num>
  <w:num w:numId="18">
    <w:abstractNumId w:val="20"/>
  </w:num>
  <w:num w:numId="19">
    <w:abstractNumId w:val="10"/>
  </w:num>
  <w:num w:numId="20">
    <w:abstractNumId w:val="15"/>
  </w:num>
  <w:num w:numId="21">
    <w:abstractNumId w:val="16"/>
  </w:num>
  <w:num w:numId="22">
    <w:abstractNumId w:val="14"/>
  </w:num>
  <w:num w:numId="23">
    <w:abstractNumId w:val="14"/>
  </w:num>
  <w:num w:numId="24">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AndAnother" w:val="True"/>
    <w:docVar w:name="APPAndOthers" w:val="False"/>
    <w:docVar w:name="Applicant" w:val="Gordian Runoff Limited ABN 11 052 179 647"/>
    <w:docVar w:name="CounsellorName" w:val="Mr D Tran"/>
    <w:docVar w:name="CounselParties" w:val="Other"/>
    <w:docVar w:name="CounselType" w:val="Solicitor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FileNumbers" w:val="NSD 316 of 2016"/>
    <w:docVar w:name="HearingDate" w:val="6 June 2016"/>
    <w:docVar w:name="Initiators" w:val="(and another named in the Schedule)"/>
    <w:docVar w:name="Judgdate" w:val="##"/>
    <w:docVar w:name="Judge" w:val="Allsop"/>
    <w:docVar w:name="Justices" w:val="Justice"/>
    <w:docVar w:name="lstEntryList" w:val="-1"/>
    <w:docVar w:name="myEntryList" w:val="Counsel for the Applicant=Mr N J Owens|Solicitor for the Applicant=HWL Ebsworth Lawyers"/>
    <w:docVar w:name="NSD" w:val="NSD "/>
    <w:docVar w:name="NumApps" w:val="1"/>
    <w:docVar w:name="NumApps_" w:val="0"/>
    <w:docVar w:name="NumCrossResps" w:val="0"/>
    <w:docVar w:name="NumDefs" w:val="0"/>
    <w:docVar w:name="NumOthers" w:val="0"/>
    <w:docVar w:name="OtherNum" w:val="0"/>
    <w:docVar w:name="Parties1" w:val="Applicant"/>
    <w:docVar w:name="Parties2" w:val="Defendant"/>
    <w:docVar w:name="Parties3" w:val="Cross-Appellant"/>
    <w:docVar w:name="Parties4" w:val="Cross-Defendant"/>
    <w:docVar w:name="Parties5" w:val="Intervener"/>
    <w:docVar w:name="PracticeArea" w:val="Commercial and Corporations"/>
    <w:docVar w:name="RESAndAnother" w:val="True"/>
    <w:docVar w:name="RESAndOthers" w:val="False"/>
    <w:docVar w:name="ResState" w:val="New South Wales"/>
    <w:docVar w:name="SubArea" w:val="Commercial Contracts, Banking, Finance and Insurance  (C &amp; C)"/>
  </w:docVars>
  <w:rsids>
    <w:rsidRoot w:val="00B95E2B"/>
    <w:rsid w:val="00007819"/>
    <w:rsid w:val="0001469E"/>
    <w:rsid w:val="00015993"/>
    <w:rsid w:val="00017E6F"/>
    <w:rsid w:val="00022289"/>
    <w:rsid w:val="00032F9F"/>
    <w:rsid w:val="00041C07"/>
    <w:rsid w:val="00045BB7"/>
    <w:rsid w:val="00055719"/>
    <w:rsid w:val="0005641B"/>
    <w:rsid w:val="00060F7C"/>
    <w:rsid w:val="0007025C"/>
    <w:rsid w:val="00073066"/>
    <w:rsid w:val="00081497"/>
    <w:rsid w:val="000A2E76"/>
    <w:rsid w:val="000A4807"/>
    <w:rsid w:val="000A4BE4"/>
    <w:rsid w:val="000C023E"/>
    <w:rsid w:val="000C4D96"/>
    <w:rsid w:val="000C5195"/>
    <w:rsid w:val="000C62EF"/>
    <w:rsid w:val="000D0B8D"/>
    <w:rsid w:val="000D2137"/>
    <w:rsid w:val="000D3FD2"/>
    <w:rsid w:val="000E7BAE"/>
    <w:rsid w:val="000F133D"/>
    <w:rsid w:val="000F14A2"/>
    <w:rsid w:val="000F6649"/>
    <w:rsid w:val="000F6AC6"/>
    <w:rsid w:val="0010536B"/>
    <w:rsid w:val="0011145C"/>
    <w:rsid w:val="001128BD"/>
    <w:rsid w:val="0011419D"/>
    <w:rsid w:val="001167A8"/>
    <w:rsid w:val="001254ED"/>
    <w:rsid w:val="00132054"/>
    <w:rsid w:val="00154AFE"/>
    <w:rsid w:val="001727A4"/>
    <w:rsid w:val="0017376C"/>
    <w:rsid w:val="001738AB"/>
    <w:rsid w:val="001755C4"/>
    <w:rsid w:val="001765E0"/>
    <w:rsid w:val="00177759"/>
    <w:rsid w:val="00185E6B"/>
    <w:rsid w:val="00186ED4"/>
    <w:rsid w:val="00187BBC"/>
    <w:rsid w:val="001932F3"/>
    <w:rsid w:val="001A4309"/>
    <w:rsid w:val="001B1053"/>
    <w:rsid w:val="001B14AC"/>
    <w:rsid w:val="001B4E46"/>
    <w:rsid w:val="001B7940"/>
    <w:rsid w:val="001C37CA"/>
    <w:rsid w:val="001D4303"/>
    <w:rsid w:val="001D6746"/>
    <w:rsid w:val="001E3B49"/>
    <w:rsid w:val="001E7388"/>
    <w:rsid w:val="001F13DD"/>
    <w:rsid w:val="001F2DBC"/>
    <w:rsid w:val="0020262C"/>
    <w:rsid w:val="002058F4"/>
    <w:rsid w:val="00221DB1"/>
    <w:rsid w:val="00224537"/>
    <w:rsid w:val="00235956"/>
    <w:rsid w:val="00247C9A"/>
    <w:rsid w:val="0025160C"/>
    <w:rsid w:val="002535D0"/>
    <w:rsid w:val="002539B3"/>
    <w:rsid w:val="00256AFA"/>
    <w:rsid w:val="00257C3E"/>
    <w:rsid w:val="002602C2"/>
    <w:rsid w:val="002666C9"/>
    <w:rsid w:val="00270136"/>
    <w:rsid w:val="00274F5B"/>
    <w:rsid w:val="00280836"/>
    <w:rsid w:val="00282E1A"/>
    <w:rsid w:val="00285517"/>
    <w:rsid w:val="00290523"/>
    <w:rsid w:val="0029113B"/>
    <w:rsid w:val="002917D8"/>
    <w:rsid w:val="002934C0"/>
    <w:rsid w:val="002A1B50"/>
    <w:rsid w:val="002B0E91"/>
    <w:rsid w:val="002B6779"/>
    <w:rsid w:val="002B71C0"/>
    <w:rsid w:val="002B7A34"/>
    <w:rsid w:val="002C31AD"/>
    <w:rsid w:val="002C7385"/>
    <w:rsid w:val="002D2DBB"/>
    <w:rsid w:val="002D54A6"/>
    <w:rsid w:val="002E6A7A"/>
    <w:rsid w:val="002E72BC"/>
    <w:rsid w:val="002F04B7"/>
    <w:rsid w:val="002F1099"/>
    <w:rsid w:val="002F1E49"/>
    <w:rsid w:val="002F4E9C"/>
    <w:rsid w:val="003004D0"/>
    <w:rsid w:val="0031256C"/>
    <w:rsid w:val="00314D6C"/>
    <w:rsid w:val="00316D2A"/>
    <w:rsid w:val="00322A7C"/>
    <w:rsid w:val="00323348"/>
    <w:rsid w:val="00334C63"/>
    <w:rsid w:val="003402D3"/>
    <w:rsid w:val="00343ABC"/>
    <w:rsid w:val="003463FE"/>
    <w:rsid w:val="003554B3"/>
    <w:rsid w:val="00356632"/>
    <w:rsid w:val="0036296E"/>
    <w:rsid w:val="00365308"/>
    <w:rsid w:val="003845A9"/>
    <w:rsid w:val="00390883"/>
    <w:rsid w:val="003922F8"/>
    <w:rsid w:val="00395B24"/>
    <w:rsid w:val="003A2D38"/>
    <w:rsid w:val="003A7ECC"/>
    <w:rsid w:val="003B2C72"/>
    <w:rsid w:val="003C1333"/>
    <w:rsid w:val="003C20FF"/>
    <w:rsid w:val="003C5CE3"/>
    <w:rsid w:val="003C6DF5"/>
    <w:rsid w:val="003D2650"/>
    <w:rsid w:val="003D560C"/>
    <w:rsid w:val="003D663A"/>
    <w:rsid w:val="003E3C83"/>
    <w:rsid w:val="003E5874"/>
    <w:rsid w:val="003F193E"/>
    <w:rsid w:val="003F34F1"/>
    <w:rsid w:val="0041096C"/>
    <w:rsid w:val="00411AE8"/>
    <w:rsid w:val="00413B74"/>
    <w:rsid w:val="00416EF1"/>
    <w:rsid w:val="00421EBE"/>
    <w:rsid w:val="00435C5F"/>
    <w:rsid w:val="00441E98"/>
    <w:rsid w:val="00444037"/>
    <w:rsid w:val="004532F7"/>
    <w:rsid w:val="00472027"/>
    <w:rsid w:val="004800A5"/>
    <w:rsid w:val="004804CF"/>
    <w:rsid w:val="00484962"/>
    <w:rsid w:val="00484F6D"/>
    <w:rsid w:val="00485B4C"/>
    <w:rsid w:val="00490556"/>
    <w:rsid w:val="0049091B"/>
    <w:rsid w:val="0049338A"/>
    <w:rsid w:val="0049417F"/>
    <w:rsid w:val="004B33A5"/>
    <w:rsid w:val="004B3EFA"/>
    <w:rsid w:val="004C2A87"/>
    <w:rsid w:val="004C4ED3"/>
    <w:rsid w:val="004D2EA5"/>
    <w:rsid w:val="004D32A6"/>
    <w:rsid w:val="004D53E5"/>
    <w:rsid w:val="004E3D5A"/>
    <w:rsid w:val="004E7B20"/>
    <w:rsid w:val="004F0B36"/>
    <w:rsid w:val="00501A12"/>
    <w:rsid w:val="0051346D"/>
    <w:rsid w:val="00513EAE"/>
    <w:rsid w:val="00516806"/>
    <w:rsid w:val="00525A49"/>
    <w:rsid w:val="00535613"/>
    <w:rsid w:val="005359EB"/>
    <w:rsid w:val="0054254A"/>
    <w:rsid w:val="005466B5"/>
    <w:rsid w:val="005629B3"/>
    <w:rsid w:val="00573AC4"/>
    <w:rsid w:val="005801FC"/>
    <w:rsid w:val="005855E8"/>
    <w:rsid w:val="00595016"/>
    <w:rsid w:val="00597AAE"/>
    <w:rsid w:val="005A222C"/>
    <w:rsid w:val="005A4DF8"/>
    <w:rsid w:val="005B1426"/>
    <w:rsid w:val="005B41E5"/>
    <w:rsid w:val="005C0A8E"/>
    <w:rsid w:val="005C1767"/>
    <w:rsid w:val="005C42EF"/>
    <w:rsid w:val="005D3FEB"/>
    <w:rsid w:val="005E02F5"/>
    <w:rsid w:val="005E0510"/>
    <w:rsid w:val="005E176E"/>
    <w:rsid w:val="005E1B47"/>
    <w:rsid w:val="005E218E"/>
    <w:rsid w:val="005E2A69"/>
    <w:rsid w:val="005E35A0"/>
    <w:rsid w:val="005E50B1"/>
    <w:rsid w:val="005F0D1B"/>
    <w:rsid w:val="005F1865"/>
    <w:rsid w:val="006007BD"/>
    <w:rsid w:val="006013C8"/>
    <w:rsid w:val="0060270D"/>
    <w:rsid w:val="00604611"/>
    <w:rsid w:val="00611586"/>
    <w:rsid w:val="00621887"/>
    <w:rsid w:val="00624520"/>
    <w:rsid w:val="00632BB7"/>
    <w:rsid w:val="00635B36"/>
    <w:rsid w:val="00636871"/>
    <w:rsid w:val="00640F4E"/>
    <w:rsid w:val="00643DE0"/>
    <w:rsid w:val="00644E85"/>
    <w:rsid w:val="006547C0"/>
    <w:rsid w:val="0066063F"/>
    <w:rsid w:val="00662BB0"/>
    <w:rsid w:val="00663878"/>
    <w:rsid w:val="00667773"/>
    <w:rsid w:val="00670743"/>
    <w:rsid w:val="00674928"/>
    <w:rsid w:val="00681A32"/>
    <w:rsid w:val="00687B4F"/>
    <w:rsid w:val="00690EE2"/>
    <w:rsid w:val="00692AAC"/>
    <w:rsid w:val="006A0E20"/>
    <w:rsid w:val="006A5695"/>
    <w:rsid w:val="006B3904"/>
    <w:rsid w:val="006B5B7D"/>
    <w:rsid w:val="006D0ECF"/>
    <w:rsid w:val="006D4C92"/>
    <w:rsid w:val="006D4EB6"/>
    <w:rsid w:val="006E35BF"/>
    <w:rsid w:val="006E4F68"/>
    <w:rsid w:val="006E7850"/>
    <w:rsid w:val="006F31F4"/>
    <w:rsid w:val="006F7E07"/>
    <w:rsid w:val="007028D9"/>
    <w:rsid w:val="00707218"/>
    <w:rsid w:val="0071268B"/>
    <w:rsid w:val="00712B1D"/>
    <w:rsid w:val="007177FD"/>
    <w:rsid w:val="007206BC"/>
    <w:rsid w:val="007325D9"/>
    <w:rsid w:val="007360CA"/>
    <w:rsid w:val="0074572C"/>
    <w:rsid w:val="0078003A"/>
    <w:rsid w:val="00780771"/>
    <w:rsid w:val="007929CF"/>
    <w:rsid w:val="007A6F28"/>
    <w:rsid w:val="007B03C6"/>
    <w:rsid w:val="007B0DB1"/>
    <w:rsid w:val="007B38AC"/>
    <w:rsid w:val="007B61A2"/>
    <w:rsid w:val="007C0059"/>
    <w:rsid w:val="007D018B"/>
    <w:rsid w:val="007D2EF8"/>
    <w:rsid w:val="007D561F"/>
    <w:rsid w:val="007D7FD2"/>
    <w:rsid w:val="007E13D9"/>
    <w:rsid w:val="007E4DB6"/>
    <w:rsid w:val="007E7CD4"/>
    <w:rsid w:val="007F036C"/>
    <w:rsid w:val="00801800"/>
    <w:rsid w:val="00801B5B"/>
    <w:rsid w:val="008276B4"/>
    <w:rsid w:val="00830DF7"/>
    <w:rsid w:val="00831927"/>
    <w:rsid w:val="00841BD3"/>
    <w:rsid w:val="0084273D"/>
    <w:rsid w:val="00844B3F"/>
    <w:rsid w:val="00844E3F"/>
    <w:rsid w:val="00845A83"/>
    <w:rsid w:val="00855A88"/>
    <w:rsid w:val="008712BB"/>
    <w:rsid w:val="00880EEC"/>
    <w:rsid w:val="0089720B"/>
    <w:rsid w:val="008A2484"/>
    <w:rsid w:val="008A3F89"/>
    <w:rsid w:val="008C26D9"/>
    <w:rsid w:val="008C6D50"/>
    <w:rsid w:val="008C7167"/>
    <w:rsid w:val="008C7503"/>
    <w:rsid w:val="008D1617"/>
    <w:rsid w:val="008D3352"/>
    <w:rsid w:val="008E6315"/>
    <w:rsid w:val="008F11E0"/>
    <w:rsid w:val="008F2633"/>
    <w:rsid w:val="008F78BC"/>
    <w:rsid w:val="008F7B63"/>
    <w:rsid w:val="008F7D6A"/>
    <w:rsid w:val="009054CB"/>
    <w:rsid w:val="00912F94"/>
    <w:rsid w:val="0092590B"/>
    <w:rsid w:val="00925E60"/>
    <w:rsid w:val="009264B3"/>
    <w:rsid w:val="00942BA2"/>
    <w:rsid w:val="00944C86"/>
    <w:rsid w:val="0094584C"/>
    <w:rsid w:val="009556FA"/>
    <w:rsid w:val="00957DE8"/>
    <w:rsid w:val="00960ECB"/>
    <w:rsid w:val="009615D6"/>
    <w:rsid w:val="00967855"/>
    <w:rsid w:val="00980736"/>
    <w:rsid w:val="00981A39"/>
    <w:rsid w:val="00981C42"/>
    <w:rsid w:val="00987097"/>
    <w:rsid w:val="00993ECA"/>
    <w:rsid w:val="009B046C"/>
    <w:rsid w:val="009B13FA"/>
    <w:rsid w:val="009B1E2D"/>
    <w:rsid w:val="009B734D"/>
    <w:rsid w:val="009C59FB"/>
    <w:rsid w:val="009C6F3B"/>
    <w:rsid w:val="009E4FA6"/>
    <w:rsid w:val="009E7D93"/>
    <w:rsid w:val="009F4348"/>
    <w:rsid w:val="009F5C33"/>
    <w:rsid w:val="00A03EAC"/>
    <w:rsid w:val="00A11CA6"/>
    <w:rsid w:val="00A20C49"/>
    <w:rsid w:val="00A269CA"/>
    <w:rsid w:val="00A33633"/>
    <w:rsid w:val="00A359AC"/>
    <w:rsid w:val="00A41413"/>
    <w:rsid w:val="00A45FB1"/>
    <w:rsid w:val="00A46CCC"/>
    <w:rsid w:val="00A51CFE"/>
    <w:rsid w:val="00A76C13"/>
    <w:rsid w:val="00A85CA7"/>
    <w:rsid w:val="00A92E79"/>
    <w:rsid w:val="00A950B6"/>
    <w:rsid w:val="00AB4188"/>
    <w:rsid w:val="00AB41C1"/>
    <w:rsid w:val="00AC30B6"/>
    <w:rsid w:val="00AD12A8"/>
    <w:rsid w:val="00AE7F6D"/>
    <w:rsid w:val="00AF3577"/>
    <w:rsid w:val="00AF35F9"/>
    <w:rsid w:val="00B05C7D"/>
    <w:rsid w:val="00B23AEB"/>
    <w:rsid w:val="00B3387D"/>
    <w:rsid w:val="00B346C3"/>
    <w:rsid w:val="00B414D1"/>
    <w:rsid w:val="00B4471C"/>
    <w:rsid w:val="00B451A6"/>
    <w:rsid w:val="00B5786D"/>
    <w:rsid w:val="00B715A0"/>
    <w:rsid w:val="00B722DE"/>
    <w:rsid w:val="00B76C44"/>
    <w:rsid w:val="00B83F87"/>
    <w:rsid w:val="00B95E2B"/>
    <w:rsid w:val="00BA2EFA"/>
    <w:rsid w:val="00BA3DBC"/>
    <w:rsid w:val="00BA765E"/>
    <w:rsid w:val="00BB2DA2"/>
    <w:rsid w:val="00BB56DC"/>
    <w:rsid w:val="00BC1F8E"/>
    <w:rsid w:val="00BE183D"/>
    <w:rsid w:val="00BE758E"/>
    <w:rsid w:val="00BF5D7A"/>
    <w:rsid w:val="00BF6E67"/>
    <w:rsid w:val="00C326A8"/>
    <w:rsid w:val="00C36442"/>
    <w:rsid w:val="00C400CE"/>
    <w:rsid w:val="00C410FD"/>
    <w:rsid w:val="00C539FB"/>
    <w:rsid w:val="00C56C9B"/>
    <w:rsid w:val="00C571E5"/>
    <w:rsid w:val="00C93A8F"/>
    <w:rsid w:val="00CA246D"/>
    <w:rsid w:val="00CA297C"/>
    <w:rsid w:val="00CA71DC"/>
    <w:rsid w:val="00CB5636"/>
    <w:rsid w:val="00CD6EB9"/>
    <w:rsid w:val="00CD77C6"/>
    <w:rsid w:val="00CE1573"/>
    <w:rsid w:val="00CE7098"/>
    <w:rsid w:val="00CF7AD4"/>
    <w:rsid w:val="00D10F21"/>
    <w:rsid w:val="00D22D8A"/>
    <w:rsid w:val="00D34040"/>
    <w:rsid w:val="00D34E69"/>
    <w:rsid w:val="00D375EE"/>
    <w:rsid w:val="00D41840"/>
    <w:rsid w:val="00D62699"/>
    <w:rsid w:val="00D73102"/>
    <w:rsid w:val="00D7797A"/>
    <w:rsid w:val="00D82620"/>
    <w:rsid w:val="00D84271"/>
    <w:rsid w:val="00D85DC5"/>
    <w:rsid w:val="00D9725F"/>
    <w:rsid w:val="00DA01B1"/>
    <w:rsid w:val="00DA11A2"/>
    <w:rsid w:val="00DA14ED"/>
    <w:rsid w:val="00DA68FB"/>
    <w:rsid w:val="00DB2EF1"/>
    <w:rsid w:val="00DB3DE1"/>
    <w:rsid w:val="00DB5CB7"/>
    <w:rsid w:val="00DB5DA0"/>
    <w:rsid w:val="00DB716C"/>
    <w:rsid w:val="00DC5C85"/>
    <w:rsid w:val="00DD4236"/>
    <w:rsid w:val="00DD44F1"/>
    <w:rsid w:val="00DE11E7"/>
    <w:rsid w:val="00DE3067"/>
    <w:rsid w:val="00E027BC"/>
    <w:rsid w:val="00E118CD"/>
    <w:rsid w:val="00E14EA5"/>
    <w:rsid w:val="00E21133"/>
    <w:rsid w:val="00E2327E"/>
    <w:rsid w:val="00E266EF"/>
    <w:rsid w:val="00E310B6"/>
    <w:rsid w:val="00E47428"/>
    <w:rsid w:val="00E66B9F"/>
    <w:rsid w:val="00E710D6"/>
    <w:rsid w:val="00E76E45"/>
    <w:rsid w:val="00E777C9"/>
    <w:rsid w:val="00E81DA6"/>
    <w:rsid w:val="00E84212"/>
    <w:rsid w:val="00E9086C"/>
    <w:rsid w:val="00E91A0F"/>
    <w:rsid w:val="00E94165"/>
    <w:rsid w:val="00E94A71"/>
    <w:rsid w:val="00EA03CE"/>
    <w:rsid w:val="00EA23E5"/>
    <w:rsid w:val="00EA4E2E"/>
    <w:rsid w:val="00EB2CCB"/>
    <w:rsid w:val="00EC1756"/>
    <w:rsid w:val="00EC405D"/>
    <w:rsid w:val="00EC411E"/>
    <w:rsid w:val="00EC57A7"/>
    <w:rsid w:val="00ED0817"/>
    <w:rsid w:val="00ED7DD9"/>
    <w:rsid w:val="00EE2B1B"/>
    <w:rsid w:val="00EE3648"/>
    <w:rsid w:val="00EF3113"/>
    <w:rsid w:val="00EF3F84"/>
    <w:rsid w:val="00F05B2F"/>
    <w:rsid w:val="00F1614F"/>
    <w:rsid w:val="00F176AC"/>
    <w:rsid w:val="00F23894"/>
    <w:rsid w:val="00F27714"/>
    <w:rsid w:val="00F3276E"/>
    <w:rsid w:val="00F33D3C"/>
    <w:rsid w:val="00F376A4"/>
    <w:rsid w:val="00F37A91"/>
    <w:rsid w:val="00F45CF5"/>
    <w:rsid w:val="00F47DB0"/>
    <w:rsid w:val="00F50E34"/>
    <w:rsid w:val="00F53EF7"/>
    <w:rsid w:val="00F54BF2"/>
    <w:rsid w:val="00F920B3"/>
    <w:rsid w:val="00F92355"/>
    <w:rsid w:val="00F925FB"/>
    <w:rsid w:val="00F93963"/>
    <w:rsid w:val="00F94291"/>
    <w:rsid w:val="00FA2969"/>
    <w:rsid w:val="00FB7982"/>
    <w:rsid w:val="00FC0734"/>
    <w:rsid w:val="00FC0FC5"/>
    <w:rsid w:val="00FC588F"/>
    <w:rsid w:val="00FE08BB"/>
    <w:rsid w:val="00FE1B30"/>
    <w:rsid w:val="00FE7B44"/>
    <w:rsid w:val="00FF29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link w:val="Heading1Char"/>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Default">
    <w:name w:val="Default"/>
    <w:rsid w:val="00B715A0"/>
    <w:pPr>
      <w:autoSpaceDE w:val="0"/>
      <w:autoSpaceDN w:val="0"/>
      <w:adjustRightInd w:val="0"/>
    </w:pPr>
    <w:rPr>
      <w:color w:val="000000"/>
      <w:sz w:val="24"/>
      <w:szCs w:val="24"/>
    </w:rPr>
  </w:style>
  <w:style w:type="character" w:customStyle="1" w:styleId="Heading1Char">
    <w:name w:val="Heading 1 Char"/>
    <w:basedOn w:val="DefaultParagraphFont"/>
    <w:link w:val="Heading1"/>
    <w:rsid w:val="0041096C"/>
    <w:rPr>
      <w:b/>
      <w:caps/>
      <w:kern w:val="28"/>
      <w:sz w:val="24"/>
      <w:lang w:eastAsia="en-US"/>
    </w:rPr>
  </w:style>
  <w:style w:type="paragraph" w:customStyle="1" w:styleId="Heading10">
    <w:name w:val="Heading1"/>
    <w:basedOn w:val="ParaNumbering"/>
    <w:rsid w:val="005855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link w:val="Heading1Char"/>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Default">
    <w:name w:val="Default"/>
    <w:rsid w:val="00B715A0"/>
    <w:pPr>
      <w:autoSpaceDE w:val="0"/>
      <w:autoSpaceDN w:val="0"/>
      <w:adjustRightInd w:val="0"/>
    </w:pPr>
    <w:rPr>
      <w:color w:val="000000"/>
      <w:sz w:val="24"/>
      <w:szCs w:val="24"/>
    </w:rPr>
  </w:style>
  <w:style w:type="character" w:customStyle="1" w:styleId="Heading1Char">
    <w:name w:val="Heading 1 Char"/>
    <w:basedOn w:val="DefaultParagraphFont"/>
    <w:link w:val="Heading1"/>
    <w:rsid w:val="0041096C"/>
    <w:rPr>
      <w:b/>
      <w:caps/>
      <w:kern w:val="28"/>
      <w:sz w:val="24"/>
      <w:lang w:eastAsia="en-US"/>
    </w:rPr>
  </w:style>
  <w:style w:type="paragraph" w:customStyle="1" w:styleId="Heading10">
    <w:name w:val="Heading1"/>
    <w:basedOn w:val="ParaNumbering"/>
    <w:rsid w:val="00585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96558-1296-4995-B5CD-8B8A08FA7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Template>
  <TotalTime>1</TotalTime>
  <Pages>24</Pages>
  <Words>4678</Words>
  <Characters>24083</Characters>
  <Application>Microsoft Office Word</Application>
  <DocSecurity>0</DocSecurity>
  <Lines>512</Lines>
  <Paragraphs>201</Paragraphs>
  <ScaleCrop>false</ScaleCrop>
  <HeadingPairs>
    <vt:vector size="2" baseType="variant">
      <vt:variant>
        <vt:lpstr>Title</vt:lpstr>
      </vt:variant>
      <vt:variant>
        <vt:i4>1</vt:i4>
      </vt:variant>
    </vt:vector>
  </HeadingPairs>
  <TitlesOfParts>
    <vt:vector size="1" baseType="lpstr">
      <vt:lpstr>Gordian Runoff Limited, in the matter of Gordian Runoff Limited (No 2) [2016] FCA 687</vt:lpstr>
    </vt:vector>
  </TitlesOfParts>
  <Company>Federal Court of Australia</Company>
  <LinksUpToDate>false</LinksUpToDate>
  <CharactersWithSpaces>28560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Gordian Runoff Limited, in the matter of Gordian Runoff Limited (No 2) [2016] FCA 687</dc:title>
  <dc:creator>Sophie Bathurst</dc:creator>
  <cp:lastModifiedBy>Anna Masters</cp:lastModifiedBy>
  <cp:revision>3</cp:revision>
  <cp:lastPrinted>2016-06-13T22:16:00Z</cp:lastPrinted>
  <dcterms:created xsi:type="dcterms:W3CDTF">2016-06-14T01:42:00Z</dcterms:created>
  <dcterms:modified xsi:type="dcterms:W3CDTF">2016-06-14T01:43:00Z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ALLSOP CJ</vt:lpwstr>
  </property>
  <property fmtid="{D5CDD505-2E9C-101B-9397-08002B2CF9AE}" pid="4" name="Judgment_dated" linkTarget="Judgment_dated">
    <vt:lpwstr>9 June 2016</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New South Wales</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Commercial and Corporations</vt:lpwstr>
  </property>
  <property fmtid="{D5CDD505-2E9C-101B-9397-08002B2CF9AE}" pid="19" name="Sub Area">
    <vt:lpwstr>Commercial Contracts, Banking, Finance and Insurance</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