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1D65D1">
      <w:pPr>
        <w:pStyle w:val="MediaNeutralStyle"/>
      </w:pPr>
      <w:bookmarkStart w:id="0" w:name="MNC"/>
      <w:r>
        <w:t xml:space="preserve">CSR Limited v CSR &amp; </w:t>
      </w:r>
      <w:proofErr w:type="spellStart"/>
      <w:r>
        <w:t>Holcim</w:t>
      </w:r>
      <w:proofErr w:type="spellEnd"/>
      <w:r>
        <w:t xml:space="preserve"> Staff Association [2015] </w:t>
      </w:r>
      <w:proofErr w:type="spellStart"/>
      <w:r>
        <w:t>FCAFC</w:t>
      </w:r>
      <w:proofErr w:type="spellEnd"/>
      <w:r>
        <w:t xml:space="preserve"> </w:t>
      </w:r>
      <w:r w:rsidR="003644A5">
        <w:t>95</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712D48">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1D65D1" w:rsidP="003644A5">
            <w:pPr>
              <w:pStyle w:val="Normal1linespace"/>
              <w:widowControl w:val="0"/>
              <w:jc w:val="left"/>
            </w:pPr>
            <w:r w:rsidRPr="001D65D1">
              <w:t xml:space="preserve">CSR Limited v CSR &amp; </w:t>
            </w:r>
            <w:proofErr w:type="spellStart"/>
            <w:r w:rsidRPr="001D65D1">
              <w:t>Holcim</w:t>
            </w:r>
            <w:proofErr w:type="spellEnd"/>
            <w:r w:rsidRPr="001D65D1">
              <w:t xml:space="preserve"> Staff Association [2015] </w:t>
            </w:r>
            <w:proofErr w:type="spellStart"/>
            <w:r w:rsidRPr="001D65D1">
              <w:t>FCAFC</w:t>
            </w:r>
            <w:proofErr w:type="spellEnd"/>
            <w:r w:rsidRPr="001D65D1">
              <w:t xml:space="preserve"> </w:t>
            </w:r>
            <w:r w:rsidR="003644A5">
              <w:t>95</w:t>
            </w:r>
          </w:p>
        </w:tc>
      </w:tr>
      <w:tr w:rsidR="00395B24" w:rsidTr="00712D48">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12D48">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552CFD">
            <w:pPr>
              <w:pStyle w:val="Normal1linespace"/>
              <w:widowControl w:val="0"/>
              <w:jc w:val="left"/>
              <w:rPr>
                <w:b/>
              </w:rPr>
            </w:pPr>
            <w:bookmarkStart w:id="1" w:name="JudgmentFP"/>
            <w:r>
              <w:rPr>
                <w:b/>
              </w:rPr>
              <w:t>CSR LIMITED (</w:t>
            </w:r>
            <w:proofErr w:type="spellStart"/>
            <w:r>
              <w:rPr>
                <w:b/>
              </w:rPr>
              <w:t>ACN</w:t>
            </w:r>
            <w:proofErr w:type="spellEnd"/>
            <w:r>
              <w:rPr>
                <w:b/>
              </w:rPr>
              <w:t xml:space="preserve"> 000 001 276) v CSR &amp; </w:t>
            </w:r>
            <w:proofErr w:type="spellStart"/>
            <w:r>
              <w:rPr>
                <w:b/>
              </w:rPr>
              <w:t>HOLCIM</w:t>
            </w:r>
            <w:proofErr w:type="spellEnd"/>
            <w:r>
              <w:rPr>
                <w:b/>
              </w:rPr>
              <w:t xml:space="preserve"> STAFF ASSOCIATION and FAIR WORK COMMISSION</w:t>
            </w:r>
            <w:bookmarkEnd w:id="1"/>
          </w:p>
        </w:tc>
      </w:tr>
      <w:tr w:rsidR="00395B24" w:rsidTr="00712D48">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12D48">
        <w:tc>
          <w:tcPr>
            <w:tcW w:w="3085" w:type="dxa"/>
            <w:shd w:val="clear" w:color="auto" w:fill="auto"/>
          </w:tcPr>
          <w:p w:rsidR="00395B24" w:rsidRDefault="001D65D1" w:rsidP="001D65D1">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552CFD">
              <w:rPr>
                <w:szCs w:val="24"/>
              </w:rPr>
              <w:t>NSD</w:t>
            </w:r>
            <w:proofErr w:type="spellEnd"/>
            <w:r w:rsidR="00552CFD">
              <w:rPr>
                <w:szCs w:val="24"/>
              </w:rPr>
              <w:t xml:space="preserve"> 1374 of 2014</w:t>
            </w:r>
            <w:r>
              <w:rPr>
                <w:szCs w:val="24"/>
              </w:rPr>
              <w:fldChar w:fldCharType="end"/>
            </w:r>
          </w:p>
        </w:tc>
      </w:tr>
      <w:tr w:rsidR="00395B24" w:rsidTr="00712D48">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12D48">
        <w:tc>
          <w:tcPr>
            <w:tcW w:w="3085" w:type="dxa"/>
            <w:shd w:val="clear" w:color="auto" w:fill="auto"/>
          </w:tcPr>
          <w:p w:rsidR="00395B24" w:rsidRDefault="002C7385" w:rsidP="001D65D1">
            <w:pPr>
              <w:pStyle w:val="Normal1linespace"/>
              <w:widowControl w:val="0"/>
            </w:pPr>
            <w:r>
              <w:t>Judges:</w:t>
            </w:r>
          </w:p>
        </w:tc>
        <w:tc>
          <w:tcPr>
            <w:tcW w:w="5989" w:type="dxa"/>
            <w:shd w:val="clear" w:color="auto" w:fill="auto"/>
          </w:tcPr>
          <w:p w:rsidR="00395B24" w:rsidRDefault="002C7385">
            <w:pPr>
              <w:pStyle w:val="Normal1linespace"/>
              <w:widowControl w:val="0"/>
              <w:jc w:val="left"/>
              <w:rPr>
                <w:b/>
              </w:rPr>
            </w:pPr>
            <w:r w:rsidRPr="00552CFD">
              <w:rPr>
                <w:b/>
              </w:rPr>
              <w:fldChar w:fldCharType="begin" w:fldLock="1"/>
            </w:r>
            <w:r w:rsidRPr="00552CFD">
              <w:rPr>
                <w:b/>
              </w:rPr>
              <w:instrText xml:space="preserve"> REF  Judge  \* MERGEFORMAT </w:instrText>
            </w:r>
            <w:r w:rsidRPr="00552CFD">
              <w:rPr>
                <w:b/>
              </w:rPr>
              <w:fldChar w:fldCharType="separate"/>
            </w:r>
            <w:r w:rsidR="00552CFD" w:rsidRPr="00552CFD">
              <w:rPr>
                <w:b/>
                <w:caps/>
                <w:szCs w:val="24"/>
              </w:rPr>
              <w:t xml:space="preserve">JESSUP, BROMBERG AND KATZMANN </w:t>
            </w:r>
            <w:proofErr w:type="spellStart"/>
            <w:r w:rsidR="00552CFD" w:rsidRPr="00552CFD">
              <w:rPr>
                <w:b/>
                <w:caps/>
                <w:szCs w:val="24"/>
              </w:rPr>
              <w:t>JJ</w:t>
            </w:r>
            <w:proofErr w:type="spellEnd"/>
            <w:r w:rsidRPr="00552CFD">
              <w:rPr>
                <w:b/>
              </w:rPr>
              <w:fldChar w:fldCharType="end"/>
            </w:r>
          </w:p>
        </w:tc>
      </w:tr>
      <w:tr w:rsidR="00395B24" w:rsidTr="00712D48">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12D48">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552CFD">
            <w:pPr>
              <w:pStyle w:val="Normal1linespace"/>
              <w:widowControl w:val="0"/>
              <w:jc w:val="left"/>
            </w:pPr>
            <w:bookmarkStart w:id="2" w:name="JudgmentDate"/>
            <w:r>
              <w:t>1 July 2015</w:t>
            </w:r>
            <w:bookmarkEnd w:id="2"/>
          </w:p>
        </w:tc>
      </w:tr>
      <w:tr w:rsidR="00395B24" w:rsidTr="00712D48">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12D48">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041102">
            <w:pPr>
              <w:pStyle w:val="Normal1linespace"/>
              <w:widowControl w:val="0"/>
              <w:jc w:val="left"/>
            </w:pPr>
            <w:bookmarkStart w:id="3" w:name="Catchwords"/>
            <w:r w:rsidRPr="00041102">
              <w:rPr>
                <w:b/>
              </w:rPr>
              <w:t>INDUSTRIAL LAW</w:t>
            </w:r>
            <w:r w:rsidRPr="00041102">
              <w:t xml:space="preserve"> — transitional instruments — modern enterprise awards — whether mandatory considerations in the modern enterprise awards objective taken into account when deciding whether or not to make a modern enterprise award</w:t>
            </w:r>
            <w:r w:rsidR="002C7385">
              <w:t xml:space="preserve"> </w:t>
            </w:r>
            <w:bookmarkEnd w:id="3"/>
          </w:p>
        </w:tc>
      </w:tr>
      <w:tr w:rsidR="00395B24" w:rsidTr="00712D48">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12D48">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552CFD" w:rsidRDefault="00552CFD">
            <w:pPr>
              <w:pStyle w:val="Normal1linespace"/>
              <w:widowControl w:val="0"/>
              <w:jc w:val="left"/>
            </w:pPr>
            <w:bookmarkStart w:id="4" w:name="Legislation"/>
            <w:r>
              <w:rPr>
                <w:i/>
              </w:rPr>
              <w:t>Fair Work Act 2009</w:t>
            </w:r>
            <w:r>
              <w:t xml:space="preserve"> (</w:t>
            </w:r>
            <w:proofErr w:type="spellStart"/>
            <w:r>
              <w:t>Cth</w:t>
            </w:r>
            <w:proofErr w:type="spellEnd"/>
            <w:r>
              <w:t>) s 134</w:t>
            </w:r>
          </w:p>
          <w:p w:rsidR="00552CFD" w:rsidRDefault="00552CFD">
            <w:pPr>
              <w:pStyle w:val="Normal1linespace"/>
              <w:widowControl w:val="0"/>
              <w:jc w:val="left"/>
            </w:pPr>
            <w:r>
              <w:rPr>
                <w:i/>
              </w:rPr>
              <w:t>Fair Work (Transitional Provisions and Consequential Amendments) Act 2009</w:t>
            </w:r>
            <w:r>
              <w:t xml:space="preserve"> (</w:t>
            </w:r>
            <w:proofErr w:type="spellStart"/>
            <w:r>
              <w:t>Cth</w:t>
            </w:r>
            <w:proofErr w:type="spellEnd"/>
            <w:r>
              <w:t>)</w:t>
            </w:r>
            <w:r w:rsidR="00041102">
              <w:t xml:space="preserve"> </w:t>
            </w:r>
            <w:proofErr w:type="spellStart"/>
            <w:r w:rsidR="00041102">
              <w:t>Sch</w:t>
            </w:r>
            <w:proofErr w:type="spellEnd"/>
            <w:r w:rsidR="00041102">
              <w:t xml:space="preserve"> 6, Items 4 and 6</w:t>
            </w:r>
          </w:p>
          <w:p w:rsidR="00395B24" w:rsidRDefault="00552CFD">
            <w:pPr>
              <w:pStyle w:val="Normal1linespace"/>
              <w:widowControl w:val="0"/>
              <w:jc w:val="left"/>
            </w:pPr>
            <w:r>
              <w:rPr>
                <w:i/>
              </w:rPr>
              <w:t xml:space="preserve">Workplace Relations Act 1996 </w:t>
            </w:r>
            <w:r>
              <w:t>(</w:t>
            </w:r>
            <w:proofErr w:type="spellStart"/>
            <w:r>
              <w:t>Cth</w:t>
            </w:r>
            <w:proofErr w:type="spellEnd"/>
            <w:r>
              <w:t>)</w:t>
            </w:r>
            <w:r w:rsidR="002C7385">
              <w:t xml:space="preserve"> </w:t>
            </w:r>
            <w:bookmarkEnd w:id="4"/>
          </w:p>
        </w:tc>
      </w:tr>
      <w:tr w:rsidR="00395B24" w:rsidTr="00712D48">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12D48">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395B24" w:rsidRDefault="00552CFD">
            <w:pPr>
              <w:pStyle w:val="Normal1linespace"/>
              <w:widowControl w:val="0"/>
              <w:jc w:val="left"/>
            </w:pPr>
            <w:bookmarkStart w:id="5" w:name="Cases_Cited"/>
            <w:r>
              <w:rPr>
                <w:i/>
              </w:rPr>
              <w:t>Yum! Restaurants Australia Pty Ltd v Full Bench</w:t>
            </w:r>
            <w:r>
              <w:t xml:space="preserve"> </w:t>
            </w:r>
            <w:r w:rsidR="00FE3F30" w:rsidRPr="00FE3F30">
              <w:rPr>
                <w:i/>
              </w:rPr>
              <w:t xml:space="preserve">of </w:t>
            </w:r>
            <w:r>
              <w:rPr>
                <w:i/>
              </w:rPr>
              <w:t>Fair Work Australia</w:t>
            </w:r>
            <w:r>
              <w:t xml:space="preserve"> (2012) 205 </w:t>
            </w:r>
            <w:proofErr w:type="spellStart"/>
            <w:r>
              <w:t>FCR</w:t>
            </w:r>
            <w:proofErr w:type="spellEnd"/>
            <w:r>
              <w:t xml:space="preserve"> 306</w:t>
            </w:r>
            <w:r w:rsidR="002C7385">
              <w:t xml:space="preserve"> </w:t>
            </w:r>
            <w:bookmarkEnd w:id="5"/>
          </w:p>
        </w:tc>
      </w:tr>
      <w:tr w:rsidR="00712D48" w:rsidRPr="00712D48" w:rsidTr="00712D48">
        <w:tc>
          <w:tcPr>
            <w:tcW w:w="3085" w:type="dxa"/>
            <w:shd w:val="clear" w:color="auto" w:fill="auto"/>
          </w:tcPr>
          <w:p w:rsidR="00712D48" w:rsidRPr="00712D48" w:rsidRDefault="00712D48" w:rsidP="00712D48">
            <w:pPr>
              <w:pStyle w:val="Normal1linespace"/>
              <w:jc w:val="left"/>
            </w:pPr>
          </w:p>
        </w:tc>
        <w:tc>
          <w:tcPr>
            <w:tcW w:w="5989" w:type="dxa"/>
            <w:shd w:val="clear" w:color="auto" w:fill="auto"/>
          </w:tcPr>
          <w:p w:rsidR="00712D48" w:rsidRPr="00712D48" w:rsidRDefault="00712D48" w:rsidP="00712D48">
            <w:pPr>
              <w:pStyle w:val="Normal1linespace"/>
              <w:jc w:val="left"/>
            </w:pPr>
          </w:p>
        </w:tc>
      </w:tr>
      <w:tr w:rsidR="00712D48" w:rsidRPr="00712D48" w:rsidTr="00712D48">
        <w:tc>
          <w:tcPr>
            <w:tcW w:w="3085" w:type="dxa"/>
            <w:shd w:val="clear" w:color="auto" w:fill="auto"/>
          </w:tcPr>
          <w:p w:rsidR="00712D48" w:rsidRPr="00712D48" w:rsidRDefault="00712D48" w:rsidP="00712D48">
            <w:pPr>
              <w:pStyle w:val="Normal1linespace"/>
              <w:jc w:val="left"/>
            </w:pPr>
            <w:bookmarkStart w:id="6" w:name="CounselDate" w:colFirst="0" w:colLast="2"/>
            <w:r w:rsidRPr="00712D48">
              <w:t>Date of hearing:</w:t>
            </w:r>
          </w:p>
        </w:tc>
        <w:tc>
          <w:tcPr>
            <w:tcW w:w="5989" w:type="dxa"/>
            <w:shd w:val="clear" w:color="auto" w:fill="auto"/>
          </w:tcPr>
          <w:p w:rsidR="00712D48" w:rsidRPr="00712D48" w:rsidRDefault="00712D48" w:rsidP="00712D48">
            <w:pPr>
              <w:pStyle w:val="Normal1linespace"/>
              <w:jc w:val="left"/>
            </w:pPr>
            <w:bookmarkStart w:id="7" w:name="HearingDate"/>
            <w:r>
              <w:t>8 May 2015</w:t>
            </w:r>
            <w:bookmarkEnd w:id="7"/>
          </w:p>
        </w:tc>
      </w:tr>
      <w:tr w:rsidR="00712D48" w:rsidRPr="00712D48" w:rsidTr="00712D48">
        <w:tc>
          <w:tcPr>
            <w:tcW w:w="3085" w:type="dxa"/>
            <w:shd w:val="clear" w:color="auto" w:fill="auto"/>
          </w:tcPr>
          <w:p w:rsidR="00712D48" w:rsidRPr="00712D48" w:rsidRDefault="00712D48" w:rsidP="00712D48">
            <w:pPr>
              <w:pStyle w:val="Normal1linespace"/>
              <w:jc w:val="left"/>
            </w:pPr>
          </w:p>
        </w:tc>
        <w:tc>
          <w:tcPr>
            <w:tcW w:w="5989" w:type="dxa"/>
            <w:shd w:val="clear" w:color="auto" w:fill="auto"/>
          </w:tcPr>
          <w:p w:rsidR="00712D48" w:rsidRPr="00712D48" w:rsidRDefault="00712D48" w:rsidP="00712D48">
            <w:pPr>
              <w:pStyle w:val="Normal1linespace"/>
              <w:jc w:val="left"/>
            </w:pPr>
          </w:p>
        </w:tc>
      </w:tr>
      <w:tr w:rsidR="00712D48" w:rsidRPr="00712D48" w:rsidTr="00712D48">
        <w:tc>
          <w:tcPr>
            <w:tcW w:w="3085" w:type="dxa"/>
            <w:shd w:val="clear" w:color="auto" w:fill="auto"/>
          </w:tcPr>
          <w:p w:rsidR="00712D48" w:rsidRPr="00712D48" w:rsidRDefault="00712D48" w:rsidP="00712D48">
            <w:pPr>
              <w:pStyle w:val="Normal1linespace"/>
              <w:jc w:val="left"/>
            </w:pPr>
            <w:r w:rsidRPr="00712D48">
              <w:t>Date of last submissions:</w:t>
            </w:r>
          </w:p>
        </w:tc>
        <w:tc>
          <w:tcPr>
            <w:tcW w:w="5989" w:type="dxa"/>
            <w:shd w:val="clear" w:color="auto" w:fill="auto"/>
          </w:tcPr>
          <w:p w:rsidR="00712D48" w:rsidRPr="00712D48" w:rsidRDefault="00C43460" w:rsidP="007D2341">
            <w:pPr>
              <w:pStyle w:val="Normal1linespace"/>
              <w:jc w:val="left"/>
            </w:pPr>
            <w:r>
              <w:t xml:space="preserve">15 </w:t>
            </w:r>
            <w:r w:rsidR="007D2341">
              <w:t>May</w:t>
            </w:r>
            <w:r>
              <w:t xml:space="preserve"> 2015</w:t>
            </w:r>
          </w:p>
        </w:tc>
      </w:tr>
      <w:bookmarkEnd w:id="6"/>
      <w:tr w:rsidR="00712D48" w:rsidTr="00712D48">
        <w:tc>
          <w:tcPr>
            <w:tcW w:w="3085" w:type="dxa"/>
            <w:shd w:val="clear" w:color="auto" w:fill="auto"/>
          </w:tcPr>
          <w:p w:rsidR="00712D48" w:rsidRDefault="00712D48" w:rsidP="00712D48">
            <w:pPr>
              <w:pStyle w:val="Normal1linespace"/>
              <w:widowControl w:val="0"/>
              <w:jc w:val="left"/>
            </w:pPr>
          </w:p>
        </w:tc>
        <w:tc>
          <w:tcPr>
            <w:tcW w:w="5989" w:type="dxa"/>
            <w:shd w:val="clear" w:color="auto" w:fill="auto"/>
          </w:tcPr>
          <w:p w:rsidR="00712D48" w:rsidRDefault="00712D48" w:rsidP="00712D48">
            <w:pPr>
              <w:pStyle w:val="Normal1linespace"/>
              <w:widowControl w:val="0"/>
              <w:jc w:val="left"/>
            </w:pPr>
          </w:p>
        </w:tc>
      </w:tr>
      <w:tr w:rsidR="00712D48" w:rsidTr="00712D48">
        <w:tc>
          <w:tcPr>
            <w:tcW w:w="3085" w:type="dxa"/>
            <w:shd w:val="clear" w:color="auto" w:fill="auto"/>
          </w:tcPr>
          <w:p w:rsidR="00712D48" w:rsidRDefault="00712D48" w:rsidP="00712D48">
            <w:pPr>
              <w:pStyle w:val="Normal1linespace"/>
              <w:widowControl w:val="0"/>
              <w:jc w:val="left"/>
            </w:pPr>
            <w:r>
              <w:t>Place:</w:t>
            </w:r>
          </w:p>
        </w:tc>
        <w:tc>
          <w:tcPr>
            <w:tcW w:w="5989" w:type="dxa"/>
            <w:shd w:val="clear" w:color="auto" w:fill="auto"/>
          </w:tcPr>
          <w:p w:rsidR="00712D48" w:rsidRDefault="000E6A13" w:rsidP="00712D48">
            <w:pPr>
              <w:pStyle w:val="Normal1linespace"/>
              <w:widowControl w:val="0"/>
              <w:jc w:val="left"/>
            </w:pPr>
            <w:fldSimple w:instr=" DOCVARIABLE  Place_SentenceCase  \* MERGEFORMAT ">
              <w:r w:rsidR="00552CFD">
                <w:t>Melbourne</w:t>
              </w:r>
            </w:fldSimple>
          </w:p>
        </w:tc>
      </w:tr>
      <w:tr w:rsidR="00712D48" w:rsidTr="00712D48">
        <w:tc>
          <w:tcPr>
            <w:tcW w:w="3085" w:type="dxa"/>
            <w:shd w:val="clear" w:color="auto" w:fill="auto"/>
          </w:tcPr>
          <w:p w:rsidR="00712D48" w:rsidRDefault="00712D48" w:rsidP="00712D48">
            <w:pPr>
              <w:pStyle w:val="Normal1linespace"/>
              <w:widowControl w:val="0"/>
              <w:jc w:val="left"/>
            </w:pPr>
          </w:p>
        </w:tc>
        <w:tc>
          <w:tcPr>
            <w:tcW w:w="5989" w:type="dxa"/>
            <w:shd w:val="clear" w:color="auto" w:fill="auto"/>
          </w:tcPr>
          <w:p w:rsidR="00712D48" w:rsidRDefault="00712D48" w:rsidP="00712D48">
            <w:pPr>
              <w:pStyle w:val="Normal1linespace"/>
              <w:widowControl w:val="0"/>
              <w:jc w:val="left"/>
            </w:pPr>
          </w:p>
        </w:tc>
      </w:tr>
      <w:tr w:rsidR="00712D48" w:rsidTr="00712D48">
        <w:tc>
          <w:tcPr>
            <w:tcW w:w="3085" w:type="dxa"/>
            <w:shd w:val="clear" w:color="auto" w:fill="auto"/>
          </w:tcPr>
          <w:p w:rsidR="00712D48" w:rsidRDefault="00712D48" w:rsidP="00712D48">
            <w:pPr>
              <w:pStyle w:val="Normal1linespace"/>
              <w:widowControl w:val="0"/>
              <w:jc w:val="left"/>
            </w:pPr>
            <w:r>
              <w:t>Division:</w:t>
            </w:r>
          </w:p>
        </w:tc>
        <w:tc>
          <w:tcPr>
            <w:tcW w:w="5989" w:type="dxa"/>
            <w:shd w:val="clear" w:color="auto" w:fill="auto"/>
          </w:tcPr>
          <w:p w:rsidR="00712D48" w:rsidRPr="00C67B37" w:rsidRDefault="00712D48" w:rsidP="00712D48">
            <w:pPr>
              <w:pStyle w:val="Normal1linespace"/>
              <w:widowControl w:val="0"/>
              <w:jc w:val="left"/>
              <w:rPr>
                <w:caps/>
              </w:rPr>
            </w:pPr>
            <w:r>
              <w:rPr>
                <w:caps/>
              </w:rPr>
              <w:fldChar w:fldCharType="begin" w:fldLock="1"/>
            </w:r>
            <w:r>
              <w:rPr>
                <w:caps/>
              </w:rPr>
              <w:instrText xml:space="preserve"> REF  Division </w:instrText>
            </w:r>
            <w:r>
              <w:rPr>
                <w:caps/>
              </w:rPr>
              <w:fldChar w:fldCharType="separate"/>
            </w:r>
            <w:r w:rsidR="00552CFD">
              <w:rPr>
                <w:caps/>
                <w:szCs w:val="24"/>
              </w:rPr>
              <w:t>FAIR WORK DIVISION</w:t>
            </w:r>
            <w:r>
              <w:rPr>
                <w:caps/>
              </w:rPr>
              <w:fldChar w:fldCharType="end"/>
            </w:r>
          </w:p>
        </w:tc>
      </w:tr>
      <w:tr w:rsidR="00712D48" w:rsidTr="00712D48">
        <w:tc>
          <w:tcPr>
            <w:tcW w:w="3085" w:type="dxa"/>
            <w:shd w:val="clear" w:color="auto" w:fill="auto"/>
          </w:tcPr>
          <w:p w:rsidR="00712D48" w:rsidRDefault="00712D48" w:rsidP="00712D48">
            <w:pPr>
              <w:pStyle w:val="Normal1linespace"/>
              <w:widowControl w:val="0"/>
              <w:jc w:val="left"/>
            </w:pPr>
          </w:p>
        </w:tc>
        <w:tc>
          <w:tcPr>
            <w:tcW w:w="5989" w:type="dxa"/>
            <w:shd w:val="clear" w:color="auto" w:fill="auto"/>
          </w:tcPr>
          <w:p w:rsidR="00712D48" w:rsidRDefault="00712D48" w:rsidP="00712D48">
            <w:pPr>
              <w:pStyle w:val="Normal1linespace"/>
              <w:widowControl w:val="0"/>
              <w:jc w:val="left"/>
              <w:rPr>
                <w:b/>
              </w:rPr>
            </w:pPr>
          </w:p>
        </w:tc>
      </w:tr>
      <w:tr w:rsidR="00712D48" w:rsidTr="00712D48">
        <w:tc>
          <w:tcPr>
            <w:tcW w:w="3085" w:type="dxa"/>
            <w:shd w:val="clear" w:color="auto" w:fill="auto"/>
          </w:tcPr>
          <w:p w:rsidR="00712D48" w:rsidRDefault="00712D48" w:rsidP="00712D48">
            <w:pPr>
              <w:pStyle w:val="Normal1linespace"/>
              <w:widowControl w:val="0"/>
              <w:jc w:val="left"/>
            </w:pPr>
            <w:r>
              <w:t>Category:</w:t>
            </w:r>
          </w:p>
        </w:tc>
        <w:tc>
          <w:tcPr>
            <w:tcW w:w="5989" w:type="dxa"/>
            <w:shd w:val="clear" w:color="auto" w:fill="auto"/>
          </w:tcPr>
          <w:p w:rsidR="00712D48" w:rsidRDefault="00191E8E" w:rsidP="00712D48">
            <w:pPr>
              <w:pStyle w:val="Normal1linespace"/>
              <w:widowControl w:val="0"/>
              <w:jc w:val="left"/>
            </w:pPr>
            <w:r>
              <w:t>Catchwords</w:t>
            </w:r>
          </w:p>
        </w:tc>
      </w:tr>
      <w:tr w:rsidR="00712D48" w:rsidTr="00712D48">
        <w:tc>
          <w:tcPr>
            <w:tcW w:w="3085" w:type="dxa"/>
            <w:shd w:val="clear" w:color="auto" w:fill="auto"/>
          </w:tcPr>
          <w:p w:rsidR="00712D48" w:rsidRDefault="00712D48" w:rsidP="00712D48">
            <w:pPr>
              <w:pStyle w:val="Normal1linespace"/>
              <w:widowControl w:val="0"/>
              <w:jc w:val="left"/>
            </w:pPr>
          </w:p>
        </w:tc>
        <w:tc>
          <w:tcPr>
            <w:tcW w:w="5989" w:type="dxa"/>
            <w:shd w:val="clear" w:color="auto" w:fill="auto"/>
          </w:tcPr>
          <w:p w:rsidR="00712D48" w:rsidRDefault="00712D48" w:rsidP="00712D48">
            <w:pPr>
              <w:pStyle w:val="Normal1linespace"/>
              <w:widowControl w:val="0"/>
              <w:jc w:val="left"/>
            </w:pPr>
          </w:p>
        </w:tc>
      </w:tr>
      <w:tr w:rsidR="00712D48" w:rsidTr="00712D48">
        <w:tc>
          <w:tcPr>
            <w:tcW w:w="3085" w:type="dxa"/>
            <w:shd w:val="clear" w:color="auto" w:fill="auto"/>
          </w:tcPr>
          <w:p w:rsidR="00712D48" w:rsidRDefault="00712D48" w:rsidP="00712D48">
            <w:pPr>
              <w:pStyle w:val="Normal1linespace"/>
              <w:widowControl w:val="0"/>
              <w:jc w:val="left"/>
            </w:pPr>
            <w:r>
              <w:t>Number of paragraphs:</w:t>
            </w:r>
          </w:p>
        </w:tc>
        <w:tc>
          <w:tcPr>
            <w:tcW w:w="5989" w:type="dxa"/>
            <w:shd w:val="clear" w:color="auto" w:fill="auto"/>
          </w:tcPr>
          <w:p w:rsidR="00712D48" w:rsidRDefault="00A00866" w:rsidP="00712D48">
            <w:pPr>
              <w:pStyle w:val="Normal1linespace"/>
              <w:widowControl w:val="0"/>
              <w:jc w:val="left"/>
            </w:pPr>
            <w:bookmarkStart w:id="8" w:name="PlaceCategoryParagraphs"/>
            <w:r>
              <w:t>24</w:t>
            </w:r>
            <w:bookmarkEnd w:id="8"/>
          </w:p>
        </w:tc>
      </w:tr>
      <w:tr w:rsidR="00712D48" w:rsidTr="00712D48">
        <w:tc>
          <w:tcPr>
            <w:tcW w:w="3085" w:type="dxa"/>
            <w:shd w:val="clear" w:color="auto" w:fill="auto"/>
          </w:tcPr>
          <w:p w:rsidR="00712D48" w:rsidRDefault="00712D48" w:rsidP="00712D48">
            <w:pPr>
              <w:pStyle w:val="Normal1linespace"/>
              <w:widowControl w:val="0"/>
              <w:jc w:val="left"/>
            </w:pPr>
          </w:p>
        </w:tc>
        <w:tc>
          <w:tcPr>
            <w:tcW w:w="5989" w:type="dxa"/>
            <w:shd w:val="clear" w:color="auto" w:fill="auto"/>
          </w:tcPr>
          <w:p w:rsidR="00712D48" w:rsidRDefault="00712D48" w:rsidP="00712D48">
            <w:pPr>
              <w:pStyle w:val="Normal1linespace"/>
              <w:widowControl w:val="0"/>
              <w:jc w:val="left"/>
            </w:pPr>
          </w:p>
        </w:tc>
      </w:tr>
      <w:tr w:rsidR="00712D48" w:rsidTr="00712D48">
        <w:tc>
          <w:tcPr>
            <w:tcW w:w="3085" w:type="dxa"/>
            <w:shd w:val="clear" w:color="auto" w:fill="auto"/>
          </w:tcPr>
          <w:p w:rsidR="00712D48" w:rsidRDefault="00712D48" w:rsidP="00712D48">
            <w:pPr>
              <w:pStyle w:val="Normal1linespace"/>
              <w:widowControl w:val="0"/>
              <w:jc w:val="left"/>
            </w:pPr>
            <w:bookmarkStart w:id="9" w:name="Counsel" w:colFirst="0" w:colLast="2"/>
            <w:r>
              <w:t>Counsel for the Applicant:</w:t>
            </w:r>
          </w:p>
        </w:tc>
        <w:tc>
          <w:tcPr>
            <w:tcW w:w="5989" w:type="dxa"/>
            <w:shd w:val="clear" w:color="auto" w:fill="auto"/>
          </w:tcPr>
          <w:p w:rsidR="00712D48" w:rsidRDefault="00712D48" w:rsidP="00712D48">
            <w:pPr>
              <w:pStyle w:val="Normal1linespace"/>
              <w:widowControl w:val="0"/>
              <w:jc w:val="left"/>
            </w:pPr>
            <w:bookmarkStart w:id="10" w:name="AppCounsel"/>
            <w:bookmarkEnd w:id="10"/>
            <w:r>
              <w:t xml:space="preserve">S Wood QC with B </w:t>
            </w:r>
            <w:proofErr w:type="spellStart"/>
            <w:r>
              <w:t>Jellis</w:t>
            </w:r>
            <w:proofErr w:type="spellEnd"/>
          </w:p>
        </w:tc>
      </w:tr>
      <w:tr w:rsidR="00712D48" w:rsidTr="00712D48">
        <w:tc>
          <w:tcPr>
            <w:tcW w:w="3085" w:type="dxa"/>
            <w:shd w:val="clear" w:color="auto" w:fill="auto"/>
          </w:tcPr>
          <w:p w:rsidR="00712D48" w:rsidRDefault="00712D48" w:rsidP="00712D48">
            <w:pPr>
              <w:pStyle w:val="Normal1linespace"/>
              <w:widowControl w:val="0"/>
              <w:jc w:val="left"/>
            </w:pPr>
          </w:p>
        </w:tc>
        <w:tc>
          <w:tcPr>
            <w:tcW w:w="5989" w:type="dxa"/>
            <w:shd w:val="clear" w:color="auto" w:fill="auto"/>
          </w:tcPr>
          <w:p w:rsidR="00712D48" w:rsidRDefault="00712D48" w:rsidP="00712D48">
            <w:pPr>
              <w:pStyle w:val="Normal1linespace"/>
              <w:widowControl w:val="0"/>
              <w:jc w:val="left"/>
            </w:pPr>
          </w:p>
        </w:tc>
      </w:tr>
      <w:tr w:rsidR="00712D48" w:rsidTr="00712D48">
        <w:tc>
          <w:tcPr>
            <w:tcW w:w="3085" w:type="dxa"/>
            <w:shd w:val="clear" w:color="auto" w:fill="auto"/>
          </w:tcPr>
          <w:p w:rsidR="00712D48" w:rsidRDefault="00712D48" w:rsidP="00712D48">
            <w:pPr>
              <w:pStyle w:val="Normal1linespace"/>
              <w:widowControl w:val="0"/>
              <w:jc w:val="left"/>
            </w:pPr>
            <w:r>
              <w:t>Solicitor for the Applicant:</w:t>
            </w:r>
          </w:p>
        </w:tc>
        <w:tc>
          <w:tcPr>
            <w:tcW w:w="5989" w:type="dxa"/>
            <w:shd w:val="clear" w:color="auto" w:fill="auto"/>
          </w:tcPr>
          <w:p w:rsidR="00712D48" w:rsidRDefault="00712D48" w:rsidP="00712D48">
            <w:pPr>
              <w:pStyle w:val="Normal1linespace"/>
              <w:widowControl w:val="0"/>
              <w:jc w:val="left"/>
            </w:pPr>
            <w:proofErr w:type="spellStart"/>
            <w:r>
              <w:t>FCB</w:t>
            </w:r>
            <w:proofErr w:type="spellEnd"/>
            <w:r>
              <w:t xml:space="preserve"> Workplace Law</w:t>
            </w:r>
          </w:p>
        </w:tc>
      </w:tr>
      <w:tr w:rsidR="00712D48" w:rsidTr="00712D48">
        <w:tc>
          <w:tcPr>
            <w:tcW w:w="3085" w:type="dxa"/>
            <w:shd w:val="clear" w:color="auto" w:fill="auto"/>
          </w:tcPr>
          <w:p w:rsidR="00712D48" w:rsidRDefault="00712D48" w:rsidP="00712D48">
            <w:pPr>
              <w:pStyle w:val="Normal1linespace"/>
              <w:widowControl w:val="0"/>
              <w:jc w:val="left"/>
            </w:pPr>
          </w:p>
        </w:tc>
        <w:tc>
          <w:tcPr>
            <w:tcW w:w="5989" w:type="dxa"/>
            <w:shd w:val="clear" w:color="auto" w:fill="auto"/>
          </w:tcPr>
          <w:p w:rsidR="00712D48" w:rsidRDefault="00712D48" w:rsidP="00712D48">
            <w:pPr>
              <w:pStyle w:val="Normal1linespace"/>
              <w:widowControl w:val="0"/>
              <w:jc w:val="left"/>
            </w:pPr>
          </w:p>
        </w:tc>
      </w:tr>
      <w:tr w:rsidR="00712D48" w:rsidTr="00712D48">
        <w:tc>
          <w:tcPr>
            <w:tcW w:w="3085" w:type="dxa"/>
            <w:shd w:val="clear" w:color="auto" w:fill="auto"/>
          </w:tcPr>
          <w:p w:rsidR="00712D48" w:rsidRDefault="00712D48" w:rsidP="00C43460">
            <w:pPr>
              <w:pStyle w:val="Normal1linespace"/>
              <w:widowControl w:val="0"/>
              <w:jc w:val="left"/>
            </w:pPr>
            <w:r>
              <w:t xml:space="preserve">Counsel for the </w:t>
            </w:r>
            <w:r w:rsidR="00C43460">
              <w:t xml:space="preserve">First </w:t>
            </w:r>
            <w:r>
              <w:t>Respondent:</w:t>
            </w:r>
          </w:p>
        </w:tc>
        <w:tc>
          <w:tcPr>
            <w:tcW w:w="5989" w:type="dxa"/>
            <w:shd w:val="clear" w:color="auto" w:fill="auto"/>
          </w:tcPr>
          <w:p w:rsidR="00712D48" w:rsidRDefault="00712D48" w:rsidP="00712D48">
            <w:pPr>
              <w:pStyle w:val="Normal1linespace"/>
              <w:widowControl w:val="0"/>
              <w:jc w:val="left"/>
            </w:pPr>
            <w:r>
              <w:t xml:space="preserve">S </w:t>
            </w:r>
            <w:proofErr w:type="spellStart"/>
            <w:r>
              <w:t>Crawshaw</w:t>
            </w:r>
            <w:proofErr w:type="spellEnd"/>
            <w:r>
              <w:t xml:space="preserve"> SC </w:t>
            </w:r>
          </w:p>
        </w:tc>
      </w:tr>
      <w:tr w:rsidR="00712D48" w:rsidTr="00712D48">
        <w:tc>
          <w:tcPr>
            <w:tcW w:w="3085" w:type="dxa"/>
            <w:shd w:val="clear" w:color="auto" w:fill="auto"/>
          </w:tcPr>
          <w:p w:rsidR="00712D48" w:rsidRDefault="00712D48" w:rsidP="00712D48">
            <w:pPr>
              <w:pStyle w:val="Normal1linespace"/>
              <w:widowControl w:val="0"/>
              <w:jc w:val="left"/>
            </w:pPr>
          </w:p>
        </w:tc>
        <w:tc>
          <w:tcPr>
            <w:tcW w:w="5989" w:type="dxa"/>
            <w:shd w:val="clear" w:color="auto" w:fill="auto"/>
          </w:tcPr>
          <w:p w:rsidR="00712D48" w:rsidRDefault="00712D48" w:rsidP="00712D48">
            <w:pPr>
              <w:pStyle w:val="Normal1linespace"/>
              <w:widowControl w:val="0"/>
              <w:jc w:val="left"/>
            </w:pPr>
          </w:p>
        </w:tc>
      </w:tr>
      <w:tr w:rsidR="00712D48" w:rsidTr="00712D48">
        <w:tc>
          <w:tcPr>
            <w:tcW w:w="3085" w:type="dxa"/>
            <w:shd w:val="clear" w:color="auto" w:fill="auto"/>
          </w:tcPr>
          <w:p w:rsidR="00712D48" w:rsidRDefault="00712D48" w:rsidP="00C43460">
            <w:pPr>
              <w:pStyle w:val="Normal1linespace"/>
              <w:widowControl w:val="0"/>
              <w:jc w:val="left"/>
            </w:pPr>
            <w:r>
              <w:t xml:space="preserve">Solicitor for the </w:t>
            </w:r>
            <w:r w:rsidR="00C43460">
              <w:t xml:space="preserve">First </w:t>
            </w:r>
            <w:r>
              <w:t>Respondent:</w:t>
            </w:r>
          </w:p>
        </w:tc>
        <w:tc>
          <w:tcPr>
            <w:tcW w:w="5989" w:type="dxa"/>
            <w:shd w:val="clear" w:color="auto" w:fill="auto"/>
          </w:tcPr>
          <w:p w:rsidR="00712D48" w:rsidRDefault="00712D48" w:rsidP="00C43460">
            <w:pPr>
              <w:pStyle w:val="Normal1linespace"/>
              <w:widowControl w:val="0"/>
              <w:jc w:val="left"/>
            </w:pPr>
            <w:r>
              <w:t>W G McNally Jones Sta</w:t>
            </w:r>
            <w:r w:rsidR="00C43460">
              <w:t>ff</w:t>
            </w:r>
          </w:p>
        </w:tc>
      </w:tr>
      <w:tr w:rsidR="00C43460" w:rsidTr="00712D48">
        <w:tc>
          <w:tcPr>
            <w:tcW w:w="3085" w:type="dxa"/>
            <w:shd w:val="clear" w:color="auto" w:fill="auto"/>
          </w:tcPr>
          <w:p w:rsidR="00C43460" w:rsidRDefault="00C43460" w:rsidP="00712D48">
            <w:pPr>
              <w:pStyle w:val="Normal1linespace"/>
              <w:widowControl w:val="0"/>
              <w:jc w:val="left"/>
            </w:pPr>
          </w:p>
        </w:tc>
        <w:tc>
          <w:tcPr>
            <w:tcW w:w="5989" w:type="dxa"/>
            <w:shd w:val="clear" w:color="auto" w:fill="auto"/>
          </w:tcPr>
          <w:p w:rsidR="00C43460" w:rsidRDefault="00C43460" w:rsidP="00712D48">
            <w:pPr>
              <w:pStyle w:val="Normal1linespace"/>
              <w:widowControl w:val="0"/>
              <w:jc w:val="left"/>
            </w:pPr>
          </w:p>
        </w:tc>
      </w:tr>
      <w:tr w:rsidR="00C43460" w:rsidTr="00712D48">
        <w:tc>
          <w:tcPr>
            <w:tcW w:w="3085" w:type="dxa"/>
            <w:shd w:val="clear" w:color="auto" w:fill="auto"/>
          </w:tcPr>
          <w:p w:rsidR="00C43460" w:rsidRDefault="00C43460" w:rsidP="00712D48">
            <w:pPr>
              <w:pStyle w:val="Normal1linespace"/>
              <w:widowControl w:val="0"/>
              <w:jc w:val="left"/>
            </w:pPr>
            <w:r>
              <w:t>Counsel for the Second Respondent:</w:t>
            </w:r>
          </w:p>
        </w:tc>
        <w:tc>
          <w:tcPr>
            <w:tcW w:w="5989" w:type="dxa"/>
            <w:shd w:val="clear" w:color="auto" w:fill="auto"/>
          </w:tcPr>
          <w:p w:rsidR="00C43460" w:rsidRDefault="00C43460" w:rsidP="00712D48">
            <w:pPr>
              <w:pStyle w:val="Normal1linespace"/>
              <w:widowControl w:val="0"/>
              <w:jc w:val="left"/>
            </w:pPr>
            <w:r>
              <w:t>The second respondent filed a submitting notice</w:t>
            </w:r>
          </w:p>
        </w:tc>
      </w:tr>
      <w:tr w:rsidR="00712D48" w:rsidTr="00712D48">
        <w:tc>
          <w:tcPr>
            <w:tcW w:w="3085" w:type="dxa"/>
            <w:shd w:val="clear" w:color="auto" w:fill="auto"/>
          </w:tcPr>
          <w:p w:rsidR="00712D48" w:rsidRDefault="00712D48" w:rsidP="00712D48">
            <w:pPr>
              <w:pStyle w:val="Normal1linespace"/>
              <w:widowControl w:val="0"/>
              <w:jc w:val="left"/>
            </w:pPr>
          </w:p>
        </w:tc>
        <w:tc>
          <w:tcPr>
            <w:tcW w:w="5989" w:type="dxa"/>
            <w:shd w:val="clear" w:color="auto" w:fill="auto"/>
          </w:tcPr>
          <w:p w:rsidR="00712D48" w:rsidRDefault="00712D48" w:rsidP="00712D48">
            <w:pPr>
              <w:pStyle w:val="Normal1linespace"/>
              <w:widowControl w:val="0"/>
              <w:jc w:val="left"/>
            </w:pPr>
          </w:p>
        </w:tc>
      </w:tr>
      <w:tr w:rsidR="00C43460" w:rsidTr="00712D48">
        <w:tc>
          <w:tcPr>
            <w:tcW w:w="3085" w:type="dxa"/>
            <w:shd w:val="clear" w:color="auto" w:fill="auto"/>
          </w:tcPr>
          <w:p w:rsidR="00C43460" w:rsidRDefault="00C43460" w:rsidP="00712D48">
            <w:pPr>
              <w:pStyle w:val="Normal1linespace"/>
              <w:widowControl w:val="0"/>
              <w:jc w:val="left"/>
            </w:pPr>
            <w:r>
              <w:t>Solicitor for the Second Respondent:</w:t>
            </w:r>
          </w:p>
        </w:tc>
        <w:tc>
          <w:tcPr>
            <w:tcW w:w="5989" w:type="dxa"/>
            <w:shd w:val="clear" w:color="auto" w:fill="auto"/>
          </w:tcPr>
          <w:p w:rsidR="00C43460" w:rsidRDefault="00C43460" w:rsidP="00712D48">
            <w:pPr>
              <w:pStyle w:val="Normal1linespace"/>
              <w:widowControl w:val="0"/>
              <w:jc w:val="left"/>
            </w:pPr>
            <w:r>
              <w:t>Australian Government Solicitor</w:t>
            </w:r>
          </w:p>
        </w:tc>
      </w:tr>
      <w:tr w:rsidR="00C43460" w:rsidTr="00712D48">
        <w:tc>
          <w:tcPr>
            <w:tcW w:w="3085" w:type="dxa"/>
            <w:shd w:val="clear" w:color="auto" w:fill="auto"/>
          </w:tcPr>
          <w:p w:rsidR="00C43460" w:rsidRPr="00BA5A15" w:rsidRDefault="00C43460" w:rsidP="00712D48">
            <w:pPr>
              <w:pStyle w:val="Normal1linespace"/>
              <w:widowControl w:val="0"/>
              <w:jc w:val="left"/>
              <w:rPr>
                <w:highlight w:val="yellow"/>
              </w:rPr>
            </w:pPr>
          </w:p>
        </w:tc>
        <w:tc>
          <w:tcPr>
            <w:tcW w:w="5989" w:type="dxa"/>
            <w:shd w:val="clear" w:color="auto" w:fill="auto"/>
          </w:tcPr>
          <w:p w:rsidR="00C43460" w:rsidRPr="00BA5A15" w:rsidRDefault="00C43460" w:rsidP="00712D48">
            <w:pPr>
              <w:pStyle w:val="Normal1linespace"/>
              <w:widowControl w:val="0"/>
              <w:jc w:val="left"/>
              <w:rPr>
                <w:highlight w:val="yellow"/>
              </w:rPr>
            </w:pPr>
          </w:p>
        </w:tc>
      </w:tr>
      <w:tr w:rsidR="00712D48" w:rsidTr="00712D48">
        <w:tc>
          <w:tcPr>
            <w:tcW w:w="3085" w:type="dxa"/>
            <w:shd w:val="clear" w:color="auto" w:fill="auto"/>
          </w:tcPr>
          <w:p w:rsidR="00712D48" w:rsidRPr="00C43460" w:rsidRDefault="00C43460" w:rsidP="00712D48">
            <w:pPr>
              <w:pStyle w:val="Normal1linespace"/>
              <w:widowControl w:val="0"/>
              <w:jc w:val="left"/>
              <w:rPr>
                <w:i/>
              </w:rPr>
            </w:pPr>
            <w:r w:rsidRPr="00C43460">
              <w:rPr>
                <w:i/>
              </w:rPr>
              <w:t>Amicus Curiae:</w:t>
            </w:r>
          </w:p>
        </w:tc>
        <w:tc>
          <w:tcPr>
            <w:tcW w:w="5989" w:type="dxa"/>
            <w:shd w:val="clear" w:color="auto" w:fill="auto"/>
          </w:tcPr>
          <w:p w:rsidR="00712D48" w:rsidRPr="00C43460" w:rsidRDefault="00712D48" w:rsidP="00C43460">
            <w:pPr>
              <w:pStyle w:val="Normal1linespace"/>
              <w:widowControl w:val="0"/>
              <w:jc w:val="left"/>
            </w:pPr>
            <w:r w:rsidRPr="00C43460">
              <w:t xml:space="preserve">I Neil SC </w:t>
            </w:r>
          </w:p>
        </w:tc>
      </w:tr>
      <w:bookmarkEnd w:id="9"/>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552CFD">
            <w:pPr>
              <w:pStyle w:val="NormalHeadings"/>
              <w:spacing w:after="120"/>
              <w:jc w:val="left"/>
              <w:rPr>
                <w:caps/>
                <w:szCs w:val="24"/>
              </w:rPr>
            </w:pPr>
            <w:bookmarkStart w:id="11" w:name="State"/>
            <w:r>
              <w:rPr>
                <w:caps/>
                <w:szCs w:val="24"/>
              </w:rPr>
              <w:t>NEW SOUTH WALES</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552CFD">
            <w:pPr>
              <w:pStyle w:val="NormalHeadings"/>
              <w:spacing w:after="120"/>
              <w:jc w:val="left"/>
              <w:rPr>
                <w:caps/>
                <w:szCs w:val="24"/>
              </w:rPr>
            </w:pPr>
            <w:bookmarkStart w:id="12" w:name="Division"/>
            <w:r>
              <w:rPr>
                <w:caps/>
                <w:szCs w:val="24"/>
              </w:rPr>
              <w:t>FAIR WORK DIVISION</w:t>
            </w:r>
            <w:bookmarkEnd w:id="12"/>
          </w:p>
        </w:tc>
        <w:tc>
          <w:tcPr>
            <w:tcW w:w="2471" w:type="dxa"/>
          </w:tcPr>
          <w:p w:rsidR="00395B24" w:rsidRDefault="00552CFD">
            <w:pPr>
              <w:pStyle w:val="NormalHeadings"/>
              <w:tabs>
                <w:tab w:val="right" w:pos="3609"/>
              </w:tabs>
              <w:jc w:val="right"/>
              <w:rPr>
                <w:szCs w:val="24"/>
              </w:rPr>
            </w:pPr>
            <w:bookmarkStart w:id="13" w:name="Num"/>
            <w:proofErr w:type="spellStart"/>
            <w:r>
              <w:rPr>
                <w:szCs w:val="24"/>
              </w:rPr>
              <w:t>NSD</w:t>
            </w:r>
            <w:proofErr w:type="spellEnd"/>
            <w:r>
              <w:rPr>
                <w:szCs w:val="24"/>
              </w:rPr>
              <w:t xml:space="preserve"> 1374 of 2014</w:t>
            </w:r>
            <w:bookmarkEnd w:id="13"/>
          </w:p>
        </w:tc>
      </w:tr>
    </w:tbl>
    <w:p w:rsidR="00395B24" w:rsidRPr="00552CFD" w:rsidRDefault="002C7385">
      <w:pPr>
        <w:pStyle w:val="AppealTable"/>
        <w:rPr>
          <w:sz w:val="24"/>
        </w:rPr>
      </w:pPr>
      <w:bookmarkStart w:id="14" w:name="AppealTable"/>
      <w:r w:rsidRPr="00552CFD">
        <w:rPr>
          <w:sz w:val="24"/>
        </w:rPr>
        <w:t xml:space="preserve"> </w:t>
      </w:r>
      <w:bookmarkEnd w:id="14"/>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5" w:name="Parties"/>
            <w:r>
              <w:rPr>
                <w:caps/>
                <w:szCs w:val="24"/>
              </w:rPr>
              <w:t>BETWEEN:</w:t>
            </w:r>
          </w:p>
        </w:tc>
        <w:tc>
          <w:tcPr>
            <w:tcW w:w="6866" w:type="dxa"/>
          </w:tcPr>
          <w:p w:rsidR="00552CFD" w:rsidRDefault="00552CFD">
            <w:pPr>
              <w:pStyle w:val="NormalHeadings"/>
              <w:jc w:val="left"/>
              <w:rPr>
                <w:szCs w:val="24"/>
              </w:rPr>
            </w:pPr>
            <w:bookmarkStart w:id="16" w:name="Applicant"/>
            <w:r>
              <w:rPr>
                <w:szCs w:val="24"/>
              </w:rPr>
              <w:t>CSR LIMITED (</w:t>
            </w:r>
            <w:proofErr w:type="spellStart"/>
            <w:r>
              <w:rPr>
                <w:szCs w:val="24"/>
              </w:rPr>
              <w:t>ACN</w:t>
            </w:r>
            <w:proofErr w:type="spellEnd"/>
            <w:r>
              <w:rPr>
                <w:szCs w:val="24"/>
              </w:rPr>
              <w:t xml:space="preserve"> 000 001 276)</w:t>
            </w:r>
          </w:p>
          <w:p w:rsidR="00552CFD" w:rsidRDefault="00552CFD">
            <w:pPr>
              <w:pStyle w:val="NormalHeadings"/>
              <w:jc w:val="left"/>
              <w:rPr>
                <w:szCs w:val="24"/>
              </w:rPr>
            </w:pPr>
            <w:r>
              <w:rPr>
                <w:szCs w:val="24"/>
              </w:rPr>
              <w:t>Applicant</w:t>
            </w:r>
          </w:p>
          <w:bookmarkEnd w:id="16"/>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552CFD" w:rsidRDefault="00552CFD">
            <w:pPr>
              <w:pStyle w:val="NormalHeadings"/>
              <w:jc w:val="left"/>
              <w:rPr>
                <w:szCs w:val="24"/>
              </w:rPr>
            </w:pPr>
            <w:bookmarkStart w:id="17" w:name="Respondent"/>
            <w:r>
              <w:rPr>
                <w:szCs w:val="24"/>
              </w:rPr>
              <w:t xml:space="preserve">CSR &amp; </w:t>
            </w:r>
            <w:proofErr w:type="spellStart"/>
            <w:r>
              <w:rPr>
                <w:szCs w:val="24"/>
              </w:rPr>
              <w:t>HOLCIM</w:t>
            </w:r>
            <w:proofErr w:type="spellEnd"/>
            <w:r>
              <w:rPr>
                <w:szCs w:val="24"/>
              </w:rPr>
              <w:t xml:space="preserve"> STAFF ASSOCIATION</w:t>
            </w:r>
          </w:p>
          <w:p w:rsidR="00552CFD" w:rsidRDefault="00552CFD">
            <w:pPr>
              <w:pStyle w:val="NormalHeadings"/>
              <w:jc w:val="left"/>
              <w:rPr>
                <w:szCs w:val="24"/>
              </w:rPr>
            </w:pPr>
            <w:r>
              <w:rPr>
                <w:szCs w:val="24"/>
              </w:rPr>
              <w:t>First Respondent</w:t>
            </w:r>
          </w:p>
          <w:p w:rsidR="00552CFD" w:rsidRDefault="00552CFD">
            <w:pPr>
              <w:pStyle w:val="NormalHeadings"/>
              <w:jc w:val="left"/>
              <w:rPr>
                <w:szCs w:val="24"/>
              </w:rPr>
            </w:pPr>
          </w:p>
          <w:p w:rsidR="00552CFD" w:rsidRDefault="00552CFD">
            <w:pPr>
              <w:pStyle w:val="NormalHeadings"/>
              <w:jc w:val="left"/>
              <w:rPr>
                <w:szCs w:val="24"/>
              </w:rPr>
            </w:pPr>
            <w:r>
              <w:rPr>
                <w:szCs w:val="24"/>
              </w:rPr>
              <w:t>FAIR WORK COMMISSION</w:t>
            </w:r>
          </w:p>
          <w:p w:rsidR="00552CFD" w:rsidRDefault="00552CFD">
            <w:pPr>
              <w:pStyle w:val="NormalHeadings"/>
              <w:jc w:val="left"/>
              <w:rPr>
                <w:szCs w:val="24"/>
              </w:rPr>
            </w:pPr>
            <w:r>
              <w:rPr>
                <w:szCs w:val="24"/>
              </w:rPr>
              <w:t>Second Respondent</w:t>
            </w:r>
          </w:p>
          <w:bookmarkEnd w:id="17"/>
          <w:p w:rsidR="00395B24" w:rsidRDefault="00395B24">
            <w:pPr>
              <w:pStyle w:val="NormalHeadings"/>
              <w:jc w:val="left"/>
              <w:rPr>
                <w:szCs w:val="24"/>
              </w:rPr>
            </w:pPr>
          </w:p>
        </w:tc>
      </w:tr>
      <w:bookmarkEnd w:id="15"/>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552CFD">
            <w:pPr>
              <w:pStyle w:val="NormalHeadings"/>
              <w:spacing w:after="120"/>
              <w:jc w:val="left"/>
              <w:rPr>
                <w:caps/>
                <w:szCs w:val="24"/>
              </w:rPr>
            </w:pPr>
            <w:bookmarkStart w:id="18" w:name="JudgeText"/>
            <w:r>
              <w:rPr>
                <w:caps/>
                <w:szCs w:val="24"/>
              </w:rPr>
              <w:t>JUDGES</w:t>
            </w:r>
            <w:bookmarkEnd w:id="18"/>
            <w:r w:rsidR="002C7385">
              <w:rPr>
                <w:caps/>
                <w:szCs w:val="24"/>
              </w:rPr>
              <w:t>:</w:t>
            </w:r>
          </w:p>
        </w:tc>
        <w:tc>
          <w:tcPr>
            <w:tcW w:w="6866" w:type="dxa"/>
          </w:tcPr>
          <w:p w:rsidR="00395B24" w:rsidRDefault="00A00866">
            <w:pPr>
              <w:pStyle w:val="NormalHeadings"/>
              <w:jc w:val="left"/>
              <w:rPr>
                <w:caps/>
                <w:szCs w:val="24"/>
              </w:rPr>
            </w:pPr>
            <w:bookmarkStart w:id="19" w:name="Judge"/>
            <w:r>
              <w:rPr>
                <w:caps/>
                <w:szCs w:val="24"/>
              </w:rPr>
              <w:t xml:space="preserve">JESSUP, BROMBERG AND KATZMANN </w:t>
            </w:r>
            <w:proofErr w:type="spellStart"/>
            <w:r>
              <w:rPr>
                <w:caps/>
                <w:szCs w:val="24"/>
              </w:rPr>
              <w:t>JJ</w:t>
            </w:r>
            <w:bookmarkEnd w:id="19"/>
            <w:proofErr w:type="spellEnd"/>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552CFD">
            <w:pPr>
              <w:pStyle w:val="NormalHeadings"/>
              <w:jc w:val="left"/>
              <w:rPr>
                <w:caps/>
                <w:szCs w:val="24"/>
              </w:rPr>
            </w:pPr>
            <w:bookmarkStart w:id="20" w:name="Judgment_Dated"/>
            <w:r>
              <w:rPr>
                <w:caps/>
                <w:szCs w:val="24"/>
              </w:rPr>
              <w:t>1 JULY 2015</w:t>
            </w:r>
            <w:bookmarkEnd w:id="20"/>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552CFD">
            <w:pPr>
              <w:pStyle w:val="NormalHeadings"/>
              <w:jc w:val="left"/>
              <w:rPr>
                <w:caps/>
                <w:szCs w:val="24"/>
              </w:rPr>
            </w:pPr>
            <w:bookmarkStart w:id="21" w:name="Place"/>
            <w:r>
              <w:rPr>
                <w:caps/>
                <w:szCs w:val="24"/>
              </w:rPr>
              <w:t>MELBOURNE</w:t>
            </w:r>
            <w:bookmarkEnd w:id="21"/>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0F39FA" w:rsidRDefault="000F39FA" w:rsidP="000F39FA">
      <w:pPr>
        <w:pStyle w:val="BodyText"/>
        <w:ind w:left="720" w:hanging="720"/>
      </w:pPr>
      <w:bookmarkStart w:id="22" w:name="Order_Start_Text"/>
      <w:bookmarkEnd w:id="22"/>
      <w:r>
        <w:t>1.</w:t>
      </w:r>
      <w:r>
        <w:tab/>
      </w:r>
      <w:r w:rsidR="00B66D1A">
        <w:t>A w</w:t>
      </w:r>
      <w:r>
        <w:t xml:space="preserve">rit of certiorari issue directed to the second respondent quashing its decision made on 15 December 2014 not to make a modern enterprise award under item 4 of </w:t>
      </w:r>
      <w:proofErr w:type="spellStart"/>
      <w:r>
        <w:t>Sch</w:t>
      </w:r>
      <w:proofErr w:type="spellEnd"/>
      <w:r>
        <w:t xml:space="preserve"> 6 to the </w:t>
      </w:r>
      <w:r w:rsidRPr="00CF32FE">
        <w:rPr>
          <w:i/>
        </w:rPr>
        <w:t>Fair Work (Transitional Provisions and Consequential Amendments) Act 2009</w:t>
      </w:r>
      <w:r>
        <w:t xml:space="preserve"> (</w:t>
      </w:r>
      <w:proofErr w:type="spellStart"/>
      <w:r>
        <w:t>Cth</w:t>
      </w:r>
      <w:proofErr w:type="spellEnd"/>
      <w:r>
        <w:t>).</w:t>
      </w:r>
    </w:p>
    <w:p w:rsidR="00636871" w:rsidRDefault="000F39FA" w:rsidP="000F39FA">
      <w:pPr>
        <w:pStyle w:val="BodyText"/>
        <w:ind w:left="720" w:hanging="720"/>
      </w:pPr>
      <w:r>
        <w:t>2.</w:t>
      </w:r>
      <w:r>
        <w:tab/>
        <w:t xml:space="preserve">A writ of mandamus issue directed to the second respondent requiring it to determine the first respondent’s application under item 4 of </w:t>
      </w:r>
      <w:proofErr w:type="spellStart"/>
      <w:r>
        <w:t>Sch</w:t>
      </w:r>
      <w:proofErr w:type="spellEnd"/>
      <w:r>
        <w:t xml:space="preserve"> 6 to the </w:t>
      </w:r>
      <w:r w:rsidRPr="00CF32FE">
        <w:rPr>
          <w:i/>
        </w:rPr>
        <w:t>Fair Work (Transitional Provisions and Consequential Amendments) Act 2009</w:t>
      </w:r>
      <w:r>
        <w:t xml:space="preserve"> (</w:t>
      </w:r>
      <w:proofErr w:type="spellStart"/>
      <w:r>
        <w:t>Cth</w:t>
      </w:r>
      <w:proofErr w:type="spellEnd"/>
      <w:r>
        <w:t>)</w:t>
      </w:r>
      <w:r w:rsidR="00365FC2">
        <w:t xml:space="preserve"> according to law</w:t>
      </w:r>
      <w:r>
        <w:t>.</w:t>
      </w:r>
    </w:p>
    <w:p w:rsidR="00395B24" w:rsidRDefault="00395B24" w:rsidP="002B0E91">
      <w:pPr>
        <w:pStyle w:val="BodyText"/>
      </w:pPr>
    </w:p>
    <w:p w:rsidR="000F39FA" w:rsidRDefault="000F39FA" w:rsidP="002B0E91">
      <w:pPr>
        <w:pStyle w:val="BodyText"/>
      </w:pPr>
    </w:p>
    <w:p w:rsidR="000F39FA" w:rsidRDefault="000F39FA" w:rsidP="002B0E91">
      <w:pPr>
        <w:pStyle w:val="BodyText"/>
      </w:pPr>
    </w:p>
    <w:p w:rsidR="000F39FA" w:rsidRDefault="000F39FA" w:rsidP="002B0E91">
      <w:pPr>
        <w:pStyle w:val="BodyText"/>
      </w:pPr>
    </w:p>
    <w:p w:rsidR="000F39FA" w:rsidRDefault="000F39FA" w:rsidP="002B0E91">
      <w:pPr>
        <w:pStyle w:val="BodyText"/>
      </w:pPr>
    </w:p>
    <w:p w:rsidR="000F39FA" w:rsidRDefault="000F39FA" w:rsidP="002B0E91">
      <w:pPr>
        <w:pStyle w:val="BodyText"/>
      </w:pPr>
    </w:p>
    <w:p w:rsidR="000F39FA" w:rsidRDefault="000F39FA" w:rsidP="002B0E91">
      <w:pPr>
        <w:pStyle w:val="BodyText"/>
      </w:pPr>
    </w:p>
    <w:p w:rsidR="000F39FA" w:rsidRDefault="000F39FA" w:rsidP="002B0E91">
      <w:pPr>
        <w:pStyle w:val="BodyText"/>
      </w:pPr>
    </w:p>
    <w:p w:rsidR="000F39FA" w:rsidRDefault="000F39FA"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3" w:name="ReasonsPage"/>
            <w:bookmarkEnd w:id="23"/>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552CFD">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552CFD">
              <w:rPr>
                <w:caps/>
                <w:szCs w:val="24"/>
              </w:rPr>
              <w:t>FAIR WORK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552CFD" w:rsidRPr="00552CFD">
              <w:rPr>
                <w:caps/>
                <w:szCs w:val="24"/>
              </w:rPr>
              <w:t>NSD</w:t>
            </w:r>
            <w:proofErr w:type="spellEnd"/>
            <w:r w:rsidR="00552CFD">
              <w:rPr>
                <w:szCs w:val="24"/>
              </w:rPr>
              <w:t xml:space="preserve"> 1374 of 2014</w:t>
            </w:r>
            <w:r>
              <w:rPr>
                <w:caps/>
                <w:szCs w:val="24"/>
              </w:rPr>
              <w:fldChar w:fldCharType="end"/>
            </w:r>
          </w:p>
        </w:tc>
      </w:tr>
    </w:tbl>
    <w:p w:rsidR="00395B24" w:rsidRDefault="00923593">
      <w:pPr>
        <w:pStyle w:val="AppealTable"/>
      </w:pPr>
      <w:r>
        <w:fldChar w:fldCharType="begin" w:fldLock="1"/>
      </w:r>
      <w:r>
        <w:instrText xml:space="preserve"> Ref AppealTable  \* MERGEFORMAT </w:instrText>
      </w:r>
      <w:r>
        <w:fldChar w:fldCharType="separate"/>
      </w:r>
      <w:r w:rsidR="00552CFD" w:rsidRPr="00552CFD">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552CFD"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552CFD" w:rsidRPr="00552CFD">
              <w:rPr>
                <w:caps/>
                <w:szCs w:val="24"/>
              </w:rPr>
              <w:t>CSR</w:t>
            </w:r>
            <w:r w:rsidR="00552CFD">
              <w:rPr>
                <w:szCs w:val="24"/>
              </w:rPr>
              <w:t xml:space="preserve"> LIMITED (</w:t>
            </w:r>
            <w:proofErr w:type="spellStart"/>
            <w:r w:rsidR="00552CFD">
              <w:rPr>
                <w:szCs w:val="24"/>
              </w:rPr>
              <w:t>ACN</w:t>
            </w:r>
            <w:proofErr w:type="spellEnd"/>
            <w:r w:rsidR="00552CFD">
              <w:rPr>
                <w:szCs w:val="24"/>
              </w:rPr>
              <w:t xml:space="preserve"> 000 001 276)</w:t>
            </w:r>
          </w:p>
          <w:p w:rsidR="00552CFD" w:rsidRDefault="00552CFD">
            <w:pPr>
              <w:pStyle w:val="NormalHeadings"/>
              <w:jc w:val="left"/>
              <w:rPr>
                <w:szCs w:val="24"/>
              </w:rPr>
            </w:pPr>
            <w:r>
              <w:rPr>
                <w:szCs w:val="24"/>
              </w:rPr>
              <w:t>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552CFD"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552CFD" w:rsidRPr="00552CFD">
              <w:rPr>
                <w:caps/>
                <w:szCs w:val="24"/>
              </w:rPr>
              <w:t>CSR</w:t>
            </w:r>
            <w:r w:rsidR="00552CFD">
              <w:rPr>
                <w:szCs w:val="24"/>
              </w:rPr>
              <w:t xml:space="preserve"> &amp; </w:t>
            </w:r>
            <w:proofErr w:type="spellStart"/>
            <w:r w:rsidR="00552CFD">
              <w:rPr>
                <w:szCs w:val="24"/>
              </w:rPr>
              <w:t>HOLCIM</w:t>
            </w:r>
            <w:proofErr w:type="spellEnd"/>
            <w:r w:rsidR="00552CFD">
              <w:rPr>
                <w:szCs w:val="24"/>
              </w:rPr>
              <w:t xml:space="preserve"> STAFF ASSOCIATION</w:t>
            </w:r>
          </w:p>
          <w:p w:rsidR="00552CFD" w:rsidRDefault="00552CFD">
            <w:pPr>
              <w:pStyle w:val="NormalHeadings"/>
              <w:jc w:val="left"/>
              <w:rPr>
                <w:szCs w:val="24"/>
              </w:rPr>
            </w:pPr>
            <w:r>
              <w:rPr>
                <w:szCs w:val="24"/>
              </w:rPr>
              <w:t>First Respondent</w:t>
            </w:r>
          </w:p>
          <w:p w:rsidR="00552CFD" w:rsidRDefault="00552CFD">
            <w:pPr>
              <w:pStyle w:val="NormalHeadings"/>
              <w:jc w:val="left"/>
              <w:rPr>
                <w:szCs w:val="24"/>
              </w:rPr>
            </w:pPr>
          </w:p>
          <w:p w:rsidR="00552CFD" w:rsidRDefault="00552CFD">
            <w:pPr>
              <w:pStyle w:val="NormalHeadings"/>
              <w:jc w:val="left"/>
              <w:rPr>
                <w:szCs w:val="24"/>
              </w:rPr>
            </w:pPr>
            <w:r>
              <w:rPr>
                <w:szCs w:val="24"/>
              </w:rPr>
              <w:t>FAIR WORK COMMISSION</w:t>
            </w:r>
          </w:p>
          <w:p w:rsidR="00552CFD" w:rsidRDefault="00552CFD">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552CFD">
              <w:rPr>
                <w:caps/>
                <w:szCs w:val="24"/>
              </w:rPr>
              <w:t>JUDGES</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552CFD">
              <w:rPr>
                <w:caps/>
                <w:szCs w:val="24"/>
              </w:rPr>
              <w:t xml:space="preserve">JESSUP, BROMBERG AND KATZMANN </w:t>
            </w:r>
            <w:proofErr w:type="spellStart"/>
            <w:r w:rsidR="00552CFD">
              <w:rPr>
                <w:caps/>
                <w:szCs w:val="24"/>
              </w:rPr>
              <w:t>JJ</w:t>
            </w:r>
            <w:proofErr w:type="spellEnd"/>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552CFD">
              <w:rPr>
                <w:caps/>
                <w:szCs w:val="24"/>
              </w:rPr>
              <w:t>1 JULY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552CFD">
              <w:rPr>
                <w:caps/>
                <w:szCs w:val="24"/>
              </w:rPr>
              <w:t>MELBOURNE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624520" w:rsidRDefault="000F39FA" w:rsidP="001D65D1">
      <w:pPr>
        <w:pStyle w:val="Heading1"/>
      </w:pPr>
      <w:r>
        <w:t>The Court</w:t>
      </w:r>
    </w:p>
    <w:p w:rsidR="001D65D1" w:rsidRDefault="001D65D1" w:rsidP="001D65D1">
      <w:pPr>
        <w:pStyle w:val="ParaNumbering"/>
      </w:pPr>
      <w:r>
        <w:t>In this proceeding, the applicant, CSR Limited</w:t>
      </w:r>
      <w:r w:rsidR="00BA5A15">
        <w:t xml:space="preserve"> (“CSR”)</w:t>
      </w:r>
      <w:r>
        <w:t xml:space="preserve">, claims the issue of a writ of certiorari directed to the second respondent, the Fair Work Commission (“the </w:t>
      </w:r>
      <w:r w:rsidR="00BA5A15">
        <w:t>Commission”) removing into the C</w:t>
      </w:r>
      <w:r>
        <w:t xml:space="preserve">ourt to be quashed a decision which it made on 15 December 2014 rejecting the application of the first respondent, CSR </w:t>
      </w:r>
      <w:r w:rsidR="000F39FA">
        <w:t>&amp;</w:t>
      </w:r>
      <w:r>
        <w:t xml:space="preserve"> </w:t>
      </w:r>
      <w:proofErr w:type="spellStart"/>
      <w:r>
        <w:t>Holcim</w:t>
      </w:r>
      <w:proofErr w:type="spellEnd"/>
      <w:r>
        <w:t xml:space="preserve"> Staff Association (“the Staff Association”)</w:t>
      </w:r>
      <w:r w:rsidR="00BA5A15">
        <w:t>,</w:t>
      </w:r>
      <w:r>
        <w:t xml:space="preserve"> for the making of a</w:t>
      </w:r>
      <w:r w:rsidR="00AA6FC8">
        <w:t xml:space="preserve"> modern enterprise award under i</w:t>
      </w:r>
      <w:r>
        <w:t xml:space="preserve">tem 4 of </w:t>
      </w:r>
      <w:proofErr w:type="spellStart"/>
      <w:r>
        <w:t>Sch</w:t>
      </w:r>
      <w:proofErr w:type="spellEnd"/>
      <w:r>
        <w:t xml:space="preserve"> 6 to the </w:t>
      </w:r>
      <w:r>
        <w:rPr>
          <w:i/>
        </w:rPr>
        <w:t>Fair Work (</w:t>
      </w:r>
      <w:r w:rsidR="000B3ED3">
        <w:rPr>
          <w:i/>
        </w:rPr>
        <w:t>Transitional</w:t>
      </w:r>
      <w:r>
        <w:rPr>
          <w:i/>
        </w:rPr>
        <w:t xml:space="preserve"> Provisions and Consequential Amendments) Act 2009</w:t>
      </w:r>
      <w:r>
        <w:t xml:space="preserve"> (</w:t>
      </w:r>
      <w:proofErr w:type="spellStart"/>
      <w:r>
        <w:t>Cth</w:t>
      </w:r>
      <w:proofErr w:type="spellEnd"/>
      <w:r>
        <w:t xml:space="preserve">) (“the </w:t>
      </w:r>
      <w:proofErr w:type="spellStart"/>
      <w:r>
        <w:t>TP</w:t>
      </w:r>
      <w:proofErr w:type="spellEnd"/>
      <w:r>
        <w:t xml:space="preserve"> Act”).  </w:t>
      </w:r>
      <w:r w:rsidR="00365FC2">
        <w:t>CSR</w:t>
      </w:r>
      <w:r>
        <w:t xml:space="preserve"> also seeks the issue of a writ of mandamus requiring the Commission to hear and determine the Staff Association’s application under </w:t>
      </w:r>
      <w:r w:rsidR="00AA6FC8">
        <w:t>i</w:t>
      </w:r>
      <w:r>
        <w:t xml:space="preserve">tem 4 according to law.  </w:t>
      </w:r>
    </w:p>
    <w:p w:rsidR="001D65D1" w:rsidRDefault="00B769D8" w:rsidP="001D65D1">
      <w:pPr>
        <w:pStyle w:val="ParaNumbering"/>
      </w:pPr>
      <w:r>
        <w:t xml:space="preserve">The application to the Commission by the Staff Association had the support </w:t>
      </w:r>
      <w:r w:rsidR="00BA5A15">
        <w:t>of CSR</w:t>
      </w:r>
      <w:r>
        <w:t xml:space="preserve">.  Likewise, </w:t>
      </w:r>
      <w:r w:rsidR="00BA5A15">
        <w:t>CSR’s</w:t>
      </w:r>
      <w:r>
        <w:t xml:space="preserve"> present a</w:t>
      </w:r>
      <w:r w:rsidR="000F39FA">
        <w:t>pplication in this C</w:t>
      </w:r>
      <w:r>
        <w:t xml:space="preserve">ourt has the support of the Staff Association.  In the absence of a conventional contradictor, Mr Neil SC appeared </w:t>
      </w:r>
      <w:r w:rsidR="00BA5A15">
        <w:t xml:space="preserve">at short notice </w:t>
      </w:r>
      <w:r>
        <w:t xml:space="preserve">as </w:t>
      </w:r>
      <w:r>
        <w:rPr>
          <w:i/>
        </w:rPr>
        <w:t>amicus curiae</w:t>
      </w:r>
      <w:r>
        <w:t xml:space="preserve">, and the submissions which he made have been of </w:t>
      </w:r>
      <w:r w:rsidR="00BA5A15">
        <w:t>considerable assistance to the C</w:t>
      </w:r>
      <w:r>
        <w:t xml:space="preserve">ourt.  </w:t>
      </w:r>
    </w:p>
    <w:p w:rsidR="00B769D8" w:rsidRDefault="00B769D8" w:rsidP="001D65D1">
      <w:pPr>
        <w:pStyle w:val="ParaNumbering"/>
      </w:pPr>
      <w:r>
        <w:t xml:space="preserve">Under the </w:t>
      </w:r>
      <w:r>
        <w:rPr>
          <w:i/>
        </w:rPr>
        <w:t xml:space="preserve">Workplace Relations Act 1996 </w:t>
      </w:r>
      <w:r>
        <w:t>(</w:t>
      </w:r>
      <w:proofErr w:type="spellStart"/>
      <w:r>
        <w:t>Cth</w:t>
      </w:r>
      <w:proofErr w:type="spellEnd"/>
      <w:r>
        <w:t xml:space="preserve">), the terms and conditions of employment of </w:t>
      </w:r>
      <w:r w:rsidR="00BA5A15">
        <w:t>CSR employees</w:t>
      </w:r>
      <w:r>
        <w:t xml:space="preserve"> were covered by the CSR Staff (Consolidated) Award 2000 (“the 200</w:t>
      </w:r>
      <w:r w:rsidR="00AA6FC8">
        <w:t>0</w:t>
      </w:r>
      <w:r>
        <w:t xml:space="preserve"> Award”).  The coverage clause of the 2000 Award was in the following terms:</w:t>
      </w:r>
    </w:p>
    <w:p w:rsidR="00982799" w:rsidRDefault="00982799" w:rsidP="00B769D8">
      <w:pPr>
        <w:pStyle w:val="Quote1"/>
      </w:pPr>
      <w:r w:rsidRPr="00982799">
        <w:t xml:space="preserve">This award shall be binding upon the Association and its members and those eligible </w:t>
      </w:r>
      <w:r w:rsidRPr="00982799">
        <w:lastRenderedPageBreak/>
        <w:t>for membership of the Association and on the employer in respect of the employment of an employee in the States of Queensland, New South Wales, Victoria, South Australia, Western Australia, Tasmania, the Australian Capital Territory, the Northern Territory or elsewhere, and shall come into operation from the first pay period commencing on or after 7 July 2000 and shall remain in force</w:t>
      </w:r>
      <w:r>
        <w:t xml:space="preserve"> for a period of twelve months.</w:t>
      </w:r>
    </w:p>
    <w:p w:rsidR="00AA6FC8" w:rsidRPr="00982799" w:rsidRDefault="00AA6FC8" w:rsidP="00AA6FC8">
      <w:pPr>
        <w:pStyle w:val="BodyText"/>
      </w:pPr>
    </w:p>
    <w:p w:rsidR="00B769D8" w:rsidRDefault="00B769D8" w:rsidP="00AA6FC8">
      <w:pPr>
        <w:pStyle w:val="ParaNumbering"/>
      </w:pPr>
      <w:r>
        <w:t>By the rules of the Staff Association, the following were eligible for membership:</w:t>
      </w:r>
    </w:p>
    <w:p w:rsidR="00982799" w:rsidRPr="00982799" w:rsidRDefault="00982799" w:rsidP="00982799">
      <w:pPr>
        <w:pStyle w:val="Quote1"/>
      </w:pPr>
      <w:r>
        <w:t>The members of the Association shall be such salaried employees as have already signed or shall hereafter sign an application for membership in the form set out in the Schedule hereto and whose application shall have been accepted by the Executive Council. Provided that any application for membership by a salaried employee which the Executive Council shall refuse to accept shall be referred by the Executive Council to a General Meeting of the Association to be held within three months of the date of the Application and such General Meeting may accept such Application.</w:t>
      </w:r>
    </w:p>
    <w:p w:rsidR="00B769D8" w:rsidRDefault="00B769D8" w:rsidP="00B769D8">
      <w:pPr>
        <w:pStyle w:val="BodyText"/>
      </w:pPr>
    </w:p>
    <w:p w:rsidR="00B769D8" w:rsidRDefault="00B769D8" w:rsidP="00B769D8">
      <w:pPr>
        <w:pStyle w:val="ParaNumbering"/>
      </w:pPr>
      <w:r>
        <w:t>In its decision of 15 December 2014, the Commission explained the origins of the 2000 Award as follows:</w:t>
      </w:r>
    </w:p>
    <w:p w:rsidR="000F39FA" w:rsidRDefault="000F39FA" w:rsidP="000F39FA">
      <w:pPr>
        <w:pStyle w:val="Quote1"/>
        <w:ind w:left="1440" w:hanging="703"/>
        <w:rPr>
          <w:highlight w:val="yellow"/>
        </w:rPr>
      </w:pPr>
      <w:r>
        <w:t>22.</w:t>
      </w:r>
      <w:r>
        <w:tab/>
      </w:r>
      <w:r w:rsidRPr="000F39FA">
        <w:t xml:space="preserve">The CSR Award 2000 has its origins in a consent award made in settlement of an industrial dispute in 1944, which has been varied almost invariably by consent between the Association or its predecessors and CSR or its predecessors ever since.  The variations to the CSR Award 2000 since it was made have been predominantly to reflect Full Bench decisions of the </w:t>
      </w:r>
      <w:proofErr w:type="spellStart"/>
      <w:r w:rsidRPr="000F39FA">
        <w:t>AIRC</w:t>
      </w:r>
      <w:proofErr w:type="spellEnd"/>
      <w:r w:rsidRPr="000F39FA">
        <w:t xml:space="preserve"> of national application rather than decisions particular to CSR</w:t>
      </w:r>
      <w:r>
        <w:t>.</w:t>
      </w:r>
    </w:p>
    <w:p w:rsidR="00982799" w:rsidRPr="00982799" w:rsidRDefault="00BA5A15" w:rsidP="000F39FA">
      <w:pPr>
        <w:pStyle w:val="Quote2"/>
      </w:pPr>
      <w:r w:rsidRPr="000F39FA">
        <w:t>(Footnotes omitted).</w:t>
      </w:r>
    </w:p>
    <w:p w:rsidR="00B769D8" w:rsidRDefault="00B769D8" w:rsidP="00B769D8">
      <w:pPr>
        <w:pStyle w:val="BodyText"/>
      </w:pPr>
    </w:p>
    <w:p w:rsidR="00B769D8" w:rsidRDefault="00B769D8" w:rsidP="00B769D8">
      <w:pPr>
        <w:pStyle w:val="ParaNumbering"/>
      </w:pPr>
      <w:r>
        <w:t xml:space="preserve">As to </w:t>
      </w:r>
      <w:r w:rsidR="00BA5A15">
        <w:t>CSR</w:t>
      </w:r>
      <w:r>
        <w:t xml:space="preserve"> itself, the Commission said:</w:t>
      </w:r>
    </w:p>
    <w:p w:rsidR="002E22DD" w:rsidRDefault="002E22DD" w:rsidP="002E22DD">
      <w:pPr>
        <w:pStyle w:val="Quote1"/>
        <w:ind w:left="1440" w:hanging="703"/>
      </w:pPr>
      <w:r>
        <w:t>15.</w:t>
      </w:r>
      <w:r>
        <w:tab/>
        <w:t xml:space="preserve">The “Employer” is defined in the CSR Award 2000 as “CSR Limited”.  The origins of CSR date back to 1855 and a partnership formed to refine sugar. In 1887, The Colonial Sugar Refining Company Limited was established.  That company diversified into building materials and construction from 1939.  The company became CSR in 1973 and diversified into the natural gas and oil industries in the latter part of the </w:t>
      </w:r>
      <w:proofErr w:type="spellStart"/>
      <w:r>
        <w:t>1970s</w:t>
      </w:r>
      <w:proofErr w:type="spellEnd"/>
      <w:r>
        <w:t xml:space="preserve"> and early </w:t>
      </w:r>
      <w:proofErr w:type="spellStart"/>
      <w:r>
        <w:t>1980s</w:t>
      </w:r>
      <w:proofErr w:type="spellEnd"/>
      <w:r>
        <w:t xml:space="preserve">.  In 2003, CSR sold its interests in heavy building products, in 2007 CSR acquired glass businesses and in 2010 CSR sold its sugar and ethanol business.  </w:t>
      </w:r>
    </w:p>
    <w:p w:rsidR="002E22DD" w:rsidRDefault="002E22DD" w:rsidP="002E22DD">
      <w:pPr>
        <w:pStyle w:val="Quote1"/>
      </w:pPr>
      <w:r>
        <w:t>16.</w:t>
      </w:r>
      <w:r>
        <w:tab/>
        <w:t>CSR currently has four divisions:</w:t>
      </w:r>
    </w:p>
    <w:p w:rsidR="002E22DD" w:rsidRDefault="002E22DD" w:rsidP="002E22DD">
      <w:pPr>
        <w:pStyle w:val="Quote2Bullet"/>
      </w:pPr>
      <w:r>
        <w:t xml:space="preserve">CSR Bradford which manufactures and markets </w:t>
      </w:r>
      <w:proofErr w:type="spellStart"/>
      <w:r>
        <w:t>glasswool</w:t>
      </w:r>
      <w:proofErr w:type="spellEnd"/>
      <w:r>
        <w:t xml:space="preserve">, </w:t>
      </w:r>
      <w:proofErr w:type="spellStart"/>
      <w:r>
        <w:t>rockwool</w:t>
      </w:r>
      <w:proofErr w:type="spellEnd"/>
      <w:r>
        <w:t>, foil insulation and ventilation products.</w:t>
      </w:r>
    </w:p>
    <w:p w:rsidR="002E22DD" w:rsidRDefault="002E22DD" w:rsidP="002E22DD">
      <w:pPr>
        <w:pStyle w:val="Quote2Bullet"/>
      </w:pPr>
      <w:r>
        <w:t>CSR Bricks and Roofing which manufactures and markets bricks and roofing products.</w:t>
      </w:r>
    </w:p>
    <w:p w:rsidR="002E22DD" w:rsidRDefault="002E22DD" w:rsidP="002E22DD">
      <w:pPr>
        <w:pStyle w:val="Quote2Bullet"/>
      </w:pPr>
      <w:r>
        <w:t>CSR Lightweight Systems which has four business units manufacturing plasterboard and related products, fibre cement sheeting, commercial ceilings, and autoclaved aerated concrete.</w:t>
      </w:r>
    </w:p>
    <w:p w:rsidR="002E22DD" w:rsidRDefault="002E22DD" w:rsidP="002E22DD">
      <w:pPr>
        <w:pStyle w:val="Quote2Bullet"/>
      </w:pPr>
      <w:r>
        <w:t xml:space="preserve">Viridian which </w:t>
      </w:r>
      <w:proofErr w:type="gramStart"/>
      <w:r>
        <w:t>manufactures,</w:t>
      </w:r>
      <w:proofErr w:type="gramEnd"/>
      <w:r>
        <w:t xml:space="preserve"> processes and distributes glass products to the building and construction industry.</w:t>
      </w:r>
    </w:p>
    <w:p w:rsidR="00B769D8" w:rsidRDefault="00B769D8" w:rsidP="002E22DD">
      <w:pPr>
        <w:pStyle w:val="BodyText"/>
      </w:pPr>
    </w:p>
    <w:p w:rsidR="00B769D8" w:rsidRDefault="00B769D8" w:rsidP="00B769D8">
      <w:pPr>
        <w:pStyle w:val="ParaNumbering"/>
      </w:pPr>
      <w:r>
        <w:lastRenderedPageBreak/>
        <w:t xml:space="preserve">The Commission accepted that the 2000 Award was an “enterprise instrument” within the meaning of Part 2 of </w:t>
      </w:r>
      <w:proofErr w:type="spellStart"/>
      <w:r>
        <w:t>Sch</w:t>
      </w:r>
      <w:proofErr w:type="spellEnd"/>
      <w:r>
        <w:t xml:space="preserve"> 6 to the </w:t>
      </w:r>
      <w:proofErr w:type="spellStart"/>
      <w:r>
        <w:t>TP</w:t>
      </w:r>
      <w:proofErr w:type="spellEnd"/>
      <w:r>
        <w:t xml:space="preserve"> Act.  For present purposes, it is sufficient to say that this circumstance, amongst others, made available “the enterprise instrument modernisation process” for which </w:t>
      </w:r>
      <w:proofErr w:type="spellStart"/>
      <w:r>
        <w:t>Div</w:t>
      </w:r>
      <w:proofErr w:type="spellEnd"/>
      <w:r>
        <w:t xml:space="preserve"> 2 of that part provided.  That division contained </w:t>
      </w:r>
      <w:r w:rsidR="00AA6FC8">
        <w:t>i</w:t>
      </w:r>
      <w:r>
        <w:t xml:space="preserve">tems 4 and 6, </w:t>
      </w:r>
      <w:r w:rsidR="00AA6FC8">
        <w:t>by reference to</w:t>
      </w:r>
      <w:r>
        <w:t xml:space="preserve"> which the present application must be determined.  </w:t>
      </w:r>
    </w:p>
    <w:p w:rsidR="00B769D8" w:rsidRDefault="00B769D8" w:rsidP="00B769D8">
      <w:pPr>
        <w:pStyle w:val="ParaNumbering"/>
      </w:pPr>
      <w:r>
        <w:t>Items 4 and 6 were in the following terms:</w:t>
      </w:r>
    </w:p>
    <w:p w:rsidR="007B11F5" w:rsidRPr="007B11F5" w:rsidRDefault="007B11F5" w:rsidP="007B11F5">
      <w:pPr>
        <w:pStyle w:val="Quote1"/>
        <w:spacing w:after="60"/>
        <w:rPr>
          <w:b/>
        </w:rPr>
      </w:pPr>
      <w:r w:rsidRPr="007B11F5">
        <w:rPr>
          <w:b/>
        </w:rPr>
        <w:t>4</w:t>
      </w:r>
      <w:r w:rsidRPr="007B11F5">
        <w:rPr>
          <w:b/>
        </w:rPr>
        <w:tab/>
        <w:t>The enterprise instrument modernisation process</w:t>
      </w:r>
    </w:p>
    <w:p w:rsidR="007B11F5" w:rsidRDefault="007B11F5" w:rsidP="007B11F5">
      <w:pPr>
        <w:pStyle w:val="Quote1"/>
        <w:spacing w:after="60"/>
        <w:ind w:left="1440" w:hanging="703"/>
      </w:pPr>
      <w:r>
        <w:t>(1)</w:t>
      </w:r>
      <w:r>
        <w:tab/>
        <w:t xml:space="preserve">The </w:t>
      </w:r>
      <w:r w:rsidRPr="00EF5580">
        <w:rPr>
          <w:b/>
          <w:i/>
        </w:rPr>
        <w:t>enterprise instrument modernisation process</w:t>
      </w:r>
      <w:r>
        <w:t xml:space="preserve"> is the process of making modern awards under this Division to replace enterprise instruments.</w:t>
      </w:r>
    </w:p>
    <w:p w:rsidR="007B11F5" w:rsidRDefault="00EF5580" w:rsidP="007B11F5">
      <w:pPr>
        <w:pStyle w:val="Quote1"/>
        <w:spacing w:after="60"/>
        <w:ind w:left="1440" w:hanging="703"/>
      </w:pPr>
      <w:r>
        <w:t>(2)</w:t>
      </w:r>
      <w:r>
        <w:tab/>
      </w:r>
      <w:r w:rsidR="007B11F5">
        <w:t xml:space="preserve">On application, the </w:t>
      </w:r>
      <w:proofErr w:type="spellStart"/>
      <w:r w:rsidR="007B11F5">
        <w:t>FWC</w:t>
      </w:r>
      <w:proofErr w:type="spellEnd"/>
      <w:r w:rsidR="007B11F5">
        <w:t xml:space="preserve"> may make a modern award (a </w:t>
      </w:r>
      <w:r w:rsidR="007B11F5" w:rsidRPr="00EF5580">
        <w:rPr>
          <w:b/>
          <w:i/>
        </w:rPr>
        <w:t>modern enterprise award</w:t>
      </w:r>
      <w:r w:rsidR="007B11F5">
        <w:t>) to replace an enterprise instrument.</w:t>
      </w:r>
    </w:p>
    <w:p w:rsidR="007B11F5" w:rsidRDefault="007B11F5" w:rsidP="007B11F5">
      <w:pPr>
        <w:pStyle w:val="Quote1"/>
        <w:spacing w:after="60"/>
      </w:pPr>
      <w:r>
        <w:t>(3)</w:t>
      </w:r>
      <w:r>
        <w:tab/>
        <w:t>The application may be made only:</w:t>
      </w:r>
    </w:p>
    <w:p w:rsidR="007B11F5" w:rsidRDefault="007B11F5" w:rsidP="007B11F5">
      <w:pPr>
        <w:pStyle w:val="Quote2"/>
        <w:spacing w:after="60"/>
      </w:pPr>
      <w:r>
        <w:t>(a)</w:t>
      </w:r>
      <w:r>
        <w:tab/>
      </w:r>
      <w:proofErr w:type="gramStart"/>
      <w:r>
        <w:t>by</w:t>
      </w:r>
      <w:proofErr w:type="gramEnd"/>
      <w:r>
        <w:t xml:space="preserve"> a person covered by the enterprise instrument; and</w:t>
      </w:r>
    </w:p>
    <w:p w:rsidR="007B11F5" w:rsidRDefault="007B11F5" w:rsidP="00EF5580">
      <w:pPr>
        <w:pStyle w:val="Quote2"/>
        <w:spacing w:after="60"/>
        <w:ind w:left="2160" w:hanging="720"/>
      </w:pPr>
      <w:r>
        <w:t>(b)</w:t>
      </w:r>
      <w:r>
        <w:tab/>
      </w:r>
      <w:proofErr w:type="gramStart"/>
      <w:r>
        <w:t>during</w:t>
      </w:r>
      <w:proofErr w:type="gramEnd"/>
      <w:r>
        <w:t xml:space="preserve"> the period starting on the </w:t>
      </w:r>
      <w:proofErr w:type="spellStart"/>
      <w:r>
        <w:t>WR</w:t>
      </w:r>
      <w:proofErr w:type="spellEnd"/>
      <w:r>
        <w:t xml:space="preserve"> Act repeal day and ending at the end of 31 December 2013.</w:t>
      </w:r>
    </w:p>
    <w:p w:rsidR="007B11F5" w:rsidRDefault="007B11F5" w:rsidP="007B11F5">
      <w:pPr>
        <w:pStyle w:val="Quote1"/>
        <w:spacing w:after="60"/>
      </w:pPr>
      <w:r>
        <w:t>(4)</w:t>
      </w:r>
      <w:r>
        <w:tab/>
        <w:t>A modern enterprise award must be made by a Full Bench.</w:t>
      </w:r>
    </w:p>
    <w:p w:rsidR="007B11F5" w:rsidRDefault="007B11F5" w:rsidP="007B11F5">
      <w:pPr>
        <w:pStyle w:val="Quote1"/>
        <w:spacing w:after="60"/>
        <w:ind w:left="1440" w:hanging="703"/>
      </w:pPr>
      <w:r>
        <w:t>(5)</w:t>
      </w:r>
      <w:r>
        <w:tab/>
        <w:t xml:space="preserve">In deciding whether or not to make a modern enterprise award, and in determining the content of that award, the </w:t>
      </w:r>
      <w:proofErr w:type="spellStart"/>
      <w:r>
        <w:t>FWC</w:t>
      </w:r>
      <w:proofErr w:type="spellEnd"/>
      <w:r>
        <w:t xml:space="preserve"> must take into account the following:</w:t>
      </w:r>
    </w:p>
    <w:p w:rsidR="007B11F5" w:rsidRDefault="007B11F5" w:rsidP="007B11F5">
      <w:pPr>
        <w:pStyle w:val="Quote2"/>
        <w:spacing w:after="60"/>
        <w:ind w:left="2160" w:hanging="720"/>
      </w:pPr>
      <w:r>
        <w:t>(a)</w:t>
      </w:r>
      <w:r>
        <w:tab/>
      </w:r>
      <w:proofErr w:type="gramStart"/>
      <w:r>
        <w:t>the</w:t>
      </w:r>
      <w:proofErr w:type="gramEnd"/>
      <w:r>
        <w:t xml:space="preserve"> circumstances that led to the making of the enterprise instrument rather than an instrument of more general application;</w:t>
      </w:r>
    </w:p>
    <w:p w:rsidR="007B11F5" w:rsidRDefault="007B11F5" w:rsidP="007B11F5">
      <w:pPr>
        <w:pStyle w:val="Quote2"/>
        <w:spacing w:after="60"/>
        <w:ind w:left="2160" w:hanging="720"/>
      </w:pPr>
      <w:r>
        <w:t>(b)</w:t>
      </w:r>
      <w:r>
        <w:tab/>
        <w:t xml:space="preserve">whether there is a modern award (other than the miscellaneous modern award) that would, but for the enterprise instrument, cover the persons who are covered by the instrument, or whether such a modern award is likely to be made in the Part </w:t>
      </w:r>
      <w:proofErr w:type="spellStart"/>
      <w:r>
        <w:t>10A</w:t>
      </w:r>
      <w:proofErr w:type="spellEnd"/>
      <w:r>
        <w:t xml:space="preserve"> award modernisation process;</w:t>
      </w:r>
    </w:p>
    <w:p w:rsidR="007B11F5" w:rsidRDefault="007B11F5" w:rsidP="007B11F5">
      <w:pPr>
        <w:pStyle w:val="Quote2"/>
        <w:spacing w:after="60"/>
        <w:ind w:left="2160" w:hanging="720"/>
      </w:pPr>
      <w:r>
        <w:t>(c)</w:t>
      </w:r>
      <w:r>
        <w:tab/>
      </w:r>
      <w:proofErr w:type="gramStart"/>
      <w:r>
        <w:t>the</w:t>
      </w:r>
      <w:proofErr w:type="gramEnd"/>
      <w:r>
        <w:t xml:space="preserve"> content, or likely content, of the modern award referred to in paragraph (b) (taking account of any variations of the modern award that are likely to be made in the Part </w:t>
      </w:r>
      <w:proofErr w:type="spellStart"/>
      <w:r>
        <w:t>10A</w:t>
      </w:r>
      <w:proofErr w:type="spellEnd"/>
      <w:r>
        <w:t xml:space="preserve"> award modernisation process);</w:t>
      </w:r>
    </w:p>
    <w:p w:rsidR="007B11F5" w:rsidRDefault="007B11F5" w:rsidP="007B11F5">
      <w:pPr>
        <w:pStyle w:val="Quote2"/>
        <w:spacing w:after="60"/>
        <w:ind w:left="2160" w:hanging="720"/>
      </w:pPr>
      <w:r>
        <w:t>(d)</w:t>
      </w:r>
      <w:r>
        <w:tab/>
      </w:r>
      <w:proofErr w:type="gramStart"/>
      <w:r>
        <w:t>the</w:t>
      </w:r>
      <w:proofErr w:type="gramEnd"/>
      <w:r>
        <w:t xml:space="preserve"> terms and conditions of employment applying in the industry in which the persons covered by the enterprise instrument operate, and the extent to which those terms and conditions are reflected in the instrument;</w:t>
      </w:r>
    </w:p>
    <w:p w:rsidR="007B11F5" w:rsidRDefault="007B11F5" w:rsidP="007B11F5">
      <w:pPr>
        <w:pStyle w:val="Quote2"/>
        <w:spacing w:after="60"/>
        <w:ind w:left="2160" w:hanging="720"/>
      </w:pPr>
      <w:r>
        <w:t>(e)</w:t>
      </w:r>
      <w:r>
        <w:tab/>
      </w:r>
      <w:proofErr w:type="gramStart"/>
      <w:r>
        <w:t>the</w:t>
      </w:r>
      <w:proofErr w:type="gramEnd"/>
      <w:r>
        <w:t xml:space="preserve"> extent to which the enterprise instrument provides enterprise</w:t>
      </w:r>
      <w:r w:rsidR="00EF5580">
        <w:rPr>
          <w:rFonts w:ascii="MS Mincho" w:eastAsia="MS Mincho" w:hAnsi="MS Mincho" w:cs="MS Mincho"/>
        </w:rPr>
        <w:noBreakHyphen/>
      </w:r>
      <w:r>
        <w:t>specific terms and conditions of employment;</w:t>
      </w:r>
    </w:p>
    <w:p w:rsidR="007B11F5" w:rsidRDefault="007B11F5" w:rsidP="007B11F5">
      <w:pPr>
        <w:pStyle w:val="Quote2"/>
        <w:spacing w:after="60"/>
        <w:ind w:left="2160" w:hanging="720"/>
      </w:pPr>
      <w:r>
        <w:t>(f)</w:t>
      </w:r>
      <w:r>
        <w:tab/>
        <w:t>the likely impact on the persons covered by the enterprise instrument, and the persons covered by the modern award referred to in paragraph (b), of a decision to make, or not make, the modern enterprise award, including any impact on the ongoing viability or competitiveness of any enterprise carried on by those persons;</w:t>
      </w:r>
    </w:p>
    <w:p w:rsidR="007B11F5" w:rsidRDefault="007B11F5" w:rsidP="007B11F5">
      <w:pPr>
        <w:pStyle w:val="Quote2"/>
        <w:spacing w:after="60"/>
      </w:pPr>
      <w:r>
        <w:t>(g)</w:t>
      </w:r>
      <w:r>
        <w:tab/>
      </w:r>
      <w:proofErr w:type="gramStart"/>
      <w:r>
        <w:t>the</w:t>
      </w:r>
      <w:proofErr w:type="gramEnd"/>
      <w:r>
        <w:t xml:space="preserve"> views of the persons covered by the enterprise instrument;</w:t>
      </w:r>
    </w:p>
    <w:p w:rsidR="007B11F5" w:rsidRDefault="007B11F5" w:rsidP="007B11F5">
      <w:pPr>
        <w:pStyle w:val="Quote2"/>
        <w:spacing w:after="60"/>
      </w:pPr>
      <w:r>
        <w:t>(h)</w:t>
      </w:r>
      <w:r>
        <w:tab/>
      </w:r>
      <w:proofErr w:type="gramStart"/>
      <w:r>
        <w:t>any</w:t>
      </w:r>
      <w:proofErr w:type="gramEnd"/>
      <w:r>
        <w:t xml:space="preserve"> other matter prescribed by the regulations.</w:t>
      </w:r>
    </w:p>
    <w:p w:rsidR="007B11F5" w:rsidRPr="00EF5580" w:rsidRDefault="007B11F5" w:rsidP="00EF5580">
      <w:pPr>
        <w:pStyle w:val="Quote1"/>
        <w:ind w:left="1440" w:hanging="703"/>
        <w:rPr>
          <w:sz w:val="20"/>
        </w:rPr>
      </w:pPr>
      <w:r w:rsidRPr="00EF5580">
        <w:rPr>
          <w:sz w:val="20"/>
        </w:rPr>
        <w:t>Note:</w:t>
      </w:r>
      <w:r w:rsidRPr="00EF5580">
        <w:rPr>
          <w:sz w:val="20"/>
        </w:rPr>
        <w:tab/>
        <w:t xml:space="preserve">A variation referred to in paragraph (c) may, for example, be a variation to reflect the outcome of the </w:t>
      </w:r>
      <w:proofErr w:type="spellStart"/>
      <w:r w:rsidRPr="00EF5580">
        <w:rPr>
          <w:sz w:val="20"/>
        </w:rPr>
        <w:t>AFPC’s</w:t>
      </w:r>
      <w:proofErr w:type="spellEnd"/>
      <w:r w:rsidRPr="00EF5580">
        <w:rPr>
          <w:sz w:val="20"/>
        </w:rPr>
        <w:t xml:space="preserve"> final wage review under the </w:t>
      </w:r>
      <w:proofErr w:type="spellStart"/>
      <w:r w:rsidRPr="00EF5580">
        <w:rPr>
          <w:sz w:val="20"/>
        </w:rPr>
        <w:t>WR</w:t>
      </w:r>
      <w:proofErr w:type="spellEnd"/>
      <w:r w:rsidRPr="00EF5580">
        <w:rPr>
          <w:sz w:val="20"/>
        </w:rPr>
        <w:t xml:space="preserve"> Act, or to include transitional arrangements in the modern award.</w:t>
      </w:r>
    </w:p>
    <w:p w:rsidR="007B11F5" w:rsidRDefault="007B11F5" w:rsidP="007B11F5">
      <w:pPr>
        <w:pStyle w:val="Quote1"/>
        <w:spacing w:after="60"/>
        <w:ind w:left="1440" w:hanging="703"/>
      </w:pPr>
      <w:r>
        <w:lastRenderedPageBreak/>
        <w:t>(</w:t>
      </w:r>
      <w:proofErr w:type="spellStart"/>
      <w:r>
        <w:t>5A</w:t>
      </w:r>
      <w:proofErr w:type="spellEnd"/>
      <w:r>
        <w:t>)</w:t>
      </w:r>
      <w:r>
        <w:tab/>
      </w:r>
      <w:proofErr w:type="gramStart"/>
      <w:r>
        <w:t>If</w:t>
      </w:r>
      <w:proofErr w:type="gramEnd"/>
      <w:r>
        <w:t xml:space="preserve"> the </w:t>
      </w:r>
      <w:proofErr w:type="spellStart"/>
      <w:r>
        <w:t>FWC</w:t>
      </w:r>
      <w:proofErr w:type="spellEnd"/>
      <w:r>
        <w:t xml:space="preserve"> makes a modern enterprise award before the FW (safety net provisions) commencement day, the modern enterprise award must not be expressed to commence on a day earlier than the FW (safety net provisions) commencement day.</w:t>
      </w:r>
    </w:p>
    <w:p w:rsidR="007B11F5" w:rsidRPr="00EF5580" w:rsidRDefault="007B11F5" w:rsidP="00EF5580">
      <w:pPr>
        <w:pStyle w:val="Quote2"/>
        <w:rPr>
          <w:sz w:val="20"/>
        </w:rPr>
      </w:pPr>
      <w:r w:rsidRPr="00EF5580">
        <w:rPr>
          <w:sz w:val="20"/>
        </w:rPr>
        <w:t>Note:</w:t>
      </w:r>
      <w:r w:rsidRPr="00EF5580">
        <w:rPr>
          <w:sz w:val="20"/>
        </w:rPr>
        <w:tab/>
        <w:t>For when a modern enterprise award is in operation, see item 17.</w:t>
      </w:r>
    </w:p>
    <w:p w:rsidR="007B11F5" w:rsidRDefault="007B11F5" w:rsidP="007B11F5">
      <w:pPr>
        <w:pStyle w:val="Quote1"/>
        <w:spacing w:after="60"/>
        <w:ind w:left="1440" w:hanging="703"/>
      </w:pPr>
      <w:r>
        <w:t>(6)</w:t>
      </w:r>
      <w:r>
        <w:tab/>
        <w:t>The regulations may deal with other matters relating to the enterprise instrument modernisation process.</w:t>
      </w:r>
    </w:p>
    <w:p w:rsidR="00B769D8" w:rsidRDefault="007B11F5" w:rsidP="007B11F5">
      <w:pPr>
        <w:pStyle w:val="Quote1"/>
        <w:spacing w:after="60"/>
      </w:pPr>
      <w:r>
        <w:t>…</w:t>
      </w:r>
    </w:p>
    <w:p w:rsidR="007B11F5" w:rsidRPr="007B11F5" w:rsidRDefault="007B11F5" w:rsidP="007B11F5">
      <w:pPr>
        <w:pStyle w:val="Quote1"/>
        <w:spacing w:after="60"/>
        <w:rPr>
          <w:b/>
        </w:rPr>
      </w:pPr>
      <w:r w:rsidRPr="007B11F5">
        <w:rPr>
          <w:b/>
        </w:rPr>
        <w:t>6</w:t>
      </w:r>
      <w:r w:rsidRPr="007B11F5">
        <w:rPr>
          <w:b/>
        </w:rPr>
        <w:tab/>
        <w:t>The modern enterprise awards objective</w:t>
      </w:r>
    </w:p>
    <w:p w:rsidR="007B11F5" w:rsidRDefault="007B11F5" w:rsidP="007B11F5">
      <w:pPr>
        <w:pStyle w:val="Quote1"/>
        <w:spacing w:after="60"/>
        <w:ind w:left="1440" w:hanging="703"/>
      </w:pPr>
      <w:r>
        <w:t>(1)</w:t>
      </w:r>
      <w:r>
        <w:tab/>
        <w:t xml:space="preserve">The modern awards objective and the minimum wages objective apply to the </w:t>
      </w:r>
      <w:proofErr w:type="spellStart"/>
      <w:r>
        <w:t>FWC</w:t>
      </w:r>
      <w:proofErr w:type="spellEnd"/>
      <w:r>
        <w:t xml:space="preserve"> making a modern enterprise award under this Division.</w:t>
      </w:r>
    </w:p>
    <w:p w:rsidR="007B11F5" w:rsidRDefault="007B11F5" w:rsidP="007B11F5">
      <w:pPr>
        <w:pStyle w:val="Quote1"/>
        <w:spacing w:after="60"/>
        <w:ind w:left="1440" w:hanging="703"/>
      </w:pPr>
      <w:r>
        <w:t>(2)</w:t>
      </w:r>
      <w:r>
        <w:tab/>
        <w:t xml:space="preserve">However, in applying the modern awards objective and the minimum wages objective, the </w:t>
      </w:r>
      <w:proofErr w:type="spellStart"/>
      <w:r>
        <w:t>FWC</w:t>
      </w:r>
      <w:proofErr w:type="spellEnd"/>
      <w:r>
        <w:t xml:space="preserve"> must recognise that modern enterprise awards may provide terms and conditions tailored to reflect employment arrangements that have been developed in relation to the relevant enterprises. This is the </w:t>
      </w:r>
      <w:r w:rsidRPr="00EF5580">
        <w:rPr>
          <w:b/>
          <w:i/>
        </w:rPr>
        <w:t>modern enterprise awards</w:t>
      </w:r>
      <w:r>
        <w:t xml:space="preserve"> </w:t>
      </w:r>
      <w:r w:rsidRPr="00EF5580">
        <w:rPr>
          <w:b/>
          <w:i/>
        </w:rPr>
        <w:t>objective</w:t>
      </w:r>
      <w:r>
        <w:t>.</w:t>
      </w:r>
    </w:p>
    <w:p w:rsidR="007B11F5" w:rsidRPr="00EF5580" w:rsidRDefault="007B11F5" w:rsidP="00EF5580">
      <w:pPr>
        <w:pStyle w:val="Quote1"/>
        <w:ind w:left="1440" w:hanging="703"/>
        <w:rPr>
          <w:sz w:val="20"/>
        </w:rPr>
      </w:pPr>
      <w:r w:rsidRPr="00EF5580">
        <w:rPr>
          <w:sz w:val="20"/>
        </w:rPr>
        <w:t>Note 1:</w:t>
      </w:r>
      <w:r w:rsidRPr="00EF5580">
        <w:rPr>
          <w:sz w:val="20"/>
        </w:rPr>
        <w:tab/>
        <w:t>See also item 11 (enterprise instrument modernisation process is not intended to result in reduction in take</w:t>
      </w:r>
      <w:r w:rsidRPr="00EF5580">
        <w:rPr>
          <w:rFonts w:ascii="MS Mincho" w:eastAsia="MS Mincho" w:hAnsi="MS Mincho" w:cs="MS Mincho" w:hint="eastAsia"/>
          <w:sz w:val="20"/>
        </w:rPr>
        <w:t>‑</w:t>
      </w:r>
      <w:r w:rsidRPr="00EF5580">
        <w:rPr>
          <w:sz w:val="20"/>
        </w:rPr>
        <w:t>home pay).</w:t>
      </w:r>
    </w:p>
    <w:p w:rsidR="007B11F5" w:rsidRPr="00EF5580" w:rsidRDefault="007B11F5" w:rsidP="00EF5580">
      <w:pPr>
        <w:pStyle w:val="Quote1"/>
        <w:ind w:left="1440" w:hanging="703"/>
        <w:rPr>
          <w:sz w:val="20"/>
        </w:rPr>
      </w:pPr>
      <w:r w:rsidRPr="00EF5580">
        <w:rPr>
          <w:sz w:val="20"/>
        </w:rPr>
        <w:t>Note 2:</w:t>
      </w:r>
      <w:r w:rsidRPr="00EF5580">
        <w:rPr>
          <w:sz w:val="20"/>
        </w:rPr>
        <w:tab/>
        <w:t xml:space="preserve">See also item </w:t>
      </w:r>
      <w:proofErr w:type="spellStart"/>
      <w:r w:rsidRPr="00EF5580">
        <w:rPr>
          <w:sz w:val="20"/>
        </w:rPr>
        <w:t>16A</w:t>
      </w:r>
      <w:proofErr w:type="spellEnd"/>
      <w:r w:rsidRPr="00EF5580">
        <w:rPr>
          <w:sz w:val="20"/>
        </w:rPr>
        <w:t xml:space="preserve"> (how the FW Act applies to the enterprise instrument modernisation process before the FW (safety net provisions) commencement day).</w:t>
      </w:r>
    </w:p>
    <w:p w:rsidR="00B769D8" w:rsidRDefault="00B769D8" w:rsidP="00B769D8">
      <w:pPr>
        <w:pStyle w:val="BodyText"/>
      </w:pPr>
    </w:p>
    <w:p w:rsidR="00C87F35" w:rsidRDefault="00C87F35" w:rsidP="00C87F35">
      <w:pPr>
        <w:pStyle w:val="ParaNumbering"/>
      </w:pPr>
      <w:r>
        <w:t xml:space="preserve">In its decision of 15 December 2014, the Commission accepted, following </w:t>
      </w:r>
      <w:r w:rsidRPr="00C87F35">
        <w:rPr>
          <w:i/>
        </w:rPr>
        <w:t xml:space="preserve">Yum! Restaurants Australia Pty Ltd v </w:t>
      </w:r>
      <w:r w:rsidR="00EF5580" w:rsidRPr="00EF5580">
        <w:rPr>
          <w:i/>
        </w:rPr>
        <w:t>Full Bench</w:t>
      </w:r>
      <w:r w:rsidR="00EF5580">
        <w:t xml:space="preserve"> </w:t>
      </w:r>
      <w:r w:rsidR="00FE3F30" w:rsidRPr="00FE3F30">
        <w:rPr>
          <w:i/>
        </w:rPr>
        <w:t xml:space="preserve">of </w:t>
      </w:r>
      <w:r w:rsidRPr="00C87F35">
        <w:rPr>
          <w:i/>
        </w:rPr>
        <w:t>Fair Work Australia</w:t>
      </w:r>
      <w:r>
        <w:t xml:space="preserve"> </w:t>
      </w:r>
      <w:r w:rsidR="00CB55B1">
        <w:t xml:space="preserve">(2012) </w:t>
      </w:r>
      <w:r w:rsidR="00EF5580">
        <w:t>205</w:t>
      </w:r>
      <w:r w:rsidR="00CB55B1">
        <w:t xml:space="preserve"> </w:t>
      </w:r>
      <w:proofErr w:type="spellStart"/>
      <w:r w:rsidR="00EF5580">
        <w:t>FCR</w:t>
      </w:r>
      <w:proofErr w:type="spellEnd"/>
      <w:r w:rsidR="00CB55B1">
        <w:t xml:space="preserve"> </w:t>
      </w:r>
      <w:r w:rsidR="00EF5580">
        <w:t>306</w:t>
      </w:r>
      <w:r w:rsidR="00AA6FC8">
        <w:t xml:space="preserve">, </w:t>
      </w:r>
      <w:r w:rsidR="00EF5580">
        <w:t>311</w:t>
      </w:r>
      <w:r w:rsidR="00AA6FC8">
        <w:t xml:space="preserve"> [21], that i</w:t>
      </w:r>
      <w:r>
        <w:t xml:space="preserve">tems 4 and 6 of </w:t>
      </w:r>
      <w:proofErr w:type="spellStart"/>
      <w:r>
        <w:t>Sch</w:t>
      </w:r>
      <w:proofErr w:type="spellEnd"/>
      <w:r>
        <w:t xml:space="preserve"> 6 operated together as a single decision</w:t>
      </w:r>
      <w:r>
        <w:noBreakHyphen/>
        <w:t>making process in which the Commission was involved when deciding whether or not to make a modern enterprise award.  It gave consideration to</w:t>
      </w:r>
      <w:r w:rsidR="00AA6FC8">
        <w:t xml:space="preserve"> each of the matters listed in item 4(</w:t>
      </w:r>
      <w:r>
        <w:t>5</w:t>
      </w:r>
      <w:r w:rsidR="00AA6FC8">
        <w:t>)</w:t>
      </w:r>
      <w:r w:rsidR="005560E2">
        <w:t>.  Having done so, the Commission said:</w:t>
      </w:r>
    </w:p>
    <w:p w:rsidR="005560E2" w:rsidRDefault="00CB55B1" w:rsidP="00CB55B1">
      <w:pPr>
        <w:pStyle w:val="Quote1"/>
        <w:ind w:left="1440" w:hanging="703"/>
      </w:pPr>
      <w:r>
        <w:t>68.</w:t>
      </w:r>
      <w:r>
        <w:tab/>
      </w:r>
      <w:r w:rsidRPr="00CB55B1">
        <w:t xml:space="preserve">In our view, in this case the likely impact on the persons covered by the CSR Award 2000, and the persons covered by the relevant modern awards, of a decision to make, or not make, the modern enterprise award strongly supports not making the modern enterprise award to replace the CSR Award 2000. </w:t>
      </w:r>
      <w:r w:rsidR="00EF5580">
        <w:t xml:space="preserve"> </w:t>
      </w:r>
      <w:r w:rsidRPr="00CB55B1">
        <w:t>As we have indicated, if we do not make the modern enterprise award the likely impact would quickly be collective bargaining between CSR and the salaried employees and their bargaining representatives for the making of an enterprise agreement or enterprise agreements.</w:t>
      </w:r>
      <w:r w:rsidR="00EF5580">
        <w:t xml:space="preserve"> </w:t>
      </w:r>
      <w:r w:rsidRPr="00CB55B1">
        <w:t xml:space="preserve"> We regard the other factors in item 4(5) of schedule 6 of the </w:t>
      </w:r>
      <w:r w:rsidR="00EF5580">
        <w:t>[</w:t>
      </w:r>
      <w:proofErr w:type="spellStart"/>
      <w:r w:rsidR="00EF5580">
        <w:t>TP</w:t>
      </w:r>
      <w:proofErr w:type="spellEnd"/>
      <w:r w:rsidR="00EF5580">
        <w:t xml:space="preserve"> Act]</w:t>
      </w:r>
      <w:r w:rsidRPr="00CB55B1">
        <w:t xml:space="preserve"> as supporting the making of the modern enterprise award, although some of the other factors do not unambiguously do so. </w:t>
      </w:r>
      <w:r w:rsidR="00EF5580">
        <w:t xml:space="preserve"> </w:t>
      </w:r>
      <w:r w:rsidRPr="00CB55B1">
        <w:t xml:space="preserve">Nonetheless, in this case the other factors in item 4(5) of schedule 6 of the </w:t>
      </w:r>
      <w:r w:rsidR="00A45781">
        <w:t>[</w:t>
      </w:r>
      <w:proofErr w:type="spellStart"/>
      <w:r w:rsidR="00A45781">
        <w:t>TP</w:t>
      </w:r>
      <w:proofErr w:type="spellEnd"/>
      <w:r w:rsidRPr="00CB55B1">
        <w:t xml:space="preserve"> Act</w:t>
      </w:r>
      <w:r w:rsidR="00A45781">
        <w:t>]</w:t>
      </w:r>
      <w:r w:rsidRPr="00CB55B1">
        <w:t xml:space="preserve"> are not sufficient in our view, either individually or collectively, to outweigh the strong support item 4(5)(f) of schedule 6 provides for not making the modern enterprise award.</w:t>
      </w:r>
    </w:p>
    <w:p w:rsidR="005560E2" w:rsidRDefault="005560E2" w:rsidP="005560E2">
      <w:pPr>
        <w:pStyle w:val="BodyText"/>
      </w:pPr>
    </w:p>
    <w:p w:rsidR="005560E2" w:rsidRDefault="005560E2" w:rsidP="005560E2">
      <w:pPr>
        <w:pStyle w:val="ParaNumbering"/>
      </w:pPr>
      <w:r>
        <w:t xml:space="preserve">As is apparent from this passage, it was considerations </w:t>
      </w:r>
      <w:r w:rsidR="00AA6FC8">
        <w:t>arising under para (f) of item 4(</w:t>
      </w:r>
      <w:r>
        <w:t>5</w:t>
      </w:r>
      <w:r w:rsidR="00AA6FC8">
        <w:t>) that swu</w:t>
      </w:r>
      <w:r>
        <w:t xml:space="preserve">ng the balance in favour of declining to make a modern enterprise award, in the </w:t>
      </w:r>
      <w:r>
        <w:lastRenderedPageBreak/>
        <w:t xml:space="preserve">Commission’s view.  Critical to that view were the Commission’s findings that, if a modern enterprise award were not made – </w:t>
      </w:r>
    </w:p>
    <w:p w:rsidR="005560E2" w:rsidRDefault="005560E2" w:rsidP="005560E2">
      <w:pPr>
        <w:pStyle w:val="Quote1"/>
      </w:pPr>
      <w:r>
        <w:t xml:space="preserve">… </w:t>
      </w:r>
      <w:proofErr w:type="gramStart"/>
      <w:r>
        <w:t>there</w:t>
      </w:r>
      <w:proofErr w:type="gramEnd"/>
      <w:r>
        <w:t xml:space="preserve"> would quickly be collective bargaining between CSR and the salaried employees and their bargaining representatives for the making of an enterprise agreement or enterprise agreements.  </w:t>
      </w:r>
    </w:p>
    <w:p w:rsidR="005560E2" w:rsidRDefault="005560E2" w:rsidP="005560E2">
      <w:pPr>
        <w:pStyle w:val="NoNum"/>
      </w:pPr>
      <w:r>
        <w:t>By contrast:</w:t>
      </w:r>
    </w:p>
    <w:p w:rsidR="00D42485" w:rsidRDefault="00CB55B1" w:rsidP="005560E2">
      <w:pPr>
        <w:pStyle w:val="Quote1"/>
      </w:pPr>
      <w:r w:rsidRPr="00CB55B1">
        <w:t>The likely impact of a decision to make such a modern enterprise award on the persons covered by the CSR Award 2000 would be largely the maintenance of the terms and conditions of employment in the CSR Award 2000 in the modern enterprise award and, consistent with the history between the persons, no enterprise agreement being made.</w:t>
      </w:r>
    </w:p>
    <w:p w:rsidR="00D42485" w:rsidRDefault="00D42485" w:rsidP="00D42485">
      <w:pPr>
        <w:pStyle w:val="NoNum"/>
      </w:pPr>
      <w:r>
        <w:t xml:space="preserve">The Commission noted that declining to make a modern enterprise award would overcome what it described as “the historical inertia with respect to such collective bargaining”.  </w:t>
      </w:r>
    </w:p>
    <w:p w:rsidR="00D42485" w:rsidRDefault="00D42485" w:rsidP="00D42485">
      <w:pPr>
        <w:pStyle w:val="ParaNumbering"/>
      </w:pPr>
      <w:r>
        <w:t xml:space="preserve">In the result, the Commission rejected the Staff Association’s application for the making of a modern enterprise award.  </w:t>
      </w:r>
    </w:p>
    <w:p w:rsidR="00D42485" w:rsidRDefault="00365FC2" w:rsidP="00D42485">
      <w:pPr>
        <w:pStyle w:val="ParaNumbering"/>
      </w:pPr>
      <w:r>
        <w:t>CSR’s</w:t>
      </w:r>
      <w:r w:rsidR="00D42485">
        <w:t xml:space="preserve"> first ground for the grant of certiorari and mandamus was that the Commission had failed to</w:t>
      </w:r>
      <w:r w:rsidR="00AA6FC8">
        <w:t xml:space="preserve"> comply with the injunction in i</w:t>
      </w:r>
      <w:r w:rsidR="00D42485">
        <w:t xml:space="preserve">tem 6 of the </w:t>
      </w:r>
      <w:proofErr w:type="spellStart"/>
      <w:r w:rsidR="00D42485">
        <w:t>TP</w:t>
      </w:r>
      <w:proofErr w:type="spellEnd"/>
      <w:r w:rsidR="00D42485">
        <w:t xml:space="preserve"> Act that it must apply the “modern awards objective” when making a modern enterprise award under </w:t>
      </w:r>
      <w:proofErr w:type="spellStart"/>
      <w:r w:rsidR="00D42485">
        <w:t>Div</w:t>
      </w:r>
      <w:proofErr w:type="spellEnd"/>
      <w:r w:rsidR="00D42485">
        <w:t xml:space="preserve"> 2 of Pt 2 of </w:t>
      </w:r>
      <w:proofErr w:type="spellStart"/>
      <w:r w:rsidR="00D42485">
        <w:t>Sch</w:t>
      </w:r>
      <w:proofErr w:type="spellEnd"/>
      <w:r w:rsidR="00D42485">
        <w:t xml:space="preserve"> 6 to the </w:t>
      </w:r>
      <w:proofErr w:type="spellStart"/>
      <w:r w:rsidR="00D42485">
        <w:t>TP</w:t>
      </w:r>
      <w:proofErr w:type="spellEnd"/>
      <w:r w:rsidR="00D42485">
        <w:t xml:space="preserve"> Act.  That objective is the subject of s 134(1) of the </w:t>
      </w:r>
      <w:r w:rsidR="00D42485">
        <w:rPr>
          <w:i/>
        </w:rPr>
        <w:t>Fair Work Act 2009</w:t>
      </w:r>
      <w:r w:rsidR="00D42485">
        <w:t xml:space="preserve"> (</w:t>
      </w:r>
      <w:proofErr w:type="spellStart"/>
      <w:r w:rsidR="00D42485">
        <w:t>Cth</w:t>
      </w:r>
      <w:proofErr w:type="spellEnd"/>
      <w:r w:rsidR="00D42485">
        <w:t>) (“the FW Act”), as follows:</w:t>
      </w:r>
    </w:p>
    <w:p w:rsidR="00CB55B1" w:rsidRDefault="00CB55B1" w:rsidP="00CB55B1">
      <w:pPr>
        <w:pStyle w:val="Quote1"/>
        <w:spacing w:after="60"/>
        <w:ind w:left="1440" w:hanging="703"/>
      </w:pPr>
      <w:r>
        <w:t>(1)</w:t>
      </w:r>
      <w:r>
        <w:tab/>
        <w:t xml:space="preserve">The </w:t>
      </w:r>
      <w:proofErr w:type="spellStart"/>
      <w:r>
        <w:t>FWC</w:t>
      </w:r>
      <w:proofErr w:type="spellEnd"/>
      <w:r>
        <w:t xml:space="preserve"> must ensure that modern awards, together with the National Employment Standards, provide a fair and relevant minimum safety net of terms and conditions, taking into account:</w:t>
      </w:r>
    </w:p>
    <w:p w:rsidR="00CB55B1" w:rsidRDefault="00CB55B1" w:rsidP="00CB55B1">
      <w:pPr>
        <w:pStyle w:val="Quote2"/>
        <w:spacing w:after="60"/>
      </w:pPr>
      <w:r>
        <w:t>(a)</w:t>
      </w:r>
      <w:r>
        <w:tab/>
      </w:r>
      <w:proofErr w:type="gramStart"/>
      <w:r>
        <w:t>relative</w:t>
      </w:r>
      <w:proofErr w:type="gramEnd"/>
      <w:r>
        <w:t xml:space="preserve"> living standards and the needs of the low paid; and</w:t>
      </w:r>
    </w:p>
    <w:p w:rsidR="00CB55B1" w:rsidRDefault="00CB55B1" w:rsidP="00CB55B1">
      <w:pPr>
        <w:pStyle w:val="Quote2"/>
        <w:spacing w:after="60"/>
      </w:pPr>
      <w:r>
        <w:t>(b)</w:t>
      </w:r>
      <w:r>
        <w:tab/>
      </w:r>
      <w:proofErr w:type="gramStart"/>
      <w:r>
        <w:t>the</w:t>
      </w:r>
      <w:proofErr w:type="gramEnd"/>
      <w:r>
        <w:t xml:space="preserve"> need to encourage collective bargaining; and</w:t>
      </w:r>
    </w:p>
    <w:p w:rsidR="00CB55B1" w:rsidRDefault="00CB55B1" w:rsidP="00CB55B1">
      <w:pPr>
        <w:pStyle w:val="Quote2"/>
        <w:spacing w:after="60"/>
        <w:ind w:left="2160" w:hanging="720"/>
      </w:pPr>
      <w:r>
        <w:t>(c)</w:t>
      </w:r>
      <w:r>
        <w:tab/>
      </w:r>
      <w:proofErr w:type="gramStart"/>
      <w:r>
        <w:t>the</w:t>
      </w:r>
      <w:proofErr w:type="gramEnd"/>
      <w:r>
        <w:t xml:space="preserve"> need to promote social inclusion through increased workforce participation; and</w:t>
      </w:r>
    </w:p>
    <w:p w:rsidR="00CB55B1" w:rsidRDefault="00CB55B1" w:rsidP="00CB55B1">
      <w:pPr>
        <w:pStyle w:val="Quote2"/>
        <w:spacing w:after="60"/>
        <w:ind w:left="2160" w:hanging="720"/>
      </w:pPr>
      <w:r>
        <w:t>(d)</w:t>
      </w:r>
      <w:r>
        <w:tab/>
      </w:r>
      <w:proofErr w:type="gramStart"/>
      <w:r>
        <w:t>the</w:t>
      </w:r>
      <w:proofErr w:type="gramEnd"/>
      <w:r>
        <w:t xml:space="preserve"> need to promote flexible modern work practices and the efficient and productive performance of work; and</w:t>
      </w:r>
    </w:p>
    <w:p w:rsidR="00CB55B1" w:rsidRDefault="00CB55B1" w:rsidP="00CB55B1">
      <w:pPr>
        <w:pStyle w:val="Quote2"/>
        <w:spacing w:after="60"/>
      </w:pPr>
      <w:r>
        <w:t>(</w:t>
      </w:r>
      <w:proofErr w:type="gramStart"/>
      <w:r>
        <w:t>da</w:t>
      </w:r>
      <w:proofErr w:type="gramEnd"/>
      <w:r>
        <w:t>)</w:t>
      </w:r>
      <w:r>
        <w:tab/>
        <w:t>the need to provide additional remuneration for:</w:t>
      </w:r>
    </w:p>
    <w:p w:rsidR="00CB55B1" w:rsidRDefault="00CB55B1" w:rsidP="00CB55B1">
      <w:pPr>
        <w:pStyle w:val="Quote3"/>
        <w:spacing w:after="60"/>
      </w:pPr>
      <w:r>
        <w:t>(</w:t>
      </w:r>
      <w:proofErr w:type="spellStart"/>
      <w:r>
        <w:t>i</w:t>
      </w:r>
      <w:proofErr w:type="spellEnd"/>
      <w:r>
        <w:t>)</w:t>
      </w:r>
      <w:r>
        <w:tab/>
      </w:r>
      <w:proofErr w:type="gramStart"/>
      <w:r>
        <w:t>employees</w:t>
      </w:r>
      <w:proofErr w:type="gramEnd"/>
      <w:r>
        <w:t xml:space="preserve"> working overtime; or</w:t>
      </w:r>
    </w:p>
    <w:p w:rsidR="00CB55B1" w:rsidRDefault="00CB55B1" w:rsidP="00CB55B1">
      <w:pPr>
        <w:pStyle w:val="Quote3"/>
        <w:spacing w:after="60"/>
        <w:ind w:left="2880" w:hanging="720"/>
      </w:pPr>
      <w:r>
        <w:t>(ii)</w:t>
      </w:r>
      <w:r>
        <w:tab/>
      </w:r>
      <w:proofErr w:type="gramStart"/>
      <w:r>
        <w:t>employees</w:t>
      </w:r>
      <w:proofErr w:type="gramEnd"/>
      <w:r>
        <w:t xml:space="preserve"> working unsocial, irregular or unpredictable hours; or</w:t>
      </w:r>
    </w:p>
    <w:p w:rsidR="00CB55B1" w:rsidRDefault="00CB55B1" w:rsidP="00CB55B1">
      <w:pPr>
        <w:pStyle w:val="Quote3"/>
        <w:spacing w:after="60"/>
      </w:pPr>
      <w:r>
        <w:t>(iii)</w:t>
      </w:r>
      <w:r>
        <w:tab/>
      </w:r>
      <w:proofErr w:type="gramStart"/>
      <w:r>
        <w:t>employees</w:t>
      </w:r>
      <w:proofErr w:type="gramEnd"/>
      <w:r>
        <w:t xml:space="preserve"> working on weekends or public holidays; or</w:t>
      </w:r>
    </w:p>
    <w:p w:rsidR="00CB55B1" w:rsidRDefault="00CB55B1" w:rsidP="00CB55B1">
      <w:pPr>
        <w:pStyle w:val="Quote3"/>
        <w:spacing w:after="60"/>
      </w:pPr>
      <w:r>
        <w:t>(iv)</w:t>
      </w:r>
      <w:r>
        <w:tab/>
      </w:r>
      <w:proofErr w:type="gramStart"/>
      <w:r>
        <w:t>employees</w:t>
      </w:r>
      <w:proofErr w:type="gramEnd"/>
      <w:r>
        <w:t xml:space="preserve"> working shifts; and</w:t>
      </w:r>
    </w:p>
    <w:p w:rsidR="00CB55B1" w:rsidRDefault="00CB55B1" w:rsidP="00CB55B1">
      <w:pPr>
        <w:pStyle w:val="Quote2"/>
        <w:spacing w:after="60"/>
        <w:ind w:left="2160" w:hanging="720"/>
      </w:pPr>
      <w:r>
        <w:t>(e)</w:t>
      </w:r>
      <w:r>
        <w:tab/>
      </w:r>
      <w:proofErr w:type="gramStart"/>
      <w:r>
        <w:t>the</w:t>
      </w:r>
      <w:proofErr w:type="gramEnd"/>
      <w:r>
        <w:t xml:space="preserve"> principle of equal remuneration for work of equal or comparable value; and</w:t>
      </w:r>
    </w:p>
    <w:p w:rsidR="00CB55B1" w:rsidRDefault="00CB55B1" w:rsidP="00CB55B1">
      <w:pPr>
        <w:pStyle w:val="Quote2"/>
        <w:spacing w:after="60"/>
        <w:ind w:left="2160" w:hanging="720"/>
      </w:pPr>
      <w:r>
        <w:t>(f)</w:t>
      </w:r>
      <w:r>
        <w:tab/>
      </w:r>
      <w:proofErr w:type="gramStart"/>
      <w:r>
        <w:t>the</w:t>
      </w:r>
      <w:proofErr w:type="gramEnd"/>
      <w:r>
        <w:t xml:space="preserve"> likely impact of any exercise of modern award powers on business, including on productivity, employment costs and the regulatory burden; and</w:t>
      </w:r>
    </w:p>
    <w:p w:rsidR="00CB55B1" w:rsidRDefault="00CB55B1" w:rsidP="00CB55B1">
      <w:pPr>
        <w:pStyle w:val="Quote2"/>
        <w:spacing w:after="60"/>
        <w:ind w:left="2160" w:hanging="720"/>
      </w:pPr>
      <w:r>
        <w:lastRenderedPageBreak/>
        <w:t>(g)</w:t>
      </w:r>
      <w:r>
        <w:tab/>
        <w:t>the need to ensure a simple, easy to understand, stable and sustainable modern award system for Australia that avoids unnecessary overlap of modern awards; and</w:t>
      </w:r>
    </w:p>
    <w:p w:rsidR="00CB55B1" w:rsidRDefault="00CB55B1" w:rsidP="00CB55B1">
      <w:pPr>
        <w:pStyle w:val="Quote2"/>
        <w:spacing w:after="60"/>
        <w:ind w:left="2160" w:hanging="720"/>
      </w:pPr>
      <w:r>
        <w:t>(h)</w:t>
      </w:r>
      <w:r>
        <w:tab/>
      </w:r>
      <w:proofErr w:type="gramStart"/>
      <w:r>
        <w:t>the</w:t>
      </w:r>
      <w:proofErr w:type="gramEnd"/>
      <w:r>
        <w:t xml:space="preserve"> likely impact of any exercise of modern award powers on employment growth, inflation and the sustainability, performance and competitiveness of the national economy.</w:t>
      </w:r>
    </w:p>
    <w:p w:rsidR="00CB55B1" w:rsidRPr="00CB55B1" w:rsidRDefault="00CB55B1" w:rsidP="00CB55B1">
      <w:pPr>
        <w:pStyle w:val="Quote2"/>
      </w:pPr>
      <w:r>
        <w:t xml:space="preserve">This is the </w:t>
      </w:r>
      <w:r w:rsidRPr="00CB55B1">
        <w:rPr>
          <w:b/>
          <w:i/>
        </w:rPr>
        <w:t>modern awards objective</w:t>
      </w:r>
      <w:r>
        <w:t>.</w:t>
      </w:r>
    </w:p>
    <w:p w:rsidR="00D42485" w:rsidRDefault="00D42485" w:rsidP="00D42485">
      <w:pPr>
        <w:pStyle w:val="BodyText"/>
      </w:pPr>
    </w:p>
    <w:p w:rsidR="00D42485" w:rsidRDefault="00D42485" w:rsidP="00D42485">
      <w:pPr>
        <w:pStyle w:val="ParaNumbering"/>
      </w:pPr>
      <w:r>
        <w:t xml:space="preserve">For this aspect of </w:t>
      </w:r>
      <w:r w:rsidR="00BA5A15">
        <w:t>CSR’s</w:t>
      </w:r>
      <w:r>
        <w:t xml:space="preserve"> case to b</w:t>
      </w:r>
      <w:r w:rsidR="00AA6FC8">
        <w:t>e viable, it is essential that i</w:t>
      </w:r>
      <w:r w:rsidR="00EE3DBA">
        <w:t>tem 6(</w:t>
      </w:r>
      <w:r>
        <w:t>1</w:t>
      </w:r>
      <w:r w:rsidR="00EE3DBA">
        <w:t>)</w:t>
      </w:r>
      <w:r>
        <w:t xml:space="preserve"> of </w:t>
      </w:r>
      <w:proofErr w:type="spellStart"/>
      <w:r>
        <w:t>Sch</w:t>
      </w:r>
      <w:proofErr w:type="spellEnd"/>
      <w:r>
        <w:t xml:space="preserve"> 6 to the </w:t>
      </w:r>
      <w:proofErr w:type="spellStart"/>
      <w:r>
        <w:t>TP</w:t>
      </w:r>
      <w:proofErr w:type="spellEnd"/>
      <w:r>
        <w:t xml:space="preserve"> Act operated in a way which required the Commission to take account of </w:t>
      </w:r>
      <w:r w:rsidR="00AA6FC8">
        <w:t>the modern awards</w:t>
      </w:r>
      <w:r>
        <w:t xml:space="preserve"> object</w:t>
      </w:r>
      <w:r w:rsidR="00AA6FC8">
        <w:t>ive when deciding, pursuant to i</w:t>
      </w:r>
      <w:r>
        <w:t xml:space="preserve">tem 4, whether to make a modern enterprise award.  The </w:t>
      </w:r>
      <w:r>
        <w:rPr>
          <w:i/>
        </w:rPr>
        <w:t>amicus</w:t>
      </w:r>
      <w:r>
        <w:t xml:space="preserve"> submitted that the language of items 4</w:t>
      </w:r>
      <w:r w:rsidR="00AA6FC8">
        <w:t>(</w:t>
      </w:r>
      <w:r>
        <w:t>5</w:t>
      </w:r>
      <w:r w:rsidR="00AA6FC8">
        <w:t>)</w:t>
      </w:r>
      <w:r>
        <w:t xml:space="preserve"> and 6</w:t>
      </w:r>
      <w:r w:rsidR="00AA6FC8">
        <w:t>(</w:t>
      </w:r>
      <w:r>
        <w:t>1</w:t>
      </w:r>
      <w:r w:rsidR="00AA6FC8">
        <w:t>)</w:t>
      </w:r>
      <w:r>
        <w:t xml:space="preserve"> of the schedule provided s</w:t>
      </w:r>
      <w:r w:rsidR="00AA6FC8">
        <w:t>upport for the view that item 4(</w:t>
      </w:r>
      <w:r>
        <w:t>5</w:t>
      </w:r>
      <w:r w:rsidR="00AA6FC8">
        <w:t>)</w:t>
      </w:r>
      <w:r>
        <w:t xml:space="preserve"> alone prescribed the matters that the Commission was required to take into account when deciding </w:t>
      </w:r>
      <w:r w:rsidR="00EE3DBA">
        <w:t xml:space="preserve">whether </w:t>
      </w:r>
      <w:r>
        <w:t>to make a moder</w:t>
      </w:r>
      <w:r w:rsidR="00AA6FC8">
        <w:t>n enterprise award, while both i</w:t>
      </w:r>
      <w:r>
        <w:t>tems 4</w:t>
      </w:r>
      <w:r w:rsidR="00AA6FC8">
        <w:t>(</w:t>
      </w:r>
      <w:r>
        <w:t>5</w:t>
      </w:r>
      <w:r w:rsidR="00AA6FC8">
        <w:t>)</w:t>
      </w:r>
      <w:r>
        <w:t xml:space="preserve"> and 6</w:t>
      </w:r>
      <w:r w:rsidR="00AA6FC8">
        <w:t>(</w:t>
      </w:r>
      <w:r>
        <w:t>1</w:t>
      </w:r>
      <w:r w:rsidR="00AA6FC8">
        <w:t>)</w:t>
      </w:r>
      <w:r>
        <w:t xml:space="preserve"> were relevant at the stage of determining the content of such an award, it </w:t>
      </w:r>
      <w:r w:rsidR="00AA6FC8">
        <w:t>having</w:t>
      </w:r>
      <w:r>
        <w:t xml:space="preserve"> been decided to make one.  </w:t>
      </w:r>
      <w:r w:rsidR="00AA6FC8">
        <w:t>H</w:t>
      </w:r>
      <w:r>
        <w:t xml:space="preserve">e accepted, however, that such a view could not stand alongside the judgment of the Full Court in </w:t>
      </w:r>
      <w:r>
        <w:rPr>
          <w:i/>
        </w:rPr>
        <w:t>Yum!</w:t>
      </w:r>
      <w:r>
        <w:t>, in which it was said (</w:t>
      </w:r>
      <w:r w:rsidR="00A45781">
        <w:t xml:space="preserve">205 </w:t>
      </w:r>
      <w:proofErr w:type="spellStart"/>
      <w:r w:rsidR="00A45781">
        <w:t>FCR</w:t>
      </w:r>
      <w:proofErr w:type="spellEnd"/>
      <w:r w:rsidR="00A45781">
        <w:t xml:space="preserve"> at 311 </w:t>
      </w:r>
      <w:r>
        <w:t>[21]):</w:t>
      </w:r>
    </w:p>
    <w:p w:rsidR="00D42485" w:rsidRDefault="002F7928" w:rsidP="00D42485">
      <w:pPr>
        <w:pStyle w:val="Quote1"/>
      </w:pPr>
      <w:r w:rsidRPr="002F7928">
        <w:t>Items 4 and 6 operate together such that the “objective” set forth in Item 6(2) forms part of the single decision-making process engaged in when considering “whether or not to make a modern enterprise award”. There are not two clearly separated dec</w:t>
      </w:r>
      <w:r w:rsidR="00A45781">
        <w:t>ision-making processes whereby I</w:t>
      </w:r>
      <w:r w:rsidRPr="002F7928">
        <w:t>tem 4(5) alone dictates the considerations to be taken into account when deciding whether or not to make a modern enterprise award and thereafter separate consideration is given to the objectives referred to in Item 6 when determining the content of the modern enterprise award. Rejected are the submissions advanced by Senior Counsel on behalf of the Respondents that consideration should be given at the outset to whether or not an award should be made, and only thereafter to the content of any award.</w:t>
      </w:r>
    </w:p>
    <w:p w:rsidR="00165DBD" w:rsidRDefault="00165DBD" w:rsidP="00D42485">
      <w:pPr>
        <w:pStyle w:val="Quote1"/>
      </w:pPr>
    </w:p>
    <w:p w:rsidR="00D42485" w:rsidRDefault="00D42485" w:rsidP="00D42485">
      <w:pPr>
        <w:pStyle w:val="NoNum"/>
      </w:pPr>
      <w:r>
        <w:t xml:space="preserve">The </w:t>
      </w:r>
      <w:r>
        <w:rPr>
          <w:i/>
        </w:rPr>
        <w:t>amicus</w:t>
      </w:r>
      <w:r>
        <w:t xml:space="preserve"> accepted that a submission that this recent judgment of the Full Court was plainly wrong was not open, and no such submission was made.  </w:t>
      </w:r>
    </w:p>
    <w:p w:rsidR="00777398" w:rsidRDefault="00777398" w:rsidP="00777398">
      <w:pPr>
        <w:pStyle w:val="ParaNumbering"/>
      </w:pPr>
      <w:r>
        <w:t>In the circumstances, the present application must be approached by reference</w:t>
      </w:r>
      <w:r w:rsidR="00AA6FC8">
        <w:t xml:space="preserve"> to the proposition that item 6(</w:t>
      </w:r>
      <w:r>
        <w:t>1</w:t>
      </w:r>
      <w:r w:rsidR="00AA6FC8">
        <w:t>)</w:t>
      </w:r>
      <w:r>
        <w:t xml:space="preserve"> of the schedule applies at the point where the Co</w:t>
      </w:r>
      <w:r w:rsidR="00AA6FC8">
        <w:t>mmission is considering, under i</w:t>
      </w:r>
      <w:r>
        <w:t xml:space="preserve">tem 4, whether or not to make a modern enterprise award.  </w:t>
      </w:r>
    </w:p>
    <w:p w:rsidR="00777398" w:rsidRDefault="002F7928" w:rsidP="00777398">
      <w:pPr>
        <w:pStyle w:val="ParaNumbering"/>
      </w:pPr>
      <w:r>
        <w:t>I</w:t>
      </w:r>
      <w:r w:rsidR="00777398">
        <w:t>n its decision of 15 December 2014, t</w:t>
      </w:r>
      <w:r>
        <w:t>h</w:t>
      </w:r>
      <w:r w:rsidR="00777398">
        <w:t>e Commissi</w:t>
      </w:r>
      <w:r w:rsidR="00AA6FC8">
        <w:t>on referred to the modern award</w:t>
      </w:r>
      <w:r w:rsidR="00777398">
        <w:t xml:space="preserve">s objective, and set out the terms of s 134(1) of the FW Act.  In the deliberative part of its reasons, </w:t>
      </w:r>
      <w:r w:rsidR="007D7F98">
        <w:t xml:space="preserve">however, </w:t>
      </w:r>
      <w:r w:rsidR="00777398">
        <w:t>the only reference to this objective was to be found in the following passage:</w:t>
      </w:r>
    </w:p>
    <w:p w:rsidR="00777398" w:rsidRDefault="002F7928" w:rsidP="002F7928">
      <w:pPr>
        <w:pStyle w:val="Quote1"/>
        <w:ind w:left="1440" w:hanging="703"/>
      </w:pPr>
      <w:r>
        <w:lastRenderedPageBreak/>
        <w:t>67.</w:t>
      </w:r>
      <w:r>
        <w:tab/>
      </w:r>
      <w:r w:rsidRPr="002F7928">
        <w:t xml:space="preserve">The </w:t>
      </w:r>
      <w:proofErr w:type="spellStart"/>
      <w:r w:rsidRPr="002F7928">
        <w:t>FWC</w:t>
      </w:r>
      <w:proofErr w:type="spellEnd"/>
      <w:r w:rsidRPr="002F7928">
        <w:t xml:space="preserve"> must apply the modern awards objective and the minimum wages objective to the making of a modern enterprise award, while recognising modern enterprise awards may provide terms and conditions tailored to reflect employment arrangements that have been developed in relation to the relevant enterprises.</w:t>
      </w:r>
      <w:r>
        <w:t xml:space="preserve"> </w:t>
      </w:r>
      <w:r w:rsidRPr="002F7928">
        <w:t xml:space="preserve"> The modern awards objective requires the </w:t>
      </w:r>
      <w:proofErr w:type="spellStart"/>
      <w:r w:rsidRPr="002F7928">
        <w:t>FWC</w:t>
      </w:r>
      <w:proofErr w:type="spellEnd"/>
      <w:r w:rsidRPr="002F7928">
        <w:t xml:space="preserve"> to take into account, amongst other things, the need to encourage collective bargaining.</w:t>
      </w:r>
    </w:p>
    <w:p w:rsidR="00165DBD" w:rsidRDefault="00165DBD" w:rsidP="002F7928">
      <w:pPr>
        <w:pStyle w:val="Quote1"/>
        <w:ind w:left="1440" w:hanging="703"/>
      </w:pPr>
    </w:p>
    <w:p w:rsidR="00777398" w:rsidRDefault="00777398" w:rsidP="00777398">
      <w:pPr>
        <w:pStyle w:val="NoNum"/>
      </w:pPr>
      <w:r>
        <w:t>It is clear that “the need to encourage collective bargaining” was considered by the Commission to be a circumstance of considerable discretionary importance.  Ultimately, that circumstance lay at the centre of the Commission’s decision to reject the Staff Association’s application.</w:t>
      </w:r>
    </w:p>
    <w:p w:rsidR="00777398" w:rsidRDefault="00777398" w:rsidP="00777398">
      <w:pPr>
        <w:pStyle w:val="ParaNumbering"/>
      </w:pPr>
      <w:r>
        <w:t>However, the Commission’s decision is devoid of any reference to any of the other it</w:t>
      </w:r>
      <w:r w:rsidR="002F7928">
        <w:t>e</w:t>
      </w:r>
      <w:r>
        <w:t>ms listed in s 134(1) of the FW Act.  Further, there is force in the su</w:t>
      </w:r>
      <w:r w:rsidR="00165DBD">
        <w:t>bmission made on behalf of CSR</w:t>
      </w:r>
      <w:r>
        <w:t xml:space="preserve"> that the modern awards objective does not require the Commission to take into account the need to encourage collective bargaining as such:  rather, it requires the Commission to ensure that modern awards – including, in the present context established by </w:t>
      </w:r>
      <w:r w:rsidR="007D7F98">
        <w:t>i</w:t>
      </w:r>
      <w:r>
        <w:t xml:space="preserve">tem 6 of the schedule, modern enterprise awards – together with the national employment standards, “provide a fair and relevant minimum safety net of terms and conditions” taking into account, amongst other things, the need to encourage collective bargaining.  The significance of s 134(1), understood in this sense, was not addressed in the Commission’s decision of 15 December 2014.  </w:t>
      </w:r>
    </w:p>
    <w:p w:rsidR="007D7F98" w:rsidRDefault="007D7F98" w:rsidP="00777398">
      <w:pPr>
        <w:pStyle w:val="ParaNumbering"/>
      </w:pPr>
      <w:r>
        <w:t xml:space="preserve">Although there was some uncertainty about the number of </w:t>
      </w:r>
      <w:r w:rsidR="00165DBD">
        <w:t xml:space="preserve">CSR </w:t>
      </w:r>
      <w:r>
        <w:t xml:space="preserve">employees who would be without modern award coverage in the absence of a modern enterprise award, the </w:t>
      </w:r>
      <w:r w:rsidR="00CF32FE">
        <w:t>Commission</w:t>
      </w:r>
      <w:r>
        <w:t xml:space="preserve"> was “prepared to assume a significant number of the salaried employees would not be covered” by any other, previously made, modern award.  That circumstance, of itself, should have given a sharper edge to the obligation on the Commission under s 134 of the FW Act to ensure that modern awards, together with the standards referred to, provided a fair and relevant safety net of terms and conditions.  </w:t>
      </w:r>
    </w:p>
    <w:p w:rsidR="007D7F98" w:rsidRDefault="007D7F98" w:rsidP="00777398">
      <w:pPr>
        <w:pStyle w:val="ParaNumbering"/>
      </w:pPr>
      <w:r>
        <w:t xml:space="preserve">Looking at the lettered paragraphs in s 134(1), it is not obvious that consideration of any of them would necessarily have led to a different result in the case before the </w:t>
      </w:r>
      <w:r w:rsidR="00365FC2">
        <w:t>Commission</w:t>
      </w:r>
      <w:r>
        <w:t>, but that would be a matter f</w:t>
      </w:r>
      <w:r w:rsidR="00165DBD">
        <w:t>or the Commission itself.  The C</w:t>
      </w:r>
      <w:r>
        <w:t>ourt is in no position to assume that</w:t>
      </w:r>
      <w:r w:rsidR="00165DBD">
        <w:t xml:space="preserve"> none of them would have.  The C</w:t>
      </w:r>
      <w:r>
        <w:t xml:space="preserve">ourt is confined to the conclusion, which clearly </w:t>
      </w:r>
      <w:r w:rsidR="00165DBD">
        <w:t>appears f</w:t>
      </w:r>
      <w:r>
        <w:t>r</w:t>
      </w:r>
      <w:r w:rsidR="00165DBD">
        <w:t>o</w:t>
      </w:r>
      <w:r>
        <w:t xml:space="preserve">m the </w:t>
      </w:r>
      <w:r w:rsidR="00CF32FE">
        <w:t>Commission</w:t>
      </w:r>
      <w:r w:rsidR="00015250">
        <w:t>’s</w:t>
      </w:r>
      <w:r>
        <w:t xml:space="preserve"> reasons, that, with the possible exception of para (b), these paragraphs were not taken into account, as required by the statute.  </w:t>
      </w:r>
    </w:p>
    <w:p w:rsidR="007D7F98" w:rsidRDefault="007D7F98" w:rsidP="00777398">
      <w:pPr>
        <w:pStyle w:val="ParaNumbering"/>
      </w:pPr>
      <w:r>
        <w:lastRenderedPageBreak/>
        <w:t xml:space="preserve">An alternative argument advanced by the </w:t>
      </w:r>
      <w:r w:rsidRPr="00EE3DBA">
        <w:rPr>
          <w:i/>
        </w:rPr>
        <w:t>amicus</w:t>
      </w:r>
      <w:r>
        <w:t xml:space="preserve"> was that s 134, by its own terms</w:t>
      </w:r>
      <w:r w:rsidR="00EE3DBA">
        <w:t>,</w:t>
      </w:r>
      <w:r>
        <w:t xml:space="preserve"> might be understood as concerned only with the content of modern awards, and as being agnostic on the question whether there should be a safety net of the kind referred to.  If so, it was argued, the </w:t>
      </w:r>
      <w:r w:rsidR="00A45781">
        <w:t>Commission’s</w:t>
      </w:r>
      <w:r>
        <w:t xml:space="preserve"> approach in the present case might be regarded as consistent with </w:t>
      </w:r>
      <w:r>
        <w:rPr>
          <w:i/>
        </w:rPr>
        <w:t>Yum!</w:t>
      </w:r>
      <w:r>
        <w:t xml:space="preserve"> in the sense that, while </w:t>
      </w:r>
      <w:proofErr w:type="spellStart"/>
      <w:r>
        <w:t>Sch</w:t>
      </w:r>
      <w:proofErr w:type="spellEnd"/>
      <w:r>
        <w:t xml:space="preserve"> 6 to the </w:t>
      </w:r>
      <w:proofErr w:type="spellStart"/>
      <w:r>
        <w:t>TP</w:t>
      </w:r>
      <w:proofErr w:type="spellEnd"/>
      <w:r>
        <w:t xml:space="preserve"> Act did provide for a single, rather than a bifurcated, process, s 134 added nothing, in point of content, to the considerations which it was required to take into account, at least in a case in which it was not persuaded that a modern enterprise award should be made.  </w:t>
      </w:r>
    </w:p>
    <w:p w:rsidR="00311204" w:rsidRDefault="00A45781" w:rsidP="00777398">
      <w:pPr>
        <w:pStyle w:val="ParaNumbering"/>
      </w:pPr>
      <w:r>
        <w:t>We</w:t>
      </w:r>
      <w:r w:rsidR="00311204">
        <w:t xml:space="preserve"> would not accept that such an understanding of the operation of s 134 provides a satisfactory basis for distinguishing </w:t>
      </w:r>
      <w:r w:rsidR="00311204">
        <w:rPr>
          <w:i/>
        </w:rPr>
        <w:t>Yum</w:t>
      </w:r>
      <w:proofErr w:type="gramStart"/>
      <w:r w:rsidR="00311204">
        <w:rPr>
          <w:i/>
        </w:rPr>
        <w:t>!</w:t>
      </w:r>
      <w:r>
        <w:t>.</w:t>
      </w:r>
      <w:proofErr w:type="gramEnd"/>
      <w:r>
        <w:t xml:space="preserve"> </w:t>
      </w:r>
      <w:r w:rsidR="00311204">
        <w:t xml:space="preserve"> In tha</w:t>
      </w:r>
      <w:r w:rsidR="00165DBD">
        <w:t>t case, the Full Court referred,</w:t>
      </w:r>
      <w:r w:rsidR="00311204">
        <w:t xml:space="preserve"> </w:t>
      </w:r>
      <w:r w:rsidR="00165DBD">
        <w:t>(</w:t>
      </w:r>
      <w:r w:rsidR="00CF32FE">
        <w:t>205</w:t>
      </w:r>
      <w:r w:rsidR="00311204">
        <w:t xml:space="preserve"> </w:t>
      </w:r>
      <w:proofErr w:type="spellStart"/>
      <w:r w:rsidR="00CF32FE">
        <w:t>FCR</w:t>
      </w:r>
      <w:proofErr w:type="spellEnd"/>
      <w:r w:rsidR="00311204">
        <w:t xml:space="preserve"> at </w:t>
      </w:r>
      <w:r w:rsidR="00CF32FE">
        <w:t>311</w:t>
      </w:r>
      <w:r w:rsidR="00B66D1A">
        <w:t>-312</w:t>
      </w:r>
      <w:r w:rsidR="00311204">
        <w:t xml:space="preserve"> [22]) to the conceptual difficulties of determining whether a modern enterprise award should be made without at the same time giving consideration t</w:t>
      </w:r>
      <w:r w:rsidR="00910377">
        <w:t>o</w:t>
      </w:r>
      <w:r w:rsidR="00311204">
        <w:t xml:space="preserve"> the possible content of such an award, if one were to be made, and of embarking </w:t>
      </w:r>
      <w:r w:rsidR="00CF32FE">
        <w:t>up</w:t>
      </w:r>
      <w:r w:rsidR="00311204">
        <w:t>on the process of determining whether or not to make a modern enterprise award free of any consideration being given to the modern enterprise awards objecti</w:t>
      </w:r>
      <w:r w:rsidR="00EE3DBA">
        <w:t>ve</w:t>
      </w:r>
      <w:r w:rsidR="00311204">
        <w:t xml:space="preserve">.  The reading of item 6(1) in </w:t>
      </w:r>
      <w:proofErr w:type="spellStart"/>
      <w:r w:rsidR="00311204">
        <w:t>Sch</w:t>
      </w:r>
      <w:proofErr w:type="spellEnd"/>
      <w:r w:rsidR="00311204">
        <w:t xml:space="preserve"> 6 which their Honours rejected, as it seems to </w:t>
      </w:r>
      <w:r w:rsidR="00365FC2">
        <w:t>us</w:t>
      </w:r>
      <w:r w:rsidR="00311204">
        <w:t>, was one which permitted the Commission to decide whether or not to make a modern enterprise award without obeying th</w:t>
      </w:r>
      <w:r w:rsidR="00EE3DBA">
        <w:t>e injunction conveyed by s 134(1</w:t>
      </w:r>
      <w:r w:rsidR="00311204">
        <w:t xml:space="preserve">) of the FW Act.  Although dressed differently, in </w:t>
      </w:r>
      <w:r w:rsidR="00165DBD">
        <w:t>our</w:t>
      </w:r>
      <w:r w:rsidR="00311204">
        <w:t xml:space="preserve"> view this second argument advanced by the </w:t>
      </w:r>
      <w:r w:rsidR="00311204" w:rsidRPr="00EE3DBA">
        <w:rPr>
          <w:i/>
        </w:rPr>
        <w:t>amicus</w:t>
      </w:r>
      <w:r w:rsidR="00311204">
        <w:t xml:space="preserve"> like the first, could not be accepted consistently with </w:t>
      </w:r>
      <w:r w:rsidR="00311204">
        <w:rPr>
          <w:i/>
        </w:rPr>
        <w:t>Yum</w:t>
      </w:r>
      <w:proofErr w:type="gramStart"/>
      <w:r w:rsidR="00311204">
        <w:rPr>
          <w:i/>
        </w:rPr>
        <w:t>!</w:t>
      </w:r>
      <w:r w:rsidR="00CF32FE">
        <w:t>.</w:t>
      </w:r>
      <w:proofErr w:type="gramEnd"/>
    </w:p>
    <w:p w:rsidR="00777398" w:rsidRDefault="00165DBD" w:rsidP="00777398">
      <w:pPr>
        <w:pStyle w:val="ParaNumbering"/>
      </w:pPr>
      <w:r>
        <w:t>For the above reasons, we</w:t>
      </w:r>
      <w:r w:rsidR="00777398">
        <w:t xml:space="preserve"> would accept </w:t>
      </w:r>
      <w:r>
        <w:t>CSR</w:t>
      </w:r>
      <w:r w:rsidR="00777398">
        <w:t>’s contention that</w:t>
      </w:r>
      <w:r w:rsidR="00910377">
        <w:t>, save with respect to the need to encourage collective bargaining,</w:t>
      </w:r>
      <w:r w:rsidR="00777398">
        <w:t xml:space="preserve"> the Commission’s decision was made without reference to the oblig</w:t>
      </w:r>
      <w:r w:rsidR="00910377">
        <w:t>a</w:t>
      </w:r>
      <w:r w:rsidR="00EE3DBA">
        <w:t>tion imposed upon it by s 134(1</w:t>
      </w:r>
      <w:r w:rsidR="00777398">
        <w:t xml:space="preserve">) of the FW Act.  </w:t>
      </w:r>
      <w:r w:rsidR="002F7928">
        <w:t>T</w:t>
      </w:r>
      <w:r w:rsidR="00777398">
        <w:t>his is, in</w:t>
      </w:r>
      <w:r>
        <w:t xml:space="preserve"> our</w:t>
      </w:r>
      <w:r w:rsidR="00777398">
        <w:t xml:space="preserve"> view, a proper case for mandamus and, in support of that, for certiorari to quash the Commission’s decision.  </w:t>
      </w:r>
    </w:p>
    <w:p w:rsidR="00910377" w:rsidRDefault="00910377" w:rsidP="00777398">
      <w:pPr>
        <w:pStyle w:val="ParaNumbering"/>
      </w:pPr>
      <w:r>
        <w:t xml:space="preserve">One of the grounds relied upon by </w:t>
      </w:r>
      <w:r w:rsidR="00CF32FE">
        <w:t>CSR and the Staff Association</w:t>
      </w:r>
      <w:r>
        <w:t xml:space="preserve"> was that the decision of the </w:t>
      </w:r>
      <w:r w:rsidR="00CF32FE">
        <w:t>Commission</w:t>
      </w:r>
      <w:r>
        <w:t xml:space="preserve"> was illogical, irrational or unreasonable to an extent that would vitiate the decision in a jurisdictional sense.  </w:t>
      </w:r>
      <w:r w:rsidR="00165DBD">
        <w:t>Argument in support of this ground was developed by counsel for</w:t>
      </w:r>
      <w:r>
        <w:t xml:space="preserve"> the Staff Association.  The point was that the Commission’s conclusion that, if a modern enterprise award were not made, there would quickly be collective bargaining for the making of one or more enterprise agreements was illogical in the sense that collective bargaining, however quickly it might commence, need not lead, in a time frame that could on any view be described as “quickly”, to the making of</w:t>
      </w:r>
      <w:r w:rsidR="00165DBD">
        <w:t xml:space="preserve"> an enterprise agreement.  The C</w:t>
      </w:r>
      <w:r>
        <w:t xml:space="preserve">ourt was, in effect, being asked to take judicial notice of the circumstance that, depending on the </w:t>
      </w:r>
      <w:r>
        <w:lastRenderedPageBreak/>
        <w:t xml:space="preserve">facts, collective bargaining may </w:t>
      </w:r>
      <w:r w:rsidR="00EE3DBA">
        <w:t>proceed</w:t>
      </w:r>
      <w:r>
        <w:t xml:space="preserve"> for months, even years, without agreement being reached.  In the meantime, a large number of those who were covered by the 2000 </w:t>
      </w:r>
      <w:r w:rsidR="00CF32FE">
        <w:t>A</w:t>
      </w:r>
      <w:r>
        <w:t xml:space="preserve">ward would be covered by no industrial instrument.  </w:t>
      </w:r>
    </w:p>
    <w:p w:rsidR="00910377" w:rsidRDefault="00910377" w:rsidP="00777398">
      <w:pPr>
        <w:pStyle w:val="ParaNumbering"/>
      </w:pPr>
      <w:r>
        <w:t xml:space="preserve">To the extent that this submission amounts to a complaint that the </w:t>
      </w:r>
      <w:r w:rsidR="00CF32FE">
        <w:t>Commission</w:t>
      </w:r>
      <w:r>
        <w:t xml:space="preserve"> looked at “the need to encourage collective bargaining” abstracted from the governing introductory passage</w:t>
      </w:r>
      <w:r w:rsidR="00A53551">
        <w:t xml:space="preserve"> in s 134(1) of the FW Act, </w:t>
      </w:r>
      <w:r w:rsidR="00165DBD">
        <w:t>it was</w:t>
      </w:r>
      <w:r w:rsidR="00A53551">
        <w:t xml:space="preserve"> dealt with it in para</w:t>
      </w:r>
      <w:r w:rsidR="00EE3DBA">
        <w:t>s</w:t>
      </w:r>
      <w:r w:rsidR="00A53551">
        <w:t xml:space="preserve"> </w:t>
      </w:r>
      <w:r w:rsidR="00EE3DBA">
        <w:t>15-20</w:t>
      </w:r>
      <w:r w:rsidR="00A53551">
        <w:t xml:space="preserve"> above.  Otherwise, the submission is answered by the very terms of s 134(1</w:t>
      </w:r>
      <w:proofErr w:type="gramStart"/>
      <w:r w:rsidR="00A53551">
        <w:t>)(</w:t>
      </w:r>
      <w:proofErr w:type="gramEnd"/>
      <w:r w:rsidR="00A53551">
        <w:t xml:space="preserve">b).  The </w:t>
      </w:r>
      <w:r w:rsidR="00CF32FE">
        <w:t>Commission</w:t>
      </w:r>
      <w:r w:rsidR="00A53551">
        <w:t xml:space="preserve"> was entitled to regard the parties’ quick resort to collective bargaining as a relevant factor in itself.  It was not relevant only by reason of being logically connected to the emergence of an enterprise agreement.  Indeed, the state of affairs which the </w:t>
      </w:r>
      <w:r w:rsidR="00CF32FE">
        <w:t>Commission</w:t>
      </w:r>
      <w:r w:rsidR="00A53551">
        <w:t xml:space="preserve"> was presumptively obliged to regard as consistent with the policy of the FW Act in relevant respects was one in which there was a modern award safety net in place, but in which the </w:t>
      </w:r>
      <w:r w:rsidR="00A53551">
        <w:rPr>
          <w:i/>
        </w:rPr>
        <w:t>absence</w:t>
      </w:r>
      <w:r w:rsidR="00A53551">
        <w:t xml:space="preserve"> of an enterprise agreement would encourage collective bargaining to the end of making one.  This much was recognised by the </w:t>
      </w:r>
      <w:r w:rsidR="00CF32FE">
        <w:t>Commission</w:t>
      </w:r>
      <w:r w:rsidR="00EE3DBA">
        <w:t>,</w:t>
      </w:r>
      <w:r w:rsidR="00A53551">
        <w:t xml:space="preserve"> and its reasoning in that regard displayed, in </w:t>
      </w:r>
      <w:r w:rsidR="00165DBD">
        <w:t>our</w:t>
      </w:r>
      <w:r w:rsidR="00A53551">
        <w:t xml:space="preserve"> respectful view, no irrationality, illogicality or unreasonableness.</w:t>
      </w:r>
    </w:p>
    <w:p w:rsidR="00A53551" w:rsidRDefault="00A53551" w:rsidP="00777398">
      <w:pPr>
        <w:pStyle w:val="ParaNumbering"/>
      </w:pPr>
      <w:r>
        <w:t xml:space="preserve">For the reasons given earlier, however, </w:t>
      </w:r>
      <w:r w:rsidR="00165DBD">
        <w:t xml:space="preserve">we </w:t>
      </w:r>
      <w:r>
        <w:t>would grant the remedies referred to.</w:t>
      </w:r>
      <w:r w:rsidR="00552CFD">
        <w:t xml:space="preserve">  </w:t>
      </w:r>
    </w:p>
    <w:p w:rsidR="00A00866" w:rsidRDefault="00A00866" w:rsidP="00815065">
      <w:pPr>
        <w:pStyle w:val="BodyText"/>
      </w:pPr>
      <w:bookmarkStart w:id="24" w:name="Certification"/>
    </w:p>
    <w:tbl>
      <w:tblPr>
        <w:tblW w:w="0" w:type="auto"/>
        <w:tblLook w:val="04A0" w:firstRow="1" w:lastRow="0" w:firstColumn="1" w:lastColumn="0" w:noHBand="0" w:noVBand="1"/>
      </w:tblPr>
      <w:tblGrid>
        <w:gridCol w:w="3794"/>
      </w:tblGrid>
      <w:tr w:rsidR="00A00866" w:rsidRPr="00A00866">
        <w:tc>
          <w:tcPr>
            <w:tcW w:w="3794" w:type="dxa"/>
            <w:shd w:val="clear" w:color="auto" w:fill="auto"/>
          </w:tcPr>
          <w:p w:rsidR="00A00866" w:rsidRPr="00A00866" w:rsidRDefault="00A00866" w:rsidP="00A00866">
            <w:pPr>
              <w:pStyle w:val="Normal1linespace"/>
            </w:pPr>
            <w:r w:rsidRPr="00A00866">
              <w:t xml:space="preserve">I certify that the preceding </w:t>
            </w:r>
            <w:bookmarkStart w:id="25" w:name="NumberWord"/>
            <w:r>
              <w:t>twenty-four</w:t>
            </w:r>
            <w:bookmarkEnd w:id="25"/>
            <w:r w:rsidRPr="00A00866">
              <w:t xml:space="preserve"> (</w:t>
            </w:r>
            <w:bookmarkStart w:id="26" w:name="NumberNumeral"/>
            <w:r>
              <w:t>24</w:t>
            </w:r>
            <w:bookmarkEnd w:id="26"/>
            <w:r w:rsidRPr="00A00866">
              <w:t xml:space="preserve">) numbered </w:t>
            </w:r>
            <w:bookmarkStart w:id="27" w:name="CertPara"/>
            <w:r>
              <w:t>paragraphs are</w:t>
            </w:r>
            <w:bookmarkEnd w:id="27"/>
            <w:r w:rsidRPr="00A00866">
              <w:t xml:space="preserve"> a true copy of the Reasons for Judgment herein of the Honourable </w:t>
            </w:r>
            <w:bookmarkStart w:id="28" w:name="Justice"/>
            <w:r>
              <w:t>Justices Jessup, Bromberg and Katzmann</w:t>
            </w:r>
            <w:bookmarkEnd w:id="28"/>
            <w:r w:rsidRPr="00A00866">
              <w:t>.</w:t>
            </w:r>
          </w:p>
        </w:tc>
      </w:tr>
    </w:tbl>
    <w:p w:rsidR="00A00866" w:rsidRDefault="00A00866" w:rsidP="00815065">
      <w:pPr>
        <w:pStyle w:val="BodyText"/>
      </w:pPr>
    </w:p>
    <w:p w:rsidR="00A00866" w:rsidRDefault="00A00866" w:rsidP="00815065">
      <w:pPr>
        <w:pStyle w:val="BodyText"/>
      </w:pPr>
      <w:bookmarkStart w:id="29" w:name="_GoBack"/>
      <w:bookmarkEnd w:id="29"/>
      <w:r>
        <w:t>Associate:</w:t>
      </w:r>
      <w:r w:rsidR="00041102">
        <w:t xml:space="preserve"> </w:t>
      </w:r>
    </w:p>
    <w:p w:rsidR="00A00866" w:rsidRDefault="00A00866" w:rsidP="00815065">
      <w:pPr>
        <w:pStyle w:val="BodyText"/>
      </w:pPr>
    </w:p>
    <w:p w:rsidR="00A00866" w:rsidRDefault="00A00866" w:rsidP="00815065">
      <w:pPr>
        <w:pStyle w:val="BodyText"/>
        <w:tabs>
          <w:tab w:val="left" w:pos="1134"/>
        </w:tabs>
      </w:pPr>
      <w:r>
        <w:t>Dated:</w:t>
      </w:r>
      <w:r>
        <w:tab/>
      </w:r>
      <w:bookmarkStart w:id="30" w:name="CertifyDated"/>
      <w:r>
        <w:t>1 July 2015</w:t>
      </w:r>
      <w:bookmarkEnd w:id="30"/>
    </w:p>
    <w:p w:rsidR="00A00866" w:rsidRDefault="00A00866" w:rsidP="00815065">
      <w:pPr>
        <w:pStyle w:val="BodyText"/>
      </w:pPr>
    </w:p>
    <w:bookmarkEnd w:id="24"/>
    <w:p w:rsidR="00552CFD" w:rsidRPr="00777398" w:rsidRDefault="00552CFD" w:rsidP="00552CFD">
      <w:pPr>
        <w:pStyle w:val="BodyText"/>
      </w:pPr>
    </w:p>
    <w:sectPr w:rsidR="00552CFD" w:rsidRPr="00777398">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E81" w:rsidRDefault="003E7E81">
      <w:pPr>
        <w:spacing w:line="20" w:lineRule="exact"/>
      </w:pPr>
    </w:p>
    <w:p w:rsidR="003E7E81" w:rsidRDefault="003E7E81"/>
    <w:p w:rsidR="003E7E81" w:rsidRDefault="003E7E81"/>
  </w:endnote>
  <w:endnote w:type="continuationSeparator" w:id="0">
    <w:p w:rsidR="003E7E81" w:rsidRDefault="003E7E81">
      <w:r>
        <w:t xml:space="preserve"> </w:t>
      </w:r>
    </w:p>
    <w:p w:rsidR="003E7E81" w:rsidRDefault="003E7E81"/>
    <w:p w:rsidR="003E7E81" w:rsidRDefault="003E7E81"/>
  </w:endnote>
  <w:endnote w:type="continuationNotice" w:id="1">
    <w:p w:rsidR="003E7E81" w:rsidRDefault="003E7E81">
      <w:r>
        <w:t xml:space="preserve"> </w:t>
      </w:r>
    </w:p>
    <w:p w:rsidR="003E7E81" w:rsidRDefault="003E7E81"/>
    <w:p w:rsidR="003E7E81" w:rsidRDefault="003E7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041102" w:rsidRDefault="00395B24" w:rsidP="000411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041102" w:rsidRDefault="002F1E49" w:rsidP="00041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E81" w:rsidRDefault="003E7E81"/>
    <w:p w:rsidR="003E7E81" w:rsidRDefault="003E7E81"/>
    <w:p w:rsidR="003E7E81" w:rsidRDefault="003E7E81"/>
  </w:footnote>
  <w:footnote w:type="continuationSeparator" w:id="0">
    <w:p w:rsidR="003E7E81" w:rsidRDefault="003E7E81">
      <w:r>
        <w:continuationSeparator/>
      </w:r>
    </w:p>
    <w:p w:rsidR="003E7E81" w:rsidRDefault="003E7E81"/>
    <w:p w:rsidR="003E7E81" w:rsidRDefault="003E7E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923593">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624520">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923593">
      <w:rPr>
        <w:noProof/>
      </w:rPr>
      <w:t>9</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AU" w:vendorID="8" w:dllVersion="513"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CSR Limited (ACN 000 001 276)"/>
    <w:docVar w:name="CounselParties" w:val="Applicant"/>
    <w:docVar w:name="CounselType" w:val="Solicitor for the "/>
    <w:docVar w:name="Division" w:val="FAIR WORK DIVISION"/>
    <w:docVar w:name="DocCreated" w:val="True"/>
    <w:docVar w:name="FileNumbers" w:val="NSD 1374 of 2014"/>
    <w:docVar w:name="FullCourt" w:val="False"/>
    <w:docVar w:name="HearingDate" w:val="8 May 2015"/>
    <w:docVar w:name="Judgdate" w:val="1 July 2015"/>
    <w:docVar w:name="Judge" w:val="Jessup, Bromberg and Katzmann"/>
    <w:docVar w:name="JudgePlace" w:val="MELBOURNE"/>
    <w:docVar w:name="lstEntryList" w:val="-1"/>
    <w:docVar w:name="myEntryList" w:val="Counsel for the Applicant=S Wood QC with B Jellis|Solicitor for the Applicant=FCB Workplace Law|Counsel for the Respondents=S Crawshaw SC |Solicitor for the Respondents=W G McNally Jones Stall|Solicitor for the Applicant=I Neil SC appeared as amicus curiae"/>
    <w:docVar w:name="NSD" w:val="NSD NSD 1374 of 2014"/>
    <w:docVar w:name="NumApps" w:val="2"/>
    <w:docVar w:name="NumApps_" w:val="1"/>
    <w:docVar w:name="NumJudges" w:val="Single Judge"/>
    <w:docVar w:name="Parties" w:val="Respondent"/>
    <w:docVar w:name="Place_SentenceCase" w:val="Melbourne"/>
    <w:docVar w:name="Respondent" w:val="CSR &amp; Holcim Staff Association|Fair Work Commission"/>
    <w:docVar w:name="ResState" w:val="NEW SOUTH WALES"/>
    <w:docVar w:name="Single" w:val="True"/>
  </w:docVars>
  <w:rsids>
    <w:rsidRoot w:val="003E7E81"/>
    <w:rsid w:val="00015250"/>
    <w:rsid w:val="00041102"/>
    <w:rsid w:val="000B3ED3"/>
    <w:rsid w:val="000D2137"/>
    <w:rsid w:val="000E6A13"/>
    <w:rsid w:val="000F39FA"/>
    <w:rsid w:val="001128BD"/>
    <w:rsid w:val="00165DBD"/>
    <w:rsid w:val="001727A4"/>
    <w:rsid w:val="001738AB"/>
    <w:rsid w:val="00187BBC"/>
    <w:rsid w:val="00191E8E"/>
    <w:rsid w:val="001B14AC"/>
    <w:rsid w:val="001B7940"/>
    <w:rsid w:val="001D65D1"/>
    <w:rsid w:val="001E3B49"/>
    <w:rsid w:val="001E7388"/>
    <w:rsid w:val="002535D0"/>
    <w:rsid w:val="002602C2"/>
    <w:rsid w:val="00274F5B"/>
    <w:rsid w:val="00280836"/>
    <w:rsid w:val="002A1B50"/>
    <w:rsid w:val="002B0E91"/>
    <w:rsid w:val="002C31AD"/>
    <w:rsid w:val="002C7385"/>
    <w:rsid w:val="002E22DD"/>
    <w:rsid w:val="002F1E49"/>
    <w:rsid w:val="002F4E9C"/>
    <w:rsid w:val="002F7928"/>
    <w:rsid w:val="00311204"/>
    <w:rsid w:val="003463FE"/>
    <w:rsid w:val="00356632"/>
    <w:rsid w:val="003644A5"/>
    <w:rsid w:val="00365FC2"/>
    <w:rsid w:val="003845A9"/>
    <w:rsid w:val="00390883"/>
    <w:rsid w:val="00395B24"/>
    <w:rsid w:val="003A2D38"/>
    <w:rsid w:val="003B2C72"/>
    <w:rsid w:val="003C20FF"/>
    <w:rsid w:val="003E7E81"/>
    <w:rsid w:val="003F193E"/>
    <w:rsid w:val="00472027"/>
    <w:rsid w:val="0049417F"/>
    <w:rsid w:val="004D53E5"/>
    <w:rsid w:val="004F3EA4"/>
    <w:rsid w:val="0051346D"/>
    <w:rsid w:val="00513EAE"/>
    <w:rsid w:val="005359EB"/>
    <w:rsid w:val="0054254A"/>
    <w:rsid w:val="00545163"/>
    <w:rsid w:val="005466B5"/>
    <w:rsid w:val="00552CFD"/>
    <w:rsid w:val="005560E2"/>
    <w:rsid w:val="005A4DF8"/>
    <w:rsid w:val="005C1767"/>
    <w:rsid w:val="005C42EF"/>
    <w:rsid w:val="005E02F5"/>
    <w:rsid w:val="005E176E"/>
    <w:rsid w:val="005E35A0"/>
    <w:rsid w:val="00624520"/>
    <w:rsid w:val="0063637C"/>
    <w:rsid w:val="00636871"/>
    <w:rsid w:val="00643DE0"/>
    <w:rsid w:val="00644E85"/>
    <w:rsid w:val="00662BB0"/>
    <w:rsid w:val="006A5695"/>
    <w:rsid w:val="006B3904"/>
    <w:rsid w:val="006B5B7D"/>
    <w:rsid w:val="006D0ECF"/>
    <w:rsid w:val="00707218"/>
    <w:rsid w:val="00712B1D"/>
    <w:rsid w:val="00712D48"/>
    <w:rsid w:val="007325D9"/>
    <w:rsid w:val="00777398"/>
    <w:rsid w:val="007809CA"/>
    <w:rsid w:val="007929CF"/>
    <w:rsid w:val="007B11F5"/>
    <w:rsid w:val="007D2341"/>
    <w:rsid w:val="007D561F"/>
    <w:rsid w:val="007D7F98"/>
    <w:rsid w:val="00831927"/>
    <w:rsid w:val="0084273D"/>
    <w:rsid w:val="00845A83"/>
    <w:rsid w:val="008C6D50"/>
    <w:rsid w:val="008E6315"/>
    <w:rsid w:val="009054CB"/>
    <w:rsid w:val="00910377"/>
    <w:rsid w:val="00923593"/>
    <w:rsid w:val="0092650C"/>
    <w:rsid w:val="00967855"/>
    <w:rsid w:val="00980736"/>
    <w:rsid w:val="00982799"/>
    <w:rsid w:val="009B13FA"/>
    <w:rsid w:val="009B1E2D"/>
    <w:rsid w:val="009E4FA6"/>
    <w:rsid w:val="009E7D93"/>
    <w:rsid w:val="00A00866"/>
    <w:rsid w:val="00A03EAC"/>
    <w:rsid w:val="00A11CA6"/>
    <w:rsid w:val="00A20C49"/>
    <w:rsid w:val="00A359AC"/>
    <w:rsid w:val="00A45781"/>
    <w:rsid w:val="00A53551"/>
    <w:rsid w:val="00A950B6"/>
    <w:rsid w:val="00AA6FC8"/>
    <w:rsid w:val="00AB41C1"/>
    <w:rsid w:val="00B66D1A"/>
    <w:rsid w:val="00B769D8"/>
    <w:rsid w:val="00BA3DBC"/>
    <w:rsid w:val="00BA5A15"/>
    <w:rsid w:val="00BB2DA2"/>
    <w:rsid w:val="00BB56DC"/>
    <w:rsid w:val="00BC0BAD"/>
    <w:rsid w:val="00C05FD4"/>
    <w:rsid w:val="00C351A4"/>
    <w:rsid w:val="00C36442"/>
    <w:rsid w:val="00C43460"/>
    <w:rsid w:val="00C57B72"/>
    <w:rsid w:val="00C87F35"/>
    <w:rsid w:val="00CB55B1"/>
    <w:rsid w:val="00CF32FE"/>
    <w:rsid w:val="00D10F21"/>
    <w:rsid w:val="00D375EE"/>
    <w:rsid w:val="00D42485"/>
    <w:rsid w:val="00D9725F"/>
    <w:rsid w:val="00DA14ED"/>
    <w:rsid w:val="00DB3DE1"/>
    <w:rsid w:val="00DB716C"/>
    <w:rsid w:val="00DD4236"/>
    <w:rsid w:val="00E027BC"/>
    <w:rsid w:val="00E14EA5"/>
    <w:rsid w:val="00E73A4F"/>
    <w:rsid w:val="00E76E45"/>
    <w:rsid w:val="00EA4E2E"/>
    <w:rsid w:val="00EB2CCB"/>
    <w:rsid w:val="00ED08C3"/>
    <w:rsid w:val="00ED7DD9"/>
    <w:rsid w:val="00EE3DBA"/>
    <w:rsid w:val="00EF3113"/>
    <w:rsid w:val="00EF3F84"/>
    <w:rsid w:val="00EF5028"/>
    <w:rsid w:val="00EF5580"/>
    <w:rsid w:val="00F176AC"/>
    <w:rsid w:val="00F27714"/>
    <w:rsid w:val="00F50E34"/>
    <w:rsid w:val="00FC588F"/>
    <w:rsid w:val="00FE1B30"/>
    <w:rsid w:val="00FE3F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A0086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A0086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Template>
  <TotalTime>1</TotalTime>
  <Pages>12</Pages>
  <Words>4066</Words>
  <Characters>21211</Characters>
  <Application>Microsoft Office Word</Application>
  <DocSecurity>0</DocSecurity>
  <Lines>530</Lines>
  <Paragraphs>214</Paragraphs>
  <ScaleCrop>false</ScaleCrop>
  <HeadingPairs>
    <vt:vector size="2" baseType="variant">
      <vt:variant>
        <vt:lpstr>Title</vt:lpstr>
      </vt:variant>
      <vt:variant>
        <vt:i4>1</vt:i4>
      </vt:variant>
    </vt:vector>
  </HeadingPairs>
  <TitlesOfParts>
    <vt:vector size="1" baseType="lpstr">
      <vt:lpstr>CSR Limited v CSR &amp; Holcim Staff Association [2015] FCAFC 95</vt:lpstr>
    </vt:vector>
  </TitlesOfParts>
  <Company>Federal Court of Australia</Company>
  <LinksUpToDate>false</LinksUpToDate>
  <CharactersWithSpaces>25063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 Limited v CSR &amp; Holcim Staff Association [2015] FCAFC 95</dc:title>
  <dc:creator>Natalie Campbell</dc:creator>
  <cp:lastModifiedBy>Aurora Lee</cp:lastModifiedBy>
  <cp:revision>3</cp:revision>
  <cp:lastPrinted>2015-06-29T22:38:00Z</cp:lastPrinted>
  <dcterms:created xsi:type="dcterms:W3CDTF">2015-07-01T05:22:00Z</dcterms:created>
  <dcterms:modified xsi:type="dcterms:W3CDTF">2015-07-01T05:22:00Z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JESSUP, BROMBERG AND KATZMANN JJ</vt:lpwstr>
  </property>
  <property fmtid="{D5CDD505-2E9C-101B-9397-08002B2CF9AE}" pid="4" name="Judgment_dated" linkTarget="Judgment_dated">
    <vt:lpwstr>1 JULY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1374 of 2014</vt:lpwstr>
  </property>
  <property fmtid="{D5CDD505-2E9C-101B-9397-08002B2CF9AE}" pid="8" name="Pages">
    <vt:lpwstr>12</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