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bookmarkStart w:id="0" w:name="_GoBack"/>
      <w:bookmarkEnd w:id="0"/>
      <w:r>
        <w:rPr>
          <w:sz w:val="32"/>
        </w:rPr>
        <w:t>FEDERAL COURT OF AUSTRALIA</w:t>
      </w:r>
    </w:p>
    <w:p w:rsidR="00395B24" w:rsidRDefault="00395B24">
      <w:pPr>
        <w:pStyle w:val="NormalHeadings"/>
        <w:jc w:val="center"/>
        <w:rPr>
          <w:sz w:val="32"/>
        </w:rPr>
      </w:pPr>
    </w:p>
    <w:p w:rsidR="00395B24" w:rsidRDefault="00AD1EA0">
      <w:pPr>
        <w:pStyle w:val="MediaNeutralStyle"/>
      </w:pPr>
      <w:bookmarkStart w:id="1" w:name="MNC"/>
      <w:r>
        <w:t xml:space="preserve">Dallas Buyers Club, LLC v </w:t>
      </w:r>
      <w:proofErr w:type="spellStart"/>
      <w:r>
        <w:t>ii</w:t>
      </w:r>
      <w:r w:rsidR="00A316C6">
        <w:t>N</w:t>
      </w:r>
      <w:r w:rsidR="00890CB2">
        <w:t>et</w:t>
      </w:r>
      <w:proofErr w:type="spellEnd"/>
      <w:r w:rsidR="00890CB2">
        <w:t xml:space="preserve"> Limited (No 1) [2014] </w:t>
      </w:r>
      <w:proofErr w:type="spellStart"/>
      <w:r w:rsidR="00890CB2">
        <w:t>FCA</w:t>
      </w:r>
      <w:proofErr w:type="spellEnd"/>
      <w:r w:rsidR="00890CB2">
        <w:t xml:space="preserve"> 1232</w:t>
      </w:r>
      <w:r w:rsidR="002C7385">
        <w:t xml:space="preserve"> </w:t>
      </w:r>
      <w:bookmarkEnd w:id="1"/>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0767FA">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A316C6">
            <w:pPr>
              <w:pStyle w:val="Normal1linespace"/>
              <w:widowControl w:val="0"/>
              <w:jc w:val="left"/>
            </w:pPr>
            <w:r>
              <w:t>Dallas Buyers Club</w:t>
            </w:r>
            <w:r w:rsidR="00AD1EA0">
              <w:t xml:space="preserve">, LLC v </w:t>
            </w:r>
            <w:proofErr w:type="spellStart"/>
            <w:r w:rsidR="00AD1EA0">
              <w:t>ii</w:t>
            </w:r>
            <w:r>
              <w:t>N</w:t>
            </w:r>
            <w:r w:rsidR="00890CB2">
              <w:t>et</w:t>
            </w:r>
            <w:proofErr w:type="spellEnd"/>
            <w:r w:rsidR="00890CB2">
              <w:t xml:space="preserve"> Limited (No 1) [2014] </w:t>
            </w:r>
            <w:proofErr w:type="spellStart"/>
            <w:r w:rsidR="00890CB2">
              <w:t>FCA</w:t>
            </w:r>
            <w:proofErr w:type="spellEnd"/>
            <w:r w:rsidR="00890CB2">
              <w:t xml:space="preserve"> 1232</w:t>
            </w:r>
          </w:p>
        </w:tc>
      </w:tr>
      <w:tr w:rsidR="00395B24" w:rsidTr="000767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767FA">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3B3020">
            <w:pPr>
              <w:pStyle w:val="Normal1linespace"/>
              <w:widowControl w:val="0"/>
              <w:jc w:val="left"/>
              <w:rPr>
                <w:b/>
              </w:rPr>
            </w:pPr>
            <w:bookmarkStart w:id="2" w:name="JudgmentFP"/>
            <w:r>
              <w:rPr>
                <w:b/>
              </w:rPr>
              <w:t>DALLAS BUYERS CLUB</w:t>
            </w:r>
            <w:r w:rsidR="00AD1EA0">
              <w:rPr>
                <w:b/>
              </w:rPr>
              <w:t>,</w:t>
            </w:r>
            <w:r>
              <w:rPr>
                <w:b/>
              </w:rPr>
              <w:t xml:space="preserve"> </w:t>
            </w:r>
            <w:r w:rsidR="00AD1EA0">
              <w:rPr>
                <w:b/>
              </w:rPr>
              <w:t xml:space="preserve">LLC </w:t>
            </w:r>
            <w:r>
              <w:rPr>
                <w:b/>
              </w:rPr>
              <w:t xml:space="preserve">v </w:t>
            </w:r>
            <w:proofErr w:type="spellStart"/>
            <w:r>
              <w:rPr>
                <w:b/>
              </w:rPr>
              <w:t>IINET</w:t>
            </w:r>
            <w:proofErr w:type="spellEnd"/>
            <w:r>
              <w:rPr>
                <w:b/>
              </w:rPr>
              <w:t xml:space="preserve"> LIMITED</w:t>
            </w:r>
            <w:r w:rsidR="00AD1EA0">
              <w:rPr>
                <w:b/>
              </w:rPr>
              <w:t xml:space="preserve">, INTERNODE PTY LTD, </w:t>
            </w:r>
            <w:proofErr w:type="spellStart"/>
            <w:r w:rsidR="00AD1EA0">
              <w:rPr>
                <w:b/>
              </w:rPr>
              <w:t>AMNET</w:t>
            </w:r>
            <w:proofErr w:type="spellEnd"/>
            <w:r w:rsidR="00AD1EA0">
              <w:rPr>
                <w:b/>
              </w:rPr>
              <w:t xml:space="preserve"> BROADBAND PTY LTD, DODO SERVICES PTY LTD, ADAM INTERNET PTY LTD and WIDEBAND NETWORKS PTY LTD</w:t>
            </w:r>
            <w:r>
              <w:rPr>
                <w:b/>
              </w:rPr>
              <w:t xml:space="preserve"> </w:t>
            </w:r>
            <w:bookmarkEnd w:id="2"/>
          </w:p>
        </w:tc>
      </w:tr>
      <w:tr w:rsidR="00395B24" w:rsidTr="000767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767FA">
        <w:tc>
          <w:tcPr>
            <w:tcW w:w="3085" w:type="dxa"/>
            <w:shd w:val="clear" w:color="auto" w:fill="auto"/>
          </w:tcPr>
          <w:p w:rsidR="00395B24" w:rsidRDefault="00AD1EA0">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3B3020">
              <w:rPr>
                <w:szCs w:val="24"/>
              </w:rPr>
              <w:t>NSD</w:t>
            </w:r>
            <w:proofErr w:type="spellEnd"/>
            <w:r w:rsidR="003B3020">
              <w:rPr>
                <w:szCs w:val="24"/>
              </w:rPr>
              <w:t xml:space="preserve"> 1051 of 2014</w:t>
            </w:r>
            <w:r>
              <w:rPr>
                <w:szCs w:val="24"/>
              </w:rPr>
              <w:fldChar w:fldCharType="end"/>
            </w:r>
          </w:p>
        </w:tc>
      </w:tr>
      <w:tr w:rsidR="00395B24" w:rsidTr="000767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767FA">
        <w:tc>
          <w:tcPr>
            <w:tcW w:w="3085" w:type="dxa"/>
            <w:shd w:val="clear" w:color="auto" w:fill="auto"/>
          </w:tcPr>
          <w:p w:rsidR="00395B24" w:rsidRDefault="00AD1EA0">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3B3020">
              <w:rPr>
                <w:b/>
              </w:rPr>
              <w:fldChar w:fldCharType="begin" w:fldLock="1"/>
            </w:r>
            <w:r w:rsidRPr="003B3020">
              <w:rPr>
                <w:b/>
              </w:rPr>
              <w:instrText xml:space="preserve"> REF  Judge  \* MERGEFORMAT </w:instrText>
            </w:r>
            <w:r w:rsidRPr="003B3020">
              <w:rPr>
                <w:b/>
              </w:rPr>
              <w:fldChar w:fldCharType="separate"/>
            </w:r>
            <w:r w:rsidR="003B3020" w:rsidRPr="003B3020">
              <w:rPr>
                <w:b/>
                <w:caps/>
                <w:szCs w:val="24"/>
              </w:rPr>
              <w:t>PERRAM J</w:t>
            </w:r>
            <w:r w:rsidRPr="003B3020">
              <w:rPr>
                <w:b/>
              </w:rPr>
              <w:fldChar w:fldCharType="end"/>
            </w:r>
          </w:p>
        </w:tc>
      </w:tr>
      <w:tr w:rsidR="00395B24" w:rsidTr="000767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767FA">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AD1EA0">
            <w:pPr>
              <w:pStyle w:val="Normal1linespace"/>
              <w:widowControl w:val="0"/>
              <w:jc w:val="left"/>
            </w:pPr>
            <w:bookmarkStart w:id="3" w:name="JudgmentDate"/>
            <w:r>
              <w:t>17</w:t>
            </w:r>
            <w:r w:rsidR="003B3020">
              <w:t xml:space="preserve"> November 2014</w:t>
            </w:r>
            <w:bookmarkEnd w:id="3"/>
          </w:p>
        </w:tc>
      </w:tr>
      <w:tr w:rsidR="00395B24" w:rsidTr="000767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767FA">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AD1EA0">
            <w:pPr>
              <w:pStyle w:val="Normal1linespace"/>
              <w:widowControl w:val="0"/>
              <w:jc w:val="left"/>
            </w:pPr>
            <w:bookmarkStart w:id="4" w:name="Catchwords"/>
            <w:r w:rsidRPr="00AD1EA0">
              <w:rPr>
                <w:b/>
              </w:rPr>
              <w:t>PRACTICE AND PROCEDURE</w:t>
            </w:r>
            <w:r>
              <w:t xml:space="preserve"> – non-parties seeking access to restricted documents on the court file – whether access should be granted in the interests of the open administration of justice</w:t>
            </w:r>
            <w:r w:rsidR="002C7385">
              <w:t xml:space="preserve"> </w:t>
            </w:r>
            <w:bookmarkEnd w:id="4"/>
          </w:p>
        </w:tc>
      </w:tr>
      <w:tr w:rsidR="00395B24" w:rsidTr="000767F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767FA">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7E47CC" w:rsidRDefault="007E47CC" w:rsidP="00030403">
            <w:pPr>
              <w:pStyle w:val="Normal1linespace"/>
              <w:widowControl w:val="0"/>
              <w:jc w:val="left"/>
            </w:pPr>
            <w:bookmarkStart w:id="5" w:name="Legislation"/>
            <w:r>
              <w:rPr>
                <w:i/>
              </w:rPr>
              <w:t>Evidence Act 1995</w:t>
            </w:r>
            <w:r w:rsidR="00AD1EA0">
              <w:rPr>
                <w:i/>
              </w:rPr>
              <w:t xml:space="preserve"> </w:t>
            </w:r>
            <w:r w:rsidR="00AD1EA0">
              <w:t>(</w:t>
            </w:r>
            <w:proofErr w:type="spellStart"/>
            <w:r w:rsidR="00AD1EA0">
              <w:t>Cth</w:t>
            </w:r>
            <w:proofErr w:type="spellEnd"/>
            <w:r w:rsidR="00AD1EA0">
              <w:t xml:space="preserve">) </w:t>
            </w:r>
            <w:proofErr w:type="spellStart"/>
            <w:r>
              <w:t>ss</w:t>
            </w:r>
            <w:proofErr w:type="spellEnd"/>
            <w:r>
              <w:t xml:space="preserve"> </w:t>
            </w:r>
            <w:proofErr w:type="spellStart"/>
            <w:r>
              <w:t>126H</w:t>
            </w:r>
            <w:proofErr w:type="spellEnd"/>
            <w:r>
              <w:t xml:space="preserve">, </w:t>
            </w:r>
            <w:proofErr w:type="spellStart"/>
            <w:r>
              <w:t>131A</w:t>
            </w:r>
            <w:proofErr w:type="spellEnd"/>
          </w:p>
          <w:p w:rsidR="007E47CC" w:rsidRDefault="007E47CC" w:rsidP="00030403">
            <w:pPr>
              <w:pStyle w:val="Normal1linespace"/>
              <w:widowControl w:val="0"/>
              <w:jc w:val="left"/>
            </w:pPr>
            <w:r>
              <w:rPr>
                <w:i/>
              </w:rPr>
              <w:t>Federal Court of Australia Act 1976</w:t>
            </w:r>
            <w:r w:rsidR="00AD1EA0">
              <w:t xml:space="preserve"> (Cth) </w:t>
            </w:r>
            <w:r>
              <w:t>s</w:t>
            </w:r>
            <w:r w:rsidR="00F07008">
              <w:t xml:space="preserve"> </w:t>
            </w:r>
            <w:r>
              <w:t>17</w:t>
            </w:r>
          </w:p>
          <w:bookmarkEnd w:id="5"/>
          <w:p w:rsidR="00395B24" w:rsidRDefault="007E47CC" w:rsidP="00030403">
            <w:pPr>
              <w:pStyle w:val="Normal1linespace"/>
              <w:widowControl w:val="0"/>
              <w:jc w:val="left"/>
            </w:pPr>
            <w:r w:rsidRPr="00030403">
              <w:rPr>
                <w:i/>
              </w:rPr>
              <w:t>Federal Court Rule</w:t>
            </w:r>
            <w:r w:rsidR="00AD1EA0">
              <w:t xml:space="preserve">s </w:t>
            </w:r>
            <w:r w:rsidR="00AD1EA0">
              <w:rPr>
                <w:i/>
              </w:rPr>
              <w:t xml:space="preserve">2011 </w:t>
            </w:r>
            <w:r w:rsidR="00AD1EA0">
              <w:t>(</w:t>
            </w:r>
            <w:proofErr w:type="spellStart"/>
            <w:r w:rsidR="00AD1EA0">
              <w:t>Cth</w:t>
            </w:r>
            <w:proofErr w:type="spellEnd"/>
            <w:r w:rsidR="00AD1EA0">
              <w:t xml:space="preserve">) </w:t>
            </w:r>
            <w:proofErr w:type="spellStart"/>
            <w:r w:rsidR="00AD1EA0">
              <w:t>rr</w:t>
            </w:r>
            <w:proofErr w:type="spellEnd"/>
            <w:r w:rsidR="00AD1EA0">
              <w:t xml:space="preserve"> 2.32, </w:t>
            </w:r>
            <w:r>
              <w:t xml:space="preserve">7.22 </w:t>
            </w:r>
          </w:p>
        </w:tc>
      </w:tr>
      <w:tr w:rsidR="00395B24" w:rsidTr="000767FA">
        <w:tc>
          <w:tcPr>
            <w:tcW w:w="3085" w:type="dxa"/>
            <w:shd w:val="clear" w:color="auto" w:fill="auto"/>
          </w:tcPr>
          <w:p w:rsidR="00395B24" w:rsidRDefault="00395B24">
            <w:pPr>
              <w:pStyle w:val="Normal1linespace"/>
              <w:widowControl w:val="0"/>
            </w:pPr>
          </w:p>
        </w:tc>
        <w:tc>
          <w:tcPr>
            <w:tcW w:w="5989" w:type="dxa"/>
            <w:shd w:val="clear" w:color="auto" w:fill="auto"/>
          </w:tcPr>
          <w:p w:rsidR="007E47CC" w:rsidRDefault="000D7270">
            <w:pPr>
              <w:pStyle w:val="Normal1linespace"/>
              <w:widowControl w:val="0"/>
              <w:jc w:val="left"/>
            </w:pPr>
            <w:r>
              <w:rPr>
                <w:i/>
              </w:rPr>
              <w:t xml:space="preserve">Privacy Act 1988 </w:t>
            </w:r>
            <w:r w:rsidR="00AD1EA0">
              <w:t>(</w:t>
            </w:r>
            <w:proofErr w:type="spellStart"/>
            <w:r w:rsidR="00AD1EA0">
              <w:t>Cth</w:t>
            </w:r>
            <w:proofErr w:type="spellEnd"/>
            <w:r w:rsidR="00AD1EA0">
              <w:t xml:space="preserve">) </w:t>
            </w:r>
            <w:proofErr w:type="spellStart"/>
            <w:r w:rsidR="00AD1EA0">
              <w:t>Sch</w:t>
            </w:r>
            <w:proofErr w:type="spellEnd"/>
            <w:r w:rsidR="00AD1EA0">
              <w:t xml:space="preserve"> 1 Australian Privacy </w:t>
            </w:r>
            <w:r>
              <w:t xml:space="preserve">Principle 6 </w:t>
            </w:r>
          </w:p>
          <w:p w:rsidR="00F326E4" w:rsidRDefault="00F326E4">
            <w:pPr>
              <w:pStyle w:val="Normal1linespace"/>
              <w:widowControl w:val="0"/>
              <w:jc w:val="left"/>
            </w:pPr>
            <w:r>
              <w:rPr>
                <w:i/>
              </w:rPr>
              <w:t xml:space="preserve">Telecommunications Act 1997 </w:t>
            </w:r>
            <w:r>
              <w:t>(</w:t>
            </w:r>
            <w:proofErr w:type="spellStart"/>
            <w:r>
              <w:t>Cth</w:t>
            </w:r>
            <w:proofErr w:type="spellEnd"/>
            <w:r>
              <w:t xml:space="preserve">) </w:t>
            </w:r>
            <w:proofErr w:type="spellStart"/>
            <w:r>
              <w:t>ss</w:t>
            </w:r>
            <w:proofErr w:type="spellEnd"/>
            <w:r>
              <w:t xml:space="preserve"> 276, 280</w:t>
            </w:r>
          </w:p>
          <w:p w:rsidR="00395B24" w:rsidRDefault="00395B24">
            <w:pPr>
              <w:pStyle w:val="Normal1linespace"/>
              <w:widowControl w:val="0"/>
              <w:jc w:val="left"/>
            </w:pPr>
          </w:p>
        </w:tc>
      </w:tr>
      <w:tr w:rsidR="007E47CC" w:rsidTr="000767FA">
        <w:tc>
          <w:tcPr>
            <w:tcW w:w="3085" w:type="dxa"/>
            <w:shd w:val="clear" w:color="auto" w:fill="auto"/>
          </w:tcPr>
          <w:p w:rsidR="007E47CC" w:rsidRDefault="007E47CC">
            <w:pPr>
              <w:pStyle w:val="Normal1linespace"/>
              <w:widowControl w:val="0"/>
            </w:pPr>
            <w:r>
              <w:t>Cases cited:</w:t>
            </w:r>
          </w:p>
        </w:tc>
        <w:tc>
          <w:tcPr>
            <w:tcW w:w="5989" w:type="dxa"/>
            <w:shd w:val="clear" w:color="auto" w:fill="auto"/>
          </w:tcPr>
          <w:p w:rsidR="007E47CC" w:rsidRDefault="00F326E4" w:rsidP="007E47CC">
            <w:pPr>
              <w:pStyle w:val="Normal1linespace"/>
              <w:jc w:val="left"/>
            </w:pPr>
            <w:bookmarkStart w:id="6" w:name="Cases_Cited"/>
            <w:r>
              <w:rPr>
                <w:i/>
              </w:rPr>
              <w:t xml:space="preserve">Australian Securities and Investments Commission v P Dawson Nominees </w:t>
            </w:r>
            <w:r>
              <w:t>(2008) 169 FCR 227</w:t>
            </w:r>
            <w:r w:rsidR="00F07008">
              <w:t xml:space="preserve"> cited</w:t>
            </w:r>
          </w:p>
          <w:p w:rsidR="007E47CC" w:rsidRDefault="00F07008">
            <w:pPr>
              <w:pStyle w:val="Normal1linespace"/>
              <w:widowControl w:val="0"/>
              <w:jc w:val="left"/>
            </w:pPr>
            <w:r>
              <w:rPr>
                <w:i/>
              </w:rPr>
              <w:t xml:space="preserve">Australian Securities and Investments Commission v Storm Financial Ltd (No </w:t>
            </w:r>
            <w:r w:rsidR="007E47CC">
              <w:rPr>
                <w:i/>
              </w:rPr>
              <w:t xml:space="preserve">2) </w:t>
            </w:r>
            <w:r w:rsidR="007E47CC">
              <w:t>[2009] FCA 928</w:t>
            </w:r>
            <w:r>
              <w:t xml:space="preserve"> cited</w:t>
            </w:r>
          </w:p>
          <w:p w:rsidR="007E47CC" w:rsidRDefault="007E47CC">
            <w:pPr>
              <w:pStyle w:val="Normal1linespace"/>
              <w:widowControl w:val="0"/>
              <w:jc w:val="left"/>
            </w:pPr>
            <w:r>
              <w:rPr>
                <w:i/>
              </w:rPr>
              <w:t>Australian Competition and Consumer Commission v ABB Transmission and Distribution Ltd (No 3)</w:t>
            </w:r>
            <w:r>
              <w:t xml:space="preserve"> [2002] FCA 609</w:t>
            </w:r>
            <w:r w:rsidR="00F07008">
              <w:t xml:space="preserve"> cited</w:t>
            </w:r>
          </w:p>
          <w:bookmarkEnd w:id="6"/>
          <w:p w:rsidR="007E47CC" w:rsidRDefault="00930CDC" w:rsidP="007E47CC">
            <w:pPr>
              <w:pStyle w:val="Normal1linespace"/>
              <w:jc w:val="left"/>
            </w:pPr>
            <w:r>
              <w:rPr>
                <w:i/>
              </w:rPr>
              <w:t xml:space="preserve">Cain v Glass (No </w:t>
            </w:r>
            <w:r w:rsidR="007E47CC">
              <w:rPr>
                <w:i/>
              </w:rPr>
              <w:t xml:space="preserve">2) </w:t>
            </w:r>
            <w:r w:rsidR="007E47CC">
              <w:t xml:space="preserve">(1985) 3 </w:t>
            </w:r>
            <w:proofErr w:type="spellStart"/>
            <w:r w:rsidR="007E47CC">
              <w:t>NSWLR</w:t>
            </w:r>
            <w:proofErr w:type="spellEnd"/>
            <w:r w:rsidR="007E47CC">
              <w:t xml:space="preserve"> 230</w:t>
            </w:r>
            <w:r w:rsidR="00F07008">
              <w:t xml:space="preserve"> cited</w:t>
            </w:r>
          </w:p>
          <w:p w:rsidR="002002CC" w:rsidRDefault="002002CC" w:rsidP="007E47CC">
            <w:pPr>
              <w:pStyle w:val="Normal1linespace"/>
              <w:jc w:val="left"/>
            </w:pPr>
            <w:proofErr w:type="spellStart"/>
            <w:r w:rsidRPr="000767FA">
              <w:rPr>
                <w:i/>
              </w:rPr>
              <w:t>Hartnell</w:t>
            </w:r>
            <w:proofErr w:type="spellEnd"/>
            <w:r>
              <w:rPr>
                <w:i/>
              </w:rPr>
              <w:t xml:space="preserve"> v Commissioner of Taxation (No </w:t>
            </w:r>
            <w:r w:rsidRPr="000767FA">
              <w:rPr>
                <w:i/>
              </w:rPr>
              <w:t xml:space="preserve">1) </w:t>
            </w:r>
            <w:r>
              <w:t>(2009) 254 ALR 71</w:t>
            </w:r>
            <w:r w:rsidR="00F07008">
              <w:t xml:space="preserve"> cited</w:t>
            </w:r>
          </w:p>
          <w:p w:rsidR="007E47CC" w:rsidRDefault="007E47CC" w:rsidP="007E47CC">
            <w:pPr>
              <w:pStyle w:val="Normal1linespace"/>
              <w:jc w:val="left"/>
            </w:pPr>
            <w:r>
              <w:rPr>
                <w:i/>
              </w:rPr>
              <w:t xml:space="preserve">Hogan v </w:t>
            </w:r>
            <w:proofErr w:type="spellStart"/>
            <w:r>
              <w:rPr>
                <w:i/>
              </w:rPr>
              <w:t>Hinch</w:t>
            </w:r>
            <w:proofErr w:type="spellEnd"/>
            <w:r>
              <w:rPr>
                <w:i/>
              </w:rPr>
              <w:t xml:space="preserve"> </w:t>
            </w:r>
            <w:r w:rsidR="00F07008">
              <w:t xml:space="preserve">(2011) 243 </w:t>
            </w:r>
            <w:proofErr w:type="spellStart"/>
            <w:r w:rsidR="00F07008">
              <w:t>CLR</w:t>
            </w:r>
            <w:proofErr w:type="spellEnd"/>
            <w:r w:rsidR="00F07008">
              <w:t xml:space="preserve"> 506 cited</w:t>
            </w:r>
          </w:p>
          <w:p w:rsidR="007E47CC" w:rsidRDefault="007E47CC" w:rsidP="007E47CC">
            <w:pPr>
              <w:pStyle w:val="Normal1linespace"/>
              <w:widowControl w:val="0"/>
              <w:jc w:val="left"/>
            </w:pPr>
            <w:proofErr w:type="spellStart"/>
            <w:r w:rsidRPr="002002CC">
              <w:rPr>
                <w:i/>
              </w:rPr>
              <w:t>J</w:t>
            </w:r>
            <w:r w:rsidR="00930CDC" w:rsidRPr="002002CC">
              <w:rPr>
                <w:i/>
              </w:rPr>
              <w:t>a</w:t>
            </w:r>
            <w:r w:rsidR="00930CDC">
              <w:rPr>
                <w:i/>
              </w:rPr>
              <w:t>ffarie</w:t>
            </w:r>
            <w:proofErr w:type="spellEnd"/>
            <w:r w:rsidR="00930CDC">
              <w:rPr>
                <w:i/>
              </w:rPr>
              <w:t xml:space="preserve"> v Director </w:t>
            </w:r>
            <w:r>
              <w:rPr>
                <w:i/>
              </w:rPr>
              <w:t xml:space="preserve">General of Security </w:t>
            </w:r>
            <w:r>
              <w:t>[2014] FCAFC 102</w:t>
            </w:r>
            <w:r w:rsidR="00F07008">
              <w:t xml:space="preserve"> cited</w:t>
            </w:r>
          </w:p>
          <w:p w:rsidR="007E47CC" w:rsidRDefault="007E47CC" w:rsidP="007E47CC">
            <w:pPr>
              <w:pStyle w:val="Normal1linespace"/>
              <w:jc w:val="left"/>
            </w:pPr>
            <w:r>
              <w:rPr>
                <w:i/>
              </w:rPr>
              <w:t xml:space="preserve">John Fairfax &amp; Sons Ltd v </w:t>
            </w:r>
            <w:proofErr w:type="spellStart"/>
            <w:r>
              <w:rPr>
                <w:i/>
              </w:rPr>
              <w:t>Cojuang</w:t>
            </w:r>
            <w:r w:rsidR="00AD574D">
              <w:rPr>
                <w:i/>
              </w:rPr>
              <w:t>c</w:t>
            </w:r>
            <w:r>
              <w:rPr>
                <w:i/>
              </w:rPr>
              <w:t>o</w:t>
            </w:r>
            <w:proofErr w:type="spellEnd"/>
            <w:r>
              <w:rPr>
                <w:i/>
              </w:rPr>
              <w:t xml:space="preserve"> </w:t>
            </w:r>
            <w:r>
              <w:t xml:space="preserve">(1998) 165 </w:t>
            </w:r>
            <w:proofErr w:type="spellStart"/>
            <w:r>
              <w:t>CLR</w:t>
            </w:r>
            <w:proofErr w:type="spellEnd"/>
            <w:r>
              <w:t xml:space="preserve"> 346</w:t>
            </w:r>
            <w:r w:rsidR="00F07008">
              <w:t xml:space="preserve"> cited</w:t>
            </w:r>
          </w:p>
          <w:p w:rsidR="007E47CC" w:rsidRDefault="007E47CC" w:rsidP="007E47CC">
            <w:pPr>
              <w:pStyle w:val="Normal1linespace"/>
              <w:jc w:val="left"/>
            </w:pPr>
            <w:r>
              <w:rPr>
                <w:i/>
              </w:rPr>
              <w:t xml:space="preserve">Mobil Oil Australia Ltd v </w:t>
            </w:r>
            <w:proofErr w:type="spellStart"/>
            <w:r>
              <w:rPr>
                <w:i/>
              </w:rPr>
              <w:t>Guina</w:t>
            </w:r>
            <w:proofErr w:type="spellEnd"/>
            <w:r>
              <w:rPr>
                <w:i/>
              </w:rPr>
              <w:t xml:space="preserve"> Developments Pty Ltd </w:t>
            </w:r>
            <w:r w:rsidR="00F07008">
              <w:t>[1996] 2 VR 34 cited</w:t>
            </w:r>
          </w:p>
          <w:p w:rsidR="002002CC" w:rsidRDefault="002002CC" w:rsidP="007E47CC">
            <w:pPr>
              <w:pStyle w:val="Normal1linespace"/>
              <w:jc w:val="left"/>
            </w:pPr>
            <w:r w:rsidRPr="000767FA">
              <w:rPr>
                <w:i/>
              </w:rPr>
              <w:t>Seven Network Ltd v News Ltd (No 9)</w:t>
            </w:r>
            <w:r>
              <w:t xml:space="preserve"> (2005) 148 FCR 1</w:t>
            </w:r>
            <w:r w:rsidR="00F07008">
              <w:t xml:space="preserve"> </w:t>
            </w:r>
            <w:r w:rsidR="00F07008">
              <w:lastRenderedPageBreak/>
              <w:t>cited</w:t>
            </w:r>
          </w:p>
          <w:p w:rsidR="007E47CC" w:rsidRDefault="006C7778" w:rsidP="007E47CC">
            <w:pPr>
              <w:pStyle w:val="Normal1linespace"/>
              <w:jc w:val="left"/>
              <w:rPr>
                <w:i/>
              </w:rPr>
            </w:pPr>
            <w:r>
              <w:rPr>
                <w:i/>
              </w:rPr>
              <w:t xml:space="preserve">The Age Company Ltd v Liu </w:t>
            </w:r>
            <w:r>
              <w:t>(2013)</w:t>
            </w:r>
            <w:r>
              <w:rPr>
                <w:i/>
              </w:rPr>
              <w:t xml:space="preserve"> </w:t>
            </w:r>
            <w:r>
              <w:t xml:space="preserve">82 </w:t>
            </w:r>
            <w:proofErr w:type="spellStart"/>
            <w:r>
              <w:t>NSWLR</w:t>
            </w:r>
            <w:proofErr w:type="spellEnd"/>
            <w:r>
              <w:t xml:space="preserve"> 268</w:t>
            </w:r>
            <w:r w:rsidR="00F07008">
              <w:t xml:space="preserve"> cited</w:t>
            </w:r>
            <w:r w:rsidR="007E47CC">
              <w:rPr>
                <w:i/>
              </w:rPr>
              <w:t xml:space="preserve"> </w:t>
            </w:r>
          </w:p>
          <w:p w:rsidR="007E47CC" w:rsidRDefault="007E47CC">
            <w:pPr>
              <w:pStyle w:val="Normal1linespace"/>
              <w:widowControl w:val="0"/>
              <w:jc w:val="left"/>
            </w:pPr>
          </w:p>
        </w:tc>
      </w:tr>
      <w:tr w:rsidR="000767FA" w:rsidRPr="000767FA" w:rsidTr="000767FA">
        <w:tc>
          <w:tcPr>
            <w:tcW w:w="3085" w:type="dxa"/>
            <w:shd w:val="clear" w:color="auto" w:fill="auto"/>
          </w:tcPr>
          <w:p w:rsidR="000767FA" w:rsidRPr="000767FA" w:rsidRDefault="000767FA" w:rsidP="000767FA">
            <w:pPr>
              <w:pStyle w:val="Normal1linespace"/>
              <w:jc w:val="left"/>
            </w:pPr>
            <w:bookmarkStart w:id="7" w:name="CounselDate" w:colFirst="0" w:colLast="2"/>
            <w:r w:rsidRPr="000767FA">
              <w:lastRenderedPageBreak/>
              <w:t>Date of hearing:</w:t>
            </w:r>
          </w:p>
        </w:tc>
        <w:tc>
          <w:tcPr>
            <w:tcW w:w="5989" w:type="dxa"/>
            <w:shd w:val="clear" w:color="auto" w:fill="auto"/>
          </w:tcPr>
          <w:p w:rsidR="000767FA" w:rsidRPr="000767FA" w:rsidRDefault="00AD1EA0" w:rsidP="000767FA">
            <w:pPr>
              <w:pStyle w:val="Normal1linespace"/>
              <w:jc w:val="left"/>
            </w:pPr>
            <w:r>
              <w:t xml:space="preserve">The applications were considered in chambers. </w:t>
            </w:r>
          </w:p>
        </w:tc>
      </w:tr>
      <w:tr w:rsidR="000767FA" w:rsidRPr="000767FA" w:rsidTr="000767FA">
        <w:tc>
          <w:tcPr>
            <w:tcW w:w="3085" w:type="dxa"/>
            <w:shd w:val="clear" w:color="auto" w:fill="auto"/>
          </w:tcPr>
          <w:p w:rsidR="000767FA" w:rsidRPr="000767FA" w:rsidRDefault="000767FA" w:rsidP="000767FA">
            <w:pPr>
              <w:pStyle w:val="Normal1linespace"/>
              <w:jc w:val="left"/>
            </w:pPr>
          </w:p>
        </w:tc>
        <w:tc>
          <w:tcPr>
            <w:tcW w:w="5989" w:type="dxa"/>
            <w:shd w:val="clear" w:color="auto" w:fill="auto"/>
          </w:tcPr>
          <w:p w:rsidR="000767FA" w:rsidRPr="000767FA" w:rsidRDefault="000767FA" w:rsidP="000767FA">
            <w:pPr>
              <w:pStyle w:val="Normal1linespace"/>
              <w:jc w:val="left"/>
            </w:pPr>
          </w:p>
        </w:tc>
      </w:tr>
      <w:bookmarkEnd w:id="7"/>
      <w:tr w:rsidR="000767FA" w:rsidTr="000767FA">
        <w:tc>
          <w:tcPr>
            <w:tcW w:w="3085" w:type="dxa"/>
            <w:shd w:val="clear" w:color="auto" w:fill="auto"/>
          </w:tcPr>
          <w:p w:rsidR="000767FA" w:rsidRDefault="000767FA" w:rsidP="000767FA">
            <w:pPr>
              <w:pStyle w:val="Normal1linespace"/>
              <w:widowControl w:val="0"/>
              <w:jc w:val="left"/>
            </w:pPr>
            <w:r>
              <w:t>Place:</w:t>
            </w:r>
          </w:p>
        </w:tc>
        <w:tc>
          <w:tcPr>
            <w:tcW w:w="5989" w:type="dxa"/>
            <w:shd w:val="clear" w:color="auto" w:fill="auto"/>
          </w:tcPr>
          <w:p w:rsidR="000767FA" w:rsidRDefault="003F391C" w:rsidP="000767FA">
            <w:pPr>
              <w:pStyle w:val="Normal1linespace"/>
              <w:widowControl w:val="0"/>
              <w:jc w:val="left"/>
            </w:pPr>
            <w:fldSimple w:instr=" DOCVARIABLE  Place_SentenceCase  \* MERGEFORMAT ">
              <w:r w:rsidR="000767FA">
                <w:t>Sydney</w:t>
              </w:r>
            </w:fldSimple>
          </w:p>
        </w:tc>
      </w:tr>
      <w:tr w:rsidR="000767FA" w:rsidTr="000767FA">
        <w:tc>
          <w:tcPr>
            <w:tcW w:w="3085" w:type="dxa"/>
            <w:shd w:val="clear" w:color="auto" w:fill="auto"/>
          </w:tcPr>
          <w:p w:rsidR="000767FA" w:rsidRDefault="000767FA" w:rsidP="000767FA">
            <w:pPr>
              <w:pStyle w:val="Normal1linespace"/>
              <w:widowControl w:val="0"/>
              <w:jc w:val="left"/>
            </w:pPr>
          </w:p>
        </w:tc>
        <w:tc>
          <w:tcPr>
            <w:tcW w:w="5989" w:type="dxa"/>
            <w:shd w:val="clear" w:color="auto" w:fill="auto"/>
          </w:tcPr>
          <w:p w:rsidR="000767FA" w:rsidRDefault="000767FA" w:rsidP="000767FA">
            <w:pPr>
              <w:pStyle w:val="Normal1linespace"/>
              <w:widowControl w:val="0"/>
              <w:jc w:val="left"/>
            </w:pPr>
          </w:p>
        </w:tc>
      </w:tr>
      <w:tr w:rsidR="000767FA" w:rsidTr="000767FA">
        <w:tc>
          <w:tcPr>
            <w:tcW w:w="3085" w:type="dxa"/>
            <w:shd w:val="clear" w:color="auto" w:fill="auto"/>
          </w:tcPr>
          <w:p w:rsidR="000767FA" w:rsidRDefault="000767FA" w:rsidP="000767FA">
            <w:pPr>
              <w:pStyle w:val="Normal1linespace"/>
              <w:widowControl w:val="0"/>
              <w:jc w:val="left"/>
            </w:pPr>
            <w:r>
              <w:t>Division:</w:t>
            </w:r>
          </w:p>
        </w:tc>
        <w:tc>
          <w:tcPr>
            <w:tcW w:w="5989" w:type="dxa"/>
            <w:shd w:val="clear" w:color="auto" w:fill="auto"/>
          </w:tcPr>
          <w:p w:rsidR="000767FA" w:rsidRPr="00C67B37" w:rsidRDefault="000767FA" w:rsidP="000767FA">
            <w:pPr>
              <w:pStyle w:val="Normal1linespace"/>
              <w:widowControl w:val="0"/>
              <w:jc w:val="left"/>
              <w:rPr>
                <w:caps/>
              </w:rPr>
            </w:pPr>
            <w:r>
              <w:rPr>
                <w:caps/>
              </w:rPr>
              <w:fldChar w:fldCharType="begin"/>
            </w:r>
            <w:r>
              <w:rPr>
                <w:caps/>
              </w:rPr>
              <w:instrText xml:space="preserve"> REF  Division </w:instrText>
            </w:r>
            <w:r>
              <w:rPr>
                <w:caps/>
              </w:rPr>
              <w:fldChar w:fldCharType="separate"/>
            </w:r>
            <w:r w:rsidR="002605FA">
              <w:rPr>
                <w:caps/>
                <w:szCs w:val="24"/>
              </w:rPr>
              <w:t>GENERAL DIVISION</w:t>
            </w:r>
            <w:r>
              <w:rPr>
                <w:caps/>
              </w:rPr>
              <w:fldChar w:fldCharType="end"/>
            </w:r>
          </w:p>
        </w:tc>
      </w:tr>
      <w:tr w:rsidR="000767FA" w:rsidTr="000767FA">
        <w:tc>
          <w:tcPr>
            <w:tcW w:w="3085" w:type="dxa"/>
            <w:shd w:val="clear" w:color="auto" w:fill="auto"/>
          </w:tcPr>
          <w:p w:rsidR="000767FA" w:rsidRDefault="000767FA" w:rsidP="000767FA">
            <w:pPr>
              <w:pStyle w:val="Normal1linespace"/>
              <w:widowControl w:val="0"/>
              <w:jc w:val="left"/>
            </w:pPr>
          </w:p>
        </w:tc>
        <w:tc>
          <w:tcPr>
            <w:tcW w:w="5989" w:type="dxa"/>
            <w:shd w:val="clear" w:color="auto" w:fill="auto"/>
          </w:tcPr>
          <w:p w:rsidR="000767FA" w:rsidRDefault="000767FA" w:rsidP="000767FA">
            <w:pPr>
              <w:pStyle w:val="Normal1linespace"/>
              <w:widowControl w:val="0"/>
              <w:jc w:val="left"/>
              <w:rPr>
                <w:b/>
              </w:rPr>
            </w:pPr>
          </w:p>
        </w:tc>
      </w:tr>
      <w:tr w:rsidR="000767FA" w:rsidTr="000767FA">
        <w:tc>
          <w:tcPr>
            <w:tcW w:w="3085" w:type="dxa"/>
            <w:shd w:val="clear" w:color="auto" w:fill="auto"/>
          </w:tcPr>
          <w:p w:rsidR="000767FA" w:rsidRDefault="000767FA" w:rsidP="000767FA">
            <w:pPr>
              <w:pStyle w:val="Normal1linespace"/>
              <w:widowControl w:val="0"/>
              <w:jc w:val="left"/>
            </w:pPr>
            <w:r>
              <w:t>Category:</w:t>
            </w:r>
          </w:p>
        </w:tc>
        <w:tc>
          <w:tcPr>
            <w:tcW w:w="5989" w:type="dxa"/>
            <w:shd w:val="clear" w:color="auto" w:fill="auto"/>
          </w:tcPr>
          <w:p w:rsidR="000767FA" w:rsidRDefault="00AD1EA0" w:rsidP="000767FA">
            <w:pPr>
              <w:pStyle w:val="Normal1linespace"/>
              <w:widowControl w:val="0"/>
              <w:jc w:val="left"/>
            </w:pPr>
            <w:r>
              <w:t>Catchwords</w:t>
            </w:r>
          </w:p>
        </w:tc>
      </w:tr>
      <w:tr w:rsidR="000767FA" w:rsidTr="000767FA">
        <w:tc>
          <w:tcPr>
            <w:tcW w:w="3085" w:type="dxa"/>
            <w:shd w:val="clear" w:color="auto" w:fill="auto"/>
          </w:tcPr>
          <w:p w:rsidR="000767FA" w:rsidRDefault="000767FA" w:rsidP="000767FA">
            <w:pPr>
              <w:pStyle w:val="Normal1linespace"/>
              <w:widowControl w:val="0"/>
              <w:jc w:val="left"/>
            </w:pPr>
          </w:p>
        </w:tc>
        <w:tc>
          <w:tcPr>
            <w:tcW w:w="5989" w:type="dxa"/>
            <w:shd w:val="clear" w:color="auto" w:fill="auto"/>
          </w:tcPr>
          <w:p w:rsidR="000767FA" w:rsidRDefault="000767FA" w:rsidP="000767FA">
            <w:pPr>
              <w:pStyle w:val="Normal1linespace"/>
              <w:widowControl w:val="0"/>
              <w:jc w:val="left"/>
            </w:pPr>
          </w:p>
        </w:tc>
      </w:tr>
      <w:tr w:rsidR="000767FA" w:rsidTr="000767FA">
        <w:tc>
          <w:tcPr>
            <w:tcW w:w="3085" w:type="dxa"/>
            <w:shd w:val="clear" w:color="auto" w:fill="auto"/>
          </w:tcPr>
          <w:p w:rsidR="000767FA" w:rsidRDefault="000767FA" w:rsidP="000767FA">
            <w:pPr>
              <w:pStyle w:val="Normal1linespace"/>
              <w:widowControl w:val="0"/>
              <w:jc w:val="left"/>
            </w:pPr>
            <w:r>
              <w:t>Number of paragraphs:</w:t>
            </w:r>
          </w:p>
        </w:tc>
        <w:tc>
          <w:tcPr>
            <w:tcW w:w="5989" w:type="dxa"/>
            <w:shd w:val="clear" w:color="auto" w:fill="auto"/>
          </w:tcPr>
          <w:p w:rsidR="000767FA" w:rsidRDefault="00594814" w:rsidP="000767FA">
            <w:pPr>
              <w:pStyle w:val="Normal1linespace"/>
              <w:widowControl w:val="0"/>
              <w:jc w:val="left"/>
            </w:pPr>
            <w:bookmarkStart w:id="8" w:name="PlaceCategoryParagraphs"/>
            <w:r>
              <w:t>1</w:t>
            </w:r>
            <w:bookmarkEnd w:id="8"/>
            <w:r w:rsidR="00F07008">
              <w:t>9</w:t>
            </w:r>
          </w:p>
        </w:tc>
      </w:tr>
      <w:tr w:rsidR="000767FA" w:rsidTr="000767FA">
        <w:tc>
          <w:tcPr>
            <w:tcW w:w="3085" w:type="dxa"/>
            <w:shd w:val="clear" w:color="auto" w:fill="auto"/>
          </w:tcPr>
          <w:p w:rsidR="000767FA" w:rsidRDefault="000767FA" w:rsidP="000767FA">
            <w:pPr>
              <w:pStyle w:val="Normal1linespace"/>
              <w:widowControl w:val="0"/>
              <w:jc w:val="left"/>
            </w:pPr>
            <w:bookmarkStart w:id="9" w:name="Counsel" w:colFirst="0" w:colLast="2"/>
          </w:p>
        </w:tc>
        <w:tc>
          <w:tcPr>
            <w:tcW w:w="5989" w:type="dxa"/>
            <w:shd w:val="clear" w:color="auto" w:fill="auto"/>
          </w:tcPr>
          <w:p w:rsidR="000767FA" w:rsidRDefault="000767FA" w:rsidP="000767FA">
            <w:pPr>
              <w:pStyle w:val="Normal1linespace"/>
              <w:widowControl w:val="0"/>
              <w:jc w:val="left"/>
            </w:pPr>
          </w:p>
        </w:tc>
      </w:tr>
      <w:tr w:rsidR="000767FA" w:rsidTr="000767FA">
        <w:tc>
          <w:tcPr>
            <w:tcW w:w="3085" w:type="dxa"/>
            <w:shd w:val="clear" w:color="auto" w:fill="auto"/>
          </w:tcPr>
          <w:p w:rsidR="000767FA" w:rsidRDefault="000767FA" w:rsidP="000767FA">
            <w:pPr>
              <w:pStyle w:val="Normal1linespace"/>
              <w:widowControl w:val="0"/>
              <w:jc w:val="left"/>
            </w:pPr>
            <w:r>
              <w:t>Solicitor for the Applicant:</w:t>
            </w:r>
          </w:p>
        </w:tc>
        <w:tc>
          <w:tcPr>
            <w:tcW w:w="5989" w:type="dxa"/>
            <w:shd w:val="clear" w:color="auto" w:fill="auto"/>
          </w:tcPr>
          <w:p w:rsidR="000767FA" w:rsidRDefault="00AD1EA0" w:rsidP="000767FA">
            <w:pPr>
              <w:pStyle w:val="Normal1linespace"/>
              <w:widowControl w:val="0"/>
              <w:jc w:val="left"/>
            </w:pPr>
            <w:r>
              <w:t>Marque Lawyers</w:t>
            </w:r>
          </w:p>
        </w:tc>
      </w:tr>
      <w:tr w:rsidR="000767FA" w:rsidTr="000767FA">
        <w:tc>
          <w:tcPr>
            <w:tcW w:w="3085" w:type="dxa"/>
            <w:shd w:val="clear" w:color="auto" w:fill="auto"/>
          </w:tcPr>
          <w:p w:rsidR="000767FA" w:rsidRDefault="000767FA" w:rsidP="000767FA">
            <w:pPr>
              <w:pStyle w:val="Normal1linespace"/>
              <w:widowControl w:val="0"/>
              <w:jc w:val="left"/>
            </w:pPr>
          </w:p>
        </w:tc>
        <w:tc>
          <w:tcPr>
            <w:tcW w:w="5989" w:type="dxa"/>
            <w:shd w:val="clear" w:color="auto" w:fill="auto"/>
          </w:tcPr>
          <w:p w:rsidR="000767FA" w:rsidRDefault="000767FA" w:rsidP="000767FA">
            <w:pPr>
              <w:pStyle w:val="Normal1linespace"/>
              <w:widowControl w:val="0"/>
              <w:jc w:val="left"/>
            </w:pPr>
          </w:p>
        </w:tc>
      </w:tr>
      <w:tr w:rsidR="000767FA" w:rsidTr="000767FA">
        <w:tc>
          <w:tcPr>
            <w:tcW w:w="3085" w:type="dxa"/>
            <w:shd w:val="clear" w:color="auto" w:fill="auto"/>
          </w:tcPr>
          <w:p w:rsidR="000767FA" w:rsidRDefault="000767FA" w:rsidP="000767FA">
            <w:pPr>
              <w:pStyle w:val="Normal1linespace"/>
              <w:widowControl w:val="0"/>
              <w:jc w:val="left"/>
            </w:pPr>
            <w:r>
              <w:t>Solicitor for the Respondent</w:t>
            </w:r>
            <w:r w:rsidR="00AD1EA0">
              <w:t>s</w:t>
            </w:r>
            <w:r>
              <w:t>:</w:t>
            </w:r>
          </w:p>
        </w:tc>
        <w:tc>
          <w:tcPr>
            <w:tcW w:w="5989" w:type="dxa"/>
            <w:shd w:val="clear" w:color="auto" w:fill="auto"/>
          </w:tcPr>
          <w:p w:rsidR="000767FA" w:rsidRDefault="00AD1EA0" w:rsidP="000767FA">
            <w:pPr>
              <w:pStyle w:val="Normal1linespace"/>
              <w:widowControl w:val="0"/>
              <w:jc w:val="left"/>
            </w:pPr>
            <w:r>
              <w:t>Thomson Geer</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3B3020">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3B3020">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3B3020">
            <w:pPr>
              <w:pStyle w:val="NormalHeadings"/>
              <w:tabs>
                <w:tab w:val="right" w:pos="3609"/>
              </w:tabs>
              <w:jc w:val="right"/>
              <w:rPr>
                <w:szCs w:val="24"/>
              </w:rPr>
            </w:pPr>
            <w:bookmarkStart w:id="12" w:name="Num"/>
            <w:r>
              <w:rPr>
                <w:szCs w:val="24"/>
              </w:rPr>
              <w:t>NSD 1051 of 2014</w:t>
            </w:r>
            <w:bookmarkEnd w:id="12"/>
          </w:p>
        </w:tc>
      </w:tr>
    </w:tbl>
    <w:p w:rsidR="00395B24" w:rsidRPr="003B3020" w:rsidRDefault="002C7385">
      <w:pPr>
        <w:pStyle w:val="AppealTable"/>
        <w:rPr>
          <w:sz w:val="24"/>
        </w:rPr>
      </w:pPr>
      <w:bookmarkStart w:id="13" w:name="AppealTable"/>
      <w:r w:rsidRPr="003B3020">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3B3020" w:rsidRDefault="003B3020">
            <w:pPr>
              <w:pStyle w:val="NormalHeadings"/>
              <w:jc w:val="left"/>
              <w:rPr>
                <w:szCs w:val="24"/>
              </w:rPr>
            </w:pPr>
            <w:bookmarkStart w:id="15" w:name="Applicant"/>
            <w:r>
              <w:rPr>
                <w:szCs w:val="24"/>
              </w:rPr>
              <w:t>DALLAS BUYERS CLUB</w:t>
            </w:r>
            <w:r w:rsidR="00AD1EA0">
              <w:rPr>
                <w:szCs w:val="24"/>
              </w:rPr>
              <w:t>, LLC</w:t>
            </w:r>
          </w:p>
          <w:p w:rsidR="003B3020" w:rsidRDefault="003B3020">
            <w:pPr>
              <w:pStyle w:val="NormalHeadings"/>
              <w:jc w:val="left"/>
              <w:rPr>
                <w:szCs w:val="24"/>
              </w:rPr>
            </w:pPr>
            <w:r>
              <w:rPr>
                <w:szCs w:val="24"/>
              </w:rPr>
              <w:t>Applicant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B3020" w:rsidRDefault="003B3020">
            <w:pPr>
              <w:pStyle w:val="NormalHeadings"/>
              <w:jc w:val="left"/>
              <w:rPr>
                <w:szCs w:val="24"/>
              </w:rPr>
            </w:pPr>
            <w:bookmarkStart w:id="16" w:name="Respondent"/>
            <w:proofErr w:type="spellStart"/>
            <w:r>
              <w:rPr>
                <w:szCs w:val="24"/>
              </w:rPr>
              <w:t>IINET</w:t>
            </w:r>
            <w:proofErr w:type="spellEnd"/>
            <w:r>
              <w:rPr>
                <w:szCs w:val="24"/>
              </w:rPr>
              <w:t xml:space="preserve"> LIMITED </w:t>
            </w:r>
          </w:p>
          <w:p w:rsidR="003B3020" w:rsidRDefault="003213E6">
            <w:pPr>
              <w:pStyle w:val="NormalHeadings"/>
              <w:jc w:val="left"/>
              <w:rPr>
                <w:szCs w:val="24"/>
              </w:rPr>
            </w:pPr>
            <w:r>
              <w:rPr>
                <w:szCs w:val="24"/>
              </w:rPr>
              <w:t>First R</w:t>
            </w:r>
            <w:r w:rsidR="003B3020">
              <w:rPr>
                <w:szCs w:val="24"/>
              </w:rPr>
              <w:t>espondent</w:t>
            </w:r>
          </w:p>
          <w:p w:rsidR="00AD1EA0" w:rsidRDefault="00AD1EA0">
            <w:pPr>
              <w:pStyle w:val="NormalHeadings"/>
              <w:jc w:val="left"/>
              <w:rPr>
                <w:szCs w:val="24"/>
              </w:rPr>
            </w:pPr>
          </w:p>
          <w:p w:rsidR="00AD1EA0" w:rsidRDefault="00AD1EA0">
            <w:pPr>
              <w:pStyle w:val="NormalHeadings"/>
              <w:jc w:val="left"/>
              <w:rPr>
                <w:szCs w:val="24"/>
              </w:rPr>
            </w:pPr>
            <w:r>
              <w:rPr>
                <w:szCs w:val="24"/>
              </w:rPr>
              <w:t>INTERNODE PTY LTD</w:t>
            </w:r>
          </w:p>
          <w:p w:rsidR="00AD1EA0" w:rsidRDefault="003213E6">
            <w:pPr>
              <w:pStyle w:val="NormalHeadings"/>
              <w:jc w:val="left"/>
              <w:rPr>
                <w:szCs w:val="24"/>
              </w:rPr>
            </w:pPr>
            <w:r>
              <w:rPr>
                <w:szCs w:val="24"/>
              </w:rPr>
              <w:t>Second R</w:t>
            </w:r>
            <w:r w:rsidR="00AD1EA0">
              <w:rPr>
                <w:szCs w:val="24"/>
              </w:rPr>
              <w:t>espondent</w:t>
            </w:r>
          </w:p>
          <w:p w:rsidR="00AD1EA0" w:rsidRDefault="00AD1EA0">
            <w:pPr>
              <w:pStyle w:val="NormalHeadings"/>
              <w:jc w:val="left"/>
              <w:rPr>
                <w:szCs w:val="24"/>
              </w:rPr>
            </w:pPr>
          </w:p>
          <w:p w:rsidR="00AD1EA0" w:rsidRDefault="00AD1EA0">
            <w:pPr>
              <w:pStyle w:val="NormalHeadings"/>
              <w:jc w:val="left"/>
              <w:rPr>
                <w:szCs w:val="24"/>
              </w:rPr>
            </w:pPr>
            <w:proofErr w:type="spellStart"/>
            <w:r>
              <w:rPr>
                <w:szCs w:val="24"/>
              </w:rPr>
              <w:t>AMNET</w:t>
            </w:r>
            <w:proofErr w:type="spellEnd"/>
            <w:r>
              <w:rPr>
                <w:szCs w:val="24"/>
              </w:rPr>
              <w:t xml:space="preserve"> BROADBAND PTY LTD</w:t>
            </w:r>
          </w:p>
          <w:p w:rsidR="00AD1EA0" w:rsidRDefault="003213E6">
            <w:pPr>
              <w:pStyle w:val="NormalHeadings"/>
              <w:jc w:val="left"/>
              <w:rPr>
                <w:szCs w:val="24"/>
              </w:rPr>
            </w:pPr>
            <w:r>
              <w:rPr>
                <w:szCs w:val="24"/>
              </w:rPr>
              <w:t>Third R</w:t>
            </w:r>
            <w:r w:rsidR="00AD1EA0">
              <w:rPr>
                <w:szCs w:val="24"/>
              </w:rPr>
              <w:t>espondent</w:t>
            </w:r>
          </w:p>
          <w:p w:rsidR="00AD1EA0" w:rsidRDefault="00AD1EA0">
            <w:pPr>
              <w:pStyle w:val="NormalHeadings"/>
              <w:jc w:val="left"/>
              <w:rPr>
                <w:szCs w:val="24"/>
              </w:rPr>
            </w:pPr>
          </w:p>
          <w:p w:rsidR="00AD1EA0" w:rsidRDefault="00AD1EA0">
            <w:pPr>
              <w:pStyle w:val="NormalHeadings"/>
              <w:jc w:val="left"/>
              <w:rPr>
                <w:szCs w:val="24"/>
              </w:rPr>
            </w:pPr>
            <w:r>
              <w:rPr>
                <w:szCs w:val="24"/>
              </w:rPr>
              <w:t>DODO SERVICES PTY LTD</w:t>
            </w:r>
          </w:p>
          <w:p w:rsidR="00AD1EA0" w:rsidRDefault="00AD1EA0">
            <w:pPr>
              <w:pStyle w:val="NormalHeadings"/>
              <w:jc w:val="left"/>
              <w:rPr>
                <w:szCs w:val="24"/>
              </w:rPr>
            </w:pPr>
            <w:r>
              <w:rPr>
                <w:szCs w:val="24"/>
              </w:rPr>
              <w:t>Four</w:t>
            </w:r>
            <w:r w:rsidR="003213E6">
              <w:rPr>
                <w:szCs w:val="24"/>
              </w:rPr>
              <w:t>th R</w:t>
            </w:r>
            <w:r>
              <w:rPr>
                <w:szCs w:val="24"/>
              </w:rPr>
              <w:t>espondent</w:t>
            </w:r>
          </w:p>
          <w:p w:rsidR="00AD1EA0" w:rsidRDefault="00AD1EA0">
            <w:pPr>
              <w:pStyle w:val="NormalHeadings"/>
              <w:jc w:val="left"/>
              <w:rPr>
                <w:szCs w:val="24"/>
              </w:rPr>
            </w:pPr>
          </w:p>
          <w:p w:rsidR="00AD1EA0" w:rsidRDefault="00AD1EA0">
            <w:pPr>
              <w:pStyle w:val="NormalHeadings"/>
              <w:jc w:val="left"/>
              <w:rPr>
                <w:szCs w:val="24"/>
              </w:rPr>
            </w:pPr>
            <w:r>
              <w:rPr>
                <w:szCs w:val="24"/>
              </w:rPr>
              <w:t>ADAM INTERNET PTY LTD</w:t>
            </w:r>
          </w:p>
          <w:p w:rsidR="00AD1EA0" w:rsidRDefault="003213E6">
            <w:pPr>
              <w:pStyle w:val="NormalHeadings"/>
              <w:jc w:val="left"/>
              <w:rPr>
                <w:szCs w:val="24"/>
              </w:rPr>
            </w:pPr>
            <w:r>
              <w:rPr>
                <w:szCs w:val="24"/>
              </w:rPr>
              <w:t>Fifth R</w:t>
            </w:r>
            <w:r w:rsidR="00AD1EA0">
              <w:rPr>
                <w:szCs w:val="24"/>
              </w:rPr>
              <w:t>espondent</w:t>
            </w:r>
          </w:p>
          <w:p w:rsidR="00AD1EA0" w:rsidRDefault="00AD1EA0">
            <w:pPr>
              <w:pStyle w:val="NormalHeadings"/>
              <w:jc w:val="left"/>
              <w:rPr>
                <w:szCs w:val="24"/>
              </w:rPr>
            </w:pPr>
          </w:p>
          <w:p w:rsidR="00AD1EA0" w:rsidRDefault="00AD1EA0">
            <w:pPr>
              <w:pStyle w:val="NormalHeadings"/>
              <w:jc w:val="left"/>
              <w:rPr>
                <w:szCs w:val="24"/>
              </w:rPr>
            </w:pPr>
            <w:r>
              <w:rPr>
                <w:szCs w:val="24"/>
              </w:rPr>
              <w:t>WIDEBAND NETWORKS PTY LTD</w:t>
            </w:r>
          </w:p>
          <w:p w:rsidR="00395B24" w:rsidRDefault="003213E6">
            <w:pPr>
              <w:pStyle w:val="NormalHeadings"/>
              <w:jc w:val="left"/>
              <w:rPr>
                <w:szCs w:val="24"/>
              </w:rPr>
            </w:pPr>
            <w:r>
              <w:rPr>
                <w:szCs w:val="24"/>
              </w:rPr>
              <w:t>Sixth R</w:t>
            </w:r>
            <w:r w:rsidR="00AD1EA0">
              <w:rPr>
                <w:szCs w:val="24"/>
              </w:rPr>
              <w:t>espondent</w:t>
            </w:r>
            <w:bookmarkEnd w:id="16"/>
          </w:p>
          <w:p w:rsidR="00AD1EA0" w:rsidRDefault="00AD1EA0">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3B3020">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594814">
            <w:pPr>
              <w:pStyle w:val="NormalHeadings"/>
              <w:jc w:val="left"/>
              <w:rPr>
                <w:caps/>
                <w:szCs w:val="24"/>
              </w:rPr>
            </w:pPr>
            <w:bookmarkStart w:id="18" w:name="Judge"/>
            <w:r>
              <w:rPr>
                <w:caps/>
                <w:szCs w:val="24"/>
              </w:rPr>
              <w:t>PERRAM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D1EA0">
            <w:pPr>
              <w:pStyle w:val="NormalHeadings"/>
              <w:jc w:val="left"/>
              <w:rPr>
                <w:caps/>
                <w:szCs w:val="24"/>
              </w:rPr>
            </w:pPr>
            <w:bookmarkStart w:id="19" w:name="Judgment_Dated"/>
            <w:r>
              <w:rPr>
                <w:caps/>
                <w:szCs w:val="24"/>
              </w:rPr>
              <w:t>17</w:t>
            </w:r>
            <w:r w:rsidR="003B3020">
              <w:rPr>
                <w:caps/>
                <w:szCs w:val="24"/>
              </w:rPr>
              <w:t xml:space="preserve"> NOVEMBER 2014</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3B3020">
            <w:pPr>
              <w:pStyle w:val="NormalHeadings"/>
              <w:jc w:val="left"/>
              <w:rPr>
                <w:caps/>
                <w:szCs w:val="24"/>
              </w:rPr>
            </w:pPr>
            <w:bookmarkStart w:id="20" w:name="Place"/>
            <w:r>
              <w:rPr>
                <w:caps/>
                <w:szCs w:val="24"/>
              </w:rPr>
              <w:t>SYDNEY</w:t>
            </w:r>
            <w:bookmarkEnd w:id="20"/>
          </w:p>
        </w:tc>
      </w:tr>
    </w:tbl>
    <w:p w:rsidR="00395B24" w:rsidRDefault="00395B24">
      <w:pPr>
        <w:pStyle w:val="NormalHeadings"/>
        <w:rPr>
          <w:b w:val="0"/>
        </w:rPr>
      </w:pPr>
    </w:p>
    <w:p w:rsidR="000E5223" w:rsidRDefault="000E5223">
      <w:pPr>
        <w:pStyle w:val="NormalHeadings"/>
        <w:rPr>
          <w:b w:val="0"/>
        </w:rPr>
      </w:pPr>
    </w:p>
    <w:p w:rsidR="000E5223" w:rsidRDefault="000E5223">
      <w:pPr>
        <w:pStyle w:val="NormalHeadings"/>
        <w:rPr>
          <w:b w:val="0"/>
        </w:rPr>
      </w:pPr>
    </w:p>
    <w:p w:rsidR="00395B24" w:rsidRDefault="002C7385">
      <w:pPr>
        <w:pStyle w:val="NormalHeadings"/>
      </w:pPr>
      <w:r>
        <w:t>THE COURT ORDERS THAT:</w:t>
      </w:r>
    </w:p>
    <w:p w:rsidR="00395B24" w:rsidRDefault="00395B24">
      <w:pPr>
        <w:pStyle w:val="NormalHeadings"/>
      </w:pPr>
    </w:p>
    <w:p w:rsidR="00712B6F" w:rsidRDefault="00712B6F">
      <w:pPr>
        <w:pStyle w:val="NormalHeadings"/>
      </w:pPr>
    </w:p>
    <w:p w:rsidR="00395B24" w:rsidRDefault="000E5223" w:rsidP="00274F5B">
      <w:pPr>
        <w:pStyle w:val="Order1"/>
      </w:pPr>
      <w:bookmarkStart w:id="21" w:name="Order_Start_Text"/>
      <w:bookmarkEnd w:id="21"/>
      <w:r>
        <w:t xml:space="preserve">The </w:t>
      </w:r>
      <w:r w:rsidR="00DB4DF2">
        <w:t xml:space="preserve">third party </w:t>
      </w:r>
      <w:r>
        <w:t xml:space="preserve">applications for access to </w:t>
      </w:r>
      <w:r w:rsidR="00AF4289">
        <w:t>restricted documents on the Court file</w:t>
      </w:r>
      <w:r>
        <w:t xml:space="preserve"> be refused</w:t>
      </w:r>
      <w:r w:rsidR="00AF4289">
        <w:t xml:space="preserve"> at this stage</w:t>
      </w:r>
      <w:r w:rsidR="00DB4DF2">
        <w:t xml:space="preserve">, except where access to the affidavit of Mr Phillips sworn 16 November 2014 </w:t>
      </w:r>
      <w:r w:rsidR="00890CB2">
        <w:t xml:space="preserve">and/or the notice to produce filed 3 November 2014 </w:t>
      </w:r>
      <w:r w:rsidR="00DB4DF2">
        <w:t>is sought</w:t>
      </w:r>
      <w:r>
        <w:t>.</w:t>
      </w:r>
    </w:p>
    <w:p w:rsidR="00E10403" w:rsidRDefault="00E10403" w:rsidP="00274F5B">
      <w:pPr>
        <w:pStyle w:val="Order1"/>
      </w:pPr>
      <w:r>
        <w:t xml:space="preserve">Where </w:t>
      </w:r>
      <w:r w:rsidR="00890CB2">
        <w:t xml:space="preserve">the </w:t>
      </w:r>
      <w:r>
        <w:t xml:space="preserve">third party </w:t>
      </w:r>
      <w:r w:rsidR="00890CB2">
        <w:t xml:space="preserve">applicants seek </w:t>
      </w:r>
      <w:r>
        <w:t>access to unrestricted</w:t>
      </w:r>
      <w:r w:rsidR="00890CB2">
        <w:t xml:space="preserve"> documents, </w:t>
      </w:r>
      <w:r>
        <w:t>access be granted.</w:t>
      </w:r>
    </w:p>
    <w:p w:rsidR="000E5223" w:rsidRDefault="000E5223"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3B3020">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3B3020">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3B3020" w:rsidRPr="003B3020">
              <w:rPr>
                <w:caps/>
                <w:szCs w:val="24"/>
              </w:rPr>
              <w:t>NSD</w:t>
            </w:r>
            <w:proofErr w:type="spellEnd"/>
            <w:r w:rsidR="003B3020">
              <w:rPr>
                <w:szCs w:val="24"/>
              </w:rPr>
              <w:t xml:space="preserve"> 1051 of 2014</w:t>
            </w:r>
            <w:r>
              <w:rPr>
                <w:caps/>
                <w:szCs w:val="24"/>
              </w:rPr>
              <w:fldChar w:fldCharType="end"/>
            </w:r>
          </w:p>
        </w:tc>
      </w:tr>
    </w:tbl>
    <w:p w:rsidR="00395B24" w:rsidRDefault="003F391C">
      <w:pPr>
        <w:pStyle w:val="AppealTable"/>
      </w:pPr>
      <w:fldSimple w:instr=" Ref AppealTable  \* MERGEFORMAT " w:fldLock="1">
        <w:r w:rsidR="003B3020" w:rsidRPr="003B3020">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3B3020"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3B3020" w:rsidRPr="003B3020">
              <w:rPr>
                <w:caps/>
                <w:szCs w:val="24"/>
              </w:rPr>
              <w:t>DALLAS</w:t>
            </w:r>
            <w:r w:rsidR="003B3020">
              <w:rPr>
                <w:szCs w:val="24"/>
              </w:rPr>
              <w:t xml:space="preserve"> BUYERS CLUB</w:t>
            </w:r>
            <w:r w:rsidR="003A195E">
              <w:rPr>
                <w:szCs w:val="24"/>
              </w:rPr>
              <w:t>, LLC</w:t>
            </w:r>
          </w:p>
          <w:p w:rsidR="003B3020" w:rsidRDefault="003B3020">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B3020"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roofErr w:type="spellStart"/>
            <w:r w:rsidR="003B3020" w:rsidRPr="003B3020">
              <w:rPr>
                <w:caps/>
                <w:szCs w:val="24"/>
              </w:rPr>
              <w:t>IINET</w:t>
            </w:r>
            <w:proofErr w:type="spellEnd"/>
            <w:r w:rsidR="003B3020">
              <w:rPr>
                <w:szCs w:val="24"/>
              </w:rPr>
              <w:t xml:space="preserve"> LIMITED </w:t>
            </w:r>
          </w:p>
          <w:p w:rsidR="003B3020" w:rsidRDefault="003213E6">
            <w:pPr>
              <w:pStyle w:val="NormalHeadings"/>
              <w:jc w:val="left"/>
              <w:rPr>
                <w:szCs w:val="24"/>
              </w:rPr>
            </w:pPr>
            <w:r>
              <w:rPr>
                <w:szCs w:val="24"/>
              </w:rPr>
              <w:t>First R</w:t>
            </w:r>
            <w:r w:rsidR="003B3020">
              <w:rPr>
                <w:szCs w:val="24"/>
              </w:rPr>
              <w:t>espondent</w:t>
            </w:r>
          </w:p>
          <w:p w:rsidR="003A195E" w:rsidRDefault="003A195E">
            <w:pPr>
              <w:pStyle w:val="NormalHeadings"/>
              <w:jc w:val="left"/>
              <w:rPr>
                <w:szCs w:val="24"/>
              </w:rPr>
            </w:pPr>
          </w:p>
          <w:p w:rsidR="003A195E" w:rsidRDefault="003A195E" w:rsidP="003A195E">
            <w:pPr>
              <w:pStyle w:val="NormalHeadings"/>
              <w:jc w:val="left"/>
              <w:rPr>
                <w:szCs w:val="24"/>
              </w:rPr>
            </w:pPr>
            <w:r>
              <w:rPr>
                <w:szCs w:val="24"/>
              </w:rPr>
              <w:t>INTERNODE PTY LTD</w:t>
            </w:r>
          </w:p>
          <w:p w:rsidR="003A195E" w:rsidRDefault="003213E6" w:rsidP="003A195E">
            <w:pPr>
              <w:pStyle w:val="NormalHeadings"/>
              <w:jc w:val="left"/>
              <w:rPr>
                <w:szCs w:val="24"/>
              </w:rPr>
            </w:pPr>
            <w:r>
              <w:rPr>
                <w:szCs w:val="24"/>
              </w:rPr>
              <w:t>Second R</w:t>
            </w:r>
            <w:r w:rsidR="003A195E">
              <w:rPr>
                <w:szCs w:val="24"/>
              </w:rPr>
              <w:t>espondent</w:t>
            </w:r>
          </w:p>
          <w:p w:rsidR="003A195E" w:rsidRDefault="003A195E" w:rsidP="003A195E">
            <w:pPr>
              <w:pStyle w:val="NormalHeadings"/>
              <w:jc w:val="left"/>
              <w:rPr>
                <w:szCs w:val="24"/>
              </w:rPr>
            </w:pPr>
          </w:p>
          <w:p w:rsidR="003A195E" w:rsidRDefault="003A195E" w:rsidP="003A195E">
            <w:pPr>
              <w:pStyle w:val="NormalHeadings"/>
              <w:jc w:val="left"/>
              <w:rPr>
                <w:szCs w:val="24"/>
              </w:rPr>
            </w:pPr>
            <w:proofErr w:type="spellStart"/>
            <w:r>
              <w:rPr>
                <w:szCs w:val="24"/>
              </w:rPr>
              <w:t>AMNET</w:t>
            </w:r>
            <w:proofErr w:type="spellEnd"/>
            <w:r>
              <w:rPr>
                <w:szCs w:val="24"/>
              </w:rPr>
              <w:t xml:space="preserve"> BROADBAND PTY LTD</w:t>
            </w:r>
          </w:p>
          <w:p w:rsidR="003A195E" w:rsidRDefault="003213E6" w:rsidP="003A195E">
            <w:pPr>
              <w:pStyle w:val="NormalHeadings"/>
              <w:jc w:val="left"/>
              <w:rPr>
                <w:szCs w:val="24"/>
              </w:rPr>
            </w:pPr>
            <w:r>
              <w:rPr>
                <w:szCs w:val="24"/>
              </w:rPr>
              <w:t>Third R</w:t>
            </w:r>
            <w:r w:rsidR="003A195E">
              <w:rPr>
                <w:szCs w:val="24"/>
              </w:rPr>
              <w:t>espondent</w:t>
            </w:r>
          </w:p>
          <w:p w:rsidR="003A195E" w:rsidRDefault="003A195E" w:rsidP="003A195E">
            <w:pPr>
              <w:pStyle w:val="NormalHeadings"/>
              <w:jc w:val="left"/>
              <w:rPr>
                <w:szCs w:val="24"/>
              </w:rPr>
            </w:pPr>
          </w:p>
          <w:p w:rsidR="003A195E" w:rsidRDefault="003A195E" w:rsidP="003A195E">
            <w:pPr>
              <w:pStyle w:val="NormalHeadings"/>
              <w:jc w:val="left"/>
              <w:rPr>
                <w:szCs w:val="24"/>
              </w:rPr>
            </w:pPr>
            <w:r>
              <w:rPr>
                <w:szCs w:val="24"/>
              </w:rPr>
              <w:t>DODO SERVICES PTY LTD</w:t>
            </w:r>
          </w:p>
          <w:p w:rsidR="003A195E" w:rsidRDefault="003A195E" w:rsidP="003A195E">
            <w:pPr>
              <w:pStyle w:val="NormalHeadings"/>
              <w:jc w:val="left"/>
              <w:rPr>
                <w:szCs w:val="24"/>
              </w:rPr>
            </w:pPr>
            <w:r>
              <w:rPr>
                <w:szCs w:val="24"/>
              </w:rPr>
              <w:t>Four</w:t>
            </w:r>
            <w:r w:rsidR="003213E6">
              <w:rPr>
                <w:szCs w:val="24"/>
              </w:rPr>
              <w:t>th R</w:t>
            </w:r>
            <w:r>
              <w:rPr>
                <w:szCs w:val="24"/>
              </w:rPr>
              <w:t>espondent</w:t>
            </w:r>
          </w:p>
          <w:p w:rsidR="003A195E" w:rsidRDefault="003A195E" w:rsidP="003A195E">
            <w:pPr>
              <w:pStyle w:val="NormalHeadings"/>
              <w:jc w:val="left"/>
              <w:rPr>
                <w:szCs w:val="24"/>
              </w:rPr>
            </w:pPr>
          </w:p>
          <w:p w:rsidR="003A195E" w:rsidRDefault="003A195E" w:rsidP="003A195E">
            <w:pPr>
              <w:pStyle w:val="NormalHeadings"/>
              <w:jc w:val="left"/>
              <w:rPr>
                <w:szCs w:val="24"/>
              </w:rPr>
            </w:pPr>
            <w:r>
              <w:rPr>
                <w:szCs w:val="24"/>
              </w:rPr>
              <w:t>ADAM INTERNET PTY LTD</w:t>
            </w:r>
          </w:p>
          <w:p w:rsidR="003A195E" w:rsidRDefault="003213E6" w:rsidP="003A195E">
            <w:pPr>
              <w:pStyle w:val="NormalHeadings"/>
              <w:jc w:val="left"/>
              <w:rPr>
                <w:szCs w:val="24"/>
              </w:rPr>
            </w:pPr>
            <w:r>
              <w:rPr>
                <w:szCs w:val="24"/>
              </w:rPr>
              <w:t>Fifth R</w:t>
            </w:r>
            <w:r w:rsidR="003A195E">
              <w:rPr>
                <w:szCs w:val="24"/>
              </w:rPr>
              <w:t>espondent</w:t>
            </w:r>
          </w:p>
          <w:p w:rsidR="003A195E" w:rsidRDefault="003A195E" w:rsidP="003A195E">
            <w:pPr>
              <w:pStyle w:val="NormalHeadings"/>
              <w:jc w:val="left"/>
              <w:rPr>
                <w:szCs w:val="24"/>
              </w:rPr>
            </w:pPr>
          </w:p>
          <w:p w:rsidR="003A195E" w:rsidRDefault="003A195E" w:rsidP="003A195E">
            <w:pPr>
              <w:pStyle w:val="NormalHeadings"/>
              <w:jc w:val="left"/>
              <w:rPr>
                <w:szCs w:val="24"/>
              </w:rPr>
            </w:pPr>
            <w:r>
              <w:rPr>
                <w:szCs w:val="24"/>
              </w:rPr>
              <w:t>WIDEBAND NETWORKS PTY LTD</w:t>
            </w:r>
          </w:p>
          <w:p w:rsidR="003A195E" w:rsidRDefault="003213E6">
            <w:pPr>
              <w:pStyle w:val="NormalHeadings"/>
              <w:jc w:val="left"/>
              <w:rPr>
                <w:szCs w:val="24"/>
              </w:rPr>
            </w:pPr>
            <w:r>
              <w:rPr>
                <w:szCs w:val="24"/>
              </w:rPr>
              <w:t>Sixth R</w:t>
            </w:r>
            <w:r w:rsidR="003A195E">
              <w:rPr>
                <w:szCs w:val="24"/>
              </w:rPr>
              <w:t>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3B3020">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3B3020">
              <w:rPr>
                <w:caps/>
                <w:szCs w:val="24"/>
              </w:rPr>
              <w:t>PERRAM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3A195E">
              <w:rPr>
                <w:caps/>
                <w:szCs w:val="24"/>
              </w:rPr>
              <w:t>17</w:t>
            </w:r>
            <w:r w:rsidR="003B3020">
              <w:rPr>
                <w:caps/>
                <w:szCs w:val="24"/>
              </w:rPr>
              <w:t xml:space="preserve"> NOVEMBER 2014</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3B3020">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624520" w:rsidP="00624520">
      <w:pPr>
        <w:pStyle w:val="BodyText"/>
      </w:pPr>
    </w:p>
    <w:p w:rsidR="003B3020" w:rsidRDefault="003B3020" w:rsidP="003B3020">
      <w:pPr>
        <w:pStyle w:val="ParaNumbering"/>
      </w:pPr>
      <w:r>
        <w:t xml:space="preserve">The Court has received several applications from the press </w:t>
      </w:r>
      <w:r w:rsidR="003A195E">
        <w:t xml:space="preserve">and other interested parties </w:t>
      </w:r>
      <w:r>
        <w:t xml:space="preserve">for access to documents on the Court file.  It is not the usual practice of the Court to publish reasons on the disposition of such applications but on this occasion I have thought it </w:t>
      </w:r>
      <w:r w:rsidR="000D7270">
        <w:t>expedient</w:t>
      </w:r>
      <w:r>
        <w:t xml:space="preserve"> to explain the course which I have concluded the Court should take.</w:t>
      </w:r>
      <w:r w:rsidR="003A195E">
        <w:t xml:space="preserve"> </w:t>
      </w:r>
    </w:p>
    <w:p w:rsidR="003B3020" w:rsidRDefault="003B3020" w:rsidP="003B3020">
      <w:pPr>
        <w:pStyle w:val="ParaNumbering"/>
      </w:pPr>
      <w:r>
        <w:t>The proceedings involve an application for preliminary discovery under Federal Court Rule 7.22.  The applicant for preliminary discovery is the Dallas Buyers Club</w:t>
      </w:r>
      <w:r w:rsidR="003A195E">
        <w:t xml:space="preserve"> LLC</w:t>
      </w:r>
      <w:r>
        <w:t xml:space="preserve"> which I assume is the owner of the copyright in Australia of the 2013 </w:t>
      </w:r>
      <w:r w:rsidR="003A195E">
        <w:t>Jean-</w:t>
      </w:r>
      <w:r w:rsidR="00AD574D">
        <w:t xml:space="preserve">Marc </w:t>
      </w:r>
      <w:proofErr w:type="spellStart"/>
      <w:r w:rsidR="00AD574D">
        <w:t>Vall</w:t>
      </w:r>
      <w:r w:rsidR="003A195E">
        <w:t>é</w:t>
      </w:r>
      <w:r w:rsidR="00AD574D">
        <w:t>e</w:t>
      </w:r>
      <w:proofErr w:type="spellEnd"/>
      <w:r w:rsidR="00AD574D">
        <w:t xml:space="preserve"> </w:t>
      </w:r>
      <w:r>
        <w:t>film</w:t>
      </w:r>
      <w:r w:rsidR="00AD574D">
        <w:t>,</w:t>
      </w:r>
      <w:r>
        <w:t xml:space="preserve"> Dallas Buyers Club</w:t>
      </w:r>
      <w:r w:rsidR="00AD574D">
        <w:t>,</w:t>
      </w:r>
      <w:r>
        <w:t xml:space="preserve"> or an entity having the right to distribute that film in Australia.  </w:t>
      </w:r>
      <w:r w:rsidR="00AD574D">
        <w:t>Despite David Stra</w:t>
      </w:r>
      <w:r w:rsidR="003A195E">
        <w:t>t</w:t>
      </w:r>
      <w:r w:rsidR="00AD574D">
        <w:t>ton’s description of the f</w:t>
      </w:r>
      <w:r w:rsidR="003A195E">
        <w:t>ilm as being ‘a little bit hand-</w:t>
      </w:r>
      <w:r w:rsidR="00AD574D">
        <w:t xml:space="preserve">held at times’ albeit ‘not </w:t>
      </w:r>
      <w:r w:rsidR="00AD574D">
        <w:lastRenderedPageBreak/>
        <w:t>excessively so’, p</w:t>
      </w:r>
      <w:r>
        <w:t xml:space="preserve">ersons have apparently been downloading copies of </w:t>
      </w:r>
      <w:r w:rsidR="00AD574D">
        <w:t>it</w:t>
      </w:r>
      <w:r>
        <w:t xml:space="preserve"> for use in Australia using peer-to-peer file sharing.  The respondents to the application for preliminary discovery are several telecommunications companies providing broadband internet services to the public.  I will call them ‘the </w:t>
      </w:r>
      <w:r w:rsidR="00AD574D">
        <w:t>internet</w:t>
      </w:r>
      <w:r w:rsidR="003A195E">
        <w:t xml:space="preserve"> service</w:t>
      </w:r>
      <w:r w:rsidR="00AD574D">
        <w:t xml:space="preserve"> </w:t>
      </w:r>
      <w:r w:rsidR="003A195E">
        <w:t xml:space="preserve">providers’.  Dallas Buyers Club LLC </w:t>
      </w:r>
      <w:r>
        <w:t xml:space="preserve">has filed affidavits </w:t>
      </w:r>
      <w:r w:rsidR="003A195E">
        <w:t xml:space="preserve">and an expert report </w:t>
      </w:r>
      <w:r>
        <w:t xml:space="preserve">in support of its application for preliminary discovery but, so far, none of this material has been used in open court.  I have not been taken to it in open court nor, lacking any reason to do so, have I availed myself of the opportunity to inspect the material. </w:t>
      </w:r>
    </w:p>
    <w:p w:rsidR="003B3020" w:rsidRDefault="003B3020" w:rsidP="003B3020">
      <w:pPr>
        <w:pStyle w:val="ParaNumbering"/>
      </w:pPr>
      <w:r>
        <w:t>As I understa</w:t>
      </w:r>
      <w:r w:rsidR="003A195E">
        <w:t xml:space="preserve">nd the suit, Dallas Buyers Club LLC </w:t>
      </w:r>
      <w:r>
        <w:t xml:space="preserve">will seek to show that it has identified the IP addresses of persons who have been involved in the file sharing of </w:t>
      </w:r>
      <w:r w:rsidR="000C03A5">
        <w:t>its film</w:t>
      </w:r>
      <w:r>
        <w:t xml:space="preserve">.  The IP addresses which it has </w:t>
      </w:r>
      <w:r w:rsidR="000C03A5">
        <w:t>obtained</w:t>
      </w:r>
      <w:r>
        <w:t xml:space="preserve"> sufficiently identify the </w:t>
      </w:r>
      <w:r w:rsidR="00AD574D">
        <w:t xml:space="preserve">internet </w:t>
      </w:r>
      <w:r w:rsidR="003A195E">
        <w:t xml:space="preserve">service </w:t>
      </w:r>
      <w:r w:rsidR="00AD574D">
        <w:t xml:space="preserve">providers whose customers (or </w:t>
      </w:r>
      <w:r w:rsidR="000D7270">
        <w:t xml:space="preserve">whose </w:t>
      </w:r>
      <w:r w:rsidR="00AD574D">
        <w:t>customers’ accounts)</w:t>
      </w:r>
      <w:r>
        <w:t xml:space="preserve"> are being used </w:t>
      </w:r>
      <w:r w:rsidR="00AF4289">
        <w:t>to</w:t>
      </w:r>
      <w:r>
        <w:t xml:space="preserve"> download </w:t>
      </w:r>
      <w:r w:rsidR="000C03A5">
        <w:t xml:space="preserve">the film </w:t>
      </w:r>
      <w:r>
        <w:t xml:space="preserve">but </w:t>
      </w:r>
      <w:r w:rsidR="00AD574D">
        <w:t xml:space="preserve">they </w:t>
      </w:r>
      <w:r>
        <w:t xml:space="preserve">do not identify the </w:t>
      </w:r>
      <w:r w:rsidR="000D7270">
        <w:t>customers</w:t>
      </w:r>
      <w:r>
        <w:t xml:space="preserve"> themselves.  The thesis of the case, one assumes, is that the downloaders are infringing Dallas Buyers Club</w:t>
      </w:r>
      <w:r w:rsidR="003A195E">
        <w:t xml:space="preserve"> LLC’s</w:t>
      </w:r>
      <w:r>
        <w:t xml:space="preserve"> copyright by </w:t>
      </w:r>
      <w:r w:rsidR="000C03A5">
        <w:t xml:space="preserve">downloading the film </w:t>
      </w:r>
      <w:r>
        <w:t xml:space="preserve">through peer-to-peer </w:t>
      </w:r>
      <w:r w:rsidR="000C03A5">
        <w:t>sites</w:t>
      </w:r>
      <w:r>
        <w:t xml:space="preserve"> without its permission; that it has a right to sue </w:t>
      </w:r>
      <w:r w:rsidR="00AF4289">
        <w:t>th</w:t>
      </w:r>
      <w:r w:rsidR="00AD574D">
        <w:t>os</w:t>
      </w:r>
      <w:r w:rsidR="00AF4289">
        <w:t>e downloaders</w:t>
      </w:r>
      <w:r>
        <w:t xml:space="preserve"> for infringing its copyright</w:t>
      </w:r>
      <w:r w:rsidR="00890CB2">
        <w:t>;</w:t>
      </w:r>
      <w:r>
        <w:t xml:space="preserve"> and that the </w:t>
      </w:r>
      <w:r w:rsidR="000D7270">
        <w:t xml:space="preserve">internet </w:t>
      </w:r>
      <w:r w:rsidR="003A195E">
        <w:t xml:space="preserve">service </w:t>
      </w:r>
      <w:r>
        <w:t xml:space="preserve">providers can complete the picture for it by connecting </w:t>
      </w:r>
      <w:r w:rsidR="000D7270">
        <w:t xml:space="preserve">the </w:t>
      </w:r>
      <w:r>
        <w:t xml:space="preserve">IP addresses it already has to the names of </w:t>
      </w:r>
      <w:r w:rsidR="000D7270">
        <w:t xml:space="preserve">identifiable </w:t>
      </w:r>
      <w:r w:rsidR="00AD574D">
        <w:t>customers</w:t>
      </w:r>
      <w:r>
        <w:t>.</w:t>
      </w:r>
      <w:r w:rsidR="000C03A5">
        <w:t xml:space="preserve">  Presumably armed with the</w:t>
      </w:r>
      <w:r w:rsidR="000D7270">
        <w:t xml:space="preserve"> customers’ </w:t>
      </w:r>
      <w:r w:rsidR="000C03A5">
        <w:t>names it then proposes to sue the actual infringers.</w:t>
      </w:r>
    </w:p>
    <w:p w:rsidR="003B3020" w:rsidRDefault="003B3020" w:rsidP="003B3020">
      <w:pPr>
        <w:pStyle w:val="ParaNumbering"/>
      </w:pPr>
      <w:r>
        <w:t xml:space="preserve">There are a number of interesting aspects to this.  For example, </w:t>
      </w:r>
      <w:r w:rsidR="000D7270">
        <w:t xml:space="preserve">many </w:t>
      </w:r>
      <w:r>
        <w:t>people will be interested to know – no doubt – how</w:t>
      </w:r>
      <w:r w:rsidR="00AF4289">
        <w:t xml:space="preserve"> it is that</w:t>
      </w:r>
      <w:r>
        <w:t xml:space="preserve"> Dallas Buyers Club </w:t>
      </w:r>
      <w:r w:rsidR="003A195E">
        <w:t>LLC</w:t>
      </w:r>
      <w:r>
        <w:t xml:space="preserve"> has obtained the IP addresses of the persons involved in downloading its film.</w:t>
      </w:r>
      <w:r w:rsidR="000D7270">
        <w:t xml:space="preserve">  The present </w:t>
      </w:r>
      <w:r w:rsidR="003A195E">
        <w:t xml:space="preserve">inspection </w:t>
      </w:r>
      <w:r w:rsidR="000D7270">
        <w:t>applicants are presumably amongst that class.</w:t>
      </w:r>
      <w:r>
        <w:t xml:space="preserve">  Then</w:t>
      </w:r>
      <w:r w:rsidR="000D7270">
        <w:t>,</w:t>
      </w:r>
      <w:r>
        <w:t xml:space="preserve"> of course</w:t>
      </w:r>
      <w:r w:rsidR="000D7270">
        <w:t>,</w:t>
      </w:r>
      <w:r>
        <w:t xml:space="preserve"> there may be issues of privacy</w:t>
      </w:r>
      <w:r w:rsidR="000C03A5">
        <w:t xml:space="preserve">.  Further, there may be issues as to whether the downloader and the </w:t>
      </w:r>
      <w:r w:rsidR="000D7270">
        <w:t xml:space="preserve">customer are the same person and, assuming they are not, </w:t>
      </w:r>
      <w:r w:rsidR="000C03A5">
        <w:t>whether the latter should be responsible for the actions of the former.</w:t>
      </w:r>
    </w:p>
    <w:p w:rsidR="003B3020" w:rsidRDefault="003B3020" w:rsidP="003B3020">
      <w:pPr>
        <w:pStyle w:val="ParaNumbering"/>
      </w:pPr>
      <w:r>
        <w:t xml:space="preserve">Legally the </w:t>
      </w:r>
      <w:r w:rsidR="00AD574D">
        <w:t xml:space="preserve">present </w:t>
      </w:r>
      <w:r w:rsidR="003A195E">
        <w:t>application rests on r</w:t>
      </w:r>
      <w:r>
        <w:t xml:space="preserve">ule 7.22 </w:t>
      </w:r>
      <w:r w:rsidR="003A195E">
        <w:t xml:space="preserve">of the </w:t>
      </w:r>
      <w:r w:rsidR="003A195E">
        <w:rPr>
          <w:i/>
        </w:rPr>
        <w:t xml:space="preserve">Federal Court Rules 2011 </w:t>
      </w:r>
      <w:r w:rsidR="003A195E">
        <w:t xml:space="preserve">(Cth) </w:t>
      </w:r>
      <w:r>
        <w:t>which provides:</w:t>
      </w:r>
    </w:p>
    <w:p w:rsidR="000767FA" w:rsidRPr="003A195E" w:rsidRDefault="000767FA" w:rsidP="000767FA">
      <w:pPr>
        <w:pStyle w:val="Quote1"/>
        <w:ind w:left="1440" w:hanging="703"/>
        <w:rPr>
          <w:b/>
        </w:rPr>
      </w:pPr>
      <w:r w:rsidRPr="003A195E">
        <w:rPr>
          <w:b/>
        </w:rPr>
        <w:t>7.22  Order for discovery to ascertain description of respondent</w:t>
      </w:r>
    </w:p>
    <w:p w:rsidR="000767FA" w:rsidRDefault="000767FA" w:rsidP="000767FA">
      <w:pPr>
        <w:pStyle w:val="Quote1"/>
        <w:ind w:left="1440" w:hanging="703"/>
      </w:pPr>
    </w:p>
    <w:p w:rsidR="000767FA" w:rsidRDefault="000767FA" w:rsidP="000767FA">
      <w:pPr>
        <w:pStyle w:val="Quote1"/>
        <w:ind w:left="1440" w:hanging="703"/>
      </w:pPr>
      <w:r>
        <w:t>(1)</w:t>
      </w:r>
      <w:r>
        <w:tab/>
        <w:t xml:space="preserve">A prospective applicant may apply to the Court for an order under </w:t>
      </w:r>
      <w:proofErr w:type="spellStart"/>
      <w:r>
        <w:t>subrule</w:t>
      </w:r>
      <w:proofErr w:type="spellEnd"/>
      <w:r w:rsidR="003A195E">
        <w:t xml:space="preserve"> </w:t>
      </w:r>
      <w:r>
        <w:t>(2) if the prospective applicant satisfies the Court that:</w:t>
      </w:r>
    </w:p>
    <w:p w:rsidR="000767FA" w:rsidRDefault="000767FA" w:rsidP="000767FA">
      <w:pPr>
        <w:pStyle w:val="Quote2"/>
        <w:spacing w:before="80"/>
        <w:ind w:left="2160" w:hanging="720"/>
      </w:pPr>
      <w:r>
        <w:t>(a)</w:t>
      </w:r>
      <w:r>
        <w:tab/>
        <w:t>there may be a right for the prospective applicant to obtain relief against a prospective respondent; and</w:t>
      </w:r>
    </w:p>
    <w:p w:rsidR="000767FA" w:rsidRDefault="000767FA" w:rsidP="000767FA">
      <w:pPr>
        <w:pStyle w:val="Quote2"/>
        <w:spacing w:before="80"/>
        <w:ind w:left="2160" w:hanging="720"/>
      </w:pPr>
      <w:r>
        <w:t>(b)</w:t>
      </w:r>
      <w:r>
        <w:tab/>
        <w:t>the prospective applicant is unable to ascertain the description of the prospective respondent; and</w:t>
      </w:r>
    </w:p>
    <w:p w:rsidR="000767FA" w:rsidRDefault="000767FA" w:rsidP="000767FA">
      <w:pPr>
        <w:pStyle w:val="Quote2"/>
        <w:spacing w:before="80"/>
        <w:ind w:left="2160" w:hanging="720"/>
      </w:pPr>
      <w:r>
        <w:lastRenderedPageBreak/>
        <w:t>(c)</w:t>
      </w:r>
      <w:r>
        <w:tab/>
        <w:t>another person</w:t>
      </w:r>
      <w:r w:rsidR="003A195E">
        <w:t xml:space="preserve"> </w:t>
      </w:r>
      <w:r>
        <w:t xml:space="preserve">(the </w:t>
      </w:r>
      <w:r w:rsidRPr="003A195E">
        <w:rPr>
          <w:b/>
          <w:i/>
        </w:rPr>
        <w:t>other person</w:t>
      </w:r>
      <w:r>
        <w:t>):</w:t>
      </w:r>
    </w:p>
    <w:p w:rsidR="000767FA" w:rsidRDefault="000767FA" w:rsidP="000767FA">
      <w:pPr>
        <w:pStyle w:val="Quote3"/>
        <w:spacing w:before="80"/>
        <w:ind w:left="2880" w:hanging="720"/>
      </w:pPr>
      <w:r>
        <w:t xml:space="preserve"> (</w:t>
      </w:r>
      <w:proofErr w:type="spellStart"/>
      <w:r>
        <w:t>i</w:t>
      </w:r>
      <w:proofErr w:type="spellEnd"/>
      <w:r>
        <w:t>)</w:t>
      </w:r>
      <w:r>
        <w:tab/>
        <w:t>knows or is likely to know the prospective respondent’s description; or</w:t>
      </w:r>
    </w:p>
    <w:p w:rsidR="000767FA" w:rsidRDefault="000767FA" w:rsidP="000767FA">
      <w:pPr>
        <w:pStyle w:val="Quote3"/>
        <w:spacing w:before="80"/>
        <w:ind w:left="2880" w:hanging="720"/>
      </w:pPr>
      <w:r>
        <w:t>(ii)</w:t>
      </w:r>
      <w:r>
        <w:tab/>
        <w:t>has, or is likely to have, or has had, or is likely to have had, control of a document that would help ascertain the prospective respondent’s description.</w:t>
      </w:r>
    </w:p>
    <w:p w:rsidR="000767FA" w:rsidRDefault="000767FA" w:rsidP="000767FA">
      <w:pPr>
        <w:pStyle w:val="Quote1"/>
        <w:ind w:left="1440" w:hanging="703"/>
      </w:pPr>
    </w:p>
    <w:p w:rsidR="000767FA" w:rsidRDefault="000767FA" w:rsidP="000767FA">
      <w:pPr>
        <w:pStyle w:val="Quote1"/>
        <w:ind w:left="1440" w:hanging="703"/>
      </w:pPr>
      <w:r>
        <w:t>(2)</w:t>
      </w:r>
      <w:r>
        <w:tab/>
        <w:t xml:space="preserve">If the Court is satisfied of the matters mentioned in </w:t>
      </w:r>
      <w:proofErr w:type="spellStart"/>
      <w:r>
        <w:t>subrule</w:t>
      </w:r>
      <w:proofErr w:type="spellEnd"/>
      <w:r w:rsidR="003A195E">
        <w:t xml:space="preserve"> </w:t>
      </w:r>
      <w:r>
        <w:t>(1), the Court may order the other person:</w:t>
      </w:r>
    </w:p>
    <w:p w:rsidR="000767FA" w:rsidRDefault="000767FA" w:rsidP="000767FA">
      <w:pPr>
        <w:pStyle w:val="Quote2"/>
        <w:spacing w:before="80"/>
        <w:ind w:left="2160" w:hanging="720"/>
      </w:pPr>
      <w:r>
        <w:t>(a)</w:t>
      </w:r>
      <w:r>
        <w:tab/>
        <w:t>to attend before the Court to be examined orally only about the prospective respondent’s description; and</w:t>
      </w:r>
    </w:p>
    <w:p w:rsidR="000767FA" w:rsidRDefault="000767FA" w:rsidP="000767FA">
      <w:pPr>
        <w:pStyle w:val="Quote2"/>
        <w:spacing w:before="80"/>
        <w:ind w:left="2160" w:hanging="720"/>
      </w:pPr>
      <w:r>
        <w:t>(b)</w:t>
      </w:r>
      <w:r>
        <w:tab/>
        <w:t>to produce to the Court at that examination any document or thing in the person’s control relating to the prospective respondent’s description; and</w:t>
      </w:r>
    </w:p>
    <w:p w:rsidR="000767FA" w:rsidRDefault="000767FA" w:rsidP="000767FA">
      <w:pPr>
        <w:pStyle w:val="Quote2"/>
        <w:spacing w:before="80"/>
        <w:ind w:left="2160" w:hanging="720"/>
      </w:pPr>
      <w:r>
        <w:t>(c)</w:t>
      </w:r>
      <w:r>
        <w:tab/>
        <w:t>to give discovery to the prospective applicant of all documents that are or have been in the person’s control relating to the prospective respondent’s description.</w:t>
      </w:r>
    </w:p>
    <w:p w:rsidR="000767FA" w:rsidRDefault="000767FA" w:rsidP="000767FA">
      <w:pPr>
        <w:pStyle w:val="Quote1"/>
        <w:ind w:left="1440" w:hanging="703"/>
      </w:pPr>
    </w:p>
    <w:p w:rsidR="000767FA" w:rsidRPr="003A195E" w:rsidRDefault="000767FA" w:rsidP="000767FA">
      <w:pPr>
        <w:pStyle w:val="Quote1"/>
        <w:ind w:left="1440" w:hanging="703"/>
        <w:rPr>
          <w:sz w:val="20"/>
        </w:rPr>
      </w:pPr>
      <w:r w:rsidRPr="003A195E">
        <w:rPr>
          <w:sz w:val="20"/>
        </w:rPr>
        <w:t xml:space="preserve">Note 1:   </w:t>
      </w:r>
      <w:r w:rsidRPr="003A195E">
        <w:rPr>
          <w:b/>
          <w:i/>
          <w:sz w:val="20"/>
        </w:rPr>
        <w:t>Control</w:t>
      </w:r>
      <w:r w:rsidRPr="003A195E">
        <w:rPr>
          <w:sz w:val="20"/>
        </w:rPr>
        <w:t xml:space="preserve"> and </w:t>
      </w:r>
      <w:r w:rsidRPr="003A195E">
        <w:rPr>
          <w:b/>
          <w:i/>
          <w:sz w:val="20"/>
        </w:rPr>
        <w:t>description</w:t>
      </w:r>
      <w:r w:rsidRPr="003A195E">
        <w:rPr>
          <w:sz w:val="20"/>
        </w:rPr>
        <w:t xml:space="preserve"> are defined in the Dictionary.</w:t>
      </w:r>
    </w:p>
    <w:p w:rsidR="000767FA" w:rsidRPr="003A195E" w:rsidRDefault="000767FA" w:rsidP="000767FA">
      <w:pPr>
        <w:pStyle w:val="Quote1"/>
        <w:spacing w:before="80"/>
        <w:ind w:left="1440" w:hanging="703"/>
        <w:rPr>
          <w:sz w:val="20"/>
        </w:rPr>
      </w:pPr>
      <w:r w:rsidRPr="003A195E">
        <w:rPr>
          <w:sz w:val="20"/>
        </w:rPr>
        <w:t>Note 2:   For how discovery is to be made, see rule 7.25.</w:t>
      </w:r>
    </w:p>
    <w:p w:rsidR="000767FA" w:rsidRDefault="000767FA" w:rsidP="000767FA">
      <w:pPr>
        <w:pStyle w:val="Quote1"/>
        <w:ind w:left="1440" w:hanging="703"/>
      </w:pPr>
    </w:p>
    <w:p w:rsidR="000767FA" w:rsidRDefault="000767FA" w:rsidP="000767FA">
      <w:pPr>
        <w:pStyle w:val="Quote1"/>
        <w:ind w:left="1440" w:hanging="703"/>
      </w:pPr>
      <w:r>
        <w:t>(3)</w:t>
      </w:r>
      <w:r>
        <w:tab/>
        <w:t>The prospective applicant must provide the person with sufficient conduct money to permit the person to travel to the Court.</w:t>
      </w:r>
    </w:p>
    <w:p w:rsidR="000767FA" w:rsidRDefault="000767FA" w:rsidP="000767FA">
      <w:pPr>
        <w:pStyle w:val="Quote1"/>
        <w:ind w:left="1440" w:hanging="703"/>
      </w:pPr>
    </w:p>
    <w:p w:rsidR="000767FA" w:rsidRPr="003A195E" w:rsidRDefault="000767FA" w:rsidP="000767FA">
      <w:pPr>
        <w:pStyle w:val="Quote1"/>
        <w:ind w:left="1440" w:hanging="703"/>
        <w:rPr>
          <w:sz w:val="20"/>
        </w:rPr>
      </w:pPr>
      <w:r w:rsidRPr="003A195E">
        <w:rPr>
          <w:sz w:val="20"/>
        </w:rPr>
        <w:t xml:space="preserve">Note:  </w:t>
      </w:r>
      <w:r w:rsidRPr="003A195E">
        <w:rPr>
          <w:b/>
          <w:i/>
          <w:sz w:val="20"/>
        </w:rPr>
        <w:t>Conduct money</w:t>
      </w:r>
      <w:r w:rsidRPr="003A195E">
        <w:rPr>
          <w:sz w:val="20"/>
        </w:rPr>
        <w:t xml:space="preserve"> is defined in the Dictionary.</w:t>
      </w:r>
    </w:p>
    <w:p w:rsidR="003B3020" w:rsidRDefault="003B3020" w:rsidP="000767FA">
      <w:pPr>
        <w:pStyle w:val="Quote1"/>
        <w:ind w:left="1440" w:hanging="703"/>
      </w:pPr>
    </w:p>
    <w:p w:rsidR="00712B6F" w:rsidRDefault="003B3020" w:rsidP="003B3020">
      <w:pPr>
        <w:pStyle w:val="ParaNumbering"/>
      </w:pPr>
      <w:r>
        <w:t>This rule has a venerable history of generating friction</w:t>
      </w:r>
      <w:r w:rsidR="003A195E">
        <w:t>,</w:t>
      </w:r>
      <w:r w:rsidR="000D7270">
        <w:t xml:space="preserve"> which this case will no doubt augment</w:t>
      </w:r>
      <w:r>
        <w:t xml:space="preserve">.  Persons suing for defamation have often enough sought to use it against journalists </w:t>
      </w:r>
      <w:r w:rsidR="000D7270">
        <w:t xml:space="preserve">to identify their sources </w:t>
      </w:r>
      <w:r>
        <w:t xml:space="preserve">and this has led to tensions between the need to </w:t>
      </w:r>
      <w:r w:rsidR="006C7778">
        <w:t>protect</w:t>
      </w:r>
      <w:r>
        <w:t xml:space="preserve"> a plaintiff’s rights to seek redress</w:t>
      </w:r>
      <w:r w:rsidR="00AD574D">
        <w:t xml:space="preserve"> for wrongs done to him or her</w:t>
      </w:r>
      <w:r>
        <w:t xml:space="preserve"> </w:t>
      </w:r>
      <w:r w:rsidR="006C7778">
        <w:t>and a desire to protect</w:t>
      </w:r>
      <w:r>
        <w:t xml:space="preserve"> a journalist’s important obligation to </w:t>
      </w:r>
      <w:r w:rsidR="006C7778">
        <w:t>maintain the confidentiality of</w:t>
      </w:r>
      <w:r>
        <w:t xml:space="preserve"> his or her sources</w:t>
      </w:r>
      <w:r w:rsidR="00712B6F">
        <w:t xml:space="preserve">:  see, for example Mr </w:t>
      </w:r>
      <w:proofErr w:type="spellStart"/>
      <w:r w:rsidR="00712B6F">
        <w:t>Cojuang</w:t>
      </w:r>
      <w:r w:rsidR="00AD574D">
        <w:t>c</w:t>
      </w:r>
      <w:r w:rsidR="00712B6F">
        <w:t>o’s</w:t>
      </w:r>
      <w:proofErr w:type="spellEnd"/>
      <w:r w:rsidR="00712B6F">
        <w:t xml:space="preserve"> attempts to make the Sydney Morning Herald reveal the source of its story accusing him of being a crony of President Mar</w:t>
      </w:r>
      <w:r w:rsidR="00AD574D">
        <w:t>c</w:t>
      </w:r>
      <w:r w:rsidR="00890CB2">
        <w:t>os and of</w:t>
      </w:r>
      <w:r w:rsidR="00712B6F">
        <w:t xml:space="preserve"> having squandered </w:t>
      </w:r>
      <w:proofErr w:type="spellStart"/>
      <w:r w:rsidR="00712B6F">
        <w:t>US$9</w:t>
      </w:r>
      <w:proofErr w:type="spellEnd"/>
      <w:r w:rsidR="00712B6F">
        <w:t xml:space="preserve"> billion of the Philippines’ </w:t>
      </w:r>
      <w:r w:rsidR="00AD574D">
        <w:t>f</w:t>
      </w:r>
      <w:r w:rsidR="00712B6F">
        <w:t>oreign</w:t>
      </w:r>
      <w:r w:rsidR="006C7778">
        <w:t xml:space="preserve"> debt </w:t>
      </w:r>
      <w:r w:rsidR="00712B6F">
        <w:t>(</w:t>
      </w:r>
      <w:r w:rsidR="00712B6F">
        <w:rPr>
          <w:i/>
        </w:rPr>
        <w:t xml:space="preserve">John Fairfax &amp; Sons Ltd v </w:t>
      </w:r>
      <w:proofErr w:type="spellStart"/>
      <w:r w:rsidR="00712B6F">
        <w:rPr>
          <w:i/>
        </w:rPr>
        <w:t>Cojuang</w:t>
      </w:r>
      <w:r w:rsidR="00AD574D">
        <w:rPr>
          <w:i/>
        </w:rPr>
        <w:t>c</w:t>
      </w:r>
      <w:r w:rsidR="00712B6F">
        <w:rPr>
          <w:i/>
        </w:rPr>
        <w:t>o</w:t>
      </w:r>
      <w:proofErr w:type="spellEnd"/>
      <w:r w:rsidR="00712B6F">
        <w:rPr>
          <w:i/>
        </w:rPr>
        <w:t xml:space="preserve"> </w:t>
      </w:r>
      <w:r w:rsidR="006C7778">
        <w:t xml:space="preserve">(1998) 165 </w:t>
      </w:r>
      <w:proofErr w:type="spellStart"/>
      <w:r w:rsidR="006C7778">
        <w:t>CLR</w:t>
      </w:r>
      <w:proofErr w:type="spellEnd"/>
      <w:r w:rsidR="006C7778">
        <w:t xml:space="preserve"> 346</w:t>
      </w:r>
      <w:r w:rsidR="00712B6F">
        <w:t>)</w:t>
      </w:r>
      <w:r w:rsidR="00AD574D">
        <w:t>.  The case</w:t>
      </w:r>
      <w:r w:rsidR="00712B6F">
        <w:t xml:space="preserve"> </w:t>
      </w:r>
      <w:r w:rsidR="00CF5225">
        <w:t xml:space="preserve">of </w:t>
      </w:r>
      <w:r w:rsidR="00712B6F">
        <w:rPr>
          <w:i/>
        </w:rPr>
        <w:t>The Age Company Ltd v L</w:t>
      </w:r>
      <w:r w:rsidR="006C7778">
        <w:rPr>
          <w:i/>
        </w:rPr>
        <w:t xml:space="preserve">iu </w:t>
      </w:r>
      <w:r w:rsidR="006C7778">
        <w:t>(2013)</w:t>
      </w:r>
      <w:r w:rsidR="00712B6F">
        <w:rPr>
          <w:i/>
        </w:rPr>
        <w:t xml:space="preserve"> </w:t>
      </w:r>
      <w:r w:rsidR="00712B6F">
        <w:t xml:space="preserve">82 </w:t>
      </w:r>
      <w:proofErr w:type="spellStart"/>
      <w:r w:rsidR="00712B6F">
        <w:t>NSWLR</w:t>
      </w:r>
      <w:proofErr w:type="spellEnd"/>
      <w:r w:rsidR="00712B6F">
        <w:t xml:space="preserve"> 268</w:t>
      </w:r>
      <w:r w:rsidR="00AD574D">
        <w:t xml:space="preserve"> is a more recent example; see</w:t>
      </w:r>
      <w:r w:rsidR="00712B6F">
        <w:t xml:space="preserve"> also </w:t>
      </w:r>
      <w:r w:rsidR="00712B6F">
        <w:rPr>
          <w:i/>
        </w:rPr>
        <w:t>Evidence Act 1995</w:t>
      </w:r>
      <w:r w:rsidR="000D7270">
        <w:rPr>
          <w:i/>
        </w:rPr>
        <w:t xml:space="preserve"> </w:t>
      </w:r>
      <w:r w:rsidR="00712B6F">
        <w:t>(</w:t>
      </w:r>
      <w:proofErr w:type="spellStart"/>
      <w:r w:rsidR="00712B6F">
        <w:t>Cth</w:t>
      </w:r>
      <w:proofErr w:type="spellEnd"/>
      <w:r w:rsidR="00712B6F">
        <w:t xml:space="preserve">), </w:t>
      </w:r>
      <w:proofErr w:type="spellStart"/>
      <w:r w:rsidR="00712B6F">
        <w:t>ss</w:t>
      </w:r>
      <w:proofErr w:type="spellEnd"/>
      <w:r w:rsidR="00712B6F">
        <w:t xml:space="preserve"> </w:t>
      </w:r>
      <w:proofErr w:type="spellStart"/>
      <w:r w:rsidR="00712B6F">
        <w:t>126H</w:t>
      </w:r>
      <w:proofErr w:type="spellEnd"/>
      <w:r w:rsidR="00712B6F">
        <w:t xml:space="preserve"> and </w:t>
      </w:r>
      <w:proofErr w:type="spellStart"/>
      <w:r w:rsidR="00712B6F">
        <w:t>131A</w:t>
      </w:r>
      <w:proofErr w:type="spellEnd"/>
      <w:r w:rsidR="006C7778">
        <w:t>.</w:t>
      </w:r>
      <w:r>
        <w:t xml:space="preserve">  </w:t>
      </w:r>
    </w:p>
    <w:p w:rsidR="003B3020" w:rsidRDefault="003B3020" w:rsidP="003B3020">
      <w:pPr>
        <w:pStyle w:val="ParaNumbering"/>
      </w:pPr>
      <w:r>
        <w:t xml:space="preserve">So too in this case, there is a frisson between the right of the copyright owners </w:t>
      </w:r>
      <w:r w:rsidR="00AD574D">
        <w:t xml:space="preserve">to enforce their monopoly </w:t>
      </w:r>
      <w:r>
        <w:t xml:space="preserve">and </w:t>
      </w:r>
      <w:r w:rsidR="00AD574D">
        <w:t xml:space="preserve">the </w:t>
      </w:r>
      <w:r>
        <w:t xml:space="preserve">tenderness the </w:t>
      </w:r>
      <w:r w:rsidR="00CF5225">
        <w:t xml:space="preserve">internet </w:t>
      </w:r>
      <w:r w:rsidR="006C7778">
        <w:t xml:space="preserve">service </w:t>
      </w:r>
      <w:r>
        <w:t xml:space="preserve">providers may feel in releasing information which many people would expect </w:t>
      </w:r>
      <w:r w:rsidR="000D7270">
        <w:t xml:space="preserve">was unlikely </w:t>
      </w:r>
      <w:r w:rsidR="00CF5225">
        <w:t xml:space="preserve">ever </w:t>
      </w:r>
      <w:r w:rsidR="000D7270">
        <w:t>to see the light of day</w:t>
      </w:r>
      <w:r>
        <w:t>.</w:t>
      </w:r>
      <w:r w:rsidR="000D7270">
        <w:t xml:space="preserve">  Support for that expectation</w:t>
      </w:r>
      <w:r w:rsidR="00CF5225">
        <w:t xml:space="preserve"> may be found</w:t>
      </w:r>
      <w:r w:rsidR="000D7270">
        <w:t xml:space="preserve"> in Australian Privacy Principle 6 of the </w:t>
      </w:r>
      <w:r w:rsidR="000D7270">
        <w:rPr>
          <w:i/>
        </w:rPr>
        <w:t xml:space="preserve">Privacy Act 1988 </w:t>
      </w:r>
      <w:r w:rsidR="000D7270">
        <w:t>(Cth) which, in broad terms, prevents disclosure of private information.  O</w:t>
      </w:r>
      <w:r w:rsidR="00CF5225">
        <w:t>n</w:t>
      </w:r>
      <w:r w:rsidR="000D7270">
        <w:t xml:space="preserve"> the other hand, Principle 6.2(b) makes clear that </w:t>
      </w:r>
      <w:r w:rsidR="00CF5225">
        <w:t>it</w:t>
      </w:r>
      <w:r w:rsidR="000D7270">
        <w:t xml:space="preserve"> provides no excuse for not complying with a </w:t>
      </w:r>
      <w:r w:rsidR="00890CB2">
        <w:lastRenderedPageBreak/>
        <w:t>Court order (s</w:t>
      </w:r>
      <w:r w:rsidR="006C7778">
        <w:t xml:space="preserve">ee also </w:t>
      </w:r>
      <w:r w:rsidR="006C7778">
        <w:rPr>
          <w:i/>
        </w:rPr>
        <w:t xml:space="preserve">Telecommunications Act 1997 </w:t>
      </w:r>
      <w:r w:rsidR="006C7778">
        <w:t>(</w:t>
      </w:r>
      <w:proofErr w:type="spellStart"/>
      <w:r w:rsidR="006C7778">
        <w:t>Cth</w:t>
      </w:r>
      <w:proofErr w:type="spellEnd"/>
      <w:r w:rsidR="006C7778">
        <w:t xml:space="preserve">) </w:t>
      </w:r>
      <w:proofErr w:type="spellStart"/>
      <w:r w:rsidR="006C7778">
        <w:t>s</w:t>
      </w:r>
      <w:r w:rsidR="00F326E4">
        <w:t>s</w:t>
      </w:r>
      <w:proofErr w:type="spellEnd"/>
      <w:r w:rsidR="00F326E4">
        <w:t xml:space="preserve"> </w:t>
      </w:r>
      <w:r w:rsidR="006C7778">
        <w:t>276</w:t>
      </w:r>
      <w:r w:rsidR="00F326E4">
        <w:t xml:space="preserve"> and 280</w:t>
      </w:r>
      <w:r w:rsidR="00890CB2">
        <w:t>)</w:t>
      </w:r>
      <w:r w:rsidR="006C7778">
        <w:t xml:space="preserve">.  </w:t>
      </w:r>
      <w:r>
        <w:t>In an</w:t>
      </w:r>
      <w:r w:rsidR="00F326E4">
        <w:t>y</w:t>
      </w:r>
      <w:r>
        <w:t xml:space="preserve"> event, all of this lies in the future.</w:t>
      </w:r>
    </w:p>
    <w:p w:rsidR="003B3020" w:rsidRDefault="003B3020" w:rsidP="003B3020">
      <w:pPr>
        <w:pStyle w:val="ParaNumbering"/>
      </w:pPr>
      <w:r>
        <w:t xml:space="preserve">It is an important aspect of the administration of justice that it is conducted in public where it can be seen warts and all.  Section 17 of the </w:t>
      </w:r>
      <w:r w:rsidRPr="003B3020">
        <w:rPr>
          <w:i/>
        </w:rPr>
        <w:t>Federal Court of Australia Act 1976</w:t>
      </w:r>
      <w:r>
        <w:t xml:space="preserve"> (Cth) requires that unless authorised by some other law, the jurisdiction of this Court is to be exercised in public.  There are well known exceptions to this such as those which arise where it is necessary to protect the identity of an informer who might suffer retribution if identified in open court</w:t>
      </w:r>
      <w:r w:rsidR="00712B6F">
        <w:t xml:space="preserve"> (</w:t>
      </w:r>
      <w:r w:rsidR="00F326E4">
        <w:rPr>
          <w:i/>
        </w:rPr>
        <w:t xml:space="preserve">Cain v Glass (No </w:t>
      </w:r>
      <w:r w:rsidR="00712B6F">
        <w:rPr>
          <w:i/>
        </w:rPr>
        <w:t xml:space="preserve">2) </w:t>
      </w:r>
      <w:r w:rsidR="00712B6F">
        <w:t xml:space="preserve">(1985) 3 </w:t>
      </w:r>
      <w:proofErr w:type="spellStart"/>
      <w:r w:rsidR="00712B6F">
        <w:t>NSWLR</w:t>
      </w:r>
      <w:proofErr w:type="spellEnd"/>
      <w:r w:rsidR="00712B6F">
        <w:t xml:space="preserve"> 230; </w:t>
      </w:r>
      <w:r w:rsidR="00712B6F">
        <w:rPr>
          <w:i/>
        </w:rPr>
        <w:t>A</w:t>
      </w:r>
      <w:r w:rsidR="00F326E4">
        <w:rPr>
          <w:i/>
        </w:rPr>
        <w:t>ustralian Securities and Investments Commission</w:t>
      </w:r>
      <w:r w:rsidR="00712B6F">
        <w:rPr>
          <w:i/>
        </w:rPr>
        <w:t xml:space="preserve"> v P Dawson Nominees </w:t>
      </w:r>
      <w:r w:rsidR="00F326E4">
        <w:t>(2008) 169</w:t>
      </w:r>
      <w:r w:rsidR="00712B6F">
        <w:t xml:space="preserve"> FCR 227;</w:t>
      </w:r>
      <w:r w:rsidR="00712B6F">
        <w:rPr>
          <w:i/>
        </w:rPr>
        <w:t xml:space="preserve"> Hogan v </w:t>
      </w:r>
      <w:proofErr w:type="spellStart"/>
      <w:r w:rsidR="00712B6F">
        <w:rPr>
          <w:i/>
        </w:rPr>
        <w:t>Hinch</w:t>
      </w:r>
      <w:proofErr w:type="spellEnd"/>
      <w:r w:rsidR="00712B6F">
        <w:rPr>
          <w:i/>
        </w:rPr>
        <w:t xml:space="preserve"> </w:t>
      </w:r>
      <w:r w:rsidR="00712B6F">
        <w:t xml:space="preserve">(2011) 243 </w:t>
      </w:r>
      <w:proofErr w:type="spellStart"/>
      <w:r w:rsidR="00712B6F">
        <w:t>CLR</w:t>
      </w:r>
      <w:proofErr w:type="spellEnd"/>
      <w:r w:rsidR="00712B6F">
        <w:t xml:space="preserve"> 506 at </w:t>
      </w:r>
      <w:r w:rsidR="00F326E4">
        <w:t xml:space="preserve">531 </w:t>
      </w:r>
      <w:r w:rsidR="00712B6F">
        <w:t>[21])</w:t>
      </w:r>
      <w:r>
        <w:t xml:space="preserve">, a trade secret the revelation of which might destroy a legitimate business advantage such as the secret recipe of eleven herbs and spices developed by Colonel Sanders for the preparation of </w:t>
      </w:r>
      <w:r w:rsidR="000D7270">
        <w:t xml:space="preserve">southern </w:t>
      </w:r>
      <w:r>
        <w:t xml:space="preserve">fried chicken </w:t>
      </w:r>
      <w:r w:rsidR="00712B6F">
        <w:t>(</w:t>
      </w:r>
      <w:r w:rsidR="00712B6F">
        <w:rPr>
          <w:i/>
        </w:rPr>
        <w:t xml:space="preserve">Mobil Oil Australia Ltd v </w:t>
      </w:r>
      <w:proofErr w:type="spellStart"/>
      <w:r w:rsidR="00712B6F">
        <w:rPr>
          <w:i/>
        </w:rPr>
        <w:t>Guina</w:t>
      </w:r>
      <w:proofErr w:type="spellEnd"/>
      <w:r w:rsidR="00712B6F">
        <w:rPr>
          <w:i/>
        </w:rPr>
        <w:t xml:space="preserve"> Developments Pty Ltd </w:t>
      </w:r>
      <w:r w:rsidR="00712B6F">
        <w:t xml:space="preserve">[1996] 2 </w:t>
      </w:r>
      <w:r w:rsidR="00AD574D">
        <w:t>VR</w:t>
      </w:r>
      <w:r w:rsidR="00712B6F">
        <w:t xml:space="preserve"> 34 at 38) </w:t>
      </w:r>
      <w:r>
        <w:t>or matters of national security such as who is spying on whom</w:t>
      </w:r>
      <w:r w:rsidR="00712B6F">
        <w:t xml:space="preserve">: cf.  </w:t>
      </w:r>
      <w:proofErr w:type="spellStart"/>
      <w:r w:rsidR="00712B6F" w:rsidRPr="00AD574D">
        <w:rPr>
          <w:i/>
        </w:rPr>
        <w:t>Jaffarie</w:t>
      </w:r>
      <w:proofErr w:type="spellEnd"/>
      <w:r w:rsidR="00712B6F" w:rsidRPr="00AD574D">
        <w:rPr>
          <w:i/>
        </w:rPr>
        <w:t xml:space="preserve"> v Director</w:t>
      </w:r>
      <w:r w:rsidR="00F326E4">
        <w:rPr>
          <w:i/>
        </w:rPr>
        <w:t xml:space="preserve"> </w:t>
      </w:r>
      <w:r w:rsidR="00712B6F" w:rsidRPr="00AD574D">
        <w:rPr>
          <w:i/>
        </w:rPr>
        <w:t>Ge</w:t>
      </w:r>
      <w:r w:rsidR="00712B6F" w:rsidRPr="00712B6F">
        <w:rPr>
          <w:i/>
        </w:rPr>
        <w:t xml:space="preserve">neral of Security </w:t>
      </w:r>
      <w:r w:rsidR="00712B6F">
        <w:t>[2014] FCAFC 102 at [23]</w:t>
      </w:r>
      <w:r w:rsidR="00F326E4">
        <w:t>-[25]</w:t>
      </w:r>
      <w:r>
        <w:t xml:space="preserve">.  In each of these cases, some </w:t>
      </w:r>
      <w:r w:rsidR="00CF5225">
        <w:t>adjustment</w:t>
      </w:r>
      <w:r>
        <w:t xml:space="preserve"> to the principle of open justice is </w:t>
      </w:r>
      <w:proofErr w:type="spellStart"/>
      <w:r w:rsidR="00CF5225">
        <w:t>accomodated</w:t>
      </w:r>
      <w:proofErr w:type="spellEnd"/>
      <w:r>
        <w:t xml:space="preserve"> but always strictly to the minimum extent necessary.</w:t>
      </w:r>
    </w:p>
    <w:p w:rsidR="003B3020" w:rsidRDefault="003B3020" w:rsidP="003B3020">
      <w:pPr>
        <w:pStyle w:val="ParaNumbering"/>
      </w:pPr>
      <w:r>
        <w:t xml:space="preserve">This Court has long provided a relatively straightforward mechanism for third parties – often journalists but not infrequently other persons too – to access this Court’s official file.  That file is now, for new matters, entirely electronic and has ceased to have a physical existence.  This has no legal implications for what is accessed but may have practical consequences in terms of ease of searching and so on.  Access is dealt with by </w:t>
      </w:r>
      <w:r w:rsidR="00930CDC">
        <w:t>FCR</w:t>
      </w:r>
      <w:r>
        <w:t xml:space="preserve"> 2.32.  That rule recognises that there is one category of documents to which third parties should generally automatically have access.  These are, in substance, the formal acts of the parties or the Court.  The rules presume that these matters are, subject to a contrary order, in the public domain.  The list is in </w:t>
      </w:r>
      <w:r w:rsidR="00930CDC">
        <w:t>FCR</w:t>
      </w:r>
      <w:r>
        <w:t xml:space="preserve"> 2.32(2) and consists of originating processes, pleadings, applications, certain but not all notices, agreed statements of fact, reasons for judgment and the transcript of any proceedings heard in open court. </w:t>
      </w:r>
    </w:p>
    <w:p w:rsidR="003B3020" w:rsidRDefault="003B3020" w:rsidP="003B3020">
      <w:pPr>
        <w:pStyle w:val="ParaNumbering"/>
      </w:pPr>
      <w:r>
        <w:t>Of course, court files often contain very much more than these kinds of material.  For example, at the moment the Court file in this case contains the following items:</w:t>
      </w:r>
    </w:p>
    <w:p w:rsidR="003B3020" w:rsidRDefault="003B3020" w:rsidP="003B3020">
      <w:pPr>
        <w:pStyle w:val="NoNum"/>
        <w:spacing w:line="276" w:lineRule="auto"/>
      </w:pPr>
      <w:r>
        <w:t>(a)</w:t>
      </w:r>
      <w:r>
        <w:tab/>
        <w:t>Originating application filed 14 October 2014</w:t>
      </w:r>
      <w:r w:rsidR="00930CDC">
        <w:t>;</w:t>
      </w:r>
      <w:r>
        <w:t xml:space="preserve"> </w:t>
      </w:r>
    </w:p>
    <w:p w:rsidR="003B3020" w:rsidRDefault="003B3020" w:rsidP="003B3020">
      <w:pPr>
        <w:pStyle w:val="NoNum"/>
        <w:spacing w:line="276" w:lineRule="auto"/>
      </w:pPr>
      <w:r>
        <w:t>(b)</w:t>
      </w:r>
      <w:r>
        <w:tab/>
        <w:t>Affidavit of D</w:t>
      </w:r>
      <w:r w:rsidR="00930CDC">
        <w:t>aniel</w:t>
      </w:r>
      <w:r>
        <w:t xml:space="preserve"> </w:t>
      </w:r>
      <w:proofErr w:type="spellStart"/>
      <w:r>
        <w:t>Macek</w:t>
      </w:r>
      <w:proofErr w:type="spellEnd"/>
      <w:r>
        <w:t xml:space="preserve"> </w:t>
      </w:r>
      <w:r w:rsidR="00930CDC">
        <w:t>affirmed</w:t>
      </w:r>
      <w:r>
        <w:t xml:space="preserve"> 27 June 2014 and </w:t>
      </w:r>
      <w:r w:rsidR="00930CDC">
        <w:t xml:space="preserve">a </w:t>
      </w:r>
      <w:r>
        <w:t xml:space="preserve">CD being Exhibit </w:t>
      </w:r>
      <w:proofErr w:type="spellStart"/>
      <w:r>
        <w:t>DM</w:t>
      </w:r>
      <w:proofErr w:type="spellEnd"/>
      <w:r>
        <w:t xml:space="preserve"> 1*</w:t>
      </w:r>
      <w:r w:rsidR="00930CDC">
        <w:t>;</w:t>
      </w:r>
    </w:p>
    <w:p w:rsidR="003B3020" w:rsidRDefault="003B3020" w:rsidP="003B3020">
      <w:pPr>
        <w:pStyle w:val="NoNum"/>
        <w:spacing w:line="276" w:lineRule="auto"/>
      </w:pPr>
      <w:r>
        <w:lastRenderedPageBreak/>
        <w:t>(c)</w:t>
      </w:r>
      <w:r>
        <w:tab/>
        <w:t>Expert report of Dr Richter filed 14 October 2014*</w:t>
      </w:r>
      <w:r w:rsidR="00930CDC">
        <w:t>;</w:t>
      </w:r>
    </w:p>
    <w:p w:rsidR="003B3020" w:rsidRDefault="003B3020" w:rsidP="003B3020">
      <w:pPr>
        <w:pStyle w:val="NoNum"/>
        <w:spacing w:line="276" w:lineRule="auto"/>
      </w:pPr>
      <w:r>
        <w:t>(d)</w:t>
      </w:r>
      <w:r>
        <w:tab/>
        <w:t>Affidavit of Nathan Mattock sworn 20 October 2014*</w:t>
      </w:r>
      <w:r w:rsidR="00930CDC">
        <w:t>;</w:t>
      </w:r>
    </w:p>
    <w:p w:rsidR="00930CDC" w:rsidRDefault="00930CDC" w:rsidP="003B3020">
      <w:pPr>
        <w:pStyle w:val="NoNum"/>
        <w:spacing w:line="276" w:lineRule="auto"/>
      </w:pPr>
      <w:r>
        <w:t>(e)</w:t>
      </w:r>
      <w:r>
        <w:tab/>
        <w:t>Six n</w:t>
      </w:r>
      <w:r w:rsidR="003B3020">
        <w:t>o</w:t>
      </w:r>
      <w:r>
        <w:t>tices of address for service;</w:t>
      </w:r>
      <w:r w:rsidR="003B3020">
        <w:t xml:space="preserve"> </w:t>
      </w:r>
    </w:p>
    <w:p w:rsidR="003B3020" w:rsidRDefault="003B3020" w:rsidP="003B3020">
      <w:pPr>
        <w:pStyle w:val="NoNum"/>
        <w:spacing w:line="276" w:lineRule="auto"/>
      </w:pPr>
      <w:r>
        <w:t>(f)</w:t>
      </w:r>
      <w:r>
        <w:tab/>
        <w:t>Notice to produce filed by</w:t>
      </w:r>
      <w:r w:rsidR="00930CDC">
        <w:t xml:space="preserve"> the</w:t>
      </w:r>
      <w:r>
        <w:t xml:space="preserve"> respondents </w:t>
      </w:r>
      <w:r w:rsidR="00930CDC">
        <w:t xml:space="preserve">on </w:t>
      </w:r>
      <w:r>
        <w:t>3 November 2014*</w:t>
      </w:r>
      <w:r w:rsidR="00930CDC">
        <w:t>; and</w:t>
      </w:r>
    </w:p>
    <w:p w:rsidR="00930CDC" w:rsidRDefault="00F259D9" w:rsidP="00F259D9">
      <w:pPr>
        <w:pStyle w:val="ListNo1"/>
      </w:pPr>
      <w:r>
        <w:t>(g)</w:t>
      </w:r>
      <w:r>
        <w:tab/>
      </w:r>
      <w:r w:rsidR="00930CDC">
        <w:t>Affidavit of Graham Phillips sworn 16 November 2014*.</w:t>
      </w:r>
    </w:p>
    <w:p w:rsidR="00AD574D" w:rsidRDefault="003B3020" w:rsidP="003B3020">
      <w:pPr>
        <w:pStyle w:val="ParaNumbering"/>
      </w:pPr>
      <w:r>
        <w:t xml:space="preserve">Of those, the ones marked with an asterisk are not automatically available under </w:t>
      </w:r>
      <w:r w:rsidR="00930CDC">
        <w:t>FCR</w:t>
      </w:r>
      <w:r>
        <w:t xml:space="preserve"> 2.32(2). </w:t>
      </w:r>
      <w:r w:rsidR="000767FA">
        <w:t xml:space="preserve"> </w:t>
      </w:r>
      <w:r>
        <w:t>Importantly</w:t>
      </w:r>
      <w:r w:rsidR="000C03A5">
        <w:t>,</w:t>
      </w:r>
      <w:r>
        <w:t xml:space="preserve"> the evidence which has been filed by Dallas Buyers Club </w:t>
      </w:r>
      <w:r w:rsidR="00930CDC">
        <w:t>LLC</w:t>
      </w:r>
      <w:r>
        <w:t xml:space="preserve"> is all of that nature. </w:t>
      </w:r>
      <w:r w:rsidR="000767FA">
        <w:t xml:space="preserve"> </w:t>
      </w:r>
      <w:r w:rsidR="00AD574D">
        <w:t xml:space="preserve">Presumably, somewhere in this material is the mechanism by which Dallas Buyers Club </w:t>
      </w:r>
      <w:r w:rsidR="00930CDC">
        <w:t xml:space="preserve">LLC </w:t>
      </w:r>
      <w:r w:rsidR="00AD574D">
        <w:t>has collected the IP addresses of the downloaders.  No doubt, many people will be interested to understand the mysteries of this process, perhaps not all from a posit</w:t>
      </w:r>
      <w:r w:rsidR="00CF5225">
        <w:t>i</w:t>
      </w:r>
      <w:r w:rsidR="00AD574D">
        <w:t>on of disinterest.</w:t>
      </w:r>
    </w:p>
    <w:p w:rsidR="00930CDC" w:rsidRDefault="003B3020" w:rsidP="003B3020">
      <w:pPr>
        <w:pStyle w:val="ParaNumbering"/>
      </w:pPr>
      <w:r>
        <w:t xml:space="preserve">By </w:t>
      </w:r>
      <w:r w:rsidR="00930CDC">
        <w:t>FCR</w:t>
      </w:r>
      <w:r>
        <w:t xml:space="preserve"> 2.32(4) a third party may apply for permission to inspect documents which are not automatically available. </w:t>
      </w:r>
      <w:r w:rsidR="000767FA">
        <w:t xml:space="preserve"> </w:t>
      </w:r>
      <w:r>
        <w:t>The Court has received applications from journalists at the ABC and CBS Interactive</w:t>
      </w:r>
      <w:r w:rsidR="00930CDC">
        <w:t>, as well as</w:t>
      </w:r>
      <w:r>
        <w:t xml:space="preserve"> separate application</w:t>
      </w:r>
      <w:r w:rsidR="00930CDC">
        <w:t>s</w:t>
      </w:r>
      <w:r>
        <w:t xml:space="preserve"> from the Australian Screen Association</w:t>
      </w:r>
      <w:r w:rsidR="00930CDC">
        <w:t xml:space="preserve"> and a company called </w:t>
      </w:r>
      <w:proofErr w:type="spellStart"/>
      <w:r w:rsidR="00930CDC">
        <w:t>Softensity</w:t>
      </w:r>
      <w:proofErr w:type="spellEnd"/>
      <w:r w:rsidR="00930CDC">
        <w:t xml:space="preserve"> Pty Ltd</w:t>
      </w:r>
      <w:r>
        <w:t xml:space="preserve"> for access to the affidavits</w:t>
      </w:r>
      <w:r w:rsidR="00930CDC">
        <w:t>,</w:t>
      </w:r>
      <w:r>
        <w:t xml:space="preserve"> expert’s report</w:t>
      </w:r>
      <w:r w:rsidR="00890CB2">
        <w:t>, notice to produce</w:t>
      </w:r>
      <w:r w:rsidR="00930CDC">
        <w:t xml:space="preserve"> and unrestricted documents such as the originating application</w:t>
      </w:r>
      <w:r>
        <w:t>.</w:t>
      </w:r>
    </w:p>
    <w:p w:rsidR="003B3020" w:rsidRDefault="00930CDC" w:rsidP="003B3020">
      <w:pPr>
        <w:pStyle w:val="ParaNumbering"/>
      </w:pPr>
      <w:r>
        <w:t xml:space="preserve">The rules </w:t>
      </w:r>
      <w:r w:rsidR="002002CC">
        <w:t>give</w:t>
      </w:r>
      <w:r>
        <w:t xml:space="preserve"> a prima facie entitlement to third part</w:t>
      </w:r>
      <w:r w:rsidR="002002CC">
        <w:t>ies to</w:t>
      </w:r>
      <w:r>
        <w:t xml:space="preserve"> access unrestricted documents and I can see no reason why access should not be granted to the documents presently on the file that fall into that category.</w:t>
      </w:r>
      <w:r w:rsidR="003B3020">
        <w:t xml:space="preserve"> </w:t>
      </w:r>
    </w:p>
    <w:p w:rsidR="003B3020" w:rsidRDefault="00890CB2" w:rsidP="000767FA">
      <w:pPr>
        <w:pStyle w:val="ParaNumbering"/>
      </w:pPr>
      <w:r>
        <w:t>In relation to the restricted documents, b</w:t>
      </w:r>
      <w:r w:rsidR="003B3020">
        <w:t>ecause of the principle of open justice, it is the Court’s usual practice to release material which has been used in open court (</w:t>
      </w:r>
      <w:r w:rsidR="003B3020" w:rsidRPr="000767FA">
        <w:rPr>
          <w:i/>
        </w:rPr>
        <w:t>Seven Network Ltd v News Ltd (No 9)</w:t>
      </w:r>
      <w:r w:rsidR="003B3020">
        <w:t xml:space="preserve"> (2005) 148 FCR 1 at 9 [27] per Sackville J) or, perhaps, otherwise used by a judge (</w:t>
      </w:r>
      <w:r w:rsidR="003B3020" w:rsidRPr="000767FA">
        <w:rPr>
          <w:i/>
        </w:rPr>
        <w:t>Australian Competition and Consumer Commission v ABB Transmission and Distribution Ltd (No 3)</w:t>
      </w:r>
      <w:r w:rsidR="003B3020">
        <w:t xml:space="preserve"> [2002] FCA 609 at [7] per Finkelstein J). </w:t>
      </w:r>
      <w:r w:rsidR="000767FA">
        <w:t xml:space="preserve"> </w:t>
      </w:r>
      <w:r w:rsidR="003B3020">
        <w:t xml:space="preserve">I last looked at this question in </w:t>
      </w:r>
      <w:proofErr w:type="spellStart"/>
      <w:r w:rsidR="003B3020" w:rsidRPr="000767FA">
        <w:rPr>
          <w:i/>
        </w:rPr>
        <w:t>Hartnell</w:t>
      </w:r>
      <w:proofErr w:type="spellEnd"/>
      <w:r w:rsidR="002002CC">
        <w:rPr>
          <w:i/>
        </w:rPr>
        <w:t xml:space="preserve"> v Commissioner of Taxation (No </w:t>
      </w:r>
      <w:r w:rsidR="003B3020" w:rsidRPr="000767FA">
        <w:rPr>
          <w:i/>
        </w:rPr>
        <w:t xml:space="preserve">1) </w:t>
      </w:r>
      <w:r w:rsidR="002002CC">
        <w:t>(2009) 254 ALR 71</w:t>
      </w:r>
      <w:r w:rsidR="003B3020">
        <w:t xml:space="preserve"> where I collected </w:t>
      </w:r>
      <w:r w:rsidR="00594814">
        <w:t>(at</w:t>
      </w:r>
      <w:r w:rsidR="002002CC">
        <w:t xml:space="preserve"> 74</w:t>
      </w:r>
      <w:r w:rsidR="00594814">
        <w:t xml:space="preserve"> [9]) </w:t>
      </w:r>
      <w:r w:rsidR="003B3020">
        <w:t xml:space="preserve">the authorities to that point since </w:t>
      </w:r>
      <w:r w:rsidR="003B3020" w:rsidRPr="000767FA">
        <w:rPr>
          <w:i/>
        </w:rPr>
        <w:t>Channel Seven</w:t>
      </w:r>
      <w:r w:rsidR="003B3020">
        <w:t xml:space="preserve">. </w:t>
      </w:r>
      <w:r w:rsidR="000767FA">
        <w:t xml:space="preserve"> </w:t>
      </w:r>
      <w:r w:rsidR="003B3020">
        <w:t>Since then the same approach has been again followed</w:t>
      </w:r>
      <w:r w:rsidR="002002CC">
        <w:t xml:space="preserve"> in this Court</w:t>
      </w:r>
      <w:r w:rsidR="003B3020">
        <w:t xml:space="preserve">: see </w:t>
      </w:r>
      <w:r w:rsidR="003B3020" w:rsidRPr="000767FA">
        <w:rPr>
          <w:i/>
        </w:rPr>
        <w:t>A</w:t>
      </w:r>
      <w:r w:rsidR="002002CC">
        <w:rPr>
          <w:i/>
        </w:rPr>
        <w:t xml:space="preserve">ustralian Securities and Investments Commission v Storm Financial Ltd (No </w:t>
      </w:r>
      <w:r w:rsidR="003B3020" w:rsidRPr="000767FA">
        <w:rPr>
          <w:i/>
        </w:rPr>
        <w:t xml:space="preserve">2) </w:t>
      </w:r>
      <w:r w:rsidR="003B3020">
        <w:t xml:space="preserve">[2009] FCA 928 at [10] per Logan J. </w:t>
      </w:r>
    </w:p>
    <w:p w:rsidR="003B3020" w:rsidRDefault="000767FA" w:rsidP="000C03A5">
      <w:pPr>
        <w:pStyle w:val="ParaNumbering"/>
      </w:pPr>
      <w:r>
        <w:t xml:space="preserve">In relation </w:t>
      </w:r>
      <w:r w:rsidR="003B3020">
        <w:t>to evidence</w:t>
      </w:r>
      <w:r w:rsidR="000C03A5">
        <w:t>, however,</w:t>
      </w:r>
      <w:r w:rsidR="003B3020">
        <w:t xml:space="preserve"> which has not been utilised at the time of the third party application notions of open justice do not require the release of the material</w:t>
      </w:r>
      <w:r w:rsidR="00594814">
        <w:t xml:space="preserve"> because there has </w:t>
      </w:r>
      <w:r w:rsidR="000D7270">
        <w:t xml:space="preserve">not </w:t>
      </w:r>
      <w:r w:rsidR="00594814">
        <w:t>been, indeed there may n</w:t>
      </w:r>
      <w:r w:rsidR="000D7270">
        <w:t>ever</w:t>
      </w:r>
      <w:r w:rsidR="00594814">
        <w:t xml:space="preserve"> be, a public hearing</w:t>
      </w:r>
      <w:r w:rsidR="003B3020">
        <w:t xml:space="preserve">. </w:t>
      </w:r>
    </w:p>
    <w:p w:rsidR="003B3020" w:rsidRDefault="00CF5225" w:rsidP="000767FA">
      <w:pPr>
        <w:pStyle w:val="ParaNumbering"/>
      </w:pPr>
      <w:r>
        <w:lastRenderedPageBreak/>
        <w:t>On the other hand, b</w:t>
      </w:r>
      <w:r w:rsidR="003B3020">
        <w:t>ecause the interests of the parties to the litigation may</w:t>
      </w:r>
      <w:r>
        <w:t xml:space="preserve"> often enough</w:t>
      </w:r>
      <w:r w:rsidR="003B3020">
        <w:t xml:space="preserve"> be adversely affected by the release of filed but as-yet-unused evidence, it is common for the Court to seek their views before acceding to a third party access request. </w:t>
      </w:r>
      <w:r w:rsidR="000767FA">
        <w:t xml:space="preserve"> </w:t>
      </w:r>
      <w:r w:rsidR="003B3020">
        <w:t>Where no party to the litigation has any objection to</w:t>
      </w:r>
      <w:r>
        <w:t xml:space="preserve"> the</w:t>
      </w:r>
      <w:r w:rsidR="003B3020">
        <w:t xml:space="preserve"> release of the material there will usually be no reason not to exercise the power under </w:t>
      </w:r>
      <w:r w:rsidR="002002CC">
        <w:t>FCR</w:t>
      </w:r>
      <w:r w:rsidR="003B3020">
        <w:t xml:space="preserve"> 2.32(4) in favour of access. </w:t>
      </w:r>
      <w:r w:rsidR="000767FA">
        <w:t xml:space="preserve"> </w:t>
      </w:r>
      <w:r w:rsidR="003B3020">
        <w:t xml:space="preserve">But a different approach may need to be taken where objection is raised. </w:t>
      </w:r>
    </w:p>
    <w:p w:rsidR="003B3020" w:rsidRDefault="003B3020" w:rsidP="000767FA">
      <w:pPr>
        <w:pStyle w:val="ParaNumbering"/>
      </w:pPr>
      <w:r>
        <w:t xml:space="preserve">In this case, the views of the parties were ascertained. </w:t>
      </w:r>
      <w:r w:rsidR="000767FA">
        <w:t xml:space="preserve"> </w:t>
      </w:r>
      <w:r>
        <w:t xml:space="preserve">Dallas Buyers Club </w:t>
      </w:r>
      <w:r w:rsidR="002002CC">
        <w:t>LLC</w:t>
      </w:r>
      <w:r>
        <w:t xml:space="preserve"> objected to access being granted </w:t>
      </w:r>
      <w:r w:rsidR="002002CC">
        <w:t xml:space="preserve">to the affidavits or the expert report </w:t>
      </w:r>
      <w:r>
        <w:t xml:space="preserve">but the </w:t>
      </w:r>
      <w:r w:rsidR="00594814">
        <w:t xml:space="preserve">internet </w:t>
      </w:r>
      <w:r w:rsidR="002002CC">
        <w:t xml:space="preserve">service </w:t>
      </w:r>
      <w:r>
        <w:t>providers did not</w:t>
      </w:r>
      <w:r w:rsidR="00594814">
        <w:t>,</w:t>
      </w:r>
      <w:r>
        <w:t xml:space="preserve"> save that they did object to access being granted to Exhibit </w:t>
      </w:r>
      <w:proofErr w:type="spellStart"/>
      <w:r>
        <w:t>DM1</w:t>
      </w:r>
      <w:proofErr w:type="spellEnd"/>
      <w:r>
        <w:t xml:space="preserve"> which </w:t>
      </w:r>
      <w:r w:rsidR="002002CC">
        <w:t xml:space="preserve">allegedly </w:t>
      </w:r>
      <w:r>
        <w:t>contains a large number of IP addresses and about which the</w:t>
      </w:r>
      <w:r w:rsidR="00CF5225">
        <w:t xml:space="preserve">y </w:t>
      </w:r>
      <w:r>
        <w:t xml:space="preserve">had </w:t>
      </w:r>
      <w:r w:rsidR="00594814">
        <w:t xml:space="preserve">some </w:t>
      </w:r>
      <w:r>
        <w:t>privacy concerns.</w:t>
      </w:r>
      <w:r w:rsidR="00890CB2">
        <w:t xml:space="preserve">  No party specified an objection to access being granted to the notice to produce.</w:t>
      </w:r>
    </w:p>
    <w:p w:rsidR="003B3020" w:rsidRDefault="003B3020" w:rsidP="000767FA">
      <w:pPr>
        <w:pStyle w:val="ParaNumbering"/>
      </w:pPr>
      <w:r>
        <w:t xml:space="preserve">What happens when the preliminary discovery application is eventually heard on 17-18 February 2015 will all be in public. </w:t>
      </w:r>
      <w:r w:rsidR="000767FA">
        <w:t xml:space="preserve"> </w:t>
      </w:r>
      <w:r>
        <w:t xml:space="preserve">When the evidence in question is eventually used it is likely </w:t>
      </w:r>
      <w:r w:rsidR="002002CC">
        <w:t xml:space="preserve">to </w:t>
      </w:r>
      <w:r>
        <w:t xml:space="preserve">be released under </w:t>
      </w:r>
      <w:r w:rsidR="002002CC">
        <w:t>FCR</w:t>
      </w:r>
      <w:r>
        <w:t xml:space="preserve"> 2.32(4) although there may be – I do not say that there definitely are </w:t>
      </w:r>
      <w:r w:rsidR="000767FA">
        <w:t xml:space="preserve">– reasons </w:t>
      </w:r>
      <w:r>
        <w:t xml:space="preserve">not publicly to release the IP addresses. </w:t>
      </w:r>
      <w:r w:rsidR="000767FA">
        <w:t xml:space="preserve"> </w:t>
      </w:r>
      <w:r>
        <w:t xml:space="preserve">At the moment, however, it is all just material which has been filed. </w:t>
      </w:r>
      <w:r w:rsidR="000767FA">
        <w:t xml:space="preserve"> </w:t>
      </w:r>
      <w:r>
        <w:t>It may never be used or it may be subject to successful objection</w:t>
      </w:r>
      <w:r w:rsidR="000C03A5">
        <w:t xml:space="preserve"> or confidentiality orders may be made</w:t>
      </w:r>
      <w:r w:rsidR="00594814">
        <w:t xml:space="preserve"> with respect to it</w:t>
      </w:r>
      <w:r>
        <w:t>.</w:t>
      </w:r>
      <w:r w:rsidR="000767FA">
        <w:t xml:space="preserve"> </w:t>
      </w:r>
      <w:r>
        <w:t xml:space="preserve"> Further, while no one can be sued for what they say in</w:t>
      </w:r>
      <w:r w:rsidR="00594814">
        <w:t xml:space="preserve"> open</w:t>
      </w:r>
      <w:r>
        <w:t xml:space="preserve"> court and the press is to free to report on </w:t>
      </w:r>
      <w:r w:rsidR="000C03A5">
        <w:t xml:space="preserve">what is said </w:t>
      </w:r>
      <w:r w:rsidR="000D7270">
        <w:t>there</w:t>
      </w:r>
      <w:r>
        <w:t xml:space="preserve">, it is perhaps not completely obvious that those principles apply to evidence which has yet </w:t>
      </w:r>
      <w:r w:rsidR="000D7270">
        <w:t xml:space="preserve">to </w:t>
      </w:r>
      <w:r>
        <w:t xml:space="preserve">see the inside of a courtroom and which may never do so. </w:t>
      </w:r>
    </w:p>
    <w:p w:rsidR="000767FA" w:rsidRDefault="003B3020" w:rsidP="007E2E2D">
      <w:pPr>
        <w:pStyle w:val="ParaNumbering"/>
      </w:pPr>
      <w:r>
        <w:t xml:space="preserve">In the present circumstances, I propose to refuse all </w:t>
      </w:r>
      <w:r w:rsidR="002002CC">
        <w:t>four</w:t>
      </w:r>
      <w:r>
        <w:t xml:space="preserve"> applications for access to the evidence which has been filed</w:t>
      </w:r>
      <w:r w:rsidR="007E2E2D">
        <w:t>,</w:t>
      </w:r>
      <w:r w:rsidR="002002CC">
        <w:t xml:space="preserve"> except in relation to the affidavit of Mr Phillips which was used in Court at today’s directions hearing</w:t>
      </w:r>
      <w:r>
        <w:t xml:space="preserve">. </w:t>
      </w:r>
      <w:r w:rsidR="000767FA">
        <w:t xml:space="preserve"> </w:t>
      </w:r>
      <w:r w:rsidR="007E2E2D">
        <w:t>The applications</w:t>
      </w:r>
      <w:r>
        <w:t xml:space="preserve"> may be renewed when the material </w:t>
      </w:r>
      <w:r w:rsidR="000C03A5">
        <w:t xml:space="preserve">in question </w:t>
      </w:r>
      <w:r>
        <w:t>is used in open court.</w:t>
      </w:r>
      <w:r w:rsidR="002002CC">
        <w:t xml:space="preserve">  To the extent that unrestricted documents</w:t>
      </w:r>
      <w:r w:rsidR="00890CB2">
        <w:t xml:space="preserve"> and the respondents’ notice to produce</w:t>
      </w:r>
      <w:r w:rsidR="002002CC">
        <w:t xml:space="preserve"> are sought, the applications will be allowed. </w:t>
      </w:r>
      <w:bookmarkStart w:id="23" w:name="Certification"/>
    </w:p>
    <w:tbl>
      <w:tblPr>
        <w:tblW w:w="0" w:type="auto"/>
        <w:tblLook w:val="04A0" w:firstRow="1" w:lastRow="0" w:firstColumn="1" w:lastColumn="0" w:noHBand="0" w:noVBand="1"/>
      </w:tblPr>
      <w:tblGrid>
        <w:gridCol w:w="3794"/>
      </w:tblGrid>
      <w:tr w:rsidR="000767FA" w:rsidRPr="000767FA">
        <w:tc>
          <w:tcPr>
            <w:tcW w:w="3794" w:type="dxa"/>
            <w:shd w:val="clear" w:color="auto" w:fill="auto"/>
          </w:tcPr>
          <w:p w:rsidR="000767FA" w:rsidRPr="000767FA" w:rsidRDefault="000767FA" w:rsidP="000767FA">
            <w:pPr>
              <w:pStyle w:val="Normal1linespace"/>
            </w:pPr>
            <w:r w:rsidRPr="000767FA">
              <w:t xml:space="preserve">I certify that the preceding </w:t>
            </w:r>
            <w:bookmarkStart w:id="24" w:name="NumberWord"/>
            <w:r w:rsidR="00F07008">
              <w:t>nine</w:t>
            </w:r>
            <w:r w:rsidR="00594814">
              <w:t>teen</w:t>
            </w:r>
            <w:bookmarkEnd w:id="24"/>
            <w:r w:rsidRPr="000767FA">
              <w:t xml:space="preserve"> (</w:t>
            </w:r>
            <w:bookmarkStart w:id="25" w:name="NumberNumeral"/>
            <w:r w:rsidR="00594814">
              <w:t>1</w:t>
            </w:r>
            <w:bookmarkEnd w:id="25"/>
            <w:r w:rsidR="00F07008">
              <w:t>9</w:t>
            </w:r>
            <w:r w:rsidRPr="000767FA">
              <w:t xml:space="preserve">) numbered </w:t>
            </w:r>
            <w:bookmarkStart w:id="26" w:name="CertPara"/>
            <w:r w:rsidR="00594814">
              <w:t>paragraphs are</w:t>
            </w:r>
            <w:bookmarkEnd w:id="26"/>
            <w:r w:rsidRPr="000767FA">
              <w:t xml:space="preserve"> a true copy of the Reasons for Judgment herein of the Honourable </w:t>
            </w:r>
            <w:bookmarkStart w:id="27" w:name="Justice"/>
            <w:r w:rsidR="00594814">
              <w:t>Justice Perram</w:t>
            </w:r>
            <w:bookmarkEnd w:id="27"/>
            <w:r w:rsidRPr="000767FA">
              <w:t>.</w:t>
            </w:r>
          </w:p>
        </w:tc>
      </w:tr>
    </w:tbl>
    <w:p w:rsidR="007E2E2D" w:rsidRDefault="007E2E2D" w:rsidP="00815065">
      <w:pPr>
        <w:pStyle w:val="BodyText"/>
      </w:pPr>
    </w:p>
    <w:p w:rsidR="000767FA" w:rsidRDefault="000767FA" w:rsidP="00815065">
      <w:pPr>
        <w:pStyle w:val="BodyText"/>
      </w:pPr>
      <w:r>
        <w:t>Associate:</w:t>
      </w:r>
    </w:p>
    <w:p w:rsidR="000767FA" w:rsidRDefault="000767FA" w:rsidP="007E2E2D">
      <w:pPr>
        <w:pStyle w:val="BodyText"/>
        <w:tabs>
          <w:tab w:val="left" w:pos="1134"/>
        </w:tabs>
      </w:pPr>
      <w:r>
        <w:t>Dated:</w:t>
      </w:r>
      <w:r>
        <w:tab/>
      </w:r>
      <w:bookmarkStart w:id="28" w:name="CertifyDated"/>
      <w:r w:rsidR="002002CC">
        <w:t>17</w:t>
      </w:r>
      <w:r w:rsidR="00594814">
        <w:t xml:space="preserve"> November 2014</w:t>
      </w:r>
      <w:bookmarkEnd w:id="28"/>
    </w:p>
    <w:bookmarkEnd w:id="23"/>
    <w:p w:rsidR="000767FA" w:rsidRPr="00624520" w:rsidRDefault="000767FA" w:rsidP="000767FA">
      <w:pPr>
        <w:pStyle w:val="SingleSpace"/>
      </w:pPr>
    </w:p>
    <w:sectPr w:rsidR="000767FA"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0" w:rsidRDefault="003B3020">
      <w:pPr>
        <w:spacing w:line="20" w:lineRule="exact"/>
      </w:pPr>
    </w:p>
    <w:p w:rsidR="003B3020" w:rsidRDefault="003B3020"/>
    <w:p w:rsidR="003B3020" w:rsidRDefault="003B3020"/>
  </w:endnote>
  <w:endnote w:type="continuationSeparator" w:id="0">
    <w:p w:rsidR="003B3020" w:rsidRDefault="003B3020">
      <w:r>
        <w:t xml:space="preserve"> </w:t>
      </w:r>
    </w:p>
    <w:p w:rsidR="003B3020" w:rsidRDefault="003B3020"/>
    <w:p w:rsidR="003B3020" w:rsidRDefault="003B3020"/>
  </w:endnote>
  <w:endnote w:type="continuationNotice" w:id="1">
    <w:p w:rsidR="003B3020" w:rsidRDefault="003B3020">
      <w:r>
        <w:t xml:space="preserve"> </w:t>
      </w:r>
    </w:p>
    <w:p w:rsidR="003B3020" w:rsidRDefault="003B3020"/>
    <w:p w:rsidR="003B3020" w:rsidRDefault="003B3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0" w:rsidRDefault="003B3020"/>
    <w:p w:rsidR="003B3020" w:rsidRDefault="003B3020"/>
    <w:p w:rsidR="003B3020" w:rsidRDefault="003B3020"/>
  </w:footnote>
  <w:footnote w:type="continuationSeparator" w:id="0">
    <w:p w:rsidR="003B3020" w:rsidRDefault="003B3020">
      <w:r>
        <w:continuationSeparator/>
      </w:r>
    </w:p>
    <w:p w:rsidR="003B3020" w:rsidRDefault="003B3020"/>
    <w:p w:rsidR="003B3020" w:rsidRDefault="003B3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F444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90CB2">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F4448">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1B23128"/>
    <w:multiLevelType w:val="singleLevel"/>
    <w:tmpl w:val="F3EEA484"/>
    <w:lvl w:ilvl="0">
      <w:start w:val="7"/>
      <w:numFmt w:val="lowerLetter"/>
      <w:lvlText w:val="(%1)"/>
      <w:lvlJc w:val="left"/>
      <w:pPr>
        <w:ind w:left="360" w:hanging="36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54244010">
      <w:start w:val="1"/>
      <w:numFmt w:val="bullet"/>
      <w:pStyle w:val="Quote1Bullet"/>
      <w:lvlText w:val=""/>
      <w:lvlJc w:val="left"/>
      <w:pPr>
        <w:ind w:left="1457" w:hanging="360"/>
      </w:pPr>
      <w:rPr>
        <w:rFonts w:ascii="Wingdings" w:hAnsi="Wingdings" w:hint="default"/>
      </w:rPr>
    </w:lvl>
    <w:lvl w:ilvl="1" w:tplc="FE50F100" w:tentative="1">
      <w:start w:val="1"/>
      <w:numFmt w:val="bullet"/>
      <w:lvlText w:val="o"/>
      <w:lvlJc w:val="left"/>
      <w:pPr>
        <w:ind w:left="2177" w:hanging="360"/>
      </w:pPr>
      <w:rPr>
        <w:rFonts w:ascii="Courier New" w:hAnsi="Courier New" w:cs="Courier New" w:hint="default"/>
      </w:rPr>
    </w:lvl>
    <w:lvl w:ilvl="2" w:tplc="43625948" w:tentative="1">
      <w:start w:val="1"/>
      <w:numFmt w:val="bullet"/>
      <w:lvlText w:val=""/>
      <w:lvlJc w:val="left"/>
      <w:pPr>
        <w:ind w:left="2897" w:hanging="360"/>
      </w:pPr>
      <w:rPr>
        <w:rFonts w:ascii="Wingdings" w:hAnsi="Wingdings" w:hint="default"/>
      </w:rPr>
    </w:lvl>
    <w:lvl w:ilvl="3" w:tplc="ABB85940" w:tentative="1">
      <w:start w:val="1"/>
      <w:numFmt w:val="bullet"/>
      <w:lvlText w:val=""/>
      <w:lvlJc w:val="left"/>
      <w:pPr>
        <w:ind w:left="3617" w:hanging="360"/>
      </w:pPr>
      <w:rPr>
        <w:rFonts w:ascii="Symbol" w:hAnsi="Symbol" w:hint="default"/>
      </w:rPr>
    </w:lvl>
    <w:lvl w:ilvl="4" w:tplc="504A942A" w:tentative="1">
      <w:start w:val="1"/>
      <w:numFmt w:val="bullet"/>
      <w:lvlText w:val="o"/>
      <w:lvlJc w:val="left"/>
      <w:pPr>
        <w:ind w:left="4337" w:hanging="360"/>
      </w:pPr>
      <w:rPr>
        <w:rFonts w:ascii="Courier New" w:hAnsi="Courier New" w:cs="Courier New" w:hint="default"/>
      </w:rPr>
    </w:lvl>
    <w:lvl w:ilvl="5" w:tplc="B04CFCF4" w:tentative="1">
      <w:start w:val="1"/>
      <w:numFmt w:val="bullet"/>
      <w:lvlText w:val=""/>
      <w:lvlJc w:val="left"/>
      <w:pPr>
        <w:ind w:left="5057" w:hanging="360"/>
      </w:pPr>
      <w:rPr>
        <w:rFonts w:ascii="Wingdings" w:hAnsi="Wingdings" w:hint="default"/>
      </w:rPr>
    </w:lvl>
    <w:lvl w:ilvl="6" w:tplc="B0728FBE" w:tentative="1">
      <w:start w:val="1"/>
      <w:numFmt w:val="bullet"/>
      <w:lvlText w:val=""/>
      <w:lvlJc w:val="left"/>
      <w:pPr>
        <w:ind w:left="5777" w:hanging="360"/>
      </w:pPr>
      <w:rPr>
        <w:rFonts w:ascii="Symbol" w:hAnsi="Symbol" w:hint="default"/>
      </w:rPr>
    </w:lvl>
    <w:lvl w:ilvl="7" w:tplc="159A15FA" w:tentative="1">
      <w:start w:val="1"/>
      <w:numFmt w:val="bullet"/>
      <w:lvlText w:val="o"/>
      <w:lvlJc w:val="left"/>
      <w:pPr>
        <w:ind w:left="6497" w:hanging="360"/>
      </w:pPr>
      <w:rPr>
        <w:rFonts w:ascii="Courier New" w:hAnsi="Courier New" w:cs="Courier New" w:hint="default"/>
      </w:rPr>
    </w:lvl>
    <w:lvl w:ilvl="8" w:tplc="8E001EBA"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8"/>
  </w:num>
  <w:num w:numId="17">
    <w:abstractNumId w:val="21"/>
  </w:num>
  <w:num w:numId="18">
    <w:abstractNumId w:val="21"/>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20"/>
  </w:num>
  <w:num w:numId="35">
    <w:abstractNumId w:val="19"/>
  </w:num>
  <w:num w:numId="36">
    <w:abstractNumId w:val="19"/>
  </w:num>
  <w:num w:numId="37">
    <w:abstractNumId w:val="19"/>
  </w:num>
  <w:num w:numId="38">
    <w:abstractNumId w:val="14"/>
  </w:num>
  <w:num w:numId="39">
    <w:abstractNumId w:val="19"/>
  </w:num>
  <w:num w:numId="40">
    <w:abstractNumId w:val="19"/>
  </w:num>
  <w:num w:numId="41">
    <w:abstractNumId w:val="19"/>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allas Buyers Club"/>
    <w:docVar w:name="CounselParties" w:val="Applicant"/>
    <w:docVar w:name="CounselType" w:val="Solicitor for the "/>
    <w:docVar w:name="Division" w:val="GENERAL DIVISION"/>
    <w:docVar w:name="DocCreated" w:val="True"/>
    <w:docVar w:name="FileNumbers" w:val="NSD 1051 of 2014"/>
    <w:docVar w:name="FullCourt" w:val="False"/>
    <w:docVar w:name="HearingDate" w:val="xx November 2014"/>
    <w:docVar w:name="Judgdate" w:val="xx November 2014"/>
    <w:docVar w:name="Judge" w:val="Perram"/>
    <w:docVar w:name="JudgePlace" w:val="SYDNEY"/>
    <w:docVar w:name="lstEntryList" w:val="-1"/>
    <w:docVar w:name="myEntryList" w:val="Counsel for the Applicant=|Solicitor for the Applicant=|Counsel for the Respondent=|Solicitor for the Respondent="/>
    <w:docVar w:name="NSD" w:val="NSD NSD 1051 of 2014"/>
    <w:docVar w:name="NumApps" w:val="1"/>
    <w:docVar w:name="NumApps_" w:val="1"/>
    <w:docVar w:name="NumJudges" w:val="Single Judge"/>
    <w:docVar w:name="Parties" w:val="Respondent"/>
    <w:docVar w:name="Place_SentenceCase" w:val="Sydney"/>
    <w:docVar w:name="Respondent" w:val="IINet Limited "/>
    <w:docVar w:name="ResState" w:val="NEW SOUTH WALES"/>
    <w:docVar w:name="Single" w:val="True"/>
  </w:docVars>
  <w:rsids>
    <w:rsidRoot w:val="003B3020"/>
    <w:rsid w:val="00030403"/>
    <w:rsid w:val="000767FA"/>
    <w:rsid w:val="000C03A5"/>
    <w:rsid w:val="000D2137"/>
    <w:rsid w:val="000D7270"/>
    <w:rsid w:val="000E5223"/>
    <w:rsid w:val="001128BD"/>
    <w:rsid w:val="00146E42"/>
    <w:rsid w:val="001727A4"/>
    <w:rsid w:val="001738AB"/>
    <w:rsid w:val="00187BBC"/>
    <w:rsid w:val="001B14AC"/>
    <w:rsid w:val="001B7940"/>
    <w:rsid w:val="001D5B60"/>
    <w:rsid w:val="001E3B49"/>
    <w:rsid w:val="001E7388"/>
    <w:rsid w:val="002002CC"/>
    <w:rsid w:val="002535D0"/>
    <w:rsid w:val="002602C2"/>
    <w:rsid w:val="002605FA"/>
    <w:rsid w:val="00274F5B"/>
    <w:rsid w:val="00280836"/>
    <w:rsid w:val="002A1B50"/>
    <w:rsid w:val="002B0E91"/>
    <w:rsid w:val="002C31AD"/>
    <w:rsid w:val="002C7385"/>
    <w:rsid w:val="002F1E49"/>
    <w:rsid w:val="002F4E9C"/>
    <w:rsid w:val="003213E6"/>
    <w:rsid w:val="003463FE"/>
    <w:rsid w:val="00356632"/>
    <w:rsid w:val="003845A9"/>
    <w:rsid w:val="00390883"/>
    <w:rsid w:val="00395B24"/>
    <w:rsid w:val="003A195E"/>
    <w:rsid w:val="003A2D38"/>
    <w:rsid w:val="003B2C72"/>
    <w:rsid w:val="003B3020"/>
    <w:rsid w:val="003C20FF"/>
    <w:rsid w:val="003E19C9"/>
    <w:rsid w:val="003F193E"/>
    <w:rsid w:val="003F391C"/>
    <w:rsid w:val="003F5E80"/>
    <w:rsid w:val="00472027"/>
    <w:rsid w:val="0049417F"/>
    <w:rsid w:val="004D53E5"/>
    <w:rsid w:val="0051346D"/>
    <w:rsid w:val="00513EAE"/>
    <w:rsid w:val="005359EB"/>
    <w:rsid w:val="0054254A"/>
    <w:rsid w:val="005466B5"/>
    <w:rsid w:val="00594814"/>
    <w:rsid w:val="005A4DF8"/>
    <w:rsid w:val="005C1767"/>
    <w:rsid w:val="005C42EF"/>
    <w:rsid w:val="005E02F5"/>
    <w:rsid w:val="005E176E"/>
    <w:rsid w:val="005E35A0"/>
    <w:rsid w:val="00624520"/>
    <w:rsid w:val="00636871"/>
    <w:rsid w:val="00643DE0"/>
    <w:rsid w:val="00644E85"/>
    <w:rsid w:val="00662BB0"/>
    <w:rsid w:val="006A5695"/>
    <w:rsid w:val="006B3904"/>
    <w:rsid w:val="006B5B7D"/>
    <w:rsid w:val="006C7778"/>
    <w:rsid w:val="006D0ECF"/>
    <w:rsid w:val="006F4448"/>
    <w:rsid w:val="00707218"/>
    <w:rsid w:val="00712B1D"/>
    <w:rsid w:val="00712B6F"/>
    <w:rsid w:val="007325D9"/>
    <w:rsid w:val="007929CF"/>
    <w:rsid w:val="00796E35"/>
    <w:rsid w:val="007D561F"/>
    <w:rsid w:val="007E2E2D"/>
    <w:rsid w:val="007E47CC"/>
    <w:rsid w:val="00827731"/>
    <w:rsid w:val="00831927"/>
    <w:rsid w:val="0084273D"/>
    <w:rsid w:val="00845A83"/>
    <w:rsid w:val="00890CB2"/>
    <w:rsid w:val="008C6D50"/>
    <w:rsid w:val="008E6315"/>
    <w:rsid w:val="009054CB"/>
    <w:rsid w:val="00907C43"/>
    <w:rsid w:val="00930CDC"/>
    <w:rsid w:val="00967855"/>
    <w:rsid w:val="00980736"/>
    <w:rsid w:val="009B13FA"/>
    <w:rsid w:val="009B1E2D"/>
    <w:rsid w:val="009E4FA6"/>
    <w:rsid w:val="009E7D93"/>
    <w:rsid w:val="00A03EAC"/>
    <w:rsid w:val="00A11CA6"/>
    <w:rsid w:val="00A20C49"/>
    <w:rsid w:val="00A316C6"/>
    <w:rsid w:val="00A359AC"/>
    <w:rsid w:val="00A67863"/>
    <w:rsid w:val="00A950B6"/>
    <w:rsid w:val="00AA3B6F"/>
    <w:rsid w:val="00AB41C1"/>
    <w:rsid w:val="00AD1EA0"/>
    <w:rsid w:val="00AD574D"/>
    <w:rsid w:val="00AF4289"/>
    <w:rsid w:val="00BA3DBC"/>
    <w:rsid w:val="00BB2DA2"/>
    <w:rsid w:val="00BB56DC"/>
    <w:rsid w:val="00C36442"/>
    <w:rsid w:val="00CF5225"/>
    <w:rsid w:val="00D10F21"/>
    <w:rsid w:val="00D375EE"/>
    <w:rsid w:val="00D9725F"/>
    <w:rsid w:val="00DA14ED"/>
    <w:rsid w:val="00DB3DE1"/>
    <w:rsid w:val="00DB4DF2"/>
    <w:rsid w:val="00DB716C"/>
    <w:rsid w:val="00DD4236"/>
    <w:rsid w:val="00E027BC"/>
    <w:rsid w:val="00E10403"/>
    <w:rsid w:val="00E14EA5"/>
    <w:rsid w:val="00E76E45"/>
    <w:rsid w:val="00EA4E2E"/>
    <w:rsid w:val="00EB2CCB"/>
    <w:rsid w:val="00ED7DD9"/>
    <w:rsid w:val="00EF3113"/>
    <w:rsid w:val="00EF3F84"/>
    <w:rsid w:val="00F07008"/>
    <w:rsid w:val="00F176AC"/>
    <w:rsid w:val="00F259D9"/>
    <w:rsid w:val="00F26EF9"/>
    <w:rsid w:val="00F27714"/>
    <w:rsid w:val="00F326E4"/>
    <w:rsid w:val="00F32DAE"/>
    <w:rsid w:val="00F50E34"/>
    <w:rsid w:val="00FA1BE3"/>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0767F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0767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man0c\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9</Pages>
  <Words>2934</Words>
  <Characters>14323</Characters>
  <Application>Microsoft Office Word</Application>
  <DocSecurity>4</DocSecurity>
  <Lines>409</Lines>
  <Paragraphs>161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exec assis</dc:creator>
  <cp:lastModifiedBy>Craig Tudman</cp:lastModifiedBy>
  <cp:revision>2</cp:revision>
  <cp:lastPrinted>2014-11-17T03:38:00Z</cp:lastPrinted>
  <dcterms:created xsi:type="dcterms:W3CDTF">2014-11-17T21:54:00Z</dcterms:created>
  <dcterms:modified xsi:type="dcterms:W3CDTF">2014-11-17T21:54:00Z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17 NOVEMBER 2014</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1051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