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36" w:rsidRDefault="00761936" w:rsidP="00761936">
      <w:pPr>
        <w:pStyle w:val="NormalHeadings"/>
        <w:jc w:val="center"/>
        <w:rPr>
          <w:sz w:val="32"/>
        </w:rPr>
      </w:pPr>
      <w:r>
        <w:rPr>
          <w:sz w:val="32"/>
        </w:rPr>
        <w:t>FEDERAL COU</w:t>
      </w:r>
      <w:bookmarkStart w:id="0" w:name="_GoBack"/>
      <w:bookmarkEnd w:id="0"/>
      <w:r>
        <w:rPr>
          <w:sz w:val="32"/>
        </w:rPr>
        <w:t>RT OF AUSTRALIA</w:t>
      </w:r>
    </w:p>
    <w:p w:rsidR="00B92145" w:rsidRDefault="00B92145">
      <w:pPr>
        <w:pStyle w:val="NormalHeadings"/>
        <w:jc w:val="center"/>
        <w:rPr>
          <w:sz w:val="32"/>
        </w:rPr>
      </w:pPr>
    </w:p>
    <w:p w:rsidR="00B92145" w:rsidRDefault="00E052D0">
      <w:pPr>
        <w:pStyle w:val="MediaNeutralStyle"/>
      </w:pPr>
      <w:bookmarkStart w:id="1" w:name="MNC"/>
      <w:r>
        <w:t xml:space="preserve">National Retail Association v Fair Work Commission [2014] </w:t>
      </w:r>
      <w:proofErr w:type="spellStart"/>
      <w:r>
        <w:t>FCAFC</w:t>
      </w:r>
      <w:proofErr w:type="spellEnd"/>
      <w:r>
        <w:t xml:space="preserve"> </w:t>
      </w:r>
      <w:r w:rsidR="00430469">
        <w:t>118</w:t>
      </w:r>
      <w:bookmarkEnd w:id="1"/>
    </w:p>
    <w:p w:rsidR="00B92145" w:rsidRDefault="00B92145">
      <w:pPr>
        <w:pStyle w:val="Normal1linespace"/>
      </w:pPr>
    </w:p>
    <w:tbl>
      <w:tblPr>
        <w:tblW w:w="0" w:type="auto"/>
        <w:tblLook w:val="01E0" w:firstRow="1" w:lastRow="1" w:firstColumn="1" w:lastColumn="1" w:noHBand="0" w:noVBand="0"/>
      </w:tblPr>
      <w:tblGrid>
        <w:gridCol w:w="3085"/>
        <w:gridCol w:w="5954"/>
        <w:gridCol w:w="25"/>
      </w:tblGrid>
      <w:tr w:rsidR="00B92145">
        <w:trPr>
          <w:gridAfter w:val="1"/>
          <w:wAfter w:w="25" w:type="dxa"/>
        </w:trPr>
        <w:tc>
          <w:tcPr>
            <w:tcW w:w="3085" w:type="dxa"/>
            <w:shd w:val="clear" w:color="auto" w:fill="auto"/>
          </w:tcPr>
          <w:p w:rsidR="00B92145" w:rsidRDefault="00E052D0">
            <w:pPr>
              <w:pStyle w:val="Normal1linespace"/>
              <w:widowControl w:val="0"/>
            </w:pPr>
            <w:r>
              <w:t>Citation:</w:t>
            </w:r>
          </w:p>
        </w:tc>
        <w:tc>
          <w:tcPr>
            <w:tcW w:w="5954" w:type="dxa"/>
            <w:shd w:val="clear" w:color="auto" w:fill="auto"/>
          </w:tcPr>
          <w:p w:rsidR="00B92145" w:rsidRDefault="00430469">
            <w:pPr>
              <w:pStyle w:val="Normal1linespace"/>
              <w:widowControl w:val="0"/>
              <w:jc w:val="left"/>
            </w:pPr>
            <w:r w:rsidRPr="00430469">
              <w:t xml:space="preserve">National Retail Association v Fair Work Commission [2014] </w:t>
            </w:r>
            <w:proofErr w:type="spellStart"/>
            <w:r w:rsidRPr="00430469">
              <w:t>FCAFC</w:t>
            </w:r>
            <w:proofErr w:type="spellEnd"/>
            <w:r w:rsidRPr="00430469">
              <w:t xml:space="preserve"> 118</w:t>
            </w:r>
          </w:p>
        </w:tc>
      </w:tr>
      <w:tr w:rsidR="00E477FA">
        <w:trPr>
          <w:gridAfter w:val="1"/>
          <w:wAfter w:w="25" w:type="dxa"/>
        </w:trPr>
        <w:tc>
          <w:tcPr>
            <w:tcW w:w="3085" w:type="dxa"/>
            <w:shd w:val="clear" w:color="auto" w:fill="auto"/>
          </w:tcPr>
          <w:p w:rsidR="00E477FA" w:rsidRDefault="00E477FA">
            <w:pPr>
              <w:pStyle w:val="Normal1linespace"/>
              <w:widowControl w:val="0"/>
            </w:pPr>
          </w:p>
        </w:tc>
        <w:tc>
          <w:tcPr>
            <w:tcW w:w="5954" w:type="dxa"/>
            <w:shd w:val="clear" w:color="auto" w:fill="auto"/>
          </w:tcPr>
          <w:p w:rsidR="00E477FA" w:rsidRDefault="00E477FA">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Parties:</w:t>
            </w:r>
          </w:p>
        </w:tc>
        <w:tc>
          <w:tcPr>
            <w:tcW w:w="5954" w:type="dxa"/>
            <w:shd w:val="clear" w:color="auto" w:fill="auto"/>
          </w:tcPr>
          <w:p w:rsidR="00B92145" w:rsidRDefault="00E477FA">
            <w:pPr>
              <w:pStyle w:val="Normal1linespace"/>
              <w:widowControl w:val="0"/>
              <w:jc w:val="left"/>
              <w:rPr>
                <w:b/>
              </w:rPr>
            </w:pPr>
            <w:bookmarkStart w:id="2" w:name="JudgmentFP"/>
            <w:r>
              <w:rPr>
                <w:b/>
              </w:rPr>
              <w:t>NATIONAL RETAIL ASSOCIATION v FAIR WORK COMMISSION and SHOP, DISTRIBUTIVE &amp; ALLIED EMPLOYEES ASSOCIATION</w:t>
            </w:r>
            <w:bookmarkEnd w:id="2"/>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File number:</w:t>
            </w:r>
          </w:p>
        </w:tc>
        <w:tc>
          <w:tcPr>
            <w:tcW w:w="5954" w:type="dxa"/>
            <w:shd w:val="clear" w:color="auto" w:fill="auto"/>
          </w:tcPr>
          <w:p w:rsidR="00B92145" w:rsidRDefault="00E052D0">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E477FA">
              <w:rPr>
                <w:szCs w:val="24"/>
              </w:rPr>
              <w:t>QUD</w:t>
            </w:r>
            <w:proofErr w:type="spellEnd"/>
            <w:r w:rsidR="00E477FA">
              <w:rPr>
                <w:szCs w:val="24"/>
              </w:rPr>
              <w:t xml:space="preserve"> 140 of 2014</w:t>
            </w:r>
            <w:r>
              <w:rPr>
                <w:szCs w:val="24"/>
              </w:rPr>
              <w:fldChar w:fldCharType="end"/>
            </w:r>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CD3968">
            <w:pPr>
              <w:pStyle w:val="Normal1linespace"/>
              <w:widowControl w:val="0"/>
            </w:pPr>
            <w:r>
              <w:t>Judges</w:t>
            </w:r>
            <w:r w:rsidR="00E052D0">
              <w:t>:</w:t>
            </w:r>
          </w:p>
        </w:tc>
        <w:tc>
          <w:tcPr>
            <w:tcW w:w="5954" w:type="dxa"/>
            <w:shd w:val="clear" w:color="auto" w:fill="auto"/>
          </w:tcPr>
          <w:p w:rsidR="00B92145" w:rsidRPr="000D70DC" w:rsidRDefault="00ED40A8" w:rsidP="00ED40A8">
            <w:pPr>
              <w:pStyle w:val="Normal1linespace"/>
              <w:widowControl w:val="0"/>
              <w:jc w:val="left"/>
              <w:rPr>
                <w:b/>
              </w:rPr>
            </w:pPr>
            <w:r w:rsidRPr="000D70DC">
              <w:rPr>
                <w:b/>
              </w:rPr>
              <w:fldChar w:fldCharType="begin" w:fldLock="1"/>
            </w:r>
            <w:r w:rsidRPr="000D70DC">
              <w:rPr>
                <w:b/>
              </w:rPr>
              <w:instrText xml:space="preserve"> REF  Judge  </w:instrText>
            </w:r>
            <w:r w:rsidR="000D70DC" w:rsidRPr="000D70DC">
              <w:rPr>
                <w:b/>
              </w:rPr>
              <w:instrText xml:space="preserve"> \* MERGEFORMAT </w:instrText>
            </w:r>
            <w:r w:rsidRPr="000D70DC">
              <w:rPr>
                <w:b/>
              </w:rPr>
              <w:fldChar w:fldCharType="separate"/>
            </w:r>
            <w:r w:rsidR="00E477FA" w:rsidRPr="00E477FA">
              <w:rPr>
                <w:b/>
                <w:caps/>
                <w:szCs w:val="24"/>
              </w:rPr>
              <w:t xml:space="preserve">COLLIER, BROMBERG AND KATZMANN </w:t>
            </w:r>
            <w:proofErr w:type="spellStart"/>
            <w:r w:rsidR="00E477FA" w:rsidRPr="00E477FA">
              <w:rPr>
                <w:b/>
                <w:caps/>
                <w:szCs w:val="24"/>
              </w:rPr>
              <w:t>JJ</w:t>
            </w:r>
            <w:proofErr w:type="spellEnd"/>
            <w:r w:rsidRPr="000D70DC">
              <w:rPr>
                <w:b/>
              </w:rPr>
              <w:fldChar w:fldCharType="end"/>
            </w:r>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Date of judgment:</w:t>
            </w:r>
          </w:p>
        </w:tc>
        <w:tc>
          <w:tcPr>
            <w:tcW w:w="5954" w:type="dxa"/>
            <w:shd w:val="clear" w:color="auto" w:fill="auto"/>
          </w:tcPr>
          <w:p w:rsidR="00B92145" w:rsidRDefault="004E4FC3">
            <w:pPr>
              <w:pStyle w:val="Normal1linespace"/>
              <w:widowControl w:val="0"/>
              <w:jc w:val="left"/>
            </w:pPr>
            <w:bookmarkStart w:id="3" w:name="JudgmentDate"/>
            <w:r>
              <w:t>11 September</w:t>
            </w:r>
            <w:r w:rsidR="00E477FA">
              <w:t xml:space="preserve"> 2014</w:t>
            </w:r>
            <w:bookmarkEnd w:id="3"/>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Catchwords:</w:t>
            </w:r>
          </w:p>
        </w:tc>
        <w:tc>
          <w:tcPr>
            <w:tcW w:w="5954" w:type="dxa"/>
            <w:shd w:val="clear" w:color="auto" w:fill="auto"/>
          </w:tcPr>
          <w:p w:rsidR="00B92145" w:rsidRDefault="007C4BCF" w:rsidP="00A244C6">
            <w:pPr>
              <w:pStyle w:val="Normal1linespace"/>
              <w:widowControl w:val="0"/>
            </w:pPr>
            <w:bookmarkStart w:id="4" w:name="Catchwords"/>
            <w:r w:rsidRPr="007C4BCF">
              <w:rPr>
                <w:b/>
                <w:bCs/>
              </w:rPr>
              <w:t>INDUSTRIAL LAW</w:t>
            </w:r>
            <w:r w:rsidRPr="007C4BCF">
              <w:t xml:space="preserve"> – judicial review of a decision of the Fair Work Commission (</w:t>
            </w:r>
            <w:proofErr w:type="spellStart"/>
            <w:r w:rsidRPr="007C4BCF">
              <w:rPr>
                <w:b/>
                <w:bCs/>
              </w:rPr>
              <w:t>FWC</w:t>
            </w:r>
            <w:proofErr w:type="spellEnd"/>
            <w:r w:rsidRPr="007C4BCF">
              <w:t xml:space="preserve">) to vary a modern award pursuant to the transitional review of modern awards required by Item 6 of Schedule 5 of the </w:t>
            </w:r>
            <w:r w:rsidRPr="007C4BCF">
              <w:rPr>
                <w:i/>
                <w:iCs/>
              </w:rPr>
              <w:t>Fair Work (Transitional Provisions and Consequential Amendments) Act 2009</w:t>
            </w:r>
            <w:r w:rsidR="00586EBC">
              <w:rPr>
                <w:iCs/>
              </w:rPr>
              <w:t xml:space="preserve"> (Cth)</w:t>
            </w:r>
            <w:r w:rsidRPr="007C4BCF">
              <w:t xml:space="preserve"> – whether transitional review of a modern award requires a two-stage decision making process – whether in conducting the transitional review, the </w:t>
            </w:r>
            <w:proofErr w:type="spellStart"/>
            <w:r w:rsidRPr="007C4BCF">
              <w:t>FWC</w:t>
            </w:r>
            <w:proofErr w:type="spellEnd"/>
            <w:r w:rsidRPr="007C4BCF">
              <w:t xml:space="preserve"> was wrong to consider a proposed variation in isolation, rather than review the award as a whole – whether the </w:t>
            </w:r>
            <w:proofErr w:type="spellStart"/>
            <w:r w:rsidRPr="007C4BCF">
              <w:t>FWC</w:t>
            </w:r>
            <w:proofErr w:type="spellEnd"/>
            <w:r w:rsidRPr="007C4BCF">
              <w:t xml:space="preserve"> took into account irrelevant considerations – whether the </w:t>
            </w:r>
            <w:proofErr w:type="spellStart"/>
            <w:r w:rsidRPr="007C4BCF">
              <w:t>FWC</w:t>
            </w:r>
            <w:proofErr w:type="spellEnd"/>
            <w:r w:rsidRPr="007C4BCF">
              <w:t xml:space="preserve"> misunderstood its function by purporting to deal with an application to vary the award rather than conducting a review under Item 6 – whether the </w:t>
            </w:r>
            <w:proofErr w:type="spellStart"/>
            <w:r w:rsidRPr="007C4BCF">
              <w:t>FWC</w:t>
            </w:r>
            <w:proofErr w:type="spellEnd"/>
            <w:r w:rsidRPr="007C4BCF">
              <w:t xml:space="preserve"> failed to act logically and rationally in making factual findings – whether the </w:t>
            </w:r>
            <w:proofErr w:type="spellStart"/>
            <w:r w:rsidRPr="007C4BCF">
              <w:t>FWC</w:t>
            </w:r>
            <w:proofErr w:type="spellEnd"/>
            <w:r w:rsidRPr="007C4BCF">
              <w:t xml:space="preserve"> failed to properly consider whether the award was achieving the </w:t>
            </w:r>
            <w:r w:rsidR="00BE52F8">
              <w:t>“</w:t>
            </w:r>
            <w:r w:rsidRPr="007C4BCF">
              <w:t>modern awards objective</w:t>
            </w:r>
            <w:r w:rsidR="00BE52F8">
              <w:t>”</w:t>
            </w:r>
            <w:r w:rsidRPr="007C4BCF">
              <w:t xml:space="preserve"> – no jurisdictional error found – discretion to grant relief discussed – application dismissed</w:t>
            </w:r>
            <w:bookmarkEnd w:id="4"/>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Legislation:</w:t>
            </w:r>
          </w:p>
        </w:tc>
        <w:tc>
          <w:tcPr>
            <w:tcW w:w="5954" w:type="dxa"/>
            <w:shd w:val="clear" w:color="auto" w:fill="auto"/>
          </w:tcPr>
          <w:p w:rsidR="007C4BCF" w:rsidRDefault="007C4BCF" w:rsidP="007C4BCF">
            <w:pPr>
              <w:spacing w:line="240" w:lineRule="auto"/>
              <w:jc w:val="left"/>
              <w:rPr>
                <w:rFonts w:eastAsia="Calibri" w:cs="Arial"/>
                <w:szCs w:val="24"/>
              </w:rPr>
            </w:pPr>
            <w:bookmarkStart w:id="5" w:name="Legislation"/>
            <w:r w:rsidRPr="007C4BCF">
              <w:rPr>
                <w:rFonts w:eastAsia="Calibri" w:cs="Arial"/>
                <w:i/>
                <w:szCs w:val="24"/>
              </w:rPr>
              <w:t>Fair Work Act 2009</w:t>
            </w:r>
            <w:r w:rsidRPr="007C4BCF">
              <w:rPr>
                <w:rFonts w:eastAsia="Calibri" w:cs="Arial"/>
                <w:b/>
                <w:i/>
                <w:szCs w:val="24"/>
              </w:rPr>
              <w:t xml:space="preserve"> </w:t>
            </w:r>
            <w:r w:rsidRPr="007C4BCF">
              <w:rPr>
                <w:rFonts w:eastAsia="Calibri" w:cs="Arial"/>
                <w:szCs w:val="24"/>
              </w:rPr>
              <w:t>(Cth) ss 134(1); 138; 156; 156(3); 156(4); 157; 157(2); 284(1); 284(2); 284(3); 284(4); 562; 563; 570(1); 576; 576(2)(d); 577; 581; 582(1); 589(1); 590; 590(2); 591; 593; 612(1); 615(1</w:t>
            </w:r>
            <w:r>
              <w:rPr>
                <w:rFonts w:eastAsia="Calibri" w:cs="Arial"/>
                <w:szCs w:val="24"/>
              </w:rPr>
              <w:t>)</w:t>
            </w:r>
          </w:p>
          <w:p w:rsidR="00586EBC" w:rsidRPr="007C4BCF" w:rsidRDefault="00586EBC" w:rsidP="00586EBC">
            <w:pPr>
              <w:spacing w:line="240" w:lineRule="auto"/>
              <w:rPr>
                <w:rFonts w:eastAsia="Calibri" w:cs="Arial"/>
                <w:i/>
                <w:szCs w:val="24"/>
              </w:rPr>
            </w:pPr>
            <w:r>
              <w:rPr>
                <w:i/>
                <w:iCs/>
              </w:rPr>
              <w:t xml:space="preserve">Fair Work (Transitional Provisions and Consequential Amendments) Act 2009 </w:t>
            </w:r>
            <w:r>
              <w:t>(Cth) Schedule 2 (Part 1, Item 4(1)(b)); Schedule 5 (Part 2, Items 6; 6(2); 6(2)(a); 6(2)(b); 6(</w:t>
            </w:r>
            <w:proofErr w:type="spellStart"/>
            <w:r>
              <w:t>2A</w:t>
            </w:r>
            <w:proofErr w:type="spellEnd"/>
            <w:r>
              <w:t>); 6(3) and 6(4))</w:t>
            </w:r>
          </w:p>
          <w:p w:rsidR="007C4BCF" w:rsidRPr="007C4BCF" w:rsidRDefault="007C4BCF" w:rsidP="007C4BCF">
            <w:pPr>
              <w:spacing w:line="240" w:lineRule="auto"/>
              <w:jc w:val="left"/>
              <w:rPr>
                <w:rFonts w:eastAsia="Calibri" w:cs="Arial"/>
                <w:szCs w:val="24"/>
              </w:rPr>
            </w:pPr>
            <w:r w:rsidRPr="007C4BCF">
              <w:rPr>
                <w:rFonts w:eastAsia="Calibri" w:cs="Arial"/>
                <w:i/>
                <w:szCs w:val="24"/>
              </w:rPr>
              <w:t xml:space="preserve">Federal Court of Australia Act 1976 </w:t>
            </w:r>
            <w:r w:rsidR="0094783D">
              <w:rPr>
                <w:rFonts w:eastAsia="Calibri" w:cs="Arial"/>
                <w:szCs w:val="24"/>
              </w:rPr>
              <w:t>(Cth) ss 22,</w:t>
            </w:r>
            <w:r w:rsidRPr="007C4BCF">
              <w:rPr>
                <w:rFonts w:eastAsia="Calibri" w:cs="Arial"/>
                <w:szCs w:val="24"/>
              </w:rPr>
              <w:t xml:space="preserve"> 23</w:t>
            </w:r>
          </w:p>
          <w:p w:rsidR="007C4BCF" w:rsidRPr="007C4BCF" w:rsidRDefault="007C4BCF" w:rsidP="007C4BCF">
            <w:pPr>
              <w:spacing w:line="240" w:lineRule="auto"/>
              <w:jc w:val="left"/>
              <w:rPr>
                <w:rFonts w:eastAsia="Calibri" w:cs="Arial"/>
                <w:szCs w:val="24"/>
              </w:rPr>
            </w:pPr>
            <w:r w:rsidRPr="007C4BCF">
              <w:rPr>
                <w:rFonts w:eastAsia="Calibri" w:cs="Arial"/>
                <w:i/>
                <w:szCs w:val="24"/>
              </w:rPr>
              <w:t xml:space="preserve">Judiciary Act 1903 </w:t>
            </w:r>
            <w:r w:rsidR="0094783D">
              <w:rPr>
                <w:rFonts w:eastAsia="Calibri" w:cs="Arial"/>
                <w:szCs w:val="24"/>
              </w:rPr>
              <w:t xml:space="preserve">(Cth) s </w:t>
            </w:r>
            <w:proofErr w:type="spellStart"/>
            <w:r w:rsidRPr="007C4BCF">
              <w:rPr>
                <w:rFonts w:eastAsia="Calibri" w:cs="Arial"/>
                <w:szCs w:val="24"/>
              </w:rPr>
              <w:t>39B</w:t>
            </w:r>
            <w:proofErr w:type="spellEnd"/>
            <w:r w:rsidRPr="007C4BCF">
              <w:rPr>
                <w:rFonts w:eastAsia="Calibri" w:cs="Arial"/>
                <w:szCs w:val="24"/>
              </w:rPr>
              <w:t xml:space="preserve">; </w:t>
            </w:r>
            <w:proofErr w:type="spellStart"/>
            <w:r w:rsidRPr="007C4BCF">
              <w:rPr>
                <w:rFonts w:eastAsia="Calibri" w:cs="Arial"/>
                <w:szCs w:val="24"/>
              </w:rPr>
              <w:t>39B</w:t>
            </w:r>
            <w:proofErr w:type="spellEnd"/>
            <w:r w:rsidRPr="007C4BCF">
              <w:rPr>
                <w:rFonts w:eastAsia="Calibri" w:cs="Arial"/>
                <w:szCs w:val="24"/>
              </w:rPr>
              <w:t>(</w:t>
            </w:r>
            <w:proofErr w:type="spellStart"/>
            <w:r w:rsidRPr="007C4BCF">
              <w:rPr>
                <w:rFonts w:eastAsia="Calibri" w:cs="Arial"/>
                <w:szCs w:val="24"/>
              </w:rPr>
              <w:t>1A</w:t>
            </w:r>
            <w:proofErr w:type="spellEnd"/>
            <w:r w:rsidRPr="007C4BCF">
              <w:rPr>
                <w:rFonts w:eastAsia="Calibri" w:cs="Arial"/>
                <w:szCs w:val="24"/>
              </w:rPr>
              <w:t>)(c)</w:t>
            </w:r>
          </w:p>
          <w:p w:rsidR="00B92145" w:rsidRPr="007C4BCF" w:rsidRDefault="007C4BCF" w:rsidP="007C4BCF">
            <w:pPr>
              <w:spacing w:line="240" w:lineRule="auto"/>
              <w:jc w:val="left"/>
              <w:rPr>
                <w:rFonts w:eastAsia="Calibri" w:cs="Arial"/>
                <w:szCs w:val="24"/>
              </w:rPr>
            </w:pPr>
            <w:r w:rsidRPr="007C4BCF">
              <w:rPr>
                <w:rFonts w:eastAsia="Calibri" w:cs="Arial"/>
                <w:i/>
                <w:szCs w:val="24"/>
              </w:rPr>
              <w:t>Workplace Relations Act 1996</w:t>
            </w:r>
            <w:r w:rsidRPr="007C4BCF">
              <w:rPr>
                <w:rFonts w:eastAsia="Calibri" w:cs="Arial"/>
                <w:szCs w:val="24"/>
              </w:rPr>
              <w:t xml:space="preserve"> (Cth) Part </w:t>
            </w:r>
            <w:proofErr w:type="spellStart"/>
            <w:r w:rsidRPr="007C4BCF">
              <w:rPr>
                <w:rFonts w:eastAsia="Calibri" w:cs="Arial"/>
                <w:szCs w:val="24"/>
              </w:rPr>
              <w:t>10A</w:t>
            </w:r>
            <w:proofErr w:type="spellEnd"/>
            <w:r w:rsidRPr="007C4BCF">
              <w:rPr>
                <w:rFonts w:eastAsia="Calibri" w:cs="Arial"/>
                <w:szCs w:val="24"/>
              </w:rPr>
              <w:t xml:space="preserve">; s </w:t>
            </w:r>
            <w:proofErr w:type="spellStart"/>
            <w:r w:rsidRPr="007C4BCF">
              <w:rPr>
                <w:rFonts w:eastAsia="Calibri" w:cs="Arial"/>
                <w:szCs w:val="24"/>
              </w:rPr>
              <w:t>576E</w:t>
            </w:r>
            <w:proofErr w:type="spellEnd"/>
            <w:r w:rsidRPr="007C4BCF">
              <w:rPr>
                <w:rFonts w:eastAsia="Calibri" w:cs="Arial"/>
                <w:szCs w:val="24"/>
              </w:rPr>
              <w:t>(1)</w:t>
            </w:r>
            <w:r>
              <w:rPr>
                <w:rFonts w:eastAsia="Calibri" w:cs="Arial"/>
                <w:szCs w:val="24"/>
              </w:rPr>
              <w:t xml:space="preserve">; </w:t>
            </w:r>
            <w:proofErr w:type="spellStart"/>
            <w:r>
              <w:rPr>
                <w:rFonts w:eastAsia="Calibri" w:cs="Arial"/>
                <w:szCs w:val="24"/>
              </w:rPr>
              <w:t>576E</w:t>
            </w:r>
            <w:proofErr w:type="spellEnd"/>
            <w:r>
              <w:rPr>
                <w:rFonts w:eastAsia="Calibri" w:cs="Arial"/>
                <w:szCs w:val="24"/>
              </w:rPr>
              <w:t xml:space="preserve">(3); </w:t>
            </w:r>
            <w:proofErr w:type="spellStart"/>
            <w:r>
              <w:rPr>
                <w:rFonts w:eastAsia="Calibri" w:cs="Arial"/>
                <w:szCs w:val="24"/>
              </w:rPr>
              <w:t>576E</w:t>
            </w:r>
            <w:proofErr w:type="spellEnd"/>
            <w:r>
              <w:rPr>
                <w:rFonts w:eastAsia="Calibri" w:cs="Arial"/>
                <w:szCs w:val="24"/>
              </w:rPr>
              <w:t>(4)</w:t>
            </w:r>
            <w:bookmarkEnd w:id="5"/>
          </w:p>
        </w:tc>
      </w:tr>
      <w:tr w:rsidR="00B92145">
        <w:trPr>
          <w:gridAfter w:val="1"/>
          <w:wAfter w:w="25" w:type="dxa"/>
        </w:trPr>
        <w:tc>
          <w:tcPr>
            <w:tcW w:w="3085" w:type="dxa"/>
            <w:shd w:val="clear" w:color="auto" w:fill="auto"/>
          </w:tcPr>
          <w:p w:rsidR="00B92145" w:rsidRDefault="00B92145">
            <w:pPr>
              <w:pStyle w:val="Normal1linespace"/>
              <w:widowControl w:val="0"/>
            </w:pPr>
          </w:p>
        </w:tc>
        <w:tc>
          <w:tcPr>
            <w:tcW w:w="5954" w:type="dxa"/>
            <w:shd w:val="clear" w:color="auto" w:fill="auto"/>
          </w:tcPr>
          <w:p w:rsidR="00B92145" w:rsidRDefault="00B92145">
            <w:pPr>
              <w:pStyle w:val="Normal1linespace"/>
              <w:widowControl w:val="0"/>
              <w:jc w:val="left"/>
            </w:pPr>
          </w:p>
        </w:tc>
      </w:tr>
      <w:tr w:rsidR="00B92145">
        <w:trPr>
          <w:gridAfter w:val="1"/>
          <w:wAfter w:w="25" w:type="dxa"/>
        </w:trPr>
        <w:tc>
          <w:tcPr>
            <w:tcW w:w="3085" w:type="dxa"/>
            <w:shd w:val="clear" w:color="auto" w:fill="auto"/>
          </w:tcPr>
          <w:p w:rsidR="00B92145" w:rsidRDefault="00E052D0">
            <w:pPr>
              <w:pStyle w:val="Normal1linespace"/>
              <w:widowControl w:val="0"/>
            </w:pPr>
            <w:r>
              <w:t>Cases cited:</w:t>
            </w:r>
          </w:p>
        </w:tc>
        <w:tc>
          <w:tcPr>
            <w:tcW w:w="5954" w:type="dxa"/>
            <w:shd w:val="clear" w:color="auto" w:fill="auto"/>
          </w:tcPr>
          <w:p w:rsidR="007C4BCF" w:rsidRPr="007C4BCF" w:rsidRDefault="007C4BCF" w:rsidP="007C4BCF">
            <w:pPr>
              <w:pStyle w:val="Normal1linespace"/>
              <w:widowControl w:val="0"/>
            </w:pPr>
            <w:bookmarkStart w:id="6" w:name="Cases_Cited"/>
            <w:r w:rsidRPr="007C4BCF">
              <w:rPr>
                <w:i/>
              </w:rPr>
              <w:t>Modern Awards Review 2012 – General Retail Industry Award 2010 – Junior Rates</w:t>
            </w:r>
            <w:r w:rsidRPr="007C4BCF">
              <w:t xml:space="preserve"> [2014] </w:t>
            </w:r>
            <w:proofErr w:type="spellStart"/>
            <w:r w:rsidRPr="007C4BCF">
              <w:t>FWCFB</w:t>
            </w:r>
            <w:proofErr w:type="spellEnd"/>
            <w:r w:rsidRPr="007C4BCF">
              <w:t xml:space="preserve"> 1846</w:t>
            </w:r>
          </w:p>
          <w:p w:rsidR="007C4BCF" w:rsidRPr="007C4BCF" w:rsidRDefault="007C4BCF" w:rsidP="007C4BCF">
            <w:pPr>
              <w:pStyle w:val="Normal1linespace"/>
              <w:widowControl w:val="0"/>
            </w:pPr>
            <w:r w:rsidRPr="007C4BCF">
              <w:rPr>
                <w:i/>
              </w:rPr>
              <w:t xml:space="preserve">Energy Australia Yallourn Pty Ltd v Construction, Forestry, Mining and Energy Union </w:t>
            </w:r>
            <w:r w:rsidRPr="007C4BCF">
              <w:t xml:space="preserve">[2014] </w:t>
            </w:r>
            <w:proofErr w:type="spellStart"/>
            <w:r w:rsidRPr="007C4BCF">
              <w:t>FCAFC</w:t>
            </w:r>
            <w:proofErr w:type="spellEnd"/>
            <w:r w:rsidRPr="007C4BCF">
              <w:t xml:space="preserve"> 8</w:t>
            </w:r>
          </w:p>
          <w:p w:rsidR="007C4BCF" w:rsidRPr="007C4BCF" w:rsidRDefault="007C4BCF" w:rsidP="007C4BCF">
            <w:pPr>
              <w:pStyle w:val="Normal1linespace"/>
              <w:widowControl w:val="0"/>
            </w:pPr>
            <w:r w:rsidRPr="007C4BCF">
              <w:rPr>
                <w:i/>
              </w:rPr>
              <w:t xml:space="preserve">Modern Awards Review 2012 </w:t>
            </w:r>
            <w:r w:rsidR="0094783D">
              <w:t xml:space="preserve">[2012] </w:t>
            </w:r>
            <w:proofErr w:type="spellStart"/>
            <w:r w:rsidR="0094783D">
              <w:t>FWAFB</w:t>
            </w:r>
            <w:proofErr w:type="spellEnd"/>
            <w:r w:rsidR="0094783D">
              <w:t xml:space="preserve"> 5600</w:t>
            </w:r>
          </w:p>
          <w:p w:rsidR="007C4BCF" w:rsidRDefault="007C4BCF" w:rsidP="007C4BCF">
            <w:pPr>
              <w:pStyle w:val="Normal1linespace"/>
              <w:widowControl w:val="0"/>
            </w:pPr>
            <w:r w:rsidRPr="007C4BCF">
              <w:rPr>
                <w:i/>
              </w:rPr>
              <w:t xml:space="preserve">R v Hunt; Ex parte Sean Investments Ltd </w:t>
            </w:r>
            <w:r w:rsidRPr="007C4BCF">
              <w:t>(1979) 180 CLR 322</w:t>
            </w:r>
          </w:p>
          <w:p w:rsidR="00B25D2A" w:rsidRPr="007C4BCF" w:rsidRDefault="00B25D2A" w:rsidP="007C4BCF">
            <w:pPr>
              <w:pStyle w:val="Normal1linespace"/>
              <w:widowControl w:val="0"/>
            </w:pPr>
            <w:r>
              <w:rPr>
                <w:i/>
              </w:rPr>
              <w:t xml:space="preserve">R v </w:t>
            </w:r>
            <w:proofErr w:type="spellStart"/>
            <w:r>
              <w:rPr>
                <w:i/>
              </w:rPr>
              <w:t>Toohey</w:t>
            </w:r>
            <w:proofErr w:type="spellEnd"/>
            <w:r>
              <w:rPr>
                <w:i/>
              </w:rPr>
              <w:t xml:space="preserve">; Ex parte </w:t>
            </w:r>
            <w:proofErr w:type="spellStart"/>
            <w:r>
              <w:rPr>
                <w:i/>
              </w:rPr>
              <w:t>Meneling</w:t>
            </w:r>
            <w:proofErr w:type="spellEnd"/>
            <w:r>
              <w:rPr>
                <w:i/>
              </w:rPr>
              <w:t xml:space="preserve"> Station Pty Ltd </w:t>
            </w:r>
            <w:r>
              <w:t>(1982) 158 CLR 327</w:t>
            </w:r>
          </w:p>
          <w:p w:rsidR="007C4BCF" w:rsidRPr="007C4BCF" w:rsidRDefault="007C4BCF" w:rsidP="007C4BCF">
            <w:pPr>
              <w:pStyle w:val="Normal1linespace"/>
              <w:widowControl w:val="0"/>
            </w:pPr>
            <w:r w:rsidRPr="007C4BCF">
              <w:rPr>
                <w:i/>
              </w:rPr>
              <w:t xml:space="preserve">Yum! Restaurants Australia Pty Ltd v Full Bench of Fair Work Commission </w:t>
            </w:r>
            <w:r w:rsidR="00907F67">
              <w:t xml:space="preserve">(2012) 205 </w:t>
            </w:r>
            <w:proofErr w:type="spellStart"/>
            <w:r w:rsidR="00907F67">
              <w:t>FCR</w:t>
            </w:r>
            <w:proofErr w:type="spellEnd"/>
            <w:r w:rsidR="00907F67">
              <w:t xml:space="preserve"> 306</w:t>
            </w:r>
          </w:p>
          <w:p w:rsidR="007C4BCF" w:rsidRPr="007C4BCF" w:rsidRDefault="007C4BCF" w:rsidP="007C4BCF">
            <w:pPr>
              <w:pStyle w:val="Normal1linespace"/>
              <w:widowControl w:val="0"/>
            </w:pPr>
            <w:r w:rsidRPr="007C4BCF">
              <w:rPr>
                <w:i/>
              </w:rPr>
              <w:t xml:space="preserve">Minister for Immigration and Citizenship v </w:t>
            </w:r>
            <w:proofErr w:type="spellStart"/>
            <w:r w:rsidRPr="007C4BCF">
              <w:rPr>
                <w:i/>
              </w:rPr>
              <w:t>SZMDS</w:t>
            </w:r>
            <w:proofErr w:type="spellEnd"/>
            <w:r w:rsidRPr="007C4BCF">
              <w:rPr>
                <w:i/>
              </w:rPr>
              <w:t xml:space="preserve"> </w:t>
            </w:r>
            <w:r w:rsidRPr="007C4BCF">
              <w:t>(2010) 240 CLR 611</w:t>
            </w:r>
          </w:p>
          <w:p w:rsidR="007C4BCF" w:rsidRPr="00EB084F" w:rsidRDefault="007C4BCF" w:rsidP="007C4BCF">
            <w:pPr>
              <w:pStyle w:val="Normal1linespace"/>
              <w:widowControl w:val="0"/>
              <w:rPr>
                <w:lang w:val="it-IT"/>
              </w:rPr>
            </w:pPr>
            <w:r w:rsidRPr="00EB084F">
              <w:rPr>
                <w:i/>
                <w:lang w:val="it-IT"/>
              </w:rPr>
              <w:t>Re Refugee Review Tribunal; Ex Parte Aala</w:t>
            </w:r>
            <w:r w:rsidRPr="00EB084F">
              <w:rPr>
                <w:lang w:val="it-IT"/>
              </w:rPr>
              <w:t xml:space="preserve"> (2000) 204 CLR 82</w:t>
            </w:r>
          </w:p>
          <w:p w:rsidR="007C4BCF" w:rsidRPr="007C4BCF" w:rsidRDefault="007C4BCF" w:rsidP="007C4BCF">
            <w:pPr>
              <w:pStyle w:val="Normal1linespace"/>
              <w:widowControl w:val="0"/>
            </w:pPr>
            <w:r w:rsidRPr="007C4BCF">
              <w:rPr>
                <w:i/>
              </w:rPr>
              <w:t xml:space="preserve">Commissioner of Taxation v </w:t>
            </w:r>
            <w:proofErr w:type="spellStart"/>
            <w:r w:rsidRPr="007C4BCF">
              <w:rPr>
                <w:i/>
              </w:rPr>
              <w:t>Futuris</w:t>
            </w:r>
            <w:proofErr w:type="spellEnd"/>
            <w:r w:rsidRPr="007C4BCF">
              <w:rPr>
                <w:i/>
              </w:rPr>
              <w:t xml:space="preserve"> Corporation Ltd</w:t>
            </w:r>
            <w:r w:rsidRPr="007C4BCF">
              <w:t xml:space="preserve"> (2008) 237 CLR 146</w:t>
            </w:r>
          </w:p>
          <w:p w:rsidR="007C4BCF" w:rsidRPr="007C4BCF" w:rsidRDefault="007C4BCF" w:rsidP="007C4BCF">
            <w:pPr>
              <w:pStyle w:val="Normal1linespace"/>
              <w:widowControl w:val="0"/>
            </w:pPr>
            <w:r w:rsidRPr="007C4BCF">
              <w:rPr>
                <w:i/>
              </w:rPr>
              <w:t>R v Commonwealth Court of Conciliation &amp; Arbitration; Ex parte Ozone Theatres (</w:t>
            </w:r>
            <w:proofErr w:type="spellStart"/>
            <w:r w:rsidRPr="007C4BCF">
              <w:rPr>
                <w:i/>
              </w:rPr>
              <w:t>Aust</w:t>
            </w:r>
            <w:proofErr w:type="spellEnd"/>
            <w:r w:rsidRPr="007C4BCF">
              <w:rPr>
                <w:i/>
              </w:rPr>
              <w:t xml:space="preserve">) Limited </w:t>
            </w:r>
            <w:r w:rsidRPr="007C4BCF">
              <w:t>(1949) 78 CLR 389</w:t>
            </w:r>
          </w:p>
          <w:p w:rsidR="00B92145" w:rsidRDefault="007C4BCF" w:rsidP="007C4BCF">
            <w:pPr>
              <w:pStyle w:val="Normal1linespace"/>
              <w:widowControl w:val="0"/>
            </w:pPr>
            <w:r w:rsidRPr="007C4BCF">
              <w:rPr>
                <w:i/>
              </w:rPr>
              <w:t xml:space="preserve">Re </w:t>
            </w:r>
            <w:proofErr w:type="spellStart"/>
            <w:r w:rsidRPr="007C4BCF">
              <w:rPr>
                <w:i/>
              </w:rPr>
              <w:t>McBain</w:t>
            </w:r>
            <w:proofErr w:type="spellEnd"/>
            <w:r w:rsidRPr="007C4BCF">
              <w:rPr>
                <w:i/>
              </w:rPr>
              <w:t xml:space="preserve">; Ex parte Australian Catholic Bishop’s Conference </w:t>
            </w:r>
            <w:r w:rsidRPr="007C4BCF">
              <w:t>(2002) 209 CLR 372</w:t>
            </w:r>
            <w:r w:rsidR="00E052D0">
              <w:t xml:space="preserve"> </w:t>
            </w:r>
            <w:bookmarkEnd w:id="6"/>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bookmarkStart w:id="7" w:name="CounselDate"/>
            <w:r>
              <w:t>Date of hearing:</w:t>
            </w:r>
          </w:p>
        </w:tc>
        <w:tc>
          <w:tcPr>
            <w:tcW w:w="5979" w:type="dxa"/>
            <w:gridSpan w:val="2"/>
            <w:shd w:val="clear" w:color="auto" w:fill="auto"/>
          </w:tcPr>
          <w:p w:rsidR="00ED40A8" w:rsidRDefault="00ED40A8" w:rsidP="00ED40A8">
            <w:pPr>
              <w:pStyle w:val="Normal1linespace"/>
              <w:jc w:val="left"/>
            </w:pPr>
            <w:bookmarkStart w:id="8" w:name="HearingDate"/>
            <w:r>
              <w:t>4 August 2014</w:t>
            </w:r>
            <w:bookmarkEnd w:id="8"/>
          </w:p>
        </w:tc>
      </w:tr>
      <w:bookmarkEnd w:id="7"/>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r>
              <w:t>Place:</w:t>
            </w:r>
          </w:p>
        </w:tc>
        <w:tc>
          <w:tcPr>
            <w:tcW w:w="5979" w:type="dxa"/>
            <w:gridSpan w:val="2"/>
            <w:shd w:val="clear" w:color="auto" w:fill="auto"/>
          </w:tcPr>
          <w:p w:rsidR="00ED40A8" w:rsidRDefault="004D202E" w:rsidP="00ED40A8">
            <w:pPr>
              <w:pStyle w:val="Normal1linespace"/>
              <w:jc w:val="left"/>
            </w:pPr>
            <w:fldSimple w:instr=" DOCVARIABLE  Place_SentenceCase  \* MERGEFORMAT ">
              <w:r w:rsidR="00E477FA">
                <w:t>Brisbane</w:t>
              </w:r>
            </w:fldSimple>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r>
              <w:t>Division:</w:t>
            </w:r>
          </w:p>
        </w:tc>
        <w:tc>
          <w:tcPr>
            <w:tcW w:w="5979" w:type="dxa"/>
            <w:gridSpan w:val="2"/>
            <w:shd w:val="clear" w:color="auto" w:fill="auto"/>
          </w:tcPr>
          <w:p w:rsidR="00ED40A8" w:rsidRDefault="004D202E" w:rsidP="00ED40A8">
            <w:pPr>
              <w:pStyle w:val="Normal1linespace"/>
              <w:jc w:val="left"/>
            </w:pPr>
            <w:fldSimple w:instr=" REF  Division  \* MERGEFORMAT " w:fldLock="1">
              <w:r w:rsidR="00E477FA" w:rsidRPr="00E477FA">
                <w:t>FAIR</w:t>
              </w:r>
              <w:r w:rsidR="00E477FA">
                <w:rPr>
                  <w:caps/>
                  <w:szCs w:val="24"/>
                </w:rPr>
                <w:t xml:space="preserve"> WORK DIVISION</w:t>
              </w:r>
            </w:fldSimple>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r>
              <w:t>Category:</w:t>
            </w:r>
          </w:p>
        </w:tc>
        <w:tc>
          <w:tcPr>
            <w:tcW w:w="5979" w:type="dxa"/>
            <w:gridSpan w:val="2"/>
            <w:shd w:val="clear" w:color="auto" w:fill="auto"/>
          </w:tcPr>
          <w:p w:rsidR="00ED40A8" w:rsidRDefault="00ED40A8" w:rsidP="00ED40A8">
            <w:pPr>
              <w:pStyle w:val="Normal1linespace"/>
              <w:jc w:val="left"/>
            </w:pPr>
            <w:r>
              <w:t>Catchwords</w:t>
            </w: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r>
              <w:t>Number of paragraphs:</w:t>
            </w:r>
          </w:p>
        </w:tc>
        <w:tc>
          <w:tcPr>
            <w:tcW w:w="5979" w:type="dxa"/>
            <w:gridSpan w:val="2"/>
            <w:shd w:val="clear" w:color="auto" w:fill="auto"/>
          </w:tcPr>
          <w:p w:rsidR="00ED40A8" w:rsidRDefault="00ED40A8" w:rsidP="000D70DC">
            <w:pPr>
              <w:pStyle w:val="Normal1linespace"/>
              <w:jc w:val="left"/>
            </w:pPr>
            <w:bookmarkStart w:id="9" w:name="PlaceCategoryParagraphs"/>
            <w:r>
              <w:t>12</w:t>
            </w:r>
            <w:r w:rsidR="00C13673">
              <w:t>5</w:t>
            </w:r>
            <w:bookmarkEnd w:id="9"/>
          </w:p>
        </w:tc>
      </w:tr>
      <w:tr w:rsidR="00ED40A8" w:rsidRPr="001D7816" w:rsidTr="00155DC9">
        <w:tblPrEx>
          <w:tblCellSpacing w:w="8" w:type="dxa"/>
        </w:tblPrEx>
        <w:trPr>
          <w:tblCellSpacing w:w="8" w:type="dxa"/>
        </w:trPr>
        <w:tc>
          <w:tcPr>
            <w:tcW w:w="3085" w:type="dxa"/>
            <w:shd w:val="clear" w:color="auto" w:fill="auto"/>
          </w:tcPr>
          <w:p w:rsidR="00ED40A8" w:rsidRDefault="00ED40A8" w:rsidP="00ED40A8">
            <w:pPr>
              <w:pStyle w:val="Normal1linespace"/>
              <w:jc w:val="left"/>
            </w:pPr>
          </w:p>
        </w:tc>
        <w:tc>
          <w:tcPr>
            <w:tcW w:w="5979" w:type="dxa"/>
            <w:gridSpan w:val="2"/>
            <w:shd w:val="clear" w:color="auto" w:fill="auto"/>
          </w:tcPr>
          <w:p w:rsidR="00ED40A8" w:rsidRDefault="00ED40A8" w:rsidP="00ED40A8">
            <w:pPr>
              <w:pStyle w:val="Normal1linespace"/>
              <w:jc w:val="left"/>
            </w:pP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bookmarkStart w:id="10" w:name="Counsel"/>
            <w:r w:rsidRPr="0094783D">
              <w:t>Counsel for the Applicant:</w:t>
            </w:r>
          </w:p>
        </w:tc>
        <w:tc>
          <w:tcPr>
            <w:tcW w:w="5979" w:type="dxa"/>
            <w:gridSpan w:val="2"/>
            <w:shd w:val="clear" w:color="auto" w:fill="auto"/>
          </w:tcPr>
          <w:p w:rsidR="00ED40A8" w:rsidRPr="00F175F5" w:rsidRDefault="00CE75C1" w:rsidP="00ED40A8">
            <w:pPr>
              <w:pStyle w:val="Normal1linespace"/>
              <w:jc w:val="left"/>
              <w:rPr>
                <w:highlight w:val="yellow"/>
              </w:rPr>
            </w:pPr>
            <w:bookmarkStart w:id="11" w:name="AppCounsel"/>
            <w:bookmarkEnd w:id="11"/>
            <w:r w:rsidRPr="00CE75C1">
              <w:t xml:space="preserve">Mr D </w:t>
            </w:r>
            <w:proofErr w:type="spellStart"/>
            <w:r w:rsidRPr="00CE75C1">
              <w:t>Mahendra</w:t>
            </w:r>
            <w:proofErr w:type="spellEnd"/>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p>
        </w:tc>
        <w:tc>
          <w:tcPr>
            <w:tcW w:w="5979" w:type="dxa"/>
            <w:gridSpan w:val="2"/>
            <w:shd w:val="clear" w:color="auto" w:fill="auto"/>
          </w:tcPr>
          <w:p w:rsidR="00ED40A8" w:rsidRPr="00F175F5" w:rsidRDefault="00ED40A8" w:rsidP="00ED40A8">
            <w:pPr>
              <w:pStyle w:val="Normal1linespace"/>
              <w:jc w:val="left"/>
              <w:rPr>
                <w:highlight w:val="yellow"/>
              </w:rPr>
            </w:pP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r w:rsidRPr="0094783D">
              <w:t>Solicitor for the Applicant:</w:t>
            </w:r>
          </w:p>
        </w:tc>
        <w:tc>
          <w:tcPr>
            <w:tcW w:w="5979" w:type="dxa"/>
            <w:gridSpan w:val="2"/>
            <w:shd w:val="clear" w:color="auto" w:fill="auto"/>
          </w:tcPr>
          <w:p w:rsidR="00ED40A8" w:rsidRPr="00F175F5" w:rsidRDefault="00CE75C1" w:rsidP="00ED40A8">
            <w:pPr>
              <w:pStyle w:val="Normal1linespace"/>
              <w:jc w:val="left"/>
              <w:rPr>
                <w:highlight w:val="yellow"/>
              </w:rPr>
            </w:pPr>
            <w:r w:rsidRPr="00CE75C1">
              <w:t>NRA Legal</w:t>
            </w: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p>
        </w:tc>
        <w:tc>
          <w:tcPr>
            <w:tcW w:w="5979" w:type="dxa"/>
            <w:gridSpan w:val="2"/>
            <w:shd w:val="clear" w:color="auto" w:fill="auto"/>
          </w:tcPr>
          <w:p w:rsidR="00ED40A8" w:rsidRPr="00F175F5" w:rsidRDefault="00ED40A8" w:rsidP="00ED40A8">
            <w:pPr>
              <w:pStyle w:val="Normal1linespace"/>
              <w:jc w:val="left"/>
              <w:rPr>
                <w:highlight w:val="yellow"/>
              </w:rPr>
            </w:pP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r w:rsidRPr="0094783D">
              <w:t>Counsel for the First Respondent:</w:t>
            </w:r>
          </w:p>
        </w:tc>
        <w:tc>
          <w:tcPr>
            <w:tcW w:w="5979" w:type="dxa"/>
            <w:gridSpan w:val="2"/>
            <w:shd w:val="clear" w:color="auto" w:fill="auto"/>
          </w:tcPr>
          <w:p w:rsidR="00ED40A8" w:rsidRPr="00F175F5" w:rsidRDefault="00CE75C1" w:rsidP="00ED40A8">
            <w:pPr>
              <w:pStyle w:val="Normal1linespace"/>
              <w:jc w:val="left"/>
              <w:rPr>
                <w:highlight w:val="yellow"/>
              </w:rPr>
            </w:pPr>
            <w:r w:rsidRPr="00CE75C1">
              <w:t>The First Respondent did not appear</w:t>
            </w: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p>
        </w:tc>
        <w:tc>
          <w:tcPr>
            <w:tcW w:w="5979" w:type="dxa"/>
            <w:gridSpan w:val="2"/>
            <w:shd w:val="clear" w:color="auto" w:fill="auto"/>
          </w:tcPr>
          <w:p w:rsidR="00ED40A8" w:rsidRPr="00F175F5" w:rsidRDefault="00ED40A8" w:rsidP="00ED40A8">
            <w:pPr>
              <w:pStyle w:val="Normal1linespace"/>
              <w:jc w:val="left"/>
              <w:rPr>
                <w:highlight w:val="yellow"/>
              </w:rPr>
            </w:pP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r w:rsidRPr="0094783D">
              <w:t>Counsel for the Second Respondent:</w:t>
            </w:r>
          </w:p>
        </w:tc>
        <w:tc>
          <w:tcPr>
            <w:tcW w:w="5979" w:type="dxa"/>
            <w:gridSpan w:val="2"/>
            <w:shd w:val="clear" w:color="auto" w:fill="auto"/>
          </w:tcPr>
          <w:p w:rsidR="00ED40A8" w:rsidRPr="00F175F5" w:rsidRDefault="00CE75C1" w:rsidP="00ED40A8">
            <w:pPr>
              <w:pStyle w:val="Normal1linespace"/>
              <w:jc w:val="left"/>
              <w:rPr>
                <w:highlight w:val="yellow"/>
              </w:rPr>
            </w:pPr>
            <w:r w:rsidRPr="00CE75C1">
              <w:t xml:space="preserve">Mr </w:t>
            </w:r>
            <w:proofErr w:type="spellStart"/>
            <w:r w:rsidRPr="00CE75C1">
              <w:t>SJ</w:t>
            </w:r>
            <w:proofErr w:type="spellEnd"/>
            <w:r w:rsidRPr="00CE75C1">
              <w:t xml:space="preserve"> Moore with Mr DA Bruno</w:t>
            </w: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p>
        </w:tc>
        <w:tc>
          <w:tcPr>
            <w:tcW w:w="5979" w:type="dxa"/>
            <w:gridSpan w:val="2"/>
            <w:shd w:val="clear" w:color="auto" w:fill="auto"/>
          </w:tcPr>
          <w:p w:rsidR="00ED40A8" w:rsidRPr="00F175F5" w:rsidRDefault="00ED40A8" w:rsidP="00ED40A8">
            <w:pPr>
              <w:pStyle w:val="Normal1linespace"/>
              <w:jc w:val="left"/>
              <w:rPr>
                <w:highlight w:val="yellow"/>
              </w:rPr>
            </w:pPr>
          </w:p>
        </w:tc>
      </w:tr>
      <w:tr w:rsidR="00ED40A8" w:rsidRPr="00F175F5" w:rsidTr="00155DC9">
        <w:tblPrEx>
          <w:tblCellSpacing w:w="8" w:type="dxa"/>
        </w:tblPrEx>
        <w:trPr>
          <w:tblCellSpacing w:w="8" w:type="dxa"/>
        </w:trPr>
        <w:tc>
          <w:tcPr>
            <w:tcW w:w="3085" w:type="dxa"/>
            <w:shd w:val="clear" w:color="auto" w:fill="auto"/>
          </w:tcPr>
          <w:p w:rsidR="00ED40A8" w:rsidRPr="00F175F5" w:rsidRDefault="00ED40A8" w:rsidP="00ED40A8">
            <w:pPr>
              <w:pStyle w:val="Normal1linespace"/>
              <w:jc w:val="left"/>
              <w:rPr>
                <w:highlight w:val="yellow"/>
              </w:rPr>
            </w:pPr>
            <w:r w:rsidRPr="0094783D">
              <w:t>Solicitor for the Second Respondent:</w:t>
            </w:r>
          </w:p>
        </w:tc>
        <w:tc>
          <w:tcPr>
            <w:tcW w:w="5979" w:type="dxa"/>
            <w:gridSpan w:val="2"/>
            <w:shd w:val="clear" w:color="auto" w:fill="auto"/>
          </w:tcPr>
          <w:p w:rsidR="00ED40A8" w:rsidRPr="00F175F5" w:rsidRDefault="00CE75C1" w:rsidP="00E7576F">
            <w:pPr>
              <w:pStyle w:val="Normal1linespace"/>
              <w:jc w:val="left"/>
              <w:rPr>
                <w:highlight w:val="yellow"/>
              </w:rPr>
            </w:pPr>
            <w:r w:rsidRPr="00CE75C1">
              <w:t>M</w:t>
            </w:r>
            <w:r w:rsidR="00E7576F">
              <w:t>acpherson</w:t>
            </w:r>
            <w:r w:rsidRPr="00CE75C1">
              <w:t xml:space="preserve"> + K</w:t>
            </w:r>
            <w:r w:rsidR="00E7576F">
              <w:t>elley</w:t>
            </w:r>
            <w:r w:rsidRPr="00CE75C1">
              <w:t xml:space="preserve"> Lawyers as town agent for </w:t>
            </w:r>
            <w:proofErr w:type="spellStart"/>
            <w:r w:rsidRPr="00CE75C1">
              <w:t>AJ</w:t>
            </w:r>
            <w:proofErr w:type="spellEnd"/>
            <w:r w:rsidR="00E7576F">
              <w:t> </w:t>
            </w:r>
            <w:proofErr w:type="spellStart"/>
            <w:r w:rsidRPr="00CE75C1">
              <w:t>Macken</w:t>
            </w:r>
            <w:proofErr w:type="spellEnd"/>
            <w:r w:rsidRPr="00CE75C1">
              <w:t xml:space="preserve"> &amp; Co</w:t>
            </w:r>
          </w:p>
        </w:tc>
      </w:tr>
      <w:bookmarkEnd w:id="10"/>
    </w:tbl>
    <w:p w:rsidR="00B92145" w:rsidRDefault="00B92145">
      <w:pPr>
        <w:pStyle w:val="Normal1linespace"/>
      </w:pPr>
    </w:p>
    <w:p w:rsidR="00B92145" w:rsidRDefault="00B92145">
      <w:pPr>
        <w:pStyle w:val="Normal1linespace"/>
      </w:pPr>
    </w:p>
    <w:p w:rsidR="00B92145" w:rsidRDefault="00B92145">
      <w:pPr>
        <w:pStyle w:val="Normal1linespace"/>
        <w:sectPr w:rsidR="00B92145">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92145">
        <w:tc>
          <w:tcPr>
            <w:tcW w:w="6771" w:type="dxa"/>
          </w:tcPr>
          <w:p w:rsidR="00B92145" w:rsidRDefault="00E052D0">
            <w:pPr>
              <w:pStyle w:val="NormalHeadings"/>
              <w:spacing w:after="120"/>
              <w:jc w:val="left"/>
              <w:rPr>
                <w:caps/>
                <w:szCs w:val="24"/>
              </w:rPr>
            </w:pPr>
            <w:r>
              <w:rPr>
                <w:caps/>
                <w:szCs w:val="24"/>
              </w:rPr>
              <w:lastRenderedPageBreak/>
              <w:t>IN THE FEDERAL COURT OF AUSTRALIA</w:t>
            </w:r>
          </w:p>
        </w:tc>
        <w:tc>
          <w:tcPr>
            <w:tcW w:w="2471" w:type="dxa"/>
          </w:tcPr>
          <w:p w:rsidR="00B92145" w:rsidRDefault="00B92145">
            <w:pPr>
              <w:pStyle w:val="NormalHeadings"/>
              <w:jc w:val="left"/>
              <w:rPr>
                <w:caps/>
                <w:szCs w:val="24"/>
              </w:rPr>
            </w:pPr>
          </w:p>
        </w:tc>
      </w:tr>
      <w:tr w:rsidR="00B92145">
        <w:tc>
          <w:tcPr>
            <w:tcW w:w="6771" w:type="dxa"/>
          </w:tcPr>
          <w:p w:rsidR="00B92145" w:rsidRDefault="00E477FA">
            <w:pPr>
              <w:pStyle w:val="NormalHeadings"/>
              <w:spacing w:after="120"/>
              <w:jc w:val="left"/>
              <w:rPr>
                <w:caps/>
                <w:szCs w:val="24"/>
              </w:rPr>
            </w:pPr>
            <w:bookmarkStart w:id="12" w:name="State"/>
            <w:r>
              <w:rPr>
                <w:caps/>
                <w:szCs w:val="24"/>
              </w:rPr>
              <w:t>QUEENSLAND</w:t>
            </w:r>
            <w:bookmarkEnd w:id="12"/>
            <w:r w:rsidR="00E052D0">
              <w:rPr>
                <w:caps/>
                <w:szCs w:val="24"/>
              </w:rPr>
              <w:t xml:space="preserve"> DISTRICT REGISTRY</w:t>
            </w:r>
          </w:p>
        </w:tc>
        <w:tc>
          <w:tcPr>
            <w:tcW w:w="2471" w:type="dxa"/>
          </w:tcPr>
          <w:p w:rsidR="00B92145" w:rsidRDefault="00B92145">
            <w:pPr>
              <w:pStyle w:val="NormalHeadings"/>
              <w:tabs>
                <w:tab w:val="right" w:pos="3609"/>
              </w:tabs>
              <w:jc w:val="right"/>
              <w:rPr>
                <w:szCs w:val="24"/>
              </w:rPr>
            </w:pPr>
          </w:p>
        </w:tc>
      </w:tr>
      <w:tr w:rsidR="00B92145">
        <w:tc>
          <w:tcPr>
            <w:tcW w:w="6771" w:type="dxa"/>
          </w:tcPr>
          <w:p w:rsidR="00B92145" w:rsidRDefault="00E477FA">
            <w:pPr>
              <w:pStyle w:val="NormalHeadings"/>
              <w:spacing w:after="120"/>
              <w:jc w:val="left"/>
              <w:rPr>
                <w:caps/>
                <w:szCs w:val="24"/>
              </w:rPr>
            </w:pPr>
            <w:bookmarkStart w:id="13" w:name="Division"/>
            <w:r>
              <w:rPr>
                <w:caps/>
                <w:szCs w:val="24"/>
              </w:rPr>
              <w:t>FAIR WORK DIVISION</w:t>
            </w:r>
            <w:bookmarkEnd w:id="13"/>
          </w:p>
        </w:tc>
        <w:tc>
          <w:tcPr>
            <w:tcW w:w="2471" w:type="dxa"/>
          </w:tcPr>
          <w:p w:rsidR="00B92145" w:rsidRDefault="00E477FA">
            <w:pPr>
              <w:pStyle w:val="NormalHeadings"/>
              <w:tabs>
                <w:tab w:val="right" w:pos="3609"/>
              </w:tabs>
              <w:jc w:val="right"/>
              <w:rPr>
                <w:szCs w:val="24"/>
              </w:rPr>
            </w:pPr>
            <w:bookmarkStart w:id="14" w:name="Num"/>
            <w:r>
              <w:rPr>
                <w:szCs w:val="24"/>
              </w:rPr>
              <w:t>QUD 140 of 2014</w:t>
            </w:r>
            <w:bookmarkEnd w:id="14"/>
          </w:p>
        </w:tc>
      </w:tr>
    </w:tbl>
    <w:p w:rsidR="00E052D0" w:rsidRDefault="00E052D0">
      <w:pPr>
        <w:pStyle w:val="AppealTable"/>
      </w:pPr>
    </w:p>
    <w:tbl>
      <w:tblPr>
        <w:tblW w:w="0" w:type="auto"/>
        <w:tblLayout w:type="fixed"/>
        <w:tblLook w:val="0000" w:firstRow="0" w:lastRow="0" w:firstColumn="0" w:lastColumn="0" w:noHBand="0" w:noVBand="0"/>
      </w:tblPr>
      <w:tblGrid>
        <w:gridCol w:w="2376"/>
        <w:gridCol w:w="6866"/>
      </w:tblGrid>
      <w:tr w:rsidR="00B92145">
        <w:trPr>
          <w:trHeight w:val="386"/>
        </w:trPr>
        <w:tc>
          <w:tcPr>
            <w:tcW w:w="2376" w:type="dxa"/>
          </w:tcPr>
          <w:p w:rsidR="00B92145" w:rsidRDefault="00E052D0">
            <w:pPr>
              <w:pStyle w:val="NormalHeadings"/>
              <w:jc w:val="left"/>
              <w:rPr>
                <w:caps/>
                <w:szCs w:val="24"/>
              </w:rPr>
            </w:pPr>
            <w:bookmarkStart w:id="15" w:name="Parties"/>
            <w:r>
              <w:rPr>
                <w:caps/>
                <w:szCs w:val="24"/>
              </w:rPr>
              <w:t>BETWEEN:</w:t>
            </w:r>
          </w:p>
        </w:tc>
        <w:tc>
          <w:tcPr>
            <w:tcW w:w="6866" w:type="dxa"/>
          </w:tcPr>
          <w:p w:rsidR="00E477FA" w:rsidRDefault="00E477FA">
            <w:pPr>
              <w:pStyle w:val="NormalHeadings"/>
              <w:jc w:val="left"/>
              <w:rPr>
                <w:szCs w:val="24"/>
              </w:rPr>
            </w:pPr>
            <w:bookmarkStart w:id="16" w:name="Applicant"/>
            <w:r>
              <w:rPr>
                <w:szCs w:val="24"/>
              </w:rPr>
              <w:t>NATIONAL RETAIL ASSOCIATION</w:t>
            </w:r>
          </w:p>
          <w:p w:rsidR="00E477FA" w:rsidRDefault="00E477FA">
            <w:pPr>
              <w:pStyle w:val="NormalHeadings"/>
              <w:jc w:val="left"/>
              <w:rPr>
                <w:szCs w:val="24"/>
              </w:rPr>
            </w:pPr>
            <w:r>
              <w:rPr>
                <w:szCs w:val="24"/>
              </w:rPr>
              <w:t>Applicant</w:t>
            </w:r>
          </w:p>
          <w:bookmarkEnd w:id="16"/>
          <w:p w:rsidR="00B92145" w:rsidRDefault="00B92145">
            <w:pPr>
              <w:pStyle w:val="NormalHeadings"/>
              <w:jc w:val="left"/>
              <w:rPr>
                <w:szCs w:val="24"/>
              </w:rPr>
            </w:pPr>
          </w:p>
        </w:tc>
      </w:tr>
      <w:tr w:rsidR="00B92145">
        <w:trPr>
          <w:trHeight w:val="386"/>
        </w:trPr>
        <w:tc>
          <w:tcPr>
            <w:tcW w:w="2376" w:type="dxa"/>
          </w:tcPr>
          <w:p w:rsidR="00B92145" w:rsidRDefault="00E052D0">
            <w:pPr>
              <w:pStyle w:val="NormalHeadings"/>
              <w:jc w:val="left"/>
              <w:rPr>
                <w:caps/>
                <w:szCs w:val="24"/>
              </w:rPr>
            </w:pPr>
            <w:r>
              <w:rPr>
                <w:caps/>
                <w:szCs w:val="24"/>
              </w:rPr>
              <w:t>AND:</w:t>
            </w:r>
          </w:p>
        </w:tc>
        <w:tc>
          <w:tcPr>
            <w:tcW w:w="6866" w:type="dxa"/>
          </w:tcPr>
          <w:p w:rsidR="00E477FA" w:rsidRDefault="00E477FA">
            <w:pPr>
              <w:pStyle w:val="NormalHeadings"/>
              <w:jc w:val="left"/>
              <w:rPr>
                <w:szCs w:val="24"/>
              </w:rPr>
            </w:pPr>
            <w:bookmarkStart w:id="17" w:name="Respondent"/>
            <w:r>
              <w:rPr>
                <w:szCs w:val="24"/>
              </w:rPr>
              <w:t>FAIR WORK COMMISSION</w:t>
            </w:r>
          </w:p>
          <w:p w:rsidR="00E477FA" w:rsidRDefault="00E477FA">
            <w:pPr>
              <w:pStyle w:val="NormalHeadings"/>
              <w:jc w:val="left"/>
              <w:rPr>
                <w:szCs w:val="24"/>
              </w:rPr>
            </w:pPr>
            <w:r>
              <w:rPr>
                <w:szCs w:val="24"/>
              </w:rPr>
              <w:t>First Respondent</w:t>
            </w:r>
          </w:p>
          <w:p w:rsidR="00E477FA" w:rsidRDefault="00E477FA">
            <w:pPr>
              <w:pStyle w:val="NormalHeadings"/>
              <w:jc w:val="left"/>
              <w:rPr>
                <w:szCs w:val="24"/>
              </w:rPr>
            </w:pPr>
          </w:p>
          <w:p w:rsidR="00E477FA" w:rsidRDefault="00E477FA">
            <w:pPr>
              <w:pStyle w:val="NormalHeadings"/>
              <w:jc w:val="left"/>
              <w:rPr>
                <w:szCs w:val="24"/>
              </w:rPr>
            </w:pPr>
            <w:r>
              <w:rPr>
                <w:szCs w:val="24"/>
              </w:rPr>
              <w:t>SHOP, DISTRIBUTIVE &amp; ALLIED EMPLOYEES ASSOCIATION</w:t>
            </w:r>
          </w:p>
          <w:p w:rsidR="00E477FA" w:rsidRDefault="00E477FA">
            <w:pPr>
              <w:pStyle w:val="NormalHeadings"/>
              <w:jc w:val="left"/>
              <w:rPr>
                <w:szCs w:val="24"/>
              </w:rPr>
            </w:pPr>
            <w:r>
              <w:rPr>
                <w:szCs w:val="24"/>
              </w:rPr>
              <w:t>Second Respondent</w:t>
            </w:r>
          </w:p>
          <w:bookmarkEnd w:id="17"/>
          <w:p w:rsidR="00B92145" w:rsidRDefault="00B92145">
            <w:pPr>
              <w:pStyle w:val="NormalHeadings"/>
              <w:jc w:val="left"/>
              <w:rPr>
                <w:szCs w:val="24"/>
              </w:rPr>
            </w:pPr>
          </w:p>
        </w:tc>
      </w:tr>
      <w:bookmarkEnd w:id="15"/>
    </w:tbl>
    <w:p w:rsidR="00B92145" w:rsidRDefault="00B92145">
      <w:pPr>
        <w:pStyle w:val="NormalHeadings"/>
      </w:pPr>
    </w:p>
    <w:tbl>
      <w:tblPr>
        <w:tblW w:w="0" w:type="auto"/>
        <w:tblLayout w:type="fixed"/>
        <w:tblLook w:val="0000" w:firstRow="0" w:lastRow="0" w:firstColumn="0" w:lastColumn="0" w:noHBand="0" w:noVBand="0"/>
      </w:tblPr>
      <w:tblGrid>
        <w:gridCol w:w="2376"/>
        <w:gridCol w:w="6866"/>
      </w:tblGrid>
      <w:tr w:rsidR="00B92145">
        <w:tc>
          <w:tcPr>
            <w:tcW w:w="2376" w:type="dxa"/>
          </w:tcPr>
          <w:p w:rsidR="00B92145" w:rsidRDefault="00E477FA">
            <w:pPr>
              <w:pStyle w:val="NormalHeadings"/>
              <w:spacing w:after="120"/>
              <w:jc w:val="left"/>
              <w:rPr>
                <w:caps/>
                <w:szCs w:val="24"/>
              </w:rPr>
            </w:pPr>
            <w:bookmarkStart w:id="18" w:name="JudgeText"/>
            <w:r>
              <w:rPr>
                <w:caps/>
                <w:szCs w:val="24"/>
              </w:rPr>
              <w:t>JUDGES</w:t>
            </w:r>
            <w:bookmarkEnd w:id="18"/>
            <w:r w:rsidR="00E052D0">
              <w:rPr>
                <w:caps/>
                <w:szCs w:val="24"/>
              </w:rPr>
              <w:t>:</w:t>
            </w:r>
          </w:p>
        </w:tc>
        <w:tc>
          <w:tcPr>
            <w:tcW w:w="6866" w:type="dxa"/>
          </w:tcPr>
          <w:p w:rsidR="00B92145" w:rsidRDefault="00E477FA" w:rsidP="00ED40A8">
            <w:pPr>
              <w:pStyle w:val="NormalHeadings"/>
              <w:jc w:val="left"/>
              <w:rPr>
                <w:caps/>
                <w:szCs w:val="24"/>
              </w:rPr>
            </w:pPr>
            <w:bookmarkStart w:id="19" w:name="Judge"/>
            <w:r>
              <w:rPr>
                <w:caps/>
                <w:szCs w:val="24"/>
              </w:rPr>
              <w:t>COLLIER, BROMBERG AND KATZMANN JJ</w:t>
            </w:r>
            <w:bookmarkEnd w:id="19"/>
          </w:p>
        </w:tc>
      </w:tr>
      <w:tr w:rsidR="00B92145">
        <w:tc>
          <w:tcPr>
            <w:tcW w:w="2376" w:type="dxa"/>
          </w:tcPr>
          <w:p w:rsidR="00B92145" w:rsidRDefault="00E052D0">
            <w:pPr>
              <w:pStyle w:val="NormalHeadings"/>
              <w:spacing w:after="120"/>
              <w:jc w:val="left"/>
              <w:rPr>
                <w:caps/>
                <w:szCs w:val="24"/>
              </w:rPr>
            </w:pPr>
            <w:r>
              <w:rPr>
                <w:caps/>
                <w:szCs w:val="24"/>
              </w:rPr>
              <w:t>DATE OF ORDER:</w:t>
            </w:r>
          </w:p>
        </w:tc>
        <w:tc>
          <w:tcPr>
            <w:tcW w:w="6866" w:type="dxa"/>
          </w:tcPr>
          <w:p w:rsidR="00B92145" w:rsidRDefault="00860852">
            <w:pPr>
              <w:pStyle w:val="NormalHeadings"/>
              <w:jc w:val="left"/>
              <w:rPr>
                <w:caps/>
                <w:szCs w:val="24"/>
              </w:rPr>
            </w:pPr>
            <w:bookmarkStart w:id="20" w:name="Judgment_Dated"/>
            <w:r>
              <w:rPr>
                <w:caps/>
                <w:szCs w:val="24"/>
              </w:rPr>
              <w:t>11 September</w:t>
            </w:r>
            <w:r w:rsidR="00E477FA">
              <w:rPr>
                <w:caps/>
                <w:szCs w:val="24"/>
              </w:rPr>
              <w:t xml:space="preserve"> 2014</w:t>
            </w:r>
            <w:bookmarkEnd w:id="20"/>
          </w:p>
        </w:tc>
      </w:tr>
      <w:tr w:rsidR="00B92145">
        <w:tc>
          <w:tcPr>
            <w:tcW w:w="2376" w:type="dxa"/>
          </w:tcPr>
          <w:p w:rsidR="00B92145" w:rsidRDefault="00E052D0">
            <w:pPr>
              <w:pStyle w:val="NormalHeadings"/>
              <w:spacing w:after="120"/>
              <w:jc w:val="left"/>
              <w:rPr>
                <w:caps/>
                <w:szCs w:val="24"/>
              </w:rPr>
            </w:pPr>
            <w:r>
              <w:rPr>
                <w:caps/>
                <w:szCs w:val="24"/>
              </w:rPr>
              <w:t>WHERE MADE:</w:t>
            </w:r>
          </w:p>
        </w:tc>
        <w:tc>
          <w:tcPr>
            <w:tcW w:w="6866" w:type="dxa"/>
          </w:tcPr>
          <w:p w:rsidR="00B92145" w:rsidRDefault="00E477FA">
            <w:pPr>
              <w:pStyle w:val="NormalHeadings"/>
              <w:jc w:val="left"/>
              <w:rPr>
                <w:caps/>
                <w:szCs w:val="24"/>
              </w:rPr>
            </w:pPr>
            <w:bookmarkStart w:id="21" w:name="Place"/>
            <w:r>
              <w:rPr>
                <w:caps/>
                <w:szCs w:val="24"/>
              </w:rPr>
              <w:t>BRISBANE</w:t>
            </w:r>
            <w:bookmarkEnd w:id="21"/>
          </w:p>
        </w:tc>
      </w:tr>
    </w:tbl>
    <w:p w:rsidR="00B92145" w:rsidRDefault="00B92145">
      <w:pPr>
        <w:pStyle w:val="NormalHeadings"/>
        <w:rPr>
          <w:b w:val="0"/>
        </w:rPr>
      </w:pPr>
    </w:p>
    <w:p w:rsidR="00B92145" w:rsidRDefault="00E052D0">
      <w:pPr>
        <w:pStyle w:val="NormalHeadings"/>
      </w:pPr>
      <w:r>
        <w:t>THE COURT ORDERS THAT:</w:t>
      </w:r>
    </w:p>
    <w:p w:rsidR="00B92145" w:rsidRDefault="00B92145">
      <w:pPr>
        <w:pStyle w:val="NormalHeadings"/>
      </w:pPr>
    </w:p>
    <w:p w:rsidR="00F53050" w:rsidRDefault="00331CC1">
      <w:pPr>
        <w:numPr>
          <w:ilvl w:val="0"/>
          <w:numId w:val="2"/>
        </w:numPr>
        <w:tabs>
          <w:tab w:val="clear" w:pos="720"/>
        </w:tabs>
        <w:spacing w:before="60" w:after="60"/>
      </w:pPr>
      <w:bookmarkStart w:id="22" w:name="Order_Start_Text"/>
      <w:r>
        <w:t xml:space="preserve">The applicant’s application </w:t>
      </w:r>
      <w:r w:rsidR="00155DC9">
        <w:t xml:space="preserve">be </w:t>
      </w:r>
      <w:r>
        <w:t>dismissed.</w:t>
      </w:r>
    </w:p>
    <w:p w:rsidR="00B92145" w:rsidRDefault="00F53050">
      <w:pPr>
        <w:numPr>
          <w:ilvl w:val="0"/>
          <w:numId w:val="2"/>
        </w:numPr>
        <w:tabs>
          <w:tab w:val="clear" w:pos="720"/>
        </w:tabs>
        <w:spacing w:before="60" w:after="60"/>
      </w:pPr>
      <w:r>
        <w:t>Within seven (7) days of these orders the parties confer on the question of costs and advise the Court whether costs are sought and, if so, what costs order is agreed upon.  In default of agreement, the applicant file short submissions and, if appropriate, affidavit evidence in support of its application within 14 days of these orders and the second respondent file short submissions and, if appropriate, affidavit evidence in response within seven (7) days of being served with the applicant’s material.</w:t>
      </w:r>
      <w:bookmarkEnd w:id="22"/>
    </w:p>
    <w:p w:rsidR="00B92145" w:rsidRDefault="00B92145">
      <w:pPr>
        <w:spacing w:before="60" w:after="60"/>
      </w:pPr>
    </w:p>
    <w:p w:rsidR="00B92145" w:rsidRDefault="00B92145">
      <w:pPr>
        <w:spacing w:before="60" w:after="60"/>
      </w:pPr>
    </w:p>
    <w:p w:rsidR="00B92145" w:rsidRDefault="00E052D0">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B92145" w:rsidRDefault="00B92145"/>
    <w:p w:rsidR="00B92145" w:rsidRDefault="00B92145"/>
    <w:p w:rsidR="00B92145" w:rsidRDefault="00B92145">
      <w:pPr>
        <w:pStyle w:val="NormalHeadings"/>
        <w:spacing w:before="240" w:after="120"/>
        <w:rPr>
          <w:b w:val="0"/>
        </w:rPr>
        <w:sectPr w:rsidR="00B92145">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92145">
        <w:tc>
          <w:tcPr>
            <w:tcW w:w="6771" w:type="dxa"/>
          </w:tcPr>
          <w:p w:rsidR="00B92145" w:rsidRDefault="00E052D0">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B92145" w:rsidRDefault="00B92145">
            <w:pPr>
              <w:pStyle w:val="NormalHeadings"/>
            </w:pPr>
          </w:p>
        </w:tc>
      </w:tr>
      <w:tr w:rsidR="00B92145">
        <w:tc>
          <w:tcPr>
            <w:tcW w:w="6771" w:type="dxa"/>
          </w:tcPr>
          <w:p w:rsidR="00B92145" w:rsidRDefault="00E052D0">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477FA">
              <w:rPr>
                <w:caps/>
                <w:szCs w:val="24"/>
              </w:rPr>
              <w:t>QUEENSLAND</w:t>
            </w:r>
            <w:r>
              <w:rPr>
                <w:caps/>
                <w:szCs w:val="24"/>
              </w:rPr>
              <w:fldChar w:fldCharType="end"/>
            </w:r>
            <w:r>
              <w:rPr>
                <w:caps/>
                <w:szCs w:val="24"/>
              </w:rPr>
              <w:t xml:space="preserve"> DISTRICT REGISTRY</w:t>
            </w:r>
          </w:p>
        </w:tc>
        <w:tc>
          <w:tcPr>
            <w:tcW w:w="2471" w:type="dxa"/>
          </w:tcPr>
          <w:p w:rsidR="00B92145" w:rsidRDefault="00B92145">
            <w:pPr>
              <w:pStyle w:val="NormalHeadings"/>
              <w:tabs>
                <w:tab w:val="right" w:pos="3609"/>
              </w:tabs>
              <w:jc w:val="right"/>
              <w:rPr>
                <w:caps/>
                <w:szCs w:val="24"/>
              </w:rPr>
            </w:pPr>
          </w:p>
        </w:tc>
      </w:tr>
      <w:tr w:rsidR="00B92145">
        <w:tc>
          <w:tcPr>
            <w:tcW w:w="6771" w:type="dxa"/>
          </w:tcPr>
          <w:p w:rsidR="00B92145" w:rsidRDefault="00E052D0">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477FA">
              <w:rPr>
                <w:caps/>
                <w:szCs w:val="24"/>
              </w:rPr>
              <w:t>FAIR WORK DIVISION</w:t>
            </w:r>
            <w:r>
              <w:rPr>
                <w:caps/>
                <w:szCs w:val="24"/>
              </w:rPr>
              <w:fldChar w:fldCharType="end"/>
            </w:r>
          </w:p>
        </w:tc>
        <w:tc>
          <w:tcPr>
            <w:tcW w:w="2471" w:type="dxa"/>
          </w:tcPr>
          <w:p w:rsidR="00B92145" w:rsidRDefault="00E052D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E477FA" w:rsidRPr="00E477FA">
              <w:rPr>
                <w:caps/>
                <w:szCs w:val="24"/>
              </w:rPr>
              <w:t>QUD</w:t>
            </w:r>
            <w:proofErr w:type="spellEnd"/>
            <w:r w:rsidR="00E477FA">
              <w:rPr>
                <w:szCs w:val="24"/>
              </w:rPr>
              <w:t xml:space="preserve"> 140 of 2014</w:t>
            </w:r>
            <w:r>
              <w:rPr>
                <w:caps/>
                <w:szCs w:val="24"/>
              </w:rPr>
              <w:fldChar w:fldCharType="end"/>
            </w:r>
          </w:p>
        </w:tc>
      </w:tr>
    </w:tbl>
    <w:p w:rsidR="00E477FA" w:rsidRDefault="00CD2B22">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E477FA" w:rsidRPr="00E477FA">
        <w:tc>
          <w:tcPr>
            <w:tcW w:w="9243" w:type="dxa"/>
            <w:shd w:val="clear" w:color="auto" w:fill="auto"/>
          </w:tcPr>
          <w:p w:rsidR="00E477FA" w:rsidRPr="00E477FA" w:rsidRDefault="00E477FA">
            <w:pPr>
              <w:pStyle w:val="AppealTable"/>
              <w:widowControl w:val="0"/>
              <w:spacing w:line="360" w:lineRule="auto"/>
              <w:jc w:val="both"/>
              <w:rPr>
                <w:caps w:val="0"/>
                <w:sz w:val="24"/>
                <w:szCs w:val="20"/>
                <w:lang w:eastAsia="en-AU"/>
              </w:rPr>
            </w:pPr>
            <w:r w:rsidRPr="00E477FA">
              <w:rPr>
                <w:caps w:val="0"/>
                <w:sz w:val="24"/>
                <w:szCs w:val="20"/>
                <w:lang w:eastAsia="en-AU"/>
              </w:rPr>
              <w:t>ON APPEAL FROM THE FEDERAL COURT OF AUSTRALIA</w:t>
            </w:r>
          </w:p>
        </w:tc>
      </w:tr>
    </w:tbl>
    <w:p w:rsidR="00B92145" w:rsidRPr="005D56C0" w:rsidRDefault="00CD2B22">
      <w:pPr>
        <w:pStyle w:val="AppealTable"/>
        <w:rPr>
          <w:b w:val="0"/>
          <w:caps w:val="0"/>
          <w:sz w:val="20"/>
          <w:szCs w:val="20"/>
          <w:lang w:eastAsia="en-AU"/>
        </w:rPr>
      </w:pPr>
      <w:r>
        <w:fldChar w:fldCharType="end"/>
      </w:r>
    </w:p>
    <w:tbl>
      <w:tblPr>
        <w:tblW w:w="0" w:type="auto"/>
        <w:tblLayout w:type="fixed"/>
        <w:tblLook w:val="0000" w:firstRow="0" w:lastRow="0" w:firstColumn="0" w:lastColumn="0" w:noHBand="0" w:noVBand="0"/>
      </w:tblPr>
      <w:tblGrid>
        <w:gridCol w:w="2376"/>
        <w:gridCol w:w="6866"/>
      </w:tblGrid>
      <w:tr w:rsidR="00B92145">
        <w:trPr>
          <w:trHeight w:val="386"/>
        </w:trPr>
        <w:tc>
          <w:tcPr>
            <w:tcW w:w="2376" w:type="dxa"/>
          </w:tcPr>
          <w:p w:rsidR="00B92145" w:rsidRDefault="00E052D0">
            <w:pPr>
              <w:pStyle w:val="NormalHeadings"/>
              <w:jc w:val="left"/>
              <w:rPr>
                <w:caps/>
                <w:szCs w:val="24"/>
              </w:rPr>
            </w:pPr>
            <w:r>
              <w:rPr>
                <w:caps/>
                <w:szCs w:val="24"/>
              </w:rPr>
              <w:t>BETWEEN:</w:t>
            </w:r>
          </w:p>
        </w:tc>
        <w:tc>
          <w:tcPr>
            <w:tcW w:w="6866" w:type="dxa"/>
          </w:tcPr>
          <w:p w:rsidR="00E477FA" w:rsidRDefault="00E052D0">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477FA" w:rsidRPr="00E477FA">
              <w:rPr>
                <w:caps/>
                <w:szCs w:val="24"/>
              </w:rPr>
              <w:t>NATIONAL</w:t>
            </w:r>
            <w:r w:rsidR="00E477FA">
              <w:rPr>
                <w:szCs w:val="24"/>
              </w:rPr>
              <w:t xml:space="preserve"> RETAIL ASSOCIATION</w:t>
            </w:r>
          </w:p>
          <w:p w:rsidR="00E477FA" w:rsidRDefault="00E477FA">
            <w:pPr>
              <w:pStyle w:val="NormalHeadings"/>
              <w:jc w:val="left"/>
              <w:rPr>
                <w:szCs w:val="24"/>
              </w:rPr>
            </w:pPr>
            <w:r>
              <w:rPr>
                <w:szCs w:val="24"/>
              </w:rPr>
              <w:t>Applicant</w:t>
            </w:r>
          </w:p>
          <w:p w:rsidR="00B92145" w:rsidRDefault="00E052D0">
            <w:pPr>
              <w:pStyle w:val="NormalHeadings"/>
              <w:jc w:val="left"/>
              <w:rPr>
                <w:caps/>
                <w:szCs w:val="24"/>
              </w:rPr>
            </w:pPr>
            <w:r>
              <w:rPr>
                <w:caps/>
                <w:szCs w:val="24"/>
              </w:rPr>
              <w:fldChar w:fldCharType="end"/>
            </w:r>
          </w:p>
        </w:tc>
      </w:tr>
      <w:tr w:rsidR="00B92145">
        <w:trPr>
          <w:trHeight w:val="386"/>
        </w:trPr>
        <w:tc>
          <w:tcPr>
            <w:tcW w:w="2376" w:type="dxa"/>
          </w:tcPr>
          <w:p w:rsidR="00B92145" w:rsidRDefault="00E052D0">
            <w:pPr>
              <w:pStyle w:val="NormalHeadings"/>
              <w:jc w:val="left"/>
              <w:rPr>
                <w:caps/>
                <w:szCs w:val="24"/>
              </w:rPr>
            </w:pPr>
            <w:r>
              <w:rPr>
                <w:caps/>
                <w:szCs w:val="24"/>
              </w:rPr>
              <w:t>AND:</w:t>
            </w:r>
          </w:p>
        </w:tc>
        <w:tc>
          <w:tcPr>
            <w:tcW w:w="6866" w:type="dxa"/>
          </w:tcPr>
          <w:p w:rsidR="00E477FA" w:rsidRDefault="00E052D0">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477FA" w:rsidRPr="00E477FA">
              <w:rPr>
                <w:caps/>
                <w:szCs w:val="24"/>
              </w:rPr>
              <w:t>FAIR</w:t>
            </w:r>
            <w:r w:rsidR="00E477FA">
              <w:rPr>
                <w:szCs w:val="24"/>
              </w:rPr>
              <w:t xml:space="preserve"> WORK COMMISSION</w:t>
            </w:r>
          </w:p>
          <w:p w:rsidR="00E477FA" w:rsidRDefault="00E477FA">
            <w:pPr>
              <w:pStyle w:val="NormalHeadings"/>
              <w:jc w:val="left"/>
              <w:rPr>
                <w:szCs w:val="24"/>
              </w:rPr>
            </w:pPr>
            <w:r>
              <w:rPr>
                <w:szCs w:val="24"/>
              </w:rPr>
              <w:t>First Respondent</w:t>
            </w:r>
          </w:p>
          <w:p w:rsidR="00E477FA" w:rsidRDefault="00E477FA">
            <w:pPr>
              <w:pStyle w:val="NormalHeadings"/>
              <w:jc w:val="left"/>
              <w:rPr>
                <w:szCs w:val="24"/>
              </w:rPr>
            </w:pPr>
          </w:p>
          <w:p w:rsidR="00E477FA" w:rsidRDefault="00E477FA">
            <w:pPr>
              <w:pStyle w:val="NormalHeadings"/>
              <w:jc w:val="left"/>
              <w:rPr>
                <w:szCs w:val="24"/>
              </w:rPr>
            </w:pPr>
            <w:r>
              <w:rPr>
                <w:szCs w:val="24"/>
              </w:rPr>
              <w:t>SHOP, DISTRIBUTIVE &amp; ALLIED EMPLOYEES ASSOCIATION</w:t>
            </w:r>
          </w:p>
          <w:p w:rsidR="00E477FA" w:rsidRDefault="00E477FA">
            <w:pPr>
              <w:pStyle w:val="NormalHeadings"/>
              <w:jc w:val="left"/>
              <w:rPr>
                <w:szCs w:val="24"/>
              </w:rPr>
            </w:pPr>
            <w:r>
              <w:rPr>
                <w:szCs w:val="24"/>
              </w:rPr>
              <w:t>Second Respondent</w:t>
            </w:r>
          </w:p>
          <w:p w:rsidR="00B92145" w:rsidRDefault="00E052D0">
            <w:pPr>
              <w:pStyle w:val="NormalHeadings"/>
              <w:jc w:val="left"/>
              <w:rPr>
                <w:caps/>
                <w:szCs w:val="24"/>
              </w:rPr>
            </w:pPr>
            <w:r>
              <w:rPr>
                <w:caps/>
                <w:szCs w:val="24"/>
              </w:rPr>
              <w:fldChar w:fldCharType="end"/>
            </w:r>
          </w:p>
        </w:tc>
      </w:tr>
    </w:tbl>
    <w:p w:rsidR="00B92145" w:rsidRDefault="00B92145">
      <w:pPr>
        <w:pStyle w:val="NormalHeadings"/>
      </w:pPr>
    </w:p>
    <w:tbl>
      <w:tblPr>
        <w:tblW w:w="0" w:type="auto"/>
        <w:tblLayout w:type="fixed"/>
        <w:tblLook w:val="0000" w:firstRow="0" w:lastRow="0" w:firstColumn="0" w:lastColumn="0" w:noHBand="0" w:noVBand="0"/>
      </w:tblPr>
      <w:tblGrid>
        <w:gridCol w:w="2376"/>
        <w:gridCol w:w="6866"/>
      </w:tblGrid>
      <w:tr w:rsidR="00B92145">
        <w:tc>
          <w:tcPr>
            <w:tcW w:w="2376" w:type="dxa"/>
          </w:tcPr>
          <w:p w:rsidR="00B92145" w:rsidRDefault="00E052D0">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477FA">
              <w:rPr>
                <w:caps/>
                <w:szCs w:val="24"/>
              </w:rPr>
              <w:t>JUDGES</w:t>
            </w:r>
            <w:r>
              <w:rPr>
                <w:caps/>
                <w:szCs w:val="24"/>
              </w:rPr>
              <w:fldChar w:fldCharType="end"/>
            </w:r>
            <w:r>
              <w:rPr>
                <w:caps/>
                <w:szCs w:val="24"/>
              </w:rPr>
              <w:t>:</w:t>
            </w:r>
          </w:p>
        </w:tc>
        <w:tc>
          <w:tcPr>
            <w:tcW w:w="6866" w:type="dxa"/>
          </w:tcPr>
          <w:p w:rsidR="00B92145" w:rsidRDefault="00ED40A8" w:rsidP="00ED40A8">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sidR="00E477FA">
              <w:rPr>
                <w:caps/>
                <w:szCs w:val="24"/>
              </w:rPr>
              <w:t xml:space="preserve">COLLIER, BROMBERG AND KATZMANN </w:t>
            </w:r>
            <w:proofErr w:type="spellStart"/>
            <w:r w:rsidR="00E477FA">
              <w:rPr>
                <w:caps/>
                <w:szCs w:val="24"/>
              </w:rPr>
              <w:t>JJ</w:t>
            </w:r>
            <w:proofErr w:type="spellEnd"/>
            <w:r>
              <w:rPr>
                <w:caps/>
                <w:szCs w:val="24"/>
              </w:rPr>
              <w:fldChar w:fldCharType="end"/>
            </w:r>
          </w:p>
        </w:tc>
      </w:tr>
      <w:tr w:rsidR="00B92145">
        <w:tc>
          <w:tcPr>
            <w:tcW w:w="2376" w:type="dxa"/>
          </w:tcPr>
          <w:p w:rsidR="00B92145" w:rsidRDefault="00E052D0">
            <w:pPr>
              <w:pStyle w:val="NormalHeadings"/>
              <w:spacing w:after="120"/>
              <w:jc w:val="left"/>
              <w:rPr>
                <w:caps/>
                <w:szCs w:val="24"/>
              </w:rPr>
            </w:pPr>
            <w:r>
              <w:rPr>
                <w:caps/>
                <w:szCs w:val="24"/>
              </w:rPr>
              <w:t>DATE:</w:t>
            </w:r>
          </w:p>
        </w:tc>
        <w:tc>
          <w:tcPr>
            <w:tcW w:w="6866" w:type="dxa"/>
          </w:tcPr>
          <w:p w:rsidR="00B92145" w:rsidRDefault="00E052D0">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860852">
              <w:rPr>
                <w:caps/>
                <w:szCs w:val="24"/>
              </w:rPr>
              <w:t>11 September</w:t>
            </w:r>
            <w:r w:rsidR="00E477FA">
              <w:rPr>
                <w:caps/>
                <w:szCs w:val="24"/>
              </w:rPr>
              <w:t xml:space="preserve"> 2014</w:t>
            </w:r>
            <w:r>
              <w:rPr>
                <w:caps/>
                <w:szCs w:val="24"/>
              </w:rPr>
              <w:fldChar w:fldCharType="end"/>
            </w:r>
          </w:p>
        </w:tc>
      </w:tr>
      <w:tr w:rsidR="00B92145">
        <w:tc>
          <w:tcPr>
            <w:tcW w:w="2376" w:type="dxa"/>
          </w:tcPr>
          <w:p w:rsidR="00B92145" w:rsidRDefault="00E052D0">
            <w:pPr>
              <w:pStyle w:val="NormalHeadings"/>
              <w:spacing w:after="120"/>
              <w:jc w:val="left"/>
              <w:rPr>
                <w:caps/>
                <w:szCs w:val="24"/>
              </w:rPr>
            </w:pPr>
            <w:r>
              <w:rPr>
                <w:caps/>
                <w:szCs w:val="24"/>
              </w:rPr>
              <w:t>PLACE:</w:t>
            </w:r>
          </w:p>
        </w:tc>
        <w:tc>
          <w:tcPr>
            <w:tcW w:w="6866" w:type="dxa"/>
          </w:tcPr>
          <w:p w:rsidR="00B92145" w:rsidRDefault="00E052D0">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477FA">
              <w:rPr>
                <w:caps/>
                <w:szCs w:val="24"/>
              </w:rPr>
              <w:t>BRISBANE</w:t>
            </w:r>
            <w:r>
              <w:rPr>
                <w:caps/>
                <w:szCs w:val="24"/>
              </w:rPr>
              <w:fldChar w:fldCharType="end"/>
            </w:r>
          </w:p>
        </w:tc>
      </w:tr>
    </w:tbl>
    <w:p w:rsidR="00B92145" w:rsidRDefault="00B92145"/>
    <w:p w:rsidR="00B92145" w:rsidRDefault="00E052D0">
      <w:pPr>
        <w:pStyle w:val="StyleBold"/>
        <w:jc w:val="center"/>
        <w:rPr>
          <w:b/>
        </w:rPr>
      </w:pPr>
      <w:r>
        <w:rPr>
          <w:b/>
        </w:rPr>
        <w:t>REASONS FOR JUDGMENT</w:t>
      </w:r>
    </w:p>
    <w:p w:rsidR="00331CC1" w:rsidRPr="00ED40A8" w:rsidRDefault="00331CC1" w:rsidP="00DC3AE7">
      <w:pPr>
        <w:pStyle w:val="Heading1"/>
      </w:pPr>
      <w:r w:rsidRPr="00ED40A8">
        <w:t>THE COURT</w:t>
      </w:r>
    </w:p>
    <w:p w:rsidR="00B610A5" w:rsidRDefault="00B610A5" w:rsidP="00730DC8">
      <w:pPr>
        <w:pStyle w:val="ParaNumbering"/>
      </w:pPr>
      <w:r>
        <w:t>On 21 March 2014, on the application of the Shop, Distributive and Allied Employees Association (</w:t>
      </w:r>
      <w:proofErr w:type="spellStart"/>
      <w:r w:rsidRPr="00B610A5">
        <w:rPr>
          <w:b/>
        </w:rPr>
        <w:t>SDA</w:t>
      </w:r>
      <w:proofErr w:type="spellEnd"/>
      <w:r>
        <w:t>), a Full Bench of the Fair Work Commission (</w:t>
      </w:r>
      <w:proofErr w:type="spellStart"/>
      <w:r w:rsidRPr="002A7FEE">
        <w:rPr>
          <w:b/>
        </w:rPr>
        <w:t>FWC</w:t>
      </w:r>
      <w:proofErr w:type="spellEnd"/>
      <w:r>
        <w:t xml:space="preserve">) </w:t>
      </w:r>
      <w:r w:rsidRPr="00B610A5">
        <w:t>decided</w:t>
      </w:r>
      <w:r>
        <w:t xml:space="preserve"> to vary the </w:t>
      </w:r>
      <w:r>
        <w:rPr>
          <w:i/>
        </w:rPr>
        <w:t>General Retail Industry Award 2010</w:t>
      </w:r>
      <w:r w:rsidR="002A7FEE">
        <w:t xml:space="preserve"> (</w:t>
      </w:r>
      <w:r w:rsidR="002A7FEE">
        <w:rPr>
          <w:b/>
        </w:rPr>
        <w:t>Retail Award</w:t>
      </w:r>
      <w:r w:rsidR="002A7FEE">
        <w:t>)</w:t>
      </w:r>
      <w:r>
        <w:t xml:space="preserve"> to require that 20-year</w:t>
      </w:r>
      <w:r w:rsidR="00075902">
        <w:t>-</w:t>
      </w:r>
      <w:r>
        <w:t xml:space="preserve">old retail employees who had worked for an employer for more than six months be paid at adult rates.  </w:t>
      </w:r>
      <w:r w:rsidR="0002458E">
        <w:t>T</w:t>
      </w:r>
      <w:r>
        <w:t>he National Retail Association (</w:t>
      </w:r>
      <w:r w:rsidRPr="00B610A5">
        <w:rPr>
          <w:b/>
        </w:rPr>
        <w:t>NRA</w:t>
      </w:r>
      <w:r>
        <w:t>) contend</w:t>
      </w:r>
      <w:r w:rsidR="00A0604C">
        <w:t>s</w:t>
      </w:r>
      <w:r>
        <w:t xml:space="preserve"> that the </w:t>
      </w:r>
      <w:proofErr w:type="spellStart"/>
      <w:r>
        <w:t>FWC</w:t>
      </w:r>
      <w:r w:rsidR="0002458E">
        <w:t>’s</w:t>
      </w:r>
      <w:proofErr w:type="spellEnd"/>
      <w:r>
        <w:t xml:space="preserve"> </w:t>
      </w:r>
      <w:r w:rsidR="0002458E">
        <w:t>decision is affected by</w:t>
      </w:r>
      <w:r>
        <w:t xml:space="preserve"> jurisdictional error</w:t>
      </w:r>
      <w:r w:rsidR="0002458E">
        <w:t>.  The NRA</w:t>
      </w:r>
      <w:r>
        <w:t xml:space="preserve"> </w:t>
      </w:r>
      <w:r w:rsidR="0002458E">
        <w:t>applie</w:t>
      </w:r>
      <w:r w:rsidR="00A0604C">
        <w:t>s</w:t>
      </w:r>
      <w:r>
        <w:t xml:space="preserve"> f</w:t>
      </w:r>
      <w:r w:rsidR="0002458E">
        <w:t xml:space="preserve">or orders </w:t>
      </w:r>
      <w:r w:rsidR="00155DC9">
        <w:t>quashing</w:t>
      </w:r>
      <w:r>
        <w:t xml:space="preserve"> the decision and requir</w:t>
      </w:r>
      <w:r w:rsidR="00155DC9">
        <w:t>ing</w:t>
      </w:r>
      <w:r>
        <w:t xml:space="preserve"> the </w:t>
      </w:r>
      <w:proofErr w:type="spellStart"/>
      <w:r w:rsidR="0002458E">
        <w:t>FWC</w:t>
      </w:r>
      <w:proofErr w:type="spellEnd"/>
      <w:r w:rsidR="00B92832">
        <w:t xml:space="preserve"> to hear and determine the proceedings afresh.  For the following reasons, the application</w:t>
      </w:r>
      <w:r w:rsidR="0002458E">
        <w:t xml:space="preserve"> </w:t>
      </w:r>
      <w:r>
        <w:t>must be dismissed.</w:t>
      </w:r>
    </w:p>
    <w:p w:rsidR="00DC3AE7" w:rsidRDefault="00DC3AE7" w:rsidP="00DC3AE7">
      <w:pPr>
        <w:pStyle w:val="Heading1"/>
      </w:pPr>
      <w:r>
        <w:t>BACKGROUND</w:t>
      </w:r>
    </w:p>
    <w:p w:rsidR="00E052D0" w:rsidRDefault="00893063" w:rsidP="009F2F16">
      <w:pPr>
        <w:pStyle w:val="ParaNumbering"/>
      </w:pPr>
      <w:r>
        <w:t>From April 2008, a</w:t>
      </w:r>
      <w:r w:rsidR="009F2F16">
        <w:t>n award modernisation process</w:t>
      </w:r>
      <w:r w:rsidR="007B2F27">
        <w:t xml:space="preserve"> (</w:t>
      </w:r>
      <w:r w:rsidR="007B2F27">
        <w:rPr>
          <w:b/>
        </w:rPr>
        <w:t>award modernisation</w:t>
      </w:r>
      <w:r w:rsidR="007B2F27">
        <w:t>)</w:t>
      </w:r>
      <w:r w:rsidR="009F2F16">
        <w:t xml:space="preserve"> was conducted by the Australian Industrial Relations Commission</w:t>
      </w:r>
      <w:r w:rsidR="007B2F27">
        <w:t xml:space="preserve"> (</w:t>
      </w:r>
      <w:proofErr w:type="spellStart"/>
      <w:r w:rsidR="007B2F27">
        <w:rPr>
          <w:b/>
        </w:rPr>
        <w:t>AIRC</w:t>
      </w:r>
      <w:proofErr w:type="spellEnd"/>
      <w:r w:rsidR="007B2F27" w:rsidRPr="00EA12C1">
        <w:t>)</w:t>
      </w:r>
      <w:r w:rsidR="007F7C6D">
        <w:t xml:space="preserve">, </w:t>
      </w:r>
      <w:r w:rsidR="007B2F27">
        <w:t xml:space="preserve">the predecessor </w:t>
      </w:r>
      <w:r w:rsidR="007F7C6D">
        <w:t>of the</w:t>
      </w:r>
      <w:r w:rsidR="007B2F27">
        <w:t xml:space="preserve"> </w:t>
      </w:r>
      <w:proofErr w:type="spellStart"/>
      <w:r w:rsidR="00B610A5">
        <w:t>FWC</w:t>
      </w:r>
      <w:proofErr w:type="spellEnd"/>
      <w:r w:rsidR="007B2F27">
        <w:t>.</w:t>
      </w:r>
      <w:r w:rsidR="009F2F16">
        <w:t xml:space="preserve"> </w:t>
      </w:r>
      <w:r w:rsidR="00C730F8">
        <w:t xml:space="preserve"> </w:t>
      </w:r>
      <w:r w:rsidR="007B2F27">
        <w:t>Award modernisation was a process regulated by</w:t>
      </w:r>
      <w:r w:rsidR="009F2F16">
        <w:t xml:space="preserve"> Part </w:t>
      </w:r>
      <w:proofErr w:type="spellStart"/>
      <w:r w:rsidR="009F2F16">
        <w:t>10A</w:t>
      </w:r>
      <w:proofErr w:type="spellEnd"/>
      <w:r w:rsidR="009F2F16">
        <w:t xml:space="preserve"> of the former </w:t>
      </w:r>
      <w:r w:rsidR="009F2F16">
        <w:rPr>
          <w:i/>
        </w:rPr>
        <w:t>Workplace Relations Act 1996</w:t>
      </w:r>
      <w:r>
        <w:t xml:space="preserve"> (Cth) (</w:t>
      </w:r>
      <w:proofErr w:type="spellStart"/>
      <w:r>
        <w:rPr>
          <w:b/>
        </w:rPr>
        <w:t>WR</w:t>
      </w:r>
      <w:proofErr w:type="spellEnd"/>
      <w:r>
        <w:rPr>
          <w:b/>
        </w:rPr>
        <w:t xml:space="preserve"> Act</w:t>
      </w:r>
      <w:r>
        <w:t>)</w:t>
      </w:r>
      <w:r w:rsidR="009F2F16">
        <w:rPr>
          <w:i/>
        </w:rPr>
        <w:t>.</w:t>
      </w:r>
      <w:r w:rsidR="009F2F16">
        <w:t xml:space="preserve">  Broadly speaking, the award modernisation process</w:t>
      </w:r>
      <w:r>
        <w:t xml:space="preserve"> resulted in</w:t>
      </w:r>
      <w:r w:rsidR="009F2F16">
        <w:t xml:space="preserve"> more than 1500 industrial awards </w:t>
      </w:r>
      <w:r>
        <w:t>being</w:t>
      </w:r>
      <w:r w:rsidR="009F2F16">
        <w:t xml:space="preserve"> reviewed </w:t>
      </w:r>
      <w:r w:rsidR="007B2F27">
        <w:t xml:space="preserve">by the </w:t>
      </w:r>
      <w:proofErr w:type="spellStart"/>
      <w:r w:rsidR="007B2F27">
        <w:t>AIRC</w:t>
      </w:r>
      <w:proofErr w:type="spellEnd"/>
      <w:r w:rsidR="007B2F27">
        <w:t xml:space="preserve"> </w:t>
      </w:r>
      <w:r>
        <w:t xml:space="preserve">and replaced with </w:t>
      </w:r>
      <w:r>
        <w:lastRenderedPageBreak/>
        <w:t xml:space="preserve">some </w:t>
      </w:r>
      <w:r w:rsidR="009F2F16">
        <w:t>120 industry</w:t>
      </w:r>
      <w:r w:rsidR="00155DC9">
        <w:t xml:space="preserve"> </w:t>
      </w:r>
      <w:r w:rsidR="009F2F16">
        <w:t>and occupation</w:t>
      </w:r>
      <w:r w:rsidR="00155DC9">
        <w:t>-</w:t>
      </w:r>
      <w:r w:rsidR="009F2F16">
        <w:t xml:space="preserve">based ‘modern awards’.  The </w:t>
      </w:r>
      <w:r>
        <w:t>award moderni</w:t>
      </w:r>
      <w:r w:rsidR="003D4C4B">
        <w:t>s</w:t>
      </w:r>
      <w:r>
        <w:t xml:space="preserve">ation process </w:t>
      </w:r>
      <w:r w:rsidR="007B2F27">
        <w:t xml:space="preserve">largely pre-dated the enactment of the </w:t>
      </w:r>
      <w:r w:rsidR="007B2F27">
        <w:rPr>
          <w:i/>
        </w:rPr>
        <w:t>Fair Work Act 2009</w:t>
      </w:r>
      <w:r w:rsidR="007B2F27">
        <w:rPr>
          <w:b/>
        </w:rPr>
        <w:t xml:space="preserve"> </w:t>
      </w:r>
      <w:r w:rsidR="007B2F27">
        <w:t>(Cth) (</w:t>
      </w:r>
      <w:r w:rsidR="007B2F27">
        <w:rPr>
          <w:b/>
        </w:rPr>
        <w:t>FW Act</w:t>
      </w:r>
      <w:r w:rsidR="007B2F27">
        <w:t>)</w:t>
      </w:r>
      <w:r w:rsidR="009F2F16">
        <w:t>.</w:t>
      </w:r>
      <w:r w:rsidR="007B2F27">
        <w:t xml:space="preserve">  However</w:t>
      </w:r>
      <w:r w:rsidR="0037523D">
        <w:t>,</w:t>
      </w:r>
      <w:r w:rsidR="007B2F27">
        <w:t xml:space="preserve"> the commencement of the operation of </w:t>
      </w:r>
      <w:r w:rsidR="0036772B">
        <w:t xml:space="preserve">the </w:t>
      </w:r>
      <w:r w:rsidR="007B2F27">
        <w:t xml:space="preserve">modern awards was timed to co-ordinate with the commencement of the scheme for </w:t>
      </w:r>
      <w:r w:rsidR="00B00277">
        <w:t>award regulation</w:t>
      </w:r>
      <w:r w:rsidR="007B2F27">
        <w:t xml:space="preserve"> enabled by the FW Act.</w:t>
      </w:r>
    </w:p>
    <w:p w:rsidR="009F2F16" w:rsidRDefault="009F2F16" w:rsidP="00D76C9A">
      <w:pPr>
        <w:pStyle w:val="ParaNumbering"/>
      </w:pPr>
      <w:r>
        <w:t>One of the awards made in the course of the award modernisation process was the</w:t>
      </w:r>
      <w:r w:rsidR="002A7FEE" w:rsidRPr="00D76C9A">
        <w:rPr>
          <w:i/>
        </w:rPr>
        <w:t xml:space="preserve"> </w:t>
      </w:r>
      <w:r w:rsidR="002A7FEE">
        <w:t>Retail Award</w:t>
      </w:r>
      <w:r>
        <w:t>.  That award</w:t>
      </w:r>
      <w:r w:rsidR="00893063">
        <w:t>,</w:t>
      </w:r>
      <w:r>
        <w:t xml:space="preserve"> like all modern awards</w:t>
      </w:r>
      <w:r w:rsidR="005D51FB">
        <w:t xml:space="preserve"> made under the award modernisation process</w:t>
      </w:r>
      <w:r w:rsidR="00893063">
        <w:t>,</w:t>
      </w:r>
      <w:r w:rsidR="00584265">
        <w:t xml:space="preserve"> was deemed to be a modern award</w:t>
      </w:r>
      <w:r w:rsidR="005D51FB">
        <w:t xml:space="preserve"> for the purposes of the FW Act by Item 4 of </w:t>
      </w:r>
      <w:r w:rsidR="00893063">
        <w:t>Schedule 5 (</w:t>
      </w:r>
      <w:r w:rsidR="005D51FB" w:rsidRPr="00D76C9A">
        <w:rPr>
          <w:b/>
        </w:rPr>
        <w:t>Schedule 5</w:t>
      </w:r>
      <w:r w:rsidR="00893063" w:rsidRPr="00EA12C1">
        <w:t>)</w:t>
      </w:r>
      <w:r w:rsidR="005D51FB" w:rsidRPr="00D76C9A">
        <w:rPr>
          <w:b/>
          <w:i/>
        </w:rPr>
        <w:t xml:space="preserve"> </w:t>
      </w:r>
      <w:r w:rsidR="005D51FB">
        <w:t xml:space="preserve">of the </w:t>
      </w:r>
      <w:r w:rsidR="005D51FB" w:rsidRPr="00D76C9A">
        <w:rPr>
          <w:i/>
        </w:rPr>
        <w:t>Fair Work (Transitional Provisions and Consequential Amendments) Act 2009</w:t>
      </w:r>
      <w:r w:rsidR="0002458E">
        <w:t xml:space="preserve"> (Cth)</w:t>
      </w:r>
      <w:r w:rsidR="005D51FB" w:rsidRPr="00D76C9A">
        <w:rPr>
          <w:i/>
        </w:rPr>
        <w:t xml:space="preserve"> </w:t>
      </w:r>
      <w:r w:rsidR="005D51FB">
        <w:t>(</w:t>
      </w:r>
      <w:r w:rsidR="005D51FB" w:rsidRPr="00D76C9A">
        <w:rPr>
          <w:b/>
        </w:rPr>
        <w:t>Transitional Act</w:t>
      </w:r>
      <w:r w:rsidR="005D51FB">
        <w:t>).</w:t>
      </w:r>
    </w:p>
    <w:p w:rsidR="005D51FB" w:rsidRDefault="005D51FB" w:rsidP="009F2F16">
      <w:pPr>
        <w:pStyle w:val="ParaNumbering"/>
      </w:pPr>
      <w:r>
        <w:t xml:space="preserve">On 11 April 2014, a Full Bench of the </w:t>
      </w:r>
      <w:proofErr w:type="spellStart"/>
      <w:r w:rsidR="00893063" w:rsidRPr="0037523D">
        <w:t>FWC</w:t>
      </w:r>
      <w:proofErr w:type="spellEnd"/>
      <w:r w:rsidR="00584265">
        <w:t xml:space="preserve"> </w:t>
      </w:r>
      <w:r>
        <w:t xml:space="preserve">issued a </w:t>
      </w:r>
      <w:r w:rsidR="00893063">
        <w:t>d</w:t>
      </w:r>
      <w:r>
        <w:t>etermination (</w:t>
      </w:r>
      <w:r>
        <w:rPr>
          <w:b/>
        </w:rPr>
        <w:t xml:space="preserve">the </w:t>
      </w:r>
      <w:r w:rsidR="00893063">
        <w:rPr>
          <w:b/>
        </w:rPr>
        <w:t>d</w:t>
      </w:r>
      <w:r>
        <w:rPr>
          <w:b/>
        </w:rPr>
        <w:t>etermination</w:t>
      </w:r>
      <w:r>
        <w:t xml:space="preserve">) varying </w:t>
      </w:r>
      <w:r w:rsidR="00E62A86">
        <w:t>cl </w:t>
      </w:r>
      <w:r>
        <w:t>18</w:t>
      </w:r>
      <w:r w:rsidR="00584265">
        <w:t xml:space="preserve"> </w:t>
      </w:r>
      <w:r>
        <w:t xml:space="preserve">of the Retail Award.  The </w:t>
      </w:r>
      <w:r w:rsidR="00893063">
        <w:t>d</w:t>
      </w:r>
      <w:r>
        <w:t xml:space="preserve">etermination gave effect to a decision of the </w:t>
      </w:r>
      <w:proofErr w:type="spellStart"/>
      <w:r>
        <w:t>FWC</w:t>
      </w:r>
      <w:proofErr w:type="spellEnd"/>
      <w:r>
        <w:t xml:space="preserve"> </w:t>
      </w:r>
      <w:r w:rsidR="002A7FEE">
        <w:t xml:space="preserve"> made on 21</w:t>
      </w:r>
      <w:r w:rsidR="00DC3AE7">
        <w:t> </w:t>
      </w:r>
      <w:r w:rsidR="002A7FEE">
        <w:t xml:space="preserve">March 2014 and </w:t>
      </w:r>
      <w:r>
        <w:t xml:space="preserve">published as </w:t>
      </w:r>
      <w:r w:rsidR="003D4C4B">
        <w:rPr>
          <w:i/>
        </w:rPr>
        <w:t>Modern Awards Review</w:t>
      </w:r>
      <w:r>
        <w:rPr>
          <w:i/>
        </w:rPr>
        <w:t xml:space="preserve"> 2012 – General Retail Industry Award 2010 – Junior Rates</w:t>
      </w:r>
      <w:r>
        <w:t xml:space="preserve"> [2014] </w:t>
      </w:r>
      <w:proofErr w:type="spellStart"/>
      <w:r>
        <w:t>FWCFB</w:t>
      </w:r>
      <w:proofErr w:type="spellEnd"/>
      <w:r>
        <w:t xml:space="preserve"> 1846 (</w:t>
      </w:r>
      <w:r>
        <w:rPr>
          <w:b/>
        </w:rPr>
        <w:t xml:space="preserve">the </w:t>
      </w:r>
      <w:r w:rsidR="00893063">
        <w:rPr>
          <w:b/>
        </w:rPr>
        <w:t>d</w:t>
      </w:r>
      <w:r>
        <w:rPr>
          <w:b/>
        </w:rPr>
        <w:t>ecision</w:t>
      </w:r>
      <w:r>
        <w:t>).</w:t>
      </w:r>
    </w:p>
    <w:p w:rsidR="00505628" w:rsidRDefault="0036772B" w:rsidP="00505628">
      <w:pPr>
        <w:pStyle w:val="ParaNumbering"/>
      </w:pPr>
      <w:r>
        <w:t>As originally made, cl </w:t>
      </w:r>
      <w:r w:rsidR="003D4C4B">
        <w:t xml:space="preserve">18 </w:t>
      </w:r>
      <w:r w:rsidR="00E413B8">
        <w:t>provided that 20</w:t>
      </w:r>
      <w:r w:rsidR="00075902">
        <w:t>-</w:t>
      </w:r>
      <w:r w:rsidR="00E413B8">
        <w:t>year</w:t>
      </w:r>
      <w:r w:rsidR="00075902">
        <w:t>-</w:t>
      </w:r>
      <w:r w:rsidR="00E413B8">
        <w:t xml:space="preserve">old employees be paid at 90% of the relevant adult rate </w:t>
      </w:r>
      <w:r w:rsidR="00893063">
        <w:t>prescribed</w:t>
      </w:r>
      <w:r w:rsidR="00E413B8">
        <w:t xml:space="preserve"> by the</w:t>
      </w:r>
      <w:r w:rsidR="00893063">
        <w:t xml:space="preserve"> Retail</w:t>
      </w:r>
      <w:r w:rsidR="00E413B8">
        <w:t xml:space="preserve"> Award.  By the </w:t>
      </w:r>
      <w:r w:rsidR="00893063">
        <w:t>d</w:t>
      </w:r>
      <w:r w:rsidR="00E413B8">
        <w:t xml:space="preserve">etermination, the </w:t>
      </w:r>
      <w:proofErr w:type="spellStart"/>
      <w:r w:rsidR="00E413B8">
        <w:t>FWC</w:t>
      </w:r>
      <w:proofErr w:type="spellEnd"/>
      <w:r w:rsidR="00E413B8">
        <w:t xml:space="preserve"> varied cl 18 so as to provide that a 20</w:t>
      </w:r>
      <w:r w:rsidR="00075902">
        <w:t>-</w:t>
      </w:r>
      <w:r w:rsidR="00E413B8">
        <w:t>year</w:t>
      </w:r>
      <w:r w:rsidR="00075902">
        <w:t>-</w:t>
      </w:r>
      <w:r w:rsidR="00E413B8">
        <w:t xml:space="preserve">old employee who had worked for an employer for more than six months would be entitled to be paid the full adult rate of pay.  Mindful of the cost implications upon employers, the </w:t>
      </w:r>
      <w:proofErr w:type="spellStart"/>
      <w:r w:rsidR="00E413B8">
        <w:t>FWC</w:t>
      </w:r>
      <w:proofErr w:type="spellEnd"/>
      <w:r w:rsidR="00E413B8">
        <w:t xml:space="preserve"> </w:t>
      </w:r>
      <w:r w:rsidR="00461062">
        <w:t>phased</w:t>
      </w:r>
      <w:r w:rsidR="00584265">
        <w:t xml:space="preserve"> </w:t>
      </w:r>
      <w:r w:rsidR="00E413B8">
        <w:t>in the variation so that 95% of the adu</w:t>
      </w:r>
      <w:r w:rsidR="00966DE3">
        <w:t xml:space="preserve">lt rate </w:t>
      </w:r>
      <w:r w:rsidR="00461062">
        <w:t>applied</w:t>
      </w:r>
      <w:r w:rsidR="00966DE3">
        <w:t xml:space="preserve"> from the first pa</w:t>
      </w:r>
      <w:r w:rsidR="0037523D">
        <w:t>y</w:t>
      </w:r>
      <w:r w:rsidR="00966DE3">
        <w:t xml:space="preserve"> period commencing on or after 1</w:t>
      </w:r>
      <w:r w:rsidR="00DC3AE7">
        <w:t> </w:t>
      </w:r>
      <w:r w:rsidR="00966DE3">
        <w:t>July 2014, with 100</w:t>
      </w:r>
      <w:r w:rsidR="002F114F">
        <w:t>% of</w:t>
      </w:r>
      <w:r w:rsidR="00461062">
        <w:t xml:space="preserve"> the adult rate </w:t>
      </w:r>
      <w:r w:rsidR="00966DE3">
        <w:t>applying from the first pa</w:t>
      </w:r>
      <w:r w:rsidR="0037523D">
        <w:t>y</w:t>
      </w:r>
      <w:r w:rsidR="00966DE3">
        <w:t xml:space="preserve"> period commencing on or after 1</w:t>
      </w:r>
      <w:r w:rsidR="00DC3AE7">
        <w:t> </w:t>
      </w:r>
      <w:r w:rsidR="00966DE3">
        <w:t>July 2015.</w:t>
      </w:r>
    </w:p>
    <w:p w:rsidR="00966DE3" w:rsidRDefault="0036772B" w:rsidP="009F2F16">
      <w:pPr>
        <w:pStyle w:val="ParaNumbering"/>
      </w:pPr>
      <w:r>
        <w:t xml:space="preserve">In its application for judicial review the </w:t>
      </w:r>
      <w:r w:rsidR="00E62A86">
        <w:t>NRA</w:t>
      </w:r>
      <w:r w:rsidR="00966DE3">
        <w:t xml:space="preserve"> seeks writs of certiorari and mandamus to quash the decision and the determination </w:t>
      </w:r>
      <w:r w:rsidR="0037523D">
        <w:t xml:space="preserve">and to require </w:t>
      </w:r>
      <w:r w:rsidR="00B00277">
        <w:t xml:space="preserve">the </w:t>
      </w:r>
      <w:proofErr w:type="spellStart"/>
      <w:r w:rsidR="00B00277">
        <w:t>FWC</w:t>
      </w:r>
      <w:proofErr w:type="spellEnd"/>
      <w:r w:rsidR="0037523D">
        <w:t xml:space="preserve"> to perform its function </w:t>
      </w:r>
      <w:r w:rsidR="00B00277">
        <w:t>according to</w:t>
      </w:r>
      <w:r w:rsidR="0037523D">
        <w:t xml:space="preserve"> law</w:t>
      </w:r>
      <w:r w:rsidR="00DC3AE7">
        <w:t>.</w:t>
      </w:r>
    </w:p>
    <w:p w:rsidR="00966DE3" w:rsidRDefault="00502C56" w:rsidP="00502C56">
      <w:pPr>
        <w:pStyle w:val="ParaNumbering"/>
      </w:pPr>
      <w:r>
        <w:t>In support of its application the NRA relies</w:t>
      </w:r>
      <w:r w:rsidR="00D03235">
        <w:t xml:space="preserve"> upon five grounds.  Three of those grounds essentially assert that the </w:t>
      </w:r>
      <w:proofErr w:type="spellStart"/>
      <w:r w:rsidR="00D03235">
        <w:t>FWC</w:t>
      </w:r>
      <w:proofErr w:type="spellEnd"/>
      <w:r w:rsidR="00D03235">
        <w:t xml:space="preserve"> misunderstood its function and took into account irrelevant considerations.  The fourth ground raises an issue as to whether the </w:t>
      </w:r>
      <w:proofErr w:type="spellStart"/>
      <w:r w:rsidR="00D03235">
        <w:t>FWC</w:t>
      </w:r>
      <w:proofErr w:type="spellEnd"/>
      <w:r w:rsidR="00D03235">
        <w:t xml:space="preserve"> was wrong to consider cl</w:t>
      </w:r>
      <w:r w:rsidR="00DC3AE7">
        <w:t> </w:t>
      </w:r>
      <w:r w:rsidR="00D03235">
        <w:t>18</w:t>
      </w:r>
      <w:r w:rsidR="00B00277">
        <w:t xml:space="preserve"> </w:t>
      </w:r>
      <w:r w:rsidR="00D03235">
        <w:t>in isolation</w:t>
      </w:r>
      <w:r w:rsidR="00BA1C24">
        <w:t>,</w:t>
      </w:r>
      <w:r w:rsidR="00D03235">
        <w:t xml:space="preserve"> rather than </w:t>
      </w:r>
      <w:r w:rsidR="00E62A86">
        <w:t xml:space="preserve">to </w:t>
      </w:r>
      <w:r w:rsidR="00D03235">
        <w:t xml:space="preserve">review the Retail Award as a whole.  </w:t>
      </w:r>
      <w:r w:rsidR="0036772B">
        <w:t>In the fifth and final ground the</w:t>
      </w:r>
      <w:r w:rsidR="00D03235">
        <w:t xml:space="preserve"> NRA asserts that the </w:t>
      </w:r>
      <w:proofErr w:type="spellStart"/>
      <w:r w:rsidR="00D03235">
        <w:t>FWC</w:t>
      </w:r>
      <w:proofErr w:type="spellEnd"/>
      <w:r w:rsidR="00D03235">
        <w:t xml:space="preserve"> failed to act logically and rationally in making certain factual findings</w:t>
      </w:r>
      <w:r w:rsidR="00966DE3">
        <w:t>.</w:t>
      </w:r>
    </w:p>
    <w:p w:rsidR="00DC3AE7" w:rsidRDefault="00DC3AE7" w:rsidP="00DC3AE7">
      <w:pPr>
        <w:pStyle w:val="Heading1"/>
      </w:pPr>
      <w:r>
        <w:lastRenderedPageBreak/>
        <w:t>THE RELEVANT LEGISLATIVE PROVISIONS</w:t>
      </w:r>
    </w:p>
    <w:p w:rsidR="00DE5098" w:rsidRPr="00584265" w:rsidRDefault="00DE5098" w:rsidP="00DE5098">
      <w:pPr>
        <w:pStyle w:val="ParaNumbering"/>
      </w:pPr>
      <w:r>
        <w:t xml:space="preserve">There was no issue </w:t>
      </w:r>
      <w:r w:rsidR="002078AC">
        <w:t>that</w:t>
      </w:r>
      <w:r>
        <w:t xml:space="preserve"> this Court</w:t>
      </w:r>
      <w:r w:rsidR="002078AC">
        <w:t xml:space="preserve"> has</w:t>
      </w:r>
      <w:r>
        <w:t xml:space="preserve"> jurisdiction to grant the relief sought by the applicant.  </w:t>
      </w:r>
      <w:r w:rsidR="00E62A86">
        <w:t xml:space="preserve">As the </w:t>
      </w:r>
      <w:r w:rsidR="0037523D">
        <w:t>NRA submitted</w:t>
      </w:r>
      <w:r w:rsidR="00E62A86">
        <w:t>,</w:t>
      </w:r>
      <w:r>
        <w:t xml:space="preserve"> </w:t>
      </w:r>
      <w:r w:rsidR="00B00277">
        <w:t>this Court’s jurisdiction</w:t>
      </w:r>
      <w:r w:rsidR="00E62A86">
        <w:t xml:space="preserve"> arises from</w:t>
      </w:r>
      <w:r>
        <w:t xml:space="preserve"> s</w:t>
      </w:r>
      <w:r w:rsidR="0037523D">
        <w:t> </w:t>
      </w:r>
      <w:r>
        <w:t xml:space="preserve">562 of the FW Act and ss 22 and 23 of the </w:t>
      </w:r>
      <w:r>
        <w:rPr>
          <w:i/>
        </w:rPr>
        <w:t xml:space="preserve">Federal Court of Australia Act 1976 </w:t>
      </w:r>
      <w:r w:rsidRPr="0037523D">
        <w:t>(Cth)</w:t>
      </w:r>
      <w:r w:rsidR="0037523D">
        <w:t xml:space="preserve"> (</w:t>
      </w:r>
      <w:r w:rsidR="0037523D">
        <w:rPr>
          <w:b/>
        </w:rPr>
        <w:t>Federal Court Act</w:t>
      </w:r>
      <w:r w:rsidR="0037523D">
        <w:t>)</w:t>
      </w:r>
      <w:r>
        <w:t xml:space="preserve">.  Section 562 of the FW Act confers </w:t>
      </w:r>
      <w:r w:rsidR="003C3CCF">
        <w:t xml:space="preserve">jurisdiction on the Federal Court </w:t>
      </w:r>
      <w:r w:rsidR="00BE52F8">
        <w:t>“</w:t>
      </w:r>
      <w:r w:rsidR="003C3CCF">
        <w:t>in relation to any matter</w:t>
      </w:r>
      <w:r w:rsidR="00BE52F8">
        <w:t>”</w:t>
      </w:r>
      <w:r w:rsidR="003D4C4B">
        <w:t>,</w:t>
      </w:r>
      <w:r w:rsidR="003C3CCF">
        <w:t xml:space="preserve"> whether civil or criminal</w:t>
      </w:r>
      <w:r w:rsidR="003D4C4B">
        <w:t>,</w:t>
      </w:r>
      <w:r w:rsidR="003C3CCF">
        <w:t xml:space="preserve"> arising under th</w:t>
      </w:r>
      <w:r w:rsidR="0037523D">
        <w:t>at Act</w:t>
      </w:r>
      <w:r w:rsidR="003C3CCF">
        <w:t>.  Section 563 then provides that certain matters are to be heard in the Fair Work Division of the Court.  Included in the matter</w:t>
      </w:r>
      <w:r w:rsidR="0037523D">
        <w:t>s</w:t>
      </w:r>
      <w:r w:rsidR="003C3CCF">
        <w:t xml:space="preserve"> specified </w:t>
      </w:r>
      <w:r w:rsidR="0037523D">
        <w:t>by</w:t>
      </w:r>
      <w:r w:rsidR="003C3CCF">
        <w:t xml:space="preserve"> s</w:t>
      </w:r>
      <w:r w:rsidR="00C03E19">
        <w:t> </w:t>
      </w:r>
      <w:r w:rsidR="003C3CCF">
        <w:t xml:space="preserve">563 is an application for a writ of mandamus against a person holding office under the FW Act.  </w:t>
      </w:r>
      <w:r w:rsidR="002078AC">
        <w:t xml:space="preserve">A writ of certiorari </w:t>
      </w:r>
      <w:r w:rsidR="003C3CCF">
        <w:t xml:space="preserve">may be granted by the Federal Court as a </w:t>
      </w:r>
      <w:r w:rsidR="00BE52F8">
        <w:t>“</w:t>
      </w:r>
      <w:r w:rsidR="003C3CCF">
        <w:t>stand alone</w:t>
      </w:r>
      <w:r w:rsidR="00BE52F8">
        <w:t>”</w:t>
      </w:r>
      <w:r w:rsidR="003C3CCF">
        <w:t xml:space="preserve"> remedy pursuant to s</w:t>
      </w:r>
      <w:r w:rsidR="00E62A86">
        <w:t> </w:t>
      </w:r>
      <w:proofErr w:type="spellStart"/>
      <w:r w:rsidR="003C3CCF">
        <w:t>39B</w:t>
      </w:r>
      <w:proofErr w:type="spellEnd"/>
      <w:r w:rsidR="0067487B">
        <w:t>(</w:t>
      </w:r>
      <w:proofErr w:type="spellStart"/>
      <w:r w:rsidR="0067487B">
        <w:t>1A</w:t>
      </w:r>
      <w:proofErr w:type="spellEnd"/>
      <w:r w:rsidR="0067487B">
        <w:t xml:space="preserve">)(c) of the </w:t>
      </w:r>
      <w:r w:rsidR="00E62A86" w:rsidRPr="0002458E">
        <w:rPr>
          <w:i/>
        </w:rPr>
        <w:t>Judiciary Act</w:t>
      </w:r>
      <w:r w:rsidR="0002458E">
        <w:rPr>
          <w:i/>
        </w:rPr>
        <w:t xml:space="preserve"> 1903 </w:t>
      </w:r>
      <w:r w:rsidR="0002458E">
        <w:t>(Cth)</w:t>
      </w:r>
      <w:r w:rsidR="000D70DC">
        <w:t xml:space="preserve"> (</w:t>
      </w:r>
      <w:r w:rsidR="000D70DC">
        <w:rPr>
          <w:b/>
        </w:rPr>
        <w:t>Judiciary Act</w:t>
      </w:r>
      <w:r w:rsidR="000D70DC">
        <w:t>)</w:t>
      </w:r>
      <w:r w:rsidR="0067487B">
        <w:t xml:space="preserve"> and s 23 of the Federal Court Act: </w:t>
      </w:r>
      <w:r w:rsidR="00E62A86">
        <w:t xml:space="preserve"> </w:t>
      </w:r>
      <w:r w:rsidR="0067487B">
        <w:rPr>
          <w:i/>
        </w:rPr>
        <w:t xml:space="preserve">Energy Australia Yallourn Pty Ltd v Construction, Forestry, Mining and Energy Union </w:t>
      </w:r>
      <w:r w:rsidR="0067487B">
        <w:t xml:space="preserve">[2014] </w:t>
      </w:r>
      <w:proofErr w:type="spellStart"/>
      <w:r w:rsidR="0067487B">
        <w:t>FCAFC</w:t>
      </w:r>
      <w:proofErr w:type="spellEnd"/>
      <w:r w:rsidR="0067487B">
        <w:t xml:space="preserve"> 8 at [62] and [69] (Dowsett J, with whom North and Bromberg JJ agreed at [22]</w:t>
      </w:r>
      <w:r w:rsidR="003D4C4B">
        <w:t>)</w:t>
      </w:r>
      <w:r w:rsidR="0067487B">
        <w:t>.</w:t>
      </w:r>
    </w:p>
    <w:p w:rsidR="00DF5E71" w:rsidRDefault="00172B2D" w:rsidP="009F2F16">
      <w:pPr>
        <w:pStyle w:val="ParaNumbering"/>
      </w:pPr>
      <w:r>
        <w:t xml:space="preserve">In order to consider whether the </w:t>
      </w:r>
      <w:proofErr w:type="spellStart"/>
      <w:r>
        <w:t>FWC</w:t>
      </w:r>
      <w:proofErr w:type="spellEnd"/>
      <w:r>
        <w:t xml:space="preserve"> erred in the performance of its statutory task, it is necessary to refer to the statutory provisions pursuant to which the </w:t>
      </w:r>
      <w:proofErr w:type="spellStart"/>
      <w:r>
        <w:t>FWC</w:t>
      </w:r>
      <w:proofErr w:type="spellEnd"/>
      <w:r>
        <w:t xml:space="preserve"> </w:t>
      </w:r>
      <w:r w:rsidR="0036772B">
        <w:t xml:space="preserve">purported to exercise </w:t>
      </w:r>
      <w:r>
        <w:t>its power to make the determination.  Those provisions are contained in Part 2 of Schedule</w:t>
      </w:r>
      <w:r w:rsidR="004655B7">
        <w:t xml:space="preserve"> 5</w:t>
      </w:r>
      <w:r>
        <w:t xml:space="preserve">.  Part 2 is headed </w:t>
      </w:r>
      <w:r w:rsidR="00BE52F8">
        <w:t>“</w:t>
      </w:r>
      <w:r>
        <w:t xml:space="preserve">The </w:t>
      </w:r>
      <w:proofErr w:type="spellStart"/>
      <w:r>
        <w:t>WR</w:t>
      </w:r>
      <w:proofErr w:type="spellEnd"/>
      <w:r>
        <w:t xml:space="preserve"> Act </w:t>
      </w:r>
      <w:r w:rsidR="0037523D">
        <w:t>a</w:t>
      </w:r>
      <w:r>
        <w:t>ward modernisation process</w:t>
      </w:r>
      <w:r w:rsidR="00BE52F8">
        <w:t>”</w:t>
      </w:r>
      <w:r>
        <w:t xml:space="preserve">.  It </w:t>
      </w:r>
      <w:r w:rsidR="0036772B">
        <w:t xml:space="preserve">begins </w:t>
      </w:r>
      <w:r>
        <w:t xml:space="preserve">with </w:t>
      </w:r>
      <w:r w:rsidR="004655B7">
        <w:t>I</w:t>
      </w:r>
      <w:r>
        <w:t>tem 2</w:t>
      </w:r>
      <w:r w:rsidR="00A14715">
        <w:t>,</w:t>
      </w:r>
      <w:r>
        <w:t xml:space="preserve"> which require</w:t>
      </w:r>
      <w:r w:rsidR="00A14715">
        <w:t>s</w:t>
      </w:r>
      <w:r>
        <w:t xml:space="preserve"> the </w:t>
      </w:r>
      <w:proofErr w:type="spellStart"/>
      <w:r w:rsidR="004655B7">
        <w:t>AIRC</w:t>
      </w:r>
      <w:proofErr w:type="spellEnd"/>
      <w:r w:rsidR="004655B7">
        <w:t xml:space="preserve"> to</w:t>
      </w:r>
      <w:r>
        <w:t xml:space="preserve"> continue with and complete the award modernisation process.  Item 3 deal</w:t>
      </w:r>
      <w:r w:rsidR="00A14715">
        <w:t>s</w:t>
      </w:r>
      <w:r>
        <w:t xml:space="preserve"> with the termination of various industrial instruments upon modern awards coming into operation.  As stated </w:t>
      </w:r>
      <w:r w:rsidR="00E065DB">
        <w:t>earlier</w:t>
      </w:r>
      <w:r>
        <w:t xml:space="preserve">, </w:t>
      </w:r>
      <w:r w:rsidR="004655B7">
        <w:t>I</w:t>
      </w:r>
      <w:r>
        <w:t>tem 4 ha</w:t>
      </w:r>
      <w:r w:rsidR="00B00277">
        <w:t>s</w:t>
      </w:r>
      <w:r>
        <w:t xml:space="preserve"> the effect of deeming modern awards made in</w:t>
      </w:r>
      <w:r w:rsidR="004655B7">
        <w:t xml:space="preserve"> the</w:t>
      </w:r>
      <w:r>
        <w:t xml:space="preserve"> award modernisation process to be modern awards under the FW Act.  Item 5 </w:t>
      </w:r>
      <w:r w:rsidR="00A14715">
        <w:t xml:space="preserve">empowers </w:t>
      </w:r>
      <w:r>
        <w:t xml:space="preserve">the </w:t>
      </w:r>
      <w:proofErr w:type="spellStart"/>
      <w:r>
        <w:t>FWC</w:t>
      </w:r>
      <w:proofErr w:type="spellEnd"/>
      <w:r>
        <w:t xml:space="preserve"> to deal </w:t>
      </w:r>
      <w:r w:rsidR="00EB28B5">
        <w:t>with minor or technical problems with a modern award attributable to the fact that the award modernisation process started prior to the ena</w:t>
      </w:r>
      <w:r w:rsidR="004655B7">
        <w:t>ctment of the FW</w:t>
      </w:r>
      <w:r w:rsidR="003D4C4B">
        <w:t xml:space="preserve"> Act</w:t>
      </w:r>
      <w:r w:rsidR="00962B95">
        <w:t>.</w:t>
      </w:r>
    </w:p>
    <w:p w:rsidR="00966DE3" w:rsidRDefault="004655B7" w:rsidP="009F2F16">
      <w:pPr>
        <w:pStyle w:val="ParaNumbering"/>
      </w:pPr>
      <w:r>
        <w:t xml:space="preserve">Item 6 </w:t>
      </w:r>
      <w:r w:rsidR="00EB28B5">
        <w:t>(</w:t>
      </w:r>
      <w:r w:rsidR="00EB28B5">
        <w:rPr>
          <w:b/>
        </w:rPr>
        <w:t>Item 6</w:t>
      </w:r>
      <w:r w:rsidR="00EB28B5">
        <w:t>) deal</w:t>
      </w:r>
      <w:r w:rsidR="00A14715">
        <w:t>s</w:t>
      </w:r>
      <w:r w:rsidR="00EB28B5">
        <w:t xml:space="preserve"> with a review of modern awards.  </w:t>
      </w:r>
      <w:r w:rsidR="00A14715">
        <w:t>It states</w:t>
      </w:r>
      <w:r w:rsidR="00EB28B5">
        <w:t>:</w:t>
      </w:r>
    </w:p>
    <w:p w:rsidR="00EB28B5" w:rsidRPr="007178CF" w:rsidRDefault="00962B95" w:rsidP="00E8297C">
      <w:pPr>
        <w:pStyle w:val="Quote1"/>
        <w:tabs>
          <w:tab w:val="left" w:pos="1418"/>
        </w:tabs>
        <w:ind w:left="1418" w:hanging="681"/>
        <w:rPr>
          <w:b/>
        </w:rPr>
      </w:pPr>
      <w:r>
        <w:rPr>
          <w:b/>
        </w:rPr>
        <w:t>6</w:t>
      </w:r>
      <w:r w:rsidR="00EB28B5" w:rsidRPr="007178CF">
        <w:rPr>
          <w:b/>
        </w:rPr>
        <w:tab/>
        <w:t>Review of all modern awards (other than modern enterprise awards and State reference public sector modern awards) after first 2 years</w:t>
      </w:r>
    </w:p>
    <w:p w:rsidR="002078AC" w:rsidRDefault="002078AC" w:rsidP="00E8297C">
      <w:pPr>
        <w:pStyle w:val="Quote1"/>
        <w:tabs>
          <w:tab w:val="left" w:pos="1418"/>
        </w:tabs>
        <w:spacing w:after="180"/>
        <w:ind w:left="1418" w:hanging="681"/>
      </w:pPr>
      <w:r w:rsidRPr="002078AC">
        <w:t>(1</w:t>
      </w:r>
      <w:r>
        <w:t>)</w:t>
      </w:r>
      <w:r>
        <w:tab/>
      </w:r>
      <w:r w:rsidR="00EB28B5">
        <w:t xml:space="preserve">As soon as practicable after the second anniversary of the FW (safety net provisions) commencement day, the </w:t>
      </w:r>
      <w:proofErr w:type="spellStart"/>
      <w:r w:rsidR="00EB28B5">
        <w:t>FWC</w:t>
      </w:r>
      <w:proofErr w:type="spellEnd"/>
      <w:r w:rsidR="00EB28B5">
        <w:t xml:space="preserve"> must conduct a review of all modern awards, other than modern enterprise awards and State reference public sector modern awards.</w:t>
      </w:r>
    </w:p>
    <w:p w:rsidR="002078AC" w:rsidRPr="007178CF" w:rsidRDefault="007178CF" w:rsidP="00E8297C">
      <w:pPr>
        <w:pStyle w:val="Quote1"/>
        <w:tabs>
          <w:tab w:val="left" w:pos="1418"/>
        </w:tabs>
        <w:spacing w:after="180"/>
        <w:ind w:left="1418" w:hanging="681"/>
        <w:rPr>
          <w:sz w:val="20"/>
        </w:rPr>
      </w:pPr>
      <w:r w:rsidRPr="007178CF">
        <w:rPr>
          <w:sz w:val="20"/>
        </w:rPr>
        <w:t>Note:</w:t>
      </w:r>
      <w:r w:rsidRPr="007178CF">
        <w:rPr>
          <w:sz w:val="20"/>
        </w:rPr>
        <w:tab/>
      </w:r>
      <w:r w:rsidR="00EB28B5" w:rsidRPr="007178CF">
        <w:rPr>
          <w:sz w:val="20"/>
        </w:rPr>
        <w:t xml:space="preserve">The review required by this item is in addition to the annual wage reviews and 4 yearly reviews of modern awards that the </w:t>
      </w:r>
      <w:proofErr w:type="spellStart"/>
      <w:r w:rsidR="00EB28B5" w:rsidRPr="007178CF">
        <w:rPr>
          <w:sz w:val="20"/>
        </w:rPr>
        <w:t>FWC</w:t>
      </w:r>
      <w:proofErr w:type="spellEnd"/>
      <w:r w:rsidR="00EB28B5" w:rsidRPr="007178CF">
        <w:rPr>
          <w:sz w:val="20"/>
        </w:rPr>
        <w:t xml:space="preserve"> is required to conduct under the FW Act.</w:t>
      </w:r>
    </w:p>
    <w:p w:rsidR="00EB28B5" w:rsidRDefault="00EB28B5" w:rsidP="00E8297C">
      <w:pPr>
        <w:pStyle w:val="Quote1"/>
        <w:tabs>
          <w:tab w:val="left" w:pos="1418"/>
        </w:tabs>
        <w:ind w:left="1418" w:hanging="681"/>
      </w:pPr>
      <w:r>
        <w:t>(2)</w:t>
      </w:r>
      <w:r>
        <w:tab/>
        <w:t xml:space="preserve">In the review, the </w:t>
      </w:r>
      <w:proofErr w:type="spellStart"/>
      <w:r>
        <w:t>FWC</w:t>
      </w:r>
      <w:proofErr w:type="spellEnd"/>
      <w:r>
        <w:t xml:space="preserve"> must consider whether the modern awards:</w:t>
      </w:r>
    </w:p>
    <w:p w:rsidR="00EB28B5" w:rsidRDefault="00EB28B5" w:rsidP="00962B95">
      <w:pPr>
        <w:pStyle w:val="Quote2"/>
      </w:pPr>
      <w:r>
        <w:lastRenderedPageBreak/>
        <w:t>(a)</w:t>
      </w:r>
      <w:r>
        <w:tab/>
        <w:t>achieve the modern awards objective; and</w:t>
      </w:r>
    </w:p>
    <w:p w:rsidR="00EB28B5" w:rsidRDefault="00EB28B5" w:rsidP="00962B95">
      <w:pPr>
        <w:pStyle w:val="Quote2"/>
        <w:ind w:left="2160" w:hanging="720"/>
      </w:pPr>
      <w:r>
        <w:t>(b)</w:t>
      </w:r>
      <w:r>
        <w:tab/>
        <w:t xml:space="preserve">are operating effectively, without anomalies or technical problems arising from the Part </w:t>
      </w:r>
      <w:proofErr w:type="spellStart"/>
      <w:r>
        <w:t>10A</w:t>
      </w:r>
      <w:proofErr w:type="spellEnd"/>
      <w:r>
        <w:t xml:space="preserve"> award modernisation process.</w:t>
      </w:r>
    </w:p>
    <w:p w:rsidR="00EB28B5" w:rsidRDefault="00EB28B5" w:rsidP="00E8297C">
      <w:pPr>
        <w:pStyle w:val="Quote1"/>
        <w:tabs>
          <w:tab w:val="left" w:pos="1418"/>
        </w:tabs>
        <w:ind w:left="1418" w:hanging="681"/>
      </w:pPr>
      <w:r>
        <w:t>(</w:t>
      </w:r>
      <w:proofErr w:type="spellStart"/>
      <w:r>
        <w:t>2A</w:t>
      </w:r>
      <w:proofErr w:type="spellEnd"/>
      <w:r>
        <w:t>)</w:t>
      </w:r>
      <w:r>
        <w:tab/>
        <w:t xml:space="preserve">The review must be such that each modern award is reviewed in its own right. However, this does not prevent the </w:t>
      </w:r>
      <w:proofErr w:type="spellStart"/>
      <w:r>
        <w:t>FWC</w:t>
      </w:r>
      <w:proofErr w:type="spellEnd"/>
      <w:r>
        <w:t xml:space="preserve"> from reviewing 2 or more modern awards at the same time.</w:t>
      </w:r>
    </w:p>
    <w:p w:rsidR="00EB28B5" w:rsidRDefault="00EB28B5" w:rsidP="00E8297C">
      <w:pPr>
        <w:pStyle w:val="Quote1"/>
        <w:tabs>
          <w:tab w:val="left" w:pos="1418"/>
        </w:tabs>
        <w:spacing w:after="180"/>
        <w:ind w:left="1418" w:hanging="681"/>
      </w:pPr>
      <w:r>
        <w:t>(3)</w:t>
      </w:r>
      <w:r>
        <w:tab/>
        <w:t xml:space="preserve">The </w:t>
      </w:r>
      <w:proofErr w:type="spellStart"/>
      <w:r>
        <w:t>FWC</w:t>
      </w:r>
      <w:proofErr w:type="spellEnd"/>
      <w:r>
        <w:t xml:space="preserve"> may make a determination varying any of the modern awards in any way that the </w:t>
      </w:r>
      <w:proofErr w:type="spellStart"/>
      <w:r>
        <w:t>FWC</w:t>
      </w:r>
      <w:proofErr w:type="spellEnd"/>
      <w:r>
        <w:t xml:space="preserve"> considers appropriate to remedy any issues identified in the review.</w:t>
      </w:r>
    </w:p>
    <w:p w:rsidR="00EB28B5" w:rsidRPr="007178CF" w:rsidRDefault="00EB28B5" w:rsidP="00E8297C">
      <w:pPr>
        <w:pStyle w:val="Quote1"/>
        <w:tabs>
          <w:tab w:val="left" w:pos="1418"/>
        </w:tabs>
        <w:spacing w:after="180"/>
        <w:ind w:left="1418" w:hanging="681"/>
        <w:rPr>
          <w:sz w:val="20"/>
        </w:rPr>
      </w:pPr>
      <w:r w:rsidRPr="007178CF">
        <w:rPr>
          <w:sz w:val="20"/>
        </w:rPr>
        <w:t>Note:</w:t>
      </w:r>
      <w:r w:rsidRPr="007178CF">
        <w:rPr>
          <w:sz w:val="20"/>
        </w:rPr>
        <w:tab/>
        <w:t>Any variation of a modern award must comply with the requirements of the FW Act relating to the content of modern awards (see Subdivision A of Division 3 of Part 2 3 of the FW Act).</w:t>
      </w:r>
    </w:p>
    <w:p w:rsidR="00EB28B5" w:rsidRDefault="00EB28B5" w:rsidP="00E8297C">
      <w:pPr>
        <w:pStyle w:val="Quote1"/>
        <w:tabs>
          <w:tab w:val="left" w:pos="1418"/>
        </w:tabs>
        <w:ind w:left="1418" w:hanging="681"/>
      </w:pPr>
      <w:r>
        <w:t>(4)</w:t>
      </w:r>
      <w:r>
        <w:tab/>
        <w:t xml:space="preserve">The modern awards objective applies to the </w:t>
      </w:r>
      <w:proofErr w:type="spellStart"/>
      <w:r>
        <w:t>FWC</w:t>
      </w:r>
      <w:proofErr w:type="spellEnd"/>
      <w:r>
        <w:t xml:space="preserve"> making a variation under this item, and the minimum wages objective also applies if the variation relates to modern award minimum wages.</w:t>
      </w:r>
    </w:p>
    <w:p w:rsidR="00EB28B5" w:rsidRDefault="00EB28B5" w:rsidP="00E8297C">
      <w:pPr>
        <w:pStyle w:val="Quote1"/>
        <w:tabs>
          <w:tab w:val="left" w:pos="1418"/>
        </w:tabs>
        <w:ind w:left="1418" w:hanging="681"/>
      </w:pPr>
      <w:r>
        <w:t>(5)</w:t>
      </w:r>
      <w:r>
        <w:tab/>
        <w:t xml:space="preserve">The </w:t>
      </w:r>
      <w:proofErr w:type="spellStart"/>
      <w:r>
        <w:t>FWC</w:t>
      </w:r>
      <w:proofErr w:type="spellEnd"/>
      <w:r>
        <w:t xml:space="preserve"> may advise persons or bodies about the review in any way the </w:t>
      </w:r>
      <w:proofErr w:type="spellStart"/>
      <w:r>
        <w:t>FWC</w:t>
      </w:r>
      <w:proofErr w:type="spellEnd"/>
      <w:r>
        <w:t xml:space="preserve"> considers appropriate.</w:t>
      </w:r>
    </w:p>
    <w:p w:rsidR="00EB28B5" w:rsidRDefault="007178CF" w:rsidP="00E8297C">
      <w:pPr>
        <w:pStyle w:val="Quote1"/>
        <w:tabs>
          <w:tab w:val="left" w:pos="1418"/>
        </w:tabs>
        <w:ind w:left="1418" w:hanging="681"/>
      </w:pPr>
      <w:r>
        <w:t>(6)</w:t>
      </w:r>
      <w:r>
        <w:tab/>
      </w:r>
      <w:r w:rsidR="00EB28B5">
        <w:t xml:space="preserve">Section 625 of the FW Act (which deals with delegation by the President of functions and powers of the </w:t>
      </w:r>
      <w:proofErr w:type="spellStart"/>
      <w:r w:rsidR="00EB28B5">
        <w:t>FWC</w:t>
      </w:r>
      <w:proofErr w:type="spellEnd"/>
      <w:r w:rsidR="00EB28B5">
        <w:t xml:space="preserve">) has effect as if subsection (2) of that section included a reference to the </w:t>
      </w:r>
      <w:proofErr w:type="spellStart"/>
      <w:r w:rsidR="00EB28B5">
        <w:t>FWC’s</w:t>
      </w:r>
      <w:proofErr w:type="spellEnd"/>
      <w:r w:rsidR="00EB28B5">
        <w:t xml:space="preserve"> powers under </w:t>
      </w:r>
      <w:proofErr w:type="spellStart"/>
      <w:r w:rsidR="00EB28B5">
        <w:t>subitem</w:t>
      </w:r>
      <w:proofErr w:type="spellEnd"/>
      <w:r w:rsidR="00EB28B5">
        <w:t xml:space="preserve"> (5).</w:t>
      </w:r>
    </w:p>
    <w:p w:rsidR="00A14715" w:rsidRDefault="00A14715" w:rsidP="007178CF">
      <w:pPr>
        <w:pStyle w:val="Quote1"/>
        <w:tabs>
          <w:tab w:val="left" w:pos="1276"/>
        </w:tabs>
        <w:ind w:left="1276" w:hanging="539"/>
      </w:pPr>
    </w:p>
    <w:p w:rsidR="00EB28B5" w:rsidRDefault="00A14715" w:rsidP="009F2F16">
      <w:pPr>
        <w:pStyle w:val="ParaNumbering"/>
      </w:pPr>
      <w:r w:rsidRPr="00A14715">
        <w:t xml:space="preserve">Item 4(1)(b) of </w:t>
      </w:r>
      <w:r w:rsidR="0002458E">
        <w:t xml:space="preserve">Part 1 of </w:t>
      </w:r>
      <w:r w:rsidRPr="00A14715">
        <w:t xml:space="preserve">Schedule 2 of the Transitional Act provides that, unless </w:t>
      </w:r>
      <w:r w:rsidR="00B00277">
        <w:t>a</w:t>
      </w:r>
      <w:r w:rsidRPr="00A14715">
        <w:t xml:space="preserve"> contrary intention appears, expressions used in the Schedules have the same meaning </w:t>
      </w:r>
      <w:r w:rsidR="0053613C">
        <w:t>as</w:t>
      </w:r>
      <w:r w:rsidR="00B00277">
        <w:t xml:space="preserve"> </w:t>
      </w:r>
      <w:r w:rsidRPr="00A14715">
        <w:t xml:space="preserve">they have in the FW Act.  </w:t>
      </w:r>
      <w:r w:rsidR="00B00277">
        <w:t>Accordingly, the</w:t>
      </w:r>
      <w:r w:rsidR="00426B0D">
        <w:t xml:space="preserve"> </w:t>
      </w:r>
      <w:r w:rsidR="00AC0892">
        <w:t>mean</w:t>
      </w:r>
      <w:r w:rsidR="00C03E19">
        <w:t>ing</w:t>
      </w:r>
      <w:r w:rsidR="00AC0892">
        <w:t xml:space="preserve"> of </w:t>
      </w:r>
      <w:r w:rsidR="00BE52F8">
        <w:t>“</w:t>
      </w:r>
      <w:r w:rsidR="00AC0892">
        <w:t xml:space="preserve">the </w:t>
      </w:r>
      <w:r w:rsidR="00426B0D">
        <w:t>modern awards objective</w:t>
      </w:r>
      <w:r w:rsidR="00BE52F8">
        <w:t>”</w:t>
      </w:r>
      <w:r>
        <w:t xml:space="preserve"> referred to in </w:t>
      </w:r>
      <w:r w:rsidR="0002458E">
        <w:t>I</w:t>
      </w:r>
      <w:r>
        <w:t>tem</w:t>
      </w:r>
      <w:r w:rsidR="005201E4">
        <w:t> </w:t>
      </w:r>
      <w:r>
        <w:t xml:space="preserve">6(2) </w:t>
      </w:r>
      <w:r w:rsidR="00AC0892">
        <w:t xml:space="preserve">is </w:t>
      </w:r>
      <w:r w:rsidR="00B00277">
        <w:t xml:space="preserve">that </w:t>
      </w:r>
      <w:r w:rsidR="0036772B">
        <w:t xml:space="preserve">which is </w:t>
      </w:r>
      <w:r w:rsidR="00B00277">
        <w:t xml:space="preserve">set out in </w:t>
      </w:r>
      <w:r w:rsidR="00426B0D">
        <w:t>s</w:t>
      </w:r>
      <w:r>
        <w:t> </w:t>
      </w:r>
      <w:r w:rsidR="00426B0D">
        <w:t>134(1) of the FW Act:</w:t>
      </w:r>
    </w:p>
    <w:p w:rsidR="00B00277" w:rsidRPr="00250D20" w:rsidRDefault="00A14715" w:rsidP="00B00277">
      <w:pPr>
        <w:pStyle w:val="Quote1"/>
        <w:spacing w:after="120"/>
        <w:ind w:left="1440"/>
        <w:rPr>
          <w:i/>
        </w:rPr>
      </w:pPr>
      <w:r>
        <w:rPr>
          <w:i/>
        </w:rPr>
        <w:t>What is the modern awards objective?</w:t>
      </w:r>
    </w:p>
    <w:p w:rsidR="00426B0D" w:rsidRDefault="005201E4" w:rsidP="00250D20">
      <w:pPr>
        <w:pStyle w:val="Quote1"/>
        <w:tabs>
          <w:tab w:val="left" w:pos="1418"/>
        </w:tabs>
        <w:ind w:left="1418" w:hanging="681"/>
      </w:pPr>
      <w:r>
        <w:t>(1)</w:t>
      </w:r>
      <w:r w:rsidR="00056515">
        <w:tab/>
      </w:r>
      <w:r w:rsidR="00426B0D">
        <w:t xml:space="preserve">The </w:t>
      </w:r>
      <w:proofErr w:type="spellStart"/>
      <w:r w:rsidR="00426B0D">
        <w:t>FWC</w:t>
      </w:r>
      <w:proofErr w:type="spellEnd"/>
      <w:r w:rsidR="00426B0D">
        <w:t xml:space="preserve"> must ensure that modern awards, together with the National Employment Standards, provide a fair and relevant minimum safety net of terms and c</w:t>
      </w:r>
      <w:r w:rsidR="00B0099F">
        <w:t>onditions, taking into account:</w:t>
      </w:r>
    </w:p>
    <w:p w:rsidR="00426B0D" w:rsidRDefault="00841739" w:rsidP="005201E4">
      <w:pPr>
        <w:pStyle w:val="Quote2"/>
      </w:pPr>
      <w:r>
        <w:t>(a)</w:t>
      </w:r>
      <w:r>
        <w:tab/>
      </w:r>
      <w:r w:rsidR="00426B0D">
        <w:t>relative living standards and</w:t>
      </w:r>
      <w:r w:rsidR="00B0099F">
        <w:t xml:space="preserve"> the needs of the low paid; and</w:t>
      </w:r>
    </w:p>
    <w:p w:rsidR="00426B0D" w:rsidRDefault="00841739" w:rsidP="005201E4">
      <w:pPr>
        <w:pStyle w:val="Quote2"/>
      </w:pPr>
      <w:r>
        <w:t>(b)</w:t>
      </w:r>
      <w:r>
        <w:tab/>
      </w:r>
      <w:r w:rsidR="00426B0D">
        <w:t>the need to encou</w:t>
      </w:r>
      <w:r w:rsidR="00B0099F">
        <w:t>rage collective bargaining; and</w:t>
      </w:r>
    </w:p>
    <w:p w:rsidR="00426B0D" w:rsidRDefault="00426B0D" w:rsidP="005201E4">
      <w:pPr>
        <w:pStyle w:val="Quote2"/>
        <w:ind w:left="2160" w:hanging="720"/>
      </w:pPr>
      <w:r>
        <w:t>(c)</w:t>
      </w:r>
      <w:r>
        <w:tab/>
        <w:t>the need to promote social inclusion through increas</w:t>
      </w:r>
      <w:r w:rsidR="00B0099F">
        <w:t>ed workforce participation; and</w:t>
      </w:r>
    </w:p>
    <w:p w:rsidR="00426B0D" w:rsidRDefault="00426B0D" w:rsidP="005201E4">
      <w:pPr>
        <w:pStyle w:val="Quote2"/>
        <w:ind w:left="2160" w:hanging="720"/>
      </w:pPr>
      <w:r>
        <w:t>(d)</w:t>
      </w:r>
      <w:r>
        <w:tab/>
        <w:t>the need to promote flexible modern work practices and the efficient and prod</w:t>
      </w:r>
      <w:r w:rsidR="00B0099F">
        <w:t>uctive performance of work; and</w:t>
      </w:r>
    </w:p>
    <w:p w:rsidR="00426B0D" w:rsidRDefault="00426B0D" w:rsidP="005201E4">
      <w:pPr>
        <w:pStyle w:val="Quote2"/>
      </w:pPr>
      <w:r>
        <w:t>(da)</w:t>
      </w:r>
      <w:r w:rsidR="00AA5C76">
        <w:tab/>
      </w:r>
      <w:r>
        <w:t>the need to provi</w:t>
      </w:r>
      <w:r w:rsidR="00B0099F">
        <w:t>de additional remuneration for:</w:t>
      </w:r>
    </w:p>
    <w:p w:rsidR="00426B0D" w:rsidRDefault="00426B0D" w:rsidP="00B0099F">
      <w:pPr>
        <w:pStyle w:val="Quote3"/>
      </w:pPr>
      <w:r>
        <w:t>(i)</w:t>
      </w:r>
      <w:r w:rsidR="00AA5C76">
        <w:tab/>
      </w:r>
      <w:r w:rsidR="00B0099F">
        <w:t>employees working overtime; or</w:t>
      </w:r>
    </w:p>
    <w:p w:rsidR="00426B0D" w:rsidRDefault="00426B0D" w:rsidP="00B0099F">
      <w:pPr>
        <w:pStyle w:val="Quote3"/>
        <w:ind w:left="2880" w:hanging="720"/>
      </w:pPr>
      <w:r>
        <w:t>(ii)</w:t>
      </w:r>
      <w:r w:rsidR="00AA5C76">
        <w:tab/>
      </w:r>
      <w:r>
        <w:t>employees working unsocial, irreg</w:t>
      </w:r>
      <w:r w:rsidR="00B0099F">
        <w:t>ular or unpredictable hours; or</w:t>
      </w:r>
    </w:p>
    <w:p w:rsidR="00426B0D" w:rsidRDefault="00841739" w:rsidP="00B0099F">
      <w:pPr>
        <w:pStyle w:val="Quote3"/>
      </w:pPr>
      <w:r>
        <w:t>(iii)</w:t>
      </w:r>
      <w:r w:rsidR="00AA5C76">
        <w:tab/>
      </w:r>
      <w:r w:rsidR="00426B0D">
        <w:t xml:space="preserve">employees working on </w:t>
      </w:r>
      <w:r w:rsidR="00B0099F">
        <w:t>weekends or public holidays; or</w:t>
      </w:r>
    </w:p>
    <w:p w:rsidR="00426B0D" w:rsidRDefault="00426B0D" w:rsidP="00B0099F">
      <w:pPr>
        <w:pStyle w:val="Quote3"/>
      </w:pPr>
      <w:r>
        <w:t>(iv)</w:t>
      </w:r>
      <w:r w:rsidR="00AA5C76">
        <w:tab/>
      </w:r>
      <w:r w:rsidR="00B0099F">
        <w:t>employees working shifts; and</w:t>
      </w:r>
    </w:p>
    <w:p w:rsidR="00426B0D" w:rsidRDefault="00AA5C76" w:rsidP="005201E4">
      <w:pPr>
        <w:pStyle w:val="Quote2"/>
        <w:ind w:left="2160" w:hanging="720"/>
      </w:pPr>
      <w:r>
        <w:t>(e)</w:t>
      </w:r>
      <w:r w:rsidR="00841739">
        <w:tab/>
      </w:r>
      <w:r w:rsidR="00426B0D">
        <w:t>the principle of equal remuneration for work of e</w:t>
      </w:r>
      <w:r w:rsidR="00B0099F">
        <w:t>qual or comparable  value; and</w:t>
      </w:r>
    </w:p>
    <w:p w:rsidR="00426B0D" w:rsidRDefault="00426B0D" w:rsidP="005201E4">
      <w:pPr>
        <w:pStyle w:val="Quote2"/>
        <w:ind w:left="2160" w:hanging="720"/>
      </w:pPr>
      <w:r>
        <w:t>(f)</w:t>
      </w:r>
      <w:r>
        <w:tab/>
        <w:t>the likely impact of any exercise of modern award powers on business, including on productivity, employment costs</w:t>
      </w:r>
      <w:r w:rsidR="00B0099F">
        <w:t xml:space="preserve"> and the regulatory burden; and</w:t>
      </w:r>
    </w:p>
    <w:p w:rsidR="00426B0D" w:rsidRDefault="00426B0D" w:rsidP="005201E4">
      <w:pPr>
        <w:pStyle w:val="Quote2"/>
        <w:ind w:left="2160" w:hanging="720"/>
      </w:pPr>
      <w:r>
        <w:t>(g)</w:t>
      </w:r>
      <w:r>
        <w:tab/>
        <w:t>the need to ensure a simple, easy to understand, stable and sustainable modern award system for Australia that avoids unnecessar</w:t>
      </w:r>
      <w:r w:rsidR="00B0099F">
        <w:t>y overlap of modern awards; and</w:t>
      </w:r>
    </w:p>
    <w:p w:rsidR="00250D20" w:rsidRDefault="00426B0D" w:rsidP="005201E4">
      <w:pPr>
        <w:pStyle w:val="Quote2"/>
        <w:ind w:left="2160" w:hanging="720"/>
      </w:pPr>
      <w:r>
        <w:lastRenderedPageBreak/>
        <w:t>(h)</w:t>
      </w:r>
      <w:r>
        <w:tab/>
        <w:t>the likely impact of any exercise of modern award powers on employment growth, inflation and the sustainability, performance and competitiveness of the n</w:t>
      </w:r>
      <w:r w:rsidR="005201E4">
        <w:t>ational economy.</w:t>
      </w:r>
    </w:p>
    <w:p w:rsidR="00B0099F" w:rsidRDefault="00B0099F" w:rsidP="00AA5C76">
      <w:pPr>
        <w:pStyle w:val="Quote1"/>
        <w:tabs>
          <w:tab w:val="left" w:pos="1843"/>
        </w:tabs>
        <w:ind w:left="720" w:firstLine="720"/>
      </w:pPr>
    </w:p>
    <w:p w:rsidR="00426B0D" w:rsidRDefault="00426B0D" w:rsidP="00AA5C76">
      <w:pPr>
        <w:pStyle w:val="Quote1"/>
        <w:tabs>
          <w:tab w:val="left" w:pos="1843"/>
        </w:tabs>
        <w:ind w:left="720" w:firstLine="720"/>
      </w:pPr>
      <w:r>
        <w:t xml:space="preserve">This is the </w:t>
      </w:r>
      <w:r w:rsidRPr="00EA23AC">
        <w:rPr>
          <w:b/>
          <w:i/>
        </w:rPr>
        <w:t xml:space="preserve">modern awards </w:t>
      </w:r>
      <w:r w:rsidR="00AD269B" w:rsidRPr="00EA23AC">
        <w:rPr>
          <w:b/>
          <w:i/>
        </w:rPr>
        <w:t>objective</w:t>
      </w:r>
      <w:r w:rsidR="00AD269B">
        <w:t>.</w:t>
      </w:r>
    </w:p>
    <w:p w:rsidR="00056515" w:rsidRDefault="00056515" w:rsidP="00056515">
      <w:pPr>
        <w:pStyle w:val="Quote1"/>
        <w:ind w:left="720"/>
      </w:pPr>
    </w:p>
    <w:p w:rsidR="00AC0892" w:rsidRDefault="00AC0892" w:rsidP="00AC0892">
      <w:pPr>
        <w:pStyle w:val="ParaNumbering"/>
      </w:pPr>
      <w:r>
        <w:t>The minimum wages objective, to which Item 6(4) refers, is defined in s 284(1) of the FW Act as follows:</w:t>
      </w:r>
    </w:p>
    <w:p w:rsidR="00AC0892" w:rsidRDefault="000F3265" w:rsidP="00A55269">
      <w:pPr>
        <w:pStyle w:val="Quote1"/>
        <w:tabs>
          <w:tab w:val="left" w:pos="1418"/>
        </w:tabs>
        <w:ind w:left="1276" w:hanging="539"/>
      </w:pPr>
      <w:r>
        <w:t>(1)</w:t>
      </w:r>
      <w:r w:rsidR="00A55269">
        <w:tab/>
      </w:r>
      <w:r w:rsidR="00AC0892">
        <w:t xml:space="preserve">The </w:t>
      </w:r>
      <w:proofErr w:type="spellStart"/>
      <w:r w:rsidR="00AC0892">
        <w:t>FWC</w:t>
      </w:r>
      <w:proofErr w:type="spellEnd"/>
      <w:r w:rsidR="00AC0892">
        <w:t xml:space="preserve"> must establish and maintain a safety net of fair mini</w:t>
      </w:r>
      <w:r>
        <w:t>mum wages, taking into account:</w:t>
      </w:r>
    </w:p>
    <w:p w:rsidR="00AC0892" w:rsidRDefault="00AC0892" w:rsidP="00A55269">
      <w:pPr>
        <w:pStyle w:val="Quote1"/>
        <w:ind w:left="1985" w:hanging="709"/>
      </w:pPr>
      <w:r>
        <w:t>(a)</w:t>
      </w:r>
      <w:r>
        <w:tab/>
        <w:t>the performance and competitiveness of the national economy, including productivity, business competitiveness and viability, infla</w:t>
      </w:r>
      <w:r w:rsidR="000F3265">
        <w:t>tion and employment growth; and</w:t>
      </w:r>
    </w:p>
    <w:p w:rsidR="00AA5C76" w:rsidRDefault="00AC0892" w:rsidP="00A55269">
      <w:pPr>
        <w:pStyle w:val="Quote1"/>
        <w:tabs>
          <w:tab w:val="left" w:pos="2268"/>
        </w:tabs>
        <w:ind w:left="1985" w:hanging="709"/>
      </w:pPr>
      <w:r>
        <w:t>(b)</w:t>
      </w:r>
      <w:r>
        <w:tab/>
        <w:t>promoting social inclusion through increas</w:t>
      </w:r>
      <w:r w:rsidR="000F3265">
        <w:t>ed workforce participation; and</w:t>
      </w:r>
    </w:p>
    <w:p w:rsidR="00AA5C76" w:rsidRDefault="00AC0892" w:rsidP="00A55269">
      <w:pPr>
        <w:pStyle w:val="Quote1"/>
        <w:tabs>
          <w:tab w:val="left" w:pos="2268"/>
        </w:tabs>
        <w:ind w:left="1985" w:hanging="709"/>
      </w:pPr>
      <w:r>
        <w:t>(c)</w:t>
      </w:r>
      <w:r>
        <w:tab/>
        <w:t>relative living standards and</w:t>
      </w:r>
      <w:r w:rsidR="000F3265">
        <w:t xml:space="preserve"> the needs of the low paid; and</w:t>
      </w:r>
    </w:p>
    <w:p w:rsidR="00AA5C76" w:rsidRDefault="00AC0892" w:rsidP="00A55269">
      <w:pPr>
        <w:pStyle w:val="Quote1"/>
        <w:tabs>
          <w:tab w:val="left" w:pos="2268"/>
        </w:tabs>
        <w:ind w:left="1985" w:hanging="709"/>
      </w:pPr>
      <w:r>
        <w:t>(d)</w:t>
      </w:r>
      <w:r w:rsidR="00AA5C76">
        <w:tab/>
      </w:r>
      <w:r>
        <w:t>the principle of equal remuneration for work of</w:t>
      </w:r>
      <w:r w:rsidR="000F3265">
        <w:t xml:space="preserve"> equal or comparable value; and</w:t>
      </w:r>
    </w:p>
    <w:p w:rsidR="00AC0892" w:rsidRDefault="00AC0892" w:rsidP="00D32F24">
      <w:pPr>
        <w:pStyle w:val="Quote1"/>
        <w:tabs>
          <w:tab w:val="left" w:pos="2268"/>
          <w:tab w:val="left" w:pos="4820"/>
        </w:tabs>
        <w:ind w:left="1985" w:hanging="709"/>
      </w:pPr>
      <w:r>
        <w:t>(e)</w:t>
      </w:r>
      <w:r w:rsidR="00AA5C76">
        <w:tab/>
      </w:r>
      <w:r>
        <w:t>providing a comprehensive range of fair minimum wages to junior employees, employees to whom training arrangements apply a</w:t>
      </w:r>
      <w:r w:rsidR="000F3265">
        <w:t>nd employees with a disability.</w:t>
      </w:r>
    </w:p>
    <w:p w:rsidR="000F3265" w:rsidRDefault="000F3265" w:rsidP="00A55269">
      <w:pPr>
        <w:pStyle w:val="Quote1"/>
        <w:ind w:firstLine="539"/>
      </w:pPr>
    </w:p>
    <w:p w:rsidR="00AC0892" w:rsidRDefault="00AC0892" w:rsidP="00A55269">
      <w:pPr>
        <w:pStyle w:val="Quote1"/>
        <w:ind w:firstLine="539"/>
      </w:pPr>
      <w:r>
        <w:t xml:space="preserve">This is the </w:t>
      </w:r>
      <w:r w:rsidRPr="00EA23AC">
        <w:rPr>
          <w:b/>
          <w:i/>
        </w:rPr>
        <w:t>minimum wages objective</w:t>
      </w:r>
      <w:r w:rsidRPr="00EA23AC">
        <w:rPr>
          <w:i/>
        </w:rPr>
        <w:t>.</w:t>
      </w:r>
    </w:p>
    <w:p w:rsidR="00AC0892" w:rsidRDefault="00AC0892" w:rsidP="00AC0892">
      <w:pPr>
        <w:pStyle w:val="Quote1"/>
        <w:ind w:firstLine="703"/>
      </w:pPr>
    </w:p>
    <w:p w:rsidR="00AC0892" w:rsidRDefault="00AC0892" w:rsidP="00AC0892">
      <w:pPr>
        <w:pStyle w:val="ParaNumbering"/>
      </w:pPr>
      <w:r>
        <w:t>Section 138 of the FW Act is also relevant.  It provides:</w:t>
      </w:r>
    </w:p>
    <w:p w:rsidR="00AC0892" w:rsidRDefault="00AC0892" w:rsidP="00AC0892">
      <w:pPr>
        <w:pStyle w:val="Quote1"/>
      </w:pPr>
      <w:r w:rsidRPr="00426B0D">
        <w:t>A modern award may include terms that it is permitted to include, and must include terms that it is required to include, only to the extent necessary to achieve the modern awards objective and (to the extent applicable) the minimum wages objective.</w:t>
      </w:r>
    </w:p>
    <w:p w:rsidR="00AC0892" w:rsidRDefault="00AC0892" w:rsidP="00AC0892">
      <w:pPr>
        <w:pStyle w:val="Quote1"/>
      </w:pPr>
    </w:p>
    <w:p w:rsidR="00AC0892" w:rsidRDefault="00AC0892" w:rsidP="00AC0892">
      <w:pPr>
        <w:pStyle w:val="ParaNumbering"/>
      </w:pPr>
      <w:r>
        <w:t xml:space="preserve">Section 284(2) provides that the minimum wages objective applies to the performance or exercise of the </w:t>
      </w:r>
      <w:proofErr w:type="spellStart"/>
      <w:r w:rsidR="0002458E">
        <w:t>FWC</w:t>
      </w:r>
      <w:r>
        <w:t>’s</w:t>
      </w:r>
      <w:proofErr w:type="spellEnd"/>
      <w:r>
        <w:t xml:space="preserve"> functions or powers under Part 2</w:t>
      </w:r>
      <w:r>
        <w:noBreakHyphen/>
        <w:t>6 and also under Part 2</w:t>
      </w:r>
      <w:r>
        <w:noBreakHyphen/>
        <w:t xml:space="preserve">3 </w:t>
      </w:r>
      <w:r w:rsidR="00BE52F8">
        <w:t>“</w:t>
      </w:r>
      <w:r>
        <w:t>so far as they relate to setting, varying or revoki</w:t>
      </w:r>
      <w:r w:rsidR="00303EAB">
        <w:t>ng modern award minimum wages</w:t>
      </w:r>
      <w:r w:rsidR="00BE52F8">
        <w:t>”</w:t>
      </w:r>
      <w:r w:rsidR="00303EAB">
        <w:t>.</w:t>
      </w:r>
    </w:p>
    <w:p w:rsidR="00AC0892" w:rsidRDefault="00BE52F8" w:rsidP="000E54CA">
      <w:pPr>
        <w:pStyle w:val="ParaNumbering"/>
        <w:tabs>
          <w:tab w:val="left" w:pos="5103"/>
          <w:tab w:val="left" w:pos="6096"/>
        </w:tabs>
      </w:pPr>
      <w:r>
        <w:t>“</w:t>
      </w:r>
      <w:r w:rsidR="00AC0892">
        <w:t>Modern award minimum wages</w:t>
      </w:r>
      <w:r>
        <w:t>”</w:t>
      </w:r>
      <w:r w:rsidR="00AC0892">
        <w:t xml:space="preserve"> is </w:t>
      </w:r>
      <w:r w:rsidR="000E54CA">
        <w:t xml:space="preserve">relevantly </w:t>
      </w:r>
      <w:r w:rsidR="00AC0892">
        <w:t xml:space="preserve">defined in s 284(3) to mean </w:t>
      </w:r>
      <w:r>
        <w:t>“</w:t>
      </w:r>
      <w:r w:rsidR="00AC0892">
        <w:t>the rates of minimum wages in modern awards, including: (a)</w:t>
      </w:r>
      <w:r w:rsidR="0036772B">
        <w:tab/>
      </w:r>
      <w:r w:rsidR="00AC0892">
        <w:t>wage rates for junior employees…</w:t>
      </w:r>
      <w:r>
        <w:t>”</w:t>
      </w:r>
      <w:r w:rsidR="000E54CA">
        <w:t>.</w:t>
      </w:r>
    </w:p>
    <w:p w:rsidR="00AC0892" w:rsidRDefault="00BE52F8" w:rsidP="00AC0892">
      <w:pPr>
        <w:pStyle w:val="ParaNumbering"/>
      </w:pPr>
      <w:r>
        <w:t>“</w:t>
      </w:r>
      <w:r w:rsidR="00AC0892">
        <w:t>Varying modern award minimum wages</w:t>
      </w:r>
      <w:r>
        <w:t>”</w:t>
      </w:r>
      <w:r w:rsidR="00AC0892">
        <w:t xml:space="preserve"> is defined in s 284(4) to mean </w:t>
      </w:r>
      <w:r>
        <w:t>“</w:t>
      </w:r>
      <w:r w:rsidR="00AC0892">
        <w:t>varying the current rate of one or more modern award minimum wages</w:t>
      </w:r>
      <w:r>
        <w:t>”</w:t>
      </w:r>
      <w:r w:rsidR="00AC0892">
        <w:t>.</w:t>
      </w:r>
    </w:p>
    <w:p w:rsidR="00426B0D" w:rsidRDefault="006A53A1" w:rsidP="00AD269B">
      <w:pPr>
        <w:pStyle w:val="ParaNumbering"/>
      </w:pPr>
      <w:r>
        <w:t xml:space="preserve">It will be necessary to consider </w:t>
      </w:r>
      <w:r w:rsidR="00AC0892">
        <w:t xml:space="preserve">in </w:t>
      </w:r>
      <w:r>
        <w:t xml:space="preserve">detail a number of sub-items of </w:t>
      </w:r>
      <w:r w:rsidR="00AD269B">
        <w:t>I</w:t>
      </w:r>
      <w:r>
        <w:t>tem 6 togeth</w:t>
      </w:r>
      <w:r w:rsidR="00303EAB">
        <w:t xml:space="preserve">er with </w:t>
      </w:r>
      <w:r>
        <w:t>s</w:t>
      </w:r>
      <w:r w:rsidR="00BB2523">
        <w:t> </w:t>
      </w:r>
      <w:r>
        <w:t xml:space="preserve">134 and </w:t>
      </w:r>
      <w:r w:rsidR="00303EAB">
        <w:t>s </w:t>
      </w:r>
      <w:r>
        <w:t xml:space="preserve">284 of the FW Act.  Before doing so, it </w:t>
      </w:r>
      <w:r w:rsidR="00AC0892">
        <w:t>is useful</w:t>
      </w:r>
      <w:r>
        <w:t xml:space="preserve"> to explain where the </w:t>
      </w:r>
      <w:r w:rsidR="00AD269B">
        <w:t>I</w:t>
      </w:r>
      <w:r>
        <w:t>tem 6 review process (</w:t>
      </w:r>
      <w:r w:rsidRPr="00AD269B">
        <w:rPr>
          <w:b/>
        </w:rPr>
        <w:t>transitional review</w:t>
      </w:r>
      <w:r>
        <w:t xml:space="preserve">) sits in the statutory scheme for the making and </w:t>
      </w:r>
      <w:r w:rsidRPr="00250D20">
        <w:t>review</w:t>
      </w:r>
      <w:r w:rsidR="00715234">
        <w:t>ing</w:t>
      </w:r>
      <w:r w:rsidR="00A35A68">
        <w:t xml:space="preserve"> of modern awards.</w:t>
      </w:r>
    </w:p>
    <w:p w:rsidR="006A53A1" w:rsidRDefault="00AC0892" w:rsidP="009F2F16">
      <w:pPr>
        <w:pStyle w:val="ParaNumbering"/>
      </w:pPr>
      <w:bookmarkStart w:id="24" w:name="_Ref397444445"/>
      <w:r>
        <w:lastRenderedPageBreak/>
        <w:t>At the outset</w:t>
      </w:r>
      <w:r w:rsidR="004D4197">
        <w:t>,</w:t>
      </w:r>
      <w:r w:rsidR="006A53A1">
        <w:t xml:space="preserve"> </w:t>
      </w:r>
      <w:r w:rsidR="00C22864">
        <w:t xml:space="preserve">some </w:t>
      </w:r>
      <w:r w:rsidR="006F381A">
        <w:t xml:space="preserve">broad </w:t>
      </w:r>
      <w:r w:rsidR="006A53A1">
        <w:t>observations</w:t>
      </w:r>
      <w:r w:rsidR="00BB2523">
        <w:t xml:space="preserve"> should be made</w:t>
      </w:r>
      <w:r w:rsidR="006A53A1">
        <w:t>.  The first is that in comp</w:t>
      </w:r>
      <w:r w:rsidR="002078AC">
        <w:t>arison to the traditional award-</w:t>
      </w:r>
      <w:r w:rsidR="006A53A1">
        <w:t xml:space="preserve">making functions of </w:t>
      </w:r>
      <w:r w:rsidR="00C22864">
        <w:t>federal industrial tribunals</w:t>
      </w:r>
      <w:r w:rsidR="006A53A1">
        <w:t xml:space="preserve">, the function given to the </w:t>
      </w:r>
      <w:proofErr w:type="spellStart"/>
      <w:r w:rsidR="006A53A1">
        <w:t>AIRC</w:t>
      </w:r>
      <w:proofErr w:type="spellEnd"/>
      <w:r w:rsidR="006A53A1">
        <w:t xml:space="preserve"> to make modern awards was </w:t>
      </w:r>
      <w:r w:rsidR="006F381A">
        <w:t>novel</w:t>
      </w:r>
      <w:r w:rsidR="006A53A1">
        <w:t>.  Awards had traditionally been made</w:t>
      </w:r>
      <w:r w:rsidR="006F381A">
        <w:t xml:space="preserve"> </w:t>
      </w:r>
      <w:r w:rsidR="006A53A1">
        <w:t xml:space="preserve">at the instance of </w:t>
      </w:r>
      <w:r>
        <w:t>employee or employer organisations</w:t>
      </w:r>
      <w:r w:rsidR="006A53A1">
        <w:t xml:space="preserve"> and through either a consent determination or by arbitration after formal and often lengthy</w:t>
      </w:r>
      <w:r w:rsidR="006F381A">
        <w:t xml:space="preserve"> contested</w:t>
      </w:r>
      <w:r w:rsidR="006A53A1">
        <w:t xml:space="preserve"> hearings.  In contrast, Part </w:t>
      </w:r>
      <w:proofErr w:type="spellStart"/>
      <w:r w:rsidR="006A53A1">
        <w:t>10A</w:t>
      </w:r>
      <w:proofErr w:type="spellEnd"/>
      <w:r w:rsidR="006A53A1">
        <w:t xml:space="preserve"> </w:t>
      </w:r>
      <w:r>
        <w:t xml:space="preserve">of the </w:t>
      </w:r>
      <w:proofErr w:type="spellStart"/>
      <w:r w:rsidRPr="00804B53">
        <w:t>WR</w:t>
      </w:r>
      <w:proofErr w:type="spellEnd"/>
      <w:r w:rsidRPr="00804B53">
        <w:t> Act</w:t>
      </w:r>
      <w:r>
        <w:t xml:space="preserve"> </w:t>
      </w:r>
      <w:r w:rsidR="006A53A1">
        <w:t xml:space="preserve">required the </w:t>
      </w:r>
      <w:proofErr w:type="spellStart"/>
      <w:r w:rsidR="006A53A1">
        <w:t>AIRC</w:t>
      </w:r>
      <w:proofErr w:type="spellEnd"/>
      <w:r w:rsidR="006A53A1">
        <w:t xml:space="preserve"> to make modern awards in accordance with an </w:t>
      </w:r>
      <w:r w:rsidR="00BE52F8">
        <w:t>“</w:t>
      </w:r>
      <w:r w:rsidR="006A53A1">
        <w:t>award modernisation request</w:t>
      </w:r>
      <w:r w:rsidR="00BE52F8">
        <w:t>”</w:t>
      </w:r>
      <w:r w:rsidR="006A53A1">
        <w:t xml:space="preserve"> made to the President of the </w:t>
      </w:r>
      <w:proofErr w:type="spellStart"/>
      <w:r w:rsidR="006A53A1">
        <w:t>AIRC</w:t>
      </w:r>
      <w:proofErr w:type="spellEnd"/>
      <w:r w:rsidR="006A53A1">
        <w:t xml:space="preserve"> by the Minister for Employment and Workplace</w:t>
      </w:r>
      <w:r w:rsidR="002078AC">
        <w:t xml:space="preserve"> Relations.  The </w:t>
      </w:r>
      <w:proofErr w:type="spellStart"/>
      <w:r w:rsidR="002078AC">
        <w:t>AIRC</w:t>
      </w:r>
      <w:proofErr w:type="spellEnd"/>
      <w:r w:rsidR="002078AC">
        <w:t xml:space="preserve"> was given </w:t>
      </w:r>
      <w:r w:rsidR="006A53A1">
        <w:t>very wide discretion to determine both the content of modern awards and the procedure by which it would perform its award modernisation function.</w:t>
      </w:r>
      <w:r w:rsidR="00D52006">
        <w:t xml:space="preserve"> </w:t>
      </w:r>
      <w:r w:rsidR="006A53A1">
        <w:t xml:space="preserve"> </w:t>
      </w:r>
      <w:r w:rsidR="00D52006">
        <w:t>By s </w:t>
      </w:r>
      <w:proofErr w:type="spellStart"/>
      <w:r w:rsidR="006A53A1">
        <w:t>576E</w:t>
      </w:r>
      <w:proofErr w:type="spellEnd"/>
      <w:r w:rsidR="006A53A1">
        <w:t xml:space="preserve">(1) of the </w:t>
      </w:r>
      <w:proofErr w:type="spellStart"/>
      <w:r w:rsidR="006A53A1">
        <w:t>WR</w:t>
      </w:r>
      <w:proofErr w:type="spellEnd"/>
      <w:r w:rsidR="006A53A1">
        <w:t xml:space="preserve"> Act</w:t>
      </w:r>
      <w:r w:rsidR="00D52006">
        <w:t>,</w:t>
      </w:r>
      <w:r w:rsidR="006A53A1">
        <w:t xml:space="preserve"> the President of the </w:t>
      </w:r>
      <w:proofErr w:type="spellStart"/>
      <w:r w:rsidR="006A53A1">
        <w:t>AIRC</w:t>
      </w:r>
      <w:proofErr w:type="spellEnd"/>
      <w:r w:rsidR="006A53A1">
        <w:t xml:space="preserve"> </w:t>
      </w:r>
      <w:r w:rsidR="00D52006">
        <w:t xml:space="preserve">was required </w:t>
      </w:r>
      <w:r w:rsidR="006A53A1">
        <w:t>to establish one or more</w:t>
      </w:r>
      <w:r w:rsidR="007E7B19">
        <w:t xml:space="preserve"> Full Benches to carry out the award modernisation process.  Section </w:t>
      </w:r>
      <w:proofErr w:type="spellStart"/>
      <w:r w:rsidR="007E7B19">
        <w:t>576E</w:t>
      </w:r>
      <w:proofErr w:type="spellEnd"/>
      <w:r w:rsidR="007E7B19">
        <w:t>(3)</w:t>
      </w:r>
      <w:r w:rsidR="007F6876">
        <w:t xml:space="preserve"> </w:t>
      </w:r>
      <w:r w:rsidR="007E7B19">
        <w:t>provided that</w:t>
      </w:r>
      <w:r>
        <w:t>,</w:t>
      </w:r>
      <w:r w:rsidR="007E7B19">
        <w:t xml:space="preserve"> </w:t>
      </w:r>
      <w:r w:rsidR="00D8616C">
        <w:t>for the purpo</w:t>
      </w:r>
      <w:r w:rsidR="002078AC">
        <w:t xml:space="preserve">se of carrying out that process, </w:t>
      </w:r>
      <w:r w:rsidR="00D8616C">
        <w:t>and subject to a</w:t>
      </w:r>
      <w:r w:rsidR="002078AC">
        <w:t xml:space="preserve">ny direction </w:t>
      </w:r>
      <w:r w:rsidR="00D8616C">
        <w:t>given by the President</w:t>
      </w:r>
      <w:r w:rsidR="006F381A">
        <w:t>,</w:t>
      </w:r>
      <w:r w:rsidR="00D8616C">
        <w:t xml:space="preserve"> </w:t>
      </w:r>
      <w:r w:rsidR="00BE52F8">
        <w:t>“</w:t>
      </w:r>
      <w:r w:rsidR="00D8616C">
        <w:t>the procedure of a Full Bench is within the absolute discretion of the Full Bench</w:t>
      </w:r>
      <w:r w:rsidR="00BE52F8">
        <w:t>”</w:t>
      </w:r>
      <w:r w:rsidR="00D8616C">
        <w:t xml:space="preserve">.  Section </w:t>
      </w:r>
      <w:proofErr w:type="spellStart"/>
      <w:r w:rsidR="00D8616C">
        <w:t>576E</w:t>
      </w:r>
      <w:proofErr w:type="spellEnd"/>
      <w:r w:rsidR="00D8616C">
        <w:t>(4) pro</w:t>
      </w:r>
      <w:r w:rsidR="002078AC">
        <w:t>vided that without limiting sub</w:t>
      </w:r>
      <w:r w:rsidR="00D8616C">
        <w:t>s</w:t>
      </w:r>
      <w:r w:rsidR="00D50147">
        <w:t xml:space="preserve"> </w:t>
      </w:r>
      <w:r w:rsidR="00D8616C">
        <w:t>(3), a Full Bench could inform itself in any way it thought appropriate</w:t>
      </w:r>
      <w:r w:rsidR="002078AC">
        <w:t>,</w:t>
      </w:r>
      <w:r w:rsidR="00D8616C">
        <w:t xml:space="preserve"> including by undertaking or commissioning research or consulting with any person.</w:t>
      </w:r>
      <w:bookmarkEnd w:id="24"/>
    </w:p>
    <w:p w:rsidR="00D8616C" w:rsidRDefault="00D8616C" w:rsidP="009F2F16">
      <w:pPr>
        <w:pStyle w:val="ParaNumbering"/>
      </w:pPr>
      <w:r>
        <w:t>The absence of any requirement for formal hearings and any mandated role for</w:t>
      </w:r>
      <w:r w:rsidR="006F381A">
        <w:t xml:space="preserve"> the</w:t>
      </w:r>
      <w:r>
        <w:t xml:space="preserve"> industrial parties</w:t>
      </w:r>
      <w:r w:rsidR="006F381A">
        <w:t xml:space="preserve"> affected</w:t>
      </w:r>
      <w:r>
        <w:t xml:space="preserve">, together with the mammoth task given to the </w:t>
      </w:r>
      <w:proofErr w:type="spellStart"/>
      <w:r>
        <w:t>AIRC</w:t>
      </w:r>
      <w:proofErr w:type="spellEnd"/>
      <w:r>
        <w:t xml:space="preserve"> </w:t>
      </w:r>
      <w:r w:rsidR="006F381A">
        <w:t>and the</w:t>
      </w:r>
      <w:r>
        <w:t xml:space="preserve"> relatively short period</w:t>
      </w:r>
      <w:r w:rsidR="006F381A">
        <w:t xml:space="preserve"> in which it was required to be completed</w:t>
      </w:r>
      <w:r>
        <w:t xml:space="preserve">, provide </w:t>
      </w:r>
      <w:r w:rsidR="006F381A">
        <w:t>some indication of</w:t>
      </w:r>
      <w:r>
        <w:t xml:space="preserve"> the underlying rationale for the transitional review.</w:t>
      </w:r>
    </w:p>
    <w:p w:rsidR="009A2C5F" w:rsidRDefault="003D4C4B" w:rsidP="009F2F16">
      <w:pPr>
        <w:pStyle w:val="ParaNumbering"/>
      </w:pPr>
      <w:r>
        <w:t>That rationale was explained i</w:t>
      </w:r>
      <w:r w:rsidR="00D8616C">
        <w:t xml:space="preserve">n the Second Reading speech to the Bill which </w:t>
      </w:r>
      <w:r w:rsidR="009A2C5F">
        <w:t>became the Transitional Act</w:t>
      </w:r>
      <w:r>
        <w:t>.  T</w:t>
      </w:r>
      <w:r w:rsidR="009A2C5F">
        <w:t xml:space="preserve">he Minister for </w:t>
      </w:r>
      <w:r w:rsidR="006F381A">
        <w:t>E</w:t>
      </w:r>
      <w:r w:rsidR="009A2C5F">
        <w:t xml:space="preserve">mployment and </w:t>
      </w:r>
      <w:r w:rsidR="006F381A">
        <w:t>W</w:t>
      </w:r>
      <w:r w:rsidR="009A2C5F">
        <w:t xml:space="preserve">orkplace </w:t>
      </w:r>
      <w:r w:rsidR="006F381A">
        <w:t>R</w:t>
      </w:r>
      <w:r w:rsidR="009A2C5F">
        <w:t>elations relevantly said:</w:t>
      </w:r>
    </w:p>
    <w:p w:rsidR="009A2C5F" w:rsidRDefault="009A2C5F" w:rsidP="009A2C5F">
      <w:pPr>
        <w:pStyle w:val="Quote1"/>
      </w:pPr>
      <w:r>
        <w:t xml:space="preserve">Further, the </w:t>
      </w:r>
      <w:r w:rsidR="006F381A">
        <w:t>B</w:t>
      </w:r>
      <w:r>
        <w:t>ill provides for Fair Work Australia to conduct a bedding-down review of modern awards after two years of their operation – that is, from 1 January 2012 – ahead of the regular four-yearly review cycle.  This will allow any necessary refinements to modern awards to be made to ensure they are meeting the modern award objectives and are operating effectively without anomalies or technical problems.</w:t>
      </w:r>
    </w:p>
    <w:p w:rsidR="009A2C5F" w:rsidRDefault="009A2C5F" w:rsidP="009A2C5F">
      <w:pPr>
        <w:pStyle w:val="Quote1"/>
      </w:pPr>
    </w:p>
    <w:p w:rsidR="009A2C5F" w:rsidRDefault="009A2C5F" w:rsidP="009A2C5F">
      <w:pPr>
        <w:pStyle w:val="Quote1"/>
      </w:pPr>
      <w:r>
        <w:t>This transitional review will complement the four-yearly review of modern awards set out in the substantive Fair Work legislation and will allow any operational difficulties to be identified</w:t>
      </w:r>
      <w:r w:rsidR="00B05E44">
        <w:t xml:space="preserve"> </w:t>
      </w:r>
      <w:r w:rsidR="00A35A68">
        <w:t xml:space="preserve"> and remedied swiftly.</w:t>
      </w:r>
    </w:p>
    <w:p w:rsidR="00A55269" w:rsidRDefault="00A55269" w:rsidP="009A2C5F">
      <w:pPr>
        <w:pStyle w:val="Quote1"/>
      </w:pPr>
    </w:p>
    <w:p w:rsidR="00402075" w:rsidRDefault="00402075" w:rsidP="006F381A">
      <w:pPr>
        <w:pStyle w:val="ParaNumbering"/>
      </w:pPr>
      <w:r>
        <w:t xml:space="preserve">The </w:t>
      </w:r>
      <w:r w:rsidR="00BE52F8">
        <w:t>“</w:t>
      </w:r>
      <w:r>
        <w:t xml:space="preserve">regular </w:t>
      </w:r>
      <w:r w:rsidR="007A464A">
        <w:t>four</w:t>
      </w:r>
      <w:r w:rsidR="006F381A">
        <w:t>-</w:t>
      </w:r>
      <w:r>
        <w:t>yearly review cycle</w:t>
      </w:r>
      <w:r w:rsidR="00BE52F8">
        <w:t>”</w:t>
      </w:r>
      <w:r>
        <w:t xml:space="preserve"> referred to by th</w:t>
      </w:r>
      <w:r w:rsidR="00D94908">
        <w:t>e Minister is provided for by s</w:t>
      </w:r>
      <w:r>
        <w:t xml:space="preserve"> 156 of the FW Act.  </w:t>
      </w:r>
      <w:r w:rsidR="006543F5">
        <w:t>In the four-</w:t>
      </w:r>
      <w:r w:rsidR="003D4C4B">
        <w:t>yearly review</w:t>
      </w:r>
      <w:r w:rsidR="006543F5">
        <w:t>,</w:t>
      </w:r>
      <w:r w:rsidR="003D4C4B">
        <w:t xml:space="preserve"> the </w:t>
      </w:r>
      <w:proofErr w:type="spellStart"/>
      <w:r w:rsidR="003D4C4B">
        <w:t>FWC</w:t>
      </w:r>
      <w:proofErr w:type="spellEnd"/>
      <w:r w:rsidR="003D4C4B">
        <w:t xml:space="preserve"> must review all modern awards and may vary, revoke</w:t>
      </w:r>
      <w:r w:rsidR="006543F5">
        <w:t>,</w:t>
      </w:r>
      <w:r w:rsidR="003D4C4B">
        <w:t xml:space="preserve"> or make a modern award.</w:t>
      </w:r>
    </w:p>
    <w:p w:rsidR="001D5C22" w:rsidRDefault="00DF5E71" w:rsidP="001D5C22">
      <w:pPr>
        <w:pStyle w:val="ParaNumbering"/>
      </w:pPr>
      <w:r>
        <w:lastRenderedPageBreak/>
        <w:t xml:space="preserve">The capacity of the </w:t>
      </w:r>
      <w:proofErr w:type="spellStart"/>
      <w:r>
        <w:t>FWC</w:t>
      </w:r>
      <w:proofErr w:type="spellEnd"/>
      <w:r>
        <w:t xml:space="preserve"> to vary modern awards outside the </w:t>
      </w:r>
      <w:r w:rsidR="006543F5">
        <w:t>four-</w:t>
      </w:r>
      <w:r>
        <w:t xml:space="preserve">yearly review is </w:t>
      </w:r>
      <w:r w:rsidR="003D4C4B">
        <w:t>relevant</w:t>
      </w:r>
      <w:r>
        <w:t xml:space="preserve"> to the issues </w:t>
      </w:r>
      <w:r w:rsidR="000A2A3E">
        <w:t>in the present case</w:t>
      </w:r>
      <w:r>
        <w:t xml:space="preserve">.  </w:t>
      </w:r>
      <w:r w:rsidR="005D2039">
        <w:t>Section</w:t>
      </w:r>
      <w:r w:rsidR="006543F5">
        <w:t> </w:t>
      </w:r>
      <w:r w:rsidR="003D4C4B">
        <w:t>157</w:t>
      </w:r>
      <w:r w:rsidR="001D5C22">
        <w:t xml:space="preserve"> of the FW Act</w:t>
      </w:r>
      <w:r w:rsidR="005D2039">
        <w:t xml:space="preserve"> </w:t>
      </w:r>
      <w:r w:rsidR="00C22864">
        <w:t>states</w:t>
      </w:r>
      <w:r w:rsidR="001D5C22">
        <w:t>:</w:t>
      </w:r>
    </w:p>
    <w:p w:rsidR="006543F5" w:rsidRDefault="006543F5" w:rsidP="004D4197">
      <w:pPr>
        <w:pStyle w:val="Quote1"/>
        <w:numPr>
          <w:ilvl w:val="0"/>
          <w:numId w:val="48"/>
        </w:numPr>
        <w:spacing w:before="60" w:after="60"/>
      </w:pPr>
      <w:r>
        <w:t xml:space="preserve">The </w:t>
      </w:r>
      <w:proofErr w:type="spellStart"/>
      <w:r>
        <w:t>FWC</w:t>
      </w:r>
      <w:proofErr w:type="spellEnd"/>
      <w:r>
        <w:t xml:space="preserve"> may: </w:t>
      </w:r>
    </w:p>
    <w:p w:rsidR="006543F5" w:rsidRDefault="00051AA1" w:rsidP="004D4197">
      <w:pPr>
        <w:pStyle w:val="Quote1"/>
        <w:numPr>
          <w:ilvl w:val="4"/>
          <w:numId w:val="47"/>
        </w:numPr>
        <w:spacing w:before="60" w:after="60"/>
        <w:ind w:left="1985"/>
      </w:pPr>
      <w:r>
        <w:t>m</w:t>
      </w:r>
      <w:r w:rsidR="006543F5">
        <w:t xml:space="preserve">ake a determination varying a modern award, otherwise than to vary modern award minimum wages or to vary a default fund term of the award; or </w:t>
      </w:r>
    </w:p>
    <w:p w:rsidR="00051AA1" w:rsidRDefault="00051AA1" w:rsidP="004D4197">
      <w:pPr>
        <w:pStyle w:val="Quote1"/>
        <w:numPr>
          <w:ilvl w:val="4"/>
          <w:numId w:val="47"/>
        </w:numPr>
        <w:spacing w:before="60" w:after="60"/>
        <w:ind w:left="1985"/>
      </w:pPr>
      <w:r>
        <w:t>make a modern award; or</w:t>
      </w:r>
    </w:p>
    <w:p w:rsidR="004D4197" w:rsidRDefault="00051AA1" w:rsidP="0088387A">
      <w:pPr>
        <w:pStyle w:val="Quote1"/>
        <w:numPr>
          <w:ilvl w:val="4"/>
          <w:numId w:val="47"/>
        </w:numPr>
        <w:spacing w:before="60" w:after="60"/>
        <w:ind w:left="1985"/>
      </w:pPr>
      <w:r>
        <w:t>make a determination revoking a modern award;</w:t>
      </w:r>
    </w:p>
    <w:p w:rsidR="0088387A" w:rsidRDefault="006543F5" w:rsidP="0088387A">
      <w:pPr>
        <w:pStyle w:val="Quote1"/>
        <w:spacing w:before="60" w:after="60"/>
        <w:ind w:left="851"/>
      </w:pPr>
      <w:r>
        <w:t xml:space="preserve">if the </w:t>
      </w:r>
      <w:proofErr w:type="spellStart"/>
      <w:r>
        <w:t>FWC</w:t>
      </w:r>
      <w:proofErr w:type="spellEnd"/>
      <w:r>
        <w:t xml:space="preserve"> is satisfied that making the determination or modern award outside the system of 4 yearly reviews of modern awards is necessary to achieve the modern awards objective. </w:t>
      </w:r>
    </w:p>
    <w:p w:rsidR="00A55269" w:rsidRPr="004D4197" w:rsidRDefault="006543F5" w:rsidP="00EA23AC">
      <w:pPr>
        <w:pStyle w:val="Quote1"/>
        <w:spacing w:before="60" w:after="60"/>
        <w:ind w:left="1701" w:hanging="850"/>
        <w:rPr>
          <w:sz w:val="18"/>
          <w:szCs w:val="18"/>
        </w:rPr>
      </w:pPr>
      <w:r w:rsidRPr="004D4197">
        <w:rPr>
          <w:sz w:val="18"/>
          <w:szCs w:val="18"/>
        </w:rPr>
        <w:t>Note 1:</w:t>
      </w:r>
      <w:r w:rsidRPr="004D4197">
        <w:rPr>
          <w:sz w:val="18"/>
          <w:szCs w:val="18"/>
        </w:rPr>
        <w:tab/>
        <w:t xml:space="preserve">The </w:t>
      </w:r>
      <w:proofErr w:type="spellStart"/>
      <w:r w:rsidRPr="004D4197">
        <w:rPr>
          <w:sz w:val="18"/>
          <w:szCs w:val="18"/>
        </w:rPr>
        <w:t>FWC</w:t>
      </w:r>
      <w:proofErr w:type="spellEnd"/>
      <w:r w:rsidRPr="004D4197">
        <w:rPr>
          <w:sz w:val="18"/>
          <w:szCs w:val="18"/>
        </w:rPr>
        <w:t xml:space="preserve"> must be constituted by a Full Bench to make a modern</w:t>
      </w:r>
      <w:r w:rsidR="007261FA">
        <w:rPr>
          <w:sz w:val="18"/>
          <w:szCs w:val="18"/>
        </w:rPr>
        <w:t xml:space="preserve"> award (see subsection 616(1)).</w:t>
      </w:r>
    </w:p>
    <w:p w:rsidR="00A55269" w:rsidRPr="004D4197" w:rsidRDefault="006543F5" w:rsidP="00EA23AC">
      <w:pPr>
        <w:pStyle w:val="Quote1"/>
        <w:spacing w:before="60" w:after="60"/>
        <w:ind w:left="1701" w:hanging="850"/>
        <w:rPr>
          <w:sz w:val="18"/>
          <w:szCs w:val="18"/>
        </w:rPr>
      </w:pPr>
      <w:r w:rsidRPr="004D4197">
        <w:rPr>
          <w:sz w:val="18"/>
          <w:szCs w:val="18"/>
        </w:rPr>
        <w:t>Note 2:</w:t>
      </w:r>
      <w:r w:rsidR="00A35A68">
        <w:rPr>
          <w:sz w:val="18"/>
          <w:szCs w:val="18"/>
        </w:rPr>
        <w:tab/>
      </w:r>
      <w:r w:rsidRPr="004D4197">
        <w:rPr>
          <w:sz w:val="18"/>
          <w:szCs w:val="18"/>
        </w:rPr>
        <w:t xml:space="preserve">Special criteria apply to changing coverage of modern awards or revoking modern awards (see sections 163 and 164). </w:t>
      </w:r>
    </w:p>
    <w:p w:rsidR="00EA23AC" w:rsidRPr="004D4197" w:rsidRDefault="006543F5" w:rsidP="0037170E">
      <w:pPr>
        <w:pStyle w:val="Quote1"/>
        <w:spacing w:before="60" w:after="60"/>
        <w:ind w:left="1701" w:hanging="850"/>
        <w:rPr>
          <w:sz w:val="18"/>
          <w:szCs w:val="18"/>
        </w:rPr>
      </w:pPr>
      <w:r w:rsidRPr="004D4197">
        <w:rPr>
          <w:sz w:val="18"/>
          <w:szCs w:val="18"/>
        </w:rPr>
        <w:t>Note 3:</w:t>
      </w:r>
      <w:r w:rsidRPr="004D4197">
        <w:rPr>
          <w:sz w:val="18"/>
          <w:szCs w:val="18"/>
        </w:rPr>
        <w:tab/>
        <w:t xml:space="preserve">If the </w:t>
      </w:r>
      <w:proofErr w:type="spellStart"/>
      <w:r w:rsidRPr="004D4197">
        <w:rPr>
          <w:sz w:val="18"/>
          <w:szCs w:val="18"/>
        </w:rPr>
        <w:t>FWC</w:t>
      </w:r>
      <w:proofErr w:type="spellEnd"/>
      <w:r w:rsidRPr="004D4197">
        <w:rPr>
          <w:sz w:val="18"/>
          <w:szCs w:val="18"/>
        </w:rPr>
        <w:t xml:space="preserve"> is setting modern award minimum wages, the minimum wages objective also applies (see section 284).</w:t>
      </w:r>
    </w:p>
    <w:p w:rsidR="001D5C22" w:rsidRDefault="001D5C22" w:rsidP="004D4197">
      <w:pPr>
        <w:pStyle w:val="Quote1"/>
        <w:numPr>
          <w:ilvl w:val="0"/>
          <w:numId w:val="48"/>
        </w:numPr>
        <w:spacing w:before="60" w:after="60"/>
      </w:pPr>
      <w:r>
        <w:t xml:space="preserve">The </w:t>
      </w:r>
      <w:proofErr w:type="spellStart"/>
      <w:r>
        <w:t>FWC</w:t>
      </w:r>
      <w:proofErr w:type="spellEnd"/>
      <w:r>
        <w:t xml:space="preserve"> may make a determination varying modern award minimum wages if the </w:t>
      </w:r>
      <w:proofErr w:type="spellStart"/>
      <w:r>
        <w:t>FWC</w:t>
      </w:r>
      <w:proofErr w:type="spellEnd"/>
      <w:r>
        <w:t xml:space="preserve"> is satisfied that: </w:t>
      </w:r>
    </w:p>
    <w:p w:rsidR="00A55269" w:rsidRDefault="00A55269" w:rsidP="00A55269">
      <w:pPr>
        <w:pStyle w:val="Quote1"/>
        <w:spacing w:before="60" w:after="60"/>
        <w:ind w:left="1985" w:hanging="554"/>
      </w:pPr>
      <w:r>
        <w:t>(a)</w:t>
      </w:r>
      <w:r>
        <w:tab/>
      </w:r>
      <w:r w:rsidR="001D5C22">
        <w:t xml:space="preserve">the variation of modern award minimum wages is justified by work value reasons; and </w:t>
      </w:r>
    </w:p>
    <w:p w:rsidR="001D5C22" w:rsidRDefault="001D5C22" w:rsidP="004D4197">
      <w:pPr>
        <w:pStyle w:val="Quote1"/>
        <w:numPr>
          <w:ilvl w:val="0"/>
          <w:numId w:val="47"/>
        </w:numPr>
        <w:spacing w:before="60" w:after="60"/>
        <w:ind w:left="1985" w:hanging="554"/>
      </w:pPr>
      <w:r>
        <w:t xml:space="preserve">making the determination outside the system of annual wage reviews and the system of 4 yearly reviews of modern awards is necessary to achieve the modern awards objective. </w:t>
      </w:r>
    </w:p>
    <w:p w:rsidR="00DF5E71" w:rsidRPr="004D4197" w:rsidRDefault="001D5C22" w:rsidP="004D4197">
      <w:pPr>
        <w:pStyle w:val="Quote1"/>
        <w:ind w:left="1441" w:hanging="590"/>
        <w:rPr>
          <w:sz w:val="18"/>
          <w:szCs w:val="18"/>
        </w:rPr>
      </w:pPr>
      <w:r w:rsidRPr="004D4197">
        <w:rPr>
          <w:sz w:val="18"/>
          <w:szCs w:val="18"/>
        </w:rPr>
        <w:t>Note:</w:t>
      </w:r>
      <w:r w:rsidRPr="004D4197">
        <w:rPr>
          <w:sz w:val="18"/>
          <w:szCs w:val="18"/>
        </w:rPr>
        <w:tab/>
        <w:t xml:space="preserve">As the </w:t>
      </w:r>
      <w:proofErr w:type="spellStart"/>
      <w:r w:rsidRPr="004D4197">
        <w:rPr>
          <w:sz w:val="18"/>
          <w:szCs w:val="18"/>
        </w:rPr>
        <w:t>FWC</w:t>
      </w:r>
      <w:proofErr w:type="spellEnd"/>
      <w:r w:rsidRPr="004D4197">
        <w:rPr>
          <w:sz w:val="18"/>
          <w:szCs w:val="18"/>
        </w:rPr>
        <w:t xml:space="preserve"> is varying modern award minimum wages, the minimum wages objective also applies (see section 284).</w:t>
      </w:r>
    </w:p>
    <w:p w:rsidR="001D5C22" w:rsidRDefault="001D5C22" w:rsidP="00804B53">
      <w:pPr>
        <w:pStyle w:val="Quote1"/>
        <w:ind w:left="1440" w:hanging="703"/>
      </w:pPr>
    </w:p>
    <w:p w:rsidR="00402075" w:rsidRDefault="00402075" w:rsidP="009F2F16">
      <w:pPr>
        <w:pStyle w:val="ParaNumbering"/>
      </w:pPr>
      <w:r>
        <w:t xml:space="preserve">Section 576 of the FW Act identifies the functions which are conferred upon the </w:t>
      </w:r>
      <w:proofErr w:type="spellStart"/>
      <w:r>
        <w:t>FWC</w:t>
      </w:r>
      <w:proofErr w:type="spellEnd"/>
      <w:r>
        <w:t xml:space="preserve"> and includes</w:t>
      </w:r>
      <w:r w:rsidR="006543F5">
        <w:t>,</w:t>
      </w:r>
      <w:r>
        <w:t xml:space="preserve"> </w:t>
      </w:r>
      <w:r w:rsidR="000A2A3E">
        <w:t xml:space="preserve">in </w:t>
      </w:r>
      <w:r>
        <w:t>s</w:t>
      </w:r>
      <w:r w:rsidR="000A2A3E">
        <w:t> </w:t>
      </w:r>
      <w:r>
        <w:t>576(2)(d)</w:t>
      </w:r>
      <w:r w:rsidR="006543F5">
        <w:t>,</w:t>
      </w:r>
      <w:r>
        <w:t xml:space="preserve"> </w:t>
      </w:r>
      <w:r w:rsidR="00BE52F8">
        <w:t>“</w:t>
      </w:r>
      <w:r>
        <w:t xml:space="preserve">any other function conferred on the </w:t>
      </w:r>
      <w:proofErr w:type="spellStart"/>
      <w:r>
        <w:t>FWC</w:t>
      </w:r>
      <w:proofErr w:type="spellEnd"/>
      <w:r>
        <w:t xml:space="preserve"> by a law of the Commonwealth</w:t>
      </w:r>
      <w:r w:rsidR="00BE52F8">
        <w:t>”</w:t>
      </w:r>
      <w:r>
        <w:t xml:space="preserve">.  The Transitional Act confers upon the </w:t>
      </w:r>
      <w:proofErr w:type="spellStart"/>
      <w:r>
        <w:t>FWC</w:t>
      </w:r>
      <w:proofErr w:type="spellEnd"/>
      <w:r>
        <w:t xml:space="preserve"> the function of conducting the transitional review.  Whilst </w:t>
      </w:r>
      <w:r w:rsidR="00AD269B">
        <w:t>I</w:t>
      </w:r>
      <w:r>
        <w:t xml:space="preserve">tem 6 has something to say about the process and procedure by which the </w:t>
      </w:r>
      <w:proofErr w:type="spellStart"/>
      <w:r>
        <w:t>FWC</w:t>
      </w:r>
      <w:proofErr w:type="spellEnd"/>
      <w:r>
        <w:t xml:space="preserve"> must perform that function, the usual procedural power</w:t>
      </w:r>
      <w:r w:rsidR="006F381A">
        <w:t>s</w:t>
      </w:r>
      <w:r>
        <w:t xml:space="preserve"> of the </w:t>
      </w:r>
      <w:proofErr w:type="spellStart"/>
      <w:r>
        <w:t>FWC</w:t>
      </w:r>
      <w:proofErr w:type="spellEnd"/>
      <w:r>
        <w:t xml:space="preserve">, applicable to all of the </w:t>
      </w:r>
      <w:proofErr w:type="spellStart"/>
      <w:r>
        <w:t>FWC’s</w:t>
      </w:r>
      <w:proofErr w:type="spellEnd"/>
      <w:r>
        <w:t xml:space="preserve"> functions, also </w:t>
      </w:r>
      <w:r w:rsidR="006F381A">
        <w:t>applied</w:t>
      </w:r>
      <w:r>
        <w:t xml:space="preserve"> to the transitional review.</w:t>
      </w:r>
      <w:r w:rsidR="006543F5">
        <w:t xml:space="preserve">  As we later observe, the </w:t>
      </w:r>
      <w:proofErr w:type="spellStart"/>
      <w:r w:rsidR="006543F5">
        <w:t>FWC</w:t>
      </w:r>
      <w:proofErr w:type="spellEnd"/>
      <w:r w:rsidR="006543F5">
        <w:t xml:space="preserve"> was given significant </w:t>
      </w:r>
      <w:r w:rsidR="000A2A3E">
        <w:t>latitude in relation to</w:t>
      </w:r>
      <w:r w:rsidR="005E2B81">
        <w:t xml:space="preserve"> the process by which</w:t>
      </w:r>
      <w:r w:rsidR="006543F5">
        <w:t xml:space="preserve"> the transitional review would be co</w:t>
      </w:r>
      <w:r w:rsidR="00C27A7E">
        <w:t>nducted.</w:t>
      </w:r>
    </w:p>
    <w:p w:rsidR="00402075" w:rsidRDefault="00402075" w:rsidP="009F2F16">
      <w:pPr>
        <w:pStyle w:val="ParaNumbering"/>
      </w:pPr>
      <w:r>
        <w:t>In that respect, s</w:t>
      </w:r>
      <w:r w:rsidR="000A2A3E">
        <w:t> </w:t>
      </w:r>
      <w:r>
        <w:t xml:space="preserve">577 </w:t>
      </w:r>
      <w:r w:rsidR="001D5C22">
        <w:t xml:space="preserve">of the FW Act </w:t>
      </w:r>
      <w:r>
        <w:t>states:</w:t>
      </w:r>
    </w:p>
    <w:p w:rsidR="00402075" w:rsidRDefault="00402075" w:rsidP="006F381A">
      <w:pPr>
        <w:pStyle w:val="Quote1"/>
        <w:ind w:left="1440" w:hanging="703"/>
      </w:pPr>
      <w:r>
        <w:t xml:space="preserve">The </w:t>
      </w:r>
      <w:proofErr w:type="spellStart"/>
      <w:r>
        <w:t>FWC</w:t>
      </w:r>
      <w:proofErr w:type="spellEnd"/>
      <w:r>
        <w:t xml:space="preserve"> must perform its functions and exerci</w:t>
      </w:r>
      <w:r w:rsidR="00420EC7">
        <w:t>se its powers in a manner that:</w:t>
      </w:r>
    </w:p>
    <w:p w:rsidR="00402075" w:rsidRDefault="00D32C1C" w:rsidP="006F381A">
      <w:pPr>
        <w:pStyle w:val="Quote1"/>
        <w:tabs>
          <w:tab w:val="left" w:pos="709"/>
        </w:tabs>
        <w:ind w:left="709"/>
      </w:pPr>
      <w:r>
        <w:t>(a)</w:t>
      </w:r>
      <w:r>
        <w:tab/>
      </w:r>
      <w:r w:rsidR="00420EC7">
        <w:t>is fair and just; and</w:t>
      </w:r>
    </w:p>
    <w:p w:rsidR="00402075" w:rsidRDefault="00D32C1C" w:rsidP="006F381A">
      <w:pPr>
        <w:pStyle w:val="Quote1"/>
        <w:tabs>
          <w:tab w:val="left" w:pos="709"/>
        </w:tabs>
        <w:ind w:left="709"/>
      </w:pPr>
      <w:r>
        <w:t>(b)</w:t>
      </w:r>
      <w:r>
        <w:tab/>
      </w:r>
      <w:r w:rsidR="00402075">
        <w:t xml:space="preserve">is quick, informal and avoids </w:t>
      </w:r>
      <w:r w:rsidR="00420EC7">
        <w:t>unnecessary technicalities; and</w:t>
      </w:r>
    </w:p>
    <w:p w:rsidR="00402075" w:rsidRDefault="00402075" w:rsidP="006F381A">
      <w:pPr>
        <w:pStyle w:val="Quote1"/>
        <w:tabs>
          <w:tab w:val="left" w:pos="709"/>
        </w:tabs>
        <w:ind w:left="709"/>
      </w:pPr>
      <w:r>
        <w:t>(c</w:t>
      </w:r>
      <w:r w:rsidR="00D32C1C">
        <w:t>)</w:t>
      </w:r>
      <w:r w:rsidR="00D32C1C">
        <w:tab/>
      </w:r>
      <w:r w:rsidR="00420EC7">
        <w:t>is open and transparent; and</w:t>
      </w:r>
    </w:p>
    <w:p w:rsidR="00C22864" w:rsidRDefault="00D32C1C" w:rsidP="00505628">
      <w:pPr>
        <w:pStyle w:val="Quote1"/>
        <w:tabs>
          <w:tab w:val="left" w:pos="709"/>
        </w:tabs>
        <w:ind w:left="709"/>
      </w:pPr>
      <w:r>
        <w:t>(d)</w:t>
      </w:r>
      <w:r>
        <w:tab/>
      </w:r>
      <w:r w:rsidR="00402075">
        <w:t>promotes harmonious and cooperative workplace relations.</w:t>
      </w:r>
    </w:p>
    <w:p w:rsidR="000A2A3E" w:rsidRDefault="000A2A3E" w:rsidP="00505628">
      <w:pPr>
        <w:pStyle w:val="Quote1"/>
        <w:tabs>
          <w:tab w:val="left" w:pos="709"/>
        </w:tabs>
        <w:ind w:left="709"/>
      </w:pPr>
    </w:p>
    <w:p w:rsidR="008E4505" w:rsidRDefault="005D2039" w:rsidP="00140A05">
      <w:pPr>
        <w:pStyle w:val="ParaNumbering"/>
      </w:pPr>
      <w:r>
        <w:lastRenderedPageBreak/>
        <w:t>The</w:t>
      </w:r>
      <w:r w:rsidR="00402075">
        <w:t xml:space="preserve"> President of the </w:t>
      </w:r>
      <w:proofErr w:type="spellStart"/>
      <w:r w:rsidR="00402075">
        <w:t>FWC</w:t>
      </w:r>
      <w:proofErr w:type="spellEnd"/>
      <w:r w:rsidR="00402075">
        <w:t xml:space="preserve"> is responsible for ensuring that the </w:t>
      </w:r>
      <w:proofErr w:type="spellStart"/>
      <w:r w:rsidR="00402075">
        <w:t>FWC</w:t>
      </w:r>
      <w:proofErr w:type="spellEnd"/>
      <w:r w:rsidR="00402075">
        <w:t xml:space="preserve"> performs its functions and exercises its power</w:t>
      </w:r>
      <w:r w:rsidR="00C27A7E">
        <w:t>s</w:t>
      </w:r>
      <w:r w:rsidR="00402075">
        <w:t xml:space="preserve"> in a manner that </w:t>
      </w:r>
      <w:r w:rsidR="00061CD3">
        <w:t>is efficient and adequately serves the needs of employers and employees</w:t>
      </w:r>
      <w:r>
        <w:t xml:space="preserve"> </w:t>
      </w:r>
      <w:r w:rsidR="000A2A3E">
        <w:t xml:space="preserve">alike </w:t>
      </w:r>
      <w:r>
        <w:t>(s 581)</w:t>
      </w:r>
      <w:r w:rsidR="00061CD3">
        <w:t>.  The President is empowered</w:t>
      </w:r>
      <w:r w:rsidR="006F381A">
        <w:t xml:space="preserve"> </w:t>
      </w:r>
      <w:r w:rsidR="00061CD3">
        <w:t xml:space="preserve">to give directions as to the manner in which the </w:t>
      </w:r>
      <w:proofErr w:type="spellStart"/>
      <w:r w:rsidR="00061CD3">
        <w:t>FWC</w:t>
      </w:r>
      <w:proofErr w:type="spellEnd"/>
      <w:r w:rsidR="00061CD3">
        <w:t xml:space="preserve"> is to perform its functions and exercise its powers</w:t>
      </w:r>
      <w:r>
        <w:t xml:space="preserve"> (s 582(1))</w:t>
      </w:r>
      <w:r w:rsidR="00061CD3">
        <w:t xml:space="preserve">.  </w:t>
      </w:r>
      <w:r>
        <w:t xml:space="preserve">The </w:t>
      </w:r>
      <w:proofErr w:type="spellStart"/>
      <w:r w:rsidR="00061CD3">
        <w:t>FWC</w:t>
      </w:r>
      <w:proofErr w:type="spellEnd"/>
      <w:r w:rsidR="00061CD3">
        <w:t xml:space="preserve"> may make decisions as to how, when and where a matter is to be dealt with</w:t>
      </w:r>
      <w:r>
        <w:t xml:space="preserve"> (s 589(1))</w:t>
      </w:r>
      <w:r w:rsidR="00D94908">
        <w:t>.  Section </w:t>
      </w:r>
      <w:r w:rsidR="00061CD3">
        <w:t xml:space="preserve">590 of the FW Act provides that, except as provided by the FW Act, the </w:t>
      </w:r>
      <w:proofErr w:type="spellStart"/>
      <w:r w:rsidR="00061CD3">
        <w:t>FWC</w:t>
      </w:r>
      <w:proofErr w:type="spellEnd"/>
      <w:r w:rsidR="00061CD3">
        <w:t xml:space="preserve"> may </w:t>
      </w:r>
      <w:r w:rsidR="00BE52F8">
        <w:t>“</w:t>
      </w:r>
      <w:r w:rsidR="00061CD3">
        <w:t>inform itself in relation to any matter before it in such manner as it considers appropriate</w:t>
      </w:r>
      <w:r w:rsidR="00BE52F8">
        <w:t>”</w:t>
      </w:r>
      <w:r w:rsidR="00061CD3">
        <w:t xml:space="preserve">.  The holding </w:t>
      </w:r>
      <w:r w:rsidR="00BF3684">
        <w:t>of a</w:t>
      </w:r>
      <w:r w:rsidR="00061CD3">
        <w:t xml:space="preserve"> hearing is one of a number of non-exclusive processes specified in s</w:t>
      </w:r>
      <w:r w:rsidR="005F1513">
        <w:t> </w:t>
      </w:r>
      <w:r w:rsidR="00061CD3">
        <w:t xml:space="preserve">590(2) by which the </w:t>
      </w:r>
      <w:proofErr w:type="spellStart"/>
      <w:r w:rsidR="00061CD3">
        <w:t>FWC</w:t>
      </w:r>
      <w:proofErr w:type="spellEnd"/>
      <w:r w:rsidR="00061CD3">
        <w:t xml:space="preserve"> may inform itself.  Section 591 provides that the </w:t>
      </w:r>
      <w:proofErr w:type="spellStart"/>
      <w:r w:rsidR="00061CD3">
        <w:t>FWC</w:t>
      </w:r>
      <w:proofErr w:type="spellEnd"/>
      <w:r w:rsidR="00061CD3">
        <w:t xml:space="preserve"> is not bound by the rules of evidence and procedure in relation to a matter before it.  Section 593 confirms that the </w:t>
      </w:r>
      <w:proofErr w:type="spellStart"/>
      <w:r w:rsidR="00061CD3">
        <w:t>FWC</w:t>
      </w:r>
      <w:proofErr w:type="spellEnd"/>
      <w:r w:rsidR="00061CD3">
        <w:t xml:space="preserve"> is not required to hold a hearing in performing functions or exercising powers, except as otherwise provided.  Section 612(1) and s</w:t>
      </w:r>
      <w:r w:rsidR="005F1513">
        <w:t> </w:t>
      </w:r>
      <w:r w:rsidR="00061CD3">
        <w:t xml:space="preserve">615(1) provide the President with the capacity to direct that a function </w:t>
      </w:r>
      <w:r w:rsidR="008E4505">
        <w:t>or</w:t>
      </w:r>
      <w:r w:rsidR="00061CD3">
        <w:t xml:space="preserve"> power of the </w:t>
      </w:r>
      <w:proofErr w:type="spellStart"/>
      <w:r w:rsidR="00061CD3">
        <w:t>FWC</w:t>
      </w:r>
      <w:proofErr w:type="spellEnd"/>
      <w:r w:rsidR="00061CD3">
        <w:t xml:space="preserve"> be performed or exercised by either a single </w:t>
      </w:r>
      <w:proofErr w:type="spellStart"/>
      <w:r w:rsidR="00061CD3">
        <w:t>FWC</w:t>
      </w:r>
      <w:proofErr w:type="spellEnd"/>
      <w:r w:rsidR="00061CD3">
        <w:t xml:space="preserve"> member or by a Full Bench.</w:t>
      </w:r>
    </w:p>
    <w:p w:rsidR="005F1513" w:rsidRDefault="005F1513" w:rsidP="005F1513">
      <w:pPr>
        <w:pStyle w:val="Heading1"/>
      </w:pPr>
      <w:r>
        <w:t>FACTUAL CONTEXT</w:t>
      </w:r>
    </w:p>
    <w:p w:rsidR="0087421B" w:rsidRDefault="00C27A7E" w:rsidP="009F2F16">
      <w:pPr>
        <w:pStyle w:val="ParaNumbering"/>
      </w:pPr>
      <w:r>
        <w:t xml:space="preserve">On 17 November 2011, the then President of the </w:t>
      </w:r>
      <w:proofErr w:type="spellStart"/>
      <w:r>
        <w:t>FWC</w:t>
      </w:r>
      <w:proofErr w:type="spellEnd"/>
      <w:r w:rsidR="006A4DFE">
        <w:t>,</w:t>
      </w:r>
      <w:r>
        <w:t xml:space="preserve"> </w:t>
      </w:r>
      <w:proofErr w:type="spellStart"/>
      <w:r w:rsidR="006A4DFE">
        <w:t>Giudice</w:t>
      </w:r>
      <w:proofErr w:type="spellEnd"/>
      <w:r w:rsidR="006A4DFE">
        <w:t xml:space="preserve"> P, </w:t>
      </w:r>
      <w:r>
        <w:t xml:space="preserve">published a Statement that </w:t>
      </w:r>
      <w:r w:rsidR="0087421B">
        <w:t xml:space="preserve">dealt with the process that </w:t>
      </w:r>
      <w:r w:rsidR="00133BCC">
        <w:t xml:space="preserve">the </w:t>
      </w:r>
      <w:proofErr w:type="spellStart"/>
      <w:r w:rsidR="00133BCC">
        <w:t>FWC</w:t>
      </w:r>
      <w:proofErr w:type="spellEnd"/>
      <w:r w:rsidR="00133BCC">
        <w:t xml:space="preserve"> </w:t>
      </w:r>
      <w:r w:rsidR="0087421B">
        <w:t>intended</w:t>
      </w:r>
      <w:r w:rsidR="00EA23AC">
        <w:t xml:space="preserve"> to adopt</w:t>
      </w:r>
      <w:r w:rsidR="00133BCC">
        <w:t xml:space="preserve"> for </w:t>
      </w:r>
      <w:r w:rsidR="0087421B">
        <w:t>the transitional review</w:t>
      </w:r>
      <w:r w:rsidR="008E4505">
        <w:t xml:space="preserve">.  </w:t>
      </w:r>
      <w:r w:rsidR="00133BCC">
        <w:t xml:space="preserve">In that Statement ([2011] </w:t>
      </w:r>
      <w:proofErr w:type="spellStart"/>
      <w:r w:rsidR="00133BCC">
        <w:t>FWA</w:t>
      </w:r>
      <w:proofErr w:type="spellEnd"/>
      <w:r w:rsidR="00133BCC">
        <w:t xml:space="preserve"> 79</w:t>
      </w:r>
      <w:r w:rsidR="001A6C73">
        <w:t>7</w:t>
      </w:r>
      <w:r w:rsidR="00133BCC">
        <w:t xml:space="preserve">5), </w:t>
      </w:r>
      <w:r w:rsidR="006A4DFE">
        <w:t>his Honour</w:t>
      </w:r>
      <w:r w:rsidR="00133BCC">
        <w:t xml:space="preserve"> said</w:t>
      </w:r>
      <w:r w:rsidR="0087421B">
        <w:t>:</w:t>
      </w:r>
    </w:p>
    <w:p w:rsidR="0087421B" w:rsidRDefault="0087421B" w:rsidP="0087421B">
      <w:pPr>
        <w:pStyle w:val="Quote1"/>
      </w:pPr>
      <w:r>
        <w:t>At this stage it is anticipated that the review will be conducted by members of Fair Work Australia sitting alone to deal with awards, including transitional provisions where appropriate, on an individual basis. A Full Bench may be constituted to deal with a matter or matters of general significance.</w:t>
      </w:r>
    </w:p>
    <w:p w:rsidR="0087421B" w:rsidRDefault="0087421B" w:rsidP="0087421B">
      <w:pPr>
        <w:pStyle w:val="Quote1"/>
      </w:pPr>
    </w:p>
    <w:p w:rsidR="0087421B" w:rsidRDefault="0087421B" w:rsidP="00F83D11">
      <w:pPr>
        <w:pStyle w:val="Quote1"/>
      </w:pPr>
      <w:r>
        <w:t>The review will be based mainly on applications to vary modern awards. In some cases Fair Work Australia may also propose variations. It is likely that these proposed variations will be limited to technical and drafting matters.</w:t>
      </w:r>
      <w:r w:rsidR="005D2039">
        <w:t xml:space="preserve"> </w:t>
      </w:r>
    </w:p>
    <w:p w:rsidR="005D2039" w:rsidRDefault="005D2039" w:rsidP="00F83D11">
      <w:pPr>
        <w:pStyle w:val="Quote1"/>
      </w:pPr>
    </w:p>
    <w:p w:rsidR="00963F5D" w:rsidRDefault="00963F5D" w:rsidP="009F2F16">
      <w:pPr>
        <w:pStyle w:val="ParaNumbering"/>
      </w:pPr>
      <w:r>
        <w:t>A further Statement</w:t>
      </w:r>
      <w:r w:rsidR="008E4505">
        <w:t xml:space="preserve"> </w:t>
      </w:r>
      <w:r w:rsidR="00133BCC">
        <w:t>(</w:t>
      </w:r>
      <w:r w:rsidR="008E4505">
        <w:t xml:space="preserve">[2012] </w:t>
      </w:r>
      <w:proofErr w:type="spellStart"/>
      <w:r w:rsidR="008E4505">
        <w:t>FWA</w:t>
      </w:r>
      <w:proofErr w:type="spellEnd"/>
      <w:r w:rsidR="008E4505">
        <w:t xml:space="preserve"> 3514</w:t>
      </w:r>
      <w:r w:rsidR="00133BCC">
        <w:t>)</w:t>
      </w:r>
      <w:r>
        <w:t xml:space="preserve"> was made on 27 April 2012 by Ross</w:t>
      </w:r>
      <w:r w:rsidR="006A4DFE">
        <w:t> </w:t>
      </w:r>
      <w:r w:rsidR="00DF5E71">
        <w:t>P</w:t>
      </w:r>
      <w:r>
        <w:t xml:space="preserve">, the current President of </w:t>
      </w:r>
      <w:r w:rsidR="000A2A3E">
        <w:t xml:space="preserve">the </w:t>
      </w:r>
      <w:proofErr w:type="spellStart"/>
      <w:r>
        <w:t>FWC</w:t>
      </w:r>
      <w:proofErr w:type="spellEnd"/>
      <w:r>
        <w:t xml:space="preserve">.  In that </w:t>
      </w:r>
      <w:r w:rsidR="008E4505">
        <w:t>S</w:t>
      </w:r>
      <w:r>
        <w:t xml:space="preserve">tatement </w:t>
      </w:r>
      <w:r w:rsidR="00CE2726">
        <w:t>the President</w:t>
      </w:r>
      <w:r>
        <w:t xml:space="preserve"> noted that</w:t>
      </w:r>
      <w:r w:rsidR="008E4505">
        <w:t>,</w:t>
      </w:r>
      <w:r>
        <w:t xml:space="preserve"> as at that time</w:t>
      </w:r>
      <w:r w:rsidR="008E4505">
        <w:t>,</w:t>
      </w:r>
      <w:r>
        <w:t xml:space="preserve"> </w:t>
      </w:r>
      <w:r w:rsidR="000A2A3E">
        <w:t xml:space="preserve">the </w:t>
      </w:r>
      <w:proofErr w:type="spellStart"/>
      <w:r w:rsidR="000A2A3E">
        <w:t>FWC</w:t>
      </w:r>
      <w:proofErr w:type="spellEnd"/>
      <w:r w:rsidR="000A2A3E">
        <w:t xml:space="preserve"> had received </w:t>
      </w:r>
      <w:r>
        <w:t xml:space="preserve">some 282 applications to vary modern awards.  His Honour </w:t>
      </w:r>
      <w:r w:rsidR="008E4505">
        <w:t xml:space="preserve">further </w:t>
      </w:r>
      <w:r>
        <w:t>noted that</w:t>
      </w:r>
      <w:r w:rsidR="00EA23AC">
        <w:t xml:space="preserve"> a number of</w:t>
      </w:r>
      <w:r>
        <w:t xml:space="preserve"> th</w:t>
      </w:r>
      <w:r w:rsidR="00CE2726">
        <w:t>ose</w:t>
      </w:r>
      <w:r>
        <w:t xml:space="preserve"> applications </w:t>
      </w:r>
      <w:r w:rsidR="00CE2726">
        <w:t xml:space="preserve">dealt </w:t>
      </w:r>
      <w:r>
        <w:t xml:space="preserve">with common issues, by which we take his Honour to mean issues common to a number of modern awards.  </w:t>
      </w:r>
      <w:r w:rsidR="00CE2726">
        <w:t>His Honour</w:t>
      </w:r>
      <w:r>
        <w:t xml:space="preserve"> stated that a Full Bench would be constituted to deal with</w:t>
      </w:r>
      <w:r w:rsidR="00B86A4C">
        <w:t xml:space="preserve"> such</w:t>
      </w:r>
      <w:r>
        <w:t xml:space="preserve"> common issues.  One of the common issues identified related to penalty rates in the </w:t>
      </w:r>
      <w:r w:rsidR="00B86A4C">
        <w:t>R</w:t>
      </w:r>
      <w:r>
        <w:t>etail</w:t>
      </w:r>
      <w:r w:rsidR="00B86A4C">
        <w:t xml:space="preserve"> Award as well as awards for the hospitality</w:t>
      </w:r>
      <w:r>
        <w:t xml:space="preserve">, fast food, restaurant, hair and beauty </w:t>
      </w:r>
      <w:r w:rsidR="00B86A4C">
        <w:t>industries</w:t>
      </w:r>
      <w:r w:rsidR="005F1513">
        <w:t>.</w:t>
      </w:r>
    </w:p>
    <w:p w:rsidR="003C6104" w:rsidRDefault="00963F5D" w:rsidP="009F2F16">
      <w:pPr>
        <w:pStyle w:val="ParaNumbering"/>
      </w:pPr>
      <w:bookmarkStart w:id="25" w:name="_Ref397440795"/>
      <w:r>
        <w:lastRenderedPageBreak/>
        <w:t>That Fu</w:t>
      </w:r>
      <w:r w:rsidR="006A4DFE">
        <w:t>ll Bench (presided over by Ross </w:t>
      </w:r>
      <w:r w:rsidR="00DF5E71">
        <w:t>P</w:t>
      </w:r>
      <w:r>
        <w:t xml:space="preserve">) was called upon to determine a number of procedural issues </w:t>
      </w:r>
      <w:r w:rsidR="00DF5E71">
        <w:t>relevant to the conduct of the transitional review</w:t>
      </w:r>
      <w:r>
        <w:t xml:space="preserve">.  One of the issues raised was whether a review of a modern award had to be dealt with in the one proceeding </w:t>
      </w:r>
      <w:r w:rsidR="00EF19B5">
        <w:t>or whether such a review could occur by</w:t>
      </w:r>
      <w:r>
        <w:t xml:space="preserve"> </w:t>
      </w:r>
      <w:r w:rsidR="008E4505">
        <w:t xml:space="preserve">a number of </w:t>
      </w:r>
      <w:r>
        <w:t xml:space="preserve">different proceedings </w:t>
      </w:r>
      <w:r w:rsidR="00EF19B5">
        <w:t xml:space="preserve">in which </w:t>
      </w:r>
      <w:r>
        <w:t xml:space="preserve">different aspects of </w:t>
      </w:r>
      <w:r w:rsidR="00EF19B5">
        <w:t>a</w:t>
      </w:r>
      <w:r>
        <w:t xml:space="preserve"> modern award</w:t>
      </w:r>
      <w:r w:rsidR="00EF19B5">
        <w:t xml:space="preserve"> could be addressed</w:t>
      </w:r>
      <w:r>
        <w:t xml:space="preserve">.  One of the parties before the </w:t>
      </w:r>
      <w:proofErr w:type="spellStart"/>
      <w:r w:rsidR="00EF19B5">
        <w:t>FWC</w:t>
      </w:r>
      <w:proofErr w:type="spellEnd"/>
      <w:r w:rsidR="00EF19B5">
        <w:t xml:space="preserve"> in that matter</w:t>
      </w:r>
      <w:r>
        <w:t>, the Restaurant and Catering Association Victoria (</w:t>
      </w:r>
      <w:proofErr w:type="spellStart"/>
      <w:r w:rsidRPr="00963F5D">
        <w:rPr>
          <w:b/>
        </w:rPr>
        <w:t>R</w:t>
      </w:r>
      <w:r w:rsidR="001D5C22">
        <w:rPr>
          <w:b/>
        </w:rPr>
        <w:t>CAV</w:t>
      </w:r>
      <w:proofErr w:type="spellEnd"/>
      <w:r>
        <w:t>)</w:t>
      </w:r>
      <w:r w:rsidR="00EA23AC">
        <w:t>,</w:t>
      </w:r>
      <w:r>
        <w:t xml:space="preserve"> contended that </w:t>
      </w:r>
      <w:r w:rsidR="00B86A4C">
        <w:t>Item</w:t>
      </w:r>
      <w:r w:rsidR="005F1513">
        <w:t> </w:t>
      </w:r>
      <w:r w:rsidR="00B86A4C">
        <w:t>6</w:t>
      </w:r>
      <w:r w:rsidR="00EF19B5">
        <w:t>(</w:t>
      </w:r>
      <w:proofErr w:type="spellStart"/>
      <w:r w:rsidR="00EF19B5">
        <w:t>2A</w:t>
      </w:r>
      <w:proofErr w:type="spellEnd"/>
      <w:r w:rsidR="00EF19B5">
        <w:t>)</w:t>
      </w:r>
      <w:r w:rsidR="008E4505">
        <w:t>,</w:t>
      </w:r>
      <w:r>
        <w:t xml:space="preserve"> and in particular the phrase </w:t>
      </w:r>
      <w:r w:rsidR="00BE52F8">
        <w:t>“</w:t>
      </w:r>
      <w:r>
        <w:t>in its own right</w:t>
      </w:r>
      <w:r w:rsidR="00BE52F8">
        <w:t>”</w:t>
      </w:r>
      <w:r w:rsidR="008E4505">
        <w:t>,</w:t>
      </w:r>
      <w:r>
        <w:t xml:space="preserve"> required that each modern award </w:t>
      </w:r>
      <w:r w:rsidR="00BE52F8">
        <w:t>“</w:t>
      </w:r>
      <w:r>
        <w:t>be reviewed holistically and in totality rather than in a piece meal fashion</w:t>
      </w:r>
      <w:r w:rsidR="00BE52F8">
        <w:t>”</w:t>
      </w:r>
      <w:r>
        <w:t xml:space="preserve">.  </w:t>
      </w:r>
      <w:r w:rsidR="00B86A4C">
        <w:t>T</w:t>
      </w:r>
      <w:r>
        <w:t xml:space="preserve">he NRA </w:t>
      </w:r>
      <w:r w:rsidR="00B86A4C">
        <w:t xml:space="preserve">similarly </w:t>
      </w:r>
      <w:r>
        <w:t xml:space="preserve">submitted that the penalty rate provisions in each of the modern awards the subject of the application </w:t>
      </w:r>
      <w:r w:rsidR="00EF19B5">
        <w:t xml:space="preserve">then </w:t>
      </w:r>
      <w:r>
        <w:t xml:space="preserve">before the </w:t>
      </w:r>
      <w:proofErr w:type="spellStart"/>
      <w:r w:rsidR="00EF19B5">
        <w:t>FWC</w:t>
      </w:r>
      <w:proofErr w:type="spellEnd"/>
      <w:r>
        <w:t xml:space="preserve"> could not be examined </w:t>
      </w:r>
      <w:r w:rsidR="00BE52F8">
        <w:t>“</w:t>
      </w:r>
      <w:r>
        <w:t>in isolation</w:t>
      </w:r>
      <w:r w:rsidR="00BE52F8">
        <w:t>”</w:t>
      </w:r>
      <w:r w:rsidR="00EA23AC">
        <w:t>,</w:t>
      </w:r>
      <w:r>
        <w:t xml:space="preserve"> as the </w:t>
      </w:r>
      <w:r w:rsidR="008E4505">
        <w:t>phrase</w:t>
      </w:r>
      <w:r>
        <w:t xml:space="preserve"> </w:t>
      </w:r>
      <w:r w:rsidR="00BE52F8">
        <w:t>“</w:t>
      </w:r>
      <w:r>
        <w:t>in its own right</w:t>
      </w:r>
      <w:r w:rsidR="00BE52F8">
        <w:t>”</w:t>
      </w:r>
      <w:r>
        <w:t xml:space="preserve"> required the </w:t>
      </w:r>
      <w:proofErr w:type="spellStart"/>
      <w:r>
        <w:t>FWC</w:t>
      </w:r>
      <w:proofErr w:type="spellEnd"/>
      <w:r>
        <w:t xml:space="preserve"> to conduct </w:t>
      </w:r>
      <w:r w:rsidR="00BE52F8">
        <w:t>“</w:t>
      </w:r>
      <w:r>
        <w:t>a wider examination of all award matters raised within a modern award, not mere</w:t>
      </w:r>
      <w:r w:rsidR="003C6104">
        <w:t>ly ensure that isolated award matters are dealt with on an industry body basis</w:t>
      </w:r>
      <w:r w:rsidR="00BE52F8">
        <w:t>”</w:t>
      </w:r>
      <w:r w:rsidR="00B86A4C">
        <w:t xml:space="preserve"> (at [54])</w:t>
      </w:r>
      <w:r w:rsidR="003C6104">
        <w:t>.</w:t>
      </w:r>
      <w:bookmarkEnd w:id="25"/>
    </w:p>
    <w:p w:rsidR="003C6104" w:rsidRDefault="00EB1506" w:rsidP="009F2F16">
      <w:pPr>
        <w:pStyle w:val="ParaNumbering"/>
      </w:pPr>
      <w:bookmarkStart w:id="26" w:name="_Ref397444376"/>
      <w:r>
        <w:t xml:space="preserve">In a decision dated 29 June 2012 and published as </w:t>
      </w:r>
      <w:r>
        <w:rPr>
          <w:i/>
        </w:rPr>
        <w:t xml:space="preserve">Modern Awards Review 2012 </w:t>
      </w:r>
      <w:r>
        <w:t xml:space="preserve">[2012] </w:t>
      </w:r>
      <w:proofErr w:type="spellStart"/>
      <w:r>
        <w:t>FWAFB</w:t>
      </w:r>
      <w:proofErr w:type="spellEnd"/>
      <w:r>
        <w:t xml:space="preserve"> 5600, the </w:t>
      </w:r>
      <w:proofErr w:type="spellStart"/>
      <w:r>
        <w:t>FWC</w:t>
      </w:r>
      <w:proofErr w:type="spellEnd"/>
      <w:r>
        <w:t xml:space="preserve"> determined the procedural issues.  It</w:t>
      </w:r>
      <w:r w:rsidR="003C6104">
        <w:t xml:space="preserve"> rejected the contentions made by the </w:t>
      </w:r>
      <w:proofErr w:type="spellStart"/>
      <w:r w:rsidR="003C6104">
        <w:t>R</w:t>
      </w:r>
      <w:r w:rsidR="001D5C22">
        <w:t>CAV</w:t>
      </w:r>
      <w:proofErr w:type="spellEnd"/>
      <w:r w:rsidR="003C6104">
        <w:t xml:space="preserve"> and NRA</w:t>
      </w:r>
      <w:r>
        <w:t xml:space="preserve"> at [56]</w:t>
      </w:r>
      <w:r>
        <w:noBreakHyphen/>
        <w:t>[62]</w:t>
      </w:r>
      <w:r w:rsidR="003C6104">
        <w:t>:</w:t>
      </w:r>
      <w:bookmarkEnd w:id="26"/>
    </w:p>
    <w:p w:rsidR="003C6104" w:rsidRDefault="003C6104" w:rsidP="003C6104">
      <w:pPr>
        <w:pStyle w:val="Quote1"/>
        <w:ind w:left="1440" w:hanging="703"/>
      </w:pPr>
      <w:r>
        <w:t>[56]</w:t>
      </w:r>
      <w:r>
        <w:tab/>
        <w:t xml:space="preserve">We reject those submissions which contend that each modern award must be reviewed </w:t>
      </w:r>
      <w:r w:rsidR="00BE52F8">
        <w:t>“</w:t>
      </w:r>
      <w:r>
        <w:t>holistically</w:t>
      </w:r>
      <w:r w:rsidR="00BE52F8">
        <w:t>”</w:t>
      </w:r>
      <w:r>
        <w:t xml:space="preserve"> by the same member or by the same Full Bench. Contrary to those submissions, we are satisfied that Review applications in respect of a modern award are capable of being dealt with in separate proceedings, provided that each modern award is reviewed in its own right.</w:t>
      </w:r>
    </w:p>
    <w:p w:rsidR="003C6104" w:rsidRDefault="003C6104" w:rsidP="005F1513">
      <w:pPr>
        <w:pStyle w:val="Quote1"/>
      </w:pPr>
    </w:p>
    <w:p w:rsidR="003C6104" w:rsidRDefault="003C6104" w:rsidP="003C6104">
      <w:pPr>
        <w:pStyle w:val="Quote1"/>
        <w:ind w:left="1440" w:hanging="703"/>
      </w:pPr>
      <w:r>
        <w:t>[57]</w:t>
      </w:r>
      <w:r>
        <w:tab/>
        <w:t xml:space="preserve">We note at the outset that Item 6 does not prescribe how the Tribunal is to be constituted for the purpose of conducting the Review. This may be contrasted with the 4 yearly reviews of modern awards provided for in </w:t>
      </w:r>
      <w:proofErr w:type="spellStart"/>
      <w:r>
        <w:t>s.156</w:t>
      </w:r>
      <w:proofErr w:type="spellEnd"/>
      <w:r>
        <w:t xml:space="preserve"> of the FW Act and the award modernisation process under Part </w:t>
      </w:r>
      <w:proofErr w:type="spellStart"/>
      <w:r>
        <w:t>10A</w:t>
      </w:r>
      <w:proofErr w:type="spellEnd"/>
      <w:r>
        <w:t xml:space="preserve"> of the Workplace Relations Act 1996 (</w:t>
      </w:r>
      <w:proofErr w:type="spellStart"/>
      <w:r>
        <w:t>WR</w:t>
      </w:r>
      <w:proofErr w:type="spellEnd"/>
      <w:r>
        <w:t xml:space="preserve"> Act). The legislation relating to those proceedings provides that the Tribunal must be constituted by a Full Bench. The flexibility as to the constitution of the Tribunal for the Review is an indication that the legislature did not intend to limit the way in which th</w:t>
      </w:r>
      <w:r w:rsidR="005F1513">
        <w:t>e Tribunal conducts the Review.</w:t>
      </w:r>
    </w:p>
    <w:p w:rsidR="003C6104" w:rsidRDefault="003C6104" w:rsidP="003C6104">
      <w:pPr>
        <w:pStyle w:val="Quote1"/>
      </w:pPr>
    </w:p>
    <w:p w:rsidR="003C6104" w:rsidRDefault="003C6104" w:rsidP="003C6104">
      <w:pPr>
        <w:pStyle w:val="Quote1"/>
        <w:ind w:left="1440" w:hanging="703"/>
      </w:pPr>
      <w:r>
        <w:t>[58]</w:t>
      </w:r>
      <w:r>
        <w:tab/>
        <w:t xml:space="preserve">Further, as we have already mentioned, the Tribunal’s usual procedural powers apply to the conduct of the Review. The FW Act provides the Tribunal with considerable flexibility as to how, when and where a matter is to be dealt with (for example see </w:t>
      </w:r>
      <w:proofErr w:type="spellStart"/>
      <w:r>
        <w:t>ss.589</w:t>
      </w:r>
      <w:proofErr w:type="spellEnd"/>
      <w:r>
        <w:t>, 591, 593, 599 and 600). Sections 612(1) and 615(1) provide that a Tribunal function may be performed by a single member or a Full Bench</w:t>
      </w:r>
      <w:r w:rsidR="005F1513">
        <w:t>, as directed by the President.</w:t>
      </w:r>
    </w:p>
    <w:p w:rsidR="003C6104" w:rsidRDefault="003C6104" w:rsidP="003C6104">
      <w:pPr>
        <w:pStyle w:val="Quote1"/>
        <w:ind w:left="1440" w:hanging="703"/>
      </w:pPr>
    </w:p>
    <w:p w:rsidR="003C6104" w:rsidRDefault="003C6104" w:rsidP="003C6104">
      <w:pPr>
        <w:pStyle w:val="Quote1"/>
        <w:ind w:left="1440" w:hanging="703"/>
      </w:pPr>
      <w:r>
        <w:t xml:space="preserve">[59] </w:t>
      </w:r>
      <w:r>
        <w:tab/>
        <w:t xml:space="preserve">It is also important to note that the Tribunal is required to deal with the Review expeditiously (see Item 6(1) of Schedule 5 of the Transitional Provisions Act and </w:t>
      </w:r>
      <w:proofErr w:type="spellStart"/>
      <w:r>
        <w:t>s.577</w:t>
      </w:r>
      <w:proofErr w:type="spellEnd"/>
      <w:r>
        <w:t>(b) of the FW Act) and eff</w:t>
      </w:r>
      <w:r w:rsidR="005F1513">
        <w:t>iciently (</w:t>
      </w:r>
      <w:proofErr w:type="spellStart"/>
      <w:r w:rsidR="005F1513">
        <w:t>s.581</w:t>
      </w:r>
      <w:proofErr w:type="spellEnd"/>
      <w:r w:rsidR="005F1513">
        <w:t xml:space="preserve"> of the FW Act).</w:t>
      </w:r>
    </w:p>
    <w:p w:rsidR="003C6104" w:rsidRDefault="003C6104" w:rsidP="005F1513">
      <w:pPr>
        <w:pStyle w:val="Quote1"/>
      </w:pPr>
    </w:p>
    <w:p w:rsidR="003C6104" w:rsidRDefault="003C6104" w:rsidP="003C6104">
      <w:pPr>
        <w:pStyle w:val="Quote1"/>
        <w:ind w:left="1440" w:hanging="703"/>
      </w:pPr>
      <w:r>
        <w:t>[60]</w:t>
      </w:r>
      <w:r>
        <w:tab/>
        <w:t xml:space="preserve">If the </w:t>
      </w:r>
      <w:r w:rsidR="00BE52F8">
        <w:t>“</w:t>
      </w:r>
      <w:r>
        <w:t>holistic</w:t>
      </w:r>
      <w:r w:rsidR="00BE52F8">
        <w:t>”</w:t>
      </w:r>
      <w:r>
        <w:t xml:space="preserve"> approach proposed by the </w:t>
      </w:r>
      <w:proofErr w:type="spellStart"/>
      <w:r>
        <w:t>RCAV</w:t>
      </w:r>
      <w:proofErr w:type="spellEnd"/>
      <w:r>
        <w:t xml:space="preserve"> was adopted then all of the applications relating to a particular award would have to be dealt with together, either by the same single member or by the same Full Bench. Such a process is simply unworkable.</w:t>
      </w:r>
    </w:p>
    <w:p w:rsidR="003C6104" w:rsidRDefault="003C6104" w:rsidP="005F1513">
      <w:pPr>
        <w:pStyle w:val="Quote1"/>
      </w:pPr>
    </w:p>
    <w:p w:rsidR="003C6104" w:rsidRDefault="003C6104" w:rsidP="003C6104">
      <w:pPr>
        <w:pStyle w:val="Quote1"/>
        <w:ind w:left="1440" w:hanging="703"/>
      </w:pPr>
      <w:r>
        <w:t>[61]</w:t>
      </w:r>
      <w:r>
        <w:tab/>
        <w:t xml:space="preserve">Some 283 Review applications have been received seeking to vary the terms of one or more modern awards. Some of these applications propose common variations to a large number of modern awards. For example one application  deals with public holidays and seeks to insert the same model clause into 111 modern awards. It is impractical and inefficient to deal with such an application on an award by award basis. It is a much more efficient use of the resources of both the Tribunal and the parties to have a Full Bench deal with such an application. Yet if the submissions of the </w:t>
      </w:r>
      <w:proofErr w:type="spellStart"/>
      <w:r>
        <w:t>RCAV</w:t>
      </w:r>
      <w:proofErr w:type="spellEnd"/>
      <w:r>
        <w:t xml:space="preserve"> and the NRA were accepted the same Full Bench would be obliged to then review each of the 111 modern awards to avoid the review of a particular award being conducted on a </w:t>
      </w:r>
      <w:r w:rsidR="00BE52F8">
        <w:t>“</w:t>
      </w:r>
      <w:r>
        <w:t>piecemeal</w:t>
      </w:r>
      <w:r w:rsidR="00BE52F8">
        <w:t>”</w:t>
      </w:r>
      <w:r>
        <w:t xml:space="preserve"> basis. This is simply impractical and does not efficiently ut</w:t>
      </w:r>
      <w:r w:rsidR="005F1513">
        <w:t>ilise the Tribunal’s resources.</w:t>
      </w:r>
    </w:p>
    <w:p w:rsidR="003C6104" w:rsidRDefault="003C6104" w:rsidP="003C6104">
      <w:pPr>
        <w:pStyle w:val="Quote1"/>
      </w:pPr>
    </w:p>
    <w:p w:rsidR="003C6104" w:rsidRDefault="003C6104" w:rsidP="003C6104">
      <w:pPr>
        <w:pStyle w:val="Quote1"/>
        <w:ind w:left="1440" w:hanging="703"/>
      </w:pPr>
      <w:r>
        <w:t>[62]</w:t>
      </w:r>
      <w:r>
        <w:tab/>
        <w:t xml:space="preserve">We are not persuaded that there is any substance in the point advanced by the </w:t>
      </w:r>
      <w:proofErr w:type="spellStart"/>
      <w:r>
        <w:t>RCAV</w:t>
      </w:r>
      <w:proofErr w:type="spellEnd"/>
      <w:r>
        <w:t xml:space="preserve"> and the NRA. In our view it is a matter for the Tribunal to determine the most appropriate procedure for conducting the Review having regard to its obligations under </w:t>
      </w:r>
      <w:proofErr w:type="spellStart"/>
      <w:r>
        <w:t>ss.577</w:t>
      </w:r>
      <w:proofErr w:type="spellEnd"/>
      <w:r>
        <w:t xml:space="preserve"> and 578 of the FW Act. While each modern award must be reviewed in its own right there is no impediment to aspects of that review being conducted by a Full Bench and other aspects by a single member. Accordingly, the Tribunal as presently constituted, will continue to deal with those aspects of the matters before us which seek changes to penalty rates and related issues. However, we note that the taking of evidence in relation to one or more of these applications could be delegated to individual members of the Tribunal as contemplated by </w:t>
      </w:r>
      <w:proofErr w:type="spellStart"/>
      <w:r>
        <w:t>s.590</w:t>
      </w:r>
      <w:proofErr w:type="spellEnd"/>
      <w:r>
        <w:t>(2)(e) of the FW Act.</w:t>
      </w:r>
    </w:p>
    <w:p w:rsidR="001D5C22" w:rsidRDefault="001D5C22" w:rsidP="003C6104">
      <w:pPr>
        <w:pStyle w:val="Quote1"/>
        <w:ind w:left="1440" w:hanging="703"/>
      </w:pPr>
    </w:p>
    <w:p w:rsidR="00192166" w:rsidRDefault="008E4505" w:rsidP="00EF19B5">
      <w:pPr>
        <w:pStyle w:val="ParaNumbering"/>
      </w:pPr>
      <w:bookmarkStart w:id="27" w:name="_Ref397444514"/>
      <w:r>
        <w:t xml:space="preserve">As part </w:t>
      </w:r>
      <w:r w:rsidR="00AA38BE">
        <w:t>of the transitional review</w:t>
      </w:r>
      <w:r w:rsidR="001D5C22">
        <w:t>,</w:t>
      </w:r>
      <w:r w:rsidR="00AA38BE">
        <w:t xml:space="preserve"> 12 separate applications were made to the </w:t>
      </w:r>
      <w:proofErr w:type="spellStart"/>
      <w:r w:rsidR="00AA38BE" w:rsidRPr="001D5C22">
        <w:t>FWC</w:t>
      </w:r>
      <w:proofErr w:type="spellEnd"/>
      <w:r w:rsidR="00AA38BE">
        <w:t xml:space="preserve"> seeking over 80 variations to a number of clauses of the </w:t>
      </w:r>
      <w:r w:rsidR="00EF19B5">
        <w:t xml:space="preserve">Retail Award.  </w:t>
      </w:r>
      <w:r w:rsidR="00192166">
        <w:t>Some of th</w:t>
      </w:r>
      <w:r w:rsidR="002331CC">
        <w:t>ose</w:t>
      </w:r>
      <w:r w:rsidR="00192166">
        <w:t xml:space="preserve"> </w:t>
      </w:r>
      <w:r w:rsidR="002331CC">
        <w:t>a</w:t>
      </w:r>
      <w:r w:rsidR="00192166">
        <w:t>pplications were withdrawn.</w:t>
      </w:r>
      <w:bookmarkEnd w:id="27"/>
    </w:p>
    <w:p w:rsidR="00192166" w:rsidRDefault="002331CC" w:rsidP="009F2F16">
      <w:pPr>
        <w:pStyle w:val="ParaNumbering"/>
      </w:pPr>
      <w:bookmarkStart w:id="28" w:name="_Ref397444527"/>
      <w:r>
        <w:t xml:space="preserve">At the time the </w:t>
      </w:r>
      <w:proofErr w:type="spellStart"/>
      <w:r>
        <w:t>FWC</w:t>
      </w:r>
      <w:proofErr w:type="spellEnd"/>
      <w:r>
        <w:t xml:space="preserve"> commenced to hear the </w:t>
      </w:r>
      <w:proofErr w:type="spellStart"/>
      <w:r>
        <w:t>SDA’s</w:t>
      </w:r>
      <w:proofErr w:type="spellEnd"/>
      <w:r>
        <w:t xml:space="preserve"> application to vary cl</w:t>
      </w:r>
      <w:r w:rsidR="00840667">
        <w:t> </w:t>
      </w:r>
      <w:r>
        <w:t xml:space="preserve">18, hearings for all of the pending applications concerning the Retail Award had already </w:t>
      </w:r>
      <w:r w:rsidR="00C13F89">
        <w:t>begun</w:t>
      </w:r>
      <w:r w:rsidR="00EB1506">
        <w:t xml:space="preserve">. </w:t>
      </w:r>
      <w:r w:rsidR="00C13F89">
        <w:t xml:space="preserve"> </w:t>
      </w:r>
      <w:r w:rsidR="00EB1506">
        <w:t>All</w:t>
      </w:r>
      <w:r>
        <w:t xml:space="preserve"> of </w:t>
      </w:r>
      <w:r w:rsidR="00C13F89">
        <w:t xml:space="preserve">the </w:t>
      </w:r>
      <w:r>
        <w:t xml:space="preserve">other applications (save for one consequential aspect of one decision) </w:t>
      </w:r>
      <w:r w:rsidR="00EB1506">
        <w:t>were</w:t>
      </w:r>
      <w:r>
        <w:t xml:space="preserve"> dealt with by the </w:t>
      </w:r>
      <w:proofErr w:type="spellStart"/>
      <w:r>
        <w:t>FWC</w:t>
      </w:r>
      <w:proofErr w:type="spellEnd"/>
      <w:r w:rsidR="00192166">
        <w:t xml:space="preserve"> </w:t>
      </w:r>
      <w:r w:rsidR="00C13F89">
        <w:t>before</w:t>
      </w:r>
      <w:r w:rsidR="00192166">
        <w:t xml:space="preserve"> </w:t>
      </w:r>
      <w:r>
        <w:t xml:space="preserve">the </w:t>
      </w:r>
      <w:r w:rsidR="00C13F89">
        <w:t xml:space="preserve">publication of the </w:t>
      </w:r>
      <w:r>
        <w:t xml:space="preserve">decision the subject of the </w:t>
      </w:r>
      <w:r w:rsidR="00EB1506">
        <w:t xml:space="preserve">present </w:t>
      </w:r>
      <w:r>
        <w:t>application</w:t>
      </w:r>
      <w:r w:rsidR="00192166">
        <w:t>.</w:t>
      </w:r>
      <w:bookmarkEnd w:id="28"/>
    </w:p>
    <w:p w:rsidR="008E4505" w:rsidRDefault="002331CC" w:rsidP="009F2F16">
      <w:pPr>
        <w:pStyle w:val="ParaNumbering"/>
      </w:pPr>
      <w:r>
        <w:t>In that context</w:t>
      </w:r>
      <w:r w:rsidR="00B86A4C">
        <w:t>,</w:t>
      </w:r>
      <w:r>
        <w:t xml:space="preserve"> both the NRA and the </w:t>
      </w:r>
      <w:proofErr w:type="spellStart"/>
      <w:r>
        <w:t>SDA</w:t>
      </w:r>
      <w:proofErr w:type="spellEnd"/>
      <w:r>
        <w:t xml:space="preserve"> acknowledged</w:t>
      </w:r>
      <w:r w:rsidR="00C23D73">
        <w:t xml:space="preserve"> to this Court that it was their </w:t>
      </w:r>
      <w:r w:rsidR="00192166">
        <w:t>common understanding that</w:t>
      </w:r>
      <w:r w:rsidR="00C13F89">
        <w:t>,</w:t>
      </w:r>
      <w:r w:rsidR="00C23D73">
        <w:t xml:space="preserve"> as at the time of the substantive hearing before the </w:t>
      </w:r>
      <w:proofErr w:type="spellStart"/>
      <w:r w:rsidR="00C23D73">
        <w:t>FWC</w:t>
      </w:r>
      <w:proofErr w:type="spellEnd"/>
      <w:r w:rsidR="00C23D73">
        <w:t xml:space="preserve"> of the </w:t>
      </w:r>
      <w:proofErr w:type="spellStart"/>
      <w:r w:rsidR="00EB1506">
        <w:t>SDA’s</w:t>
      </w:r>
      <w:proofErr w:type="spellEnd"/>
      <w:r w:rsidR="00EB1506">
        <w:t xml:space="preserve"> </w:t>
      </w:r>
      <w:r w:rsidR="00C23D73">
        <w:t>application to vary cl</w:t>
      </w:r>
      <w:r w:rsidR="00EB1506">
        <w:t> </w:t>
      </w:r>
      <w:r w:rsidR="00C23D73">
        <w:t>18,</w:t>
      </w:r>
      <w:r w:rsidR="00192166">
        <w:t xml:space="preserve"> </w:t>
      </w:r>
      <w:r w:rsidR="00EB1506">
        <w:t>the issue raised by that application was the only</w:t>
      </w:r>
      <w:r w:rsidR="00EB1506" w:rsidRPr="00EB1506">
        <w:t xml:space="preserve"> </w:t>
      </w:r>
      <w:r w:rsidR="00EB1506">
        <w:t>remaining issue</w:t>
      </w:r>
      <w:r w:rsidR="00192166">
        <w:t xml:space="preserve"> </w:t>
      </w:r>
      <w:r w:rsidR="00EB1506">
        <w:t xml:space="preserve">in </w:t>
      </w:r>
      <w:r w:rsidR="00192166">
        <w:t xml:space="preserve">the transitional review of the </w:t>
      </w:r>
      <w:r w:rsidR="00C23D73">
        <w:t xml:space="preserve">Retail </w:t>
      </w:r>
      <w:r w:rsidR="00840667">
        <w:t>Award.</w:t>
      </w:r>
    </w:p>
    <w:p w:rsidR="003C6104" w:rsidRDefault="003C6104" w:rsidP="009F2F16">
      <w:pPr>
        <w:pStyle w:val="ParaNumbering"/>
      </w:pPr>
      <w:r>
        <w:lastRenderedPageBreak/>
        <w:t>Finally, we note that in a Statement made on 14</w:t>
      </w:r>
      <w:r w:rsidR="00840667">
        <w:t> </w:t>
      </w:r>
      <w:r>
        <w:t>November 2013</w:t>
      </w:r>
      <w:r w:rsidR="00B86A4C">
        <w:t xml:space="preserve"> (</w:t>
      </w:r>
      <w:r>
        <w:t xml:space="preserve">[2013] </w:t>
      </w:r>
      <w:proofErr w:type="spellStart"/>
      <w:r>
        <w:t>FWC</w:t>
      </w:r>
      <w:proofErr w:type="spellEnd"/>
      <w:r>
        <w:t xml:space="preserve"> 8933</w:t>
      </w:r>
      <w:r w:rsidR="00B86A4C">
        <w:t>)</w:t>
      </w:r>
      <w:r>
        <w:t>, Ross</w:t>
      </w:r>
      <w:r w:rsidR="00C13F89">
        <w:t> </w:t>
      </w:r>
      <w:r w:rsidR="00C23D73">
        <w:t>P</w:t>
      </w:r>
      <w:r>
        <w:t xml:space="preserve"> </w:t>
      </w:r>
      <w:r w:rsidR="008E4505">
        <w:t>observed</w:t>
      </w:r>
      <w:r>
        <w:t xml:space="preserve"> that some 296 applications had been lodged as part of the transitional review</w:t>
      </w:r>
      <w:r w:rsidR="00B86A4C">
        <w:t>,</w:t>
      </w:r>
      <w:r w:rsidR="00C23D73">
        <w:t xml:space="preserve"> of which</w:t>
      </w:r>
      <w:r>
        <w:t xml:space="preserve"> 36 were later withdrawn.  Nine of those applications </w:t>
      </w:r>
      <w:r w:rsidR="008E4505">
        <w:t>w</w:t>
      </w:r>
      <w:r w:rsidR="003B5E17">
        <w:t>ere</w:t>
      </w:r>
      <w:r>
        <w:t xml:space="preserve"> applications to vary all or multiple awards (</w:t>
      </w:r>
      <w:r w:rsidR="00B86A4C">
        <w:t xml:space="preserve">see </w:t>
      </w:r>
      <w:r>
        <w:t xml:space="preserve">at [3]).  Some 38 modern awards were not the subject of any specific variation application (beyond the applications which related to multiple or all modern awards).  Those </w:t>
      </w:r>
      <w:r w:rsidR="008E4505">
        <w:t xml:space="preserve">38 </w:t>
      </w:r>
      <w:r>
        <w:t xml:space="preserve">awards were reviewed by the </w:t>
      </w:r>
      <w:proofErr w:type="spellStart"/>
      <w:r>
        <w:t>FWC</w:t>
      </w:r>
      <w:proofErr w:type="spellEnd"/>
      <w:r>
        <w:t xml:space="preserve"> on its own initiative and a small number of technical and drafting variations were made (</w:t>
      </w:r>
      <w:r w:rsidR="00B86A4C">
        <w:t xml:space="preserve">see </w:t>
      </w:r>
      <w:r>
        <w:t>at [7]).</w:t>
      </w:r>
    </w:p>
    <w:p w:rsidR="003C6104" w:rsidRDefault="003C6104" w:rsidP="009F2F16">
      <w:pPr>
        <w:pStyle w:val="ParaNumbering"/>
      </w:pPr>
      <w:r>
        <w:t xml:space="preserve">The </w:t>
      </w:r>
      <w:r w:rsidR="00C13F89">
        <w:t xml:space="preserve">President’s </w:t>
      </w:r>
      <w:r>
        <w:t>Statement concluded at [54] with the following:</w:t>
      </w:r>
    </w:p>
    <w:p w:rsidR="003C6104" w:rsidRDefault="003C2B0C" w:rsidP="003C2B0C">
      <w:pPr>
        <w:pStyle w:val="Quote1"/>
      </w:pPr>
      <w:r w:rsidRPr="003C2B0C">
        <w:t>All modern awards have been reviewed pursuant to Item 6 of Part 2, Schedule 5 to the Transitional Act. With the exception of certain residual issues and appeals mentioned above, and the determination of applications related to Superannuation, the Transitional Review has been completed.</w:t>
      </w:r>
    </w:p>
    <w:p w:rsidR="00AA38BE" w:rsidRDefault="00AA38BE" w:rsidP="003C2B0C">
      <w:pPr>
        <w:pStyle w:val="Quote1"/>
      </w:pPr>
    </w:p>
    <w:p w:rsidR="00840667" w:rsidRDefault="00840667" w:rsidP="00840667">
      <w:pPr>
        <w:pStyle w:val="Heading1"/>
      </w:pPr>
      <w:r>
        <w:t xml:space="preserve">THE </w:t>
      </w:r>
      <w:proofErr w:type="spellStart"/>
      <w:r>
        <w:t>SDA’S</w:t>
      </w:r>
      <w:proofErr w:type="spellEnd"/>
      <w:r>
        <w:t xml:space="preserve"> APPLICATION AND THE DECISION</w:t>
      </w:r>
    </w:p>
    <w:p w:rsidR="003B5E17" w:rsidRDefault="003B5E17" w:rsidP="009F2F16">
      <w:pPr>
        <w:pStyle w:val="ParaNumbering"/>
      </w:pPr>
      <w:r>
        <w:t>By an application dated 8 March 2012</w:t>
      </w:r>
      <w:r w:rsidR="00B86A4C">
        <w:t>,</w:t>
      </w:r>
      <w:r>
        <w:t xml:space="preserve"> the </w:t>
      </w:r>
      <w:proofErr w:type="spellStart"/>
      <w:r>
        <w:t>SDA</w:t>
      </w:r>
      <w:proofErr w:type="spellEnd"/>
      <w:r>
        <w:t xml:space="preserve"> applied for cl</w:t>
      </w:r>
      <w:r w:rsidR="00EA23AC">
        <w:t xml:space="preserve"> </w:t>
      </w:r>
      <w:r>
        <w:t>18</w:t>
      </w:r>
      <w:r w:rsidR="00B86A4C">
        <w:t xml:space="preserve"> </w:t>
      </w:r>
      <w:r>
        <w:t xml:space="preserve">of the </w:t>
      </w:r>
      <w:r w:rsidR="00C23D73">
        <w:t>R</w:t>
      </w:r>
      <w:r>
        <w:t xml:space="preserve">etail </w:t>
      </w:r>
      <w:r w:rsidR="00C23D73">
        <w:t>A</w:t>
      </w:r>
      <w:r>
        <w:t xml:space="preserve">ward </w:t>
      </w:r>
      <w:r w:rsidR="00C23D73">
        <w:t xml:space="preserve">to be varied </w:t>
      </w:r>
      <w:r>
        <w:t xml:space="preserve">by adding </w:t>
      </w:r>
      <w:r w:rsidR="00EB1506">
        <w:t xml:space="preserve">the </w:t>
      </w:r>
      <w:r w:rsidR="00C13F89">
        <w:t>single</w:t>
      </w:r>
      <w:r>
        <w:t xml:space="preserve"> sentence:</w:t>
      </w:r>
    </w:p>
    <w:p w:rsidR="003B5E17" w:rsidRDefault="003B5E17" w:rsidP="00D24B13">
      <w:pPr>
        <w:pStyle w:val="Quote1"/>
      </w:pPr>
      <w:r w:rsidRPr="003B5E17">
        <w:t>From the 1</w:t>
      </w:r>
      <w:r w:rsidRPr="003B5E17">
        <w:rPr>
          <w:vertAlign w:val="superscript"/>
        </w:rPr>
        <w:t>st</w:t>
      </w:r>
      <w:r w:rsidRPr="003B5E17">
        <w:t xml:space="preserve"> July 2013, employees 20 years of age will receive 100% (adult rate)</w:t>
      </w:r>
      <w:r w:rsidR="0043186E">
        <w:t>.</w:t>
      </w:r>
    </w:p>
    <w:p w:rsidR="0043186E" w:rsidRPr="003B5E17" w:rsidRDefault="0043186E" w:rsidP="003B5E17">
      <w:pPr>
        <w:pStyle w:val="Quote1"/>
        <w:rPr>
          <w:i/>
        </w:rPr>
      </w:pPr>
    </w:p>
    <w:p w:rsidR="00856035" w:rsidRDefault="00856035" w:rsidP="001D5C22">
      <w:pPr>
        <w:pStyle w:val="ParaNumbering"/>
      </w:pPr>
      <w:r>
        <w:t xml:space="preserve">The </w:t>
      </w:r>
      <w:proofErr w:type="spellStart"/>
      <w:r>
        <w:t>SDA</w:t>
      </w:r>
      <w:proofErr w:type="spellEnd"/>
      <w:r>
        <w:t xml:space="preserve"> contended that the rates of pay for 20</w:t>
      </w:r>
      <w:r w:rsidR="00075902">
        <w:t>-</w:t>
      </w:r>
      <w:r>
        <w:t>year</w:t>
      </w:r>
      <w:r w:rsidR="00075902">
        <w:t>-</w:t>
      </w:r>
      <w:r>
        <w:t>old employees had not been the subject of any particular consideration as part of the award modernisation process.  I</w:t>
      </w:r>
      <w:r w:rsidR="0067466A">
        <w:t>t</w:t>
      </w:r>
      <w:r>
        <w:t xml:space="preserve"> submitted that the Retail Award was not achieving the modern awards objective and that a variation in the terms sought by the </w:t>
      </w:r>
      <w:proofErr w:type="spellStart"/>
      <w:r>
        <w:t>SDA</w:t>
      </w:r>
      <w:proofErr w:type="spellEnd"/>
      <w:r>
        <w:t xml:space="preserve"> was necessary to remedy that failure.</w:t>
      </w:r>
    </w:p>
    <w:p w:rsidR="00815A21" w:rsidRDefault="002C0DB9" w:rsidP="001D5C22">
      <w:pPr>
        <w:pStyle w:val="ParaNumbering"/>
      </w:pPr>
      <w:r>
        <w:t xml:space="preserve">In its decision </w:t>
      </w:r>
      <w:r w:rsidR="00D078DB">
        <w:t xml:space="preserve">the </w:t>
      </w:r>
      <w:proofErr w:type="spellStart"/>
      <w:r w:rsidR="00D078DB">
        <w:t>FWC</w:t>
      </w:r>
      <w:proofErr w:type="spellEnd"/>
      <w:r w:rsidR="00D078DB">
        <w:t xml:space="preserve"> </w:t>
      </w:r>
      <w:r>
        <w:t xml:space="preserve">began by observing that it </w:t>
      </w:r>
      <w:r w:rsidR="00D078DB">
        <w:t>was</w:t>
      </w:r>
      <w:r w:rsidR="003C3FE5">
        <w:t xml:space="preserve"> concerned </w:t>
      </w:r>
      <w:r w:rsidR="00D078DB">
        <w:t xml:space="preserve">with </w:t>
      </w:r>
      <w:r w:rsidR="003C3FE5">
        <w:t xml:space="preserve">an application made by the </w:t>
      </w:r>
      <w:proofErr w:type="spellStart"/>
      <w:r w:rsidR="003C3FE5">
        <w:t>SDA</w:t>
      </w:r>
      <w:proofErr w:type="spellEnd"/>
      <w:r w:rsidR="003C3FE5">
        <w:t xml:space="preserve"> </w:t>
      </w:r>
      <w:r w:rsidR="00BE52F8">
        <w:t>“</w:t>
      </w:r>
      <w:r w:rsidR="003C3FE5">
        <w:t xml:space="preserve">in the context of the review of all modern awards as required by </w:t>
      </w:r>
      <w:r w:rsidR="00AD269B">
        <w:t>I</w:t>
      </w:r>
      <w:r w:rsidR="003C3FE5">
        <w:t>tem 6</w:t>
      </w:r>
      <w:r w:rsidR="00BE52F8">
        <w:t>”</w:t>
      </w:r>
      <w:r w:rsidR="003C3FE5">
        <w:t>.  The</w:t>
      </w:r>
      <w:r w:rsidR="00EE7F4B">
        <w:t xml:space="preserve"> nature of the variation sought was then identified (at [1]).  </w:t>
      </w:r>
      <w:r w:rsidR="00856035">
        <w:t xml:space="preserve">The </w:t>
      </w:r>
      <w:proofErr w:type="spellStart"/>
      <w:r w:rsidR="00856035">
        <w:t>FWC</w:t>
      </w:r>
      <w:proofErr w:type="spellEnd"/>
      <w:r w:rsidR="00EE7F4B">
        <w:t xml:space="preserve"> noted at [2] that the President of the </w:t>
      </w:r>
      <w:proofErr w:type="spellStart"/>
      <w:r w:rsidR="00EE7F4B">
        <w:t>FWC</w:t>
      </w:r>
      <w:proofErr w:type="spellEnd"/>
      <w:r w:rsidR="00EE7F4B">
        <w:t xml:space="preserve"> had determined that it was in the public interest for the application to be dealt with by a Full Bench.  At [4]</w:t>
      </w:r>
      <w:r w:rsidR="00B86A4C">
        <w:t>,</w:t>
      </w:r>
      <w:r w:rsidR="00815A21">
        <w:t xml:space="preserve"> </w:t>
      </w:r>
      <w:r w:rsidR="00C23D73">
        <w:t xml:space="preserve">it </w:t>
      </w:r>
      <w:r w:rsidR="00815A21">
        <w:t xml:space="preserve">again noted that the review of the </w:t>
      </w:r>
      <w:r w:rsidR="00C23D73">
        <w:t>Retail A</w:t>
      </w:r>
      <w:r w:rsidR="00815A21">
        <w:t>ward was being conducted under Item 6</w:t>
      </w:r>
      <w:r w:rsidR="00C13F89">
        <w:t>, the terms of which were extracted in full.</w:t>
      </w:r>
    </w:p>
    <w:p w:rsidR="00815A21" w:rsidRDefault="00815A21" w:rsidP="009F2F16">
      <w:pPr>
        <w:pStyle w:val="ParaNumbering"/>
      </w:pPr>
      <w:r>
        <w:t>The Full Bench</w:t>
      </w:r>
      <w:r w:rsidR="00B86A4C">
        <w:t xml:space="preserve"> then</w:t>
      </w:r>
      <w:r>
        <w:t xml:space="preserve"> set out the terms of the modern awards objective and of the minimum wages objective.  It observed at [8] that the </w:t>
      </w:r>
      <w:proofErr w:type="spellStart"/>
      <w:r>
        <w:t>SDA</w:t>
      </w:r>
      <w:proofErr w:type="spellEnd"/>
      <w:r>
        <w:t xml:space="preserve"> had contended that it was appropriate for the </w:t>
      </w:r>
      <w:proofErr w:type="spellStart"/>
      <w:r w:rsidR="00C23D73">
        <w:t>FWC</w:t>
      </w:r>
      <w:proofErr w:type="spellEnd"/>
      <w:r>
        <w:t xml:space="preserve"> to consider its application </w:t>
      </w:r>
      <w:r w:rsidR="00BE52F8">
        <w:t>“</w:t>
      </w:r>
      <w:r>
        <w:t>as part o</w:t>
      </w:r>
      <w:r w:rsidR="00993DF1">
        <w:t>f this review of the Award</w:t>
      </w:r>
      <w:r w:rsidR="00BE52F8">
        <w:t>”</w:t>
      </w:r>
      <w:r w:rsidR="00993DF1">
        <w:t>.</w:t>
      </w:r>
    </w:p>
    <w:p w:rsidR="00D8616C" w:rsidRDefault="00B86A4C" w:rsidP="009F2F16">
      <w:pPr>
        <w:pStyle w:val="ParaNumbering"/>
      </w:pPr>
      <w:r>
        <w:t>At [9]</w:t>
      </w:r>
      <w:r w:rsidR="00EA23AC">
        <w:t>,</w:t>
      </w:r>
      <w:r>
        <w:t xml:space="preserve"> </w:t>
      </w:r>
      <w:r w:rsidR="00D078DB">
        <w:t xml:space="preserve">the </w:t>
      </w:r>
      <w:proofErr w:type="spellStart"/>
      <w:r w:rsidR="00D078DB">
        <w:t>FWC</w:t>
      </w:r>
      <w:proofErr w:type="spellEnd"/>
      <w:r w:rsidR="00815A21">
        <w:t xml:space="preserve"> summarised the contentions of the </w:t>
      </w:r>
      <w:r w:rsidR="003019D1">
        <w:t>various employer association</w:t>
      </w:r>
      <w:r w:rsidR="008E4505">
        <w:t xml:space="preserve">s </w:t>
      </w:r>
      <w:r w:rsidR="00856035">
        <w:t xml:space="preserve">which </w:t>
      </w:r>
      <w:r w:rsidR="008E4505">
        <w:t xml:space="preserve">had opposed the variation sought by the </w:t>
      </w:r>
      <w:proofErr w:type="spellStart"/>
      <w:r w:rsidR="008E4505">
        <w:t>SDA</w:t>
      </w:r>
      <w:proofErr w:type="spellEnd"/>
      <w:r w:rsidR="008E4505">
        <w:t xml:space="preserve">.  </w:t>
      </w:r>
      <w:r w:rsidR="001D5C22">
        <w:t>T</w:t>
      </w:r>
      <w:r w:rsidR="003019D1">
        <w:t xml:space="preserve">hose </w:t>
      </w:r>
      <w:r w:rsidR="001D5C22">
        <w:t xml:space="preserve">employer </w:t>
      </w:r>
      <w:r w:rsidR="003019D1">
        <w:t xml:space="preserve">associations had </w:t>
      </w:r>
      <w:r w:rsidR="003019D1">
        <w:lastRenderedPageBreak/>
        <w:t>contended that</w:t>
      </w:r>
      <w:r w:rsidR="00804B53">
        <w:t>,</w:t>
      </w:r>
      <w:r w:rsidR="003019D1">
        <w:t xml:space="preserve"> when the </w:t>
      </w:r>
      <w:r w:rsidR="008E4505">
        <w:t>R</w:t>
      </w:r>
      <w:r w:rsidR="003019D1">
        <w:t xml:space="preserve">etail </w:t>
      </w:r>
      <w:r w:rsidR="008E4505">
        <w:t>A</w:t>
      </w:r>
      <w:r w:rsidR="003019D1">
        <w:t>ward was</w:t>
      </w:r>
      <w:r w:rsidR="00AA38BE">
        <w:t xml:space="preserve"> first</w:t>
      </w:r>
      <w:r w:rsidR="003019D1">
        <w:t xml:space="preserve"> made</w:t>
      </w:r>
      <w:r w:rsidR="001D5C22">
        <w:t>,</w:t>
      </w:r>
      <w:r w:rsidR="003019D1">
        <w:t xml:space="preserve"> consideration had been given to the rates to be paid to junior employees and th</w:t>
      </w:r>
      <w:r w:rsidR="00AA38BE">
        <w:t xml:space="preserve">at there were no cogent reasons </w:t>
      </w:r>
      <w:r w:rsidR="003019D1">
        <w:t>warrant</w:t>
      </w:r>
      <w:r w:rsidR="00AA38BE">
        <w:t>ing</w:t>
      </w:r>
      <w:r w:rsidR="003019D1">
        <w:t xml:space="preserve"> any reconsideration of </w:t>
      </w:r>
      <w:r w:rsidR="00AA38BE">
        <w:t>those rates</w:t>
      </w:r>
      <w:r w:rsidR="003019D1">
        <w:t xml:space="preserve">.  </w:t>
      </w:r>
      <w:r w:rsidR="00C13F89">
        <w:t>They further</w:t>
      </w:r>
      <w:r w:rsidR="003019D1">
        <w:t xml:space="preserve"> contended that there was no basis to find that the </w:t>
      </w:r>
      <w:r w:rsidR="00AA38BE">
        <w:t>R</w:t>
      </w:r>
      <w:r w:rsidR="003019D1">
        <w:t xml:space="preserve">etail </w:t>
      </w:r>
      <w:r w:rsidR="00AA38BE">
        <w:t>A</w:t>
      </w:r>
      <w:r w:rsidR="003019D1">
        <w:t>ward was not</w:t>
      </w:r>
      <w:r w:rsidR="00AA38BE">
        <w:t xml:space="preserve"> achieving the modern award</w:t>
      </w:r>
      <w:r w:rsidR="00EA23AC">
        <w:t>s</w:t>
      </w:r>
      <w:r w:rsidR="00AA38BE">
        <w:t xml:space="preserve"> objective or</w:t>
      </w:r>
      <w:r w:rsidR="003019D1">
        <w:t xml:space="preserve"> </w:t>
      </w:r>
      <w:r w:rsidR="00DB0621">
        <w:t xml:space="preserve">not </w:t>
      </w:r>
      <w:r w:rsidR="003019D1">
        <w:t xml:space="preserve">operating effectively without anomalies or technical problems arising from the Part </w:t>
      </w:r>
      <w:proofErr w:type="spellStart"/>
      <w:r w:rsidR="003019D1">
        <w:t>10A</w:t>
      </w:r>
      <w:proofErr w:type="spellEnd"/>
      <w:r w:rsidR="003019D1">
        <w:t xml:space="preserve"> process.  </w:t>
      </w:r>
      <w:r w:rsidR="00AD2FEF">
        <w:t>F</w:t>
      </w:r>
      <w:r w:rsidR="00AA38BE">
        <w:t>or those reasons</w:t>
      </w:r>
      <w:r w:rsidR="00AD2FEF">
        <w:t>,</w:t>
      </w:r>
      <w:r w:rsidR="003019D1">
        <w:t xml:space="preserve"> the employer associations</w:t>
      </w:r>
      <w:r w:rsidR="00AA38BE">
        <w:t xml:space="preserve"> </w:t>
      </w:r>
      <w:r w:rsidR="00C13F89">
        <w:t xml:space="preserve">submitted </w:t>
      </w:r>
      <w:r w:rsidR="00AA38BE">
        <w:t>that</w:t>
      </w:r>
      <w:r w:rsidR="00C23D73">
        <w:t xml:space="preserve"> </w:t>
      </w:r>
      <w:r w:rsidR="00C13F89">
        <w:t>the need had not been shown</w:t>
      </w:r>
      <w:r w:rsidR="003019D1">
        <w:t xml:space="preserve"> for </w:t>
      </w:r>
      <w:r w:rsidR="00BE52F8">
        <w:t>“</w:t>
      </w:r>
      <w:r w:rsidR="003019D1">
        <w:t xml:space="preserve">any variation to remedy any </w:t>
      </w:r>
      <w:r w:rsidR="00AD2FEF">
        <w:t>issues in accordance with sub</w:t>
      </w:r>
      <w:r w:rsidR="0002458E">
        <w:t>-</w:t>
      </w:r>
      <w:r w:rsidR="00AD2FEF">
        <w:t xml:space="preserve">item </w:t>
      </w:r>
      <w:r w:rsidR="00C23D73">
        <w:t>(3)</w:t>
      </w:r>
      <w:r w:rsidR="00AD2FEF">
        <w:t xml:space="preserve"> of Item 6</w:t>
      </w:r>
      <w:r w:rsidR="00BE52F8">
        <w:t>”</w:t>
      </w:r>
      <w:r w:rsidR="00993DF1">
        <w:t>.</w:t>
      </w:r>
    </w:p>
    <w:p w:rsidR="00907F67" w:rsidRDefault="00804B53" w:rsidP="009F2F16">
      <w:pPr>
        <w:pStyle w:val="ParaNumbering"/>
      </w:pPr>
      <w:r>
        <w:t>The Full Bench rejected both the first and the second of th</w:t>
      </w:r>
      <w:r w:rsidR="00EA23AC">
        <w:t>os</w:t>
      </w:r>
      <w:r>
        <w:t xml:space="preserve">e contentions.  As to the first, it accepted the </w:t>
      </w:r>
      <w:proofErr w:type="spellStart"/>
      <w:r>
        <w:t>SDA’s</w:t>
      </w:r>
      <w:proofErr w:type="spellEnd"/>
      <w:r>
        <w:t xml:space="preserve"> submission that at the time of the making of the Retail Award the substance of the </w:t>
      </w:r>
      <w:proofErr w:type="spellStart"/>
      <w:r>
        <w:t>SDA’s</w:t>
      </w:r>
      <w:proofErr w:type="spellEnd"/>
      <w:r>
        <w:t xml:space="preserve"> claim had not been considered </w:t>
      </w:r>
      <w:r w:rsidR="00EA23AC">
        <w:t>(at [42]-[45])</w:t>
      </w:r>
      <w:r w:rsidR="00993DF1">
        <w:t>.</w:t>
      </w:r>
    </w:p>
    <w:p w:rsidR="003019D1" w:rsidRDefault="00907F67" w:rsidP="00907F67">
      <w:pPr>
        <w:pStyle w:val="ParaNumbering"/>
      </w:pPr>
      <w:r>
        <w:t xml:space="preserve">The </w:t>
      </w:r>
      <w:proofErr w:type="spellStart"/>
      <w:r>
        <w:t>FWC</w:t>
      </w:r>
      <w:proofErr w:type="spellEnd"/>
      <w:r w:rsidR="00804B53">
        <w:t xml:space="preserve"> then proceeded to examine whether the award was achieving t</w:t>
      </w:r>
      <w:r>
        <w:t xml:space="preserve">he modern award objective.  </w:t>
      </w:r>
      <w:r w:rsidR="00AD2FEF">
        <w:t>At</w:t>
      </w:r>
      <w:r w:rsidR="003019D1">
        <w:t xml:space="preserve"> [45]</w:t>
      </w:r>
      <w:r>
        <w:t>, it</w:t>
      </w:r>
      <w:r w:rsidR="00AD2FEF">
        <w:t xml:space="preserve"> stated</w:t>
      </w:r>
      <w:r w:rsidR="003019D1">
        <w:t>:</w:t>
      </w:r>
    </w:p>
    <w:p w:rsidR="003019D1" w:rsidRDefault="003019D1" w:rsidP="003019D1">
      <w:pPr>
        <w:pStyle w:val="Quote1"/>
      </w:pPr>
      <w:r>
        <w:t xml:space="preserve">It is necessary however for the </w:t>
      </w:r>
      <w:proofErr w:type="spellStart"/>
      <w:r>
        <w:t>SDA</w:t>
      </w:r>
      <w:proofErr w:type="spellEnd"/>
      <w:r>
        <w:t xml:space="preserve"> to establish a case on merit that the Award is not meeting the modern awards and minimum wages objectives.</w:t>
      </w:r>
    </w:p>
    <w:p w:rsidR="003019D1" w:rsidRDefault="003019D1" w:rsidP="003019D1">
      <w:pPr>
        <w:pStyle w:val="Quote1"/>
      </w:pPr>
    </w:p>
    <w:p w:rsidR="003019D1" w:rsidRDefault="003019D1" w:rsidP="00D078DB">
      <w:pPr>
        <w:pStyle w:val="ParaNumbering"/>
      </w:pPr>
      <w:r>
        <w:t xml:space="preserve">The </w:t>
      </w:r>
      <w:proofErr w:type="spellStart"/>
      <w:r w:rsidR="00C23D73">
        <w:t>FWC</w:t>
      </w:r>
      <w:proofErr w:type="spellEnd"/>
      <w:r>
        <w:t xml:space="preserve"> noted that in support of its case the </w:t>
      </w:r>
      <w:proofErr w:type="spellStart"/>
      <w:r>
        <w:t>SDA</w:t>
      </w:r>
      <w:proofErr w:type="spellEnd"/>
      <w:r>
        <w:t xml:space="preserve"> did not rely upon Item 6</w:t>
      </w:r>
      <w:r w:rsidR="00C8111B">
        <w:t>(2)(b)</w:t>
      </w:r>
      <w:r>
        <w:t xml:space="preserve"> to contend that the </w:t>
      </w:r>
      <w:r w:rsidR="00C23D73">
        <w:t>R</w:t>
      </w:r>
      <w:r>
        <w:t xml:space="preserve">etail </w:t>
      </w:r>
      <w:r w:rsidR="00C23D73">
        <w:t>A</w:t>
      </w:r>
      <w:r>
        <w:t>ward was not operating effectively, without anomal</w:t>
      </w:r>
      <w:r w:rsidR="007D37C9">
        <w:t xml:space="preserve">ies or technical problems arising from the Part </w:t>
      </w:r>
      <w:proofErr w:type="spellStart"/>
      <w:r w:rsidR="007D37C9">
        <w:t>10A</w:t>
      </w:r>
      <w:proofErr w:type="spellEnd"/>
      <w:r w:rsidR="007D37C9">
        <w:t xml:space="preserve"> award modernisation process.</w:t>
      </w:r>
    </w:p>
    <w:p w:rsidR="003019D1" w:rsidRDefault="00856035" w:rsidP="009F2F16">
      <w:pPr>
        <w:pStyle w:val="ParaNumbering"/>
      </w:pPr>
      <w:r>
        <w:t>At this point in its reasons t</w:t>
      </w:r>
      <w:r w:rsidR="007D37C9">
        <w:t xml:space="preserve">he </w:t>
      </w:r>
      <w:proofErr w:type="spellStart"/>
      <w:r w:rsidR="00C8111B">
        <w:t>FWC</w:t>
      </w:r>
      <w:proofErr w:type="spellEnd"/>
      <w:r w:rsidR="007D37C9">
        <w:t xml:space="preserve"> summarise</w:t>
      </w:r>
      <w:r>
        <w:t>d</w:t>
      </w:r>
      <w:r w:rsidR="00C31268">
        <w:t xml:space="preserve"> </w:t>
      </w:r>
      <w:r w:rsidR="007D37C9">
        <w:t xml:space="preserve">the evidence led by the </w:t>
      </w:r>
      <w:proofErr w:type="spellStart"/>
      <w:r w:rsidR="007D37C9">
        <w:t>SDA</w:t>
      </w:r>
      <w:proofErr w:type="spellEnd"/>
      <w:r w:rsidR="007D37C9">
        <w:t xml:space="preserve"> from some 20 </w:t>
      </w:r>
      <w:r w:rsidR="00B86A4C">
        <w:t>employees</w:t>
      </w:r>
      <w:r w:rsidR="007D37C9">
        <w:t xml:space="preserve"> employed in the general retail industry.  It noted</w:t>
      </w:r>
      <w:r w:rsidR="00C8111B">
        <w:t xml:space="preserve"> (at [47])</w:t>
      </w:r>
      <w:r w:rsidR="007D37C9">
        <w:t xml:space="preserve"> that all except one of those witnesses gave oral evidence and was cross-examined</w:t>
      </w:r>
      <w:r w:rsidR="00C8111B">
        <w:t xml:space="preserve">.  It summarised that evidence </w:t>
      </w:r>
      <w:r w:rsidR="007D37C9">
        <w:t>at [4</w:t>
      </w:r>
      <w:r w:rsidR="00C8111B">
        <w:t>7]-[67]</w:t>
      </w:r>
      <w:r w:rsidR="007D37C9">
        <w:t>.</w:t>
      </w:r>
    </w:p>
    <w:p w:rsidR="007D37C9" w:rsidRDefault="007D37C9" w:rsidP="009F2F16">
      <w:pPr>
        <w:pStyle w:val="ParaNumbering"/>
      </w:pPr>
      <w:r>
        <w:t>At [68]-[91]</w:t>
      </w:r>
      <w:r w:rsidR="00C8111B">
        <w:t>,</w:t>
      </w:r>
      <w:r>
        <w:t xml:space="preserve"> the </w:t>
      </w:r>
      <w:proofErr w:type="spellStart"/>
      <w:r w:rsidR="00C23D73">
        <w:t>FWC</w:t>
      </w:r>
      <w:proofErr w:type="spellEnd"/>
      <w:r>
        <w:t xml:space="preserve"> summarised the evidence of the </w:t>
      </w:r>
      <w:r w:rsidR="00091917">
        <w:t xml:space="preserve">seven </w:t>
      </w:r>
      <w:r>
        <w:t xml:space="preserve">witnesses called </w:t>
      </w:r>
      <w:r w:rsidR="00856035">
        <w:t xml:space="preserve">by </w:t>
      </w:r>
      <w:r>
        <w:t>the employer</w:t>
      </w:r>
      <w:r w:rsidR="00856035">
        <w:t xml:space="preserve"> </w:t>
      </w:r>
      <w:r w:rsidR="0079519C">
        <w:t>association</w:t>
      </w:r>
      <w:r>
        <w:t xml:space="preserve">s.  </w:t>
      </w:r>
    </w:p>
    <w:p w:rsidR="007B3A0C" w:rsidRDefault="00C8111B" w:rsidP="009F2F16">
      <w:pPr>
        <w:pStyle w:val="ParaNumbering"/>
      </w:pPr>
      <w:bookmarkStart w:id="29" w:name="_Ref397433841"/>
      <w:r>
        <w:t xml:space="preserve">At [94], the </w:t>
      </w:r>
      <w:proofErr w:type="spellStart"/>
      <w:r>
        <w:t>FWC</w:t>
      </w:r>
      <w:proofErr w:type="spellEnd"/>
      <w:r>
        <w:t xml:space="preserve"> set out its comments and findings in relation to the </w:t>
      </w:r>
      <w:r w:rsidR="00091917">
        <w:t xml:space="preserve">10 </w:t>
      </w:r>
      <w:r>
        <w:t xml:space="preserve">principal conclusions that the </w:t>
      </w:r>
      <w:proofErr w:type="spellStart"/>
      <w:r>
        <w:t>SDA</w:t>
      </w:r>
      <w:proofErr w:type="spellEnd"/>
      <w:r>
        <w:t xml:space="preserve"> submitted the evidence had established:</w:t>
      </w:r>
      <w:bookmarkEnd w:id="29"/>
    </w:p>
    <w:p w:rsidR="007B3A0C" w:rsidRDefault="00C8111B" w:rsidP="007B3A0C">
      <w:pPr>
        <w:pStyle w:val="FCBullets"/>
      </w:pPr>
      <w:r>
        <w:t xml:space="preserve">It accepted that at the age of 20 a significant number of employees in the retail industry have at least three years of experience in the industry. </w:t>
      </w:r>
      <w:r w:rsidR="00856035">
        <w:t xml:space="preserve"> </w:t>
      </w:r>
      <w:r>
        <w:t xml:space="preserve">That conclusion was consistent with the evidence called by both the </w:t>
      </w:r>
      <w:proofErr w:type="spellStart"/>
      <w:r>
        <w:t>SDA</w:t>
      </w:r>
      <w:proofErr w:type="spellEnd"/>
      <w:r>
        <w:t xml:space="preserve"> and the employer</w:t>
      </w:r>
      <w:r w:rsidR="00856035">
        <w:t xml:space="preserve"> association</w:t>
      </w:r>
      <w:r>
        <w:t>s.</w:t>
      </w:r>
    </w:p>
    <w:p w:rsidR="007B3A0C" w:rsidRDefault="00C8111B" w:rsidP="007B3A0C">
      <w:pPr>
        <w:pStyle w:val="FCBullets"/>
      </w:pPr>
      <w:r>
        <w:lastRenderedPageBreak/>
        <w:t>It accepted that the evidence support</w:t>
      </w:r>
      <w:r w:rsidR="00E65FE8">
        <w:t>ed</w:t>
      </w:r>
      <w:r>
        <w:t xml:space="preserve"> the conclusion that most people mature as they get older, although questioned the relevance or utility of that conclusion.  Further, it accepted that experience was more important than maturity.</w:t>
      </w:r>
    </w:p>
    <w:p w:rsidR="00D452EB" w:rsidRDefault="00C8111B" w:rsidP="007B3A0C">
      <w:pPr>
        <w:pStyle w:val="FCBullets"/>
      </w:pPr>
      <w:r>
        <w:t xml:space="preserve">It found that </w:t>
      </w:r>
      <w:r w:rsidR="00E70865">
        <w:t xml:space="preserve">the </w:t>
      </w:r>
      <w:r>
        <w:t xml:space="preserve">evidence </w:t>
      </w:r>
      <w:r w:rsidR="00E70865">
        <w:t xml:space="preserve">from both parties </w:t>
      </w:r>
      <w:r>
        <w:t>supported a general conclusion that there is no difference in the work performed by</w:t>
      </w:r>
      <w:r w:rsidR="00E70865">
        <w:t>,</w:t>
      </w:r>
      <w:r>
        <w:t xml:space="preserve"> </w:t>
      </w:r>
      <w:r w:rsidR="00E70865">
        <w:t xml:space="preserve">and the duties of, </w:t>
      </w:r>
      <w:r>
        <w:t>a 20</w:t>
      </w:r>
      <w:r w:rsidR="00075902">
        <w:t>-</w:t>
      </w:r>
      <w:r>
        <w:t>year</w:t>
      </w:r>
      <w:r w:rsidR="00075902">
        <w:t>-</w:t>
      </w:r>
      <w:r>
        <w:t xml:space="preserve">old Retail Employee Level 1 </w:t>
      </w:r>
      <w:r w:rsidR="00E70865">
        <w:t xml:space="preserve">when </w:t>
      </w:r>
      <w:r>
        <w:t>compared to a 21</w:t>
      </w:r>
      <w:r w:rsidR="00075902">
        <w:t>-</w:t>
      </w:r>
      <w:r>
        <w:t>year</w:t>
      </w:r>
      <w:r w:rsidR="00075902">
        <w:t>-</w:t>
      </w:r>
      <w:r>
        <w:t>old Retail Employee Level 1.</w:t>
      </w:r>
    </w:p>
    <w:p w:rsidR="006B7087" w:rsidRDefault="00CD2B22" w:rsidP="007B3A0C">
      <w:pPr>
        <w:pStyle w:val="FCBullets"/>
      </w:pPr>
      <w:r>
        <w:t xml:space="preserve">It found that the evidence of </w:t>
      </w:r>
      <w:r w:rsidR="00E70865">
        <w:t>both parties</w:t>
      </w:r>
      <w:r>
        <w:t xml:space="preserve"> established that most retail employees achieve a satisfactory level of proficiency in respect of Retail Employee Level 1 duties and responsibilities after about six months of employment.</w:t>
      </w:r>
    </w:p>
    <w:p w:rsidR="004D33AE" w:rsidRDefault="00CD2B22" w:rsidP="007B3A0C">
      <w:pPr>
        <w:pStyle w:val="FCBullets"/>
      </w:pPr>
      <w:r>
        <w:t xml:space="preserve">It found that most witnesses called by the </w:t>
      </w:r>
      <w:proofErr w:type="spellStart"/>
      <w:r>
        <w:t>SDA</w:t>
      </w:r>
      <w:proofErr w:type="spellEnd"/>
      <w:r>
        <w:t xml:space="preserve"> were covered by an enterprise agreement, not the Retail Award.</w:t>
      </w:r>
    </w:p>
    <w:p w:rsidR="006046AA" w:rsidRDefault="00CD2B22" w:rsidP="007B3A0C">
      <w:pPr>
        <w:pStyle w:val="FCBullets"/>
      </w:pPr>
      <w:r>
        <w:t xml:space="preserve">It agreed with the </w:t>
      </w:r>
      <w:proofErr w:type="spellStart"/>
      <w:r>
        <w:t>SDA</w:t>
      </w:r>
      <w:r w:rsidR="009448B0">
        <w:t>’s</w:t>
      </w:r>
      <w:proofErr w:type="spellEnd"/>
      <w:r>
        <w:t xml:space="preserve"> submission that there was little employer evidence that concentrated on 20</w:t>
      </w:r>
      <w:r w:rsidR="00075902">
        <w:t>-</w:t>
      </w:r>
      <w:r>
        <w:t>year</w:t>
      </w:r>
      <w:r w:rsidR="00075902">
        <w:t>-</w:t>
      </w:r>
      <w:r>
        <w:t>old employees who were the focus of the application, as opposed to all junior employees or those aged 18, 19 and 20.</w:t>
      </w:r>
    </w:p>
    <w:p w:rsidR="00626F71" w:rsidRDefault="00CD2B22" w:rsidP="007B3A0C">
      <w:pPr>
        <w:pStyle w:val="FCBullets"/>
      </w:pPr>
      <w:r>
        <w:t xml:space="preserve">It accepted that the evidence established that most employees received training at the commencement of their employment, rather than </w:t>
      </w:r>
      <w:r w:rsidR="0002458E">
        <w:t xml:space="preserve">that </w:t>
      </w:r>
      <w:r>
        <w:t xml:space="preserve">the provision of training </w:t>
      </w:r>
      <w:r w:rsidR="0002458E">
        <w:t xml:space="preserve">was </w:t>
      </w:r>
      <w:r>
        <w:t>based on an employee’s age.</w:t>
      </w:r>
    </w:p>
    <w:p w:rsidR="00626F71" w:rsidRDefault="00CD2B22" w:rsidP="00626F71">
      <w:pPr>
        <w:pStyle w:val="FCBullets"/>
      </w:pPr>
      <w:r>
        <w:t>It accepted that there was little evidence to suggest that a 20</w:t>
      </w:r>
      <w:r w:rsidR="00075902">
        <w:t>-</w:t>
      </w:r>
      <w:r>
        <w:t>year</w:t>
      </w:r>
      <w:r w:rsidR="00075902">
        <w:t>-</w:t>
      </w:r>
      <w:r>
        <w:t>old, with some experience, required any supervision and certainly not close supervision.</w:t>
      </w:r>
    </w:p>
    <w:p w:rsidR="00626F71" w:rsidRDefault="00CD2B22" w:rsidP="00626F71">
      <w:pPr>
        <w:pStyle w:val="FCBullets"/>
      </w:pPr>
      <w:r>
        <w:t>It found that there was no probative evidence that paying the full adult rate to 20</w:t>
      </w:r>
      <w:r w:rsidR="00075902">
        <w:t>-</w:t>
      </w:r>
      <w:r>
        <w:t>year</w:t>
      </w:r>
      <w:r w:rsidR="00075902">
        <w:t>-</w:t>
      </w:r>
      <w:r>
        <w:t xml:space="preserve">old employees would have any material or significant adverse effect on the viability of retail businesses (the issue of </w:t>
      </w:r>
      <w:r w:rsidR="00720CE7">
        <w:t xml:space="preserve">the </w:t>
      </w:r>
      <w:r>
        <w:t xml:space="preserve">cost </w:t>
      </w:r>
      <w:r w:rsidR="00F67F88">
        <w:t xml:space="preserve">impact </w:t>
      </w:r>
      <w:r>
        <w:t xml:space="preserve">of the </w:t>
      </w:r>
      <w:proofErr w:type="spellStart"/>
      <w:r>
        <w:t>SDA’s</w:t>
      </w:r>
      <w:proofErr w:type="spellEnd"/>
      <w:r>
        <w:t xml:space="preserve"> application </w:t>
      </w:r>
      <w:r w:rsidR="00E65FE8">
        <w:t>was</w:t>
      </w:r>
      <w:r>
        <w:t xml:space="preserve"> addressed later in the decision in the context of the </w:t>
      </w:r>
      <w:proofErr w:type="spellStart"/>
      <w:r>
        <w:t>FWC’s</w:t>
      </w:r>
      <w:proofErr w:type="spellEnd"/>
      <w:r>
        <w:t xml:space="preserve"> consideration of the modern awards and minimum wages objectives</w:t>
      </w:r>
      <w:r w:rsidR="003507FE">
        <w:t>,</w:t>
      </w:r>
      <w:r>
        <w:t xml:space="preserve"> which the </w:t>
      </w:r>
      <w:proofErr w:type="spellStart"/>
      <w:r w:rsidR="003507FE">
        <w:t>FWC</w:t>
      </w:r>
      <w:proofErr w:type="spellEnd"/>
      <w:r w:rsidR="003507FE">
        <w:t xml:space="preserve"> observed that it</w:t>
      </w:r>
      <w:r w:rsidR="00E65FE8">
        <w:t xml:space="preserve"> was</w:t>
      </w:r>
      <w:r>
        <w:t xml:space="preserve"> required to take into account).</w:t>
      </w:r>
    </w:p>
    <w:p w:rsidR="007B3A0C" w:rsidRDefault="00CD2B22" w:rsidP="00626F71">
      <w:pPr>
        <w:pStyle w:val="FCBullets"/>
      </w:pPr>
      <w:r>
        <w:t xml:space="preserve">Finally, the </w:t>
      </w:r>
      <w:proofErr w:type="spellStart"/>
      <w:r>
        <w:t>FWC</w:t>
      </w:r>
      <w:proofErr w:type="spellEnd"/>
      <w:r>
        <w:t xml:space="preserve"> stated that there was no probative evidence that employers preferred 21</w:t>
      </w:r>
      <w:r w:rsidR="00F60460">
        <w:t>-</w:t>
      </w:r>
      <w:r>
        <w:t>year</w:t>
      </w:r>
      <w:r w:rsidR="00F60460">
        <w:t>-</w:t>
      </w:r>
      <w:r>
        <w:t>old employees to 20</w:t>
      </w:r>
      <w:r w:rsidR="00F60460">
        <w:t>-</w:t>
      </w:r>
      <w:r>
        <w:t>year</w:t>
      </w:r>
      <w:r w:rsidR="00F60460">
        <w:t>-</w:t>
      </w:r>
      <w:r>
        <w:t>old employees.</w:t>
      </w:r>
    </w:p>
    <w:p w:rsidR="005C30D1" w:rsidRDefault="00E65FE8" w:rsidP="005735EA">
      <w:pPr>
        <w:pStyle w:val="ParaNumbering"/>
      </w:pPr>
      <w:r>
        <w:t xml:space="preserve">Under the heading </w:t>
      </w:r>
      <w:r w:rsidR="00BE52F8">
        <w:t>“</w:t>
      </w:r>
      <w:r w:rsidR="005C30D1">
        <w:t>Is the Award achieving the modern awards a</w:t>
      </w:r>
      <w:r>
        <w:t>nd minimum wages objectives?</w:t>
      </w:r>
      <w:r w:rsidR="00BE52F8">
        <w:t>”</w:t>
      </w:r>
      <w:r>
        <w:t xml:space="preserve">, </w:t>
      </w:r>
      <w:r w:rsidR="005C30D1">
        <w:t xml:space="preserve">the </w:t>
      </w:r>
      <w:proofErr w:type="spellStart"/>
      <w:r w:rsidR="005735EA">
        <w:t>FWC</w:t>
      </w:r>
      <w:proofErr w:type="spellEnd"/>
      <w:r w:rsidR="005C30D1">
        <w:t xml:space="preserve"> referred to ss</w:t>
      </w:r>
      <w:r w:rsidR="00E70865">
        <w:t> </w:t>
      </w:r>
      <w:r w:rsidR="005C30D1">
        <w:t>134 and 284 of the FW Act</w:t>
      </w:r>
      <w:r>
        <w:t xml:space="preserve"> (at [115])</w:t>
      </w:r>
      <w:r w:rsidR="005C30D1">
        <w:t xml:space="preserve">.  The </w:t>
      </w:r>
      <w:proofErr w:type="spellStart"/>
      <w:r w:rsidR="005735EA">
        <w:t>FWC</w:t>
      </w:r>
      <w:proofErr w:type="spellEnd"/>
      <w:r w:rsidR="005C30D1">
        <w:t xml:space="preserve"> stated that in its opinion</w:t>
      </w:r>
      <w:r w:rsidR="005735EA">
        <w:t>,</w:t>
      </w:r>
      <w:r w:rsidR="005C30D1">
        <w:t xml:space="preserve"> because the </w:t>
      </w:r>
      <w:proofErr w:type="spellStart"/>
      <w:r w:rsidR="005C30D1">
        <w:t>SDA’s</w:t>
      </w:r>
      <w:proofErr w:type="spellEnd"/>
      <w:r w:rsidR="005C30D1">
        <w:t xml:space="preserve"> claim was for an increase </w:t>
      </w:r>
      <w:r w:rsidR="00536CE4">
        <w:t>in</w:t>
      </w:r>
      <w:r w:rsidR="005C30D1">
        <w:t xml:space="preserve"> the minimum rate payable to a 20</w:t>
      </w:r>
      <w:r w:rsidR="001C01BB">
        <w:t>-</w:t>
      </w:r>
      <w:r w:rsidR="005C30D1">
        <w:t>year</w:t>
      </w:r>
      <w:r w:rsidR="001C01BB">
        <w:t>-</w:t>
      </w:r>
      <w:r w:rsidR="005C30D1">
        <w:t xml:space="preserve">old, </w:t>
      </w:r>
      <w:r w:rsidR="005735EA">
        <w:t>the</w:t>
      </w:r>
      <w:r w:rsidR="005C30D1">
        <w:t xml:space="preserve"> claim met the description of a variation which </w:t>
      </w:r>
      <w:r w:rsidR="00BE52F8">
        <w:t>“</w:t>
      </w:r>
      <w:r w:rsidR="005C30D1">
        <w:t>relates</w:t>
      </w:r>
      <w:r w:rsidR="00BE52F8">
        <w:t>”</w:t>
      </w:r>
      <w:r w:rsidR="005C30D1">
        <w:t xml:space="preserve"> to the Retail Award’s minimum wages.  Accordingly, the Full Bench determined that Item 6</w:t>
      </w:r>
      <w:r w:rsidR="00C334E6">
        <w:t>(4)</w:t>
      </w:r>
      <w:r w:rsidR="005C30D1">
        <w:t xml:space="preserve"> required </w:t>
      </w:r>
      <w:r w:rsidR="005C30D1">
        <w:lastRenderedPageBreak/>
        <w:t xml:space="preserve">that it consider the minimum wages objective.  The </w:t>
      </w:r>
      <w:proofErr w:type="spellStart"/>
      <w:r w:rsidR="00C334E6">
        <w:t>FWC</w:t>
      </w:r>
      <w:proofErr w:type="spellEnd"/>
      <w:r w:rsidR="005C30D1">
        <w:t xml:space="preserve"> noted that a number of </w:t>
      </w:r>
      <w:r w:rsidR="006D149F">
        <w:t xml:space="preserve">the </w:t>
      </w:r>
      <w:r w:rsidR="005C30D1">
        <w:t>considerations</w:t>
      </w:r>
      <w:r w:rsidR="00C334E6">
        <w:t xml:space="preserve"> specified</w:t>
      </w:r>
      <w:r w:rsidR="005C30D1">
        <w:t xml:space="preserve"> in each of the minimum wages objective and the modern award</w:t>
      </w:r>
      <w:r w:rsidR="00907F67">
        <w:t>s</w:t>
      </w:r>
      <w:r w:rsidR="005C30D1">
        <w:t xml:space="preserve"> objective </w:t>
      </w:r>
      <w:r w:rsidR="00BE52F8">
        <w:t>“</w:t>
      </w:r>
      <w:r w:rsidR="005C30D1">
        <w:t>are in the same or very similar terms</w:t>
      </w:r>
      <w:r w:rsidR="00BE52F8">
        <w:t>”</w:t>
      </w:r>
      <w:r w:rsidR="005C30D1">
        <w:t>.</w:t>
      </w:r>
    </w:p>
    <w:p w:rsidR="004C6EE4" w:rsidRDefault="00F81815" w:rsidP="005C30D1">
      <w:pPr>
        <w:pStyle w:val="ParaNumbering"/>
      </w:pPr>
      <w:r>
        <w:t xml:space="preserve">At [116], the </w:t>
      </w:r>
      <w:proofErr w:type="spellStart"/>
      <w:r w:rsidR="00C334E6">
        <w:t>FWC</w:t>
      </w:r>
      <w:proofErr w:type="spellEnd"/>
      <w:r>
        <w:t xml:space="preserve"> noted that the parties had made</w:t>
      </w:r>
      <w:r w:rsidR="00907F67">
        <w:t xml:space="preserve"> both</w:t>
      </w:r>
      <w:r>
        <w:t xml:space="preserve"> general submissions about whether the Retail Award </w:t>
      </w:r>
      <w:r w:rsidR="005D3531">
        <w:t>was</w:t>
      </w:r>
      <w:r>
        <w:t xml:space="preserve"> achieving </w:t>
      </w:r>
      <w:r w:rsidR="006D149F">
        <w:t>the</w:t>
      </w:r>
      <w:r>
        <w:t xml:space="preserve"> modern awards objective and specific submissions by reference t</w:t>
      </w:r>
      <w:r w:rsidR="006D149F">
        <w:t xml:space="preserve">o the factors </w:t>
      </w:r>
      <w:r>
        <w:t>listed in s</w:t>
      </w:r>
      <w:r w:rsidR="00993DF1">
        <w:t> </w:t>
      </w:r>
      <w:r>
        <w:t>134(1) of the FW</w:t>
      </w:r>
      <w:r w:rsidR="00F70FD5">
        <w:t xml:space="preserve"> </w:t>
      </w:r>
      <w:r>
        <w:t>A</w:t>
      </w:r>
      <w:r w:rsidR="00F70FD5">
        <w:t>ct</w:t>
      </w:r>
      <w:r>
        <w:t xml:space="preserve"> </w:t>
      </w:r>
      <w:r w:rsidR="00BE52F8">
        <w:t>“</w:t>
      </w:r>
      <w:r>
        <w:t>which we must take into account</w:t>
      </w:r>
      <w:r w:rsidR="00BE52F8">
        <w:t>”</w:t>
      </w:r>
      <w:r w:rsidR="004C6EE4">
        <w:t>.</w:t>
      </w:r>
    </w:p>
    <w:p w:rsidR="0035434A" w:rsidRDefault="00E65FE8" w:rsidP="0037170E">
      <w:pPr>
        <w:pStyle w:val="ParaNumbering"/>
      </w:pPr>
      <w:r>
        <w:t>At [117</w:t>
      </w:r>
      <w:r w:rsidR="001A6C73">
        <w:t>]</w:t>
      </w:r>
      <w:r>
        <w:t xml:space="preserve">, </w:t>
      </w:r>
      <w:r w:rsidR="004C6EE4">
        <w:t xml:space="preserve">the </w:t>
      </w:r>
      <w:proofErr w:type="spellStart"/>
      <w:r w:rsidR="00C334E6">
        <w:t>FWC</w:t>
      </w:r>
      <w:proofErr w:type="spellEnd"/>
      <w:r w:rsidR="004C6EE4">
        <w:t xml:space="preserve"> noted </w:t>
      </w:r>
      <w:r w:rsidR="00907F67">
        <w:t>a</w:t>
      </w:r>
      <w:r w:rsidR="004C6EE4">
        <w:t xml:space="preserve"> submission </w:t>
      </w:r>
      <w:r w:rsidR="00907F67">
        <w:t>made by</w:t>
      </w:r>
      <w:r w:rsidR="004C6EE4">
        <w:t xml:space="preserve"> the </w:t>
      </w:r>
      <w:proofErr w:type="spellStart"/>
      <w:r w:rsidR="004C6EE4">
        <w:t>SDA</w:t>
      </w:r>
      <w:proofErr w:type="spellEnd"/>
      <w:r w:rsidR="004C6EE4">
        <w:t xml:space="preserve"> (</w:t>
      </w:r>
      <w:r w:rsidR="00907F67">
        <w:t xml:space="preserve">which was </w:t>
      </w:r>
      <w:r w:rsidR="004C6EE4">
        <w:t>supported by the Commonwealth and the ACTU) that cl</w:t>
      </w:r>
      <w:r w:rsidR="009B2C1C">
        <w:t> </w:t>
      </w:r>
      <w:r w:rsidR="004C6EE4">
        <w:t xml:space="preserve">18 did not constitute a fair and relevant minimum safety net.  It further noted the </w:t>
      </w:r>
      <w:proofErr w:type="spellStart"/>
      <w:r w:rsidR="004C6EE4">
        <w:t>SDA</w:t>
      </w:r>
      <w:r>
        <w:t>’s</w:t>
      </w:r>
      <w:proofErr w:type="spellEnd"/>
      <w:r w:rsidR="004C6EE4">
        <w:t xml:space="preserve"> submission that cl</w:t>
      </w:r>
      <w:r w:rsidR="009B2C1C">
        <w:t> </w:t>
      </w:r>
      <w:r w:rsidR="004C6EE4">
        <w:t>18 was unfair because it discriminated against 20</w:t>
      </w:r>
      <w:r w:rsidR="001C01BB">
        <w:t>-</w:t>
      </w:r>
      <w:r w:rsidR="004C6EE4">
        <w:t>year</w:t>
      </w:r>
      <w:r w:rsidR="001C01BB">
        <w:t>-</w:t>
      </w:r>
      <w:r w:rsidR="004C6EE4">
        <w:t xml:space="preserve">olds solely on the basis of age.  It </w:t>
      </w:r>
      <w:r>
        <w:t xml:space="preserve">noted other submissions made by the </w:t>
      </w:r>
      <w:proofErr w:type="spellStart"/>
      <w:r>
        <w:t>SDA</w:t>
      </w:r>
      <w:proofErr w:type="spellEnd"/>
      <w:r w:rsidR="00907F67">
        <w:t>,</w:t>
      </w:r>
      <w:r>
        <w:t xml:space="preserve"> set out in </w:t>
      </w:r>
      <w:r w:rsidR="003507FE">
        <w:t xml:space="preserve">the second and third </w:t>
      </w:r>
      <w:r>
        <w:t>bullet points at [</w:t>
      </w:r>
      <w:r w:rsidR="003507FE">
        <w:fldChar w:fldCharType="begin" w:fldLock="1"/>
      </w:r>
      <w:r w:rsidR="003507FE">
        <w:instrText xml:space="preserve"> REF _Ref397433841 \r \h </w:instrText>
      </w:r>
      <w:r w:rsidR="003507FE">
        <w:fldChar w:fldCharType="separate"/>
      </w:r>
      <w:r w:rsidR="00E477FA">
        <w:t>45</w:t>
      </w:r>
      <w:r w:rsidR="003507FE">
        <w:fldChar w:fldCharType="end"/>
      </w:r>
      <w:r>
        <w:t>] above.</w:t>
      </w:r>
      <w:r w:rsidR="003507FE">
        <w:t xml:space="preserve">  </w:t>
      </w:r>
      <w:r w:rsidR="0035434A">
        <w:t>At [118]</w:t>
      </w:r>
      <w:r>
        <w:t>,</w:t>
      </w:r>
      <w:r w:rsidR="0035434A">
        <w:t xml:space="preserve"> the </w:t>
      </w:r>
      <w:proofErr w:type="spellStart"/>
      <w:r w:rsidR="00C334E6">
        <w:t>FWC</w:t>
      </w:r>
      <w:proofErr w:type="spellEnd"/>
      <w:r w:rsidR="0035434A">
        <w:t xml:space="preserve"> stated that those submissions</w:t>
      </w:r>
      <w:r>
        <w:t xml:space="preserve"> of the </w:t>
      </w:r>
      <w:proofErr w:type="spellStart"/>
      <w:r>
        <w:t>SDA</w:t>
      </w:r>
      <w:proofErr w:type="spellEnd"/>
      <w:r>
        <w:t xml:space="preserve"> </w:t>
      </w:r>
      <w:r w:rsidR="0035434A">
        <w:t xml:space="preserve">were consistent with the conclusions </w:t>
      </w:r>
      <w:r w:rsidR="00C334E6">
        <w:t xml:space="preserve">which the </w:t>
      </w:r>
      <w:proofErr w:type="spellStart"/>
      <w:r w:rsidR="00C334E6">
        <w:t>FWC</w:t>
      </w:r>
      <w:proofErr w:type="spellEnd"/>
      <w:r w:rsidR="0035434A">
        <w:t xml:space="preserve"> had earlier found to be open on the evidence.  The </w:t>
      </w:r>
      <w:proofErr w:type="spellStart"/>
      <w:r w:rsidR="00C334E6">
        <w:t>FWC</w:t>
      </w:r>
      <w:proofErr w:type="spellEnd"/>
      <w:r w:rsidR="0035434A">
        <w:t xml:space="preserve"> stated that those matters were appropriate for it to take into account.</w:t>
      </w:r>
    </w:p>
    <w:p w:rsidR="000069F1" w:rsidRDefault="00CD2B22" w:rsidP="005C30D1">
      <w:pPr>
        <w:pStyle w:val="ParaNumbering"/>
      </w:pPr>
      <w:r>
        <w:t>From [115] to [167] and under a number of subheadings</w:t>
      </w:r>
      <w:r w:rsidR="003507FE">
        <w:t xml:space="preserve"> referable to the two objectives</w:t>
      </w:r>
      <w:r>
        <w:t xml:space="preserve">, the </w:t>
      </w:r>
      <w:proofErr w:type="spellStart"/>
      <w:r w:rsidR="003507FE">
        <w:t>FWC</w:t>
      </w:r>
      <w:proofErr w:type="spellEnd"/>
      <w:r w:rsidR="003507FE">
        <w:t xml:space="preserve"> set out its</w:t>
      </w:r>
      <w:r>
        <w:t xml:space="preserve"> specific evaluation of each of the </w:t>
      </w:r>
      <w:r w:rsidR="003507FE">
        <w:t xml:space="preserve">factors </w:t>
      </w:r>
      <w:r>
        <w:t>listed in paragraphs (a)-(h) of s  134(1) (</w:t>
      </w:r>
      <w:r w:rsidR="003507FE">
        <w:t xml:space="preserve">the </w:t>
      </w:r>
      <w:r>
        <w:t>modern awards objective) and paragraphs (a)-(e) of s</w:t>
      </w:r>
      <w:r w:rsidR="00993DF1">
        <w:t> </w:t>
      </w:r>
      <w:r>
        <w:t>284(1) (</w:t>
      </w:r>
      <w:r w:rsidR="003507FE">
        <w:t xml:space="preserve">the </w:t>
      </w:r>
      <w:r>
        <w:t xml:space="preserve">minimum wages objective).  </w:t>
      </w:r>
      <w:r w:rsidR="003B7397">
        <w:t>The Full Bench</w:t>
      </w:r>
      <w:r>
        <w:t xml:space="preserve"> ordered its evaluation of those </w:t>
      </w:r>
      <w:r w:rsidR="003507FE">
        <w:t xml:space="preserve">factors </w:t>
      </w:r>
      <w:r>
        <w:t>by grouping together those paragraphs which</w:t>
      </w:r>
      <w:r w:rsidR="003B7397">
        <w:t>,</w:t>
      </w:r>
      <w:r>
        <w:t xml:space="preserve"> </w:t>
      </w:r>
      <w:r w:rsidR="003B7397">
        <w:t xml:space="preserve">in its view, </w:t>
      </w:r>
      <w:r w:rsidR="003507FE">
        <w:t>dealt</w:t>
      </w:r>
      <w:r>
        <w:t xml:space="preserve"> with the same or similar subject matter.  The subheadings </w:t>
      </w:r>
      <w:r w:rsidR="00E65FE8">
        <w:t xml:space="preserve">used, </w:t>
      </w:r>
      <w:r>
        <w:t>which identify the broad subject matter</w:t>
      </w:r>
      <w:r w:rsidR="003507FE">
        <w:t>s</w:t>
      </w:r>
      <w:r>
        <w:t xml:space="preserve"> under consideration</w:t>
      </w:r>
      <w:r w:rsidR="00E65FE8">
        <w:t>,</w:t>
      </w:r>
      <w:r>
        <w:t xml:space="preserve"> were as follows:</w:t>
      </w:r>
    </w:p>
    <w:p w:rsidR="000069F1" w:rsidRPr="00FE0C52" w:rsidRDefault="000069F1" w:rsidP="000069F1">
      <w:pPr>
        <w:pStyle w:val="FCBullets"/>
      </w:pPr>
      <w:r w:rsidRPr="00FE0C52">
        <w:t xml:space="preserve">Sections 134(1)(a) and 284(1)(c): </w:t>
      </w:r>
      <w:r w:rsidRPr="00FE0C52">
        <w:rPr>
          <w:iCs/>
        </w:rPr>
        <w:t>Relative living standards and the needs of the low paid;</w:t>
      </w:r>
    </w:p>
    <w:p w:rsidR="000069F1" w:rsidRPr="00FE0C52" w:rsidRDefault="000069F1" w:rsidP="000069F1">
      <w:pPr>
        <w:pStyle w:val="FCBullets"/>
      </w:pPr>
      <w:r w:rsidRPr="00FE0C52">
        <w:rPr>
          <w:iCs/>
        </w:rPr>
        <w:t>Section 134(1)(b): Need to encourage collective bargaining;</w:t>
      </w:r>
    </w:p>
    <w:p w:rsidR="000069F1" w:rsidRPr="00FE0C52" w:rsidRDefault="000069F1" w:rsidP="000069F1">
      <w:pPr>
        <w:pStyle w:val="FCBullets"/>
      </w:pPr>
      <w:r w:rsidRPr="00FE0C52">
        <w:rPr>
          <w:iCs/>
        </w:rPr>
        <w:t>Section</w:t>
      </w:r>
      <w:r w:rsidR="00AD2E19">
        <w:rPr>
          <w:iCs/>
        </w:rPr>
        <w:t>s</w:t>
      </w:r>
      <w:r w:rsidRPr="00FE0C52">
        <w:rPr>
          <w:iCs/>
        </w:rPr>
        <w:t xml:space="preserve"> 134(1)(c) and 284(1)(b): Promote social inclusion through increased workforce participation;</w:t>
      </w:r>
    </w:p>
    <w:p w:rsidR="000069F1" w:rsidRPr="00FE0C52" w:rsidRDefault="000069F1" w:rsidP="000069F1">
      <w:pPr>
        <w:pStyle w:val="FCBullets"/>
      </w:pPr>
      <w:r w:rsidRPr="00FE0C52">
        <w:rPr>
          <w:iCs/>
        </w:rPr>
        <w:t xml:space="preserve">Section 134(1)(d): Promote flexible modern work </w:t>
      </w:r>
      <w:r w:rsidR="00C709F4" w:rsidRPr="00FE0C52">
        <w:rPr>
          <w:iCs/>
        </w:rPr>
        <w:t>practices and the efficient and productive performance o</w:t>
      </w:r>
      <w:r w:rsidR="00CD574B" w:rsidRPr="00FE0C52">
        <w:rPr>
          <w:iCs/>
        </w:rPr>
        <w:t>f work</w:t>
      </w:r>
      <w:r w:rsidR="00993DF1">
        <w:rPr>
          <w:iCs/>
        </w:rPr>
        <w:t>;</w:t>
      </w:r>
    </w:p>
    <w:p w:rsidR="00C709F4" w:rsidRPr="00FE0C52" w:rsidRDefault="00C709F4" w:rsidP="000069F1">
      <w:pPr>
        <w:pStyle w:val="FCBullets"/>
      </w:pPr>
      <w:r w:rsidRPr="00FE0C52">
        <w:rPr>
          <w:iCs/>
        </w:rPr>
        <w:t>Sections 134(1)(e)</w:t>
      </w:r>
      <w:r w:rsidR="00A017CA" w:rsidRPr="00FE0C52">
        <w:rPr>
          <w:iCs/>
        </w:rPr>
        <w:t xml:space="preserve"> </w:t>
      </w:r>
      <w:r w:rsidRPr="00FE0C52">
        <w:rPr>
          <w:iCs/>
        </w:rPr>
        <w:t>and 284(1)(d): Equal remuneration for wo</w:t>
      </w:r>
      <w:r w:rsidR="00CD574B" w:rsidRPr="00FE0C52">
        <w:rPr>
          <w:iCs/>
        </w:rPr>
        <w:t>rk of equal or comparable value</w:t>
      </w:r>
      <w:r w:rsidRPr="00FE0C52">
        <w:rPr>
          <w:iCs/>
        </w:rPr>
        <w:t>;</w:t>
      </w:r>
    </w:p>
    <w:p w:rsidR="00C709F4" w:rsidRPr="00FE0C52" w:rsidRDefault="00C709F4" w:rsidP="000069F1">
      <w:pPr>
        <w:pStyle w:val="FCBullets"/>
      </w:pPr>
      <w:r w:rsidRPr="00FE0C52">
        <w:rPr>
          <w:iCs/>
        </w:rPr>
        <w:lastRenderedPageBreak/>
        <w:t>Section 134(1)(g): Simple, easy to understand, stable and sust</w:t>
      </w:r>
      <w:r w:rsidR="00CD574B" w:rsidRPr="00FE0C52">
        <w:rPr>
          <w:iCs/>
        </w:rPr>
        <w:t xml:space="preserve">ainable modern award system </w:t>
      </w:r>
      <w:proofErr w:type="spellStart"/>
      <w:r w:rsidR="00CD574B" w:rsidRPr="00FE0C52">
        <w:rPr>
          <w:iCs/>
        </w:rPr>
        <w:t>etc</w:t>
      </w:r>
      <w:proofErr w:type="spellEnd"/>
      <w:r w:rsidRPr="00FE0C52">
        <w:rPr>
          <w:iCs/>
        </w:rPr>
        <w:t>; and</w:t>
      </w:r>
    </w:p>
    <w:p w:rsidR="00C709F4" w:rsidRPr="00FE0C52" w:rsidRDefault="00C709F4" w:rsidP="000069F1">
      <w:pPr>
        <w:pStyle w:val="FCBullets"/>
      </w:pPr>
      <w:r w:rsidRPr="00FE0C52">
        <w:t>Sections 134(1)(f) and (h) and 284(1)(a): Impact on business, productivity, employment costs, e</w:t>
      </w:r>
      <w:r w:rsidR="00CD574B" w:rsidRPr="00FE0C52">
        <w:t>mployment growth, inflation etc</w:t>
      </w:r>
      <w:r w:rsidRPr="00FE0C52">
        <w:t>.</w:t>
      </w:r>
    </w:p>
    <w:p w:rsidR="00C709F4" w:rsidRDefault="00C709F4" w:rsidP="005C30D1">
      <w:pPr>
        <w:pStyle w:val="ParaNumbering"/>
      </w:pPr>
      <w:r>
        <w:t xml:space="preserve">The ultimate conclusions of the </w:t>
      </w:r>
      <w:proofErr w:type="spellStart"/>
      <w:r w:rsidR="00C334E6">
        <w:t>FWC</w:t>
      </w:r>
      <w:proofErr w:type="spellEnd"/>
      <w:r>
        <w:t xml:space="preserve"> were set out at [16</w:t>
      </w:r>
      <w:r w:rsidR="00C334E6">
        <w:t>9</w:t>
      </w:r>
      <w:r>
        <w:t>]-[174]</w:t>
      </w:r>
      <w:r w:rsidR="003507FE">
        <w:t>:</w:t>
      </w:r>
    </w:p>
    <w:p w:rsidR="00C709F4" w:rsidRDefault="00C709F4" w:rsidP="00C709F4">
      <w:pPr>
        <w:pStyle w:val="Quote1"/>
        <w:ind w:left="1440" w:hanging="703"/>
      </w:pPr>
      <w:r>
        <w:t>[169]</w:t>
      </w:r>
      <w:r>
        <w:tab/>
        <w:t xml:space="preserve">We have decided that the Award is not achieving the modern awards and minimum wages objectives. We consider that the discounted rate for all 20 year old retail employees is not a fair and relevant minimum safety net. In reaching this conclusion the witness and documentary evidence specific to the retail industry </w:t>
      </w:r>
      <w:r w:rsidR="00993DF1">
        <w:t>has been of primary importance.</w:t>
      </w:r>
    </w:p>
    <w:p w:rsidR="00C709F4" w:rsidRDefault="00C709F4" w:rsidP="00993DF1">
      <w:pPr>
        <w:pStyle w:val="Quote1"/>
      </w:pPr>
    </w:p>
    <w:p w:rsidR="00C709F4" w:rsidRDefault="00C709F4" w:rsidP="00C709F4">
      <w:pPr>
        <w:pStyle w:val="Quote1"/>
        <w:ind w:left="1440" w:hanging="703"/>
      </w:pPr>
      <w:r>
        <w:t>[170]</w:t>
      </w:r>
      <w:r>
        <w:tab/>
        <w:t xml:space="preserve">The </w:t>
      </w:r>
      <w:proofErr w:type="spellStart"/>
      <w:r>
        <w:t>SDA</w:t>
      </w:r>
      <w:proofErr w:type="spellEnd"/>
      <w:r>
        <w:t xml:space="preserve"> submitted that we should draw various conclusions based on the evidence presented in this case. Our comments and findings on the evidence are set out earlier in this decision. In general we are of the view that the evidence, considered in the context of the modern awards and minimum wages objectives, predominantly weighs in favour of adjusting the rates of pay for 20 year old retail employees. In particular we have decided that the adjustment is appropriate and is necessary for those objectives to be achieved.</w:t>
      </w:r>
    </w:p>
    <w:p w:rsidR="00AB16F4" w:rsidRDefault="00AB16F4" w:rsidP="00C709F4">
      <w:pPr>
        <w:pStyle w:val="Quote1"/>
        <w:ind w:left="1440" w:hanging="703"/>
      </w:pPr>
    </w:p>
    <w:p w:rsidR="00AB16F4" w:rsidRDefault="00AB16F4" w:rsidP="00C709F4">
      <w:pPr>
        <w:pStyle w:val="Quote1"/>
        <w:ind w:left="1440" w:hanging="703"/>
      </w:pPr>
      <w:r w:rsidRPr="00AB16F4">
        <w:t xml:space="preserve">[171] </w:t>
      </w:r>
      <w:r>
        <w:tab/>
      </w:r>
      <w:r w:rsidRPr="00AB16F4">
        <w:t xml:space="preserve">The evidence presented by both the </w:t>
      </w:r>
      <w:proofErr w:type="spellStart"/>
      <w:r w:rsidRPr="00AB16F4">
        <w:t>SDA</w:t>
      </w:r>
      <w:proofErr w:type="spellEnd"/>
      <w:r w:rsidRPr="00AB16F4">
        <w:t xml:space="preserve"> and the employers generally supports a conclusion that most junior retail employees achieve a satisfactory level of proficiency in their roles after about six months in employment. Further, much of the evidence suggests that there is little difference in the duties and responsibilities assigned to 20 and 21 year old retail employees or in the level of supervision required in relation to those employees.</w:t>
      </w:r>
    </w:p>
    <w:p w:rsidR="00AB16F4" w:rsidRDefault="00AB16F4" w:rsidP="00C709F4">
      <w:pPr>
        <w:pStyle w:val="Quote1"/>
        <w:ind w:left="1440" w:hanging="703"/>
      </w:pPr>
    </w:p>
    <w:p w:rsidR="00AB16F4" w:rsidRDefault="00AB16F4" w:rsidP="005C30D1">
      <w:pPr>
        <w:pStyle w:val="ParaNumbering"/>
      </w:pPr>
      <w:r>
        <w:t>At [172], the Full Bench explained why it had concluded that it was appropriate that 20</w:t>
      </w:r>
      <w:r w:rsidR="001C01BB">
        <w:t>-</w:t>
      </w:r>
      <w:r>
        <w:t>year</w:t>
      </w:r>
      <w:r w:rsidR="001C01BB">
        <w:t>-</w:t>
      </w:r>
      <w:r>
        <w:t xml:space="preserve">old employees should be entitled to the adult rate of pay provided that they </w:t>
      </w:r>
      <w:r w:rsidR="00CD574B">
        <w:t xml:space="preserve">had </w:t>
      </w:r>
      <w:r>
        <w:t>worked for the</w:t>
      </w:r>
      <w:r w:rsidR="00603378">
        <w:t>ir</w:t>
      </w:r>
      <w:r>
        <w:t xml:space="preserve"> employer for more than six months.  At [174], the decision dealt with the phasing in of the variation the Full Bench determined to make.</w:t>
      </w:r>
    </w:p>
    <w:p w:rsidR="00993DF1" w:rsidRDefault="00993DF1" w:rsidP="00993DF1">
      <w:pPr>
        <w:pStyle w:val="Heading1"/>
      </w:pPr>
      <w:r>
        <w:t>CONSIDERATION</w:t>
      </w:r>
    </w:p>
    <w:p w:rsidR="00FE4A7D" w:rsidRDefault="00FE4A7D" w:rsidP="005C30D1">
      <w:pPr>
        <w:pStyle w:val="ParaNumbering"/>
      </w:pPr>
      <w:r>
        <w:t xml:space="preserve">The NRA’s submissions did not closely correspond with the grounds of challenge specified in the affidavit filed in support of its application.  To some extent the </w:t>
      </w:r>
      <w:r w:rsidR="007929A3">
        <w:t xml:space="preserve">specified grounds </w:t>
      </w:r>
      <w:r>
        <w:t xml:space="preserve">overlap.  To some extent the submissions of the NRA strayed beyond the propositions </w:t>
      </w:r>
      <w:r w:rsidR="007929A3">
        <w:t>propound</w:t>
      </w:r>
      <w:r w:rsidR="001A6C73">
        <w:t>ed</w:t>
      </w:r>
      <w:r w:rsidR="007929A3">
        <w:t xml:space="preserve"> by</w:t>
      </w:r>
      <w:r>
        <w:t xml:space="preserve"> those grounds.  It is convenient</w:t>
      </w:r>
      <w:r w:rsidR="007929A3">
        <w:t>, however,</w:t>
      </w:r>
      <w:r>
        <w:t xml:space="preserve"> that we </w:t>
      </w:r>
      <w:r w:rsidR="003507FE">
        <w:t>deal with</w:t>
      </w:r>
      <w:r>
        <w:t xml:space="preserve"> the issues for determination principally by reference to the grounds </w:t>
      </w:r>
      <w:r w:rsidR="003507FE">
        <w:t xml:space="preserve">identified in the affidavit </w:t>
      </w:r>
      <w:r>
        <w:t>which accompanied the NRA’s application.</w:t>
      </w:r>
    </w:p>
    <w:p w:rsidR="00D85308" w:rsidRDefault="00FE4A7D" w:rsidP="005C30D1">
      <w:pPr>
        <w:pStyle w:val="ParaNumbering"/>
      </w:pPr>
      <w:r>
        <w:t xml:space="preserve">The </w:t>
      </w:r>
      <w:r w:rsidR="00F81F68">
        <w:t>five</w:t>
      </w:r>
      <w:r>
        <w:t xml:space="preserve"> grounds specified by the NRA in </w:t>
      </w:r>
      <w:r w:rsidR="003507FE">
        <w:t>that affidavit were as follows</w:t>
      </w:r>
      <w:r w:rsidR="00D85308">
        <w:t>:</w:t>
      </w:r>
    </w:p>
    <w:p w:rsidR="00D85308" w:rsidRDefault="003507FE" w:rsidP="00D85308">
      <w:pPr>
        <w:pStyle w:val="ListNo"/>
        <w:numPr>
          <w:ilvl w:val="4"/>
          <w:numId w:val="3"/>
        </w:numPr>
        <w:tabs>
          <w:tab w:val="clear" w:pos="3600"/>
        </w:tabs>
        <w:ind w:left="709" w:hanging="709"/>
      </w:pPr>
      <w:r>
        <w:lastRenderedPageBreak/>
        <w:t>T</w:t>
      </w:r>
      <w:r w:rsidR="00D85308">
        <w:t xml:space="preserve">he </w:t>
      </w:r>
      <w:proofErr w:type="spellStart"/>
      <w:r w:rsidR="00D85308">
        <w:t>FWC</w:t>
      </w:r>
      <w:proofErr w:type="spellEnd"/>
      <w:r w:rsidR="00D85308">
        <w:t xml:space="preserve"> had asked itself the wrong question by considering cl</w:t>
      </w:r>
      <w:r w:rsidR="00944BBE">
        <w:t> </w:t>
      </w:r>
      <w:r w:rsidR="00D85308">
        <w:t>18 of the Retail Award in isolation</w:t>
      </w:r>
      <w:r w:rsidR="00C524F1">
        <w:t>,</w:t>
      </w:r>
      <w:r w:rsidR="00D85308">
        <w:t xml:space="preserve"> rather than reviewing the Retail Award as a whole</w:t>
      </w:r>
      <w:r w:rsidR="00C524F1">
        <w:t>,</w:t>
      </w:r>
      <w:r w:rsidR="00D85308">
        <w:t xml:space="preserve"> as required by Item 6(2)</w:t>
      </w:r>
      <w:r w:rsidR="00C524F1">
        <w:t xml:space="preserve"> (</w:t>
      </w:r>
      <w:r w:rsidR="00C524F1">
        <w:rPr>
          <w:b/>
        </w:rPr>
        <w:t xml:space="preserve">ground </w:t>
      </w:r>
      <w:r w:rsidR="00FE4A7D">
        <w:rPr>
          <w:b/>
        </w:rPr>
        <w:t>(i)</w:t>
      </w:r>
      <w:r w:rsidR="00C524F1">
        <w:t>)</w:t>
      </w:r>
      <w:r w:rsidR="002045EE">
        <w:t>.</w:t>
      </w:r>
    </w:p>
    <w:p w:rsidR="00D85308" w:rsidRDefault="003507FE" w:rsidP="00D85308">
      <w:pPr>
        <w:pStyle w:val="ListNo"/>
        <w:numPr>
          <w:ilvl w:val="4"/>
          <w:numId w:val="3"/>
        </w:numPr>
        <w:tabs>
          <w:tab w:val="clear" w:pos="3600"/>
        </w:tabs>
        <w:ind w:left="709" w:hanging="709"/>
      </w:pPr>
      <w:r>
        <w:t>T</w:t>
      </w:r>
      <w:r w:rsidR="00D85308">
        <w:t xml:space="preserve">he </w:t>
      </w:r>
      <w:proofErr w:type="spellStart"/>
      <w:r w:rsidR="00D85308">
        <w:t>FWC</w:t>
      </w:r>
      <w:proofErr w:type="spellEnd"/>
      <w:r w:rsidR="00D85308">
        <w:t xml:space="preserve"> misunderstood its function under Item 6(2) by disaggregating Item 6(2)(a) from Item 6(2)(b) in its review and inserting</w:t>
      </w:r>
      <w:r w:rsidR="00CD574B">
        <w:t>,</w:t>
      </w:r>
      <w:r w:rsidR="00D85308">
        <w:t xml:space="preserve"> in place of Item 6(2)(b)</w:t>
      </w:r>
      <w:r w:rsidR="00CD574B">
        <w:t>,</w:t>
      </w:r>
      <w:r w:rsidR="00D85308">
        <w:t xml:space="preserve"> a reference to s</w:t>
      </w:r>
      <w:r w:rsidR="00AF60C7">
        <w:t> </w:t>
      </w:r>
      <w:r w:rsidR="00D85308">
        <w:t xml:space="preserve">284 of the FW Act in circumstances where </w:t>
      </w:r>
      <w:r w:rsidR="00C524F1">
        <w:t xml:space="preserve">s 284 </w:t>
      </w:r>
      <w:r w:rsidR="00D85308">
        <w:t xml:space="preserve">considerations were not relevant to the </w:t>
      </w:r>
      <w:proofErr w:type="spellStart"/>
      <w:r w:rsidR="00D85308">
        <w:t>FWC’s</w:t>
      </w:r>
      <w:proofErr w:type="spellEnd"/>
      <w:r w:rsidR="00D85308">
        <w:t xml:space="preserve"> task until the review</w:t>
      </w:r>
      <w:r w:rsidR="00C524F1">
        <w:t>,</w:t>
      </w:r>
      <w:r w:rsidR="00D85308">
        <w:t xml:space="preserve"> in accordance with Item 6(2)</w:t>
      </w:r>
      <w:r w:rsidR="007929A3">
        <w:t>,</w:t>
      </w:r>
      <w:r w:rsidR="00D85308">
        <w:t xml:space="preserve"> had concluded that variations to the Retail Award were necessary</w:t>
      </w:r>
      <w:r w:rsidR="00C524F1">
        <w:t xml:space="preserve"> (</w:t>
      </w:r>
      <w:r w:rsidR="00C524F1">
        <w:rPr>
          <w:b/>
        </w:rPr>
        <w:t xml:space="preserve">ground </w:t>
      </w:r>
      <w:r w:rsidR="00FE4A7D">
        <w:rPr>
          <w:b/>
        </w:rPr>
        <w:t>(ii)</w:t>
      </w:r>
      <w:r w:rsidR="00C524F1">
        <w:t>)</w:t>
      </w:r>
      <w:r w:rsidR="002045EE">
        <w:t>.</w:t>
      </w:r>
    </w:p>
    <w:p w:rsidR="00D85308" w:rsidRDefault="003507FE" w:rsidP="00EB5A33">
      <w:pPr>
        <w:pStyle w:val="ListNo"/>
        <w:numPr>
          <w:ilvl w:val="4"/>
          <w:numId w:val="3"/>
        </w:numPr>
        <w:tabs>
          <w:tab w:val="clear" w:pos="3600"/>
        </w:tabs>
        <w:ind w:left="709" w:hanging="709"/>
      </w:pPr>
      <w:r>
        <w:t>T</w:t>
      </w:r>
      <w:r w:rsidR="00D85308">
        <w:t xml:space="preserve">he </w:t>
      </w:r>
      <w:proofErr w:type="spellStart"/>
      <w:r w:rsidR="00D85308">
        <w:t>FWC</w:t>
      </w:r>
      <w:proofErr w:type="spellEnd"/>
      <w:r w:rsidR="00D85308">
        <w:t xml:space="preserve"> misunderstood its function by approaching the </w:t>
      </w:r>
      <w:r w:rsidR="00EB5A33">
        <w:t>matter as though it was dealing with an application to vary the Retail Award under s</w:t>
      </w:r>
      <w:r w:rsidR="00944BBE">
        <w:t> </w:t>
      </w:r>
      <w:r w:rsidR="00EB5A33">
        <w:t>157 of the FW Act rather than conducting a review under Item 6(2)</w:t>
      </w:r>
      <w:r w:rsidR="00C524F1">
        <w:t xml:space="preserve"> (</w:t>
      </w:r>
      <w:r w:rsidR="00C524F1">
        <w:rPr>
          <w:b/>
        </w:rPr>
        <w:t xml:space="preserve">ground </w:t>
      </w:r>
      <w:r w:rsidR="00FE4A7D">
        <w:rPr>
          <w:b/>
        </w:rPr>
        <w:t>(iii)</w:t>
      </w:r>
      <w:r w:rsidR="00C524F1">
        <w:t>)</w:t>
      </w:r>
      <w:r w:rsidR="00EB5A33">
        <w:t>.</w:t>
      </w:r>
    </w:p>
    <w:p w:rsidR="00BB12E3" w:rsidRDefault="003507FE" w:rsidP="00EB5A33">
      <w:pPr>
        <w:pStyle w:val="ListNo"/>
        <w:numPr>
          <w:ilvl w:val="4"/>
          <w:numId w:val="3"/>
        </w:numPr>
        <w:tabs>
          <w:tab w:val="clear" w:pos="3600"/>
        </w:tabs>
        <w:ind w:left="709" w:hanging="709"/>
      </w:pPr>
      <w:r>
        <w:t>T</w:t>
      </w:r>
      <w:r w:rsidR="00BB12E3">
        <w:t xml:space="preserve">he </w:t>
      </w:r>
      <w:proofErr w:type="spellStart"/>
      <w:r w:rsidR="00BB12E3">
        <w:t>FWC</w:t>
      </w:r>
      <w:proofErr w:type="spellEnd"/>
      <w:r w:rsidR="00BB12E3">
        <w:t xml:space="preserve"> took into account irrelevant considerations</w:t>
      </w:r>
      <w:r>
        <w:t xml:space="preserve"> (described as</w:t>
      </w:r>
      <w:r w:rsidR="00BB12E3">
        <w:t xml:space="preserve"> </w:t>
      </w:r>
      <w:r w:rsidR="00BE52F8">
        <w:t>“</w:t>
      </w:r>
      <w:r w:rsidR="00BB12E3">
        <w:t>work value reasons</w:t>
      </w:r>
      <w:r w:rsidR="00BE52F8">
        <w:t>”</w:t>
      </w:r>
      <w:r>
        <w:t>)</w:t>
      </w:r>
      <w:r w:rsidR="00CD574B">
        <w:t xml:space="preserve"> (</w:t>
      </w:r>
      <w:r w:rsidR="00CD574B">
        <w:rPr>
          <w:b/>
        </w:rPr>
        <w:t>ground (iv)</w:t>
      </w:r>
      <w:r w:rsidR="00CD574B">
        <w:t>)</w:t>
      </w:r>
      <w:r w:rsidR="00BB12E3">
        <w:t>.</w:t>
      </w:r>
    </w:p>
    <w:p w:rsidR="00BB12E3" w:rsidRDefault="00BB12E3" w:rsidP="00EB5A33">
      <w:pPr>
        <w:pStyle w:val="ListNo"/>
        <w:numPr>
          <w:ilvl w:val="4"/>
          <w:numId w:val="3"/>
        </w:numPr>
        <w:tabs>
          <w:tab w:val="clear" w:pos="3600"/>
        </w:tabs>
        <w:ind w:left="709" w:hanging="709"/>
      </w:pPr>
      <w:r>
        <w:t xml:space="preserve">The </w:t>
      </w:r>
      <w:proofErr w:type="spellStart"/>
      <w:r>
        <w:t>FWC</w:t>
      </w:r>
      <w:proofErr w:type="spellEnd"/>
      <w:r>
        <w:t xml:space="preserve"> failed to act logically and rationally in making certain factual findings</w:t>
      </w:r>
      <w:r w:rsidR="00CD574B">
        <w:t xml:space="preserve"> (</w:t>
      </w:r>
      <w:r w:rsidR="00CD574B">
        <w:rPr>
          <w:b/>
        </w:rPr>
        <w:t>ground (vi)</w:t>
      </w:r>
      <w:r w:rsidR="00CD574B">
        <w:t>)</w:t>
      </w:r>
      <w:r>
        <w:t>.</w:t>
      </w:r>
    </w:p>
    <w:p w:rsidR="005918A0" w:rsidRDefault="007929A3" w:rsidP="00944BBE">
      <w:pPr>
        <w:pStyle w:val="Heading2"/>
      </w:pPr>
      <w:r>
        <w:t>Does Item 6 require a two-stage decision making process?</w:t>
      </w:r>
    </w:p>
    <w:p w:rsidR="00FD6083" w:rsidRDefault="00CC77C6" w:rsidP="00907F67">
      <w:pPr>
        <w:pStyle w:val="ParaNumbering"/>
      </w:pPr>
      <w:r>
        <w:t xml:space="preserve">It is convenient </w:t>
      </w:r>
      <w:r w:rsidR="00FD6083">
        <w:t>to</w:t>
      </w:r>
      <w:r>
        <w:t xml:space="preserve"> </w:t>
      </w:r>
      <w:r w:rsidR="009B2C1C">
        <w:t>deal first with</w:t>
      </w:r>
      <w:r>
        <w:t xml:space="preserve"> t</w:t>
      </w:r>
      <w:r w:rsidR="005918A0">
        <w:t xml:space="preserve">he NRA’s </w:t>
      </w:r>
      <w:r>
        <w:t xml:space="preserve">overarching </w:t>
      </w:r>
      <w:r w:rsidR="005918A0">
        <w:t>contention</w:t>
      </w:r>
      <w:r w:rsidR="003F50D1">
        <w:t xml:space="preserve"> </w:t>
      </w:r>
      <w:r w:rsidR="005918A0">
        <w:t>that Item 6 requires a two-stage decision making process in which s</w:t>
      </w:r>
      <w:r>
        <w:t>eparate decisions are required</w:t>
      </w:r>
      <w:r w:rsidR="003F50D1">
        <w:t xml:space="preserve"> at each stage.</w:t>
      </w:r>
      <w:r>
        <w:t xml:space="preserve">  </w:t>
      </w:r>
      <w:r w:rsidR="00A3534E">
        <w:t>The</w:t>
      </w:r>
      <w:r>
        <w:t xml:space="preserve"> </w:t>
      </w:r>
      <w:r w:rsidR="00A3534E">
        <w:t>approach</w:t>
      </w:r>
      <w:r>
        <w:t xml:space="preserve"> essentially </w:t>
      </w:r>
      <w:r w:rsidR="00A3534E">
        <w:t xml:space="preserve">involved dividing </w:t>
      </w:r>
      <w:r w:rsidR="006A4DFE">
        <w:t>the item</w:t>
      </w:r>
      <w:r>
        <w:t xml:space="preserve"> into two </w:t>
      </w:r>
      <w:r w:rsidR="00FD6083">
        <w:t xml:space="preserve">distinct </w:t>
      </w:r>
      <w:r>
        <w:t>processes</w:t>
      </w:r>
      <w:r w:rsidR="00FD6083">
        <w:t>:  t</w:t>
      </w:r>
      <w:r>
        <w:t>he first – the review stage – regulated by Item 6(2) and (</w:t>
      </w:r>
      <w:proofErr w:type="spellStart"/>
      <w:r>
        <w:t>2A</w:t>
      </w:r>
      <w:proofErr w:type="spellEnd"/>
      <w:r>
        <w:t>)</w:t>
      </w:r>
      <w:r w:rsidR="00FD6083">
        <w:t xml:space="preserve">, </w:t>
      </w:r>
      <w:r w:rsidR="00D07E73">
        <w:t xml:space="preserve">and </w:t>
      </w:r>
      <w:r w:rsidR="00FD6083">
        <w:t xml:space="preserve">the </w:t>
      </w:r>
      <w:r>
        <w:t>second – the variation stage – regulated by Item 6(3) and (4).</w:t>
      </w:r>
      <w:r w:rsidR="00E45565">
        <w:t xml:space="preserve">  Th</w:t>
      </w:r>
      <w:r w:rsidR="00A3534E">
        <w:t>is</w:t>
      </w:r>
      <w:r w:rsidR="00E45565">
        <w:t xml:space="preserve"> construction of Item 6 was fundamental to ground (ii) and also taken up by ground (i).</w:t>
      </w:r>
    </w:p>
    <w:p w:rsidR="005918A0" w:rsidRDefault="00FD6083" w:rsidP="00907F67">
      <w:pPr>
        <w:pStyle w:val="ParaNumbering"/>
      </w:pPr>
      <w:r>
        <w:t xml:space="preserve">We </w:t>
      </w:r>
      <w:r w:rsidR="007929A3">
        <w:t xml:space="preserve">reject </w:t>
      </w:r>
      <w:r w:rsidR="009B2C1C">
        <w:t xml:space="preserve">this </w:t>
      </w:r>
      <w:r>
        <w:t>contention</w:t>
      </w:r>
      <w:r w:rsidR="007929A3">
        <w:t>.</w:t>
      </w:r>
    </w:p>
    <w:p w:rsidR="00C153FD" w:rsidRDefault="00550E08" w:rsidP="005C30D1">
      <w:pPr>
        <w:pStyle w:val="ParaNumbering"/>
      </w:pPr>
      <w:r>
        <w:t>It is apparent</w:t>
      </w:r>
      <w:r w:rsidR="00FD6083">
        <w:t xml:space="preserve"> </w:t>
      </w:r>
      <w:r>
        <w:t xml:space="preserve">from </w:t>
      </w:r>
      <w:r w:rsidR="00FD6083">
        <w:t>its terms</w:t>
      </w:r>
      <w:r>
        <w:t xml:space="preserve"> that</w:t>
      </w:r>
      <w:r w:rsidR="00CC77C6">
        <w:t>,</w:t>
      </w:r>
      <w:r>
        <w:t xml:space="preserve"> of itself</w:t>
      </w:r>
      <w:r w:rsidR="00CC77C6">
        <w:t>,</w:t>
      </w:r>
      <w:r>
        <w:t xml:space="preserve"> </w:t>
      </w:r>
      <w:r w:rsidR="00A83C1E">
        <w:t>Item 6(2)</w:t>
      </w:r>
      <w:r>
        <w:t xml:space="preserve"> neither poses any questions nor requires any questions to be </w:t>
      </w:r>
      <w:r w:rsidR="00FD6083">
        <w:t>answered</w:t>
      </w:r>
      <w:r>
        <w:t xml:space="preserve">.  What Item 6(2) requires is that the </w:t>
      </w:r>
      <w:proofErr w:type="spellStart"/>
      <w:r>
        <w:t>FWC</w:t>
      </w:r>
      <w:proofErr w:type="spellEnd"/>
      <w:r>
        <w:t xml:space="preserve"> </w:t>
      </w:r>
      <w:r w:rsidR="00BE52F8">
        <w:t>“</w:t>
      </w:r>
      <w:r>
        <w:t>consider</w:t>
      </w:r>
      <w:r w:rsidR="00BE52F8">
        <w:t>”</w:t>
      </w:r>
      <w:r>
        <w:t xml:space="preserve"> the Item</w:t>
      </w:r>
      <w:r w:rsidR="00FD6083">
        <w:t> </w:t>
      </w:r>
      <w:r>
        <w:t xml:space="preserve">6(2) objectives.  The statutory direction that a decision-maker </w:t>
      </w:r>
      <w:r w:rsidR="00BE52F8">
        <w:t>“</w:t>
      </w:r>
      <w:r w:rsidR="00C153FD">
        <w:t>must consider</w:t>
      </w:r>
      <w:r w:rsidR="00BE52F8">
        <w:t>”</w:t>
      </w:r>
      <w:r w:rsidR="00CC77C6">
        <w:t xml:space="preserve"> or </w:t>
      </w:r>
      <w:r w:rsidR="00BE52F8">
        <w:t>“</w:t>
      </w:r>
      <w:r w:rsidR="00CC77C6">
        <w:t>have regard to</w:t>
      </w:r>
      <w:r w:rsidR="00BE52F8">
        <w:t>”</w:t>
      </w:r>
      <w:r w:rsidR="00C153FD">
        <w:t xml:space="preserve"> a matter</w:t>
      </w:r>
      <w:r w:rsidR="001A6C73">
        <w:t xml:space="preserve"> </w:t>
      </w:r>
      <w:r w:rsidR="00C153FD">
        <w:t xml:space="preserve">is a directive </w:t>
      </w:r>
      <w:r w:rsidR="00D53324">
        <w:t>to a</w:t>
      </w:r>
      <w:r w:rsidR="00CC77C6">
        <w:t xml:space="preserve"> decision</w:t>
      </w:r>
      <w:r w:rsidR="002A3943">
        <w:t>-</w:t>
      </w:r>
      <w:r w:rsidR="00CC77C6">
        <w:t xml:space="preserve">maker </w:t>
      </w:r>
      <w:r w:rsidR="00D53324">
        <w:t xml:space="preserve">to take that matter into account and </w:t>
      </w:r>
      <w:r w:rsidR="00CC77C6">
        <w:t xml:space="preserve">give weight </w:t>
      </w:r>
      <w:r w:rsidR="005B638B">
        <w:t>to it</w:t>
      </w:r>
      <w:r w:rsidR="00CC77C6">
        <w:t xml:space="preserve"> </w:t>
      </w:r>
      <w:r w:rsidR="00BE52F8">
        <w:t>“</w:t>
      </w:r>
      <w:r w:rsidR="00CC77C6">
        <w:t>as a fundamental element i</w:t>
      </w:r>
      <w:r w:rsidR="00D53324">
        <w:t>n</w:t>
      </w:r>
      <w:r w:rsidR="00CC77C6">
        <w:t xml:space="preserve"> making its determination</w:t>
      </w:r>
      <w:r w:rsidR="00BE52F8">
        <w:t>”</w:t>
      </w:r>
      <w:r w:rsidR="00CC77C6">
        <w:t xml:space="preserve">: </w:t>
      </w:r>
      <w:r w:rsidR="00CC77C6">
        <w:rPr>
          <w:i/>
        </w:rPr>
        <w:t xml:space="preserve">R v Hunt; Ex parte Sean Investments Ltd </w:t>
      </w:r>
      <w:r w:rsidR="00CC77C6">
        <w:t>(1979) 180 CLR 322 at 329 (Mason</w:t>
      </w:r>
      <w:r w:rsidR="00944BBE">
        <w:t> </w:t>
      </w:r>
      <w:r w:rsidR="00131A2B">
        <w:t>J)</w:t>
      </w:r>
      <w:r w:rsidR="005B638B">
        <w:t xml:space="preserve">; </w:t>
      </w:r>
      <w:r w:rsidR="005B638B">
        <w:rPr>
          <w:i/>
        </w:rPr>
        <w:t xml:space="preserve">R v </w:t>
      </w:r>
      <w:proofErr w:type="spellStart"/>
      <w:r w:rsidR="005B638B">
        <w:rPr>
          <w:i/>
        </w:rPr>
        <w:t>Toohey</w:t>
      </w:r>
      <w:proofErr w:type="spellEnd"/>
      <w:r w:rsidR="005B638B">
        <w:rPr>
          <w:i/>
        </w:rPr>
        <w:t xml:space="preserve">; Ex parte </w:t>
      </w:r>
      <w:proofErr w:type="spellStart"/>
      <w:r w:rsidR="005B638B">
        <w:rPr>
          <w:i/>
        </w:rPr>
        <w:t>Meneling</w:t>
      </w:r>
      <w:proofErr w:type="spellEnd"/>
      <w:r w:rsidR="005B638B">
        <w:rPr>
          <w:i/>
        </w:rPr>
        <w:t xml:space="preserve"> Station Pty Ltd </w:t>
      </w:r>
      <w:r w:rsidR="005B638B">
        <w:t>(1982) 158 CLR 327 at 333 (Gibbs</w:t>
      </w:r>
      <w:r w:rsidR="00944BBE">
        <w:t> </w:t>
      </w:r>
      <w:r w:rsidR="005B638B">
        <w:t>CJ).</w:t>
      </w:r>
    </w:p>
    <w:p w:rsidR="00C153FD" w:rsidRDefault="00C153FD" w:rsidP="0037170E">
      <w:pPr>
        <w:pStyle w:val="ParaNumbering"/>
      </w:pPr>
      <w:r>
        <w:lastRenderedPageBreak/>
        <w:t xml:space="preserve">Item 6 only confers upon the </w:t>
      </w:r>
      <w:proofErr w:type="spellStart"/>
      <w:r>
        <w:t>FWC</w:t>
      </w:r>
      <w:proofErr w:type="spellEnd"/>
      <w:r>
        <w:t xml:space="preserve"> the power to make one kind of decision or determination</w:t>
      </w:r>
      <w:r w:rsidR="00A3534E">
        <w:t xml:space="preserve">.  That is </w:t>
      </w:r>
      <w:r>
        <w:t xml:space="preserve">a determination varying a modern award </w:t>
      </w:r>
      <w:r w:rsidR="00BE52F8">
        <w:t>“</w:t>
      </w:r>
      <w:r>
        <w:t>to remedy any issues identified in the review</w:t>
      </w:r>
      <w:r w:rsidR="00BE52F8">
        <w:t>”</w:t>
      </w:r>
      <w:r w:rsidR="00A3534E">
        <w:t>:  Item 6(3).</w:t>
      </w:r>
      <w:r w:rsidR="00FD6083">
        <w:t xml:space="preserve">  That sub-item is the central provision in Item 6.  </w:t>
      </w:r>
      <w:r w:rsidR="00B2448D">
        <w:t xml:space="preserve">It is that provision which contains the substantive power conferred on the </w:t>
      </w:r>
      <w:proofErr w:type="spellStart"/>
      <w:r w:rsidR="00B2448D">
        <w:t>FWC</w:t>
      </w:r>
      <w:proofErr w:type="spellEnd"/>
      <w:r w:rsidR="00B2448D">
        <w:t xml:space="preserve"> by Item 6.  </w:t>
      </w:r>
      <w:r w:rsidR="00FD6083">
        <w:t>It</w:t>
      </w:r>
      <w:r w:rsidR="00B2448D">
        <w:t xml:space="preserve"> </w:t>
      </w:r>
      <w:r w:rsidR="0002515C">
        <w:t xml:space="preserve">also </w:t>
      </w:r>
      <w:r w:rsidR="00B2448D">
        <w:t xml:space="preserve">expresses the essence of the function conferred upon the </w:t>
      </w:r>
      <w:proofErr w:type="spellStart"/>
      <w:r w:rsidR="00B2448D">
        <w:t>FWC</w:t>
      </w:r>
      <w:proofErr w:type="spellEnd"/>
      <w:r w:rsidR="00FD6083">
        <w:t>, namely,</w:t>
      </w:r>
      <w:r w:rsidR="00B2448D">
        <w:t xml:space="preserve"> to </w:t>
      </w:r>
      <w:r w:rsidR="00630C2D">
        <w:t xml:space="preserve">decide </w:t>
      </w:r>
      <w:r w:rsidR="00B2448D">
        <w:t xml:space="preserve">whether to </w:t>
      </w:r>
      <w:r w:rsidR="00BE52F8">
        <w:t>“</w:t>
      </w:r>
      <w:r w:rsidR="00B2448D">
        <w:t>make a determination varying any of the modern award</w:t>
      </w:r>
      <w:r w:rsidR="006A7C52">
        <w:t>s</w:t>
      </w:r>
      <w:r w:rsidR="00B2448D">
        <w:t xml:space="preserve"> in any way th</w:t>
      </w:r>
      <w:r w:rsidR="00A22C73">
        <w:t>at</w:t>
      </w:r>
      <w:r w:rsidR="00B2448D">
        <w:t xml:space="preserve"> </w:t>
      </w:r>
      <w:r w:rsidR="00A22C73">
        <w:t>[</w:t>
      </w:r>
      <w:proofErr w:type="spellStart"/>
      <w:r w:rsidR="00B2448D">
        <w:t>FWC</w:t>
      </w:r>
      <w:proofErr w:type="spellEnd"/>
      <w:r w:rsidR="00A22C73">
        <w:t>]</w:t>
      </w:r>
      <w:r w:rsidR="00B2448D">
        <w:t xml:space="preserve"> considers appropriate to remedy any issues identified in the review</w:t>
      </w:r>
      <w:r w:rsidR="00BE52F8">
        <w:t>”</w:t>
      </w:r>
      <w:r w:rsidR="00B2448D">
        <w:t>.</w:t>
      </w:r>
      <w:r w:rsidR="00E45565" w:rsidRPr="00E45565">
        <w:t xml:space="preserve"> </w:t>
      </w:r>
      <w:r w:rsidR="00D53324">
        <w:t xml:space="preserve"> </w:t>
      </w:r>
      <w:r w:rsidR="0002515C">
        <w:t xml:space="preserve">While </w:t>
      </w:r>
      <w:r w:rsidR="00E45565">
        <w:t xml:space="preserve">the exercise of the power to make a determination pursuant to Item 6(3) necessarily involves the identification of any issues to be remedied, there is but one process </w:t>
      </w:r>
      <w:r w:rsidR="00D53324">
        <w:t xml:space="preserve">of decision-making </w:t>
      </w:r>
      <w:r w:rsidR="00E45565">
        <w:t xml:space="preserve">which culminates in a determination to vary the award or to leave it </w:t>
      </w:r>
      <w:r w:rsidR="00D53324">
        <w:t>as it is</w:t>
      </w:r>
      <w:r w:rsidR="00944BBE">
        <w:t>.</w:t>
      </w:r>
    </w:p>
    <w:p w:rsidR="00B2448D" w:rsidRDefault="00CD574B" w:rsidP="005C30D1">
      <w:pPr>
        <w:pStyle w:val="ParaNumbering"/>
      </w:pPr>
      <w:r>
        <w:t>T</w:t>
      </w:r>
      <w:r w:rsidR="00A95339">
        <w:t>he identification of the issues to be remedied</w:t>
      </w:r>
      <w:r w:rsidR="001A6C73">
        <w:t xml:space="preserve"> </w:t>
      </w:r>
      <w:r w:rsidR="00A95339">
        <w:t>is</w:t>
      </w:r>
      <w:r w:rsidR="006A7C52">
        <w:t xml:space="preserve"> not a separate function</w:t>
      </w:r>
      <w:r w:rsidR="00D53324">
        <w:t xml:space="preserve">.  It </w:t>
      </w:r>
      <w:r w:rsidR="006A7C52">
        <w:t xml:space="preserve">is a </w:t>
      </w:r>
      <w:r w:rsidR="00A95339">
        <w:t xml:space="preserve">facilitative part of the single function conferred upon the </w:t>
      </w:r>
      <w:proofErr w:type="spellStart"/>
      <w:r w:rsidR="00A95339">
        <w:t>FWC</w:t>
      </w:r>
      <w:proofErr w:type="spellEnd"/>
      <w:r w:rsidR="00A95339">
        <w:t xml:space="preserve"> </w:t>
      </w:r>
      <w:r w:rsidR="006A7C52">
        <w:t>to consider whether a variation is necessary</w:t>
      </w:r>
      <w:r w:rsidR="00A95339">
        <w:t xml:space="preserve">.  There is no warrant, in our view, for dissecting </w:t>
      </w:r>
      <w:r w:rsidR="006A7C52">
        <w:t xml:space="preserve">the function of the </w:t>
      </w:r>
      <w:proofErr w:type="spellStart"/>
      <w:r w:rsidR="006A7C52">
        <w:t>FWC</w:t>
      </w:r>
      <w:proofErr w:type="spellEnd"/>
      <w:r w:rsidR="006A7C52">
        <w:t xml:space="preserve"> </w:t>
      </w:r>
      <w:r w:rsidR="00A83C1E">
        <w:t>into</w:t>
      </w:r>
      <w:r w:rsidR="006A7C52">
        <w:t xml:space="preserve"> separate</w:t>
      </w:r>
      <w:r w:rsidR="00A83C1E">
        <w:t xml:space="preserve"> decisional</w:t>
      </w:r>
      <w:r w:rsidR="006A7C52">
        <w:t xml:space="preserve"> stages</w:t>
      </w:r>
      <w:r w:rsidR="002476E8">
        <w:t>.</w:t>
      </w:r>
    </w:p>
    <w:p w:rsidR="00A83C1E" w:rsidRDefault="00A95339" w:rsidP="005C30D1">
      <w:pPr>
        <w:pStyle w:val="ParaNumbering"/>
      </w:pPr>
      <w:r>
        <w:t xml:space="preserve">That conclusion is bolstered by </w:t>
      </w:r>
      <w:r w:rsidR="00D53324">
        <w:t>the fact</w:t>
      </w:r>
      <w:r>
        <w:t xml:space="preserve"> that Item 6 provides a single criteri</w:t>
      </w:r>
      <w:r w:rsidR="00D53324">
        <w:t>on</w:t>
      </w:r>
      <w:r>
        <w:t xml:space="preserve"> for the exercise of the </w:t>
      </w:r>
      <w:proofErr w:type="spellStart"/>
      <w:r>
        <w:t>FWC’s</w:t>
      </w:r>
      <w:proofErr w:type="spellEnd"/>
      <w:r>
        <w:t xml:space="preserve"> power.  If two separate functions were intended</w:t>
      </w:r>
      <w:r w:rsidR="00CD574B">
        <w:t>,</w:t>
      </w:r>
      <w:r>
        <w:t xml:space="preserve"> then Item 6</w:t>
      </w:r>
      <w:r w:rsidR="006A7C52">
        <w:t xml:space="preserve"> would</w:t>
      </w:r>
      <w:r w:rsidR="00E45565">
        <w:t xml:space="preserve"> likely</w:t>
      </w:r>
      <w:r w:rsidR="006A7C52">
        <w:t xml:space="preserve"> have provided</w:t>
      </w:r>
      <w:r>
        <w:t xml:space="preserve"> </w:t>
      </w:r>
      <w:r w:rsidR="0002515C">
        <w:t xml:space="preserve">one </w:t>
      </w:r>
      <w:r>
        <w:t>criteri</w:t>
      </w:r>
      <w:r w:rsidR="00D53324">
        <w:t>on</w:t>
      </w:r>
      <w:r w:rsidR="00FD4DD9">
        <w:t xml:space="preserve"> for the ‘review s</w:t>
      </w:r>
      <w:r w:rsidR="006A7C52">
        <w:t>tage’ and a different criteri</w:t>
      </w:r>
      <w:r w:rsidR="00D53324">
        <w:t>on</w:t>
      </w:r>
      <w:r w:rsidR="006A7C52">
        <w:t xml:space="preserve"> for the ‘variation stage’</w:t>
      </w:r>
      <w:r w:rsidR="00FD4DD9">
        <w:t>.  However, the central criteri</w:t>
      </w:r>
      <w:r w:rsidR="00D53324">
        <w:t>on</w:t>
      </w:r>
      <w:r w:rsidR="00FD4DD9">
        <w:t xml:space="preserve"> specified in Item 6(2) </w:t>
      </w:r>
      <w:r w:rsidR="00D53324">
        <w:t>plainly applies</w:t>
      </w:r>
      <w:r w:rsidR="00FD4DD9">
        <w:t xml:space="preserve"> to both the review and identification of any issues to be remedied and to the decision </w:t>
      </w:r>
      <w:r w:rsidR="00D53324">
        <w:t xml:space="preserve">about </w:t>
      </w:r>
      <w:r w:rsidR="00FD4DD9">
        <w:t>whether or not to make a variation.</w:t>
      </w:r>
      <w:r w:rsidR="006A7C52">
        <w:t xml:space="preserve">  </w:t>
      </w:r>
      <w:r w:rsidR="00A83C1E">
        <w:t xml:space="preserve">The </w:t>
      </w:r>
      <w:r w:rsidR="00CD574B">
        <w:t xml:space="preserve">primary </w:t>
      </w:r>
      <w:r w:rsidR="00A83C1E">
        <w:t xml:space="preserve">purpose of </w:t>
      </w:r>
      <w:r w:rsidR="006A7C52">
        <w:t xml:space="preserve">Item 6(4) </w:t>
      </w:r>
      <w:r w:rsidR="00A83C1E">
        <w:t>is to address</w:t>
      </w:r>
      <w:r w:rsidR="006A7C52">
        <w:t xml:space="preserve"> the content of any variation which the </w:t>
      </w:r>
      <w:proofErr w:type="spellStart"/>
      <w:r w:rsidR="006A7C52">
        <w:t>FWC</w:t>
      </w:r>
      <w:proofErr w:type="spellEnd"/>
      <w:r w:rsidR="006A7C52">
        <w:t xml:space="preserve"> determines to make.</w:t>
      </w:r>
      <w:r w:rsidR="00CD574B">
        <w:t xml:space="preserve">  But the requisite content of any variation that may be made is also a consideration of relevance to the question of whether a variation ought to be made: </w:t>
      </w:r>
      <w:r w:rsidR="002476E8">
        <w:t xml:space="preserve"> </w:t>
      </w:r>
      <w:proofErr w:type="spellStart"/>
      <w:r w:rsidR="002476E8">
        <w:t>cf</w:t>
      </w:r>
      <w:proofErr w:type="spellEnd"/>
      <w:r w:rsidR="00D53324">
        <w:t xml:space="preserve"> </w:t>
      </w:r>
      <w:r w:rsidR="00CD574B">
        <w:rPr>
          <w:i/>
        </w:rPr>
        <w:t xml:space="preserve">Yum! Restaurants Australia Pty Ltd v Full Bench of Fair Work Commission </w:t>
      </w:r>
      <w:r w:rsidR="00907F67">
        <w:t xml:space="preserve">(2012) 205 </w:t>
      </w:r>
      <w:proofErr w:type="spellStart"/>
      <w:r w:rsidR="00907F67">
        <w:t>FCR</w:t>
      </w:r>
      <w:proofErr w:type="spellEnd"/>
      <w:r w:rsidR="00907F67">
        <w:t xml:space="preserve"> 306</w:t>
      </w:r>
      <w:r w:rsidR="00CD574B">
        <w:t xml:space="preserve"> at [21] (Lander, Flick and Jagot JJ).</w:t>
      </w:r>
    </w:p>
    <w:p w:rsidR="00FD4DD9" w:rsidRDefault="00FD4DD9" w:rsidP="005C30D1">
      <w:pPr>
        <w:pStyle w:val="ParaNumbering"/>
      </w:pPr>
      <w:r>
        <w:t xml:space="preserve">There is no </w:t>
      </w:r>
      <w:r w:rsidR="00D53324">
        <w:t>discernible</w:t>
      </w:r>
      <w:r>
        <w:t xml:space="preserve"> basis in either the specification of the applicable criteria</w:t>
      </w:r>
      <w:r w:rsidR="006A7C52">
        <w:t xml:space="preserve"> or</w:t>
      </w:r>
      <w:r w:rsidR="00CD574B">
        <w:t xml:space="preserve"> otherwise </w:t>
      </w:r>
      <w:r>
        <w:t xml:space="preserve">for the view that two separate decision-making </w:t>
      </w:r>
      <w:r w:rsidR="00A83C1E">
        <w:t>processes</w:t>
      </w:r>
      <w:r>
        <w:t xml:space="preserve"> were intended</w:t>
      </w:r>
      <w:r w:rsidR="00465940">
        <w:t>.</w:t>
      </w:r>
    </w:p>
    <w:p w:rsidR="00FD4DD9" w:rsidRDefault="00FD4DD9" w:rsidP="00465940">
      <w:pPr>
        <w:pStyle w:val="Heading2"/>
      </w:pPr>
      <w:r>
        <w:t>Ground (ii)</w:t>
      </w:r>
    </w:p>
    <w:p w:rsidR="00823B27" w:rsidRDefault="00FD4DD9" w:rsidP="005C30D1">
      <w:pPr>
        <w:pStyle w:val="ParaNumbering"/>
      </w:pPr>
      <w:r>
        <w:t xml:space="preserve">Pivotal to ground (ii) is its </w:t>
      </w:r>
      <w:r w:rsidR="006A7C52">
        <w:t>contention</w:t>
      </w:r>
      <w:r>
        <w:t xml:space="preserve"> that a two-stage decisional making process is required</w:t>
      </w:r>
      <w:r w:rsidR="006A7C52">
        <w:t xml:space="preserve"> by Item 6</w:t>
      </w:r>
      <w:r>
        <w:t xml:space="preserve">.  Ground (ii) is based </w:t>
      </w:r>
      <w:r w:rsidR="00823B27">
        <w:t xml:space="preserve">on the proposition that </w:t>
      </w:r>
      <w:r w:rsidR="006A7C52">
        <w:t xml:space="preserve">the </w:t>
      </w:r>
      <w:r w:rsidR="00823B27">
        <w:t>minimum wages objective specified in s</w:t>
      </w:r>
      <w:r w:rsidR="00630C2D">
        <w:t> </w:t>
      </w:r>
      <w:r w:rsidR="00823B27">
        <w:t>284</w:t>
      </w:r>
      <w:r w:rsidR="00A83C1E">
        <w:t>(</w:t>
      </w:r>
      <w:r w:rsidR="00136310">
        <w:t>1</w:t>
      </w:r>
      <w:r w:rsidR="00A83C1E">
        <w:t>)</w:t>
      </w:r>
      <w:r w:rsidR="00823B27">
        <w:t xml:space="preserve"> of the FW Act </w:t>
      </w:r>
      <w:r w:rsidR="006A7C52">
        <w:t xml:space="preserve">is </w:t>
      </w:r>
      <w:r w:rsidR="00823B27">
        <w:t>only relevant to the second and not the first stage</w:t>
      </w:r>
      <w:r w:rsidR="006A7C52">
        <w:t xml:space="preserve"> of that process</w:t>
      </w:r>
      <w:r w:rsidR="00823B27">
        <w:t>.  As</w:t>
      </w:r>
      <w:r w:rsidR="006A7C52">
        <w:t xml:space="preserve"> s</w:t>
      </w:r>
      <w:r w:rsidR="00630C2D">
        <w:t> </w:t>
      </w:r>
      <w:r w:rsidR="006A7C52">
        <w:t>284</w:t>
      </w:r>
      <w:r w:rsidR="00A83C1E">
        <w:t>(</w:t>
      </w:r>
      <w:r w:rsidR="00136310">
        <w:t>1</w:t>
      </w:r>
      <w:r w:rsidR="00A83C1E">
        <w:t>)</w:t>
      </w:r>
      <w:r w:rsidR="00823B27">
        <w:t xml:space="preserve"> considerations were taken into account by the </w:t>
      </w:r>
      <w:proofErr w:type="spellStart"/>
      <w:r w:rsidR="00823B27">
        <w:t>FWC</w:t>
      </w:r>
      <w:proofErr w:type="spellEnd"/>
      <w:r w:rsidR="00823B27">
        <w:t xml:space="preserve"> in </w:t>
      </w:r>
      <w:r w:rsidR="00823B27">
        <w:lastRenderedPageBreak/>
        <w:t xml:space="preserve">what the NRA contended to be the first stage of the requisite process, the NRA asserted that the </w:t>
      </w:r>
      <w:proofErr w:type="spellStart"/>
      <w:r w:rsidR="00823B27">
        <w:t>FWC</w:t>
      </w:r>
      <w:proofErr w:type="spellEnd"/>
      <w:r w:rsidR="00823B27">
        <w:t xml:space="preserve"> took into acc</w:t>
      </w:r>
      <w:r w:rsidR="00BE28D5">
        <w:t>ount irrelevant considerations.</w:t>
      </w:r>
    </w:p>
    <w:p w:rsidR="00823B27" w:rsidRDefault="00823B27" w:rsidP="005C30D1">
      <w:pPr>
        <w:pStyle w:val="ParaNumbering"/>
      </w:pPr>
      <w:r>
        <w:t xml:space="preserve">That contention must be rejected because, as we have explained, Item 6 confers upon the </w:t>
      </w:r>
      <w:proofErr w:type="spellStart"/>
      <w:r>
        <w:t>F</w:t>
      </w:r>
      <w:r w:rsidR="00BE28D5">
        <w:t>WC</w:t>
      </w:r>
      <w:proofErr w:type="spellEnd"/>
      <w:r w:rsidR="00BE28D5">
        <w:t xml:space="preserve"> a single undivided function.</w:t>
      </w:r>
    </w:p>
    <w:p w:rsidR="00495ECD" w:rsidRDefault="00823B27" w:rsidP="005C30D1">
      <w:pPr>
        <w:pStyle w:val="ParaNumbering"/>
      </w:pPr>
      <w:r>
        <w:t xml:space="preserve">We </w:t>
      </w:r>
      <w:r w:rsidR="00547A70">
        <w:t>should add, however, that even if</w:t>
      </w:r>
      <w:r w:rsidR="00A83C1E">
        <w:t xml:space="preserve"> we had accepted</w:t>
      </w:r>
      <w:r w:rsidR="00547A70">
        <w:t xml:space="preserve"> the</w:t>
      </w:r>
      <w:r w:rsidR="00495ECD">
        <w:t xml:space="preserve"> NRA’s </w:t>
      </w:r>
      <w:r w:rsidR="00A83C1E">
        <w:t>contention</w:t>
      </w:r>
      <w:r w:rsidR="00495ECD">
        <w:t xml:space="preserve"> that Item 6 involved two separate</w:t>
      </w:r>
      <w:r w:rsidR="00907F67">
        <w:t xml:space="preserve"> decision making</w:t>
      </w:r>
      <w:r w:rsidR="00495ECD">
        <w:t xml:space="preserve"> stages, we would not have accepted </w:t>
      </w:r>
      <w:r w:rsidR="00A83C1E">
        <w:t>its</w:t>
      </w:r>
      <w:r w:rsidR="00495ECD">
        <w:t xml:space="preserve"> contention that the minimum wage</w:t>
      </w:r>
      <w:r w:rsidR="00E45565">
        <w:t>s</w:t>
      </w:r>
      <w:r w:rsidR="00495ECD">
        <w:t xml:space="preserve"> objective</w:t>
      </w:r>
      <w:r w:rsidR="00E45565">
        <w:t xml:space="preserve"> set out in s</w:t>
      </w:r>
      <w:r w:rsidR="00BE28D5">
        <w:t> </w:t>
      </w:r>
      <w:r w:rsidR="00E45565">
        <w:t>284(</w:t>
      </w:r>
      <w:r w:rsidR="00136310">
        <w:t>1</w:t>
      </w:r>
      <w:r w:rsidR="00E45565">
        <w:t>)</w:t>
      </w:r>
      <w:r w:rsidR="00495ECD">
        <w:t xml:space="preserve"> was an irrelevant consideration in assessing, as part of a separate first stage, whether the Retail Award achieved the modern awards objective.</w:t>
      </w:r>
    </w:p>
    <w:p w:rsidR="008F60F6" w:rsidRDefault="00495ECD" w:rsidP="005C30D1">
      <w:pPr>
        <w:pStyle w:val="ParaNumbering"/>
      </w:pPr>
      <w:r>
        <w:t xml:space="preserve">The modern awards objective deals with the content of modern awards and </w:t>
      </w:r>
      <w:r w:rsidR="0049014F">
        <w:t xml:space="preserve">addresses the goal </w:t>
      </w:r>
      <w:r>
        <w:t xml:space="preserve">of providing fair and relevant minimum conditions of employment.  The terms and conditions of employment contemplated by the modern awards objective must </w:t>
      </w:r>
      <w:r w:rsidR="00E45565">
        <w:t xml:space="preserve">have been intended to </w:t>
      </w:r>
      <w:r>
        <w:t>include th</w:t>
      </w:r>
      <w:r w:rsidR="0049014F">
        <w:t>ose</w:t>
      </w:r>
      <w:r>
        <w:t xml:space="preserve"> terms </w:t>
      </w:r>
      <w:r w:rsidR="0049014F">
        <w:t xml:space="preserve">or conditions </w:t>
      </w:r>
      <w:r w:rsidR="006A7C52">
        <w:t>which</w:t>
      </w:r>
      <w:r>
        <w:t xml:space="preserve"> provide for minimum wages.  One of the primary, if not the primary, term </w:t>
      </w:r>
      <w:r w:rsidR="0049014F">
        <w:t xml:space="preserve">or </w:t>
      </w:r>
      <w:r>
        <w:t>condition of</w:t>
      </w:r>
      <w:r w:rsidR="00907F67">
        <w:t xml:space="preserve"> </w:t>
      </w:r>
      <w:r>
        <w:t xml:space="preserve">employment is the </w:t>
      </w:r>
      <w:r w:rsidR="0049014F">
        <w:t>provision for the payment of</w:t>
      </w:r>
      <w:r>
        <w:t xml:space="preserve"> wages.</w:t>
      </w:r>
      <w:r w:rsidR="008F60F6">
        <w:t xml:space="preserve">  There is no basis for any suggestion that the object of establishing and maintaining </w:t>
      </w:r>
      <w:r w:rsidR="00BE52F8">
        <w:t>“</w:t>
      </w:r>
      <w:r w:rsidR="008F60F6">
        <w:t>a safety net of fair minimum wages</w:t>
      </w:r>
      <w:r w:rsidR="00BE52F8">
        <w:t>”</w:t>
      </w:r>
      <w:r w:rsidR="008F60F6">
        <w:t xml:space="preserve"> is not a necessary element in achieving </w:t>
      </w:r>
      <w:r w:rsidR="00BE52F8">
        <w:t>“</w:t>
      </w:r>
      <w:r w:rsidR="008F60F6">
        <w:t>a fair and relevant minimum safety net of terms and conditions</w:t>
      </w:r>
      <w:r w:rsidR="00BE52F8">
        <w:t>”</w:t>
      </w:r>
      <w:r w:rsidR="008F60F6">
        <w:t>.  Accordingly, the minimum wages objective must be regarded as not only relevant to</w:t>
      </w:r>
      <w:r w:rsidR="009C28BE">
        <w:t>,</w:t>
      </w:r>
      <w:r w:rsidR="008F60F6">
        <w:t xml:space="preserve"> but an inherently important consideration in</w:t>
      </w:r>
      <w:r w:rsidR="009C28BE">
        <w:t>,</w:t>
      </w:r>
      <w:r w:rsidR="008F60F6">
        <w:t xml:space="preserve"> any assessment of whether</w:t>
      </w:r>
      <w:r w:rsidR="00E45565">
        <w:t>, by reference to the</w:t>
      </w:r>
      <w:r w:rsidR="008F60F6">
        <w:t xml:space="preserve"> minimum wages provided by </w:t>
      </w:r>
      <w:r w:rsidR="00A83C1E">
        <w:t xml:space="preserve">a </w:t>
      </w:r>
      <w:r w:rsidR="008F60F6">
        <w:t>modern award</w:t>
      </w:r>
      <w:r w:rsidR="00E45565">
        <w:t>, that award</w:t>
      </w:r>
      <w:r w:rsidR="008F60F6">
        <w:t xml:space="preserve"> achieves the modern awards objective.  The intended integral connection of the minimum wages objective to the modern award objective is expressed in Item 6(4) and also in s</w:t>
      </w:r>
      <w:r w:rsidR="009C28BE">
        <w:t> </w:t>
      </w:r>
      <w:r w:rsidR="008F60F6">
        <w:t xml:space="preserve">138 of the FW Act.  It is also reflected in the </w:t>
      </w:r>
      <w:r w:rsidR="00E45565">
        <w:t xml:space="preserve">substantial </w:t>
      </w:r>
      <w:r w:rsidR="008F60F6">
        <w:t xml:space="preserve">commonality of matters that need to be taken into account in the </w:t>
      </w:r>
      <w:r w:rsidR="00630C2D">
        <w:t xml:space="preserve">pursuit </w:t>
      </w:r>
      <w:r w:rsidR="008F60F6">
        <w:t>of each of the two objectives</w:t>
      </w:r>
      <w:r w:rsidR="00A83C1E">
        <w:t>,</w:t>
      </w:r>
      <w:r w:rsidR="008F60F6">
        <w:t xml:space="preserve"> as specified in s</w:t>
      </w:r>
      <w:r w:rsidR="002071C1">
        <w:t>s</w:t>
      </w:r>
      <w:r w:rsidR="00630C2D">
        <w:t> </w:t>
      </w:r>
      <w:r w:rsidR="008F60F6">
        <w:t>134(1) and 284(1)</w:t>
      </w:r>
      <w:r w:rsidR="00630C2D">
        <w:t xml:space="preserve"> of the Act</w:t>
      </w:r>
      <w:r w:rsidR="008F60F6">
        <w:t>.</w:t>
      </w:r>
    </w:p>
    <w:p w:rsidR="003654C9" w:rsidRDefault="008F60F6" w:rsidP="005C30D1">
      <w:pPr>
        <w:pStyle w:val="ParaNumbering"/>
      </w:pPr>
      <w:r>
        <w:t xml:space="preserve">We accept that the </w:t>
      </w:r>
      <w:proofErr w:type="spellStart"/>
      <w:r>
        <w:t>FWC</w:t>
      </w:r>
      <w:proofErr w:type="spellEnd"/>
      <w:r>
        <w:t xml:space="preserve"> took into account the minimum wage</w:t>
      </w:r>
      <w:r w:rsidR="00A83C1E">
        <w:t xml:space="preserve">s </w:t>
      </w:r>
      <w:r>
        <w:t>objective in assessing whether the minimum wage</w:t>
      </w:r>
      <w:r w:rsidR="00E45565">
        <w:t>s</w:t>
      </w:r>
      <w:r>
        <w:t xml:space="preserve"> provision in cl</w:t>
      </w:r>
      <w:r w:rsidR="00BE28D5">
        <w:t> </w:t>
      </w:r>
      <w:r>
        <w:t>18 of the Retail Award was achieving the modern awards objective.</w:t>
      </w:r>
      <w:r w:rsidR="006A7C52">
        <w:t xml:space="preserve">  So much is apparent from </w:t>
      </w:r>
      <w:r w:rsidR="00630C2D">
        <w:t xml:space="preserve">our </w:t>
      </w:r>
      <w:r w:rsidR="006A7C52">
        <w:t>summary of the decision.</w:t>
      </w:r>
      <w:r>
        <w:t xml:space="preserve">  Irrespective of whether a single or </w:t>
      </w:r>
      <w:r w:rsidR="00630C2D">
        <w:t xml:space="preserve">dual </w:t>
      </w:r>
      <w:r>
        <w:t xml:space="preserve">task was required of the </w:t>
      </w:r>
      <w:proofErr w:type="spellStart"/>
      <w:r>
        <w:t>FWC</w:t>
      </w:r>
      <w:proofErr w:type="spellEnd"/>
      <w:r>
        <w:t xml:space="preserve"> </w:t>
      </w:r>
      <w:r w:rsidR="003654C9">
        <w:t xml:space="preserve">by Item 6, </w:t>
      </w:r>
      <w:r w:rsidR="006A7C52">
        <w:t xml:space="preserve">the minimum wages objective </w:t>
      </w:r>
      <w:r w:rsidR="00A83C1E">
        <w:t>was</w:t>
      </w:r>
      <w:r w:rsidR="00E11C35">
        <w:t xml:space="preserve"> not</w:t>
      </w:r>
      <w:r w:rsidR="003654C9">
        <w:t xml:space="preserve"> irrelevant to the </w:t>
      </w:r>
      <w:proofErr w:type="spellStart"/>
      <w:r w:rsidR="003654C9">
        <w:t>FWC’s</w:t>
      </w:r>
      <w:proofErr w:type="spellEnd"/>
      <w:r w:rsidR="003654C9">
        <w:t xml:space="preserve"> function and the </w:t>
      </w:r>
      <w:proofErr w:type="spellStart"/>
      <w:r w:rsidR="003654C9">
        <w:t>FWC</w:t>
      </w:r>
      <w:proofErr w:type="spellEnd"/>
      <w:r w:rsidR="003654C9">
        <w:t xml:space="preserve"> did not misconstrue its function by taking </w:t>
      </w:r>
      <w:r w:rsidR="00A83C1E">
        <w:t>it</w:t>
      </w:r>
      <w:r w:rsidR="00E11C35">
        <w:t xml:space="preserve"> </w:t>
      </w:r>
      <w:r w:rsidR="003654C9">
        <w:t>into account.</w:t>
      </w:r>
    </w:p>
    <w:p w:rsidR="003654C9" w:rsidRDefault="00CD574B" w:rsidP="005C30D1">
      <w:pPr>
        <w:pStyle w:val="ParaNumbering"/>
      </w:pPr>
      <w:r>
        <w:t>Accordingly, we</w:t>
      </w:r>
      <w:r w:rsidR="003654C9">
        <w:t xml:space="preserve"> reje</w:t>
      </w:r>
      <w:r w:rsidR="00BE28D5">
        <w:t>ct this aspect of ground (ii).</w:t>
      </w:r>
    </w:p>
    <w:p w:rsidR="003654C9" w:rsidRDefault="003654C9" w:rsidP="005C30D1">
      <w:pPr>
        <w:pStyle w:val="ParaNumbering"/>
      </w:pPr>
      <w:r>
        <w:lastRenderedPageBreak/>
        <w:t xml:space="preserve">We also reject the proposition that </w:t>
      </w:r>
      <w:r w:rsidR="00E11C35">
        <w:t xml:space="preserve">the </w:t>
      </w:r>
      <w:proofErr w:type="spellStart"/>
      <w:r w:rsidR="00E11C35">
        <w:t>FWC</w:t>
      </w:r>
      <w:proofErr w:type="spellEnd"/>
      <w:r w:rsidR="00E11C35">
        <w:t xml:space="preserve"> should have, but failed </w:t>
      </w:r>
      <w:r>
        <w:t>to</w:t>
      </w:r>
      <w:r w:rsidR="00CD574B">
        <w:t>,</w:t>
      </w:r>
      <w:r>
        <w:t xml:space="preserve"> </w:t>
      </w:r>
      <w:r w:rsidR="00630C2D">
        <w:t>consider</w:t>
      </w:r>
      <w:r>
        <w:t xml:space="preserve"> Item 6(2)(b).  </w:t>
      </w:r>
      <w:r w:rsidR="00E11C35">
        <w:t>That</w:t>
      </w:r>
      <w:r>
        <w:t xml:space="preserve"> suggestion is </w:t>
      </w:r>
      <w:r w:rsidR="00E11C35">
        <w:t xml:space="preserve">also </w:t>
      </w:r>
      <w:r>
        <w:t>raised by grou</w:t>
      </w:r>
      <w:r w:rsidR="00E11C35">
        <w:t xml:space="preserve">nd (ii) </w:t>
      </w:r>
      <w:r>
        <w:t xml:space="preserve">although it was only faintly pressed on the appeal.  It is convenient that we explain </w:t>
      </w:r>
      <w:r w:rsidR="00E11C35">
        <w:t>why we</w:t>
      </w:r>
      <w:r>
        <w:t xml:space="preserve"> reject</w:t>
      </w:r>
      <w:r w:rsidR="00E11C35">
        <w:t xml:space="preserve"> t</w:t>
      </w:r>
      <w:r>
        <w:t xml:space="preserve">hat contention when we address the extent of the </w:t>
      </w:r>
      <w:r w:rsidR="00E11C35">
        <w:t>scope of the review</w:t>
      </w:r>
      <w:r>
        <w:t xml:space="preserve"> required of the </w:t>
      </w:r>
      <w:proofErr w:type="spellStart"/>
      <w:r>
        <w:t>FWC</w:t>
      </w:r>
      <w:proofErr w:type="spellEnd"/>
      <w:r>
        <w:t xml:space="preserve"> by Item 6.  We </w:t>
      </w:r>
      <w:r w:rsidR="00A83C1E">
        <w:t xml:space="preserve">will </w:t>
      </w:r>
      <w:r>
        <w:t xml:space="preserve">do </w:t>
      </w:r>
      <w:r w:rsidR="00630C2D">
        <w:t>when we come to</w:t>
      </w:r>
      <w:r>
        <w:t xml:space="preserve"> ground (i).</w:t>
      </w:r>
    </w:p>
    <w:p w:rsidR="003654C9" w:rsidRDefault="003654C9" w:rsidP="003654C9">
      <w:pPr>
        <w:pStyle w:val="Heading2"/>
      </w:pPr>
      <w:r>
        <w:t>Ground (iii)</w:t>
      </w:r>
    </w:p>
    <w:p w:rsidR="00F15D22" w:rsidRDefault="00F15D22" w:rsidP="00F15D22">
      <w:pPr>
        <w:pStyle w:val="ParaNumbering"/>
      </w:pPr>
      <w:r>
        <w:t xml:space="preserve">Section 157(2) of the FW </w:t>
      </w:r>
      <w:r w:rsidR="00DD4F0D">
        <w:t xml:space="preserve">Act </w:t>
      </w:r>
      <w:r>
        <w:t xml:space="preserve">empowers the </w:t>
      </w:r>
      <w:proofErr w:type="spellStart"/>
      <w:r>
        <w:t>FWC</w:t>
      </w:r>
      <w:proofErr w:type="spellEnd"/>
      <w:r>
        <w:t xml:space="preserve"> to vary the minimum wages provided for by a modern award where the </w:t>
      </w:r>
      <w:proofErr w:type="spellStart"/>
      <w:r>
        <w:t>FWC</w:t>
      </w:r>
      <w:proofErr w:type="spellEnd"/>
      <w:r>
        <w:t xml:space="preserve"> is satisfied that:</w:t>
      </w:r>
    </w:p>
    <w:p w:rsidR="00F15D22" w:rsidRDefault="00F15D22" w:rsidP="00F15D22">
      <w:pPr>
        <w:pStyle w:val="ListNo"/>
        <w:numPr>
          <w:ilvl w:val="0"/>
          <w:numId w:val="40"/>
        </w:numPr>
        <w:ind w:left="709" w:hanging="709"/>
      </w:pPr>
      <w:r>
        <w:t xml:space="preserve">the variation is justified by </w:t>
      </w:r>
      <w:r w:rsidR="00BE52F8">
        <w:t>“</w:t>
      </w:r>
      <w:r w:rsidR="003E664A">
        <w:t>work value reasons</w:t>
      </w:r>
      <w:r w:rsidR="00BE52F8">
        <w:t>”</w:t>
      </w:r>
      <w:r w:rsidR="00BE28D5">
        <w:t>; and</w:t>
      </w:r>
    </w:p>
    <w:p w:rsidR="00F15D22" w:rsidRDefault="00F15D22" w:rsidP="00F15D22">
      <w:pPr>
        <w:pStyle w:val="ListNo"/>
        <w:numPr>
          <w:ilvl w:val="0"/>
          <w:numId w:val="40"/>
        </w:numPr>
        <w:ind w:left="709" w:hanging="709"/>
      </w:pPr>
      <w:r>
        <w:t>the making of the variation outside the system for annual wage reviews and the</w:t>
      </w:r>
      <w:r w:rsidR="00B32C6E">
        <w:t xml:space="preserve"> </w:t>
      </w:r>
      <w:r w:rsidR="00907F67">
        <w:t xml:space="preserve">four </w:t>
      </w:r>
      <w:r w:rsidR="00B32C6E">
        <w:t>yearly reviews of modern awards is necessary to achie</w:t>
      </w:r>
      <w:r w:rsidR="00BE28D5">
        <w:t>ve the modern awards objective.</w:t>
      </w:r>
    </w:p>
    <w:p w:rsidR="003E664A" w:rsidRDefault="00B32C6E" w:rsidP="00F15D22">
      <w:pPr>
        <w:pStyle w:val="ParaNumbering"/>
      </w:pPr>
      <w:r>
        <w:t>Relevant considerations for the determination of a s</w:t>
      </w:r>
      <w:r w:rsidR="00BE28D5">
        <w:t> </w:t>
      </w:r>
      <w:r>
        <w:t xml:space="preserve">157(2) variation application </w:t>
      </w:r>
      <w:r w:rsidR="003E664A">
        <w:t>is</w:t>
      </w:r>
      <w:r>
        <w:t xml:space="preserve"> the minimum wages objective specified by s</w:t>
      </w:r>
      <w:r w:rsidR="00BE28D5">
        <w:t> </w:t>
      </w:r>
      <w:r>
        <w:t xml:space="preserve">284(1) and </w:t>
      </w:r>
      <w:r w:rsidR="00BE52F8">
        <w:t>“</w:t>
      </w:r>
      <w:r>
        <w:t>work value reasons</w:t>
      </w:r>
      <w:r w:rsidR="00BE52F8">
        <w:t>”</w:t>
      </w:r>
      <w:r>
        <w:t>.</w:t>
      </w:r>
      <w:r w:rsidR="003E664A">
        <w:t xml:space="preserve">  The phrase </w:t>
      </w:r>
      <w:r w:rsidR="00BE52F8">
        <w:t>“</w:t>
      </w:r>
      <w:r w:rsidR="003E664A">
        <w:t>work value reasons</w:t>
      </w:r>
      <w:r w:rsidR="00BE52F8">
        <w:t>”</w:t>
      </w:r>
      <w:r w:rsidR="003E664A">
        <w:t xml:space="preserve"> is defined by s</w:t>
      </w:r>
      <w:r w:rsidR="00BE28D5">
        <w:t> </w:t>
      </w:r>
      <w:r w:rsidR="003E664A">
        <w:t>156(4) of the FW Act as follows:</w:t>
      </w:r>
    </w:p>
    <w:p w:rsidR="003E664A" w:rsidRPr="007E3681" w:rsidRDefault="003E664A" w:rsidP="007E3681">
      <w:pPr>
        <w:pStyle w:val="Quote1"/>
        <w:ind w:left="1440" w:hanging="703"/>
        <w:rPr>
          <w:lang w:eastAsia="en-AU"/>
        </w:rPr>
      </w:pPr>
      <w:r w:rsidRPr="007E3681">
        <w:rPr>
          <w:lang w:eastAsia="en-AU"/>
        </w:rPr>
        <w:t>(4)</w:t>
      </w:r>
      <w:r w:rsidR="007E3681" w:rsidRPr="007E3681">
        <w:rPr>
          <w:b/>
          <w:i/>
          <w:lang w:eastAsia="en-AU"/>
        </w:rPr>
        <w:tab/>
      </w:r>
      <w:r w:rsidRPr="00CD574B">
        <w:rPr>
          <w:b/>
          <w:i/>
          <w:lang w:eastAsia="en-AU"/>
        </w:rPr>
        <w:t>Work value reasons</w:t>
      </w:r>
      <w:r w:rsidRPr="007E3681">
        <w:rPr>
          <w:lang w:eastAsia="en-AU"/>
        </w:rPr>
        <w:t xml:space="preserve"> are reasons justifying the amount that employees should be paid for doing a particular kind of work, being reasons r</w:t>
      </w:r>
      <w:r w:rsidR="00BE28D5">
        <w:rPr>
          <w:lang w:eastAsia="en-AU"/>
        </w:rPr>
        <w:t>elated to any of the following:</w:t>
      </w:r>
    </w:p>
    <w:p w:rsidR="003E664A" w:rsidRDefault="008F29BF" w:rsidP="00BE28D5">
      <w:pPr>
        <w:pStyle w:val="Quote2"/>
        <w:rPr>
          <w:lang w:eastAsia="en-AU"/>
        </w:rPr>
      </w:pPr>
      <w:r>
        <w:rPr>
          <w:lang w:eastAsia="en-AU"/>
        </w:rPr>
        <w:t>(a)</w:t>
      </w:r>
      <w:r>
        <w:rPr>
          <w:lang w:eastAsia="en-AU"/>
        </w:rPr>
        <w:tab/>
      </w:r>
      <w:r w:rsidR="003E664A" w:rsidRPr="007E3681">
        <w:rPr>
          <w:lang w:eastAsia="en-AU"/>
        </w:rPr>
        <w:t>the n</w:t>
      </w:r>
      <w:r w:rsidR="00BE28D5">
        <w:rPr>
          <w:lang w:eastAsia="en-AU"/>
        </w:rPr>
        <w:t>ature of the work;</w:t>
      </w:r>
    </w:p>
    <w:p w:rsidR="003E664A" w:rsidRDefault="008F29BF" w:rsidP="00BE28D5">
      <w:pPr>
        <w:pStyle w:val="Quote2"/>
        <w:rPr>
          <w:lang w:eastAsia="en-AU"/>
        </w:rPr>
      </w:pPr>
      <w:r>
        <w:rPr>
          <w:lang w:eastAsia="en-AU"/>
        </w:rPr>
        <w:t>(b)</w:t>
      </w:r>
      <w:r>
        <w:rPr>
          <w:lang w:eastAsia="en-AU"/>
        </w:rPr>
        <w:tab/>
      </w:r>
      <w:r w:rsidR="003E664A" w:rsidRPr="007E3681">
        <w:rPr>
          <w:lang w:eastAsia="en-AU"/>
        </w:rPr>
        <w:t>the level of skill or responsibil</w:t>
      </w:r>
      <w:r w:rsidR="00BE28D5">
        <w:rPr>
          <w:lang w:eastAsia="en-AU"/>
        </w:rPr>
        <w:t>ity involved in doing the work;</w:t>
      </w:r>
    </w:p>
    <w:p w:rsidR="003E664A" w:rsidRPr="007E3681" w:rsidRDefault="008F29BF" w:rsidP="00BE28D5">
      <w:pPr>
        <w:pStyle w:val="Quote2"/>
        <w:rPr>
          <w:lang w:eastAsia="en-AU"/>
        </w:rPr>
      </w:pPr>
      <w:r>
        <w:rPr>
          <w:lang w:eastAsia="en-AU"/>
        </w:rPr>
        <w:t>(c)</w:t>
      </w:r>
      <w:r>
        <w:rPr>
          <w:lang w:eastAsia="en-AU"/>
        </w:rPr>
        <w:tab/>
      </w:r>
      <w:r w:rsidR="003E664A" w:rsidRPr="007E3681">
        <w:rPr>
          <w:lang w:eastAsia="en-AU"/>
        </w:rPr>
        <w:t>the condition</w:t>
      </w:r>
      <w:r w:rsidR="00BE28D5">
        <w:rPr>
          <w:lang w:eastAsia="en-AU"/>
        </w:rPr>
        <w:t>s under which the work is done.</w:t>
      </w:r>
    </w:p>
    <w:p w:rsidR="007E3681" w:rsidRPr="007E3681" w:rsidRDefault="007E3681" w:rsidP="007E3681">
      <w:pPr>
        <w:pStyle w:val="Quote1"/>
        <w:tabs>
          <w:tab w:val="left" w:pos="1418"/>
        </w:tabs>
        <w:rPr>
          <w:lang w:eastAsia="en-AU"/>
        </w:rPr>
      </w:pPr>
    </w:p>
    <w:p w:rsidR="00B32C6E" w:rsidRDefault="007E3681" w:rsidP="00F15D22">
      <w:pPr>
        <w:pStyle w:val="ParaNumbering"/>
      </w:pPr>
      <w:r>
        <w:t xml:space="preserve">As will be apparent from the summary of the decision set out </w:t>
      </w:r>
      <w:r w:rsidR="0037170E">
        <w:t>above</w:t>
      </w:r>
      <w:r>
        <w:t>, t</w:t>
      </w:r>
      <w:r w:rsidR="00CD574B">
        <w:t xml:space="preserve">he </w:t>
      </w:r>
      <w:proofErr w:type="spellStart"/>
      <w:r w:rsidR="00CD574B">
        <w:t>FWC</w:t>
      </w:r>
      <w:proofErr w:type="spellEnd"/>
      <w:r w:rsidR="00B32C6E">
        <w:t xml:space="preserve"> expressly recognise</w:t>
      </w:r>
      <w:r>
        <w:t>d</w:t>
      </w:r>
      <w:r w:rsidR="00B32C6E">
        <w:t xml:space="preserve"> </w:t>
      </w:r>
      <w:r>
        <w:t>on a number of occasions</w:t>
      </w:r>
      <w:r w:rsidR="00B32C6E">
        <w:t xml:space="preserve"> that </w:t>
      </w:r>
      <w:r>
        <w:t xml:space="preserve">it </w:t>
      </w:r>
      <w:r w:rsidR="00B32C6E">
        <w:t>was dealing with an Item 6 review.  The decision does not refer to s</w:t>
      </w:r>
      <w:r w:rsidR="0001594C">
        <w:t> </w:t>
      </w:r>
      <w:r w:rsidR="00B32C6E">
        <w:t>157 of the FW Act at all</w:t>
      </w:r>
      <w:r w:rsidR="0001594C">
        <w:t>.  Nor</w:t>
      </w:r>
      <w:r w:rsidR="00B32C6E">
        <w:t xml:space="preserve"> does the decision use the phrase </w:t>
      </w:r>
      <w:r w:rsidR="00BE52F8">
        <w:t>“</w:t>
      </w:r>
      <w:r w:rsidR="00B32C6E">
        <w:t>work value reasons</w:t>
      </w:r>
      <w:r w:rsidR="00BE52F8">
        <w:t>”</w:t>
      </w:r>
      <w:r w:rsidR="0001594C">
        <w:t xml:space="preserve"> or even the expression </w:t>
      </w:r>
      <w:r w:rsidR="00BE52F8">
        <w:t>“</w:t>
      </w:r>
      <w:r w:rsidR="0001594C">
        <w:t>work value</w:t>
      </w:r>
      <w:r w:rsidR="00BE52F8">
        <w:t>”</w:t>
      </w:r>
      <w:r w:rsidR="00B32C6E">
        <w:t>.</w:t>
      </w:r>
    </w:p>
    <w:p w:rsidR="00B32C6E" w:rsidRDefault="00B32C6E" w:rsidP="00F15D22">
      <w:pPr>
        <w:pStyle w:val="ParaNumbering"/>
      </w:pPr>
      <w:r>
        <w:t xml:space="preserve">Despite </w:t>
      </w:r>
      <w:r w:rsidR="0001594C">
        <w:t>this</w:t>
      </w:r>
      <w:r>
        <w:t xml:space="preserve">, the NRA contended that the reliance </w:t>
      </w:r>
      <w:r w:rsidR="0037170E">
        <w:t xml:space="preserve">of the </w:t>
      </w:r>
      <w:proofErr w:type="spellStart"/>
      <w:r w:rsidR="0037170E">
        <w:t>FWC</w:t>
      </w:r>
      <w:proofErr w:type="spellEnd"/>
      <w:r w:rsidR="0037170E">
        <w:t xml:space="preserve"> on </w:t>
      </w:r>
      <w:r>
        <w:t>s</w:t>
      </w:r>
      <w:r w:rsidR="0001594C">
        <w:t> </w:t>
      </w:r>
      <w:r>
        <w:t xml:space="preserve">284(1) considerations and evidence which the NRA characterised as </w:t>
      </w:r>
      <w:r w:rsidR="00BE52F8">
        <w:t>“</w:t>
      </w:r>
      <w:r>
        <w:t>work value reasons</w:t>
      </w:r>
      <w:r w:rsidR="00BE52F8">
        <w:t>”</w:t>
      </w:r>
      <w:r w:rsidR="0037170E">
        <w:t xml:space="preserve">, as well as the </w:t>
      </w:r>
      <w:proofErr w:type="spellStart"/>
      <w:r w:rsidR="0037170E">
        <w:t>FWC’s</w:t>
      </w:r>
      <w:proofErr w:type="spellEnd"/>
      <w:r w:rsidR="0037170E">
        <w:t xml:space="preserve"> analysis by reference to those considerations</w:t>
      </w:r>
      <w:r>
        <w:t xml:space="preserve">, demonstrated that the </w:t>
      </w:r>
      <w:proofErr w:type="spellStart"/>
      <w:r>
        <w:t>FWC</w:t>
      </w:r>
      <w:proofErr w:type="spellEnd"/>
      <w:r>
        <w:t xml:space="preserve"> </w:t>
      </w:r>
      <w:r w:rsidR="007E3681">
        <w:t xml:space="preserve">had </w:t>
      </w:r>
      <w:r>
        <w:t>purport</w:t>
      </w:r>
      <w:r w:rsidR="007E3681">
        <w:t>ed</w:t>
      </w:r>
      <w:r>
        <w:t xml:space="preserve"> to</w:t>
      </w:r>
      <w:r w:rsidR="00306FBA">
        <w:t xml:space="preserve"> apply s 157 of the FW</w:t>
      </w:r>
      <w:r w:rsidR="0001594C">
        <w:t> </w:t>
      </w:r>
      <w:r w:rsidR="00306FBA">
        <w:t>Act</w:t>
      </w:r>
      <w:r w:rsidR="007E3681">
        <w:t xml:space="preserve"> and deal with the application before it as though it </w:t>
      </w:r>
      <w:r w:rsidR="0001594C">
        <w:t xml:space="preserve">were </w:t>
      </w:r>
      <w:r w:rsidR="007E3681">
        <w:t>an application made under s</w:t>
      </w:r>
      <w:r w:rsidR="0001594C">
        <w:t> </w:t>
      </w:r>
      <w:r w:rsidR="007E3681">
        <w:t xml:space="preserve">157, </w:t>
      </w:r>
      <w:r w:rsidR="00306FBA">
        <w:t xml:space="preserve">rather than </w:t>
      </w:r>
      <w:r w:rsidR="007E3681">
        <w:t>conduct an</w:t>
      </w:r>
      <w:r w:rsidR="00306FBA">
        <w:t xml:space="preserve"> Item 6 review.</w:t>
      </w:r>
    </w:p>
    <w:p w:rsidR="00306FBA" w:rsidRDefault="0002458E" w:rsidP="00F15D22">
      <w:pPr>
        <w:pStyle w:val="ParaNumbering"/>
      </w:pPr>
      <w:r>
        <w:t>This</w:t>
      </w:r>
      <w:r w:rsidR="00306FBA">
        <w:t xml:space="preserve"> contention </w:t>
      </w:r>
      <w:r w:rsidR="0037170E">
        <w:t xml:space="preserve">essentially rested </w:t>
      </w:r>
      <w:r>
        <w:t>on the NRA’s</w:t>
      </w:r>
      <w:r w:rsidR="007E3681">
        <w:t xml:space="preserve"> </w:t>
      </w:r>
      <w:r w:rsidR="00306FBA">
        <w:t>contention</w:t>
      </w:r>
      <w:r w:rsidR="007E3681">
        <w:t>s</w:t>
      </w:r>
      <w:r w:rsidR="00306FBA">
        <w:t xml:space="preserve"> that:</w:t>
      </w:r>
    </w:p>
    <w:p w:rsidR="00306FBA" w:rsidRDefault="0037170E" w:rsidP="00555687">
      <w:pPr>
        <w:pStyle w:val="ListNo"/>
        <w:numPr>
          <w:ilvl w:val="0"/>
          <w:numId w:val="42"/>
        </w:numPr>
        <w:ind w:left="709" w:hanging="709"/>
      </w:pPr>
      <w:r>
        <w:lastRenderedPageBreak/>
        <w:t xml:space="preserve">the </w:t>
      </w:r>
      <w:proofErr w:type="spellStart"/>
      <w:r>
        <w:t>FWC</w:t>
      </w:r>
      <w:proofErr w:type="spellEnd"/>
      <w:r>
        <w:t xml:space="preserve"> gave </w:t>
      </w:r>
      <w:r w:rsidR="007E3681">
        <w:t xml:space="preserve">inordinate focus to </w:t>
      </w:r>
      <w:r w:rsidR="0099473D">
        <w:t>s</w:t>
      </w:r>
      <w:r w:rsidR="0001594C">
        <w:t> </w:t>
      </w:r>
      <w:r w:rsidR="00D93DA8">
        <w:t>284(1) considerations</w:t>
      </w:r>
      <w:r w:rsidR="00555687">
        <w:t>, those considerations being ce</w:t>
      </w:r>
      <w:r w:rsidR="0099473D">
        <w:t>ntral to a s</w:t>
      </w:r>
      <w:r w:rsidR="0001594C">
        <w:t> </w:t>
      </w:r>
      <w:r w:rsidR="0099473D">
        <w:t>157(2) application</w:t>
      </w:r>
      <w:r w:rsidR="00555687">
        <w:t>; and</w:t>
      </w:r>
      <w:r w:rsidR="00D93DA8">
        <w:t xml:space="preserve"> </w:t>
      </w:r>
    </w:p>
    <w:p w:rsidR="00D93DA8" w:rsidRDefault="00D93DA8" w:rsidP="00D93DA8">
      <w:pPr>
        <w:pStyle w:val="ListNo"/>
        <w:numPr>
          <w:ilvl w:val="0"/>
          <w:numId w:val="43"/>
        </w:numPr>
        <w:ind w:left="709" w:hanging="709"/>
      </w:pPr>
      <w:r>
        <w:t>evidence capable of being charac</w:t>
      </w:r>
      <w:r w:rsidR="0099473D">
        <w:t xml:space="preserve">terised as </w:t>
      </w:r>
      <w:r w:rsidR="00BE52F8">
        <w:t>“</w:t>
      </w:r>
      <w:r w:rsidR="0099473D">
        <w:t>work value reasons</w:t>
      </w:r>
      <w:r w:rsidR="00BE52F8">
        <w:t>”</w:t>
      </w:r>
      <w:r>
        <w:t xml:space="preserve"> </w:t>
      </w:r>
      <w:r w:rsidR="00555687">
        <w:t>is evidence relevant to a s</w:t>
      </w:r>
      <w:r w:rsidR="0001594C">
        <w:t> </w:t>
      </w:r>
      <w:r w:rsidR="00555687">
        <w:t xml:space="preserve">157(2) application </w:t>
      </w:r>
      <w:r w:rsidR="00907F67">
        <w:t xml:space="preserve">but </w:t>
      </w:r>
      <w:r w:rsidR="0037170E">
        <w:t xml:space="preserve">irrelevant </w:t>
      </w:r>
      <w:r w:rsidR="00555687">
        <w:t>to</w:t>
      </w:r>
      <w:r>
        <w:t xml:space="preserve"> an Item 6 review</w:t>
      </w:r>
      <w:r w:rsidR="002F7D39">
        <w:t>.</w:t>
      </w:r>
    </w:p>
    <w:p w:rsidR="00555687" w:rsidRDefault="0099473D" w:rsidP="00D24B13">
      <w:pPr>
        <w:pStyle w:val="ParaNumbering"/>
      </w:pPr>
      <w:r>
        <w:t>In rejecting ground (ii), w</w:t>
      </w:r>
      <w:r w:rsidR="00F81F68">
        <w:t>e have already explained why s</w:t>
      </w:r>
      <w:r w:rsidR="0001594C">
        <w:t> </w:t>
      </w:r>
      <w:r w:rsidR="00F81F68">
        <w:t xml:space="preserve">284(1) considerations are </w:t>
      </w:r>
      <w:r w:rsidR="0001594C">
        <w:t>not ir</w:t>
      </w:r>
      <w:r w:rsidR="00F81F68">
        <w:t xml:space="preserve">relevant to an Item 6 review in which the </w:t>
      </w:r>
      <w:proofErr w:type="spellStart"/>
      <w:r w:rsidR="00F81F68">
        <w:t>FWC</w:t>
      </w:r>
      <w:proofErr w:type="spellEnd"/>
      <w:r w:rsidR="00F81F68">
        <w:t xml:space="preserve"> is considering a variation to a modern award minimum wage.  </w:t>
      </w:r>
      <w:r w:rsidR="0001594C">
        <w:t>Indeed,</w:t>
      </w:r>
      <w:r w:rsidR="00F81F68">
        <w:t xml:space="preserve"> Item 6(4)</w:t>
      </w:r>
      <w:r w:rsidR="0001594C">
        <w:t xml:space="preserve"> renders those considerations mandatory</w:t>
      </w:r>
      <w:r w:rsidR="00F81F68">
        <w:t>.</w:t>
      </w:r>
      <w:r w:rsidR="00555687">
        <w:t xml:space="preserve">  We do not </w:t>
      </w:r>
      <w:r w:rsidR="0001594C">
        <w:t xml:space="preserve">accept </w:t>
      </w:r>
      <w:r w:rsidR="00555687">
        <w:t xml:space="preserve">that the reliance placed by the </w:t>
      </w:r>
      <w:proofErr w:type="spellStart"/>
      <w:r w:rsidR="00555687">
        <w:t>FWC</w:t>
      </w:r>
      <w:proofErr w:type="spellEnd"/>
      <w:r w:rsidR="00555687">
        <w:t xml:space="preserve"> on s</w:t>
      </w:r>
      <w:r w:rsidR="0001594C">
        <w:t> </w:t>
      </w:r>
      <w:r w:rsidR="00555687">
        <w:t xml:space="preserve">284(1) considerations suggests that it </w:t>
      </w:r>
      <w:r w:rsidR="0001594C">
        <w:t>misunderstood its function.</w:t>
      </w:r>
    </w:p>
    <w:p w:rsidR="00306FBA" w:rsidRDefault="00F81F68" w:rsidP="00487BC4">
      <w:pPr>
        <w:pStyle w:val="ParaNumbering"/>
      </w:pPr>
      <w:r>
        <w:t xml:space="preserve">We will explain </w:t>
      </w:r>
      <w:r w:rsidR="0001594C">
        <w:t xml:space="preserve">when </w:t>
      </w:r>
      <w:r>
        <w:t>dealing with ground (iv) why evidence capable of being encompassed within the s</w:t>
      </w:r>
      <w:r w:rsidR="0001594C">
        <w:t> </w:t>
      </w:r>
      <w:r>
        <w:t xml:space="preserve">156(3) definition of </w:t>
      </w:r>
      <w:r w:rsidR="00BE52F8">
        <w:t>“</w:t>
      </w:r>
      <w:r>
        <w:t>work value reasons</w:t>
      </w:r>
      <w:r w:rsidR="00BE52F8">
        <w:t>”</w:t>
      </w:r>
      <w:r>
        <w:t xml:space="preserve"> is also evidence capable of being relevant to an Item 6 transitional review.</w:t>
      </w:r>
    </w:p>
    <w:p w:rsidR="0001594C" w:rsidRDefault="0001594C" w:rsidP="00F15D22">
      <w:pPr>
        <w:pStyle w:val="ParaNumbering"/>
      </w:pPr>
      <w:r>
        <w:t>We therefore reject ground (iii).</w:t>
      </w:r>
    </w:p>
    <w:p w:rsidR="00331155" w:rsidRDefault="00A83C1E" w:rsidP="00A83C1E">
      <w:pPr>
        <w:pStyle w:val="Heading2"/>
      </w:pPr>
      <w:r>
        <w:t>Ground (iv)</w:t>
      </w:r>
    </w:p>
    <w:p w:rsidR="00D5028F" w:rsidRDefault="0099473D" w:rsidP="00E11C35">
      <w:pPr>
        <w:pStyle w:val="ParaNumbering"/>
      </w:pPr>
      <w:r>
        <w:t xml:space="preserve">By ground (iv), </w:t>
      </w:r>
      <w:r w:rsidR="00AC43CE">
        <w:t xml:space="preserve">the NRA contended that jurisdictional error was established because the </w:t>
      </w:r>
      <w:proofErr w:type="spellStart"/>
      <w:r w:rsidR="00AC43CE">
        <w:t>FWC</w:t>
      </w:r>
      <w:proofErr w:type="spellEnd"/>
      <w:r w:rsidR="00AC43CE">
        <w:t xml:space="preserve"> took into account irrelevant considerations.</w:t>
      </w:r>
    </w:p>
    <w:p w:rsidR="00D5028F" w:rsidRDefault="00D5028F" w:rsidP="005C30D1">
      <w:pPr>
        <w:pStyle w:val="ParaNumbering"/>
      </w:pPr>
      <w:r>
        <w:t xml:space="preserve">The NRA contended that the evidence </w:t>
      </w:r>
      <w:r w:rsidR="0001594C">
        <w:t xml:space="preserve">from witnesses called </w:t>
      </w:r>
      <w:r>
        <w:t xml:space="preserve">by the </w:t>
      </w:r>
      <w:proofErr w:type="spellStart"/>
      <w:r>
        <w:t>SDA</w:t>
      </w:r>
      <w:proofErr w:type="spellEnd"/>
      <w:r>
        <w:t xml:space="preserve"> almost exclusively related to </w:t>
      </w:r>
      <w:r w:rsidR="00BE52F8">
        <w:t>“</w:t>
      </w:r>
      <w:r>
        <w:t>work value reasons</w:t>
      </w:r>
      <w:r w:rsidR="00BE52F8">
        <w:t>”</w:t>
      </w:r>
      <w:r>
        <w:t xml:space="preserve"> including </w:t>
      </w:r>
      <w:r w:rsidR="00E11C35">
        <w:t xml:space="preserve">(i) </w:t>
      </w:r>
      <w:r>
        <w:t xml:space="preserve">the nature of the work performed by the individuals as retail employees; </w:t>
      </w:r>
      <w:r w:rsidR="00E11C35">
        <w:t xml:space="preserve">(ii) </w:t>
      </w:r>
      <w:r>
        <w:t xml:space="preserve">the level of skill or responsibility involved in doing the work; and </w:t>
      </w:r>
      <w:r w:rsidR="00E11C35">
        <w:t xml:space="preserve">(iii) </w:t>
      </w:r>
      <w:r>
        <w:t>the conditions under which the work was done</w:t>
      </w:r>
      <w:r w:rsidR="00E11C35">
        <w:t>,</w:t>
      </w:r>
      <w:r>
        <w:t xml:space="preserve"> including the level of training and supervi</w:t>
      </w:r>
      <w:r w:rsidR="002F7D39">
        <w:t>sion provided to the employees.</w:t>
      </w:r>
    </w:p>
    <w:p w:rsidR="00C9527F" w:rsidRDefault="00D5028F" w:rsidP="00B7079D">
      <w:pPr>
        <w:pStyle w:val="ParaNumbering"/>
      </w:pPr>
      <w:r>
        <w:t xml:space="preserve">The NRA then referred to the findings made by the </w:t>
      </w:r>
      <w:proofErr w:type="spellStart"/>
      <w:r>
        <w:t>FWC</w:t>
      </w:r>
      <w:proofErr w:type="spellEnd"/>
      <w:r>
        <w:t xml:space="preserve"> about the evidence before it </w:t>
      </w:r>
      <w:r w:rsidR="00E11C35">
        <w:t>based upon</w:t>
      </w:r>
      <w:r>
        <w:t xml:space="preserve"> the </w:t>
      </w:r>
      <w:r w:rsidR="0001594C">
        <w:t xml:space="preserve">10 </w:t>
      </w:r>
      <w:r>
        <w:t xml:space="preserve">principal conclusions that the </w:t>
      </w:r>
      <w:proofErr w:type="spellStart"/>
      <w:r>
        <w:t>SDA</w:t>
      </w:r>
      <w:proofErr w:type="spellEnd"/>
      <w:r>
        <w:t xml:space="preserve"> submitted the evidence had established</w:t>
      </w:r>
      <w:r w:rsidR="00E11C35">
        <w:t>.  Those findings are</w:t>
      </w:r>
      <w:r>
        <w:t xml:space="preserve"> </w:t>
      </w:r>
      <w:r w:rsidR="00E11C35">
        <w:t>s</w:t>
      </w:r>
      <w:r>
        <w:t xml:space="preserve">ummarised at </w:t>
      </w:r>
      <w:r w:rsidR="0037170E">
        <w:t>[</w:t>
      </w:r>
      <w:r w:rsidR="0037170E">
        <w:fldChar w:fldCharType="begin" w:fldLock="1"/>
      </w:r>
      <w:r w:rsidR="0037170E">
        <w:instrText xml:space="preserve"> REF _Ref397433841 \r \h </w:instrText>
      </w:r>
      <w:r w:rsidR="0037170E">
        <w:fldChar w:fldCharType="separate"/>
      </w:r>
      <w:r w:rsidR="00E477FA">
        <w:t>45</w:t>
      </w:r>
      <w:r w:rsidR="0037170E">
        <w:fldChar w:fldCharType="end"/>
      </w:r>
      <w:r>
        <w:t>]</w:t>
      </w:r>
      <w:r w:rsidR="00E11C35">
        <w:t xml:space="preserve"> above</w:t>
      </w:r>
      <w:r w:rsidR="00136310">
        <w:t>.  T</w:t>
      </w:r>
      <w:r>
        <w:t xml:space="preserve">he NRA contended that the </w:t>
      </w:r>
      <w:proofErr w:type="spellStart"/>
      <w:r>
        <w:t>FWC</w:t>
      </w:r>
      <w:proofErr w:type="spellEnd"/>
      <w:r>
        <w:t xml:space="preserve"> had particular regard to</w:t>
      </w:r>
      <w:r w:rsidR="00B7079D">
        <w:t xml:space="preserve"> </w:t>
      </w:r>
      <w:r w:rsidR="00136310">
        <w:t>the third, fourth, seventh and eighth dot points in that summary</w:t>
      </w:r>
      <w:r w:rsidR="00B7079D">
        <w:t xml:space="preserve"> in reaching its determination.</w:t>
      </w:r>
      <w:r w:rsidR="0001594C">
        <w:t xml:space="preserve"> </w:t>
      </w:r>
      <w:r>
        <w:t xml:space="preserve"> </w:t>
      </w:r>
      <w:r w:rsidR="002F7ABA">
        <w:t xml:space="preserve">In </w:t>
      </w:r>
      <w:r w:rsidR="00136310">
        <w:t>the NRA’s</w:t>
      </w:r>
      <w:r w:rsidR="002F7ABA">
        <w:t xml:space="preserve"> </w:t>
      </w:r>
      <w:r w:rsidR="0001594C">
        <w:t>submission</w:t>
      </w:r>
      <w:r w:rsidR="002F7ABA">
        <w:t>, as all</w:t>
      </w:r>
      <w:r w:rsidR="00B7079D">
        <w:t xml:space="preserve"> those matters </w:t>
      </w:r>
      <w:r>
        <w:t xml:space="preserve">could only be relevant to a consideration of </w:t>
      </w:r>
      <w:r w:rsidR="00BE52F8">
        <w:t>“</w:t>
      </w:r>
      <w:r>
        <w:t>work value reasons</w:t>
      </w:r>
      <w:r w:rsidR="00BE52F8">
        <w:t>”</w:t>
      </w:r>
      <w:r>
        <w:t xml:space="preserve"> in the context of an application to vary an award under s</w:t>
      </w:r>
      <w:r w:rsidR="0001594C">
        <w:t> </w:t>
      </w:r>
      <w:r>
        <w:t>157</w:t>
      </w:r>
      <w:r w:rsidR="00B7079D">
        <w:t xml:space="preserve"> (</w:t>
      </w:r>
      <w:r w:rsidR="002F7ABA">
        <w:t xml:space="preserve">or </w:t>
      </w:r>
      <w:r w:rsidR="00B7079D">
        <w:t>s</w:t>
      </w:r>
      <w:r w:rsidR="0001594C">
        <w:t> </w:t>
      </w:r>
      <w:r w:rsidR="00B7079D">
        <w:t>156)</w:t>
      </w:r>
      <w:r>
        <w:t xml:space="preserve"> of the FW Act</w:t>
      </w:r>
      <w:r w:rsidR="002F7ABA">
        <w:t xml:space="preserve">, </w:t>
      </w:r>
      <w:r>
        <w:t xml:space="preserve">by relying on those matters as the basis for </w:t>
      </w:r>
      <w:r w:rsidR="00A83C1E">
        <w:t>a</w:t>
      </w:r>
      <w:r>
        <w:t xml:space="preserve"> variation </w:t>
      </w:r>
      <w:r w:rsidR="00A83C1E">
        <w:t>made pursuant to Item 6</w:t>
      </w:r>
      <w:r w:rsidR="00B17D47">
        <w:t>,</w:t>
      </w:r>
      <w:r>
        <w:t xml:space="preserve"> the </w:t>
      </w:r>
      <w:proofErr w:type="spellStart"/>
      <w:r>
        <w:t>FWC</w:t>
      </w:r>
      <w:proofErr w:type="spellEnd"/>
      <w:r w:rsidR="002F7ABA">
        <w:t xml:space="preserve"> had</w:t>
      </w:r>
      <w:r>
        <w:t xml:space="preserve"> relied on irrelevant material </w:t>
      </w:r>
      <w:r w:rsidR="00C9527F">
        <w:t>that affected the exercise of its p</w:t>
      </w:r>
      <w:r w:rsidR="002F7D39">
        <w:t>ower to vary the Retail Award.</w:t>
      </w:r>
    </w:p>
    <w:p w:rsidR="00225113" w:rsidRDefault="00C9527F" w:rsidP="005C30D1">
      <w:pPr>
        <w:pStyle w:val="ParaNumbering"/>
      </w:pPr>
      <w:r>
        <w:lastRenderedPageBreak/>
        <w:t xml:space="preserve">We would accept, noting that the </w:t>
      </w:r>
      <w:proofErr w:type="spellStart"/>
      <w:r>
        <w:t>SDA</w:t>
      </w:r>
      <w:proofErr w:type="spellEnd"/>
      <w:r>
        <w:t xml:space="preserve"> did not contend to the contrary, that each of the matters pointed to by the NRA as having been relied upon by the </w:t>
      </w:r>
      <w:proofErr w:type="spellStart"/>
      <w:r>
        <w:t>FWC</w:t>
      </w:r>
      <w:proofErr w:type="spellEnd"/>
      <w:r>
        <w:t xml:space="preserve"> </w:t>
      </w:r>
      <w:r w:rsidR="002F7ABA">
        <w:t>was</w:t>
      </w:r>
      <w:r>
        <w:t xml:space="preserve"> capable of being related to the </w:t>
      </w:r>
      <w:r w:rsidR="00BE52F8">
        <w:t>“</w:t>
      </w:r>
      <w:r>
        <w:t>nature of the work</w:t>
      </w:r>
      <w:r w:rsidR="00BE52F8">
        <w:t>”</w:t>
      </w:r>
      <w:r>
        <w:t xml:space="preserve">, </w:t>
      </w:r>
      <w:r w:rsidR="00BE52F8">
        <w:t>“</w:t>
      </w:r>
      <w:r>
        <w:t>the level of skill or responsibility involved in doing the work</w:t>
      </w:r>
      <w:r w:rsidR="00BE52F8">
        <w:t>”</w:t>
      </w:r>
      <w:r>
        <w:t xml:space="preserve"> or the </w:t>
      </w:r>
      <w:r w:rsidR="00BE52F8">
        <w:t>“</w:t>
      </w:r>
      <w:r>
        <w:t xml:space="preserve">conditions under which the work </w:t>
      </w:r>
      <w:r w:rsidR="002F7ABA">
        <w:t>[</w:t>
      </w:r>
      <w:r>
        <w:t>of retail employees</w:t>
      </w:r>
      <w:r w:rsidR="002F7ABA">
        <w:t>]</w:t>
      </w:r>
      <w:r>
        <w:t xml:space="preserve"> is done</w:t>
      </w:r>
      <w:r w:rsidR="00BE52F8">
        <w:t>”</w:t>
      </w:r>
      <w:r>
        <w:t xml:space="preserve"> within the meaning of </w:t>
      </w:r>
      <w:r w:rsidR="00225113">
        <w:t>those expressions in</w:t>
      </w:r>
      <w:r w:rsidR="00131ECB">
        <w:t xml:space="preserve"> the</w:t>
      </w:r>
      <w:r w:rsidR="00B7079D">
        <w:t xml:space="preserve"> definition of </w:t>
      </w:r>
      <w:r w:rsidR="00BE52F8">
        <w:t>“</w:t>
      </w:r>
      <w:r w:rsidR="00B7079D">
        <w:t>work value reasons</w:t>
      </w:r>
      <w:r w:rsidR="00BE52F8">
        <w:t>”</w:t>
      </w:r>
      <w:r w:rsidR="0001594C">
        <w:t xml:space="preserve"> in s 156(4)</w:t>
      </w:r>
      <w:r w:rsidR="00225113">
        <w:t xml:space="preserve">.  Those matters are therefore capable of being </w:t>
      </w:r>
      <w:r w:rsidR="00BE52F8">
        <w:t>“</w:t>
      </w:r>
      <w:r w:rsidR="00225113">
        <w:t>work value reasons</w:t>
      </w:r>
      <w:r w:rsidR="00BE52F8">
        <w:t>”</w:t>
      </w:r>
      <w:r w:rsidR="00225113">
        <w:t xml:space="preserve"> and</w:t>
      </w:r>
      <w:r w:rsidR="00B7079D">
        <w:t>,</w:t>
      </w:r>
      <w:r w:rsidR="00225113">
        <w:t xml:space="preserve"> by reference to the s</w:t>
      </w:r>
      <w:r w:rsidR="0053010C">
        <w:t> </w:t>
      </w:r>
      <w:r w:rsidR="00225113">
        <w:t>156(4) definition</w:t>
      </w:r>
      <w:r w:rsidR="00B7079D">
        <w:t>,</w:t>
      </w:r>
      <w:r w:rsidR="00225113">
        <w:t xml:space="preserve"> capable of being </w:t>
      </w:r>
      <w:r w:rsidR="00BE52F8">
        <w:t>“</w:t>
      </w:r>
      <w:r w:rsidR="00225113">
        <w:t>reasons justifying the amount that employees should be paid for doi</w:t>
      </w:r>
      <w:r w:rsidR="002F7D39">
        <w:t>ng a particular kind of work</w:t>
      </w:r>
      <w:r w:rsidR="00BE52F8">
        <w:t>”</w:t>
      </w:r>
      <w:r w:rsidR="002F7D39">
        <w:t>.</w:t>
      </w:r>
    </w:p>
    <w:p w:rsidR="00225113" w:rsidRDefault="0053010C" w:rsidP="005C30D1">
      <w:pPr>
        <w:pStyle w:val="ParaNumbering"/>
      </w:pPr>
      <w:r>
        <w:t>But it does not follow</w:t>
      </w:r>
      <w:r w:rsidR="00225113">
        <w:t xml:space="preserve"> that the impugned matters were irrelevant to a consideration of whether the Retail Award was achieving the modern awards objective</w:t>
      </w:r>
      <w:r w:rsidR="00076179">
        <w:t xml:space="preserve"> </w:t>
      </w:r>
      <w:r w:rsidR="00B7079D">
        <w:t>for the purpose</w:t>
      </w:r>
      <w:r w:rsidR="00076179">
        <w:t xml:space="preserve"> of an Item 6 transitional review</w:t>
      </w:r>
      <w:r w:rsidR="002F7D39">
        <w:t>.</w:t>
      </w:r>
    </w:p>
    <w:p w:rsidR="00225113" w:rsidRDefault="00225113" w:rsidP="005C30D1">
      <w:pPr>
        <w:pStyle w:val="ParaNumbering"/>
      </w:pPr>
      <w:r>
        <w:t>As we have already observed, whether a modern award contains fair minimum wage</w:t>
      </w:r>
      <w:r w:rsidR="00076179">
        <w:t>s</w:t>
      </w:r>
      <w:r>
        <w:t xml:space="preserve"> is relevant to whether the award is achieving the modern awards objective.  </w:t>
      </w:r>
      <w:r w:rsidR="00E11C35">
        <w:t>T</w:t>
      </w:r>
      <w:r>
        <w:t>he kind</w:t>
      </w:r>
      <w:r w:rsidR="00E11C35">
        <w:t xml:space="preserve"> of matters</w:t>
      </w:r>
      <w:r>
        <w:t xml:space="preserve"> that are encompassed by the definition of </w:t>
      </w:r>
      <w:r w:rsidR="00BE52F8">
        <w:t>“</w:t>
      </w:r>
      <w:r>
        <w:t>work value reasons</w:t>
      </w:r>
      <w:r w:rsidR="00BE52F8">
        <w:t>”</w:t>
      </w:r>
      <w:r>
        <w:t xml:space="preserve"> are, as th</w:t>
      </w:r>
      <w:r w:rsidR="00076179">
        <w:t>e</w:t>
      </w:r>
      <w:r>
        <w:t xml:space="preserve"> definition </w:t>
      </w:r>
      <w:r w:rsidR="00076179">
        <w:t xml:space="preserve">of that phrase </w:t>
      </w:r>
      <w:r w:rsidR="002F7D39">
        <w:t>and s</w:t>
      </w:r>
      <w:r w:rsidR="0053010C">
        <w:t> </w:t>
      </w:r>
      <w:r w:rsidR="00E11C35">
        <w:t xml:space="preserve">156(3) and </w:t>
      </w:r>
      <w:r w:rsidR="002F7D39">
        <w:t>s </w:t>
      </w:r>
      <w:r w:rsidR="00E11C35">
        <w:t>157(2) make</w:t>
      </w:r>
      <w:r>
        <w:t xml:space="preserve"> clear, relevant to the amount </w:t>
      </w:r>
      <w:r w:rsidR="00E11C35">
        <w:t xml:space="preserve">that employees should be paid in </w:t>
      </w:r>
      <w:r>
        <w:t>the determination of the minimum wage</w:t>
      </w:r>
      <w:r w:rsidR="00E11C35">
        <w:t>s</w:t>
      </w:r>
      <w:r>
        <w:t xml:space="preserve"> payable under a modern award.</w:t>
      </w:r>
    </w:p>
    <w:p w:rsidR="00E11C35" w:rsidRDefault="00225113" w:rsidP="005C30D1">
      <w:pPr>
        <w:pStyle w:val="ParaNumbering"/>
      </w:pPr>
      <w:r>
        <w:t xml:space="preserve">It is axiomatic that </w:t>
      </w:r>
      <w:r w:rsidR="00E11C35">
        <w:t>matters</w:t>
      </w:r>
      <w:r w:rsidR="00B7079D">
        <w:t xml:space="preserve"> of that kind</w:t>
      </w:r>
      <w:r>
        <w:t xml:space="preserve"> </w:t>
      </w:r>
      <w:r w:rsidR="00E11C35">
        <w:t>are capable of being</w:t>
      </w:r>
      <w:r>
        <w:t xml:space="preserve"> relevant to a consideration of whether the minimum wage</w:t>
      </w:r>
      <w:r w:rsidR="00076179">
        <w:t>s</w:t>
      </w:r>
      <w:r>
        <w:t xml:space="preserve"> payable under a modern award </w:t>
      </w:r>
      <w:r w:rsidR="00076179">
        <w:t>are</w:t>
      </w:r>
      <w:r>
        <w:t xml:space="preserve"> consistent with the modern awards </w:t>
      </w:r>
      <w:r w:rsidR="0037523D">
        <w:t>objective.</w:t>
      </w:r>
      <w:r w:rsidR="00E11C35">
        <w:t xml:space="preserve">  </w:t>
      </w:r>
      <w:r w:rsidR="00B7079D">
        <w:t>Accordingly, t</w:t>
      </w:r>
      <w:r w:rsidR="00E11C35">
        <w:t xml:space="preserve">he NRA’s contention that matters which fall within the definition of </w:t>
      </w:r>
      <w:r w:rsidR="00BE52F8">
        <w:t>“</w:t>
      </w:r>
      <w:r w:rsidR="00E11C35">
        <w:t xml:space="preserve">work value </w:t>
      </w:r>
      <w:r w:rsidR="00131ECB">
        <w:t>reasons</w:t>
      </w:r>
      <w:r w:rsidR="00BE52F8">
        <w:t>”</w:t>
      </w:r>
      <w:r w:rsidR="00E11C35">
        <w:t xml:space="preserve"> must be matters which are irrelevant to whether wage rates in a modern award are achieving the modern awards objective is </w:t>
      </w:r>
      <w:r w:rsidR="00076179">
        <w:t>unsustainable</w:t>
      </w:r>
      <w:r w:rsidR="00E11C35">
        <w:t>.</w:t>
      </w:r>
    </w:p>
    <w:p w:rsidR="00331155" w:rsidRDefault="00E11C35" w:rsidP="005C30D1">
      <w:pPr>
        <w:pStyle w:val="ParaNumbering"/>
      </w:pPr>
      <w:r>
        <w:t>For those reasons</w:t>
      </w:r>
      <w:r w:rsidR="002F7ABA">
        <w:t>,</w:t>
      </w:r>
      <w:r>
        <w:t xml:space="preserve"> we reject ground (</w:t>
      </w:r>
      <w:r w:rsidR="00076179">
        <w:t>iv</w:t>
      </w:r>
      <w:r>
        <w:t>).</w:t>
      </w:r>
    </w:p>
    <w:p w:rsidR="00F2187A" w:rsidRDefault="00F2187A" w:rsidP="00F2187A">
      <w:pPr>
        <w:pStyle w:val="Heading2"/>
      </w:pPr>
      <w:r>
        <w:t>Ground (</w:t>
      </w:r>
      <w:r w:rsidR="00076179">
        <w:t>i</w:t>
      </w:r>
      <w:r>
        <w:t>)</w:t>
      </w:r>
    </w:p>
    <w:p w:rsidR="009D45D0" w:rsidRDefault="00076179" w:rsidP="003E664A">
      <w:pPr>
        <w:pStyle w:val="ParaNumbering"/>
      </w:pPr>
      <w:r>
        <w:t>By ground (i</w:t>
      </w:r>
      <w:r w:rsidR="00F2187A">
        <w:t>)</w:t>
      </w:r>
      <w:r w:rsidR="00B7079D">
        <w:t>,</w:t>
      </w:r>
      <w:r w:rsidR="00F2187A">
        <w:t xml:space="preserve"> the NRA contended that Item 6 required that</w:t>
      </w:r>
      <w:r w:rsidR="00121AA4">
        <w:t xml:space="preserve"> the entirety of </w:t>
      </w:r>
      <w:r w:rsidR="00F2187A">
        <w:t>each modern</w:t>
      </w:r>
      <w:r w:rsidR="00121AA4">
        <w:t xml:space="preserve"> award </w:t>
      </w:r>
      <w:r w:rsidR="00F2187A">
        <w:t>be</w:t>
      </w:r>
      <w:r w:rsidR="009D45D0">
        <w:t xml:space="preserve"> assessed holistically against Item 6(2)</w:t>
      </w:r>
      <w:r w:rsidR="00F2187A">
        <w:t xml:space="preserve"> considerations</w:t>
      </w:r>
      <w:r w:rsidR="009D45D0">
        <w:t xml:space="preserve">.  In support of its contention that a </w:t>
      </w:r>
      <w:r w:rsidR="00F2187A">
        <w:t>holistic</w:t>
      </w:r>
      <w:r w:rsidR="009D45D0">
        <w:t xml:space="preserve"> assessment was mandated, the NRA relied upon the terms of Item 6(</w:t>
      </w:r>
      <w:proofErr w:type="spellStart"/>
      <w:r w:rsidR="009D45D0">
        <w:t>2A</w:t>
      </w:r>
      <w:proofErr w:type="spellEnd"/>
      <w:r w:rsidR="009D45D0">
        <w:t xml:space="preserve">) and in particular the phrase </w:t>
      </w:r>
      <w:r w:rsidR="00BE52F8">
        <w:t>“</w:t>
      </w:r>
      <w:r w:rsidR="009D45D0">
        <w:t>in its own right</w:t>
      </w:r>
      <w:r w:rsidR="00BE52F8">
        <w:t>”</w:t>
      </w:r>
      <w:r w:rsidR="009D45D0">
        <w:t>.</w:t>
      </w:r>
      <w:r>
        <w:t xml:space="preserve">  The NRA contended that the phrase </w:t>
      </w:r>
      <w:r w:rsidR="00BE52F8">
        <w:t>“</w:t>
      </w:r>
      <w:r>
        <w:t>in its own right</w:t>
      </w:r>
      <w:r w:rsidR="00BE52F8">
        <w:t>”</w:t>
      </w:r>
      <w:r>
        <w:t xml:space="preserve"> was intended to impose </w:t>
      </w:r>
      <w:r w:rsidR="00B7079D">
        <w:t>a</w:t>
      </w:r>
      <w:r>
        <w:t xml:space="preserve"> requirement that a modern award be reviewed </w:t>
      </w:r>
      <w:r w:rsidR="00BE52F8">
        <w:t>“</w:t>
      </w:r>
      <w:r>
        <w:t>in its entirety to determine the two questions</w:t>
      </w:r>
      <w:r w:rsidR="00BE52F8">
        <w:t>”</w:t>
      </w:r>
      <w:r>
        <w:t xml:space="preserve"> posed by Item 6(2).</w:t>
      </w:r>
      <w:r w:rsidR="003E664A" w:rsidRPr="003E664A">
        <w:t xml:space="preserve"> </w:t>
      </w:r>
      <w:r w:rsidR="00DB612B">
        <w:t xml:space="preserve"> </w:t>
      </w:r>
      <w:r w:rsidR="00CF6561">
        <w:t xml:space="preserve">This was the very contention the </w:t>
      </w:r>
      <w:proofErr w:type="spellStart"/>
      <w:r w:rsidR="00CF6561">
        <w:t>FWC</w:t>
      </w:r>
      <w:proofErr w:type="spellEnd"/>
      <w:r w:rsidR="00CF6561">
        <w:t xml:space="preserve"> rejected in the 2012 decision to which we referred above at [</w:t>
      </w:r>
      <w:r w:rsidR="00CF6561">
        <w:fldChar w:fldCharType="begin" w:fldLock="1"/>
      </w:r>
      <w:r w:rsidR="00CF6561">
        <w:instrText xml:space="preserve"> REF _Ref397440795 \r \h </w:instrText>
      </w:r>
      <w:r w:rsidR="00CF6561">
        <w:fldChar w:fldCharType="separate"/>
      </w:r>
      <w:r w:rsidR="00E477FA">
        <w:t>28</w:t>
      </w:r>
      <w:r w:rsidR="00CF6561">
        <w:fldChar w:fldCharType="end"/>
      </w:r>
      <w:r w:rsidR="00CF6561">
        <w:t>]</w:t>
      </w:r>
      <w:r w:rsidR="00CF6561">
        <w:noBreakHyphen/>
        <w:t xml:space="preserve">[29].  Here, the </w:t>
      </w:r>
      <w:r w:rsidR="003E664A">
        <w:lastRenderedPageBreak/>
        <w:t xml:space="preserve">NRA </w:t>
      </w:r>
      <w:r w:rsidR="00DB612B">
        <w:t xml:space="preserve">argued </w:t>
      </w:r>
      <w:r w:rsidR="003E664A">
        <w:t xml:space="preserve">that the </w:t>
      </w:r>
      <w:proofErr w:type="spellStart"/>
      <w:r w:rsidR="003E664A">
        <w:t>FWC</w:t>
      </w:r>
      <w:proofErr w:type="spellEnd"/>
      <w:r w:rsidR="003E664A">
        <w:t xml:space="preserve"> did not review the entirety of the Retail Award but only th</w:t>
      </w:r>
      <w:r w:rsidR="00DB612B">
        <w:t>e</w:t>
      </w:r>
      <w:r w:rsidR="003E664A">
        <w:t xml:space="preserve"> part of cl</w:t>
      </w:r>
      <w:r w:rsidR="00DB612B">
        <w:t> </w:t>
      </w:r>
      <w:r w:rsidR="003E664A">
        <w:t>18 that dealt with the rates of pay of 20</w:t>
      </w:r>
      <w:r w:rsidR="001C01BB">
        <w:t>-</w:t>
      </w:r>
      <w:r w:rsidR="003E664A">
        <w:t>year</w:t>
      </w:r>
      <w:r w:rsidR="001C01BB">
        <w:t>-</w:t>
      </w:r>
      <w:r w:rsidR="003E664A">
        <w:t>old employees.</w:t>
      </w:r>
    </w:p>
    <w:p w:rsidR="009D45D0" w:rsidRDefault="00AA3E33" w:rsidP="005C30D1">
      <w:pPr>
        <w:pStyle w:val="ParaNumbering"/>
      </w:pPr>
      <w:r>
        <w:t>R</w:t>
      </w:r>
      <w:r w:rsidR="009D45D0">
        <w:t xml:space="preserve">ead in its proper context, the phrase upon which the NRA relies does not have the meaning that the NRA ascribes to it.  The context </w:t>
      </w:r>
      <w:r w:rsidR="00F31D60">
        <w:t xml:space="preserve">is </w:t>
      </w:r>
      <w:r w:rsidR="009D45D0">
        <w:t xml:space="preserve">the transitional review </w:t>
      </w:r>
      <w:r w:rsidR="00076179">
        <w:t xml:space="preserve">of all modern awards.  The </w:t>
      </w:r>
      <w:r w:rsidR="00F31D60">
        <w:t>purpose of the requirement to review a modern award</w:t>
      </w:r>
      <w:r w:rsidR="00076179">
        <w:t xml:space="preserve"> </w:t>
      </w:r>
      <w:r w:rsidR="00BE52F8">
        <w:t>“</w:t>
      </w:r>
      <w:r w:rsidR="00076179">
        <w:t>in its own right</w:t>
      </w:r>
      <w:r w:rsidR="00BE52F8">
        <w:t>”</w:t>
      </w:r>
      <w:r w:rsidR="009D45D0">
        <w:t xml:space="preserve"> </w:t>
      </w:r>
      <w:r w:rsidR="00F31D60">
        <w:t xml:space="preserve">is </w:t>
      </w:r>
      <w:r w:rsidR="009D45D0">
        <w:t>to ensure</w:t>
      </w:r>
      <w:r w:rsidR="00F2187A">
        <w:t xml:space="preserve"> that</w:t>
      </w:r>
      <w:r w:rsidR="009D45D0">
        <w:t xml:space="preserve"> the </w:t>
      </w:r>
      <w:r w:rsidR="00F31D60">
        <w:t>review</w:t>
      </w:r>
      <w:r w:rsidR="009D45D0">
        <w:t xml:space="preserve"> is conducted by reference to the particular terms and the</w:t>
      </w:r>
      <w:r w:rsidR="00F2187A">
        <w:t xml:space="preserve"> particular</w:t>
      </w:r>
      <w:r w:rsidR="009D45D0">
        <w:t xml:space="preserve"> operation of each </w:t>
      </w:r>
      <w:r w:rsidR="00F2187A">
        <w:t xml:space="preserve">particular </w:t>
      </w:r>
      <w:r w:rsidR="009D45D0">
        <w:t>award rather than</w:t>
      </w:r>
      <w:r w:rsidR="00076179">
        <w:t xml:space="preserve"> by </w:t>
      </w:r>
      <w:r w:rsidR="00F2187A">
        <w:t xml:space="preserve">a global assessment based upon </w:t>
      </w:r>
      <w:r w:rsidR="009D45D0">
        <w:t>generally applicable considerations.  In other words, the requirement is directed to excluding extra-award considerations</w:t>
      </w:r>
      <w:r w:rsidR="00F2187A">
        <w:t>.  It is not</w:t>
      </w:r>
      <w:r w:rsidR="00F31D60">
        <w:t xml:space="preserve"> </w:t>
      </w:r>
      <w:r w:rsidR="00F2187A">
        <w:t>directed to</w:t>
      </w:r>
      <w:r w:rsidR="009D45D0">
        <w:t xml:space="preserve"> the manner in which intra-award considerations are to be dealt with.</w:t>
      </w:r>
    </w:p>
    <w:p w:rsidR="00F2187A" w:rsidRDefault="009D45D0" w:rsidP="00133592">
      <w:pPr>
        <w:pStyle w:val="ParaNumbering"/>
      </w:pPr>
      <w:r>
        <w:t xml:space="preserve">That the review of each modern award </w:t>
      </w:r>
      <w:r w:rsidR="00133592">
        <w:t>must focus on</w:t>
      </w:r>
      <w:r w:rsidR="00D81A49">
        <w:t xml:space="preserve"> the particular terms and </w:t>
      </w:r>
      <w:r w:rsidR="00133592">
        <w:t xml:space="preserve">the particular </w:t>
      </w:r>
      <w:r w:rsidR="00D81A49">
        <w:t xml:space="preserve">operation of </w:t>
      </w:r>
      <w:r w:rsidR="00133592">
        <w:t xml:space="preserve">the particular </w:t>
      </w:r>
      <w:r w:rsidR="00D81A49">
        <w:t>award does not suggest that the</w:t>
      </w:r>
      <w:r w:rsidR="00133592">
        <w:t xml:space="preserve"> review</w:t>
      </w:r>
      <w:r w:rsidR="00D81A49">
        <w:t xml:space="preserve"> of that award was</w:t>
      </w:r>
      <w:r w:rsidR="00F2187A">
        <w:t xml:space="preserve"> intended</w:t>
      </w:r>
      <w:r w:rsidR="00D81A49">
        <w:t xml:space="preserve"> to be confined to a single holistic assessment of all of its terms. </w:t>
      </w:r>
      <w:r w:rsidR="00133592">
        <w:t xml:space="preserve"> </w:t>
      </w:r>
      <w:r w:rsidR="000D7BCD">
        <w:t>The</w:t>
      </w:r>
      <w:r w:rsidR="00D81A49">
        <w:t xml:space="preserve"> conclusion that a modern </w:t>
      </w:r>
      <w:r w:rsidR="00210234">
        <w:t>award fails</w:t>
      </w:r>
      <w:r w:rsidR="00D81A49">
        <w:t xml:space="preserve"> to comply with the modern award</w:t>
      </w:r>
      <w:r w:rsidR="00F2187A">
        <w:t>s</w:t>
      </w:r>
      <w:r w:rsidR="00D81A49">
        <w:t xml:space="preserve"> objective may be based up</w:t>
      </w:r>
      <w:r w:rsidR="00F2187A">
        <w:t xml:space="preserve">on a single offending provision.  </w:t>
      </w:r>
      <w:r w:rsidR="00133592">
        <w:t xml:space="preserve">There is no reason in principle why the </w:t>
      </w:r>
      <w:proofErr w:type="spellStart"/>
      <w:r w:rsidR="00133592">
        <w:t>FWC</w:t>
      </w:r>
      <w:proofErr w:type="spellEnd"/>
      <w:r w:rsidR="00133592">
        <w:t xml:space="preserve"> could not come to that conclusion without reviewing the entire award</w:t>
      </w:r>
      <w:r w:rsidR="00210234">
        <w:t xml:space="preserve">.  </w:t>
      </w:r>
      <w:r w:rsidR="000D7BCD">
        <w:t xml:space="preserve">Nor </w:t>
      </w:r>
      <w:r w:rsidR="00133592">
        <w:t>can we</w:t>
      </w:r>
      <w:r w:rsidR="000D7BCD">
        <w:t xml:space="preserve"> discern any reason why the review of </w:t>
      </w:r>
      <w:r w:rsidR="00B7079D">
        <w:t xml:space="preserve">a </w:t>
      </w:r>
      <w:r w:rsidR="000D7BCD">
        <w:t>modern award was intended to be confined to a single holistic exercise.</w:t>
      </w:r>
      <w:r w:rsidR="00F2187A">
        <w:t xml:space="preserve">  </w:t>
      </w:r>
      <w:r w:rsidR="00133592">
        <w:t>In fact, t</w:t>
      </w:r>
      <w:r w:rsidR="00F2187A">
        <w:t>here are a number of reasons why we consider that such a course was not intended.</w:t>
      </w:r>
    </w:p>
    <w:p w:rsidR="0058757E" w:rsidRDefault="00F2187A" w:rsidP="005C30D1">
      <w:pPr>
        <w:pStyle w:val="ParaNumbering"/>
      </w:pPr>
      <w:r>
        <w:t xml:space="preserve">First, the words of Item 6(3) empower the </w:t>
      </w:r>
      <w:proofErr w:type="spellStart"/>
      <w:r>
        <w:t>FWC</w:t>
      </w:r>
      <w:proofErr w:type="spellEnd"/>
      <w:r>
        <w:t xml:space="preserve"> to </w:t>
      </w:r>
      <w:r w:rsidR="00BE52F8">
        <w:t>“</w:t>
      </w:r>
      <w:r>
        <w:t>remedy any issues identified in the review</w:t>
      </w:r>
      <w:r w:rsidR="00BE52F8">
        <w:t>”</w:t>
      </w:r>
      <w:r>
        <w:t>.  The</w:t>
      </w:r>
      <w:r w:rsidR="0058757E">
        <w:t xml:space="preserve"> emphasis there given to the rectification of </w:t>
      </w:r>
      <w:r w:rsidR="00BE52F8">
        <w:t>“</w:t>
      </w:r>
      <w:r w:rsidR="0058757E">
        <w:t>any issues</w:t>
      </w:r>
      <w:r w:rsidR="00BE52F8">
        <w:t>”</w:t>
      </w:r>
      <w:r w:rsidR="0058757E">
        <w:t xml:space="preserve"> does not support the proposition that </w:t>
      </w:r>
      <w:r w:rsidR="000D7BCD">
        <w:t xml:space="preserve">a </w:t>
      </w:r>
      <w:r w:rsidR="0058757E">
        <w:t>holistic rather than an issues</w:t>
      </w:r>
      <w:r w:rsidR="00133592">
        <w:t>-</w:t>
      </w:r>
      <w:r w:rsidR="0058757E">
        <w:t>based approach was intended.  More relevantly, those words do not suggest that an issues</w:t>
      </w:r>
      <w:r w:rsidR="00133592">
        <w:t>-</w:t>
      </w:r>
      <w:r w:rsidR="0058757E">
        <w:t xml:space="preserve">based approach was intended to be excluded.  Further, the phrase </w:t>
      </w:r>
      <w:r w:rsidR="00BE52F8">
        <w:t>“</w:t>
      </w:r>
      <w:r w:rsidR="0058757E">
        <w:t xml:space="preserve">identified </w:t>
      </w:r>
      <w:r w:rsidR="0058757E" w:rsidRPr="002F7ABA">
        <w:rPr>
          <w:i/>
        </w:rPr>
        <w:t>in</w:t>
      </w:r>
      <w:r w:rsidR="0058757E">
        <w:t xml:space="preserve"> the review</w:t>
      </w:r>
      <w:r w:rsidR="00BE52F8">
        <w:t>”</w:t>
      </w:r>
      <w:r w:rsidR="002F7ABA">
        <w:t xml:space="preserve"> (emphasis added)</w:t>
      </w:r>
      <w:r w:rsidR="0058757E">
        <w:t xml:space="preserve"> is </w:t>
      </w:r>
      <w:r w:rsidR="00BE6F34">
        <w:t>more</w:t>
      </w:r>
      <w:r w:rsidR="0058757E">
        <w:t xml:space="preserve"> suggestive of the power conferred being exercisable in the course of the review rather than it being </w:t>
      </w:r>
      <w:r w:rsidR="000D7BCD">
        <w:t>unavailable</w:t>
      </w:r>
      <w:r w:rsidR="0058757E">
        <w:t xml:space="preserve"> </w:t>
      </w:r>
      <w:r w:rsidR="000D7BCD">
        <w:t xml:space="preserve">until the review of the </w:t>
      </w:r>
      <w:r w:rsidR="00E768BF">
        <w:t>whole</w:t>
      </w:r>
      <w:r w:rsidR="000D7BCD">
        <w:t xml:space="preserve"> award </w:t>
      </w:r>
      <w:r w:rsidR="0058757E">
        <w:t>has been completed.</w:t>
      </w:r>
    </w:p>
    <w:p w:rsidR="0058757E" w:rsidRDefault="0058757E" w:rsidP="005C30D1">
      <w:pPr>
        <w:pStyle w:val="ParaNumbering"/>
      </w:pPr>
      <w:r>
        <w:t>Secondly, a requirement for a</w:t>
      </w:r>
      <w:r w:rsidR="000D7BCD">
        <w:t xml:space="preserve"> single</w:t>
      </w:r>
      <w:r>
        <w:t xml:space="preserve"> holistic assessment of each modern award would create the practical problems which the </w:t>
      </w:r>
      <w:proofErr w:type="spellStart"/>
      <w:r>
        <w:t>FWC</w:t>
      </w:r>
      <w:proofErr w:type="spellEnd"/>
      <w:r>
        <w:t xml:space="preserve"> identified in the passage from </w:t>
      </w:r>
      <w:r w:rsidR="00B7079D">
        <w:rPr>
          <w:i/>
        </w:rPr>
        <w:t>Modern Awards Review 2012</w:t>
      </w:r>
      <w:r w:rsidR="00133592">
        <w:rPr>
          <w:i/>
        </w:rPr>
        <w:t>,</w:t>
      </w:r>
      <w:r w:rsidR="00B7079D">
        <w:rPr>
          <w:i/>
        </w:rPr>
        <w:t xml:space="preserve"> </w:t>
      </w:r>
      <w:r>
        <w:t>which we have set out at [</w:t>
      </w:r>
      <w:r w:rsidR="00E768BF">
        <w:fldChar w:fldCharType="begin" w:fldLock="1"/>
      </w:r>
      <w:r w:rsidR="00E768BF">
        <w:instrText xml:space="preserve"> REF _Ref397444376 \r \h </w:instrText>
      </w:r>
      <w:r w:rsidR="00E768BF">
        <w:fldChar w:fldCharType="separate"/>
      </w:r>
      <w:r w:rsidR="00E477FA">
        <w:t>29</w:t>
      </w:r>
      <w:r w:rsidR="00E768BF">
        <w:fldChar w:fldCharType="end"/>
      </w:r>
      <w:r>
        <w:t>] above.  It should not be assumed that</w:t>
      </w:r>
      <w:r w:rsidR="002F7ABA">
        <w:t>,</w:t>
      </w:r>
      <w:r>
        <w:t xml:space="preserve"> in </w:t>
      </w:r>
      <w:r w:rsidR="00B7079D">
        <w:t>requiring</w:t>
      </w:r>
      <w:r>
        <w:t xml:space="preserve"> the </w:t>
      </w:r>
      <w:proofErr w:type="spellStart"/>
      <w:r>
        <w:t>FWC</w:t>
      </w:r>
      <w:proofErr w:type="spellEnd"/>
      <w:r>
        <w:t xml:space="preserve"> </w:t>
      </w:r>
      <w:r w:rsidR="00EA35EF">
        <w:t xml:space="preserve">to conduct </w:t>
      </w:r>
      <w:r>
        <w:t xml:space="preserve">the very substantial task of </w:t>
      </w:r>
      <w:r w:rsidR="00EA35EF">
        <w:t>reviewing all modern awards</w:t>
      </w:r>
      <w:r w:rsidR="002F7ABA">
        <w:t>,</w:t>
      </w:r>
      <w:r>
        <w:t xml:space="preserve"> Parliament intended to impose practical constraints upon the manner in which that task</w:t>
      </w:r>
      <w:r w:rsidR="000D7BCD">
        <w:t xml:space="preserve"> was</w:t>
      </w:r>
      <w:r>
        <w:t xml:space="preserve"> to be performed, unless such constraint</w:t>
      </w:r>
      <w:r w:rsidR="000D7BCD">
        <w:t>s</w:t>
      </w:r>
      <w:r>
        <w:t xml:space="preserve"> serve</w:t>
      </w:r>
      <w:r w:rsidR="000D7BCD">
        <w:t>d</w:t>
      </w:r>
      <w:r>
        <w:t xml:space="preserve"> a</w:t>
      </w:r>
      <w:r w:rsidR="000D7BCD">
        <w:t xml:space="preserve"> useful </w:t>
      </w:r>
      <w:r>
        <w:t>purpose.  No such purpose is apparent</w:t>
      </w:r>
      <w:r w:rsidR="00EA35EF">
        <w:t xml:space="preserve"> to support the constraint for which the NRA contends</w:t>
      </w:r>
      <w:r>
        <w:t xml:space="preserve">.  Further, the </w:t>
      </w:r>
      <w:r w:rsidR="00EA35EF">
        <w:t xml:space="preserve">very wide procedural </w:t>
      </w:r>
      <w:r w:rsidR="00EA35EF">
        <w:lastRenderedPageBreak/>
        <w:t>discretion</w:t>
      </w:r>
      <w:r>
        <w:t xml:space="preserve"> conferred on the </w:t>
      </w:r>
      <w:proofErr w:type="spellStart"/>
      <w:r>
        <w:t>FWC</w:t>
      </w:r>
      <w:proofErr w:type="spellEnd"/>
      <w:r w:rsidR="00EA35EF">
        <w:t>,</w:t>
      </w:r>
      <w:r>
        <w:t xml:space="preserve"> </w:t>
      </w:r>
      <w:r w:rsidR="009C7DDB">
        <w:t xml:space="preserve">to </w:t>
      </w:r>
      <w:r>
        <w:t xml:space="preserve">which we referred </w:t>
      </w:r>
      <w:r w:rsidR="00136310">
        <w:t>at [</w:t>
      </w:r>
      <w:r w:rsidR="00E768BF">
        <w:fldChar w:fldCharType="begin" w:fldLock="1"/>
      </w:r>
      <w:r w:rsidR="00E768BF">
        <w:instrText xml:space="preserve"> REF _Ref397444445 \r \h </w:instrText>
      </w:r>
      <w:r w:rsidR="00E768BF">
        <w:fldChar w:fldCharType="separate"/>
      </w:r>
      <w:r w:rsidR="00E477FA">
        <w:t>18</w:t>
      </w:r>
      <w:r w:rsidR="00E768BF">
        <w:fldChar w:fldCharType="end"/>
      </w:r>
      <w:r w:rsidR="00136310">
        <w:t>]</w:t>
      </w:r>
      <w:r>
        <w:t>, suggest</w:t>
      </w:r>
      <w:r w:rsidR="002F7ABA">
        <w:t>s</w:t>
      </w:r>
      <w:r>
        <w:t xml:space="preserve"> that Parliament intended to confer upon the </w:t>
      </w:r>
      <w:proofErr w:type="spellStart"/>
      <w:r>
        <w:t>FWC</w:t>
      </w:r>
      <w:proofErr w:type="spellEnd"/>
      <w:r>
        <w:t xml:space="preserve"> a great deal of flexibility </w:t>
      </w:r>
      <w:r w:rsidR="009C7DDB">
        <w:t>in the way</w:t>
      </w:r>
      <w:r>
        <w:t xml:space="preserve"> the transitional </w:t>
      </w:r>
      <w:r w:rsidR="009C7DDB">
        <w:t>re</w:t>
      </w:r>
      <w:r>
        <w:t xml:space="preserve">view was </w:t>
      </w:r>
      <w:r w:rsidR="00E768BF">
        <w:t xml:space="preserve">to be </w:t>
      </w:r>
      <w:r w:rsidR="00F11DEB">
        <w:t>conducted.</w:t>
      </w:r>
    </w:p>
    <w:p w:rsidR="007D37C9" w:rsidRDefault="00BE6F34" w:rsidP="005C30D1">
      <w:pPr>
        <w:pStyle w:val="ParaNumbering"/>
      </w:pPr>
      <w:r>
        <w:t xml:space="preserve">It is clear from the </w:t>
      </w:r>
      <w:r w:rsidR="009C7DDB">
        <w:t xml:space="preserve">factual context </w:t>
      </w:r>
      <w:r w:rsidR="002F7ABA">
        <w:t>we set out</w:t>
      </w:r>
      <w:r w:rsidR="00136310">
        <w:t xml:space="preserve"> at [</w:t>
      </w:r>
      <w:r w:rsidR="00E768BF">
        <w:fldChar w:fldCharType="begin" w:fldLock="1"/>
      </w:r>
      <w:r w:rsidR="00E768BF">
        <w:instrText xml:space="preserve"> REF _Ref397444514 \r \h </w:instrText>
      </w:r>
      <w:r w:rsidR="00E768BF">
        <w:fldChar w:fldCharType="separate"/>
      </w:r>
      <w:r w:rsidR="00E477FA">
        <w:t>30</w:t>
      </w:r>
      <w:r w:rsidR="00E768BF">
        <w:fldChar w:fldCharType="end"/>
      </w:r>
      <w:r w:rsidR="00136310">
        <w:t>]</w:t>
      </w:r>
      <w:r w:rsidR="00E768BF">
        <w:noBreakHyphen/>
      </w:r>
      <w:r w:rsidR="00136310">
        <w:t>[</w:t>
      </w:r>
      <w:r w:rsidR="00E768BF">
        <w:fldChar w:fldCharType="begin" w:fldLock="1"/>
      </w:r>
      <w:r w:rsidR="00E768BF">
        <w:instrText xml:space="preserve"> REF _Ref397444527 \r \h </w:instrText>
      </w:r>
      <w:r w:rsidR="00E768BF">
        <w:fldChar w:fldCharType="separate"/>
      </w:r>
      <w:r w:rsidR="00E477FA">
        <w:t>31</w:t>
      </w:r>
      <w:r w:rsidR="00E768BF">
        <w:fldChar w:fldCharType="end"/>
      </w:r>
      <w:r w:rsidR="00136310">
        <w:t>]</w:t>
      </w:r>
      <w:r>
        <w:t xml:space="preserve"> that the </w:t>
      </w:r>
      <w:proofErr w:type="spellStart"/>
      <w:r>
        <w:t>FWC’s</w:t>
      </w:r>
      <w:proofErr w:type="spellEnd"/>
      <w:r>
        <w:t xml:space="preserve"> review of</w:t>
      </w:r>
      <w:r w:rsidR="00012C95">
        <w:t xml:space="preserve"> the Retail Award was conducted through a number of different hearings in which different applications dealing with different aspects of the </w:t>
      </w:r>
      <w:r w:rsidR="00E768BF">
        <w:t>award</w:t>
      </w:r>
      <w:r w:rsidR="00012C95">
        <w:t xml:space="preserve"> were determined.  It is apparent from the content of the decision</w:t>
      </w:r>
      <w:r w:rsidR="009C7DDB">
        <w:t xml:space="preserve"> </w:t>
      </w:r>
      <w:r w:rsidR="00E768BF">
        <w:t>in the present case</w:t>
      </w:r>
      <w:r w:rsidR="00012C95">
        <w:t xml:space="preserve"> that the </w:t>
      </w:r>
      <w:proofErr w:type="spellStart"/>
      <w:r w:rsidR="00012C95">
        <w:t>FWC</w:t>
      </w:r>
      <w:proofErr w:type="spellEnd"/>
      <w:r w:rsidR="00012C95">
        <w:t xml:space="preserve"> understood that</w:t>
      </w:r>
      <w:r w:rsidR="009C7DDB">
        <w:t>,</w:t>
      </w:r>
      <w:r w:rsidR="00012C95">
        <w:t xml:space="preserve"> as part of the transitional review of the Retail Award</w:t>
      </w:r>
      <w:r w:rsidR="00EA35EF">
        <w:t>,</w:t>
      </w:r>
      <w:r w:rsidR="00012C95">
        <w:t xml:space="preserve"> it was tasked with determining whether or not it should vary the Retail Award pursuant to the power conferred upon it by Item 6.  It is also apparent from the decisio</w:t>
      </w:r>
      <w:r w:rsidR="00DE2DCE">
        <w:t xml:space="preserve">n </w:t>
      </w:r>
      <w:r w:rsidR="00012C95">
        <w:t xml:space="preserve">that </w:t>
      </w:r>
      <w:r w:rsidR="009C7DDB">
        <w:t xml:space="preserve">the focus of the </w:t>
      </w:r>
      <w:proofErr w:type="spellStart"/>
      <w:r w:rsidR="00012C95">
        <w:t>FWC’s</w:t>
      </w:r>
      <w:proofErr w:type="spellEnd"/>
      <w:r w:rsidR="00012C95">
        <w:t xml:space="preserve"> </w:t>
      </w:r>
      <w:r w:rsidR="009C7DDB">
        <w:t xml:space="preserve">review </w:t>
      </w:r>
      <w:r w:rsidR="00012C95">
        <w:t xml:space="preserve">of the Retail Award was </w:t>
      </w:r>
      <w:r w:rsidR="009C7DDB">
        <w:t>on</w:t>
      </w:r>
      <w:r w:rsidR="00012C95">
        <w:t xml:space="preserve"> cl</w:t>
      </w:r>
      <w:r w:rsidR="009C7DDB">
        <w:t> </w:t>
      </w:r>
      <w:r w:rsidR="00012C95">
        <w:t>18 and that the ultimate conclusion it reached that the Retail Award was not achieving the modern awards and minimum rates objective</w:t>
      </w:r>
      <w:r w:rsidR="000D7BCD">
        <w:t>s</w:t>
      </w:r>
      <w:r w:rsidR="009C7DDB">
        <w:t xml:space="preserve"> (at [169] of the decision)</w:t>
      </w:r>
      <w:r w:rsidR="00012C95">
        <w:t xml:space="preserve"> was based upon its </w:t>
      </w:r>
      <w:r w:rsidR="009C7DDB">
        <w:t xml:space="preserve">opinion </w:t>
      </w:r>
      <w:r w:rsidR="00012C95">
        <w:t>that the rate of pay for 20</w:t>
      </w:r>
      <w:r w:rsidR="001C01BB">
        <w:t>-</w:t>
      </w:r>
      <w:r w:rsidR="00012C95">
        <w:t>year</w:t>
      </w:r>
      <w:r w:rsidR="001C01BB">
        <w:t>-</w:t>
      </w:r>
      <w:r w:rsidR="00012C95">
        <w:t>old employees provided by c</w:t>
      </w:r>
      <w:r w:rsidR="00131ECB">
        <w:t>l</w:t>
      </w:r>
      <w:r w:rsidR="00E768BF">
        <w:t> </w:t>
      </w:r>
      <w:r w:rsidR="00012C95">
        <w:t xml:space="preserve">18 was not </w:t>
      </w:r>
      <w:r w:rsidR="00BE52F8">
        <w:t>“</w:t>
      </w:r>
      <w:r w:rsidR="00012C95">
        <w:t xml:space="preserve">a fair and relevant minimum safety </w:t>
      </w:r>
      <w:r w:rsidR="000D7BCD">
        <w:t>net</w:t>
      </w:r>
      <w:r w:rsidR="00BE52F8">
        <w:t>”</w:t>
      </w:r>
      <w:r w:rsidR="00012C95">
        <w:t>.</w:t>
      </w:r>
    </w:p>
    <w:p w:rsidR="009C7DDB" w:rsidRDefault="00EA35EF" w:rsidP="005C30D1">
      <w:pPr>
        <w:pStyle w:val="ParaNumbering"/>
      </w:pPr>
      <w:r>
        <w:t>Whilst it is clear that</w:t>
      </w:r>
      <w:r w:rsidR="009C7DDB">
        <w:t>,</w:t>
      </w:r>
      <w:r>
        <w:t xml:space="preserve"> by the decision under challenge</w:t>
      </w:r>
      <w:r w:rsidR="009C7DDB">
        <w:t>,</w:t>
      </w:r>
      <w:r>
        <w:t xml:space="preserve"> the </w:t>
      </w:r>
      <w:proofErr w:type="spellStart"/>
      <w:r>
        <w:t>FWC</w:t>
      </w:r>
      <w:proofErr w:type="spellEnd"/>
      <w:r>
        <w:t xml:space="preserve"> did not review the entirety of the Retail Award, </w:t>
      </w:r>
      <w:r w:rsidR="00012C95">
        <w:t xml:space="preserve">we are not persuaded that the approach taken by the </w:t>
      </w:r>
      <w:proofErr w:type="spellStart"/>
      <w:r w:rsidR="00012C95">
        <w:t>FWC</w:t>
      </w:r>
      <w:proofErr w:type="spellEnd"/>
      <w:r w:rsidR="00012C95">
        <w:t xml:space="preserve"> was inconsistent with the statutory task </w:t>
      </w:r>
      <w:r w:rsidR="000D7BCD">
        <w:t>required of</w:t>
      </w:r>
      <w:r w:rsidR="00F11DEB">
        <w:t xml:space="preserve"> it by Item 6.</w:t>
      </w:r>
    </w:p>
    <w:p w:rsidR="00012C95" w:rsidRDefault="00012C95" w:rsidP="005C30D1">
      <w:pPr>
        <w:pStyle w:val="ParaNumbering"/>
      </w:pPr>
      <w:r>
        <w:t>We therefore reject ground (i</w:t>
      </w:r>
      <w:r w:rsidR="00C05DE2">
        <w:t>).</w:t>
      </w:r>
    </w:p>
    <w:p w:rsidR="00C05DE2" w:rsidRDefault="00C05DE2" w:rsidP="005C30D1">
      <w:pPr>
        <w:pStyle w:val="ParaNumbering"/>
      </w:pPr>
      <w:r>
        <w:t>We also reject so much of ground (ii)</w:t>
      </w:r>
      <w:r w:rsidR="00DE2DCE">
        <w:t xml:space="preserve"> that</w:t>
      </w:r>
      <w:r>
        <w:t xml:space="preserve"> sought to suggest that the </w:t>
      </w:r>
      <w:proofErr w:type="spellStart"/>
      <w:r>
        <w:t>FWC</w:t>
      </w:r>
      <w:proofErr w:type="spellEnd"/>
      <w:r>
        <w:t xml:space="preserve"> failed to consider, in accordance with Item 6(2)(b), whether the Retail Award was operating effectively without anomalies or technical problems arising from the Part </w:t>
      </w:r>
      <w:proofErr w:type="spellStart"/>
      <w:r>
        <w:t>10A</w:t>
      </w:r>
      <w:proofErr w:type="spellEnd"/>
      <w:r>
        <w:t xml:space="preserve"> award modernisation process.</w:t>
      </w:r>
      <w:r w:rsidR="009C7DDB">
        <w:t xml:space="preserve">  We do so for two reasons.</w:t>
      </w:r>
    </w:p>
    <w:p w:rsidR="00C05DE2" w:rsidRDefault="00C05DE2" w:rsidP="005C30D1">
      <w:pPr>
        <w:pStyle w:val="ParaNumbering"/>
      </w:pPr>
      <w:r>
        <w:t xml:space="preserve">First, it has not been shown that the </w:t>
      </w:r>
      <w:proofErr w:type="spellStart"/>
      <w:r>
        <w:t>FWC</w:t>
      </w:r>
      <w:proofErr w:type="spellEnd"/>
      <w:r>
        <w:t xml:space="preserve"> did not consider that matter in the course of the transitional review.  As we have stated, the decision under challenge </w:t>
      </w:r>
      <w:r w:rsidR="000D7BCD">
        <w:t>dealt with</w:t>
      </w:r>
      <w:r w:rsidR="00F11DEB">
        <w:t xml:space="preserve"> only a part of that exercise.</w:t>
      </w:r>
    </w:p>
    <w:p w:rsidR="00C05DE2" w:rsidRDefault="00C05DE2" w:rsidP="005C30D1">
      <w:pPr>
        <w:pStyle w:val="ParaNumbering"/>
      </w:pPr>
      <w:r>
        <w:t xml:space="preserve">Secondly, a fair reading of the decision in the context of the nature of </w:t>
      </w:r>
      <w:r w:rsidR="00DE2DCE">
        <w:t xml:space="preserve">the controversy before the </w:t>
      </w:r>
      <w:proofErr w:type="spellStart"/>
      <w:r w:rsidR="00DE2DCE">
        <w:t>FWC</w:t>
      </w:r>
      <w:proofErr w:type="spellEnd"/>
      <w:r w:rsidR="00DE2DCE">
        <w:t xml:space="preserve"> suggests that the </w:t>
      </w:r>
      <w:proofErr w:type="spellStart"/>
      <w:r w:rsidR="00DE2DCE">
        <w:t>FWC</w:t>
      </w:r>
      <w:proofErr w:type="spellEnd"/>
      <w:r w:rsidR="00DE2DCE">
        <w:t xml:space="preserve"> was </w:t>
      </w:r>
      <w:r w:rsidR="00EA35EF">
        <w:t xml:space="preserve">conscious of the consideration set out in Item 6(2)(b) and was </w:t>
      </w:r>
      <w:r>
        <w:t>satisfied that</w:t>
      </w:r>
      <w:r w:rsidR="00DE2DCE">
        <w:t>,</w:t>
      </w:r>
      <w:r w:rsidR="00EA35EF">
        <w:t xml:space="preserve"> by reason of </w:t>
      </w:r>
      <w:r w:rsidR="00EA35EF" w:rsidRPr="00DE2DCE">
        <w:rPr>
          <w:i/>
        </w:rPr>
        <w:t>that</w:t>
      </w:r>
      <w:r w:rsidR="00EA35EF">
        <w:t xml:space="preserve"> consideration</w:t>
      </w:r>
      <w:r w:rsidR="00DE2DCE">
        <w:t>,</w:t>
      </w:r>
      <w:r>
        <w:t xml:space="preserve"> there was no basis for a conclusion</w:t>
      </w:r>
      <w:r w:rsidR="00EA35EF">
        <w:t xml:space="preserve"> that cl</w:t>
      </w:r>
      <w:r w:rsidR="009C7DDB">
        <w:t> </w:t>
      </w:r>
      <w:r w:rsidR="00EA35EF">
        <w:t>18 should be varied</w:t>
      </w:r>
      <w:r>
        <w:t xml:space="preserve">.  </w:t>
      </w:r>
      <w:r w:rsidR="009C7DDB">
        <w:t>That was entirely uncontroversial.  It reflected the position taken by the NRA and the other employer parties and it was not disputed</w:t>
      </w:r>
      <w:r>
        <w:t xml:space="preserve">.  </w:t>
      </w:r>
      <w:r w:rsidR="009C7DDB">
        <w:t xml:space="preserve">The controversy </w:t>
      </w:r>
      <w:r w:rsidR="00B601B7">
        <w:t>was all about Item 6(2)(b), that is to say, about whether the award did</w:t>
      </w:r>
      <w:r w:rsidR="009C7DDB">
        <w:t xml:space="preserve"> </w:t>
      </w:r>
      <w:r w:rsidR="00B601B7">
        <w:t xml:space="preserve">or did </w:t>
      </w:r>
      <w:r w:rsidR="009C7DDB">
        <w:t xml:space="preserve">not </w:t>
      </w:r>
      <w:r w:rsidR="009C7DDB">
        <w:lastRenderedPageBreak/>
        <w:t xml:space="preserve">achieve the modern awards objective.  </w:t>
      </w:r>
      <w:r>
        <w:t xml:space="preserve">Although </w:t>
      </w:r>
      <w:r w:rsidR="00E768BF">
        <w:t xml:space="preserve">the </w:t>
      </w:r>
      <w:proofErr w:type="spellStart"/>
      <w:r w:rsidR="00E768BF">
        <w:t>FWC</w:t>
      </w:r>
      <w:proofErr w:type="spellEnd"/>
      <w:r w:rsidR="00E768BF">
        <w:t xml:space="preserve"> did</w:t>
      </w:r>
      <w:r>
        <w:t xml:space="preserve"> not expressly </w:t>
      </w:r>
      <w:r w:rsidR="00B601B7">
        <w:t>say so</w:t>
      </w:r>
      <w:r>
        <w:t xml:space="preserve">, it may safely </w:t>
      </w:r>
      <w:r w:rsidR="000D7BCD">
        <w:t xml:space="preserve">be </w:t>
      </w:r>
      <w:r>
        <w:t>assumed that, in the context describ</w:t>
      </w:r>
      <w:r w:rsidR="00EA35EF">
        <w:t xml:space="preserve">ed, the </w:t>
      </w:r>
      <w:proofErr w:type="spellStart"/>
      <w:r w:rsidR="00EA35EF">
        <w:t>FWC</w:t>
      </w:r>
      <w:proofErr w:type="spellEnd"/>
      <w:r w:rsidR="00EA35EF">
        <w:t xml:space="preserve"> held the view that</w:t>
      </w:r>
      <w:r>
        <w:t xml:space="preserve"> Item 6(2)</w:t>
      </w:r>
      <w:r w:rsidR="00AA5D49">
        <w:t xml:space="preserve">(b) </w:t>
      </w:r>
      <w:r w:rsidR="00EA35EF">
        <w:t xml:space="preserve">did not provide a </w:t>
      </w:r>
      <w:r w:rsidR="00AA5D49">
        <w:t xml:space="preserve">basis for a </w:t>
      </w:r>
      <w:r w:rsidR="005D56C0">
        <w:t xml:space="preserve">remedial variation </w:t>
      </w:r>
      <w:r w:rsidR="00EA35EF">
        <w:t>of</w:t>
      </w:r>
      <w:r w:rsidR="005D56C0">
        <w:t xml:space="preserve"> c</w:t>
      </w:r>
      <w:r w:rsidR="00DE2DCE">
        <w:t>l</w:t>
      </w:r>
      <w:r w:rsidR="009C7DDB">
        <w:t> </w:t>
      </w:r>
      <w:r w:rsidR="005D56C0">
        <w:t>18</w:t>
      </w:r>
      <w:r w:rsidR="00AA5D49">
        <w:t>.</w:t>
      </w:r>
    </w:p>
    <w:p w:rsidR="00E70775" w:rsidRDefault="00E70775" w:rsidP="00F11DEB">
      <w:pPr>
        <w:pStyle w:val="Heading2"/>
      </w:pPr>
      <w:r>
        <w:t xml:space="preserve">Did the </w:t>
      </w:r>
      <w:proofErr w:type="spellStart"/>
      <w:r>
        <w:t>FWC</w:t>
      </w:r>
      <w:proofErr w:type="spellEnd"/>
      <w:r>
        <w:t xml:space="preserve"> fail to act logically and rationally?</w:t>
      </w:r>
    </w:p>
    <w:p w:rsidR="00E70775" w:rsidRDefault="00E70775" w:rsidP="005C30D1">
      <w:pPr>
        <w:pStyle w:val="ParaNumbering"/>
      </w:pPr>
      <w:r>
        <w:t xml:space="preserve">The </w:t>
      </w:r>
      <w:r w:rsidR="00553A74">
        <w:t xml:space="preserve">NRA’s </w:t>
      </w:r>
      <w:r>
        <w:t>fifth ground (</w:t>
      </w:r>
      <w:r w:rsidRPr="00E70775">
        <w:rPr>
          <w:b/>
        </w:rPr>
        <w:t>ground (v)</w:t>
      </w:r>
      <w:r>
        <w:t>) was in the following terms:</w:t>
      </w:r>
    </w:p>
    <w:p w:rsidR="00E70775" w:rsidRDefault="00E70775" w:rsidP="00E70775">
      <w:pPr>
        <w:pStyle w:val="Quote1"/>
      </w:pPr>
      <w:r>
        <w:t>The Full Bench failed to act logically and rationally in finding that:</w:t>
      </w:r>
    </w:p>
    <w:p w:rsidR="00C252A7" w:rsidRDefault="00E70775" w:rsidP="00DD7305">
      <w:pPr>
        <w:pStyle w:val="Quote1"/>
        <w:numPr>
          <w:ilvl w:val="0"/>
          <w:numId w:val="38"/>
        </w:numPr>
        <w:ind w:left="1418" w:hanging="709"/>
      </w:pPr>
      <w:r>
        <w:t xml:space="preserve">most junior retail employees achieve a satisfactory </w:t>
      </w:r>
      <w:r w:rsidR="00C252A7">
        <w:t>level of proficiency in their roles after about six months in employment;</w:t>
      </w:r>
    </w:p>
    <w:p w:rsidR="00C252A7" w:rsidRDefault="00C252A7" w:rsidP="00DD7305">
      <w:pPr>
        <w:pStyle w:val="Quote1"/>
        <w:numPr>
          <w:ilvl w:val="0"/>
          <w:numId w:val="38"/>
        </w:numPr>
        <w:ind w:left="1418" w:hanging="709"/>
      </w:pPr>
      <w:r>
        <w:t>there is little difference in the duties and responsibilities assigned to 20 and 21</w:t>
      </w:r>
      <w:r w:rsidR="002D694A">
        <w:t xml:space="preserve"> year old retail employees; and</w:t>
      </w:r>
    </w:p>
    <w:p w:rsidR="00E70775" w:rsidRDefault="00C252A7" w:rsidP="00DD7305">
      <w:pPr>
        <w:pStyle w:val="Quote1"/>
        <w:numPr>
          <w:ilvl w:val="0"/>
          <w:numId w:val="38"/>
        </w:numPr>
        <w:ind w:left="1418" w:hanging="709"/>
      </w:pPr>
      <w:r>
        <w:t>there is little difference in the level of super</w:t>
      </w:r>
      <w:r w:rsidR="002D694A">
        <w:t xml:space="preserve">vision required in relation to </w:t>
      </w:r>
      <w:r>
        <w:t>20 and 21 year old retail employees.</w:t>
      </w:r>
    </w:p>
    <w:p w:rsidR="00C252A7" w:rsidRDefault="00C252A7" w:rsidP="00C252A7">
      <w:pPr>
        <w:pStyle w:val="NoNum"/>
        <w:ind w:left="720"/>
      </w:pPr>
      <w:r>
        <w:t>(</w:t>
      </w:r>
      <w:r w:rsidRPr="00553A74">
        <w:rPr>
          <w:b/>
        </w:rPr>
        <w:t>the impugned findings</w:t>
      </w:r>
      <w:r>
        <w:t>)</w:t>
      </w:r>
    </w:p>
    <w:p w:rsidR="007D3AC9" w:rsidRDefault="00C252A7" w:rsidP="00C84450">
      <w:pPr>
        <w:pStyle w:val="ParaNumbering"/>
      </w:pPr>
      <w:r>
        <w:t xml:space="preserve">The NRA </w:t>
      </w:r>
      <w:r w:rsidR="007C36A3">
        <w:t xml:space="preserve">submitted </w:t>
      </w:r>
      <w:r>
        <w:t>that</w:t>
      </w:r>
      <w:r w:rsidR="00B601B7">
        <w:t>,</w:t>
      </w:r>
      <w:r>
        <w:t xml:space="preserve"> </w:t>
      </w:r>
      <w:r w:rsidR="00364FB5">
        <w:t>in making</w:t>
      </w:r>
      <w:r>
        <w:t xml:space="preserve"> the impugned findings, the </w:t>
      </w:r>
      <w:proofErr w:type="spellStart"/>
      <w:r>
        <w:t>FWC</w:t>
      </w:r>
      <w:proofErr w:type="spellEnd"/>
      <w:r>
        <w:t xml:space="preserve"> relied upon the evidence of 20 individuals selected by the </w:t>
      </w:r>
      <w:proofErr w:type="spellStart"/>
      <w:r>
        <w:t>SDA</w:t>
      </w:r>
      <w:proofErr w:type="spellEnd"/>
      <w:r>
        <w:t xml:space="preserve"> and applied conclusions drawn from that evidence to </w:t>
      </w:r>
      <w:r w:rsidR="00B601B7">
        <w:t xml:space="preserve">reach </w:t>
      </w:r>
      <w:r>
        <w:t xml:space="preserve">conclusions </w:t>
      </w:r>
      <w:r w:rsidR="00B601B7">
        <w:t>about</w:t>
      </w:r>
      <w:r>
        <w:t xml:space="preserve"> the entire population of 20</w:t>
      </w:r>
      <w:r w:rsidR="001C01BB">
        <w:t>-</w:t>
      </w:r>
      <w:r>
        <w:t>year</w:t>
      </w:r>
      <w:r w:rsidR="001C01BB">
        <w:t>-</w:t>
      </w:r>
      <w:r>
        <w:t>old retail employees</w:t>
      </w:r>
      <w:r w:rsidR="00B601B7">
        <w:t xml:space="preserve"> in the absence of any evidence of</w:t>
      </w:r>
      <w:r>
        <w:t xml:space="preserve"> the statistical validity of the sample of individuals chosen.  For that reason, the NRA contended that the </w:t>
      </w:r>
      <w:proofErr w:type="spellStart"/>
      <w:r>
        <w:t>FWC</w:t>
      </w:r>
      <w:proofErr w:type="spellEnd"/>
      <w:r>
        <w:t xml:space="preserve"> had treated the evidence </w:t>
      </w:r>
      <w:r w:rsidR="00B601B7">
        <w:t xml:space="preserve">from the </w:t>
      </w:r>
      <w:proofErr w:type="spellStart"/>
      <w:r w:rsidR="00B601B7">
        <w:t>SDA’s</w:t>
      </w:r>
      <w:proofErr w:type="spellEnd"/>
      <w:r w:rsidR="00B601B7">
        <w:t xml:space="preserve"> witnesses </w:t>
      </w:r>
      <w:r>
        <w:t>as survey evidence</w:t>
      </w:r>
      <w:r w:rsidR="00B601B7">
        <w:t xml:space="preserve">. </w:t>
      </w:r>
      <w:r>
        <w:t xml:space="preserve"> </w:t>
      </w:r>
      <w:r w:rsidR="00B601B7">
        <w:t>Given</w:t>
      </w:r>
      <w:r>
        <w:t xml:space="preserve"> the nature of that evidence, </w:t>
      </w:r>
      <w:r w:rsidR="00B601B7">
        <w:t xml:space="preserve">the NRA submitted that </w:t>
      </w:r>
      <w:r>
        <w:t xml:space="preserve">there was no reliable basis upon which the </w:t>
      </w:r>
      <w:proofErr w:type="spellStart"/>
      <w:r>
        <w:t>FWC</w:t>
      </w:r>
      <w:proofErr w:type="spellEnd"/>
      <w:r>
        <w:t xml:space="preserve"> could make findings in respect of the entire population of 20</w:t>
      </w:r>
      <w:r w:rsidR="001C01BB">
        <w:t>-</w:t>
      </w:r>
      <w:r>
        <w:t xml:space="preserve"> and 21</w:t>
      </w:r>
      <w:r w:rsidR="001C01BB">
        <w:t>-</w:t>
      </w:r>
      <w:r>
        <w:t>year</w:t>
      </w:r>
      <w:r w:rsidR="001C01BB">
        <w:t>-</w:t>
      </w:r>
      <w:r>
        <w:t xml:space="preserve">old retail employees.  </w:t>
      </w:r>
      <w:r w:rsidR="00B601B7">
        <w:t xml:space="preserve">Indeed, the </w:t>
      </w:r>
      <w:r>
        <w:t>NRA submitted that no rational</w:t>
      </w:r>
      <w:r w:rsidR="00553A74">
        <w:t xml:space="preserve"> or logical decision-</w:t>
      </w:r>
      <w:r>
        <w:t xml:space="preserve">maker could make the same factual findings as the </w:t>
      </w:r>
      <w:proofErr w:type="spellStart"/>
      <w:r>
        <w:t>FWC</w:t>
      </w:r>
      <w:proofErr w:type="spellEnd"/>
      <w:r>
        <w:t xml:space="preserve"> did on the same evidence.</w:t>
      </w:r>
    </w:p>
    <w:p w:rsidR="008A5B24" w:rsidRDefault="00C252A7" w:rsidP="005C30D1">
      <w:pPr>
        <w:pStyle w:val="ParaNumbering"/>
      </w:pPr>
      <w:r>
        <w:t xml:space="preserve">Both parties accepted that the correct approach to determining whether </w:t>
      </w:r>
      <w:r w:rsidR="008A5B24">
        <w:t xml:space="preserve">illogicality or irrationality is sufficient to give rise to jurisdictional error </w:t>
      </w:r>
      <w:r w:rsidR="007C36A3">
        <w:t xml:space="preserve">in the present context </w:t>
      </w:r>
      <w:r w:rsidR="008A5B24">
        <w:t xml:space="preserve">is set out in the reasons for judgment of </w:t>
      </w:r>
      <w:proofErr w:type="spellStart"/>
      <w:r w:rsidR="008A5B24">
        <w:t>Crennan</w:t>
      </w:r>
      <w:proofErr w:type="spellEnd"/>
      <w:r w:rsidR="008A5B24">
        <w:t xml:space="preserve"> and Bell</w:t>
      </w:r>
      <w:r w:rsidR="007C36A3">
        <w:t> </w:t>
      </w:r>
      <w:r w:rsidR="008A5B24">
        <w:t xml:space="preserve">JJ in </w:t>
      </w:r>
      <w:r w:rsidR="008A5B24" w:rsidRPr="007D3AC9">
        <w:rPr>
          <w:i/>
        </w:rPr>
        <w:t xml:space="preserve">Minister for Immigration and Citizenship v </w:t>
      </w:r>
      <w:proofErr w:type="spellStart"/>
      <w:r w:rsidR="008A5B24" w:rsidRPr="007D3AC9">
        <w:rPr>
          <w:i/>
        </w:rPr>
        <w:t>SZMDS</w:t>
      </w:r>
      <w:proofErr w:type="spellEnd"/>
      <w:r w:rsidR="008A5B24" w:rsidRPr="007D3AC9">
        <w:rPr>
          <w:i/>
        </w:rPr>
        <w:t xml:space="preserve"> </w:t>
      </w:r>
      <w:r w:rsidR="00136310">
        <w:t>(2010) 240 CLR 611</w:t>
      </w:r>
      <w:r w:rsidR="008A5B24">
        <w:t>.  As their Honours said at [130]</w:t>
      </w:r>
      <w:r w:rsidR="00364FB5">
        <w:t>,</w:t>
      </w:r>
      <w:r w:rsidR="008A5B24">
        <w:t xml:space="preserve"> a jurisdictional error of that kind is:</w:t>
      </w:r>
    </w:p>
    <w:p w:rsidR="008A5B24" w:rsidRDefault="008A5B24" w:rsidP="008A5B24">
      <w:pPr>
        <w:pStyle w:val="Quote1"/>
      </w:pPr>
      <w:r w:rsidRPr="008A5B24">
        <w:t xml:space="preserve">one at which no rational or logical decision maker could arrive on the same evidence. In other words, accepting, for the sake of argument, that an allegation of illogicality or irrationality provides some distinct basis for seeking judicial review of a decision as to a jurisdictional fact, it is nevertheless an allegation of the same order as a complaint that a decision is </w:t>
      </w:r>
      <w:r w:rsidR="00BE52F8">
        <w:t>“</w:t>
      </w:r>
      <w:r w:rsidRPr="008A5B24">
        <w:t>clearly unjust</w:t>
      </w:r>
      <w:r w:rsidR="00BE52F8">
        <w:t>”</w:t>
      </w:r>
      <w:r w:rsidRPr="008A5B24">
        <w:t xml:space="preserve"> or </w:t>
      </w:r>
      <w:r w:rsidR="00BE52F8">
        <w:t>“</w:t>
      </w:r>
      <w:r w:rsidRPr="008A5B24">
        <w:t>arbitrary</w:t>
      </w:r>
      <w:r w:rsidR="00BE52F8">
        <w:t>”</w:t>
      </w:r>
      <w:r w:rsidRPr="008A5B24">
        <w:t xml:space="preserve"> or </w:t>
      </w:r>
      <w:r w:rsidR="00BE52F8">
        <w:t>“</w:t>
      </w:r>
      <w:r w:rsidRPr="008A5B24">
        <w:t>capricious</w:t>
      </w:r>
      <w:r w:rsidR="00BE52F8">
        <w:t>”</w:t>
      </w:r>
      <w:r w:rsidRPr="008A5B24">
        <w:t xml:space="preserve"> or </w:t>
      </w:r>
      <w:r w:rsidR="00BE52F8">
        <w:t>“</w:t>
      </w:r>
      <w:r w:rsidRPr="008A5B24">
        <w:t>unreasonable</w:t>
      </w:r>
      <w:r w:rsidR="00BE52F8">
        <w:t>”</w:t>
      </w:r>
      <w:r w:rsidRPr="008A5B24">
        <w:t xml:space="preserve"> in the sense that the state of satisfaction mandated by the statute imports a requirement that the opinion as to the state of satisfaction must be one that could be formed by a reasonable person.</w:t>
      </w:r>
    </w:p>
    <w:p w:rsidR="008A5B24" w:rsidRDefault="008A5B24" w:rsidP="008A5B24">
      <w:pPr>
        <w:pStyle w:val="Quote1"/>
      </w:pPr>
    </w:p>
    <w:p w:rsidR="005E2B81" w:rsidRDefault="00364FB5" w:rsidP="00136310">
      <w:pPr>
        <w:pStyle w:val="ParaNumbering"/>
      </w:pPr>
      <w:r>
        <w:lastRenderedPageBreak/>
        <w:t xml:space="preserve">At [133], </w:t>
      </w:r>
      <w:r w:rsidR="008A5B24">
        <w:t xml:space="preserve">their Honours further observed that </w:t>
      </w:r>
      <w:r w:rsidR="00BE52F8">
        <w:t>“</w:t>
      </w:r>
      <w:r w:rsidR="008A5B24">
        <w:t>the correct approach is to ask whether it was open to the Tribunal to engage in the process of reasoning in which it did engage and to make the findings it did make on the material before it</w:t>
      </w:r>
      <w:r w:rsidR="00BE52F8">
        <w:t>”</w:t>
      </w:r>
      <w:r w:rsidR="008A5B24">
        <w:t>.</w:t>
      </w:r>
      <w:r w:rsidR="00136310">
        <w:t xml:space="preserve">  As their</w:t>
      </w:r>
      <w:r w:rsidR="005E2B81">
        <w:t xml:space="preserve"> Honours went on to say (at</w:t>
      </w:r>
      <w:r w:rsidR="00502C56">
        <w:t xml:space="preserve"> [135]):</w:t>
      </w:r>
    </w:p>
    <w:p w:rsidR="00B601B7" w:rsidRDefault="00502C56" w:rsidP="00502C56">
      <w:pPr>
        <w:pStyle w:val="Quote1"/>
      </w:pPr>
      <w:r w:rsidRPr="00502C56">
        <w:t xml:space="preserve">A decision might be said to be illogical or irrational if only one conclusion is open on the evidence, and the decision maker does not come to that conclusion, </w:t>
      </w:r>
      <w:r w:rsidRPr="00136310">
        <w:rPr>
          <w:b/>
        </w:rPr>
        <w:t>or if the decision to which the decision maker came was simply not open on the evidence or if there is no logical connection between the evidence and the inferences or conclusions drawn</w:t>
      </w:r>
      <w:r w:rsidRPr="00502C56">
        <w:t>…</w:t>
      </w:r>
    </w:p>
    <w:p w:rsidR="00B601B7" w:rsidRDefault="00B601B7" w:rsidP="00502C56">
      <w:pPr>
        <w:pStyle w:val="Quote1"/>
      </w:pPr>
    </w:p>
    <w:p w:rsidR="00502C56" w:rsidRDefault="00502C56" w:rsidP="00502C56">
      <w:pPr>
        <w:pStyle w:val="Quote1"/>
      </w:pPr>
      <w:r w:rsidRPr="00502C56">
        <w:t>(Emphasis added</w:t>
      </w:r>
      <w:r w:rsidR="002D694A">
        <w:t>.)</w:t>
      </w:r>
    </w:p>
    <w:p w:rsidR="00502C56" w:rsidRDefault="00502C56" w:rsidP="00502C56">
      <w:pPr>
        <w:pStyle w:val="Quote1"/>
      </w:pPr>
    </w:p>
    <w:p w:rsidR="008168ED" w:rsidRDefault="008A5B24" w:rsidP="005C30D1">
      <w:pPr>
        <w:pStyle w:val="ParaNumbering"/>
      </w:pPr>
      <w:r>
        <w:t>The first pro</w:t>
      </w:r>
      <w:r w:rsidR="00364FB5">
        <w:t>blem with the NRA’s contention is that it mis</w:t>
      </w:r>
      <w:r>
        <w:t>states the evidentiary basis upon which th</w:t>
      </w:r>
      <w:r w:rsidR="00537FAA">
        <w:t>e impugned findings were made.</w:t>
      </w:r>
    </w:p>
    <w:p w:rsidR="0087701B" w:rsidRDefault="008A5B24" w:rsidP="005C30D1">
      <w:pPr>
        <w:pStyle w:val="ParaNumbering"/>
      </w:pPr>
      <w:r>
        <w:t xml:space="preserve">In relation to the </w:t>
      </w:r>
      <w:r w:rsidRPr="007C36A3">
        <w:t>first</w:t>
      </w:r>
      <w:r>
        <w:t xml:space="preserve"> impugned finding, the </w:t>
      </w:r>
      <w:proofErr w:type="spellStart"/>
      <w:r>
        <w:t>FWC</w:t>
      </w:r>
      <w:proofErr w:type="spellEnd"/>
      <w:r>
        <w:t xml:space="preserve"> stated </w:t>
      </w:r>
      <w:r w:rsidR="007C36A3">
        <w:t>(</w:t>
      </w:r>
      <w:r>
        <w:t>at [94</w:t>
      </w:r>
      <w:r w:rsidR="007C36A3">
        <w:t>]</w:t>
      </w:r>
      <w:r w:rsidR="00B601B7">
        <w:noBreakHyphen/>
      </w:r>
      <w:r w:rsidR="007C36A3">
        <w:t>[9</w:t>
      </w:r>
      <w:r>
        <w:t>5]</w:t>
      </w:r>
      <w:r w:rsidR="007C36A3">
        <w:t>)</w:t>
      </w:r>
      <w:r>
        <w:t xml:space="preserve"> that it relied upon the evidence of both the employees and the employers.  As to the second impugned finding, the </w:t>
      </w:r>
      <w:proofErr w:type="spellStart"/>
      <w:r>
        <w:t>FWC</w:t>
      </w:r>
      <w:proofErr w:type="spellEnd"/>
      <w:r>
        <w:t xml:space="preserve"> stated </w:t>
      </w:r>
      <w:r w:rsidR="007C36A3">
        <w:t xml:space="preserve">(also </w:t>
      </w:r>
      <w:r>
        <w:t>at [94</w:t>
      </w:r>
      <w:r w:rsidR="007C36A3">
        <w:t>]</w:t>
      </w:r>
      <w:r w:rsidR="00B601B7">
        <w:noBreakHyphen/>
      </w:r>
      <w:r w:rsidR="007C36A3">
        <w:t>[9</w:t>
      </w:r>
      <w:r>
        <w:t>5]</w:t>
      </w:r>
      <w:r w:rsidR="007C36A3">
        <w:t>)</w:t>
      </w:r>
      <w:r>
        <w:t xml:space="preserve"> that much of the employer evidence was also supporti</w:t>
      </w:r>
      <w:r w:rsidR="0087701B">
        <w:t xml:space="preserve">ve of the conclusion it reached.  As to the third impugned finding, whilst a finding in similar terms was sought by the </w:t>
      </w:r>
      <w:proofErr w:type="spellStart"/>
      <w:r w:rsidR="0087701B">
        <w:t>SDA</w:t>
      </w:r>
      <w:proofErr w:type="spellEnd"/>
      <w:r w:rsidR="0087701B">
        <w:t xml:space="preserve">, the finding actually made was that </w:t>
      </w:r>
      <w:r w:rsidR="00BE52F8">
        <w:t>“</w:t>
      </w:r>
      <w:r w:rsidR="00364FB5">
        <w:t>[t]</w:t>
      </w:r>
      <w:r w:rsidR="0087701B">
        <w:t>here was little evidence to suggest a 20 year old, with some experience, required any supervision</w:t>
      </w:r>
      <w:r w:rsidR="00BE52F8">
        <w:t>”</w:t>
      </w:r>
      <w:r w:rsidR="0087701B">
        <w:t xml:space="preserve"> (see [94</w:t>
      </w:r>
      <w:r w:rsidR="007C36A3">
        <w:t>]</w:t>
      </w:r>
      <w:r w:rsidR="00B601B7">
        <w:noBreakHyphen/>
      </w:r>
      <w:r w:rsidR="007C36A3">
        <w:t>[9</w:t>
      </w:r>
      <w:r w:rsidR="0087701B">
        <w:t>8]).  Th</w:t>
      </w:r>
      <w:r w:rsidR="00553A74">
        <w:t>at</w:t>
      </w:r>
      <w:r w:rsidR="0087701B">
        <w:t xml:space="preserve"> finding seems to</w:t>
      </w:r>
      <w:r w:rsidR="00553A74">
        <w:t xml:space="preserve"> have been </w:t>
      </w:r>
      <w:r w:rsidR="0087701B">
        <w:t xml:space="preserve">made on the basis of </w:t>
      </w:r>
      <w:r w:rsidR="007C36A3">
        <w:t>all the evidence</w:t>
      </w:r>
      <w:r w:rsidR="00364FB5">
        <w:t>,</w:t>
      </w:r>
      <w:r w:rsidR="0087701B">
        <w:t xml:space="preserve"> rather than merely the evidence called by the </w:t>
      </w:r>
      <w:proofErr w:type="spellStart"/>
      <w:r w:rsidR="0087701B">
        <w:t>SDA</w:t>
      </w:r>
      <w:proofErr w:type="spellEnd"/>
      <w:r w:rsidR="0087701B">
        <w:t>.</w:t>
      </w:r>
    </w:p>
    <w:p w:rsidR="00033FAA" w:rsidRDefault="0087701B" w:rsidP="005C30D1">
      <w:pPr>
        <w:pStyle w:val="ParaNumbering"/>
      </w:pPr>
      <w:r>
        <w:t xml:space="preserve">Secondly, it was open to the </w:t>
      </w:r>
      <w:proofErr w:type="spellStart"/>
      <w:r>
        <w:t>FWC</w:t>
      </w:r>
      <w:proofErr w:type="spellEnd"/>
      <w:r>
        <w:t xml:space="preserve"> to treat evidence of the particular circumstances of the employees called as reflective or representative of the circumstances applicable to the general population of 20</w:t>
      </w:r>
      <w:r w:rsidR="001C01BB">
        <w:t>-</w:t>
      </w:r>
      <w:r>
        <w:t xml:space="preserve"> or 21</w:t>
      </w:r>
      <w:r w:rsidR="001C01BB">
        <w:t>-</w:t>
      </w:r>
      <w:r>
        <w:t>year</w:t>
      </w:r>
      <w:r w:rsidR="001C01BB">
        <w:t>-</w:t>
      </w:r>
      <w:r>
        <w:t xml:space="preserve">old retail employees.  </w:t>
      </w:r>
      <w:r w:rsidR="00033FAA">
        <w:t xml:space="preserve">The </w:t>
      </w:r>
      <w:proofErr w:type="spellStart"/>
      <w:r w:rsidR="00033FAA">
        <w:t>SDA</w:t>
      </w:r>
      <w:proofErr w:type="spellEnd"/>
      <w:r w:rsidR="00033FAA">
        <w:t xml:space="preserve"> called 20 young employees, all of whom were employed in the general retail industry.  The employer groups called seven employers from a range of different retail businesses.  One employed 25 employees, of whom 14 were under the age of 21, another 1000 employees, 60 of whom were under 21 and 58 between 18 and 20.  </w:t>
      </w:r>
      <w:r w:rsidR="00F13857">
        <w:t>One of the employers’ witnesses was the chief executive officer of a company which owns 70 independent supermarkets and liquor stores trading under the IGA banner</w:t>
      </w:r>
      <w:r w:rsidR="00131ECB">
        <w:t>.  That company employed over 6</w:t>
      </w:r>
      <w:r w:rsidR="00F13857">
        <w:t>000 employees and a substantial portion of that n</w:t>
      </w:r>
      <w:r w:rsidR="00537FAA">
        <w:t>umber were under the age of 21.</w:t>
      </w:r>
    </w:p>
    <w:p w:rsidR="0087701B" w:rsidRDefault="008168ED" w:rsidP="005C30D1">
      <w:pPr>
        <w:pStyle w:val="ParaNumbering"/>
      </w:pPr>
      <w:r>
        <w:t>A</w:t>
      </w:r>
      <w:r w:rsidR="0087701B">
        <w:t xml:space="preserve"> significant number of employees were called</w:t>
      </w:r>
      <w:r>
        <w:t xml:space="preserve">. </w:t>
      </w:r>
      <w:r w:rsidR="0087701B">
        <w:t xml:space="preserve"> </w:t>
      </w:r>
      <w:r w:rsidR="00D3051F">
        <w:t xml:space="preserve">They were employed at a variety of retail outlets.  </w:t>
      </w:r>
      <w:r>
        <w:t>T</w:t>
      </w:r>
      <w:r w:rsidR="0087701B">
        <w:t>heir evidence was regarded as consistent</w:t>
      </w:r>
      <w:r>
        <w:t xml:space="preserve">. </w:t>
      </w:r>
      <w:r w:rsidR="0087701B">
        <w:t xml:space="preserve"> </w:t>
      </w:r>
      <w:r>
        <w:t>T</w:t>
      </w:r>
      <w:r w:rsidR="0087701B">
        <w:t xml:space="preserve">here was </w:t>
      </w:r>
      <w:r w:rsidR="00033FAA">
        <w:t>no</w:t>
      </w:r>
      <w:r w:rsidR="0087701B">
        <w:t xml:space="preserve"> evidence to the </w:t>
      </w:r>
      <w:r w:rsidR="0087701B">
        <w:lastRenderedPageBreak/>
        <w:t>contrary and the employers</w:t>
      </w:r>
      <w:r w:rsidR="00033FAA">
        <w:t>’</w:t>
      </w:r>
      <w:r w:rsidR="0087701B">
        <w:t xml:space="preserve"> e</w:t>
      </w:r>
      <w:r w:rsidR="00553A74">
        <w:t xml:space="preserve">vidence was confirmatory.  </w:t>
      </w:r>
      <w:r w:rsidR="0087701B">
        <w:t xml:space="preserve">The reasoning applied by the </w:t>
      </w:r>
      <w:proofErr w:type="spellStart"/>
      <w:r w:rsidR="0087701B">
        <w:t>FWC</w:t>
      </w:r>
      <w:proofErr w:type="spellEnd"/>
      <w:r w:rsidR="0087701B">
        <w:t xml:space="preserve"> was not only open to it</w:t>
      </w:r>
      <w:r w:rsidR="00364FB5">
        <w:t>,</w:t>
      </w:r>
      <w:r w:rsidR="0087701B">
        <w:t xml:space="preserve"> but </w:t>
      </w:r>
      <w:r>
        <w:t xml:space="preserve">it </w:t>
      </w:r>
      <w:r w:rsidR="0087701B">
        <w:t>was entirely ration</w:t>
      </w:r>
      <w:r w:rsidR="00553A74">
        <w:t>al</w:t>
      </w:r>
      <w:r w:rsidR="00537FAA">
        <w:t>.</w:t>
      </w:r>
    </w:p>
    <w:p w:rsidR="009159B0" w:rsidRDefault="00136310" w:rsidP="005C30D1">
      <w:pPr>
        <w:pStyle w:val="ParaNumbering"/>
      </w:pPr>
      <w:r>
        <w:t xml:space="preserve">It follows that this </w:t>
      </w:r>
      <w:r w:rsidR="0087701B">
        <w:t>ground must also be dismissed.</w:t>
      </w:r>
    </w:p>
    <w:p w:rsidR="00553A74" w:rsidRDefault="00A25C05" w:rsidP="00553A74">
      <w:pPr>
        <w:pStyle w:val="Heading2"/>
      </w:pPr>
      <w:r>
        <w:t xml:space="preserve">Did the </w:t>
      </w:r>
      <w:proofErr w:type="spellStart"/>
      <w:r>
        <w:t>FWC</w:t>
      </w:r>
      <w:proofErr w:type="spellEnd"/>
      <w:r>
        <w:t xml:space="preserve"> properly consider whether the Retail Award was achieving the modern awards objective?</w:t>
      </w:r>
    </w:p>
    <w:p w:rsidR="00A64E73" w:rsidRDefault="00553A74" w:rsidP="00553A74">
      <w:pPr>
        <w:pStyle w:val="ParaNumbering"/>
      </w:pPr>
      <w:r>
        <w:t xml:space="preserve">Although not expressly encapsulated in its grounds, the NRA also </w:t>
      </w:r>
      <w:r w:rsidR="00A64E73">
        <w:t xml:space="preserve">raised two further arguments each of which challenges the approach taken by the </w:t>
      </w:r>
      <w:proofErr w:type="spellStart"/>
      <w:r w:rsidR="00A64E73">
        <w:t>FWC</w:t>
      </w:r>
      <w:proofErr w:type="spellEnd"/>
      <w:r w:rsidR="00A64E73">
        <w:t xml:space="preserve"> in assessing whether the Retail Award was achieving the modern awards objective.</w:t>
      </w:r>
    </w:p>
    <w:p w:rsidR="00553A74" w:rsidRDefault="00A64E73" w:rsidP="00553A74">
      <w:pPr>
        <w:pStyle w:val="ParaNumbering"/>
      </w:pPr>
      <w:r>
        <w:t xml:space="preserve">First, the NRA </w:t>
      </w:r>
      <w:r w:rsidR="00791B23">
        <w:t xml:space="preserve">submitted </w:t>
      </w:r>
      <w:r w:rsidR="00553A74">
        <w:t>that</w:t>
      </w:r>
      <w:r w:rsidR="006751C4">
        <w:t>,</w:t>
      </w:r>
      <w:r w:rsidR="00553A74">
        <w:t xml:space="preserve"> in order for the </w:t>
      </w:r>
      <w:proofErr w:type="spellStart"/>
      <w:r w:rsidR="00553A74">
        <w:t>FWC</w:t>
      </w:r>
      <w:proofErr w:type="spellEnd"/>
      <w:r w:rsidR="00553A74">
        <w:t xml:space="preserve"> to </w:t>
      </w:r>
      <w:r>
        <w:t>have been</w:t>
      </w:r>
      <w:r w:rsidR="00553A74">
        <w:t xml:space="preserve"> satisfied under Item 6(2)(a) that </w:t>
      </w:r>
      <w:r>
        <w:t>the Retail Award was</w:t>
      </w:r>
      <w:r w:rsidR="00553A74">
        <w:t xml:space="preserve"> not achieving the modern awards objective, the </w:t>
      </w:r>
      <w:proofErr w:type="spellStart"/>
      <w:r w:rsidR="00553A74">
        <w:t>FWC</w:t>
      </w:r>
      <w:proofErr w:type="spellEnd"/>
      <w:r w:rsidR="00553A74">
        <w:t xml:space="preserve"> had to make a finding that the award failed to satisfy one or more of the considerations listed in (a)-(h) of </w:t>
      </w:r>
      <w:r w:rsidR="00364FB5">
        <w:t>s</w:t>
      </w:r>
      <w:r w:rsidR="00791B23">
        <w:t> </w:t>
      </w:r>
      <w:r w:rsidR="00553A74">
        <w:t>134(1).</w:t>
      </w:r>
    </w:p>
    <w:p w:rsidR="00553A74" w:rsidRDefault="006751C4" w:rsidP="00553A74">
      <w:pPr>
        <w:pStyle w:val="ParaNumbering"/>
      </w:pPr>
      <w:r>
        <w:t>There is</w:t>
      </w:r>
      <w:r w:rsidR="00553A74">
        <w:t xml:space="preserve"> no merit in </w:t>
      </w:r>
      <w:r w:rsidR="007D3AC9">
        <w:t xml:space="preserve">this </w:t>
      </w:r>
      <w:r w:rsidR="00537FAA">
        <w:t>submission.</w:t>
      </w:r>
    </w:p>
    <w:p w:rsidR="00553A74" w:rsidRDefault="00A64E73" w:rsidP="00553A74">
      <w:pPr>
        <w:pStyle w:val="ParaNumbering"/>
      </w:pPr>
      <w:r>
        <w:t>T</w:t>
      </w:r>
      <w:r w:rsidR="006751C4">
        <w:t>he unstated premise of the submission is</w:t>
      </w:r>
      <w:r w:rsidR="00553A74">
        <w:t xml:space="preserve"> that a finding that a modern award is not achieving </w:t>
      </w:r>
      <w:r w:rsidR="006751C4">
        <w:t xml:space="preserve">the modern awards objective or </w:t>
      </w:r>
      <w:r w:rsidR="00791B23">
        <w:t xml:space="preserve">not </w:t>
      </w:r>
      <w:r w:rsidR="006751C4">
        <w:t xml:space="preserve">operating effectively, without anomalies or technical problems arising from the Part </w:t>
      </w:r>
      <w:proofErr w:type="spellStart"/>
      <w:r w:rsidR="006751C4">
        <w:t>10A</w:t>
      </w:r>
      <w:proofErr w:type="spellEnd"/>
      <w:r w:rsidR="006751C4">
        <w:t xml:space="preserve"> process</w:t>
      </w:r>
      <w:r w:rsidR="00131ECB">
        <w:t>,</w:t>
      </w:r>
      <w:r w:rsidR="006751C4">
        <w:t xml:space="preserve"> i</w:t>
      </w:r>
      <w:r w:rsidR="00553A74">
        <w:t xml:space="preserve">s an essential pre-condition to the </w:t>
      </w:r>
      <w:proofErr w:type="spellStart"/>
      <w:r w:rsidR="00553A74">
        <w:t>FWC’s</w:t>
      </w:r>
      <w:proofErr w:type="spellEnd"/>
      <w:r w:rsidR="00553A74">
        <w:t xml:space="preserve"> capacity to exercise its power to make a determination under Item 6(3).</w:t>
      </w:r>
      <w:r>
        <w:t xml:space="preserve">  For the purpose of dealing with the argument w</w:t>
      </w:r>
      <w:r w:rsidR="00553A74">
        <w:t xml:space="preserve">e </w:t>
      </w:r>
      <w:r w:rsidR="00791B23">
        <w:t xml:space="preserve">will </w:t>
      </w:r>
      <w:r w:rsidR="00553A74">
        <w:t xml:space="preserve">make that </w:t>
      </w:r>
      <w:r>
        <w:t xml:space="preserve">assumption but </w:t>
      </w:r>
      <w:r w:rsidR="00791B23">
        <w:t xml:space="preserve">we </w:t>
      </w:r>
      <w:r>
        <w:t xml:space="preserve">are </w:t>
      </w:r>
      <w:r w:rsidR="00553A74">
        <w:t>unconvinced that</w:t>
      </w:r>
      <w:r w:rsidR="00136310">
        <w:t xml:space="preserve"> it is </w:t>
      </w:r>
      <w:r w:rsidR="00553A74">
        <w:t xml:space="preserve">valid.  Item 6(2) </w:t>
      </w:r>
      <w:r w:rsidR="006751C4">
        <w:t>contains</w:t>
      </w:r>
      <w:r w:rsidR="00553A74">
        <w:t xml:space="preserve"> matters that must be considered</w:t>
      </w:r>
      <w:r w:rsidR="00364FB5">
        <w:t>.</w:t>
      </w:r>
      <w:r w:rsidR="00553A74">
        <w:t xml:space="preserve"> </w:t>
      </w:r>
      <w:r w:rsidR="006751C4">
        <w:t xml:space="preserve"> </w:t>
      </w:r>
      <w:r w:rsidR="00364FB5">
        <w:t>It does</w:t>
      </w:r>
      <w:r w:rsidR="00553A74">
        <w:t xml:space="preserve"> not</w:t>
      </w:r>
      <w:r w:rsidR="00364FB5">
        <w:t xml:space="preserve"> </w:t>
      </w:r>
      <w:r w:rsidR="006751C4">
        <w:t>erect</w:t>
      </w:r>
      <w:r w:rsidR="00553A74">
        <w:t xml:space="preserve"> pre-conditions to the exercise of the power </w:t>
      </w:r>
      <w:r w:rsidR="006751C4">
        <w:t>to make a determination</w:t>
      </w:r>
      <w:r w:rsidR="00553A74">
        <w:t xml:space="preserve">.  </w:t>
      </w:r>
      <w:r w:rsidR="006751C4">
        <w:t xml:space="preserve">The proposition that </w:t>
      </w:r>
      <w:r w:rsidR="00553A74">
        <w:t xml:space="preserve">Item 6(2) was intended to </w:t>
      </w:r>
      <w:r w:rsidR="001B24E8">
        <w:t>foreclose</w:t>
      </w:r>
      <w:r w:rsidR="00553A74">
        <w:t xml:space="preserve"> the circumstances in which power </w:t>
      </w:r>
      <w:r w:rsidR="006751C4">
        <w:t xml:space="preserve">conferred by Item 6(3) </w:t>
      </w:r>
      <w:r w:rsidR="00553A74">
        <w:t xml:space="preserve">could be exercised is not supported by the </w:t>
      </w:r>
      <w:r w:rsidR="00836664">
        <w:t>wide terms in which the power is expressed.</w:t>
      </w:r>
    </w:p>
    <w:p w:rsidR="00553A74" w:rsidRDefault="00791B23">
      <w:pPr>
        <w:pStyle w:val="ParaNumbering"/>
      </w:pPr>
      <w:r>
        <w:t xml:space="preserve">In any case, at </w:t>
      </w:r>
      <w:r w:rsidR="00553A74">
        <w:t>[169] of the decision</w:t>
      </w:r>
      <w:r w:rsidR="00BB6F32">
        <w:t xml:space="preserve"> the </w:t>
      </w:r>
      <w:proofErr w:type="spellStart"/>
      <w:r w:rsidR="00BB6F32">
        <w:t>FWC</w:t>
      </w:r>
      <w:proofErr w:type="spellEnd"/>
      <w:r w:rsidR="00BB6F32">
        <w:t xml:space="preserve"> did </w:t>
      </w:r>
      <w:r w:rsidR="000D70DC">
        <w:t>make</w:t>
      </w:r>
      <w:r w:rsidR="00A64E73">
        <w:t xml:space="preserve"> a </w:t>
      </w:r>
      <w:r w:rsidR="00BB6F32">
        <w:t>finding that the Retail Award was not achieving the modern awards objective</w:t>
      </w:r>
      <w:r w:rsidR="00553A74">
        <w:t>.  The NRA</w:t>
      </w:r>
      <w:r w:rsidR="00836664">
        <w:t xml:space="preserve"> </w:t>
      </w:r>
      <w:r w:rsidR="00A834DF">
        <w:t>submitted</w:t>
      </w:r>
      <w:r w:rsidR="00836664">
        <w:t>, however,</w:t>
      </w:r>
      <w:r w:rsidR="00553A74">
        <w:t xml:space="preserve"> that </w:t>
      </w:r>
      <w:r w:rsidR="00836664">
        <w:t>the</w:t>
      </w:r>
      <w:r w:rsidR="00553A74">
        <w:t xml:space="preserve"> finding </w:t>
      </w:r>
      <w:r w:rsidR="00836664">
        <w:t xml:space="preserve">at [169] </w:t>
      </w:r>
      <w:r w:rsidR="00553A74">
        <w:t xml:space="preserve">was made </w:t>
      </w:r>
      <w:r w:rsidR="00836664">
        <w:t>without</w:t>
      </w:r>
      <w:r w:rsidR="00A64E73">
        <w:t xml:space="preserve"> the </w:t>
      </w:r>
      <w:proofErr w:type="spellStart"/>
      <w:r w:rsidR="00A64E73">
        <w:t>FWC</w:t>
      </w:r>
      <w:proofErr w:type="spellEnd"/>
      <w:r w:rsidR="00836664">
        <w:t xml:space="preserve"> first taking into account the matters listed</w:t>
      </w:r>
      <w:r w:rsidR="00553A74">
        <w:t xml:space="preserve"> in (a</w:t>
      </w:r>
      <w:r w:rsidR="00836664">
        <w:t>)</w:t>
      </w:r>
      <w:r w:rsidR="00836664">
        <w:noBreakHyphen/>
        <w:t>(</w:t>
      </w:r>
      <w:r w:rsidR="00553A74">
        <w:t>h) of s</w:t>
      </w:r>
      <w:r w:rsidR="00836664">
        <w:t> </w:t>
      </w:r>
      <w:r w:rsidR="00553A74">
        <w:t>134(1)</w:t>
      </w:r>
      <w:r w:rsidR="000D70DC">
        <w:t>,</w:t>
      </w:r>
      <w:r w:rsidR="00836664">
        <w:t xml:space="preserve"> because</w:t>
      </w:r>
      <w:r w:rsidR="000D70DC">
        <w:t xml:space="preserve"> </w:t>
      </w:r>
      <w:r w:rsidR="00836664">
        <w:t xml:space="preserve">there was no finding </w:t>
      </w:r>
      <w:r w:rsidR="00BE52F8">
        <w:t>“</w:t>
      </w:r>
      <w:r w:rsidR="00836664">
        <w:t>in respect of any matter</w:t>
      </w:r>
      <w:r w:rsidR="00BE52F8">
        <w:t>”</w:t>
      </w:r>
      <w:r w:rsidR="00A834DF">
        <w:t xml:space="preserve"> set out in the section </w:t>
      </w:r>
      <w:r w:rsidR="00BE52F8">
        <w:t>“</w:t>
      </w:r>
      <w:r w:rsidR="00A834DF">
        <w:t>that the award, as it exists, was not meeting any of those objectives</w:t>
      </w:r>
      <w:r w:rsidR="00BE52F8">
        <w:t>”</w:t>
      </w:r>
      <w:r w:rsidR="00537FAA">
        <w:t>.</w:t>
      </w:r>
    </w:p>
    <w:p w:rsidR="00A25C05" w:rsidRDefault="00553A74" w:rsidP="00967F43">
      <w:pPr>
        <w:pStyle w:val="ParaNumbering"/>
      </w:pPr>
      <w:r>
        <w:t>It is apparent from the terms of s</w:t>
      </w:r>
      <w:r w:rsidR="00836664">
        <w:t> </w:t>
      </w:r>
      <w:r>
        <w:t xml:space="preserve">134(1) that the </w:t>
      </w:r>
      <w:r w:rsidR="00BB6F32">
        <w:t>factors listed</w:t>
      </w:r>
      <w:r>
        <w:t xml:space="preserve"> in (a)</w:t>
      </w:r>
      <w:r w:rsidR="00836664">
        <w:noBreakHyphen/>
      </w:r>
      <w:r>
        <w:t xml:space="preserve">(h) are broad considerations which </w:t>
      </w:r>
      <w:r w:rsidR="00791B23">
        <w:t xml:space="preserve">the </w:t>
      </w:r>
      <w:proofErr w:type="spellStart"/>
      <w:r w:rsidR="00791B23">
        <w:t>FWC</w:t>
      </w:r>
      <w:proofErr w:type="spellEnd"/>
      <w:r w:rsidR="00791B23">
        <w:t xml:space="preserve"> must take</w:t>
      </w:r>
      <w:r>
        <w:t xml:space="preserve"> into account </w:t>
      </w:r>
      <w:r w:rsidR="00BB6F32">
        <w:t xml:space="preserve">in considering whether </w:t>
      </w:r>
      <w:r w:rsidR="00A25C05">
        <w:t xml:space="preserve">a </w:t>
      </w:r>
      <w:r w:rsidR="00BB6F32">
        <w:t xml:space="preserve">modern award </w:t>
      </w:r>
      <w:r>
        <w:t>meet</w:t>
      </w:r>
      <w:r w:rsidR="00BB6F32">
        <w:t>s</w:t>
      </w:r>
      <w:r>
        <w:t xml:space="preserve"> the objective set by s</w:t>
      </w:r>
      <w:r w:rsidR="00537FAA">
        <w:t> </w:t>
      </w:r>
      <w:r>
        <w:t>134(1)</w:t>
      </w:r>
      <w:r w:rsidR="00BB6F32">
        <w:t>, that is to say, whether it provides a fair and relevant minimum safety net of terms and conditions</w:t>
      </w:r>
      <w:r>
        <w:t xml:space="preserve">. </w:t>
      </w:r>
      <w:r w:rsidR="00791B23">
        <w:t xml:space="preserve"> </w:t>
      </w:r>
      <w:r w:rsidR="00A25C05">
        <w:t>The</w:t>
      </w:r>
      <w:r w:rsidR="00967F43">
        <w:t xml:space="preserve"> </w:t>
      </w:r>
      <w:r w:rsidR="00791B23">
        <w:t xml:space="preserve">listed </w:t>
      </w:r>
      <w:r w:rsidR="00027F18">
        <w:t xml:space="preserve">factors </w:t>
      </w:r>
      <w:r>
        <w:t>do not</w:t>
      </w:r>
      <w:r w:rsidR="00364FB5">
        <w:t>,</w:t>
      </w:r>
      <w:r>
        <w:t xml:space="preserve"> in </w:t>
      </w:r>
      <w:r>
        <w:lastRenderedPageBreak/>
        <w:t>themselves</w:t>
      </w:r>
      <w:r w:rsidR="00364FB5">
        <w:t>,</w:t>
      </w:r>
      <w:r>
        <w:t xml:space="preserve"> </w:t>
      </w:r>
      <w:r w:rsidR="00791B23">
        <w:t xml:space="preserve">however, </w:t>
      </w:r>
      <w:r>
        <w:t xml:space="preserve">pose any questions or set any standard </w:t>
      </w:r>
      <w:r w:rsidR="00A834DF">
        <w:t xml:space="preserve">against </w:t>
      </w:r>
      <w:r>
        <w:t xml:space="preserve">which a modern award could be </w:t>
      </w:r>
      <w:r w:rsidR="00027F18">
        <w:t>evaluated</w:t>
      </w:r>
      <w:r>
        <w:t xml:space="preserve">.  </w:t>
      </w:r>
      <w:r w:rsidR="00A834DF">
        <w:t xml:space="preserve">Many of them are broad social objectives.  </w:t>
      </w:r>
      <w:r w:rsidR="004170C4">
        <w:t>What, for example, was the finding called for in relation to the first factor (</w:t>
      </w:r>
      <w:r w:rsidR="00BE52F8">
        <w:t>“</w:t>
      </w:r>
      <w:r w:rsidR="004170C4">
        <w:t>relative living standards and the needs of the low paid</w:t>
      </w:r>
      <w:r w:rsidR="00BE52F8">
        <w:t>”</w:t>
      </w:r>
      <w:r w:rsidR="004170C4">
        <w:t xml:space="preserve">)?  Furthermore, it was common ground that some of </w:t>
      </w:r>
      <w:r w:rsidR="00967F43">
        <w:t>the factors</w:t>
      </w:r>
      <w:r w:rsidR="004170C4">
        <w:t xml:space="preserve"> were in</w:t>
      </w:r>
      <w:r w:rsidR="00537FAA">
        <w:t xml:space="preserve">applicable to the </w:t>
      </w:r>
      <w:proofErr w:type="spellStart"/>
      <w:r w:rsidR="00537FAA">
        <w:t>SDA’s</w:t>
      </w:r>
      <w:proofErr w:type="spellEnd"/>
      <w:r w:rsidR="00537FAA">
        <w:t xml:space="preserve"> claim.</w:t>
      </w:r>
    </w:p>
    <w:p w:rsidR="00553A74" w:rsidRDefault="00403D68" w:rsidP="00967F43">
      <w:pPr>
        <w:pStyle w:val="ParaNumbering"/>
      </w:pPr>
      <w:r>
        <w:t xml:space="preserve">The relevant finding the </w:t>
      </w:r>
      <w:proofErr w:type="spellStart"/>
      <w:r>
        <w:t>FWC</w:t>
      </w:r>
      <w:proofErr w:type="spellEnd"/>
      <w:r>
        <w:t xml:space="preserve"> is called upon to make is </w:t>
      </w:r>
      <w:r w:rsidR="004170C4">
        <w:t>that</w:t>
      </w:r>
      <w:r>
        <w:t xml:space="preserve"> the modern award </w:t>
      </w:r>
      <w:r w:rsidR="00131ECB">
        <w:t xml:space="preserve">either </w:t>
      </w:r>
      <w:r>
        <w:t>achieves</w:t>
      </w:r>
      <w:r w:rsidR="004170C4">
        <w:t xml:space="preserve"> or does not achieve</w:t>
      </w:r>
      <w:r w:rsidR="00967F43">
        <w:t xml:space="preserve"> the modern award</w:t>
      </w:r>
      <w:r w:rsidR="00131ECB">
        <w:t>s</w:t>
      </w:r>
      <w:r w:rsidR="00967F43">
        <w:t xml:space="preserve"> objective.</w:t>
      </w:r>
      <w:r w:rsidR="00791B23">
        <w:t xml:space="preserve"> </w:t>
      </w:r>
      <w:r w:rsidR="00553A74">
        <w:t xml:space="preserve"> </w:t>
      </w:r>
      <w:r w:rsidR="00F83E77">
        <w:t>T</w:t>
      </w:r>
      <w:r w:rsidR="00553A74">
        <w:t xml:space="preserve">he NRA’s contention </w:t>
      </w:r>
      <w:r w:rsidR="00967F43">
        <w:t xml:space="preserve">that it was necessary for the </w:t>
      </w:r>
      <w:proofErr w:type="spellStart"/>
      <w:r w:rsidR="00967F43">
        <w:t>FWC</w:t>
      </w:r>
      <w:proofErr w:type="spellEnd"/>
      <w:r w:rsidR="00967F43">
        <w:t xml:space="preserve"> to have made a finding that the Retail Award failed to satisfy at least one of the s 134(1) factors must be rejected.</w:t>
      </w:r>
    </w:p>
    <w:p w:rsidR="00967F43" w:rsidRDefault="00A64E73" w:rsidP="00967F43">
      <w:pPr>
        <w:pStyle w:val="ParaNumbering"/>
      </w:pPr>
      <w:r>
        <w:t>T</w:t>
      </w:r>
      <w:r w:rsidR="00967F43">
        <w:t xml:space="preserve">he NRA also </w:t>
      </w:r>
      <w:r w:rsidR="00BE3448">
        <w:t xml:space="preserve">submitted </w:t>
      </w:r>
      <w:r w:rsidR="00967F43">
        <w:t xml:space="preserve">that when the </w:t>
      </w:r>
      <w:proofErr w:type="spellStart"/>
      <w:r w:rsidR="00967F43">
        <w:t>FWC</w:t>
      </w:r>
      <w:proofErr w:type="spellEnd"/>
      <w:r w:rsidR="00967F43">
        <w:t xml:space="preserve"> assessed whether the Retail Award was achieving the modern awards objective, it did so not by reference to the content of th</w:t>
      </w:r>
      <w:r w:rsidR="00A25C05">
        <w:t>e</w:t>
      </w:r>
      <w:r w:rsidR="00967F43">
        <w:t xml:space="preserve"> award but</w:t>
      </w:r>
      <w:r w:rsidR="00A25C05">
        <w:t>,</w:t>
      </w:r>
      <w:r w:rsidR="00967F43">
        <w:t xml:space="preserve"> instead</w:t>
      </w:r>
      <w:r w:rsidR="00A25C05">
        <w:t>,</w:t>
      </w:r>
      <w:r w:rsidR="00967F43">
        <w:t xml:space="preserve"> by reference to the content of the proposed variation.  That was characterised</w:t>
      </w:r>
      <w:r w:rsidR="00A25C05">
        <w:t xml:space="preserve"> by the NRA</w:t>
      </w:r>
      <w:r w:rsidR="00967F43">
        <w:t xml:space="preserve"> as a failure by </w:t>
      </w:r>
      <w:r w:rsidR="00D305BF">
        <w:t xml:space="preserve">the </w:t>
      </w:r>
      <w:proofErr w:type="spellStart"/>
      <w:r w:rsidR="00967F43">
        <w:t>FWC</w:t>
      </w:r>
      <w:proofErr w:type="spellEnd"/>
      <w:r w:rsidR="00967F43">
        <w:t xml:space="preserve"> to properly assess whether the </w:t>
      </w:r>
      <w:r w:rsidR="00A25C05">
        <w:t>R</w:t>
      </w:r>
      <w:r w:rsidR="00967F43">
        <w:t xml:space="preserve">etail </w:t>
      </w:r>
      <w:r w:rsidR="00A25C05">
        <w:t>A</w:t>
      </w:r>
      <w:r w:rsidR="00967F43">
        <w:t>ward was achieving the modern awards objective.</w:t>
      </w:r>
    </w:p>
    <w:p w:rsidR="00967F43" w:rsidRDefault="00967F43" w:rsidP="00967F43">
      <w:pPr>
        <w:pStyle w:val="ParaNumbering"/>
      </w:pPr>
      <w:r>
        <w:t xml:space="preserve">It is true that the </w:t>
      </w:r>
      <w:proofErr w:type="spellStart"/>
      <w:r>
        <w:t>FWC</w:t>
      </w:r>
      <w:proofErr w:type="spellEnd"/>
      <w:r>
        <w:t xml:space="preserve"> expressed its opinion</w:t>
      </w:r>
      <w:r w:rsidR="008B10A1">
        <w:t xml:space="preserve"> about </w:t>
      </w:r>
      <w:r w:rsidR="00A25C05">
        <w:t>some</w:t>
      </w:r>
      <w:r w:rsidR="008B10A1">
        <w:t xml:space="preserve"> of the s</w:t>
      </w:r>
      <w:r w:rsidR="00CA1432">
        <w:t> </w:t>
      </w:r>
      <w:r w:rsidR="008B10A1">
        <w:t xml:space="preserve">134(1) factors </w:t>
      </w:r>
      <w:r w:rsidR="00A64E73">
        <w:t>at least in part</w:t>
      </w:r>
      <w:r w:rsidR="008B10A1">
        <w:t xml:space="preserve"> by reference to the</w:t>
      </w:r>
      <w:r w:rsidR="00A25C05">
        <w:t xml:space="preserve"> merit of the</w:t>
      </w:r>
      <w:r w:rsidR="00131ECB">
        <w:t xml:space="preserve"> proposed variation.</w:t>
      </w:r>
      <w:r w:rsidR="00CA1432">
        <w:t xml:space="preserve"> </w:t>
      </w:r>
      <w:r w:rsidR="00131ECB">
        <w:t xml:space="preserve"> For </w:t>
      </w:r>
      <w:r w:rsidR="008B10A1">
        <w:t>instance</w:t>
      </w:r>
      <w:r w:rsidR="00131ECB">
        <w:t>,</w:t>
      </w:r>
      <w:r w:rsidR="008B10A1">
        <w:t xml:space="preserve"> at [122]</w:t>
      </w:r>
      <w:r w:rsidR="00CA1432">
        <w:t>,</w:t>
      </w:r>
      <w:r w:rsidR="008B10A1">
        <w:t xml:space="preserve"> when considering s</w:t>
      </w:r>
      <w:r w:rsidR="001E79BF">
        <w:t> </w:t>
      </w:r>
      <w:r w:rsidR="008B10A1">
        <w:t>134(1)(a)</w:t>
      </w:r>
      <w:r w:rsidR="00131ECB">
        <w:t>,</w:t>
      </w:r>
      <w:r w:rsidR="008B10A1">
        <w:t xml:space="preserve"> the </w:t>
      </w:r>
      <w:proofErr w:type="spellStart"/>
      <w:r w:rsidR="008B10A1">
        <w:t>FWC</w:t>
      </w:r>
      <w:proofErr w:type="spellEnd"/>
      <w:r w:rsidR="008B10A1">
        <w:t xml:space="preserve"> said:</w:t>
      </w:r>
    </w:p>
    <w:p w:rsidR="008B10A1" w:rsidRDefault="008B10A1" w:rsidP="008B10A1">
      <w:pPr>
        <w:pStyle w:val="Quote1"/>
      </w:pPr>
      <w:r>
        <w:t xml:space="preserve">In our opinion each of the considerations in the above paragraphs weighs in favour of the variation sought by the </w:t>
      </w:r>
      <w:proofErr w:type="spellStart"/>
      <w:r>
        <w:t>SDA</w:t>
      </w:r>
      <w:proofErr w:type="spellEnd"/>
      <w:r>
        <w:t>.</w:t>
      </w:r>
    </w:p>
    <w:p w:rsidR="008B10A1" w:rsidRDefault="008B10A1" w:rsidP="008B10A1">
      <w:pPr>
        <w:pStyle w:val="Quote1"/>
      </w:pPr>
    </w:p>
    <w:p w:rsidR="008B10A1" w:rsidRDefault="008B10A1" w:rsidP="008B10A1">
      <w:pPr>
        <w:pStyle w:val="ParaNumbering"/>
      </w:pPr>
      <w:r>
        <w:t xml:space="preserve">It is not surprising that the </w:t>
      </w:r>
      <w:proofErr w:type="spellStart"/>
      <w:r>
        <w:t>FWC’s</w:t>
      </w:r>
      <w:proofErr w:type="spellEnd"/>
      <w:r>
        <w:t xml:space="preserve"> assessment of whether the Retail Award was achieving the modern awards objective included </w:t>
      </w:r>
      <w:r w:rsidR="00A64E73">
        <w:t xml:space="preserve">some </w:t>
      </w:r>
      <w:r>
        <w:t xml:space="preserve">consideration of the proposed variation.  The proposed variation was being put forward by the </w:t>
      </w:r>
      <w:proofErr w:type="spellStart"/>
      <w:r>
        <w:t>SDA</w:t>
      </w:r>
      <w:proofErr w:type="spellEnd"/>
      <w:r>
        <w:t xml:space="preserve"> as the solution </w:t>
      </w:r>
      <w:r w:rsidR="00A25C05">
        <w:t xml:space="preserve">which </w:t>
      </w:r>
      <w:r>
        <w:t>address</w:t>
      </w:r>
      <w:r w:rsidR="00A25C05">
        <w:t>ed</w:t>
      </w:r>
      <w:r>
        <w:t xml:space="preserve"> </w:t>
      </w:r>
      <w:r w:rsidR="00A25C05">
        <w:t xml:space="preserve">the alleged failure of </w:t>
      </w:r>
      <w:r>
        <w:t xml:space="preserve">the Retail Award </w:t>
      </w:r>
      <w:r w:rsidR="00A25C05">
        <w:t>to achieve t</w:t>
      </w:r>
      <w:r>
        <w:t xml:space="preserve">he modern awards objective.  In that context, the </w:t>
      </w:r>
      <w:proofErr w:type="spellStart"/>
      <w:r>
        <w:t>FWC’s</w:t>
      </w:r>
      <w:proofErr w:type="spellEnd"/>
      <w:r>
        <w:t xml:space="preserve"> observations about whether particular considerations weighed in favour or weighed against </w:t>
      </w:r>
      <w:r w:rsidR="00A25C05">
        <w:t>the proposed</w:t>
      </w:r>
      <w:r>
        <w:t xml:space="preserve"> variation to the Retail Award are also to be understood as observations about the ex</w:t>
      </w:r>
      <w:r w:rsidR="00A25C05">
        <w:t xml:space="preserve">tent to which the Retail Award </w:t>
      </w:r>
      <w:r w:rsidR="00131ECB">
        <w:t>was, or was</w:t>
      </w:r>
      <w:r>
        <w:t xml:space="preserve"> not</w:t>
      </w:r>
      <w:r w:rsidR="00131ECB">
        <w:t>,</w:t>
      </w:r>
      <w:r>
        <w:t xml:space="preserve"> already achieving the modern awards objective. </w:t>
      </w:r>
      <w:r w:rsidR="00CA1432">
        <w:t xml:space="preserve"> </w:t>
      </w:r>
      <w:r w:rsidR="00A62A90">
        <w:t xml:space="preserve">To say </w:t>
      </w:r>
      <w:r w:rsidR="00CA1432">
        <w:t xml:space="preserve">that </w:t>
      </w:r>
      <w:r w:rsidR="00C96A84">
        <w:t>certain</w:t>
      </w:r>
      <w:r w:rsidR="00171480">
        <w:t xml:space="preserve"> </w:t>
      </w:r>
      <w:r w:rsidR="00A62A90">
        <w:t>considerations</w:t>
      </w:r>
      <w:r w:rsidR="00CA1432">
        <w:t xml:space="preserve"> support the </w:t>
      </w:r>
      <w:r w:rsidR="00A62A90">
        <w:t xml:space="preserve">proposed </w:t>
      </w:r>
      <w:r w:rsidR="00CA1432">
        <w:t>variation</w:t>
      </w:r>
      <w:r w:rsidR="00A62A90">
        <w:t xml:space="preserve"> is another way of saying that the award in its present form is not achieving the modern awards objective.</w:t>
      </w:r>
    </w:p>
    <w:p w:rsidR="008B10A1" w:rsidRDefault="008B10A1" w:rsidP="008B10A1">
      <w:pPr>
        <w:pStyle w:val="ParaNumbering"/>
      </w:pPr>
      <w:r>
        <w:lastRenderedPageBreak/>
        <w:t xml:space="preserve">The observations made by the </w:t>
      </w:r>
      <w:proofErr w:type="spellStart"/>
      <w:r>
        <w:t>FWC</w:t>
      </w:r>
      <w:proofErr w:type="spellEnd"/>
      <w:r>
        <w:t xml:space="preserve"> about the proposed variation do not suggest that the </w:t>
      </w:r>
      <w:proofErr w:type="spellStart"/>
      <w:r>
        <w:t>FWC</w:t>
      </w:r>
      <w:proofErr w:type="spellEnd"/>
      <w:r>
        <w:t xml:space="preserve"> failed to</w:t>
      </w:r>
      <w:r w:rsidR="00A25C05">
        <w:t xml:space="preserve"> properly</w:t>
      </w:r>
      <w:r>
        <w:t xml:space="preserve"> tak</w:t>
      </w:r>
      <w:r w:rsidR="00A25C05">
        <w:t>e</w:t>
      </w:r>
      <w:r>
        <w:t xml:space="preserve"> into account the s</w:t>
      </w:r>
      <w:r w:rsidR="00537FAA">
        <w:t> </w:t>
      </w:r>
      <w:r>
        <w:t>134(1) factors</w:t>
      </w:r>
      <w:r w:rsidR="00A25C05">
        <w:t xml:space="preserve"> in considering</w:t>
      </w:r>
      <w:r>
        <w:t xml:space="preserve"> whether the Retail Award was achieving the modern awards objective.</w:t>
      </w:r>
    </w:p>
    <w:p w:rsidR="00537FAA" w:rsidRDefault="00537FAA" w:rsidP="00537FAA">
      <w:pPr>
        <w:pStyle w:val="Heading1"/>
      </w:pPr>
      <w:r>
        <w:t>DISCRETION</w:t>
      </w:r>
    </w:p>
    <w:p w:rsidR="004C3757" w:rsidRDefault="00F9336B" w:rsidP="00553A74">
      <w:pPr>
        <w:pStyle w:val="ParaNumbering"/>
      </w:pPr>
      <w:r>
        <w:t xml:space="preserve">The </w:t>
      </w:r>
      <w:proofErr w:type="spellStart"/>
      <w:r>
        <w:t>SDA</w:t>
      </w:r>
      <w:proofErr w:type="spellEnd"/>
      <w:r>
        <w:t xml:space="preserve"> </w:t>
      </w:r>
      <w:r w:rsidR="004C3757">
        <w:t>contended that</w:t>
      </w:r>
      <w:r w:rsidR="00F12A01">
        <w:t>,</w:t>
      </w:r>
      <w:r w:rsidR="004C3757">
        <w:t xml:space="preserve"> if </w:t>
      </w:r>
      <w:r w:rsidR="00F12A01">
        <w:t>the Court was</w:t>
      </w:r>
      <w:r w:rsidR="004C3757">
        <w:t xml:space="preserve"> satisfied that the decision of the </w:t>
      </w:r>
      <w:proofErr w:type="spellStart"/>
      <w:r w:rsidR="004C3757">
        <w:t>FWC</w:t>
      </w:r>
      <w:proofErr w:type="spellEnd"/>
      <w:r w:rsidR="004C3757">
        <w:t xml:space="preserve"> was tainted by jurisdictional error, the relief sought by the NRA should nevertheless be refused in the exercise of the Court’s discretion.  In support of that submission, the </w:t>
      </w:r>
      <w:proofErr w:type="spellStart"/>
      <w:r w:rsidR="004C3757">
        <w:t>SDA</w:t>
      </w:r>
      <w:proofErr w:type="spellEnd"/>
      <w:r w:rsidR="004C3757">
        <w:t xml:space="preserve"> relied on delay and on the failure of the NRA to raise before the </w:t>
      </w:r>
      <w:proofErr w:type="spellStart"/>
      <w:r w:rsidR="004C3757">
        <w:t>FWC</w:t>
      </w:r>
      <w:proofErr w:type="spellEnd"/>
      <w:r w:rsidR="004C3757">
        <w:t xml:space="preserve"> the grounds upon which the NRA relied upon in this application.</w:t>
      </w:r>
    </w:p>
    <w:p w:rsidR="00364FB5" w:rsidRDefault="008F7C79" w:rsidP="008923B0">
      <w:pPr>
        <w:pStyle w:val="ParaNumbering"/>
      </w:pPr>
      <w:r>
        <w:t>It is well accepted that relief under s </w:t>
      </w:r>
      <w:proofErr w:type="spellStart"/>
      <w:r>
        <w:t>39B</w:t>
      </w:r>
      <w:proofErr w:type="spellEnd"/>
      <w:r>
        <w:t xml:space="preserve"> of the Judiciary Act is discretionary</w:t>
      </w:r>
      <w:r w:rsidR="00131ECB">
        <w:t>.</w:t>
      </w:r>
      <w:r>
        <w:t xml:space="preserve"> </w:t>
      </w:r>
      <w:r w:rsidR="00131ECB">
        <w:t>I</w:t>
      </w:r>
      <w:r>
        <w:t xml:space="preserve">t is </w:t>
      </w:r>
      <w:r w:rsidR="00131ECB">
        <w:t>also</w:t>
      </w:r>
      <w:r>
        <w:t xml:space="preserve"> established that the discretion should not be exercised lightly against the grant of relief, particularly where it is sought against administrative decision-makers and there is no avenue of appeal:  </w:t>
      </w:r>
      <w:r>
        <w:rPr>
          <w:i/>
        </w:rPr>
        <w:t xml:space="preserve">Re Refugee Review Tribunal; Ex Parte </w:t>
      </w:r>
      <w:proofErr w:type="spellStart"/>
      <w:r>
        <w:rPr>
          <w:i/>
        </w:rPr>
        <w:t>Aala</w:t>
      </w:r>
      <w:proofErr w:type="spellEnd"/>
      <w:r>
        <w:rPr>
          <w:i/>
        </w:rPr>
        <w:t xml:space="preserve"> </w:t>
      </w:r>
      <w:r>
        <w:t xml:space="preserve">(2000) 204 CLR 82 </w:t>
      </w:r>
      <w:r w:rsidR="009A6DAF">
        <w:t>(</w:t>
      </w:r>
      <w:proofErr w:type="spellStart"/>
      <w:r w:rsidR="009A6DAF" w:rsidRPr="0002515C">
        <w:rPr>
          <w:b/>
          <w:i/>
        </w:rPr>
        <w:t>Aala</w:t>
      </w:r>
      <w:proofErr w:type="spellEnd"/>
      <w:r w:rsidR="009A6DAF">
        <w:t xml:space="preserve">) </w:t>
      </w:r>
      <w:r w:rsidRPr="009A6DAF">
        <w:t>at</w:t>
      </w:r>
      <w:r>
        <w:t xml:space="preserve"> [55]</w:t>
      </w:r>
      <w:r w:rsidR="009A6DAF">
        <w:t xml:space="preserve"> (</w:t>
      </w:r>
      <w:proofErr w:type="spellStart"/>
      <w:r w:rsidR="009A6DAF">
        <w:t>Gaudron</w:t>
      </w:r>
      <w:proofErr w:type="spellEnd"/>
      <w:r w:rsidR="009A6DAF">
        <w:t xml:space="preserve"> and </w:t>
      </w:r>
      <w:proofErr w:type="spellStart"/>
      <w:r w:rsidR="009A6DAF">
        <w:t>Gummow</w:t>
      </w:r>
      <w:proofErr w:type="spellEnd"/>
      <w:r w:rsidR="009A6DAF">
        <w:t> JJ)</w:t>
      </w:r>
      <w:r>
        <w:t xml:space="preserve">; </w:t>
      </w:r>
      <w:r w:rsidR="009A6DAF">
        <w:rPr>
          <w:i/>
        </w:rPr>
        <w:t xml:space="preserve">Commissioner of Taxation v </w:t>
      </w:r>
      <w:proofErr w:type="spellStart"/>
      <w:r w:rsidR="009A6DAF">
        <w:rPr>
          <w:i/>
        </w:rPr>
        <w:t>Futuris</w:t>
      </w:r>
      <w:proofErr w:type="spellEnd"/>
      <w:r w:rsidR="009A6DAF">
        <w:rPr>
          <w:i/>
        </w:rPr>
        <w:t xml:space="preserve"> Corporation Ltd </w:t>
      </w:r>
      <w:r w:rsidR="009A6DAF">
        <w:t xml:space="preserve">(2008) </w:t>
      </w:r>
      <w:r w:rsidR="008923B0" w:rsidRPr="008923B0">
        <w:t>237 CLR 146</w:t>
      </w:r>
      <w:r w:rsidR="008923B0">
        <w:t xml:space="preserve"> </w:t>
      </w:r>
      <w:r w:rsidR="009A6DAF">
        <w:t>at [91]</w:t>
      </w:r>
      <w:r w:rsidR="00C22914">
        <w:t xml:space="preserve"> </w:t>
      </w:r>
      <w:r w:rsidR="009A6DAF">
        <w:t>(</w:t>
      </w:r>
      <w:r w:rsidR="008B10A1">
        <w:t>Kirby J</w:t>
      </w:r>
      <w:r w:rsidR="009A6DAF">
        <w:t>)</w:t>
      </w:r>
      <w:r w:rsidR="004A0806">
        <w:t xml:space="preserve">.  In </w:t>
      </w:r>
      <w:proofErr w:type="spellStart"/>
      <w:r w:rsidR="00C22914">
        <w:rPr>
          <w:i/>
        </w:rPr>
        <w:t>Aala</w:t>
      </w:r>
      <w:proofErr w:type="spellEnd"/>
      <w:r w:rsidR="00C22914">
        <w:rPr>
          <w:i/>
        </w:rPr>
        <w:t xml:space="preserve"> </w:t>
      </w:r>
      <w:r w:rsidR="004A0806">
        <w:t>at [5</w:t>
      </w:r>
      <w:r w:rsidR="005013AC">
        <w:t>6</w:t>
      </w:r>
      <w:r w:rsidR="004A0806">
        <w:t xml:space="preserve">], </w:t>
      </w:r>
      <w:proofErr w:type="spellStart"/>
      <w:r w:rsidR="004A0806">
        <w:t>Gaudron</w:t>
      </w:r>
      <w:proofErr w:type="spellEnd"/>
      <w:r w:rsidR="004A0806">
        <w:t xml:space="preserve"> and </w:t>
      </w:r>
      <w:proofErr w:type="spellStart"/>
      <w:r w:rsidR="004A0806">
        <w:t>Gummow</w:t>
      </w:r>
      <w:proofErr w:type="spellEnd"/>
      <w:r w:rsidR="00F83E77">
        <w:t> </w:t>
      </w:r>
      <w:r w:rsidR="004A0806">
        <w:t>JJ cited with approval the following passage from the judgment of Gibbs</w:t>
      </w:r>
      <w:r w:rsidR="00EA5C04">
        <w:t> </w:t>
      </w:r>
      <w:r w:rsidR="004A0806">
        <w:t xml:space="preserve">CJ in </w:t>
      </w:r>
      <w:r w:rsidR="004A0806">
        <w:rPr>
          <w:i/>
        </w:rPr>
        <w:t xml:space="preserve">R v Commonwealth Court of Conciliation </w:t>
      </w:r>
      <w:r w:rsidR="00B2536E">
        <w:rPr>
          <w:i/>
        </w:rPr>
        <w:t>&amp;</w:t>
      </w:r>
      <w:r w:rsidR="004A0806">
        <w:rPr>
          <w:i/>
        </w:rPr>
        <w:t xml:space="preserve"> Arbitration; Ex parte Ozone Theatres (</w:t>
      </w:r>
      <w:proofErr w:type="spellStart"/>
      <w:r w:rsidR="004A0806">
        <w:rPr>
          <w:i/>
        </w:rPr>
        <w:t>Aust</w:t>
      </w:r>
      <w:proofErr w:type="spellEnd"/>
      <w:r w:rsidR="004A0806">
        <w:rPr>
          <w:i/>
        </w:rPr>
        <w:t xml:space="preserve">) Limited </w:t>
      </w:r>
      <w:r w:rsidR="004A0806">
        <w:t xml:space="preserve">(1949) 78 CLR 389 </w:t>
      </w:r>
      <w:r w:rsidR="00F12A01">
        <w:t>(</w:t>
      </w:r>
      <w:r w:rsidR="00F12A01" w:rsidRPr="003D65B4">
        <w:rPr>
          <w:b/>
          <w:i/>
        </w:rPr>
        <w:t>Ozone Theatres</w:t>
      </w:r>
      <w:r w:rsidR="00F12A01">
        <w:t xml:space="preserve">) </w:t>
      </w:r>
      <w:r w:rsidR="004A0806">
        <w:t>at 400, where examples were provided of where a court may exercise its discretion not to issue a constitutional writ:</w:t>
      </w:r>
    </w:p>
    <w:p w:rsidR="00E70775" w:rsidRDefault="004A0806" w:rsidP="004A0806">
      <w:pPr>
        <w:pStyle w:val="Quote1"/>
      </w:pPr>
      <w:r w:rsidRPr="004A0806">
        <w:t>For example the writ may not be granted if a more convenient and satisfactory remedy exists, if no useful result could ensue, if the party has been guilty of unwarrantable delay or if there has been bad faith on the part of the applicant, either in the transaction out of which the duty to be enforced arises or towards the court t</w:t>
      </w:r>
      <w:r w:rsidR="001B24E8">
        <w:t>o which the application is made.  The court’s discretion is judicial and if the refusal of a definite public duty is established, the writ issues unless circumstances appear making it just that the remedy should be withheld.</w:t>
      </w:r>
    </w:p>
    <w:p w:rsidR="00B2536E" w:rsidRDefault="00B2536E" w:rsidP="004A0806">
      <w:pPr>
        <w:pStyle w:val="Quote1"/>
      </w:pPr>
    </w:p>
    <w:p w:rsidR="00B2536E" w:rsidRDefault="00B2536E" w:rsidP="00B2536E">
      <w:pPr>
        <w:pStyle w:val="ParaNumbering"/>
      </w:pPr>
      <w:proofErr w:type="spellStart"/>
      <w:r w:rsidRPr="00B2536E">
        <w:t>Gaudron</w:t>
      </w:r>
      <w:proofErr w:type="spellEnd"/>
      <w:r w:rsidRPr="00B2536E">
        <w:t xml:space="preserve"> and </w:t>
      </w:r>
      <w:proofErr w:type="spellStart"/>
      <w:r w:rsidRPr="00B2536E">
        <w:t>Gummow</w:t>
      </w:r>
      <w:proofErr w:type="spellEnd"/>
      <w:r w:rsidR="00252DFA">
        <w:t> </w:t>
      </w:r>
      <w:r w:rsidRPr="00B2536E">
        <w:t xml:space="preserve">JJ </w:t>
      </w:r>
      <w:r w:rsidR="004A76AA">
        <w:t>introduced t</w:t>
      </w:r>
      <w:r w:rsidRPr="00B2536E">
        <w:t xml:space="preserve">he above passage from </w:t>
      </w:r>
      <w:r w:rsidRPr="004A76AA">
        <w:rPr>
          <w:i/>
        </w:rPr>
        <w:t>Ozone</w:t>
      </w:r>
      <w:r w:rsidRPr="00B2536E">
        <w:t xml:space="preserve"> </w:t>
      </w:r>
      <w:r w:rsidR="00F12A01">
        <w:rPr>
          <w:i/>
        </w:rPr>
        <w:t xml:space="preserve">Theatres </w:t>
      </w:r>
      <w:r w:rsidRPr="00B2536E">
        <w:t xml:space="preserve">by noting that it provides </w:t>
      </w:r>
      <w:r w:rsidR="00BE52F8">
        <w:t>“</w:t>
      </w:r>
      <w:r w:rsidRPr="00B2536E">
        <w:t>[s]</w:t>
      </w:r>
      <w:proofErr w:type="spellStart"/>
      <w:r w:rsidRPr="00B2536E">
        <w:t>ome</w:t>
      </w:r>
      <w:proofErr w:type="spellEnd"/>
      <w:r w:rsidRPr="00B2536E">
        <w:t xml:space="preserve"> guidance, though it cannot be exhaustive</w:t>
      </w:r>
      <w:r w:rsidR="00BE52F8">
        <w:t>”</w:t>
      </w:r>
      <w:r w:rsidRPr="00B2536E">
        <w:t xml:space="preserve"> as to the circumstances which may attract an exercise of discr</w:t>
      </w:r>
      <w:r w:rsidR="003A3A3C">
        <w:t>etion adverse to an applicant.</w:t>
      </w:r>
    </w:p>
    <w:p w:rsidR="00F12A01" w:rsidRDefault="00F12A01" w:rsidP="00F12A01">
      <w:pPr>
        <w:pStyle w:val="ParaNumbering"/>
      </w:pPr>
      <w:r>
        <w:t xml:space="preserve">Here, it is common ground that the arguments put by the NRA in relation to grounds (i), (ii) and (iii) of the application were not put to the </w:t>
      </w:r>
      <w:proofErr w:type="spellStart"/>
      <w:r>
        <w:t>FWC</w:t>
      </w:r>
      <w:proofErr w:type="spellEnd"/>
      <w:r>
        <w:t>.  As we have already observed and as is apparent from the passages set out at [</w:t>
      </w:r>
      <w:r>
        <w:fldChar w:fldCharType="begin" w:fldLock="1"/>
      </w:r>
      <w:r>
        <w:instrText xml:space="preserve"> REF _Ref397444376 \r \h </w:instrText>
      </w:r>
      <w:r>
        <w:fldChar w:fldCharType="separate"/>
      </w:r>
      <w:r w:rsidR="00E477FA">
        <w:t>29</w:t>
      </w:r>
      <w:r>
        <w:fldChar w:fldCharType="end"/>
      </w:r>
      <w:r>
        <w:t xml:space="preserve">] above, the argument raised by ground (i) was put by the NRA in an earlier proceeding before the </w:t>
      </w:r>
      <w:proofErr w:type="spellStart"/>
      <w:r>
        <w:t>FWC</w:t>
      </w:r>
      <w:proofErr w:type="spellEnd"/>
      <w:r>
        <w:t xml:space="preserve">, which also dealt </w:t>
      </w:r>
      <w:r w:rsidR="009B0F2C">
        <w:t xml:space="preserve">(in part) </w:t>
      </w:r>
      <w:r>
        <w:t xml:space="preserve">with </w:t>
      </w:r>
      <w:r>
        <w:lastRenderedPageBreak/>
        <w:t xml:space="preserve">the transitional review of the Retail Award.  The </w:t>
      </w:r>
      <w:proofErr w:type="spellStart"/>
      <w:r>
        <w:t>FWC</w:t>
      </w:r>
      <w:proofErr w:type="spellEnd"/>
      <w:r>
        <w:t xml:space="preserve"> rejected that argument in its decision of 29</w:t>
      </w:r>
      <w:r w:rsidR="003A3A3C">
        <w:t> </w:t>
      </w:r>
      <w:r>
        <w:t>June 2012.  No application was made by the NRA (or any other party for that matter) to review that decision.</w:t>
      </w:r>
    </w:p>
    <w:p w:rsidR="00F12A01" w:rsidRDefault="00F12A01" w:rsidP="00F12A01">
      <w:pPr>
        <w:pStyle w:val="ParaNumbering"/>
      </w:pPr>
      <w:r>
        <w:t xml:space="preserve">It is also common ground that the argument raised by ground (iv) was indirectly raised in the proceeding before the </w:t>
      </w:r>
      <w:proofErr w:type="spellStart"/>
      <w:r>
        <w:t>FWC</w:t>
      </w:r>
      <w:proofErr w:type="spellEnd"/>
      <w:r>
        <w:t xml:space="preserve">, but not in the terms set out in ground (iv), and not by the NRA.  There is a disagreement between the parties, which we are unable to resolve on the material filed, as to whether the substance of the argument raised by the NRA’s ground </w:t>
      </w:r>
      <w:r w:rsidR="003A3A3C">
        <w:t xml:space="preserve">(v) was raised before the </w:t>
      </w:r>
      <w:proofErr w:type="spellStart"/>
      <w:r w:rsidR="003A3A3C">
        <w:t>FWC</w:t>
      </w:r>
      <w:proofErr w:type="spellEnd"/>
      <w:r w:rsidR="003A3A3C">
        <w:t>.</w:t>
      </w:r>
    </w:p>
    <w:p w:rsidR="003F6012" w:rsidRDefault="00B2536E" w:rsidP="00B2536E">
      <w:pPr>
        <w:pStyle w:val="ParaNumbering"/>
      </w:pPr>
      <w:r>
        <w:t>If the NRA had established jurisdictional error by reference to ground (i),</w:t>
      </w:r>
      <w:r w:rsidR="003F6012">
        <w:t xml:space="preserve"> we would have been minded to deny relief based upon that ground.  In our view, the failure of the NRA to challenge</w:t>
      </w:r>
      <w:r w:rsidR="006D52F4">
        <w:t xml:space="preserve">, long before the application </w:t>
      </w:r>
      <w:r w:rsidR="00D23215">
        <w:t xml:space="preserve">in </w:t>
      </w:r>
      <w:r w:rsidR="006D52F4">
        <w:t>this Court</w:t>
      </w:r>
      <w:r w:rsidR="004C3CBE">
        <w:t xml:space="preserve">, </w:t>
      </w:r>
      <w:r w:rsidR="003F6012">
        <w:t xml:space="preserve">the </w:t>
      </w:r>
      <w:proofErr w:type="spellStart"/>
      <w:r w:rsidR="003F6012">
        <w:t>FWC’s</w:t>
      </w:r>
      <w:proofErr w:type="spellEnd"/>
      <w:r w:rsidR="003F6012">
        <w:t xml:space="preserve"> rejection in June 2012</w:t>
      </w:r>
      <w:r w:rsidR="001B24E8">
        <w:t xml:space="preserve"> of</w:t>
      </w:r>
      <w:r w:rsidR="003F6012">
        <w:t xml:space="preserve"> the argument raised by ground (i), constitutes unwarrantable delay of the kind which provides a justifiable basis upon which relief should be declined.</w:t>
      </w:r>
    </w:p>
    <w:p w:rsidR="000139A4" w:rsidRDefault="00131ECB" w:rsidP="000139A4">
      <w:pPr>
        <w:pStyle w:val="ParaNumbering"/>
      </w:pPr>
      <w:r>
        <w:t xml:space="preserve">We </w:t>
      </w:r>
      <w:r w:rsidR="003F6012">
        <w:t xml:space="preserve">accept that the failure to advance an argument before the initial decision-maker may provide a sound discretionary basis for a </w:t>
      </w:r>
      <w:r w:rsidR="001B24E8">
        <w:t>c</w:t>
      </w:r>
      <w:r w:rsidR="003F6012">
        <w:t xml:space="preserve">ourt to decline to act on that argument for the </w:t>
      </w:r>
      <w:r w:rsidR="000139A4">
        <w:t xml:space="preserve">first time in an application for judicial review: </w:t>
      </w:r>
      <w:r w:rsidR="000139A4">
        <w:rPr>
          <w:i/>
        </w:rPr>
        <w:t xml:space="preserve">Re </w:t>
      </w:r>
      <w:proofErr w:type="spellStart"/>
      <w:r w:rsidR="000139A4">
        <w:rPr>
          <w:i/>
        </w:rPr>
        <w:t>McBain</w:t>
      </w:r>
      <w:proofErr w:type="spellEnd"/>
      <w:r w:rsidR="000139A4">
        <w:rPr>
          <w:i/>
        </w:rPr>
        <w:t xml:space="preserve">; Ex parte Australian Catholic Bishop’s Conference </w:t>
      </w:r>
      <w:r w:rsidR="000139A4">
        <w:t>(2002) 209 CLR 372 at (228) (Kirby J).</w:t>
      </w:r>
    </w:p>
    <w:p w:rsidR="000139A4" w:rsidRDefault="001B24E8" w:rsidP="000139A4">
      <w:pPr>
        <w:pStyle w:val="ParaNumbering"/>
      </w:pPr>
      <w:r>
        <w:t xml:space="preserve">However, </w:t>
      </w:r>
      <w:r w:rsidR="000139A4">
        <w:t>grounds which assert jurisdictional error are, by their very nature, grounds which assert a miscarriage of the task required of the decision-maker whose decision is the subject of judicial review.  It will often be the case that the miscarriage of the task required of a decision-maker will not have become apparent until the decision-maker has made its decision and provided its reasons.</w:t>
      </w:r>
    </w:p>
    <w:p w:rsidR="000139A4" w:rsidRDefault="000139A4" w:rsidP="000139A4">
      <w:pPr>
        <w:pStyle w:val="ParaNumbering"/>
      </w:pPr>
      <w:r>
        <w:t>Whether the failure to raise</w:t>
      </w:r>
      <w:r w:rsidR="00331CC1">
        <w:t xml:space="preserve"> an argument</w:t>
      </w:r>
      <w:r>
        <w:t xml:space="preserve"> </w:t>
      </w:r>
      <w:r w:rsidR="00331CC1">
        <w:t>before the decision-maker a</w:t>
      </w:r>
      <w:r>
        <w:t xml:space="preserve">s to </w:t>
      </w:r>
      <w:r w:rsidR="00331CC1">
        <w:t>an impending</w:t>
      </w:r>
      <w:r>
        <w:t xml:space="preserve"> miscarriage of a decision-maker</w:t>
      </w:r>
      <w:r w:rsidR="00331CC1">
        <w:t>’</w:t>
      </w:r>
      <w:r>
        <w:t>s task should be a basis for the reviewing court’s r</w:t>
      </w:r>
      <w:r w:rsidR="00131ECB">
        <w:t xml:space="preserve">efusal to act on that argument </w:t>
      </w:r>
      <w:r>
        <w:t>will depend upon a ra</w:t>
      </w:r>
      <w:r w:rsidR="00331CC1">
        <w:t>n</w:t>
      </w:r>
      <w:r>
        <w:t xml:space="preserve">ge of considerations.  One consideration will be the extent to which </w:t>
      </w:r>
      <w:r w:rsidR="00331CC1">
        <w:t>a real</w:t>
      </w:r>
      <w:r>
        <w:t xml:space="preserve"> opportunity arose to raise such an argument.  Another consideration may be the extent to which the failure to raise the argument can be said to have led to the miscarriage of the decision-maker</w:t>
      </w:r>
      <w:r w:rsidR="00331CC1">
        <w:t>’</w:t>
      </w:r>
      <w:r w:rsidR="003A3A3C">
        <w:t>s task.</w:t>
      </w:r>
    </w:p>
    <w:p w:rsidR="00E70775" w:rsidRDefault="004B156C" w:rsidP="000139A4">
      <w:pPr>
        <w:pStyle w:val="ParaNumbering"/>
      </w:pPr>
      <w:r>
        <w:t xml:space="preserve">Those considerations were not sufficiently </w:t>
      </w:r>
      <w:r w:rsidR="00331CC1">
        <w:t>explored</w:t>
      </w:r>
      <w:r>
        <w:t xml:space="preserve"> before us and, </w:t>
      </w:r>
      <w:r w:rsidR="00331CC1">
        <w:t>given that</w:t>
      </w:r>
      <w:r>
        <w:t xml:space="preserve"> it is not necessary for us to </w:t>
      </w:r>
      <w:r w:rsidR="00012D27">
        <w:t>reach a conclusion on this matter,</w:t>
      </w:r>
      <w:r>
        <w:t xml:space="preserve"> we </w:t>
      </w:r>
      <w:r w:rsidR="00331CC1">
        <w:t>will refrain from expressing a view as to</w:t>
      </w:r>
      <w:r>
        <w:t xml:space="preserve"> the extent to which the NRA’s failure to raise arguments which might have been raised </w:t>
      </w:r>
      <w:r>
        <w:lastRenderedPageBreak/>
        <w:t xml:space="preserve">before the </w:t>
      </w:r>
      <w:proofErr w:type="spellStart"/>
      <w:r>
        <w:t>FWC</w:t>
      </w:r>
      <w:proofErr w:type="spellEnd"/>
      <w:r>
        <w:t xml:space="preserve"> would justify the exercise of the Court’s discretion</w:t>
      </w:r>
      <w:r w:rsidR="00331CC1">
        <w:t xml:space="preserve"> to refuse the relief it seeks</w:t>
      </w:r>
      <w:r>
        <w:t>.</w:t>
      </w:r>
    </w:p>
    <w:p w:rsidR="003A3A3C" w:rsidRDefault="003A3A3C" w:rsidP="003A3A3C">
      <w:pPr>
        <w:pStyle w:val="Heading1"/>
      </w:pPr>
      <w:r>
        <w:t>CONCLUSION</w:t>
      </w:r>
    </w:p>
    <w:p w:rsidR="00ED40A8" w:rsidRDefault="00012D27" w:rsidP="00ED40A8">
      <w:pPr>
        <w:pStyle w:val="ParaNumbering"/>
      </w:pPr>
      <w:r>
        <w:t xml:space="preserve">None of the grounds upon which the </w:t>
      </w:r>
      <w:proofErr w:type="spellStart"/>
      <w:r>
        <w:t>FWC’s</w:t>
      </w:r>
      <w:proofErr w:type="spellEnd"/>
      <w:r>
        <w:t xml:space="preserve"> decision was challenged has been made out.  Consequently</w:t>
      </w:r>
      <w:r w:rsidR="00331CC1">
        <w:t xml:space="preserve">, the NRA’s application </w:t>
      </w:r>
      <w:r>
        <w:t xml:space="preserve">must </w:t>
      </w:r>
      <w:r w:rsidR="00331CC1">
        <w:t>be dismissed.  We presume that because of the operation of s</w:t>
      </w:r>
      <w:r w:rsidR="00E477FA">
        <w:t> </w:t>
      </w:r>
      <w:r w:rsidR="00331CC1">
        <w:t xml:space="preserve">570(1) of the FW Act, the </w:t>
      </w:r>
      <w:proofErr w:type="spellStart"/>
      <w:r w:rsidR="00331CC1">
        <w:t>SDA</w:t>
      </w:r>
      <w:proofErr w:type="spellEnd"/>
      <w:r>
        <w:t xml:space="preserve"> does not seek costs</w:t>
      </w:r>
      <w:r w:rsidR="00331CC1">
        <w:t xml:space="preserve">.  </w:t>
      </w:r>
      <w:r>
        <w:t xml:space="preserve">In the event that our </w:t>
      </w:r>
      <w:r w:rsidR="00331CC1">
        <w:t>presumption</w:t>
      </w:r>
      <w:r>
        <w:t xml:space="preserve"> is wrong</w:t>
      </w:r>
      <w:r w:rsidR="00331CC1">
        <w:t>, we direct the parties to confer on the question of costs</w:t>
      </w:r>
      <w:r>
        <w:t xml:space="preserve"> with a view to informing the Court of the parties’ agreed position</w:t>
      </w:r>
      <w:r w:rsidR="00331CC1">
        <w:t xml:space="preserve"> and in the absence of consent, file and exchange </w:t>
      </w:r>
      <w:r>
        <w:t xml:space="preserve">any affidavits and </w:t>
      </w:r>
      <w:r w:rsidR="00331CC1">
        <w:t>short submissions within 14 day</w:t>
      </w:r>
      <w:r>
        <w:t xml:space="preserve">s.  We will deal with any application on the papers. </w:t>
      </w:r>
      <w:bookmarkStart w:id="30" w:name="Certification"/>
    </w:p>
    <w:p w:rsidR="000D70DC" w:rsidRDefault="000D70DC" w:rsidP="000D70DC">
      <w:pPr>
        <w:pStyle w:val="ParaNumbering"/>
        <w:numPr>
          <w:ilvl w:val="0"/>
          <w:numId w:val="0"/>
        </w:numPr>
      </w:pPr>
    </w:p>
    <w:tbl>
      <w:tblPr>
        <w:tblW w:w="0" w:type="auto"/>
        <w:tblLook w:val="04A0" w:firstRow="1" w:lastRow="0" w:firstColumn="1" w:lastColumn="0" w:noHBand="0" w:noVBand="1"/>
      </w:tblPr>
      <w:tblGrid>
        <w:gridCol w:w="3794"/>
      </w:tblGrid>
      <w:tr w:rsidR="00ED40A8" w:rsidRPr="00ED40A8">
        <w:tc>
          <w:tcPr>
            <w:tcW w:w="3794" w:type="dxa"/>
            <w:shd w:val="clear" w:color="auto" w:fill="auto"/>
          </w:tcPr>
          <w:p w:rsidR="00ED40A8" w:rsidRPr="00ED40A8" w:rsidRDefault="00ED40A8" w:rsidP="00E477FA">
            <w:pPr>
              <w:pStyle w:val="Normal1linespace"/>
            </w:pPr>
            <w:r w:rsidRPr="00ED40A8">
              <w:t xml:space="preserve">I certify that the preceding </w:t>
            </w:r>
            <w:bookmarkStart w:id="31" w:name="NumberWord"/>
            <w:r>
              <w:t>one hundred and twenty-</w:t>
            </w:r>
            <w:r w:rsidR="00012D27">
              <w:t>five</w:t>
            </w:r>
            <w:bookmarkEnd w:id="31"/>
            <w:r w:rsidRPr="00ED40A8">
              <w:t xml:space="preserve"> (</w:t>
            </w:r>
            <w:bookmarkStart w:id="32" w:name="NumberNumeral"/>
            <w:r>
              <w:t>12</w:t>
            </w:r>
            <w:r w:rsidR="00012D27">
              <w:t>5</w:t>
            </w:r>
            <w:bookmarkEnd w:id="32"/>
            <w:r w:rsidRPr="00ED40A8">
              <w:t xml:space="preserve">) numbered </w:t>
            </w:r>
            <w:bookmarkStart w:id="33" w:name="CertPara"/>
            <w:r>
              <w:t>paragraphs are</w:t>
            </w:r>
            <w:bookmarkEnd w:id="33"/>
            <w:r w:rsidRPr="00ED40A8">
              <w:t xml:space="preserve"> a true copy of the Reasons for Judgment herein of the Honourable </w:t>
            </w:r>
            <w:bookmarkStart w:id="34" w:name="Justice"/>
            <w:r>
              <w:t>Justices Collier, Bromberg and Katzmann</w:t>
            </w:r>
            <w:bookmarkEnd w:id="34"/>
            <w:r w:rsidRPr="00ED40A8">
              <w:t>.</w:t>
            </w:r>
          </w:p>
        </w:tc>
      </w:tr>
    </w:tbl>
    <w:p w:rsidR="00ED40A8" w:rsidRDefault="00ED40A8"/>
    <w:p w:rsidR="00ED40A8" w:rsidRDefault="00ED40A8"/>
    <w:p w:rsidR="00ED40A8" w:rsidRDefault="00ED40A8"/>
    <w:p w:rsidR="00ED40A8" w:rsidRDefault="00ED40A8">
      <w:pPr>
        <w:suppressAutoHyphens/>
      </w:pPr>
      <w:r>
        <w:t>Associate:</w:t>
      </w:r>
    </w:p>
    <w:p w:rsidR="00ED40A8" w:rsidRDefault="00ED40A8">
      <w:pPr>
        <w:suppressAutoHyphens/>
      </w:pPr>
    </w:p>
    <w:p w:rsidR="00ED40A8" w:rsidRDefault="00ED40A8">
      <w:pPr>
        <w:tabs>
          <w:tab w:val="left" w:pos="1134"/>
        </w:tabs>
        <w:suppressAutoHyphens/>
      </w:pPr>
      <w:r>
        <w:t>Dated:</w:t>
      </w:r>
      <w:r>
        <w:tab/>
      </w:r>
      <w:bookmarkStart w:id="35" w:name="CertifyDated"/>
      <w:r w:rsidR="004E4FC3">
        <w:t>10 September</w:t>
      </w:r>
      <w:r>
        <w:t xml:space="preserve"> 2014</w:t>
      </w:r>
      <w:bookmarkEnd w:id="35"/>
    </w:p>
    <w:p w:rsidR="00ED40A8" w:rsidRDefault="00ED40A8">
      <w:pPr>
        <w:suppressAutoHyphens/>
      </w:pPr>
    </w:p>
    <w:bookmarkEnd w:id="30"/>
    <w:p w:rsidR="00505628" w:rsidRPr="00ED40A8" w:rsidRDefault="00505628" w:rsidP="00505628">
      <w:pPr>
        <w:pStyle w:val="ParaNumbering"/>
        <w:numPr>
          <w:ilvl w:val="0"/>
          <w:numId w:val="0"/>
        </w:numPr>
        <w:rPr>
          <w:highlight w:val="yellow"/>
        </w:rPr>
      </w:pPr>
    </w:p>
    <w:sectPr w:rsidR="00505628" w:rsidRPr="00ED40A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C7" w:rsidRDefault="006855C7">
      <w:pPr>
        <w:spacing w:line="20" w:lineRule="exact"/>
      </w:pPr>
    </w:p>
    <w:p w:rsidR="006855C7" w:rsidRDefault="006855C7"/>
    <w:p w:rsidR="006855C7" w:rsidRDefault="006855C7"/>
  </w:endnote>
  <w:endnote w:type="continuationSeparator" w:id="0">
    <w:p w:rsidR="006855C7" w:rsidRDefault="006855C7">
      <w:r>
        <w:t xml:space="preserve"> </w:t>
      </w:r>
    </w:p>
    <w:p w:rsidR="006855C7" w:rsidRDefault="006855C7"/>
    <w:p w:rsidR="006855C7" w:rsidRDefault="006855C7"/>
  </w:endnote>
  <w:endnote w:type="continuationNotice" w:id="1">
    <w:p w:rsidR="006855C7" w:rsidRDefault="006855C7">
      <w:r>
        <w:t xml:space="preserve"> </w:t>
      </w:r>
    </w:p>
    <w:p w:rsidR="006855C7" w:rsidRDefault="006855C7"/>
    <w:p w:rsidR="006855C7" w:rsidRDefault="0068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Pr="00E2716E" w:rsidRDefault="006A4DFE" w:rsidP="00E27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Pr="00E2716E" w:rsidRDefault="006A4DFE" w:rsidP="00E2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C7" w:rsidRDefault="006855C7"/>
    <w:p w:rsidR="006855C7" w:rsidRDefault="006855C7"/>
    <w:p w:rsidR="006855C7" w:rsidRDefault="006855C7"/>
  </w:footnote>
  <w:footnote w:type="continuationSeparator" w:id="0">
    <w:p w:rsidR="006855C7" w:rsidRDefault="006855C7">
      <w:r>
        <w:continuationSeparator/>
      </w:r>
    </w:p>
    <w:p w:rsidR="006855C7" w:rsidRDefault="006855C7"/>
    <w:p w:rsidR="006855C7" w:rsidRDefault="00685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6193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pPr>
      <w:tabs>
        <w:tab w:val="center" w:pos="4512"/>
      </w:tabs>
      <w:suppressAutoHyphens/>
    </w:pPr>
    <w:r>
      <w:tab/>
      <w:t xml:space="preserve">- </w:t>
    </w:r>
    <w:r>
      <w:fldChar w:fldCharType="begin"/>
    </w:r>
    <w:r>
      <w:instrText>page \* arabic</w:instrText>
    </w:r>
    <w:r>
      <w:fldChar w:fldCharType="separate"/>
    </w:r>
    <w:r w:rsidR="00761936">
      <w:rPr>
        <w:noProof/>
      </w:rPr>
      <w:t>30</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E" w:rsidRDefault="006A4DF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6592"/>
    <w:multiLevelType w:val="hybridMultilevel"/>
    <w:tmpl w:val="51024A7A"/>
    <w:lvl w:ilvl="0" w:tplc="A02A0A80">
      <w:start w:val="1"/>
      <w:numFmt w:val="decimal"/>
      <w:lvlText w:val="(%1)"/>
      <w:lvlJc w:val="left"/>
      <w:pPr>
        <w:ind w:left="1418" w:hanging="567"/>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027B452E"/>
    <w:multiLevelType w:val="hybridMultilevel"/>
    <w:tmpl w:val="EC7E2074"/>
    <w:lvl w:ilvl="0" w:tplc="56F67536">
      <w:start w:val="1"/>
      <w:numFmt w:val="lowerLetter"/>
      <w:lvlText w:val="(%1)"/>
      <w:lvlJc w:val="left"/>
      <w:pPr>
        <w:ind w:left="1097" w:hanging="360"/>
      </w:pPr>
      <w:rPr>
        <w:rFonts w:ascii="Times New Roman" w:eastAsia="Batang" w:hAnsi="Times New Roman" w:cs="Times New Roman"/>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6AB07AB"/>
    <w:multiLevelType w:val="multilevel"/>
    <w:tmpl w:val="D79C206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07271AC8"/>
    <w:multiLevelType w:val="hybridMultilevel"/>
    <w:tmpl w:val="51443896"/>
    <w:lvl w:ilvl="0" w:tplc="19262350">
      <w:start w:val="1"/>
      <w:numFmt w:val="lowerLetter"/>
      <w:lvlText w:val="(%1)"/>
      <w:lvlJc w:val="left"/>
      <w:pPr>
        <w:ind w:left="1985" w:hanging="567"/>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095B11AB"/>
    <w:multiLevelType w:val="hybridMultilevel"/>
    <w:tmpl w:val="A04E3800"/>
    <w:lvl w:ilvl="0" w:tplc="001EB9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353796D"/>
    <w:multiLevelType w:val="hybridMultilevel"/>
    <w:tmpl w:val="FE28DC36"/>
    <w:lvl w:ilvl="0" w:tplc="A51C9404">
      <w:start w:val="1"/>
      <w:numFmt w:val="lowerLetter"/>
      <w:lvlText w:val="(%1)"/>
      <w:lvlJc w:val="left"/>
      <w:pPr>
        <w:ind w:left="1097" w:hanging="360"/>
      </w:pPr>
      <w:rPr>
        <w:rFonts w:ascii="Times New Roman" w:eastAsia="Batang" w:hAnsi="Times New Roman" w:cs="Times New Roman"/>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18BB7F0E"/>
    <w:multiLevelType w:val="hybridMultilevel"/>
    <w:tmpl w:val="1A06C2F0"/>
    <w:lvl w:ilvl="0" w:tplc="E130B214">
      <w:start w:val="1"/>
      <w:numFmt w:val="lowerLetter"/>
      <w:lvlText w:val="(%1)"/>
      <w:lvlJc w:val="left"/>
      <w:pPr>
        <w:ind w:left="1772" w:hanging="360"/>
      </w:pPr>
      <w:rPr>
        <w:rFonts w:hint="default"/>
      </w:rPr>
    </w:lvl>
    <w:lvl w:ilvl="1" w:tplc="0C090019" w:tentative="1">
      <w:start w:val="1"/>
      <w:numFmt w:val="lowerLetter"/>
      <w:lvlText w:val="%2."/>
      <w:lvlJc w:val="left"/>
      <w:pPr>
        <w:ind w:left="2492" w:hanging="360"/>
      </w:pPr>
    </w:lvl>
    <w:lvl w:ilvl="2" w:tplc="0C09001B" w:tentative="1">
      <w:start w:val="1"/>
      <w:numFmt w:val="lowerRoman"/>
      <w:lvlText w:val="%3."/>
      <w:lvlJc w:val="right"/>
      <w:pPr>
        <w:ind w:left="3212" w:hanging="180"/>
      </w:pPr>
    </w:lvl>
    <w:lvl w:ilvl="3" w:tplc="0C09000F" w:tentative="1">
      <w:start w:val="1"/>
      <w:numFmt w:val="decimal"/>
      <w:lvlText w:val="%4."/>
      <w:lvlJc w:val="left"/>
      <w:pPr>
        <w:ind w:left="3932" w:hanging="360"/>
      </w:pPr>
    </w:lvl>
    <w:lvl w:ilvl="4" w:tplc="0C090019" w:tentative="1">
      <w:start w:val="1"/>
      <w:numFmt w:val="lowerLetter"/>
      <w:lvlText w:val="%5."/>
      <w:lvlJc w:val="left"/>
      <w:pPr>
        <w:ind w:left="4652" w:hanging="360"/>
      </w:pPr>
    </w:lvl>
    <w:lvl w:ilvl="5" w:tplc="0C09001B" w:tentative="1">
      <w:start w:val="1"/>
      <w:numFmt w:val="lowerRoman"/>
      <w:lvlText w:val="%6."/>
      <w:lvlJc w:val="right"/>
      <w:pPr>
        <w:ind w:left="5372" w:hanging="180"/>
      </w:pPr>
    </w:lvl>
    <w:lvl w:ilvl="6" w:tplc="0C09000F" w:tentative="1">
      <w:start w:val="1"/>
      <w:numFmt w:val="decimal"/>
      <w:lvlText w:val="%7."/>
      <w:lvlJc w:val="left"/>
      <w:pPr>
        <w:ind w:left="6092" w:hanging="360"/>
      </w:pPr>
    </w:lvl>
    <w:lvl w:ilvl="7" w:tplc="0C090019" w:tentative="1">
      <w:start w:val="1"/>
      <w:numFmt w:val="lowerLetter"/>
      <w:lvlText w:val="%8."/>
      <w:lvlJc w:val="left"/>
      <w:pPr>
        <w:ind w:left="6812" w:hanging="360"/>
      </w:pPr>
    </w:lvl>
    <w:lvl w:ilvl="8" w:tplc="0C09001B" w:tentative="1">
      <w:start w:val="1"/>
      <w:numFmt w:val="lowerRoman"/>
      <w:lvlText w:val="%9."/>
      <w:lvlJc w:val="right"/>
      <w:pPr>
        <w:ind w:left="7532" w:hanging="180"/>
      </w:pPr>
    </w:lvl>
  </w:abstractNum>
  <w:abstractNum w:abstractNumId="19">
    <w:nsid w:val="22416319"/>
    <w:multiLevelType w:val="multilevel"/>
    <w:tmpl w:val="4F4A397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0">
    <w:nsid w:val="24586DD7"/>
    <w:multiLevelType w:val="multilevel"/>
    <w:tmpl w:val="62002F3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1">
    <w:nsid w:val="2511306B"/>
    <w:multiLevelType w:val="hybridMultilevel"/>
    <w:tmpl w:val="47A85D42"/>
    <w:lvl w:ilvl="0" w:tplc="B008BF9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66476CD"/>
    <w:multiLevelType w:val="hybridMultilevel"/>
    <w:tmpl w:val="D55CAFE6"/>
    <w:lvl w:ilvl="0" w:tplc="662C1B9E">
      <w:start w:val="2"/>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3">
    <w:nsid w:val="29AE3DD1"/>
    <w:multiLevelType w:val="singleLevel"/>
    <w:tmpl w:val="3BE64E64"/>
    <w:lvl w:ilvl="0">
      <w:start w:val="1"/>
      <w:numFmt w:val="decimal"/>
      <w:lvlRestart w:val="0"/>
      <w:pStyle w:val="ParaNumbering"/>
      <w:lvlText w:val="%1"/>
      <w:lvlJc w:val="left"/>
      <w:pPr>
        <w:tabs>
          <w:tab w:val="num" w:pos="720"/>
        </w:tabs>
        <w:ind w:left="0" w:hanging="720"/>
      </w:pPr>
      <w:rPr>
        <w:rFonts w:hint="default"/>
        <w:sz w:val="20"/>
      </w:rPr>
    </w:lvl>
  </w:abstractNum>
  <w:abstractNum w:abstractNumId="24">
    <w:nsid w:val="2E995669"/>
    <w:multiLevelType w:val="hybridMultilevel"/>
    <w:tmpl w:val="A4B890CC"/>
    <w:lvl w:ilvl="0" w:tplc="171CD9B6">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FAF022C"/>
    <w:multiLevelType w:val="hybridMultilevel"/>
    <w:tmpl w:val="0AC6BE6E"/>
    <w:lvl w:ilvl="0" w:tplc="077EC9D4">
      <w:start w:val="1"/>
      <w:numFmt w:val="lowerLetter"/>
      <w:lvlText w:val="(%1)"/>
      <w:lvlJc w:val="left"/>
      <w:pPr>
        <w:ind w:left="1791" w:hanging="360"/>
      </w:pPr>
      <w:rPr>
        <w:rFonts w:hint="default"/>
      </w:r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17989AFC">
      <w:start w:val="1"/>
      <w:numFmt w:val="lowerLetter"/>
      <w:lvlText w:val="(%4)"/>
      <w:lvlJc w:val="left"/>
      <w:pPr>
        <w:ind w:left="1495" w:hanging="360"/>
      </w:pPr>
      <w:rPr>
        <w:rFonts w:hint="default"/>
      </w:rPr>
    </w:lvl>
    <w:lvl w:ilvl="4" w:tplc="19262350">
      <w:start w:val="1"/>
      <w:numFmt w:val="lowerLetter"/>
      <w:lvlText w:val="(%5)"/>
      <w:lvlJc w:val="left"/>
      <w:pPr>
        <w:ind w:left="1418" w:hanging="567"/>
      </w:pPr>
      <w:rPr>
        <w:rFonts w:hint="default"/>
      </w:r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26">
    <w:nsid w:val="32ED665E"/>
    <w:multiLevelType w:val="multilevel"/>
    <w:tmpl w:val="FF6EC19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7">
    <w:nsid w:val="33630A1B"/>
    <w:multiLevelType w:val="multilevel"/>
    <w:tmpl w:val="13A877E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337D789B"/>
    <w:multiLevelType w:val="hybridMultilevel"/>
    <w:tmpl w:val="B5FC236A"/>
    <w:lvl w:ilvl="0" w:tplc="89F02D0E">
      <w:start w:val="1"/>
      <w:numFmt w:val="decimal"/>
      <w:lvlText w:val="(%1)"/>
      <w:lvlJc w:val="left"/>
      <w:pPr>
        <w:ind w:left="1202" w:hanging="360"/>
      </w:pPr>
      <w:rPr>
        <w:rFonts w:hint="default"/>
      </w:rPr>
    </w:lvl>
    <w:lvl w:ilvl="1" w:tplc="0C090019" w:tentative="1">
      <w:start w:val="1"/>
      <w:numFmt w:val="lowerLetter"/>
      <w:lvlText w:val="%2."/>
      <w:lvlJc w:val="left"/>
      <w:pPr>
        <w:ind w:left="1922" w:hanging="360"/>
      </w:pPr>
    </w:lvl>
    <w:lvl w:ilvl="2" w:tplc="0C09001B" w:tentative="1">
      <w:start w:val="1"/>
      <w:numFmt w:val="lowerRoman"/>
      <w:lvlText w:val="%3."/>
      <w:lvlJc w:val="right"/>
      <w:pPr>
        <w:ind w:left="2642" w:hanging="180"/>
      </w:pPr>
    </w:lvl>
    <w:lvl w:ilvl="3" w:tplc="0C09000F" w:tentative="1">
      <w:start w:val="1"/>
      <w:numFmt w:val="decimal"/>
      <w:lvlText w:val="%4."/>
      <w:lvlJc w:val="left"/>
      <w:pPr>
        <w:ind w:left="3362" w:hanging="360"/>
      </w:pPr>
    </w:lvl>
    <w:lvl w:ilvl="4" w:tplc="0C090019" w:tentative="1">
      <w:start w:val="1"/>
      <w:numFmt w:val="lowerLetter"/>
      <w:lvlText w:val="%5."/>
      <w:lvlJc w:val="left"/>
      <w:pPr>
        <w:ind w:left="4082" w:hanging="360"/>
      </w:pPr>
    </w:lvl>
    <w:lvl w:ilvl="5" w:tplc="0C09001B" w:tentative="1">
      <w:start w:val="1"/>
      <w:numFmt w:val="lowerRoman"/>
      <w:lvlText w:val="%6."/>
      <w:lvlJc w:val="right"/>
      <w:pPr>
        <w:ind w:left="4802" w:hanging="180"/>
      </w:pPr>
    </w:lvl>
    <w:lvl w:ilvl="6" w:tplc="0C09000F" w:tentative="1">
      <w:start w:val="1"/>
      <w:numFmt w:val="decimal"/>
      <w:lvlText w:val="%7."/>
      <w:lvlJc w:val="left"/>
      <w:pPr>
        <w:ind w:left="5522" w:hanging="360"/>
      </w:pPr>
    </w:lvl>
    <w:lvl w:ilvl="7" w:tplc="0C090019" w:tentative="1">
      <w:start w:val="1"/>
      <w:numFmt w:val="lowerLetter"/>
      <w:lvlText w:val="%8."/>
      <w:lvlJc w:val="left"/>
      <w:pPr>
        <w:ind w:left="6242" w:hanging="360"/>
      </w:pPr>
    </w:lvl>
    <w:lvl w:ilvl="8" w:tplc="0C09001B" w:tentative="1">
      <w:start w:val="1"/>
      <w:numFmt w:val="lowerRoman"/>
      <w:lvlText w:val="%9."/>
      <w:lvlJc w:val="right"/>
      <w:pPr>
        <w:ind w:left="6962" w:hanging="180"/>
      </w:pPr>
    </w:lvl>
  </w:abstractNum>
  <w:abstractNum w:abstractNumId="29">
    <w:nsid w:val="45C01D1E"/>
    <w:multiLevelType w:val="multilevel"/>
    <w:tmpl w:val="3474D36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460B516B"/>
    <w:multiLevelType w:val="hybridMultilevel"/>
    <w:tmpl w:val="EF88E7B0"/>
    <w:lvl w:ilvl="0" w:tplc="997CA4C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59665F23"/>
    <w:multiLevelType w:val="hybridMultilevel"/>
    <w:tmpl w:val="B47EB5C6"/>
    <w:lvl w:ilvl="0" w:tplc="22B86B8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nsid w:val="63BB3CAC"/>
    <w:multiLevelType w:val="hybridMultilevel"/>
    <w:tmpl w:val="173CCD56"/>
    <w:lvl w:ilvl="0" w:tplc="997CA4C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6FDE667E"/>
    <w:multiLevelType w:val="multilevel"/>
    <w:tmpl w:val="4A7E2AE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1">
    <w:nsid w:val="7D1F5274"/>
    <w:multiLevelType w:val="multilevel"/>
    <w:tmpl w:val="434E987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num w:numId="1">
    <w:abstractNumId w:val="23"/>
  </w:num>
  <w:num w:numId="2">
    <w:abstractNumId w:val="3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39"/>
  </w:num>
  <w:num w:numId="17">
    <w:abstractNumId w:val="27"/>
  </w:num>
  <w:num w:numId="18">
    <w:abstractNumId w:val="27"/>
  </w:num>
  <w:num w:numId="19">
    <w:abstractNumId w:val="37"/>
  </w:num>
  <w:num w:numId="20">
    <w:abstractNumId w:val="32"/>
  </w:num>
  <w:num w:numId="21">
    <w:abstractNumId w:val="33"/>
  </w:num>
  <w:num w:numId="22">
    <w:abstractNumId w:val="40"/>
  </w:num>
  <w:num w:numId="23">
    <w:abstractNumId w:val="40"/>
  </w:num>
  <w:num w:numId="24">
    <w:abstractNumId w:val="40"/>
  </w:num>
  <w:num w:numId="25">
    <w:abstractNumId w:val="40"/>
  </w:num>
  <w:num w:numId="26">
    <w:abstractNumId w:val="40"/>
  </w:num>
  <w:num w:numId="27">
    <w:abstractNumId w:val="41"/>
  </w:num>
  <w:num w:numId="28">
    <w:abstractNumId w:val="21"/>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9"/>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2">
    <w:abstractNumId w:val="29"/>
  </w:num>
  <w:num w:numId="33">
    <w:abstractNumId w:val="28"/>
  </w:num>
  <w:num w:numId="34">
    <w:abstractNumId w:val="19"/>
  </w:num>
  <w:num w:numId="35">
    <w:abstractNumId w:val="38"/>
  </w:num>
  <w:num w:numId="36">
    <w:abstractNumId w:val="36"/>
  </w:num>
  <w:num w:numId="37">
    <w:abstractNumId w:val="30"/>
  </w:num>
  <w:num w:numId="38">
    <w:abstractNumId w:val="15"/>
  </w:num>
  <w:num w:numId="39">
    <w:abstractNumId w:val="12"/>
  </w:num>
  <w:num w:numId="40">
    <w:abstractNumId w:val="14"/>
  </w:num>
  <w:num w:numId="41">
    <w:abstractNumId w:val="26"/>
  </w:num>
  <w:num w:numId="42">
    <w:abstractNumId w:val="24"/>
  </w:num>
  <w:num w:numId="43">
    <w:abstractNumId w:val="22"/>
  </w:num>
  <w:num w:numId="44">
    <w:abstractNumId w:val="18"/>
  </w:num>
  <w:num w:numId="45">
    <w:abstractNumId w:val="35"/>
  </w:num>
  <w:num w:numId="46">
    <w:abstractNumId w:val="23"/>
    <w:lvlOverride w:ilvl="0">
      <w:startOverride w:val="1"/>
    </w:lvlOverride>
  </w:num>
  <w:num w:numId="47">
    <w:abstractNumId w:val="25"/>
  </w:num>
  <w:num w:numId="48">
    <w:abstractNumId w:val="10"/>
  </w:num>
  <w:num w:numId="49">
    <w:abstractNumId w:val="13"/>
  </w:num>
  <w:num w:numId="5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Federal Court"/>
    <w:docVar w:name="Applicant" w:val="National Retail Association"/>
    <w:docVar w:name="CounselParties" w:val="Respondent"/>
    <w:docVar w:name="CounselType" w:val="Solicitor for the "/>
    <w:docVar w:name="Division" w:val="FAIR WORK DIVISION"/>
    <w:docVar w:name="DocCreated" w:val="True"/>
    <w:docVar w:name="FileNumbers" w:val="QUD 140 of 2014"/>
    <w:docVar w:name="FullCourt" w:val="True"/>
    <w:docVar w:name="HearingDate" w:val="## 2014"/>
    <w:docVar w:name="Judgdate" w:val="## 2014"/>
    <w:docVar w:name="Judge" w:val="Collier, Bromberg and Katzmann"/>
    <w:docVar w:name="JudgePlace" w:val="BRISBANE"/>
    <w:docVar w:name="lstEntryList" w:val="-1"/>
    <w:docVar w:name="myEntryList" w:val="Counsel for the Applicant=|Solicitor for the Applicant=|Counsel for the First Respondent=|Solicitor for the First Respondent=|Counsel for the Second Respondent=|Solicitor for the Second Respondent="/>
    <w:docVar w:name="NSD" w:val="NSD QUD 140 of 2014"/>
    <w:docVar w:name="NumApps" w:val="2"/>
    <w:docVar w:name="NumApps_" w:val="2"/>
    <w:docVar w:name="NumJudges" w:val="Full Court"/>
    <w:docVar w:name="Parties" w:val="Respondent"/>
    <w:docVar w:name="Place_SentenceCase" w:val="Brisbane"/>
    <w:docVar w:name="Respondent" w:val="Fair Work Commission|Shop, Distributive &amp; Allied Employees Association"/>
    <w:docVar w:name="ResState" w:val="QUEENSLAND"/>
    <w:docVar w:name="Single" w:val="False"/>
  </w:docVars>
  <w:rsids>
    <w:rsidRoot w:val="00E052D0"/>
    <w:rsid w:val="00000DD2"/>
    <w:rsid w:val="000069F1"/>
    <w:rsid w:val="00012C95"/>
    <w:rsid w:val="00012D27"/>
    <w:rsid w:val="000139A4"/>
    <w:rsid w:val="00014047"/>
    <w:rsid w:val="0001594C"/>
    <w:rsid w:val="00021404"/>
    <w:rsid w:val="000229BD"/>
    <w:rsid w:val="0002458E"/>
    <w:rsid w:val="0002515C"/>
    <w:rsid w:val="00027F18"/>
    <w:rsid w:val="00033FAA"/>
    <w:rsid w:val="0004400B"/>
    <w:rsid w:val="00051AA1"/>
    <w:rsid w:val="00056515"/>
    <w:rsid w:val="00061CD3"/>
    <w:rsid w:val="0006396E"/>
    <w:rsid w:val="00075902"/>
    <w:rsid w:val="00076179"/>
    <w:rsid w:val="00082127"/>
    <w:rsid w:val="00091917"/>
    <w:rsid w:val="000A2A3E"/>
    <w:rsid w:val="000A534C"/>
    <w:rsid w:val="000D70DC"/>
    <w:rsid w:val="000D7BCD"/>
    <w:rsid w:val="000E54CA"/>
    <w:rsid w:val="000F3265"/>
    <w:rsid w:val="00104B85"/>
    <w:rsid w:val="001150A0"/>
    <w:rsid w:val="00121AA4"/>
    <w:rsid w:val="00131A2B"/>
    <w:rsid w:val="00131ECB"/>
    <w:rsid w:val="00133592"/>
    <w:rsid w:val="00133919"/>
    <w:rsid w:val="00133BCC"/>
    <w:rsid w:val="00136310"/>
    <w:rsid w:val="00140A05"/>
    <w:rsid w:val="00141C29"/>
    <w:rsid w:val="00155DC9"/>
    <w:rsid w:val="00161ADE"/>
    <w:rsid w:val="00171480"/>
    <w:rsid w:val="00172B2D"/>
    <w:rsid w:val="0018315C"/>
    <w:rsid w:val="00185743"/>
    <w:rsid w:val="00192166"/>
    <w:rsid w:val="001A6C73"/>
    <w:rsid w:val="001B24E8"/>
    <w:rsid w:val="001B2FE8"/>
    <w:rsid w:val="001B721F"/>
    <w:rsid w:val="001C01BB"/>
    <w:rsid w:val="001C5AB6"/>
    <w:rsid w:val="001C7D7F"/>
    <w:rsid w:val="001D2669"/>
    <w:rsid w:val="001D4E8E"/>
    <w:rsid w:val="001D5C22"/>
    <w:rsid w:val="001E79BF"/>
    <w:rsid w:val="002045EE"/>
    <w:rsid w:val="002071C1"/>
    <w:rsid w:val="002078AC"/>
    <w:rsid w:val="00210234"/>
    <w:rsid w:val="00225113"/>
    <w:rsid w:val="002331CC"/>
    <w:rsid w:val="002363F0"/>
    <w:rsid w:val="002476E8"/>
    <w:rsid w:val="00250D20"/>
    <w:rsid w:val="00252DFA"/>
    <w:rsid w:val="0026725B"/>
    <w:rsid w:val="002767CF"/>
    <w:rsid w:val="002A3943"/>
    <w:rsid w:val="002A7F43"/>
    <w:rsid w:val="002A7FEE"/>
    <w:rsid w:val="002C0DB9"/>
    <w:rsid w:val="002C291B"/>
    <w:rsid w:val="002D694A"/>
    <w:rsid w:val="002F114F"/>
    <w:rsid w:val="002F7ABA"/>
    <w:rsid w:val="002F7D39"/>
    <w:rsid w:val="003019D1"/>
    <w:rsid w:val="0030274F"/>
    <w:rsid w:val="00303EAB"/>
    <w:rsid w:val="00304227"/>
    <w:rsid w:val="00306FBA"/>
    <w:rsid w:val="00320661"/>
    <w:rsid w:val="00331155"/>
    <w:rsid w:val="00331CC1"/>
    <w:rsid w:val="00334E67"/>
    <w:rsid w:val="00343DE0"/>
    <w:rsid w:val="003507FE"/>
    <w:rsid w:val="0035434A"/>
    <w:rsid w:val="00364FB5"/>
    <w:rsid w:val="003654C9"/>
    <w:rsid w:val="0036772B"/>
    <w:rsid w:val="0037170E"/>
    <w:rsid w:val="0037523D"/>
    <w:rsid w:val="00375C9F"/>
    <w:rsid w:val="003771D1"/>
    <w:rsid w:val="003A3A3C"/>
    <w:rsid w:val="003B5E17"/>
    <w:rsid w:val="003B7397"/>
    <w:rsid w:val="003C2B0C"/>
    <w:rsid w:val="003C3CCF"/>
    <w:rsid w:val="003C3FE5"/>
    <w:rsid w:val="003C46A6"/>
    <w:rsid w:val="003C6104"/>
    <w:rsid w:val="003D4C4B"/>
    <w:rsid w:val="003D65B4"/>
    <w:rsid w:val="003E664A"/>
    <w:rsid w:val="003F43E1"/>
    <w:rsid w:val="003F50D1"/>
    <w:rsid w:val="003F6012"/>
    <w:rsid w:val="00402075"/>
    <w:rsid w:val="00403D68"/>
    <w:rsid w:val="004170C4"/>
    <w:rsid w:val="00420EC7"/>
    <w:rsid w:val="00426B0D"/>
    <w:rsid w:val="00430469"/>
    <w:rsid w:val="0043186E"/>
    <w:rsid w:val="00461062"/>
    <w:rsid w:val="004655B7"/>
    <w:rsid w:val="00465940"/>
    <w:rsid w:val="00476243"/>
    <w:rsid w:val="00487BC4"/>
    <w:rsid w:val="0049014F"/>
    <w:rsid w:val="00495ECD"/>
    <w:rsid w:val="004A0806"/>
    <w:rsid w:val="004A2F95"/>
    <w:rsid w:val="004A705E"/>
    <w:rsid w:val="004A76AA"/>
    <w:rsid w:val="004B156C"/>
    <w:rsid w:val="004C3757"/>
    <w:rsid w:val="004C3CBE"/>
    <w:rsid w:val="004C6EE4"/>
    <w:rsid w:val="004D202E"/>
    <w:rsid w:val="004D2E22"/>
    <w:rsid w:val="004D33AE"/>
    <w:rsid w:val="004D4197"/>
    <w:rsid w:val="004E4FC3"/>
    <w:rsid w:val="004E6958"/>
    <w:rsid w:val="005013AC"/>
    <w:rsid w:val="00502C56"/>
    <w:rsid w:val="00505628"/>
    <w:rsid w:val="005201E4"/>
    <w:rsid w:val="00520429"/>
    <w:rsid w:val="0052173A"/>
    <w:rsid w:val="00527CB8"/>
    <w:rsid w:val="0053010C"/>
    <w:rsid w:val="0053613C"/>
    <w:rsid w:val="00536C6D"/>
    <w:rsid w:val="00536CE4"/>
    <w:rsid w:val="00537FAA"/>
    <w:rsid w:val="00547A70"/>
    <w:rsid w:val="00550E08"/>
    <w:rsid w:val="00553610"/>
    <w:rsid w:val="00553A74"/>
    <w:rsid w:val="00555687"/>
    <w:rsid w:val="00565EC0"/>
    <w:rsid w:val="005735EA"/>
    <w:rsid w:val="0058236C"/>
    <w:rsid w:val="00584265"/>
    <w:rsid w:val="00586EBC"/>
    <w:rsid w:val="0058757E"/>
    <w:rsid w:val="005918A0"/>
    <w:rsid w:val="005953C7"/>
    <w:rsid w:val="005B638B"/>
    <w:rsid w:val="005C30D1"/>
    <w:rsid w:val="005C71B6"/>
    <w:rsid w:val="005D2039"/>
    <w:rsid w:val="005D3531"/>
    <w:rsid w:val="005D51FB"/>
    <w:rsid w:val="005D56C0"/>
    <w:rsid w:val="005E2B81"/>
    <w:rsid w:val="005F1513"/>
    <w:rsid w:val="005F2301"/>
    <w:rsid w:val="00603378"/>
    <w:rsid w:val="006046AA"/>
    <w:rsid w:val="00604B3F"/>
    <w:rsid w:val="006156AB"/>
    <w:rsid w:val="0061723A"/>
    <w:rsid w:val="006204A7"/>
    <w:rsid w:val="00626F71"/>
    <w:rsid w:val="00630C2D"/>
    <w:rsid w:val="006543F5"/>
    <w:rsid w:val="006570F9"/>
    <w:rsid w:val="00670D86"/>
    <w:rsid w:val="0067466A"/>
    <w:rsid w:val="0067487B"/>
    <w:rsid w:val="006751C4"/>
    <w:rsid w:val="006843E9"/>
    <w:rsid w:val="006855C7"/>
    <w:rsid w:val="006A4DFE"/>
    <w:rsid w:val="006A53A1"/>
    <w:rsid w:val="006A7C52"/>
    <w:rsid w:val="006B02D2"/>
    <w:rsid w:val="006B2854"/>
    <w:rsid w:val="006B7087"/>
    <w:rsid w:val="006C5262"/>
    <w:rsid w:val="006D149F"/>
    <w:rsid w:val="006D4BA3"/>
    <w:rsid w:val="006D52F4"/>
    <w:rsid w:val="006F381A"/>
    <w:rsid w:val="00710BC3"/>
    <w:rsid w:val="00711ADF"/>
    <w:rsid w:val="00715234"/>
    <w:rsid w:val="007178CF"/>
    <w:rsid w:val="00720CE7"/>
    <w:rsid w:val="007237EE"/>
    <w:rsid w:val="007261FA"/>
    <w:rsid w:val="00730DC8"/>
    <w:rsid w:val="007431DD"/>
    <w:rsid w:val="00743850"/>
    <w:rsid w:val="00750469"/>
    <w:rsid w:val="00761936"/>
    <w:rsid w:val="00784247"/>
    <w:rsid w:val="00791B23"/>
    <w:rsid w:val="007929A3"/>
    <w:rsid w:val="0079519C"/>
    <w:rsid w:val="007A1AD9"/>
    <w:rsid w:val="007A464A"/>
    <w:rsid w:val="007B2F27"/>
    <w:rsid w:val="007B3A0C"/>
    <w:rsid w:val="007C36A3"/>
    <w:rsid w:val="007C4BCF"/>
    <w:rsid w:val="007C5682"/>
    <w:rsid w:val="007D37C9"/>
    <w:rsid w:val="007D3AC9"/>
    <w:rsid w:val="007D4082"/>
    <w:rsid w:val="007E23A6"/>
    <w:rsid w:val="007E3681"/>
    <w:rsid w:val="007E7B19"/>
    <w:rsid w:val="007F6876"/>
    <w:rsid w:val="007F7C6D"/>
    <w:rsid w:val="00804B53"/>
    <w:rsid w:val="00815A21"/>
    <w:rsid w:val="008168ED"/>
    <w:rsid w:val="008217EE"/>
    <w:rsid w:val="00823B27"/>
    <w:rsid w:val="00836664"/>
    <w:rsid w:val="00840667"/>
    <w:rsid w:val="00841739"/>
    <w:rsid w:val="00843C8C"/>
    <w:rsid w:val="00852EDE"/>
    <w:rsid w:val="00856035"/>
    <w:rsid w:val="00860852"/>
    <w:rsid w:val="00872073"/>
    <w:rsid w:val="0087421B"/>
    <w:rsid w:val="0087701B"/>
    <w:rsid w:val="008804A6"/>
    <w:rsid w:val="00883474"/>
    <w:rsid w:val="0088387A"/>
    <w:rsid w:val="008923B0"/>
    <w:rsid w:val="00893063"/>
    <w:rsid w:val="008975AA"/>
    <w:rsid w:val="008A039F"/>
    <w:rsid w:val="008A5B24"/>
    <w:rsid w:val="008B10A1"/>
    <w:rsid w:val="008B4D57"/>
    <w:rsid w:val="008E4505"/>
    <w:rsid w:val="008E4F5D"/>
    <w:rsid w:val="008E52B8"/>
    <w:rsid w:val="008E57ED"/>
    <w:rsid w:val="008F29BF"/>
    <w:rsid w:val="008F60F6"/>
    <w:rsid w:val="008F7B7D"/>
    <w:rsid w:val="008F7C79"/>
    <w:rsid w:val="00907F67"/>
    <w:rsid w:val="00915789"/>
    <w:rsid w:val="009159B0"/>
    <w:rsid w:val="009216DF"/>
    <w:rsid w:val="00927DA2"/>
    <w:rsid w:val="009444C1"/>
    <w:rsid w:val="009448B0"/>
    <w:rsid w:val="00944BBE"/>
    <w:rsid w:val="0094783D"/>
    <w:rsid w:val="009555E6"/>
    <w:rsid w:val="00960D3E"/>
    <w:rsid w:val="00962B95"/>
    <w:rsid w:val="00963F5D"/>
    <w:rsid w:val="0096490B"/>
    <w:rsid w:val="00965ED3"/>
    <w:rsid w:val="00966DE3"/>
    <w:rsid w:val="00967F43"/>
    <w:rsid w:val="00973A5A"/>
    <w:rsid w:val="00975FB7"/>
    <w:rsid w:val="009844AD"/>
    <w:rsid w:val="009936D1"/>
    <w:rsid w:val="00993DF1"/>
    <w:rsid w:val="0099473D"/>
    <w:rsid w:val="009A2C5F"/>
    <w:rsid w:val="009A6DAF"/>
    <w:rsid w:val="009B0F2C"/>
    <w:rsid w:val="009B2C1C"/>
    <w:rsid w:val="009C28BE"/>
    <w:rsid w:val="009C6A3E"/>
    <w:rsid w:val="009C7DDB"/>
    <w:rsid w:val="009D35FF"/>
    <w:rsid w:val="009D45D0"/>
    <w:rsid w:val="009F2F16"/>
    <w:rsid w:val="00A017CA"/>
    <w:rsid w:val="00A0604C"/>
    <w:rsid w:val="00A063A9"/>
    <w:rsid w:val="00A1192F"/>
    <w:rsid w:val="00A12B26"/>
    <w:rsid w:val="00A14715"/>
    <w:rsid w:val="00A2231D"/>
    <w:rsid w:val="00A22C73"/>
    <w:rsid w:val="00A244C6"/>
    <w:rsid w:val="00A25C05"/>
    <w:rsid w:val="00A3534E"/>
    <w:rsid w:val="00A35A68"/>
    <w:rsid w:val="00A409FE"/>
    <w:rsid w:val="00A477FE"/>
    <w:rsid w:val="00A55269"/>
    <w:rsid w:val="00A62A90"/>
    <w:rsid w:val="00A639DC"/>
    <w:rsid w:val="00A64CA4"/>
    <w:rsid w:val="00A64E73"/>
    <w:rsid w:val="00A7230E"/>
    <w:rsid w:val="00A834DF"/>
    <w:rsid w:val="00A83C1E"/>
    <w:rsid w:val="00A9136E"/>
    <w:rsid w:val="00A95339"/>
    <w:rsid w:val="00AA1145"/>
    <w:rsid w:val="00AA3882"/>
    <w:rsid w:val="00AA38BE"/>
    <w:rsid w:val="00AA3E33"/>
    <w:rsid w:val="00AA5C76"/>
    <w:rsid w:val="00AA5D49"/>
    <w:rsid w:val="00AB16F4"/>
    <w:rsid w:val="00AB1A0E"/>
    <w:rsid w:val="00AB6282"/>
    <w:rsid w:val="00AC0892"/>
    <w:rsid w:val="00AC43CE"/>
    <w:rsid w:val="00AD269B"/>
    <w:rsid w:val="00AD2E19"/>
    <w:rsid w:val="00AD2FEF"/>
    <w:rsid w:val="00AD669B"/>
    <w:rsid w:val="00AE0700"/>
    <w:rsid w:val="00AE68E5"/>
    <w:rsid w:val="00AF022C"/>
    <w:rsid w:val="00AF60C7"/>
    <w:rsid w:val="00B00072"/>
    <w:rsid w:val="00B00277"/>
    <w:rsid w:val="00B0099F"/>
    <w:rsid w:val="00B03EEF"/>
    <w:rsid w:val="00B05E44"/>
    <w:rsid w:val="00B17D47"/>
    <w:rsid w:val="00B2448D"/>
    <w:rsid w:val="00B2536E"/>
    <w:rsid w:val="00B25D2A"/>
    <w:rsid w:val="00B2734C"/>
    <w:rsid w:val="00B30120"/>
    <w:rsid w:val="00B324CC"/>
    <w:rsid w:val="00B32C6E"/>
    <w:rsid w:val="00B46CF3"/>
    <w:rsid w:val="00B601B7"/>
    <w:rsid w:val="00B610A5"/>
    <w:rsid w:val="00B7079D"/>
    <w:rsid w:val="00B8354B"/>
    <w:rsid w:val="00B86A4C"/>
    <w:rsid w:val="00B917A7"/>
    <w:rsid w:val="00B92145"/>
    <w:rsid w:val="00B92832"/>
    <w:rsid w:val="00B96279"/>
    <w:rsid w:val="00BA1C24"/>
    <w:rsid w:val="00BB12E3"/>
    <w:rsid w:val="00BB2523"/>
    <w:rsid w:val="00BB43BF"/>
    <w:rsid w:val="00BB6F32"/>
    <w:rsid w:val="00BD1F94"/>
    <w:rsid w:val="00BE28D5"/>
    <w:rsid w:val="00BE3448"/>
    <w:rsid w:val="00BE52F8"/>
    <w:rsid w:val="00BE6F34"/>
    <w:rsid w:val="00BF3684"/>
    <w:rsid w:val="00C03E19"/>
    <w:rsid w:val="00C05DE2"/>
    <w:rsid w:val="00C1338C"/>
    <w:rsid w:val="00C13673"/>
    <w:rsid w:val="00C13F89"/>
    <w:rsid w:val="00C15297"/>
    <w:rsid w:val="00C153FD"/>
    <w:rsid w:val="00C15B97"/>
    <w:rsid w:val="00C205EE"/>
    <w:rsid w:val="00C22864"/>
    <w:rsid w:val="00C22914"/>
    <w:rsid w:val="00C23D73"/>
    <w:rsid w:val="00C252A7"/>
    <w:rsid w:val="00C27A7E"/>
    <w:rsid w:val="00C31268"/>
    <w:rsid w:val="00C31459"/>
    <w:rsid w:val="00C334E6"/>
    <w:rsid w:val="00C45E8C"/>
    <w:rsid w:val="00C524F1"/>
    <w:rsid w:val="00C60985"/>
    <w:rsid w:val="00C709F4"/>
    <w:rsid w:val="00C730F8"/>
    <w:rsid w:val="00C7356F"/>
    <w:rsid w:val="00C807E7"/>
    <w:rsid w:val="00C8111B"/>
    <w:rsid w:val="00C84450"/>
    <w:rsid w:val="00C9527F"/>
    <w:rsid w:val="00C96A84"/>
    <w:rsid w:val="00C97267"/>
    <w:rsid w:val="00CA1432"/>
    <w:rsid w:val="00CA72D7"/>
    <w:rsid w:val="00CC6256"/>
    <w:rsid w:val="00CC77C6"/>
    <w:rsid w:val="00CD2B22"/>
    <w:rsid w:val="00CD3968"/>
    <w:rsid w:val="00CD4333"/>
    <w:rsid w:val="00CD574B"/>
    <w:rsid w:val="00CE2726"/>
    <w:rsid w:val="00CE75C1"/>
    <w:rsid w:val="00CF5C62"/>
    <w:rsid w:val="00CF6561"/>
    <w:rsid w:val="00D02E62"/>
    <w:rsid w:val="00D03235"/>
    <w:rsid w:val="00D078DB"/>
    <w:rsid w:val="00D07E73"/>
    <w:rsid w:val="00D23215"/>
    <w:rsid w:val="00D24A44"/>
    <w:rsid w:val="00D24B13"/>
    <w:rsid w:val="00D26F1E"/>
    <w:rsid w:val="00D3051F"/>
    <w:rsid w:val="00D305BF"/>
    <w:rsid w:val="00D32C1C"/>
    <w:rsid w:val="00D32F24"/>
    <w:rsid w:val="00D452EB"/>
    <w:rsid w:val="00D50147"/>
    <w:rsid w:val="00D5028F"/>
    <w:rsid w:val="00D52006"/>
    <w:rsid w:val="00D53324"/>
    <w:rsid w:val="00D5762A"/>
    <w:rsid w:val="00D63025"/>
    <w:rsid w:val="00D654CE"/>
    <w:rsid w:val="00D76C9A"/>
    <w:rsid w:val="00D81A49"/>
    <w:rsid w:val="00D85308"/>
    <w:rsid w:val="00D8616C"/>
    <w:rsid w:val="00D93DA8"/>
    <w:rsid w:val="00D94908"/>
    <w:rsid w:val="00DB0621"/>
    <w:rsid w:val="00DB612B"/>
    <w:rsid w:val="00DC3AE7"/>
    <w:rsid w:val="00DD4F0D"/>
    <w:rsid w:val="00DD7305"/>
    <w:rsid w:val="00DE2DCE"/>
    <w:rsid w:val="00DE4383"/>
    <w:rsid w:val="00DE5098"/>
    <w:rsid w:val="00DF36F3"/>
    <w:rsid w:val="00DF5E71"/>
    <w:rsid w:val="00E0153A"/>
    <w:rsid w:val="00E052D0"/>
    <w:rsid w:val="00E065DB"/>
    <w:rsid w:val="00E11C35"/>
    <w:rsid w:val="00E2716E"/>
    <w:rsid w:val="00E33A8F"/>
    <w:rsid w:val="00E371C5"/>
    <w:rsid w:val="00E413B8"/>
    <w:rsid w:val="00E445D2"/>
    <w:rsid w:val="00E45117"/>
    <w:rsid w:val="00E45565"/>
    <w:rsid w:val="00E477FA"/>
    <w:rsid w:val="00E52159"/>
    <w:rsid w:val="00E62A86"/>
    <w:rsid w:val="00E65FE8"/>
    <w:rsid w:val="00E70775"/>
    <w:rsid w:val="00E70865"/>
    <w:rsid w:val="00E7576F"/>
    <w:rsid w:val="00E768BF"/>
    <w:rsid w:val="00E8297C"/>
    <w:rsid w:val="00E83FED"/>
    <w:rsid w:val="00E86868"/>
    <w:rsid w:val="00EA12C1"/>
    <w:rsid w:val="00EA1FBE"/>
    <w:rsid w:val="00EA23AC"/>
    <w:rsid w:val="00EA35EF"/>
    <w:rsid w:val="00EA5C04"/>
    <w:rsid w:val="00EB084F"/>
    <w:rsid w:val="00EB1506"/>
    <w:rsid w:val="00EB28B5"/>
    <w:rsid w:val="00EB4387"/>
    <w:rsid w:val="00EB5A33"/>
    <w:rsid w:val="00EC62C4"/>
    <w:rsid w:val="00ED40A8"/>
    <w:rsid w:val="00EE430D"/>
    <w:rsid w:val="00EE7F4B"/>
    <w:rsid w:val="00EF19B5"/>
    <w:rsid w:val="00F11DEB"/>
    <w:rsid w:val="00F12A01"/>
    <w:rsid w:val="00F13857"/>
    <w:rsid w:val="00F15D22"/>
    <w:rsid w:val="00F175F5"/>
    <w:rsid w:val="00F2187A"/>
    <w:rsid w:val="00F31D60"/>
    <w:rsid w:val="00F53050"/>
    <w:rsid w:val="00F60460"/>
    <w:rsid w:val="00F67F88"/>
    <w:rsid w:val="00F70FD5"/>
    <w:rsid w:val="00F715B3"/>
    <w:rsid w:val="00F81815"/>
    <w:rsid w:val="00F81F68"/>
    <w:rsid w:val="00F83D11"/>
    <w:rsid w:val="00F83E77"/>
    <w:rsid w:val="00F85E0D"/>
    <w:rsid w:val="00F9336B"/>
    <w:rsid w:val="00FC3D0F"/>
    <w:rsid w:val="00FC43AD"/>
    <w:rsid w:val="00FD4DD9"/>
    <w:rsid w:val="00FD6083"/>
    <w:rsid w:val="00FE0C52"/>
    <w:rsid w:val="00FE311A"/>
    <w:rsid w:val="00FE4A7D"/>
    <w:rsid w:val="00FF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customStyle="1" w:styleId="subsection">
    <w:name w:val="subsection"/>
    <w:basedOn w:val="Normal"/>
    <w:rsid w:val="003E664A"/>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3E664A"/>
    <w:pPr>
      <w:spacing w:before="100" w:beforeAutospacing="1" w:after="100" w:afterAutospacing="1" w:line="240" w:lineRule="auto"/>
      <w:jc w:val="left"/>
    </w:pPr>
    <w:rPr>
      <w:rFonts w:eastAsia="Times New Roman"/>
      <w:szCs w:val="24"/>
      <w:lang w:eastAsia="en-AU"/>
    </w:rPr>
  </w:style>
  <w:style w:type="paragraph" w:customStyle="1" w:styleId="subsectionhead">
    <w:name w:val="subsectionhead"/>
    <w:basedOn w:val="Normal"/>
    <w:rsid w:val="003E664A"/>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D24B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503">
      <w:bodyDiv w:val="1"/>
      <w:marLeft w:val="0"/>
      <w:marRight w:val="0"/>
      <w:marTop w:val="0"/>
      <w:marBottom w:val="0"/>
      <w:divBdr>
        <w:top w:val="none" w:sz="0" w:space="0" w:color="auto"/>
        <w:left w:val="none" w:sz="0" w:space="0" w:color="auto"/>
        <w:bottom w:val="none" w:sz="0" w:space="0" w:color="auto"/>
        <w:right w:val="none" w:sz="0" w:space="0" w:color="auto"/>
      </w:divBdr>
    </w:div>
    <w:div w:id="428235788">
      <w:bodyDiv w:val="1"/>
      <w:marLeft w:val="0"/>
      <w:marRight w:val="0"/>
      <w:marTop w:val="0"/>
      <w:marBottom w:val="0"/>
      <w:divBdr>
        <w:top w:val="none" w:sz="0" w:space="0" w:color="auto"/>
        <w:left w:val="none" w:sz="0" w:space="0" w:color="auto"/>
        <w:bottom w:val="none" w:sz="0" w:space="0" w:color="auto"/>
        <w:right w:val="none" w:sz="0" w:space="0" w:color="auto"/>
      </w:divBdr>
    </w:div>
    <w:div w:id="790513278">
      <w:bodyDiv w:val="1"/>
      <w:marLeft w:val="0"/>
      <w:marRight w:val="0"/>
      <w:marTop w:val="0"/>
      <w:marBottom w:val="0"/>
      <w:divBdr>
        <w:top w:val="none" w:sz="0" w:space="0" w:color="auto"/>
        <w:left w:val="none" w:sz="0" w:space="0" w:color="auto"/>
        <w:bottom w:val="none" w:sz="0" w:space="0" w:color="auto"/>
        <w:right w:val="none" w:sz="0" w:space="0" w:color="auto"/>
      </w:divBdr>
    </w:div>
    <w:div w:id="1587765838">
      <w:bodyDiv w:val="1"/>
      <w:marLeft w:val="0"/>
      <w:marRight w:val="0"/>
      <w:marTop w:val="0"/>
      <w:marBottom w:val="0"/>
      <w:divBdr>
        <w:top w:val="none" w:sz="0" w:space="0" w:color="auto"/>
        <w:left w:val="none" w:sz="0" w:space="0" w:color="auto"/>
        <w:bottom w:val="none" w:sz="0" w:space="0" w:color="auto"/>
        <w:right w:val="none" w:sz="0" w:space="0" w:color="auto"/>
      </w:divBdr>
    </w:div>
    <w:div w:id="20824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AFDF-3666-4E9C-9634-0524291A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13419</Words>
  <Characters>63475</Characters>
  <Application>Microsoft Office Word</Application>
  <DocSecurity>0</DocSecurity>
  <Lines>1350</Lines>
  <Paragraphs>492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76402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Elizabeth Sotiriadis</dc:creator>
  <cp:lastModifiedBy>Craig Tudman</cp:lastModifiedBy>
  <cp:revision>3</cp:revision>
  <cp:lastPrinted>2014-09-10T00:34:00Z</cp:lastPrinted>
  <dcterms:created xsi:type="dcterms:W3CDTF">2014-09-11T02:56:00Z</dcterms:created>
  <dcterms:modified xsi:type="dcterms:W3CDTF">2014-09-11T03:02:00Z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BROMBERG AND KATZMANN JJ</vt:lpwstr>
  </property>
  <property fmtid="{D5CDD505-2E9C-101B-9397-08002B2CF9AE}" pid="4" name="Judgment_dated" linkTarget="Judgment_dated">
    <vt:lpwstr>11 September 2014</vt:lpwstr>
  </property>
  <property fmtid="{D5CDD505-2E9C-101B-9397-08002B2CF9AE}" pid="5" name="Distribution" linkTarget="Distribution">
    <vt:lpwstr>GENERAL DISTRIBUTION</vt:lpwstr>
  </property>
  <property fmtid="{D5CDD505-2E9C-101B-9397-08002B2CF9AE}" pid="6" name="MNC" linkTarget="MNC">
    <vt:lpwstr>National Retail Association v Fair Work Commission [2014] FCAFC 118</vt:lpwstr>
  </property>
  <property fmtid="{D5CDD505-2E9C-101B-9397-08002B2CF9AE}" pid="7" name="File_Number" linkTarget="Num">
    <vt:lpwstr>QUD 140 of 2014</vt:lpwstr>
  </property>
  <property fmtid="{D5CDD505-2E9C-101B-9397-08002B2CF9AE}" pid="8" name="Pages">
    <vt:lpwstr>34</vt:lpwstr>
  </property>
  <property fmtid="{D5CDD505-2E9C-101B-9397-08002B2CF9AE}" pid="9" name="Parties">
    <vt:lpwstr> </vt:lpwstr>
  </property>
  <property fmtid="{D5CDD505-2E9C-101B-9397-08002B2CF9AE}" pid="10" name="Place" linkTarget="Place">
    <vt:lpwstr>BRISBANE</vt:lpwstr>
  </property>
  <property fmtid="{D5CDD505-2E9C-101B-9397-08002B2CF9AE}" pid="11" name="Respondent" linkTarget="Respondent">
    <vt:lpwstr>FAIR WORK COMMISSION.First Respondent..SHOP, DISTRIBUTIVE &amp; ALLIED EMPLOYEES ASSOCIATION.Second Respondent.</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