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5B24" w:rsidRDefault="002C7385">
      <w:pPr>
        <w:pStyle w:val="NormalHeadings"/>
        <w:jc w:val="center"/>
        <w:rPr>
          <w:sz w:val="32"/>
        </w:rPr>
      </w:pPr>
      <w:r>
        <w:rPr>
          <w:sz w:val="32"/>
        </w:rPr>
        <w:t>FEDERAL COURT OF AUSTRALIA</w:t>
      </w:r>
    </w:p>
    <w:p w:rsidR="00395B24" w:rsidRDefault="00395B24">
      <w:pPr>
        <w:pStyle w:val="NormalHeadings"/>
        <w:jc w:val="center"/>
        <w:rPr>
          <w:sz w:val="32"/>
        </w:rPr>
      </w:pPr>
    </w:p>
    <w:p w:rsidR="00395B24" w:rsidRDefault="0090151F">
      <w:pPr>
        <w:pStyle w:val="MediaNeutralStyle"/>
      </w:pPr>
      <w:bookmarkStart w:id="0" w:name="MNC"/>
      <w:r>
        <w:t xml:space="preserve">Victorian </w:t>
      </w:r>
      <w:proofErr w:type="spellStart"/>
      <w:r>
        <w:t>Xray</w:t>
      </w:r>
      <w:proofErr w:type="spellEnd"/>
      <w:r>
        <w:t xml:space="preserve"> Group Pty Ltd v </w:t>
      </w:r>
      <w:proofErr w:type="spellStart"/>
      <w:r>
        <w:t>Ho</w:t>
      </w:r>
      <w:proofErr w:type="spellEnd"/>
      <w:r>
        <w:t xml:space="preserve"> </w:t>
      </w:r>
      <w:r w:rsidR="009E5871">
        <w:t xml:space="preserve">[2020] FCA </w:t>
      </w:r>
      <w:r w:rsidR="002F3219">
        <w:t>27</w:t>
      </w:r>
      <w:r w:rsidR="002C7385">
        <w:t xml:space="preserve"> </w:t>
      </w:r>
      <w:bookmarkEnd w:id="0"/>
    </w:p>
    <w:p w:rsidR="00395B24" w:rsidRDefault="00395B24">
      <w:pPr>
        <w:pStyle w:val="Normal1linespace"/>
      </w:pPr>
    </w:p>
    <w:tbl>
      <w:tblPr>
        <w:tblW w:w="9074" w:type="dxa"/>
        <w:tblLayout w:type="fixed"/>
        <w:tblLook w:val="01E0" w:firstRow="1" w:lastRow="1" w:firstColumn="1" w:lastColumn="1" w:noHBand="0" w:noVBand="0"/>
        <w:tblCaption w:val="Cover Table"/>
        <w:tblDescription w:val="Cover Table"/>
      </w:tblPr>
      <w:tblGrid>
        <w:gridCol w:w="3085"/>
        <w:gridCol w:w="5989"/>
      </w:tblGrid>
      <w:tr w:rsidR="00395B24" w:rsidTr="009F764B">
        <w:tc>
          <w:tcPr>
            <w:tcW w:w="3085" w:type="dxa"/>
            <w:shd w:val="clear" w:color="auto" w:fill="auto"/>
          </w:tcPr>
          <w:p w:rsidR="00395B24" w:rsidRDefault="002C7385" w:rsidP="002539B3">
            <w:pPr>
              <w:pStyle w:val="Normal1linespace"/>
              <w:widowControl w:val="0"/>
              <w:spacing w:after="60"/>
              <w:jc w:val="left"/>
            </w:pPr>
            <w:r>
              <w:t>Appeal from:</w:t>
            </w:r>
          </w:p>
        </w:tc>
        <w:tc>
          <w:tcPr>
            <w:tcW w:w="5989" w:type="dxa"/>
            <w:shd w:val="clear" w:color="auto" w:fill="auto"/>
          </w:tcPr>
          <w:p w:rsidR="00395B24" w:rsidRDefault="00D61F4E" w:rsidP="002539B3">
            <w:pPr>
              <w:pStyle w:val="CasesLegislationAppealFrom"/>
              <w:spacing w:after="60"/>
            </w:pPr>
            <w:bookmarkStart w:id="1" w:name="AppealFrom"/>
            <w:r>
              <w:t>Industrial Division of the Magistrates’ Court of Victoria (</w:t>
            </w:r>
            <w:r w:rsidRPr="00D61F4E">
              <w:t>J13120311/2019</w:t>
            </w:r>
            <w:r>
              <w:t>, Orders of 20 August 2019)</w:t>
            </w:r>
            <w:r w:rsidR="009264B3">
              <w:t xml:space="preserve"> </w:t>
            </w:r>
            <w:bookmarkEnd w:id="1"/>
          </w:p>
        </w:tc>
      </w:tr>
      <w:tr w:rsidR="00395B24" w:rsidTr="009F764B">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9F764B">
        <w:tc>
          <w:tcPr>
            <w:tcW w:w="3085" w:type="dxa"/>
            <w:shd w:val="clear" w:color="auto" w:fill="auto"/>
          </w:tcPr>
          <w:p w:rsidR="00395B24" w:rsidRDefault="002C7385" w:rsidP="009E5871">
            <w:pPr>
              <w:pStyle w:val="Normal1linespace"/>
              <w:widowControl w:val="0"/>
              <w:jc w:val="left"/>
            </w:pPr>
            <w:r>
              <w:t>File number:</w:t>
            </w:r>
          </w:p>
        </w:tc>
        <w:tc>
          <w:tcPr>
            <w:tcW w:w="5989" w:type="dxa"/>
            <w:shd w:val="clear" w:color="auto" w:fill="auto"/>
          </w:tcPr>
          <w:p w:rsidR="00395B24" w:rsidRPr="00262E44" w:rsidRDefault="00BA2E33" w:rsidP="00262E44">
            <w:pPr>
              <w:pStyle w:val="Normal1linespace"/>
              <w:jc w:val="left"/>
            </w:pPr>
            <w:r>
              <w:fldChar w:fldCharType="begin" w:fldLock="1"/>
            </w:r>
            <w:r>
              <w:instrText xml:space="preserve"> REF  FileNo  \* MERGEFORMAT </w:instrText>
            </w:r>
            <w:r>
              <w:fldChar w:fldCharType="separate"/>
            </w:r>
            <w:r w:rsidR="00262E44" w:rsidRPr="00262E44">
              <w:t>VID 1008 of 2019</w:t>
            </w:r>
            <w:r>
              <w:fldChar w:fldCharType="end"/>
            </w:r>
          </w:p>
        </w:tc>
      </w:tr>
      <w:tr w:rsidR="00395B24" w:rsidTr="009F764B">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9F764B">
        <w:tc>
          <w:tcPr>
            <w:tcW w:w="3085" w:type="dxa"/>
            <w:shd w:val="clear" w:color="auto" w:fill="auto"/>
          </w:tcPr>
          <w:p w:rsidR="00395B24" w:rsidRDefault="002C7385" w:rsidP="009E5871">
            <w:pPr>
              <w:pStyle w:val="Normal1linespace"/>
              <w:widowControl w:val="0"/>
              <w:jc w:val="left"/>
            </w:pPr>
            <w:r>
              <w:t>Judge:</w:t>
            </w:r>
          </w:p>
        </w:tc>
        <w:tc>
          <w:tcPr>
            <w:tcW w:w="5989" w:type="dxa"/>
            <w:shd w:val="clear" w:color="auto" w:fill="auto"/>
          </w:tcPr>
          <w:p w:rsidR="00395B24" w:rsidRDefault="002C7385" w:rsidP="00663878">
            <w:pPr>
              <w:pStyle w:val="Normal1linespace"/>
              <w:widowControl w:val="0"/>
              <w:jc w:val="left"/>
              <w:rPr>
                <w:b/>
              </w:rPr>
            </w:pPr>
            <w:r w:rsidRPr="00262E44">
              <w:rPr>
                <w:b/>
              </w:rPr>
              <w:fldChar w:fldCharType="begin" w:fldLock="1"/>
            </w:r>
            <w:r w:rsidRPr="00262E44">
              <w:rPr>
                <w:b/>
              </w:rPr>
              <w:instrText xml:space="preserve"> REF  Judge  \* MERGEFORMAT </w:instrText>
            </w:r>
            <w:r w:rsidRPr="00262E44">
              <w:rPr>
                <w:b/>
              </w:rPr>
              <w:fldChar w:fldCharType="separate"/>
            </w:r>
            <w:r w:rsidR="00262E44" w:rsidRPr="00262E44">
              <w:rPr>
                <w:b/>
                <w:caps/>
                <w:szCs w:val="24"/>
              </w:rPr>
              <w:t>STEWARD J</w:t>
            </w:r>
            <w:r w:rsidRPr="00262E44">
              <w:rPr>
                <w:b/>
              </w:rPr>
              <w:fldChar w:fldCharType="end"/>
            </w:r>
          </w:p>
        </w:tc>
      </w:tr>
      <w:tr w:rsidR="00395B24" w:rsidTr="009F764B">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9F764B">
        <w:tc>
          <w:tcPr>
            <w:tcW w:w="3085" w:type="dxa"/>
            <w:shd w:val="clear" w:color="auto" w:fill="auto"/>
          </w:tcPr>
          <w:p w:rsidR="00395B24" w:rsidRDefault="002C7385" w:rsidP="00663878">
            <w:pPr>
              <w:pStyle w:val="Normal1linespace"/>
              <w:widowControl w:val="0"/>
              <w:jc w:val="left"/>
            </w:pPr>
            <w:r>
              <w:t>Date of judgment:</w:t>
            </w:r>
          </w:p>
        </w:tc>
        <w:tc>
          <w:tcPr>
            <w:tcW w:w="5989" w:type="dxa"/>
            <w:shd w:val="clear" w:color="auto" w:fill="auto"/>
          </w:tcPr>
          <w:p w:rsidR="00395B24" w:rsidRDefault="00262E44" w:rsidP="00663878">
            <w:pPr>
              <w:pStyle w:val="Normal1linespace"/>
              <w:widowControl w:val="0"/>
              <w:jc w:val="left"/>
            </w:pPr>
            <w:bookmarkStart w:id="2" w:name="JudgmentDate"/>
            <w:r>
              <w:t>24 January 2020</w:t>
            </w:r>
            <w:bookmarkEnd w:id="2"/>
          </w:p>
        </w:tc>
      </w:tr>
      <w:tr w:rsidR="00395B24" w:rsidTr="009F764B">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9F764B">
        <w:tc>
          <w:tcPr>
            <w:tcW w:w="3085" w:type="dxa"/>
            <w:shd w:val="clear" w:color="auto" w:fill="auto"/>
          </w:tcPr>
          <w:p w:rsidR="00395B24" w:rsidRDefault="002C7385" w:rsidP="00663878">
            <w:pPr>
              <w:pStyle w:val="Normal1linespace"/>
              <w:widowControl w:val="0"/>
              <w:jc w:val="left"/>
            </w:pPr>
            <w:r>
              <w:t>Catchwords:</w:t>
            </w:r>
          </w:p>
        </w:tc>
        <w:tc>
          <w:tcPr>
            <w:tcW w:w="5989" w:type="dxa"/>
            <w:shd w:val="clear" w:color="auto" w:fill="auto"/>
          </w:tcPr>
          <w:p w:rsidR="00395B24" w:rsidRDefault="004A5DF5" w:rsidP="00E57A39">
            <w:pPr>
              <w:pStyle w:val="Normal1linespace"/>
              <w:widowControl w:val="0"/>
              <w:jc w:val="left"/>
            </w:pPr>
            <w:bookmarkStart w:id="3" w:name="Catchwords"/>
            <w:r w:rsidRPr="004A5DF5">
              <w:rPr>
                <w:b/>
              </w:rPr>
              <w:t>PRACTICE AND PROCEDURE</w:t>
            </w:r>
            <w:r w:rsidR="00727906">
              <w:t xml:space="preserve"> – appeal from decisio</w:t>
            </w:r>
            <w:r>
              <w:t>n of m</w:t>
            </w:r>
            <w:r w:rsidR="00727906">
              <w:t>agistrate sitting in the Industrial Division</w:t>
            </w:r>
            <w:r w:rsidR="00D61F4E">
              <w:t xml:space="preserve"> of the Magistrates’ Court of Victoria</w:t>
            </w:r>
            <w:r w:rsidR="00727906">
              <w:t xml:space="preserve"> –</w:t>
            </w:r>
            <w:r w:rsidR="00E57A39">
              <w:t xml:space="preserve"> notice of objection to competency – whether appeal lies to the Federal Court by reason of s</w:t>
            </w:r>
            <w:r w:rsidR="00577D72">
              <w:t>.</w:t>
            </w:r>
            <w:r w:rsidR="00E57A39">
              <w:t xml:space="preserve"> 565 of the </w:t>
            </w:r>
            <w:r w:rsidR="00E57A39" w:rsidRPr="0044399B">
              <w:rPr>
                <w:i/>
              </w:rPr>
              <w:t>Fair Work Act 2009</w:t>
            </w:r>
            <w:r>
              <w:t xml:space="preserve"> (</w:t>
            </w:r>
            <w:proofErr w:type="spellStart"/>
            <w:r>
              <w:t>Cth</w:t>
            </w:r>
            <w:proofErr w:type="spellEnd"/>
            <w:r>
              <w:t>) – whether the m</w:t>
            </w:r>
            <w:r w:rsidR="00E57A39">
              <w:t xml:space="preserve">agistrate was exercising jurisdiction under the </w:t>
            </w:r>
            <w:r w:rsidR="00E57A39" w:rsidRPr="0044399B">
              <w:rPr>
                <w:i/>
              </w:rPr>
              <w:t>Fair Work Act 2009</w:t>
            </w:r>
            <w:r w:rsidR="00E57A39">
              <w:t xml:space="preserve"> (</w:t>
            </w:r>
            <w:proofErr w:type="spellStart"/>
            <w:r w:rsidR="00E57A39">
              <w:t>Cth</w:t>
            </w:r>
            <w:proofErr w:type="spellEnd"/>
            <w:r w:rsidR="00E57A39">
              <w:t>) – whether matter simply concerned contractual enforcement</w:t>
            </w:r>
            <w:r w:rsidR="002C7385">
              <w:t xml:space="preserve"> </w:t>
            </w:r>
            <w:bookmarkEnd w:id="3"/>
          </w:p>
        </w:tc>
      </w:tr>
      <w:tr w:rsidR="00395B24" w:rsidTr="009F764B">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9F764B">
        <w:tc>
          <w:tcPr>
            <w:tcW w:w="3085" w:type="dxa"/>
            <w:shd w:val="clear" w:color="auto" w:fill="auto"/>
          </w:tcPr>
          <w:p w:rsidR="00395B24" w:rsidRDefault="002C7385" w:rsidP="00663878">
            <w:pPr>
              <w:pStyle w:val="Normal1linespace"/>
              <w:widowControl w:val="0"/>
              <w:jc w:val="left"/>
            </w:pPr>
            <w:r>
              <w:t>Legislation:</w:t>
            </w:r>
          </w:p>
        </w:tc>
        <w:tc>
          <w:tcPr>
            <w:tcW w:w="5989" w:type="dxa"/>
            <w:shd w:val="clear" w:color="auto" w:fill="auto"/>
          </w:tcPr>
          <w:p w:rsidR="00303382" w:rsidRPr="00102C9D" w:rsidRDefault="00303382" w:rsidP="00D82620">
            <w:pPr>
              <w:pStyle w:val="CasesLegislationAppealFrom"/>
              <w:spacing w:after="60"/>
              <w:rPr>
                <w:i/>
              </w:rPr>
            </w:pPr>
            <w:bookmarkStart w:id="4" w:name="Legislation"/>
            <w:r w:rsidRPr="00102C9D">
              <w:rPr>
                <w:i/>
              </w:rPr>
              <w:t>Acts Interpretation Act 1901</w:t>
            </w:r>
            <w:r w:rsidRPr="00102C9D">
              <w:t xml:space="preserve"> (</w:t>
            </w:r>
            <w:proofErr w:type="spellStart"/>
            <w:r w:rsidRPr="00102C9D">
              <w:t>Cth</w:t>
            </w:r>
            <w:proofErr w:type="spellEnd"/>
            <w:r w:rsidRPr="00102C9D">
              <w:t>) s</w:t>
            </w:r>
            <w:r w:rsidR="00DC36C5" w:rsidRPr="00102C9D">
              <w:t>.</w:t>
            </w:r>
            <w:r w:rsidRPr="00102C9D">
              <w:t xml:space="preserve"> 2B</w:t>
            </w:r>
          </w:p>
          <w:p w:rsidR="00446F7E" w:rsidRPr="00102C9D" w:rsidRDefault="00E57A39" w:rsidP="00D82620">
            <w:pPr>
              <w:pStyle w:val="CasesLegislationAppealFrom"/>
              <w:spacing w:after="60"/>
            </w:pPr>
            <w:r w:rsidRPr="00102C9D">
              <w:rPr>
                <w:i/>
              </w:rPr>
              <w:t>Fair Work Act 2009</w:t>
            </w:r>
            <w:r w:rsidRPr="00102C9D">
              <w:t xml:space="preserve"> (</w:t>
            </w:r>
            <w:proofErr w:type="spellStart"/>
            <w:r w:rsidRPr="00102C9D">
              <w:t>Cth</w:t>
            </w:r>
            <w:proofErr w:type="spellEnd"/>
            <w:r w:rsidRPr="00102C9D">
              <w:t xml:space="preserve">) </w:t>
            </w:r>
            <w:r w:rsidR="00C40B3C" w:rsidRPr="00102C9D">
              <w:t>s</w:t>
            </w:r>
            <w:r w:rsidR="00303382" w:rsidRPr="00102C9D">
              <w:t>s</w:t>
            </w:r>
            <w:r w:rsidR="00DC36C5" w:rsidRPr="00102C9D">
              <w:t>.</w:t>
            </w:r>
            <w:r w:rsidR="00C40B3C" w:rsidRPr="00102C9D">
              <w:t xml:space="preserve"> 113,</w:t>
            </w:r>
            <w:r w:rsidR="00303382" w:rsidRPr="00102C9D">
              <w:t xml:space="preserve"> 565</w:t>
            </w:r>
            <w:r w:rsidR="00C40B3C" w:rsidRPr="00102C9D">
              <w:t>, 570</w:t>
            </w:r>
          </w:p>
          <w:p w:rsidR="00102C9D" w:rsidRPr="00616B44" w:rsidRDefault="00102C9D" w:rsidP="00D82620">
            <w:pPr>
              <w:pStyle w:val="CasesLegislationAppealFrom"/>
              <w:spacing w:after="60"/>
            </w:pPr>
            <w:r w:rsidRPr="00102C9D">
              <w:rPr>
                <w:i/>
              </w:rPr>
              <w:t>Fair Work (Transitional Provisions and Consequential Amendments) Act 2009</w:t>
            </w:r>
            <w:r w:rsidRPr="00102C9D">
              <w:t xml:space="preserve"> (</w:t>
            </w:r>
            <w:proofErr w:type="spellStart"/>
            <w:r w:rsidRPr="00102C9D">
              <w:t>Cth</w:t>
            </w:r>
            <w:proofErr w:type="spellEnd"/>
            <w:r>
              <w:t>)</w:t>
            </w:r>
            <w:r w:rsidRPr="00102C9D">
              <w:rPr>
                <w:i/>
              </w:rPr>
              <w:t xml:space="preserve"> </w:t>
            </w:r>
          </w:p>
          <w:p w:rsidR="004F6E70" w:rsidRPr="00102C9D" w:rsidRDefault="004F6E70" w:rsidP="00D82620">
            <w:pPr>
              <w:pStyle w:val="CasesLegislationAppealFrom"/>
              <w:spacing w:after="60"/>
            </w:pPr>
            <w:r w:rsidRPr="00102C9D">
              <w:rPr>
                <w:i/>
              </w:rPr>
              <w:t>Judiciary Act 1903</w:t>
            </w:r>
            <w:r w:rsidRPr="00102C9D">
              <w:t xml:space="preserve"> (</w:t>
            </w:r>
            <w:proofErr w:type="spellStart"/>
            <w:r w:rsidRPr="00102C9D">
              <w:t>Cth</w:t>
            </w:r>
            <w:proofErr w:type="spellEnd"/>
            <w:r w:rsidRPr="00102C9D">
              <w:t>) s. 39</w:t>
            </w:r>
          </w:p>
          <w:p w:rsidR="00102C9D" w:rsidRPr="00102C9D" w:rsidRDefault="00446F7E" w:rsidP="00D82620">
            <w:pPr>
              <w:pStyle w:val="CasesLegislationAppealFrom"/>
              <w:spacing w:after="60"/>
            </w:pPr>
            <w:r w:rsidRPr="00102C9D">
              <w:rPr>
                <w:i/>
              </w:rPr>
              <w:t>Magistrates’ Court Act 1989</w:t>
            </w:r>
            <w:r w:rsidRPr="00102C9D">
              <w:t xml:space="preserve"> (Vic) s. 4</w:t>
            </w:r>
            <w:r w:rsidR="002C7385" w:rsidRPr="00102C9D">
              <w:t xml:space="preserve"> </w:t>
            </w:r>
            <w:bookmarkEnd w:id="4"/>
          </w:p>
        </w:tc>
      </w:tr>
      <w:tr w:rsidR="00395B24" w:rsidTr="009F764B">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9F764B">
        <w:tc>
          <w:tcPr>
            <w:tcW w:w="3085" w:type="dxa"/>
            <w:shd w:val="clear" w:color="auto" w:fill="auto"/>
          </w:tcPr>
          <w:p w:rsidR="00395B24" w:rsidRDefault="002C7385" w:rsidP="00663878">
            <w:pPr>
              <w:pStyle w:val="Normal1linespace"/>
              <w:widowControl w:val="0"/>
              <w:jc w:val="left"/>
            </w:pPr>
            <w:r>
              <w:t>Cases cited:</w:t>
            </w:r>
          </w:p>
        </w:tc>
        <w:tc>
          <w:tcPr>
            <w:tcW w:w="5989" w:type="dxa"/>
            <w:shd w:val="clear" w:color="auto" w:fill="auto"/>
          </w:tcPr>
          <w:p w:rsidR="00102C9D" w:rsidRPr="00102C9D" w:rsidRDefault="00102C9D" w:rsidP="00D82620">
            <w:pPr>
              <w:pStyle w:val="CasesLegislationAppealFrom"/>
              <w:spacing w:after="60"/>
            </w:pPr>
            <w:bookmarkStart w:id="5" w:name="Cases_Cited"/>
            <w:r w:rsidRPr="00102C9D">
              <w:rPr>
                <w:i/>
              </w:rPr>
              <w:t>Bannon v. Nauru Phosphate Royalties Trust</w:t>
            </w:r>
            <w:r w:rsidRPr="00102C9D">
              <w:t xml:space="preserve"> [2019] VSCA 303</w:t>
            </w:r>
          </w:p>
          <w:p w:rsidR="00102C9D" w:rsidRPr="00102C9D" w:rsidRDefault="00102C9D" w:rsidP="00D82620">
            <w:pPr>
              <w:pStyle w:val="CasesLegislationAppealFrom"/>
              <w:spacing w:after="60"/>
            </w:pPr>
            <w:r w:rsidRPr="00102C9D">
              <w:rPr>
                <w:i/>
              </w:rPr>
              <w:t xml:space="preserve">Elders Ltd v. </w:t>
            </w:r>
            <w:proofErr w:type="spellStart"/>
            <w:r w:rsidRPr="00102C9D">
              <w:rPr>
                <w:i/>
              </w:rPr>
              <w:t>Swinbank</w:t>
            </w:r>
            <w:proofErr w:type="spellEnd"/>
            <w:r w:rsidRPr="00102C9D">
              <w:t xml:space="preserve"> (2000) 96 FCR 303</w:t>
            </w:r>
          </w:p>
          <w:p w:rsidR="00102C9D" w:rsidRPr="00102C9D" w:rsidRDefault="00102C9D" w:rsidP="00D82620">
            <w:pPr>
              <w:pStyle w:val="CasesLegislationAppealFrom"/>
              <w:spacing w:after="60"/>
            </w:pPr>
            <w:proofErr w:type="spellStart"/>
            <w:r w:rsidRPr="00102C9D">
              <w:rPr>
                <w:i/>
              </w:rPr>
              <w:t>Maughan</w:t>
            </w:r>
            <w:proofErr w:type="spellEnd"/>
            <w:r w:rsidRPr="00102C9D">
              <w:rPr>
                <w:i/>
              </w:rPr>
              <w:t xml:space="preserve"> </w:t>
            </w:r>
            <w:proofErr w:type="spellStart"/>
            <w:r w:rsidRPr="00102C9D">
              <w:rPr>
                <w:i/>
              </w:rPr>
              <w:t>Thiem</w:t>
            </w:r>
            <w:proofErr w:type="spellEnd"/>
            <w:r w:rsidRPr="00102C9D">
              <w:rPr>
                <w:i/>
              </w:rPr>
              <w:t xml:space="preserve"> Auto Sales Pty Ltd v. Cooper</w:t>
            </w:r>
            <w:r w:rsidRPr="00102C9D">
              <w:t xml:space="preserve"> (2013) 216 FCR 197</w:t>
            </w:r>
          </w:p>
          <w:p w:rsidR="00102C9D" w:rsidRPr="00102C9D" w:rsidRDefault="00102C9D" w:rsidP="00D82620">
            <w:pPr>
              <w:pStyle w:val="CasesLegislationAppealFrom"/>
              <w:spacing w:after="60"/>
            </w:pPr>
            <w:r w:rsidRPr="00102C9D">
              <w:rPr>
                <w:i/>
              </w:rPr>
              <w:t>Moorgate Tobacco Co Ltd v. Philip Morris Ltd</w:t>
            </w:r>
            <w:r w:rsidRPr="00102C9D">
              <w:t xml:space="preserve"> (1980) 145 CLR 457</w:t>
            </w:r>
          </w:p>
          <w:p w:rsidR="00102C9D" w:rsidRPr="00102C9D" w:rsidRDefault="00102C9D" w:rsidP="00D82620">
            <w:pPr>
              <w:pStyle w:val="CasesLegislationAppealFrom"/>
              <w:spacing w:after="60"/>
            </w:pPr>
            <w:proofErr w:type="spellStart"/>
            <w:r w:rsidRPr="00102C9D">
              <w:rPr>
                <w:i/>
              </w:rPr>
              <w:t>Plancor</w:t>
            </w:r>
            <w:proofErr w:type="spellEnd"/>
            <w:r w:rsidRPr="00102C9D">
              <w:rPr>
                <w:i/>
              </w:rPr>
              <w:t xml:space="preserve"> Pty Ltd v. Liquor Hospitality and Miscellaneous Union</w:t>
            </w:r>
            <w:r w:rsidRPr="00102C9D">
              <w:t xml:space="preserve"> (2008) 171 FCR 357</w:t>
            </w:r>
          </w:p>
          <w:p w:rsidR="00102C9D" w:rsidRPr="00102C9D" w:rsidRDefault="00102C9D" w:rsidP="00D82620">
            <w:pPr>
              <w:pStyle w:val="CasesLegislationAppealFrom"/>
              <w:spacing w:after="60"/>
            </w:pPr>
            <w:r w:rsidRPr="00102C9D">
              <w:rPr>
                <w:i/>
              </w:rPr>
              <w:t>Treasury Wine Estates Vintners Ltd v. Pearson</w:t>
            </w:r>
            <w:r w:rsidRPr="00102C9D">
              <w:t xml:space="preserve"> [2019] FCAFC 21</w:t>
            </w:r>
          </w:p>
          <w:p w:rsidR="00102C9D" w:rsidRPr="00102C9D" w:rsidRDefault="00102C9D" w:rsidP="00D82620">
            <w:pPr>
              <w:pStyle w:val="CasesLegislationAppealFrom"/>
              <w:spacing w:after="60"/>
            </w:pPr>
            <w:r w:rsidRPr="00102C9D">
              <w:rPr>
                <w:i/>
              </w:rPr>
              <w:t>Tucker v. State of Victoria</w:t>
            </w:r>
            <w:r w:rsidRPr="00102C9D">
              <w:t xml:space="preserve"> [2019] VSC 481</w:t>
            </w:r>
            <w:bookmarkEnd w:id="5"/>
          </w:p>
        </w:tc>
      </w:tr>
      <w:tr w:rsidR="009F764B" w:rsidRPr="009F764B" w:rsidTr="009F764B">
        <w:tc>
          <w:tcPr>
            <w:tcW w:w="3085" w:type="dxa"/>
            <w:shd w:val="clear" w:color="auto" w:fill="auto"/>
          </w:tcPr>
          <w:p w:rsidR="009F764B" w:rsidRPr="009F764B" w:rsidRDefault="009F764B" w:rsidP="009F764B">
            <w:pPr>
              <w:pStyle w:val="Normal1linespace"/>
              <w:jc w:val="left"/>
            </w:pPr>
          </w:p>
        </w:tc>
        <w:tc>
          <w:tcPr>
            <w:tcW w:w="5989" w:type="dxa"/>
            <w:shd w:val="clear" w:color="auto" w:fill="auto"/>
          </w:tcPr>
          <w:p w:rsidR="009F764B" w:rsidRPr="009F764B" w:rsidRDefault="009F764B" w:rsidP="009F764B">
            <w:pPr>
              <w:pStyle w:val="Normal1linespace"/>
              <w:jc w:val="left"/>
            </w:pPr>
          </w:p>
        </w:tc>
      </w:tr>
      <w:tr w:rsidR="009F764B" w:rsidRPr="009F764B" w:rsidTr="009F764B">
        <w:tc>
          <w:tcPr>
            <w:tcW w:w="3085" w:type="dxa"/>
            <w:shd w:val="clear" w:color="auto" w:fill="auto"/>
          </w:tcPr>
          <w:p w:rsidR="009F764B" w:rsidRPr="009F764B" w:rsidRDefault="009F764B" w:rsidP="009F764B">
            <w:pPr>
              <w:pStyle w:val="Normal1linespace"/>
              <w:jc w:val="left"/>
            </w:pPr>
            <w:bookmarkStart w:id="6" w:name="CounselDate" w:colFirst="0" w:colLast="2"/>
            <w:r w:rsidRPr="009F764B">
              <w:t>Date of hearing:</w:t>
            </w:r>
          </w:p>
        </w:tc>
        <w:tc>
          <w:tcPr>
            <w:tcW w:w="5989" w:type="dxa"/>
            <w:shd w:val="clear" w:color="auto" w:fill="auto"/>
          </w:tcPr>
          <w:p w:rsidR="009F764B" w:rsidRPr="009F764B" w:rsidRDefault="009F764B" w:rsidP="009F764B">
            <w:pPr>
              <w:pStyle w:val="Normal1linespace"/>
              <w:jc w:val="left"/>
            </w:pPr>
            <w:bookmarkStart w:id="7" w:name="HearingDate"/>
            <w:r>
              <w:t>18 December 2019</w:t>
            </w:r>
            <w:bookmarkEnd w:id="7"/>
          </w:p>
        </w:tc>
      </w:tr>
      <w:tr w:rsidR="009F764B" w:rsidRPr="009F764B" w:rsidTr="009F764B">
        <w:tc>
          <w:tcPr>
            <w:tcW w:w="3085" w:type="dxa"/>
            <w:shd w:val="clear" w:color="auto" w:fill="auto"/>
          </w:tcPr>
          <w:p w:rsidR="009F764B" w:rsidRPr="009F764B" w:rsidRDefault="009F764B" w:rsidP="009F764B">
            <w:pPr>
              <w:pStyle w:val="Normal1linespace"/>
              <w:jc w:val="left"/>
            </w:pPr>
          </w:p>
        </w:tc>
        <w:tc>
          <w:tcPr>
            <w:tcW w:w="5989" w:type="dxa"/>
            <w:shd w:val="clear" w:color="auto" w:fill="auto"/>
          </w:tcPr>
          <w:p w:rsidR="009F764B" w:rsidRPr="009F764B" w:rsidRDefault="009F764B" w:rsidP="009F764B">
            <w:pPr>
              <w:pStyle w:val="Normal1linespace"/>
              <w:jc w:val="left"/>
            </w:pPr>
          </w:p>
        </w:tc>
      </w:tr>
      <w:bookmarkEnd w:id="6"/>
      <w:tr w:rsidR="009F764B" w:rsidTr="009F764B">
        <w:tc>
          <w:tcPr>
            <w:tcW w:w="3085" w:type="dxa"/>
            <w:shd w:val="clear" w:color="auto" w:fill="auto"/>
          </w:tcPr>
          <w:p w:rsidR="009F764B" w:rsidRDefault="009F764B" w:rsidP="009F764B">
            <w:pPr>
              <w:pStyle w:val="Normal1linespace"/>
              <w:widowControl w:val="0"/>
              <w:jc w:val="left"/>
            </w:pPr>
            <w:r>
              <w:t>Registry:</w:t>
            </w:r>
          </w:p>
        </w:tc>
        <w:tc>
          <w:tcPr>
            <w:tcW w:w="5989" w:type="dxa"/>
            <w:shd w:val="clear" w:color="auto" w:fill="auto"/>
          </w:tcPr>
          <w:p w:rsidR="009F764B" w:rsidRPr="00F17599" w:rsidRDefault="00790B42" w:rsidP="009F764B">
            <w:pPr>
              <w:pStyle w:val="Normal1linespace"/>
              <w:widowControl w:val="0"/>
              <w:jc w:val="left"/>
            </w:pPr>
            <w:fldSimple w:instr=" DOCPROPERTY  Registry " w:fldLock="1">
              <w:r w:rsidR="009F764B">
                <w:t>Victoria</w:t>
              </w:r>
            </w:fldSimple>
          </w:p>
        </w:tc>
      </w:tr>
      <w:tr w:rsidR="009F764B" w:rsidTr="009F764B">
        <w:tc>
          <w:tcPr>
            <w:tcW w:w="3085" w:type="dxa"/>
            <w:shd w:val="clear" w:color="auto" w:fill="auto"/>
          </w:tcPr>
          <w:p w:rsidR="009F764B" w:rsidRDefault="009F764B" w:rsidP="009F764B">
            <w:pPr>
              <w:pStyle w:val="Normal1linespace"/>
              <w:widowControl w:val="0"/>
              <w:jc w:val="left"/>
            </w:pPr>
          </w:p>
        </w:tc>
        <w:tc>
          <w:tcPr>
            <w:tcW w:w="5989" w:type="dxa"/>
            <w:shd w:val="clear" w:color="auto" w:fill="auto"/>
          </w:tcPr>
          <w:p w:rsidR="009F764B" w:rsidRDefault="009F764B" w:rsidP="009F764B">
            <w:pPr>
              <w:pStyle w:val="Normal1linespace"/>
              <w:widowControl w:val="0"/>
              <w:jc w:val="left"/>
            </w:pPr>
          </w:p>
        </w:tc>
      </w:tr>
      <w:tr w:rsidR="009F764B" w:rsidTr="009F764B">
        <w:tc>
          <w:tcPr>
            <w:tcW w:w="3085" w:type="dxa"/>
            <w:shd w:val="clear" w:color="auto" w:fill="auto"/>
          </w:tcPr>
          <w:p w:rsidR="009F764B" w:rsidRDefault="009F764B" w:rsidP="009F764B">
            <w:pPr>
              <w:pStyle w:val="Normal1linespace"/>
              <w:widowControl w:val="0"/>
              <w:jc w:val="left"/>
            </w:pPr>
            <w:r>
              <w:lastRenderedPageBreak/>
              <w:t>Division:</w:t>
            </w:r>
          </w:p>
        </w:tc>
        <w:tc>
          <w:tcPr>
            <w:tcW w:w="5989" w:type="dxa"/>
            <w:shd w:val="clear" w:color="auto" w:fill="auto"/>
          </w:tcPr>
          <w:p w:rsidR="009F764B" w:rsidRPr="00F17599" w:rsidRDefault="00790B42" w:rsidP="009F764B">
            <w:pPr>
              <w:pStyle w:val="Normal1linespace"/>
              <w:widowControl w:val="0"/>
              <w:jc w:val="left"/>
            </w:pPr>
            <w:fldSimple w:instr=" DOCPROPERTY  Division " w:fldLock="1">
              <w:r w:rsidR="009F764B">
                <w:t>Fair Work Division</w:t>
              </w:r>
            </w:fldSimple>
          </w:p>
        </w:tc>
      </w:tr>
      <w:tr w:rsidR="009F764B" w:rsidTr="009F764B">
        <w:tc>
          <w:tcPr>
            <w:tcW w:w="3085" w:type="dxa"/>
            <w:shd w:val="clear" w:color="auto" w:fill="auto"/>
          </w:tcPr>
          <w:p w:rsidR="009F764B" w:rsidRDefault="009F764B" w:rsidP="009F764B">
            <w:pPr>
              <w:pStyle w:val="Normal1linespace"/>
              <w:widowControl w:val="0"/>
              <w:jc w:val="left"/>
            </w:pPr>
          </w:p>
        </w:tc>
        <w:tc>
          <w:tcPr>
            <w:tcW w:w="5989" w:type="dxa"/>
            <w:shd w:val="clear" w:color="auto" w:fill="auto"/>
          </w:tcPr>
          <w:p w:rsidR="009F764B" w:rsidRPr="00F17599" w:rsidRDefault="009F764B" w:rsidP="009F764B">
            <w:pPr>
              <w:pStyle w:val="Normal1linespace"/>
              <w:widowControl w:val="0"/>
              <w:jc w:val="left"/>
              <w:rPr>
                <w:b/>
              </w:rPr>
            </w:pPr>
          </w:p>
        </w:tc>
      </w:tr>
      <w:tr w:rsidR="009F764B" w:rsidTr="009F764B">
        <w:tc>
          <w:tcPr>
            <w:tcW w:w="3085" w:type="dxa"/>
            <w:shd w:val="clear" w:color="auto" w:fill="auto"/>
          </w:tcPr>
          <w:p w:rsidR="009F764B" w:rsidRDefault="009F764B" w:rsidP="009F764B">
            <w:pPr>
              <w:pStyle w:val="Normal1linespace"/>
              <w:widowControl w:val="0"/>
              <w:jc w:val="left"/>
            </w:pPr>
            <w:r>
              <w:t>National Practice Area:</w:t>
            </w:r>
          </w:p>
        </w:tc>
        <w:tc>
          <w:tcPr>
            <w:tcW w:w="5989" w:type="dxa"/>
            <w:shd w:val="clear" w:color="auto" w:fill="auto"/>
          </w:tcPr>
          <w:p w:rsidR="009F764B" w:rsidRPr="00F17599" w:rsidRDefault="00790B42" w:rsidP="009F764B">
            <w:pPr>
              <w:pStyle w:val="Normal1linespace"/>
              <w:widowControl w:val="0"/>
              <w:jc w:val="left"/>
              <w:rPr>
                <w:b/>
              </w:rPr>
            </w:pPr>
            <w:fldSimple w:instr=" DOCPROPERTY  &quot;Practice Area&quot;  \* MERGEFORMAT " w:fldLock="1">
              <w:r w:rsidR="009F764B">
                <w:t>Employment &amp; Industrial Relations</w:t>
              </w:r>
            </w:fldSimple>
          </w:p>
        </w:tc>
      </w:tr>
      <w:tr w:rsidR="009F764B" w:rsidTr="009F764B">
        <w:tc>
          <w:tcPr>
            <w:tcW w:w="3085" w:type="dxa"/>
            <w:shd w:val="clear" w:color="auto" w:fill="auto"/>
          </w:tcPr>
          <w:p w:rsidR="009F764B" w:rsidRDefault="009F764B" w:rsidP="009F764B">
            <w:pPr>
              <w:pStyle w:val="Normal1linespace"/>
              <w:widowControl w:val="0"/>
              <w:jc w:val="left"/>
            </w:pPr>
          </w:p>
        </w:tc>
        <w:tc>
          <w:tcPr>
            <w:tcW w:w="5989" w:type="dxa"/>
            <w:shd w:val="clear" w:color="auto" w:fill="auto"/>
          </w:tcPr>
          <w:p w:rsidR="009F764B" w:rsidRDefault="009F764B" w:rsidP="009F764B">
            <w:pPr>
              <w:pStyle w:val="Normal1linespace"/>
              <w:widowControl w:val="0"/>
              <w:jc w:val="left"/>
            </w:pPr>
          </w:p>
        </w:tc>
      </w:tr>
      <w:tr w:rsidR="009F764B" w:rsidTr="009F764B">
        <w:tc>
          <w:tcPr>
            <w:tcW w:w="3085" w:type="dxa"/>
            <w:shd w:val="clear" w:color="auto" w:fill="auto"/>
          </w:tcPr>
          <w:p w:rsidR="009F764B" w:rsidRDefault="009F764B" w:rsidP="009F764B">
            <w:pPr>
              <w:pStyle w:val="Normal1linespace"/>
              <w:widowControl w:val="0"/>
              <w:jc w:val="left"/>
            </w:pPr>
            <w:r>
              <w:t>Category:</w:t>
            </w:r>
          </w:p>
        </w:tc>
        <w:tc>
          <w:tcPr>
            <w:tcW w:w="5989" w:type="dxa"/>
            <w:shd w:val="clear" w:color="auto" w:fill="auto"/>
          </w:tcPr>
          <w:p w:rsidR="009F764B" w:rsidRDefault="00982AC3" w:rsidP="009F764B">
            <w:pPr>
              <w:pStyle w:val="Normal1linespace"/>
              <w:widowControl w:val="0"/>
              <w:jc w:val="left"/>
            </w:pPr>
            <w:r>
              <w:t>Catchwords</w:t>
            </w:r>
          </w:p>
        </w:tc>
      </w:tr>
      <w:tr w:rsidR="009F764B" w:rsidTr="009F764B">
        <w:tc>
          <w:tcPr>
            <w:tcW w:w="3085" w:type="dxa"/>
            <w:shd w:val="clear" w:color="auto" w:fill="auto"/>
          </w:tcPr>
          <w:p w:rsidR="009F764B" w:rsidRDefault="009F764B" w:rsidP="009F764B">
            <w:pPr>
              <w:pStyle w:val="Normal1linespace"/>
              <w:widowControl w:val="0"/>
              <w:jc w:val="left"/>
            </w:pPr>
          </w:p>
        </w:tc>
        <w:tc>
          <w:tcPr>
            <w:tcW w:w="5989" w:type="dxa"/>
            <w:shd w:val="clear" w:color="auto" w:fill="auto"/>
          </w:tcPr>
          <w:p w:rsidR="009F764B" w:rsidRDefault="009F764B" w:rsidP="009F764B">
            <w:pPr>
              <w:pStyle w:val="Normal1linespace"/>
              <w:widowControl w:val="0"/>
              <w:jc w:val="left"/>
            </w:pPr>
          </w:p>
        </w:tc>
      </w:tr>
      <w:tr w:rsidR="009F764B" w:rsidTr="009F764B">
        <w:tc>
          <w:tcPr>
            <w:tcW w:w="3085" w:type="dxa"/>
            <w:shd w:val="clear" w:color="auto" w:fill="auto"/>
          </w:tcPr>
          <w:p w:rsidR="009F764B" w:rsidRDefault="009F764B" w:rsidP="009F764B">
            <w:pPr>
              <w:pStyle w:val="Normal1linespace"/>
              <w:widowControl w:val="0"/>
              <w:jc w:val="left"/>
            </w:pPr>
            <w:r>
              <w:t>Number of paragraphs:</w:t>
            </w:r>
          </w:p>
        </w:tc>
        <w:tc>
          <w:tcPr>
            <w:tcW w:w="5989" w:type="dxa"/>
            <w:shd w:val="clear" w:color="auto" w:fill="auto"/>
          </w:tcPr>
          <w:p w:rsidR="009F764B" w:rsidRDefault="009F764B" w:rsidP="009F764B">
            <w:pPr>
              <w:pStyle w:val="Normal1linespace"/>
              <w:widowControl w:val="0"/>
              <w:jc w:val="left"/>
            </w:pPr>
            <w:bookmarkStart w:id="8" w:name="PlaceCategoryParagraphs"/>
            <w:r>
              <w:t>39</w:t>
            </w:r>
            <w:bookmarkEnd w:id="8"/>
          </w:p>
        </w:tc>
      </w:tr>
      <w:tr w:rsidR="009F764B" w:rsidTr="009F764B">
        <w:tc>
          <w:tcPr>
            <w:tcW w:w="3085" w:type="dxa"/>
            <w:shd w:val="clear" w:color="auto" w:fill="auto"/>
          </w:tcPr>
          <w:p w:rsidR="009F764B" w:rsidRDefault="009F764B" w:rsidP="009F764B">
            <w:pPr>
              <w:pStyle w:val="Normal1linespace"/>
              <w:widowControl w:val="0"/>
              <w:jc w:val="left"/>
            </w:pPr>
          </w:p>
        </w:tc>
        <w:tc>
          <w:tcPr>
            <w:tcW w:w="5989" w:type="dxa"/>
            <w:shd w:val="clear" w:color="auto" w:fill="auto"/>
          </w:tcPr>
          <w:p w:rsidR="009F764B" w:rsidRDefault="009F764B" w:rsidP="009F764B">
            <w:pPr>
              <w:pStyle w:val="Normal1linespace"/>
              <w:widowControl w:val="0"/>
              <w:jc w:val="left"/>
            </w:pPr>
          </w:p>
        </w:tc>
      </w:tr>
      <w:tr w:rsidR="009F764B" w:rsidTr="009F764B">
        <w:tc>
          <w:tcPr>
            <w:tcW w:w="3085" w:type="dxa"/>
            <w:shd w:val="clear" w:color="auto" w:fill="auto"/>
          </w:tcPr>
          <w:p w:rsidR="009F764B" w:rsidRDefault="009F764B" w:rsidP="009F764B">
            <w:pPr>
              <w:pStyle w:val="Normal1linespace"/>
              <w:widowControl w:val="0"/>
              <w:jc w:val="left"/>
            </w:pPr>
            <w:bookmarkStart w:id="9" w:name="Counsel" w:colFirst="0" w:colLast="2"/>
            <w:r>
              <w:t>Counsel for the Appellants:</w:t>
            </w:r>
          </w:p>
        </w:tc>
        <w:tc>
          <w:tcPr>
            <w:tcW w:w="5989" w:type="dxa"/>
            <w:shd w:val="clear" w:color="auto" w:fill="auto"/>
          </w:tcPr>
          <w:p w:rsidR="009F764B" w:rsidRDefault="009F764B" w:rsidP="009F764B">
            <w:pPr>
              <w:pStyle w:val="Normal1linespace"/>
              <w:widowControl w:val="0"/>
              <w:jc w:val="left"/>
            </w:pPr>
            <w:bookmarkStart w:id="10" w:name="AppCounsel"/>
            <w:bookmarkEnd w:id="10"/>
            <w:r>
              <w:t>Ms R</w:t>
            </w:r>
            <w:r w:rsidR="007465CE">
              <w:t>.</w:t>
            </w:r>
            <w:r>
              <w:t xml:space="preserve"> Preston</w:t>
            </w:r>
          </w:p>
        </w:tc>
      </w:tr>
      <w:tr w:rsidR="009F764B" w:rsidTr="009F764B">
        <w:tc>
          <w:tcPr>
            <w:tcW w:w="3085" w:type="dxa"/>
            <w:shd w:val="clear" w:color="auto" w:fill="auto"/>
          </w:tcPr>
          <w:p w:rsidR="009F764B" w:rsidRDefault="009F764B" w:rsidP="009F764B">
            <w:pPr>
              <w:pStyle w:val="Normal1linespace"/>
              <w:widowControl w:val="0"/>
              <w:jc w:val="left"/>
            </w:pPr>
          </w:p>
        </w:tc>
        <w:tc>
          <w:tcPr>
            <w:tcW w:w="5989" w:type="dxa"/>
            <w:shd w:val="clear" w:color="auto" w:fill="auto"/>
          </w:tcPr>
          <w:p w:rsidR="009F764B" w:rsidRDefault="009F764B" w:rsidP="009F764B">
            <w:pPr>
              <w:pStyle w:val="Normal1linespace"/>
              <w:widowControl w:val="0"/>
              <w:jc w:val="left"/>
            </w:pPr>
          </w:p>
        </w:tc>
      </w:tr>
      <w:tr w:rsidR="009F764B" w:rsidTr="009F764B">
        <w:tc>
          <w:tcPr>
            <w:tcW w:w="3085" w:type="dxa"/>
            <w:shd w:val="clear" w:color="auto" w:fill="auto"/>
          </w:tcPr>
          <w:p w:rsidR="009F764B" w:rsidRDefault="009F764B" w:rsidP="009F764B">
            <w:pPr>
              <w:pStyle w:val="Normal1linespace"/>
              <w:widowControl w:val="0"/>
              <w:jc w:val="left"/>
            </w:pPr>
            <w:r>
              <w:t>Solicitor for the Appellants:</w:t>
            </w:r>
          </w:p>
        </w:tc>
        <w:tc>
          <w:tcPr>
            <w:tcW w:w="5989" w:type="dxa"/>
            <w:shd w:val="clear" w:color="auto" w:fill="auto"/>
          </w:tcPr>
          <w:p w:rsidR="009F764B" w:rsidRDefault="009F764B" w:rsidP="009F764B">
            <w:pPr>
              <w:pStyle w:val="Normal1linespace"/>
              <w:widowControl w:val="0"/>
              <w:jc w:val="left"/>
            </w:pPr>
            <w:r>
              <w:t xml:space="preserve">Webb </w:t>
            </w:r>
            <w:proofErr w:type="spellStart"/>
            <w:r>
              <w:t>Korfiatis</w:t>
            </w:r>
            <w:proofErr w:type="spellEnd"/>
            <w:r w:rsidR="00EC70F9">
              <w:t xml:space="preserve"> Commercial</w:t>
            </w:r>
          </w:p>
        </w:tc>
      </w:tr>
      <w:tr w:rsidR="009F764B" w:rsidTr="009F764B">
        <w:tc>
          <w:tcPr>
            <w:tcW w:w="3085" w:type="dxa"/>
            <w:shd w:val="clear" w:color="auto" w:fill="auto"/>
          </w:tcPr>
          <w:p w:rsidR="009F764B" w:rsidRDefault="009F764B" w:rsidP="009F764B">
            <w:pPr>
              <w:pStyle w:val="Normal1linespace"/>
              <w:widowControl w:val="0"/>
              <w:jc w:val="left"/>
            </w:pPr>
          </w:p>
        </w:tc>
        <w:tc>
          <w:tcPr>
            <w:tcW w:w="5989" w:type="dxa"/>
            <w:shd w:val="clear" w:color="auto" w:fill="auto"/>
          </w:tcPr>
          <w:p w:rsidR="009F764B" w:rsidRDefault="009F764B" w:rsidP="009F764B">
            <w:pPr>
              <w:pStyle w:val="Normal1linespace"/>
              <w:widowControl w:val="0"/>
              <w:jc w:val="left"/>
            </w:pPr>
          </w:p>
        </w:tc>
      </w:tr>
      <w:tr w:rsidR="009F764B" w:rsidTr="009F764B">
        <w:tc>
          <w:tcPr>
            <w:tcW w:w="3085" w:type="dxa"/>
            <w:shd w:val="clear" w:color="auto" w:fill="auto"/>
          </w:tcPr>
          <w:p w:rsidR="009F764B" w:rsidRDefault="009F764B" w:rsidP="009F764B">
            <w:pPr>
              <w:pStyle w:val="Normal1linespace"/>
              <w:widowControl w:val="0"/>
              <w:jc w:val="left"/>
            </w:pPr>
            <w:r>
              <w:t>Counsel for the Respondent:</w:t>
            </w:r>
          </w:p>
        </w:tc>
        <w:tc>
          <w:tcPr>
            <w:tcW w:w="5989" w:type="dxa"/>
            <w:shd w:val="clear" w:color="auto" w:fill="auto"/>
          </w:tcPr>
          <w:p w:rsidR="009F764B" w:rsidRDefault="009F764B" w:rsidP="009F764B">
            <w:pPr>
              <w:pStyle w:val="Normal1linespace"/>
              <w:widowControl w:val="0"/>
              <w:jc w:val="left"/>
            </w:pPr>
            <w:r>
              <w:t>Mr R. A. Millar</w:t>
            </w:r>
          </w:p>
        </w:tc>
      </w:tr>
      <w:tr w:rsidR="009F764B" w:rsidTr="009F764B">
        <w:tc>
          <w:tcPr>
            <w:tcW w:w="3085" w:type="dxa"/>
            <w:shd w:val="clear" w:color="auto" w:fill="auto"/>
          </w:tcPr>
          <w:p w:rsidR="009F764B" w:rsidRDefault="009F764B" w:rsidP="009F764B">
            <w:pPr>
              <w:pStyle w:val="Normal1linespace"/>
              <w:widowControl w:val="0"/>
              <w:jc w:val="left"/>
            </w:pPr>
          </w:p>
        </w:tc>
        <w:tc>
          <w:tcPr>
            <w:tcW w:w="5989" w:type="dxa"/>
            <w:shd w:val="clear" w:color="auto" w:fill="auto"/>
          </w:tcPr>
          <w:p w:rsidR="009F764B" w:rsidRDefault="009F764B" w:rsidP="009F764B">
            <w:pPr>
              <w:pStyle w:val="Normal1linespace"/>
              <w:widowControl w:val="0"/>
              <w:jc w:val="left"/>
            </w:pPr>
          </w:p>
        </w:tc>
      </w:tr>
      <w:tr w:rsidR="009F764B" w:rsidTr="009F764B">
        <w:tc>
          <w:tcPr>
            <w:tcW w:w="3085" w:type="dxa"/>
            <w:shd w:val="clear" w:color="auto" w:fill="auto"/>
          </w:tcPr>
          <w:p w:rsidR="009F764B" w:rsidRDefault="009F764B" w:rsidP="009F764B">
            <w:pPr>
              <w:pStyle w:val="Normal1linespace"/>
              <w:widowControl w:val="0"/>
              <w:jc w:val="left"/>
            </w:pPr>
            <w:r>
              <w:t>Solicitor for the Respondent:</w:t>
            </w:r>
          </w:p>
        </w:tc>
        <w:tc>
          <w:tcPr>
            <w:tcW w:w="5989" w:type="dxa"/>
            <w:shd w:val="clear" w:color="auto" w:fill="auto"/>
          </w:tcPr>
          <w:p w:rsidR="009F764B" w:rsidRDefault="009F764B" w:rsidP="009F764B">
            <w:pPr>
              <w:pStyle w:val="Normal1linespace"/>
              <w:widowControl w:val="0"/>
              <w:jc w:val="left"/>
            </w:pPr>
            <w:proofErr w:type="spellStart"/>
            <w:r>
              <w:t>Capree</w:t>
            </w:r>
            <w:proofErr w:type="spellEnd"/>
            <w:r>
              <w:t xml:space="preserve"> Lawyers</w:t>
            </w:r>
          </w:p>
        </w:tc>
      </w:tr>
      <w:bookmarkEnd w:id="9"/>
    </w:tbl>
    <w:p w:rsidR="00395B24" w:rsidRDefault="00395B24">
      <w:pPr>
        <w:pStyle w:val="Normal1linespace"/>
      </w:pPr>
    </w:p>
    <w:p w:rsidR="0092590B" w:rsidRDefault="0092590B">
      <w:pPr>
        <w:pStyle w:val="Normal1linespace"/>
      </w:pPr>
    </w:p>
    <w:p w:rsidR="00395B24" w:rsidRDefault="00395B24">
      <w:pPr>
        <w:pStyle w:val="Normal1linespace"/>
        <w:sectPr w:rsidR="00395B24">
          <w:endnotePr>
            <w:numFmt w:val="decimal"/>
          </w:endnotePr>
          <w:type w:val="continuous"/>
          <w:pgSz w:w="11907" w:h="16840" w:code="9"/>
          <w:pgMar w:top="1440" w:right="1440" w:bottom="1440" w:left="1440" w:header="851" w:footer="851" w:gutter="0"/>
          <w:pgNumType w:start="1"/>
          <w:cols w:space="720"/>
          <w:noEndnote/>
          <w:titlePg/>
        </w:sectPr>
      </w:pPr>
    </w:p>
    <w:p w:rsidR="008C7167" w:rsidRPr="00045BB7" w:rsidRDefault="0011419D" w:rsidP="00045BB7">
      <w:pPr>
        <w:pStyle w:val="NormalHeadings"/>
        <w:spacing w:line="480" w:lineRule="auto"/>
        <w:jc w:val="center"/>
        <w:rPr>
          <w:sz w:val="28"/>
          <w:szCs w:val="28"/>
        </w:rPr>
      </w:pPr>
      <w:r w:rsidRPr="00045BB7">
        <w:rPr>
          <w:sz w:val="28"/>
          <w:szCs w:val="28"/>
        </w:rPr>
        <w:lastRenderedPageBreak/>
        <w:t>ORDERS</w:t>
      </w:r>
    </w:p>
    <w:tbl>
      <w:tblPr>
        <w:tblW w:w="0" w:type="auto"/>
        <w:tblLayout w:type="fixed"/>
        <w:tblLook w:val="0000" w:firstRow="0" w:lastRow="0" w:firstColumn="0" w:lastColumn="0" w:noHBand="0" w:noVBand="0"/>
        <w:tblCaption w:val="Parties"/>
        <w:tblDescription w:val="Parties"/>
      </w:tblPr>
      <w:tblGrid>
        <w:gridCol w:w="2376"/>
        <w:gridCol w:w="4536"/>
        <w:gridCol w:w="2330"/>
      </w:tblGrid>
      <w:tr w:rsidR="00A46CCC" w:rsidTr="00E81DA6">
        <w:tc>
          <w:tcPr>
            <w:tcW w:w="6912" w:type="dxa"/>
            <w:gridSpan w:val="2"/>
          </w:tcPr>
          <w:p w:rsidR="00A46CCC" w:rsidRPr="001765E0" w:rsidRDefault="00A46CCC" w:rsidP="00525A49">
            <w:pPr>
              <w:pStyle w:val="NormalHeadings"/>
            </w:pPr>
          </w:p>
        </w:tc>
        <w:tc>
          <w:tcPr>
            <w:tcW w:w="2330" w:type="dxa"/>
          </w:tcPr>
          <w:p w:rsidR="00A46CCC" w:rsidRDefault="00262E44" w:rsidP="00F92355">
            <w:pPr>
              <w:pStyle w:val="NormalHeadings"/>
              <w:jc w:val="right"/>
            </w:pPr>
            <w:bookmarkStart w:id="11" w:name="FileNo"/>
            <w:r>
              <w:t>VID 1008 of 2019</w:t>
            </w:r>
            <w:bookmarkEnd w:id="11"/>
          </w:p>
        </w:tc>
      </w:tr>
      <w:tr w:rsidR="00A76C13" w:rsidTr="000B0C58">
        <w:tc>
          <w:tcPr>
            <w:tcW w:w="9242" w:type="dxa"/>
            <w:gridSpan w:val="3"/>
          </w:tcPr>
          <w:p w:rsidR="00A76C13" w:rsidRPr="00A76C13" w:rsidRDefault="00262E44" w:rsidP="00262E44">
            <w:pPr>
              <w:pStyle w:val="NormalHeadings"/>
              <w:jc w:val="left"/>
            </w:pPr>
            <w:bookmarkStart w:id="12" w:name="InTheMatterOf"/>
            <w:r>
              <w:t xml:space="preserve"> </w:t>
            </w:r>
            <w:bookmarkEnd w:id="12"/>
          </w:p>
        </w:tc>
      </w:tr>
      <w:tr w:rsidR="00A46CCC" w:rsidTr="000B0C58">
        <w:trPr>
          <w:trHeight w:val="386"/>
        </w:trPr>
        <w:tc>
          <w:tcPr>
            <w:tcW w:w="2376" w:type="dxa"/>
          </w:tcPr>
          <w:p w:rsidR="00A46CCC" w:rsidRDefault="00A46CCC" w:rsidP="000B0C58">
            <w:pPr>
              <w:pStyle w:val="NormalHeadings"/>
              <w:jc w:val="left"/>
              <w:rPr>
                <w:caps/>
                <w:szCs w:val="24"/>
              </w:rPr>
            </w:pPr>
            <w:bookmarkStart w:id="13" w:name="Parties"/>
            <w:r>
              <w:rPr>
                <w:caps/>
                <w:szCs w:val="24"/>
              </w:rPr>
              <w:t>BETWEEN:</w:t>
            </w:r>
          </w:p>
        </w:tc>
        <w:tc>
          <w:tcPr>
            <w:tcW w:w="6866" w:type="dxa"/>
            <w:gridSpan w:val="2"/>
          </w:tcPr>
          <w:p w:rsidR="00262E44" w:rsidRDefault="00262E44" w:rsidP="00262E44">
            <w:pPr>
              <w:pStyle w:val="NormalHeadings"/>
              <w:jc w:val="left"/>
            </w:pPr>
            <w:bookmarkStart w:id="14" w:name="Applicant"/>
            <w:r>
              <w:t>VICTORIAN XRAY GROUP PTY LTD</w:t>
            </w:r>
          </w:p>
          <w:p w:rsidR="00262E44" w:rsidRDefault="00262E44" w:rsidP="00262E44">
            <w:pPr>
              <w:pStyle w:val="PartyType"/>
            </w:pPr>
            <w:r>
              <w:t>First Appellant</w:t>
            </w:r>
          </w:p>
          <w:p w:rsidR="00262E44" w:rsidRDefault="00262E44" w:rsidP="000B0C58">
            <w:pPr>
              <w:pStyle w:val="NormalHeadings"/>
              <w:jc w:val="left"/>
            </w:pPr>
          </w:p>
          <w:p w:rsidR="00262E44" w:rsidRDefault="00262E44" w:rsidP="00262E44">
            <w:pPr>
              <w:pStyle w:val="NormalHeadings"/>
              <w:jc w:val="left"/>
            </w:pPr>
            <w:r>
              <w:t>VICTORIAN XRAY GROUP (FRANKSTON) PTY LTD</w:t>
            </w:r>
          </w:p>
          <w:p w:rsidR="00262E44" w:rsidRDefault="00262E44" w:rsidP="00262E44">
            <w:pPr>
              <w:pStyle w:val="PartyType"/>
            </w:pPr>
            <w:r>
              <w:t>Second Appellant</w:t>
            </w:r>
          </w:p>
          <w:bookmarkEnd w:id="14"/>
          <w:p w:rsidR="00A46CCC" w:rsidRPr="006555B4" w:rsidRDefault="00A46CCC" w:rsidP="000B0C58">
            <w:pPr>
              <w:pStyle w:val="NormalHeadings"/>
              <w:jc w:val="left"/>
            </w:pPr>
          </w:p>
        </w:tc>
      </w:tr>
      <w:tr w:rsidR="00A46CCC" w:rsidTr="000B0C58">
        <w:trPr>
          <w:trHeight w:val="386"/>
        </w:trPr>
        <w:tc>
          <w:tcPr>
            <w:tcW w:w="2376" w:type="dxa"/>
          </w:tcPr>
          <w:p w:rsidR="00A46CCC" w:rsidRDefault="00A46CCC" w:rsidP="000B0C58">
            <w:pPr>
              <w:pStyle w:val="NormalHeadings"/>
              <w:jc w:val="left"/>
              <w:rPr>
                <w:caps/>
                <w:szCs w:val="24"/>
              </w:rPr>
            </w:pPr>
            <w:r>
              <w:rPr>
                <w:caps/>
                <w:szCs w:val="24"/>
              </w:rPr>
              <w:t>AND:</w:t>
            </w:r>
          </w:p>
        </w:tc>
        <w:tc>
          <w:tcPr>
            <w:tcW w:w="6866" w:type="dxa"/>
            <w:gridSpan w:val="2"/>
          </w:tcPr>
          <w:p w:rsidR="00262E44" w:rsidRDefault="00262E44" w:rsidP="00262E44">
            <w:pPr>
              <w:pStyle w:val="NormalHeadings"/>
              <w:jc w:val="left"/>
            </w:pPr>
            <w:bookmarkStart w:id="15" w:name="Respondent"/>
            <w:r>
              <w:t>STELLA HO</w:t>
            </w:r>
          </w:p>
          <w:p w:rsidR="00262E44" w:rsidRDefault="00262E44" w:rsidP="00262E44">
            <w:pPr>
              <w:pStyle w:val="PartyType"/>
            </w:pPr>
            <w:r>
              <w:t>Respondent</w:t>
            </w:r>
          </w:p>
          <w:bookmarkEnd w:id="15"/>
          <w:p w:rsidR="00A46CCC" w:rsidRPr="006555B4" w:rsidRDefault="00A46CCC" w:rsidP="000B0C58">
            <w:pPr>
              <w:pStyle w:val="NormalHeadings"/>
              <w:jc w:val="left"/>
            </w:pPr>
          </w:p>
        </w:tc>
      </w:tr>
    </w:tbl>
    <w:p w:rsidR="00395B24" w:rsidRDefault="00395B24">
      <w:pPr>
        <w:pStyle w:val="NormalHeadings"/>
      </w:pPr>
      <w:bookmarkStart w:id="16" w:name="CrossClaimPosition"/>
      <w:bookmarkEnd w:id="13"/>
      <w:bookmarkEnd w:id="16"/>
    </w:p>
    <w:tbl>
      <w:tblPr>
        <w:tblW w:w="0" w:type="auto"/>
        <w:tblLayout w:type="fixed"/>
        <w:tblLook w:val="0000" w:firstRow="0" w:lastRow="0" w:firstColumn="0" w:lastColumn="0" w:noHBand="0" w:noVBand="0"/>
        <w:tblCaption w:val="Judge"/>
        <w:tblDescription w:val="Judge"/>
      </w:tblPr>
      <w:tblGrid>
        <w:gridCol w:w="2376"/>
        <w:gridCol w:w="6866"/>
      </w:tblGrid>
      <w:tr w:rsidR="00395B24">
        <w:tc>
          <w:tcPr>
            <w:tcW w:w="2376" w:type="dxa"/>
          </w:tcPr>
          <w:p w:rsidR="00395B24" w:rsidRDefault="00262E44">
            <w:pPr>
              <w:pStyle w:val="NormalHeadings"/>
              <w:spacing w:after="120"/>
              <w:jc w:val="left"/>
              <w:rPr>
                <w:caps/>
                <w:szCs w:val="24"/>
              </w:rPr>
            </w:pPr>
            <w:bookmarkStart w:id="17" w:name="JudgeText"/>
            <w:r>
              <w:rPr>
                <w:caps/>
                <w:szCs w:val="24"/>
              </w:rPr>
              <w:t>JUDGE</w:t>
            </w:r>
            <w:bookmarkEnd w:id="17"/>
            <w:r w:rsidR="002C7385">
              <w:rPr>
                <w:caps/>
                <w:szCs w:val="24"/>
              </w:rPr>
              <w:t>:</w:t>
            </w:r>
          </w:p>
        </w:tc>
        <w:tc>
          <w:tcPr>
            <w:tcW w:w="6866" w:type="dxa"/>
          </w:tcPr>
          <w:p w:rsidR="00395B24" w:rsidRDefault="00262E44">
            <w:pPr>
              <w:pStyle w:val="NormalHeadings"/>
              <w:jc w:val="left"/>
              <w:rPr>
                <w:caps/>
                <w:szCs w:val="24"/>
              </w:rPr>
            </w:pPr>
            <w:bookmarkStart w:id="18" w:name="Judge"/>
            <w:r>
              <w:rPr>
                <w:caps/>
                <w:szCs w:val="24"/>
              </w:rPr>
              <w:t>STEWARD J</w:t>
            </w:r>
            <w:bookmarkEnd w:id="18"/>
          </w:p>
        </w:tc>
      </w:tr>
      <w:tr w:rsidR="00395B24">
        <w:tc>
          <w:tcPr>
            <w:tcW w:w="2376" w:type="dxa"/>
          </w:tcPr>
          <w:p w:rsidR="00395B24" w:rsidRDefault="002C7385">
            <w:pPr>
              <w:pStyle w:val="NormalHeadings"/>
              <w:spacing w:after="120"/>
              <w:jc w:val="left"/>
              <w:rPr>
                <w:caps/>
                <w:szCs w:val="24"/>
              </w:rPr>
            </w:pPr>
            <w:r>
              <w:rPr>
                <w:caps/>
                <w:szCs w:val="24"/>
              </w:rPr>
              <w:t>DATE OF ORDER:</w:t>
            </w:r>
          </w:p>
        </w:tc>
        <w:tc>
          <w:tcPr>
            <w:tcW w:w="6866" w:type="dxa"/>
          </w:tcPr>
          <w:p w:rsidR="00395B24" w:rsidRDefault="00262E44">
            <w:pPr>
              <w:pStyle w:val="NormalHeadings"/>
              <w:jc w:val="left"/>
              <w:rPr>
                <w:caps/>
                <w:szCs w:val="24"/>
              </w:rPr>
            </w:pPr>
            <w:bookmarkStart w:id="19" w:name="Judgment_Dated"/>
            <w:r>
              <w:rPr>
                <w:caps/>
                <w:szCs w:val="24"/>
              </w:rPr>
              <w:t>24 JANUARY 2020</w:t>
            </w:r>
            <w:bookmarkEnd w:id="19"/>
          </w:p>
        </w:tc>
      </w:tr>
    </w:tbl>
    <w:p w:rsidR="00395B24" w:rsidRDefault="00395B24">
      <w:pPr>
        <w:pStyle w:val="NormalHeadings"/>
        <w:rPr>
          <w:b w:val="0"/>
        </w:rPr>
      </w:pPr>
    </w:p>
    <w:p w:rsidR="008D1617" w:rsidRDefault="008D1617">
      <w:pPr>
        <w:pStyle w:val="NormalHeadings"/>
        <w:rPr>
          <w:b w:val="0"/>
        </w:rPr>
      </w:pPr>
    </w:p>
    <w:p w:rsidR="00395B24" w:rsidRDefault="002C7385">
      <w:pPr>
        <w:pStyle w:val="NormalHeadings"/>
      </w:pPr>
      <w:r>
        <w:t>THE COURT ORDERS THAT:</w:t>
      </w:r>
    </w:p>
    <w:p w:rsidR="00395B24" w:rsidRDefault="00395B24">
      <w:pPr>
        <w:pStyle w:val="NormalHeadings"/>
      </w:pPr>
    </w:p>
    <w:p w:rsidR="00F4746A" w:rsidRDefault="00F4746A" w:rsidP="003107BF">
      <w:pPr>
        <w:pStyle w:val="Order1"/>
      </w:pPr>
      <w:bookmarkStart w:id="20" w:name="Order_Start_Text"/>
      <w:bookmarkEnd w:id="20"/>
      <w:r>
        <w:t>The respondent’s Notice of Objection to Competency filed on 14 October 2019 be dismissed.</w:t>
      </w:r>
    </w:p>
    <w:p w:rsidR="00395B24" w:rsidRDefault="003107BF" w:rsidP="003107BF">
      <w:pPr>
        <w:pStyle w:val="Order1"/>
      </w:pPr>
      <w:r w:rsidRPr="003107BF">
        <w:t>The matter be referred to mediation before a Registrar of this Court on a date to be fixed.</w:t>
      </w:r>
    </w:p>
    <w:p w:rsidR="00636871" w:rsidRDefault="00636871" w:rsidP="002B0E91">
      <w:pPr>
        <w:pStyle w:val="BodyText"/>
      </w:pPr>
    </w:p>
    <w:p w:rsidR="00395B24" w:rsidRDefault="00395B24" w:rsidP="002B0E91">
      <w:pPr>
        <w:pStyle w:val="BodyText"/>
      </w:pPr>
    </w:p>
    <w:p w:rsidR="009E5871" w:rsidRDefault="009E5871" w:rsidP="002B0E91">
      <w:pPr>
        <w:pStyle w:val="BodyText"/>
      </w:pPr>
    </w:p>
    <w:p w:rsidR="009E5871" w:rsidRDefault="009E5871" w:rsidP="002B0E91">
      <w:pPr>
        <w:pStyle w:val="BodyText"/>
      </w:pPr>
    </w:p>
    <w:p w:rsidR="009E5871" w:rsidRDefault="009E5871" w:rsidP="002B0E91">
      <w:pPr>
        <w:pStyle w:val="BodyText"/>
      </w:pPr>
    </w:p>
    <w:p w:rsidR="009E5871" w:rsidRDefault="009E5871" w:rsidP="002B0E91">
      <w:pPr>
        <w:pStyle w:val="BodyText"/>
      </w:pPr>
    </w:p>
    <w:p w:rsidR="009E5871" w:rsidRDefault="009E5871" w:rsidP="002B0E91">
      <w:pPr>
        <w:pStyle w:val="BodyText"/>
      </w:pPr>
    </w:p>
    <w:p w:rsidR="009E5871" w:rsidRDefault="009E5871" w:rsidP="002B0E91">
      <w:pPr>
        <w:pStyle w:val="BodyText"/>
      </w:pPr>
    </w:p>
    <w:p w:rsidR="009E5871" w:rsidRDefault="009E5871" w:rsidP="002B0E91">
      <w:pPr>
        <w:pStyle w:val="BodyText"/>
      </w:pPr>
    </w:p>
    <w:p w:rsidR="003B18D5" w:rsidRDefault="003B18D5" w:rsidP="002B0E91">
      <w:pPr>
        <w:pStyle w:val="BodyText"/>
      </w:pPr>
    </w:p>
    <w:p w:rsidR="003B18D5" w:rsidRDefault="003B18D5" w:rsidP="002B0E91">
      <w:pPr>
        <w:pStyle w:val="BodyText"/>
      </w:pPr>
    </w:p>
    <w:p w:rsidR="00395B24" w:rsidRDefault="002C7385" w:rsidP="004D53E5">
      <w:pPr>
        <w:pStyle w:val="SingleSpace"/>
      </w:pPr>
      <w:r>
        <w:t>Note:</w:t>
      </w:r>
      <w:r>
        <w:tab/>
        <w:t xml:space="preserve">Entry of orders is dealt with in Rule 39.32 of the </w:t>
      </w:r>
      <w:r>
        <w:rPr>
          <w:i/>
        </w:rPr>
        <w:t>Federal Court Rules 2011</w:t>
      </w:r>
      <w:r>
        <w:t>.</w:t>
      </w:r>
    </w:p>
    <w:p w:rsidR="00395B24" w:rsidRDefault="00395B24" w:rsidP="002B0E91">
      <w:pPr>
        <w:pStyle w:val="BodyText"/>
      </w:pPr>
    </w:p>
    <w:p w:rsidR="00395B24" w:rsidRDefault="00395B24" w:rsidP="001F2DBC">
      <w:pPr>
        <w:pStyle w:val="BodyText"/>
      </w:pPr>
    </w:p>
    <w:p w:rsidR="0092590B" w:rsidRDefault="0092590B" w:rsidP="002B0E91">
      <w:pPr>
        <w:pStyle w:val="BodyText"/>
      </w:pPr>
    </w:p>
    <w:p w:rsidR="00395B24" w:rsidRDefault="00395B24">
      <w:pPr>
        <w:pStyle w:val="NormalHeadings"/>
        <w:spacing w:before="240" w:after="120"/>
        <w:rPr>
          <w:b w:val="0"/>
        </w:rPr>
        <w:sectPr w:rsidR="00395B24" w:rsidSect="0092590B">
          <w:headerReference w:type="default" r:id="rId7"/>
          <w:headerReference w:type="first" r:id="rId8"/>
          <w:endnotePr>
            <w:numFmt w:val="decimal"/>
          </w:endnotePr>
          <w:pgSz w:w="11907" w:h="16840" w:code="9"/>
          <w:pgMar w:top="1440" w:right="1440" w:bottom="1440" w:left="1440" w:header="851" w:footer="851" w:gutter="0"/>
          <w:pgNumType w:fmt="lowerRoman" w:start="1"/>
          <w:cols w:space="720"/>
          <w:noEndnote/>
          <w:titlePg/>
        </w:sectPr>
      </w:pPr>
    </w:p>
    <w:p w:rsidR="00484F6D" w:rsidRPr="00045BB7" w:rsidRDefault="00484F6D" w:rsidP="00045BB7">
      <w:pPr>
        <w:pStyle w:val="NormalHeadings"/>
        <w:spacing w:line="480" w:lineRule="auto"/>
        <w:jc w:val="center"/>
        <w:rPr>
          <w:sz w:val="28"/>
          <w:szCs w:val="28"/>
        </w:rPr>
      </w:pPr>
      <w:bookmarkStart w:id="21" w:name="ReasonsPage"/>
      <w:bookmarkEnd w:id="21"/>
      <w:r w:rsidRPr="00045BB7">
        <w:rPr>
          <w:sz w:val="28"/>
          <w:szCs w:val="28"/>
        </w:rPr>
        <w:lastRenderedPageBreak/>
        <w:t>REASONS FOR JUDGMENT</w:t>
      </w:r>
    </w:p>
    <w:p w:rsidR="00395B24" w:rsidRPr="00EA03CE" w:rsidRDefault="009722F0" w:rsidP="005E0510">
      <w:pPr>
        <w:pStyle w:val="NormalHeadings"/>
        <w:spacing w:line="360" w:lineRule="auto"/>
        <w:jc w:val="left"/>
        <w:rPr>
          <w:sz w:val="26"/>
          <w:szCs w:val="26"/>
        </w:rPr>
      </w:pPr>
      <w:r>
        <w:rPr>
          <w:sz w:val="26"/>
          <w:szCs w:val="26"/>
        </w:rPr>
        <w:t>STEWARD J</w:t>
      </w:r>
      <w:r w:rsidR="00484F6D" w:rsidRPr="00EA03CE">
        <w:rPr>
          <w:sz w:val="26"/>
          <w:szCs w:val="26"/>
        </w:rPr>
        <w:t>:</w:t>
      </w:r>
    </w:p>
    <w:p w:rsidR="00484F6D" w:rsidRDefault="009722F0" w:rsidP="00262E44">
      <w:pPr>
        <w:pStyle w:val="ParaNumbering"/>
      </w:pPr>
      <w:r>
        <w:t>On 20 August 2019</w:t>
      </w:r>
      <w:r w:rsidR="00727906">
        <w:t>,</w:t>
      </w:r>
      <w:r w:rsidR="003B18D5">
        <w:t xml:space="preserve"> a m</w:t>
      </w:r>
      <w:r>
        <w:t>agistrate, sitting in the Industrial Division of the Magistrate</w:t>
      </w:r>
      <w:r w:rsidR="00AB43BD">
        <w:t>s</w:t>
      </w:r>
      <w:r w:rsidR="00446F7E">
        <w:t>’</w:t>
      </w:r>
      <w:r>
        <w:t xml:space="preserve"> Court of Victoria, gave judgment in favour of the respondent</w:t>
      </w:r>
      <w:r w:rsidR="00D61E02">
        <w:t xml:space="preserve"> (in the sum of $45,493.27, plus interest and costs)</w:t>
      </w:r>
      <w:r>
        <w:t>.  The respondent, who had been employed by either the first or second appellant, had clai</w:t>
      </w:r>
      <w:r w:rsidR="00AB43BD">
        <w:t>med that she had been underpaid in breach of her contract of employment.  That claim was upheld.  The appellants seek to appeal that decision to this Court.  The respondent objects to the competency of that appeal.</w:t>
      </w:r>
    </w:p>
    <w:p w:rsidR="00AB43BD" w:rsidRDefault="00AB43BD" w:rsidP="00303382">
      <w:pPr>
        <w:pStyle w:val="Heading2"/>
      </w:pPr>
      <w:r>
        <w:t>Legislative Provisions</w:t>
      </w:r>
    </w:p>
    <w:p w:rsidR="00AB43BD" w:rsidRDefault="0044399B" w:rsidP="00AB43BD">
      <w:pPr>
        <w:pStyle w:val="ParaNumbering"/>
      </w:pPr>
      <w:r>
        <w:t>The operative provision here is s</w:t>
      </w:r>
      <w:r w:rsidR="008B3CBE">
        <w:t>.</w:t>
      </w:r>
      <w:r>
        <w:t xml:space="preserve"> 565 of the </w:t>
      </w:r>
      <w:r w:rsidRPr="0044399B">
        <w:rPr>
          <w:i/>
        </w:rPr>
        <w:t xml:space="preserve">Fair Work Act </w:t>
      </w:r>
      <w:r w:rsidRPr="009E5871">
        <w:rPr>
          <w:i/>
        </w:rPr>
        <w:t>2009</w:t>
      </w:r>
      <w:r>
        <w:t xml:space="preserve"> (</w:t>
      </w:r>
      <w:proofErr w:type="spellStart"/>
      <w:r>
        <w:t>Cth</w:t>
      </w:r>
      <w:proofErr w:type="spellEnd"/>
      <w:r>
        <w:t>) (the “</w:t>
      </w:r>
      <w:r w:rsidR="00E15A5F" w:rsidRPr="00E15A5F">
        <w:rPr>
          <w:i/>
        </w:rPr>
        <w:t>FW Act</w:t>
      </w:r>
      <w:r>
        <w:t>”).  It relevantly provides as follows:</w:t>
      </w:r>
    </w:p>
    <w:p w:rsidR="003B18D5" w:rsidRPr="003B18D5" w:rsidRDefault="003B18D5" w:rsidP="003B18D5">
      <w:pPr>
        <w:pStyle w:val="Quote1"/>
        <w:rPr>
          <w:b/>
        </w:rPr>
      </w:pPr>
      <w:r w:rsidRPr="003B18D5">
        <w:rPr>
          <w:b/>
        </w:rPr>
        <w:t>Appeals from eligible State or Territory courts</w:t>
      </w:r>
    </w:p>
    <w:p w:rsidR="0044399B" w:rsidRPr="003B18D5" w:rsidRDefault="0044399B" w:rsidP="0044399B">
      <w:pPr>
        <w:pStyle w:val="Quote1"/>
        <w:rPr>
          <w:i/>
        </w:rPr>
      </w:pPr>
      <w:r w:rsidRPr="003B18D5">
        <w:rPr>
          <w:i/>
        </w:rPr>
        <w:t xml:space="preserve">Appeals from original decisions of eligible State or Territory courts </w:t>
      </w:r>
    </w:p>
    <w:p w:rsidR="0044399B" w:rsidRDefault="00303382" w:rsidP="00303382">
      <w:pPr>
        <w:pStyle w:val="Quote1"/>
        <w:ind w:left="1440" w:hanging="703"/>
      </w:pPr>
      <w:r w:rsidRPr="00303382">
        <w:t>(1</w:t>
      </w:r>
      <w:r>
        <w:t>)</w:t>
      </w:r>
      <w:r>
        <w:tab/>
      </w:r>
      <w:r w:rsidR="0044399B">
        <w:t xml:space="preserve">An appeal lies to the Federal Court from a decision of an eligible State or Territory court exercising jurisdiction under this Act. </w:t>
      </w:r>
    </w:p>
    <w:p w:rsidR="0044399B" w:rsidRDefault="00303382" w:rsidP="00303382">
      <w:pPr>
        <w:pStyle w:val="Quote1"/>
        <w:ind w:left="1440" w:hanging="703"/>
      </w:pPr>
      <w:r>
        <w:t>(1A)</w:t>
      </w:r>
      <w:r>
        <w:tab/>
      </w:r>
      <w:r w:rsidR="0044399B">
        <w:t xml:space="preserve">No appeal lies from a decision of an eligible State or Territory court exercising jurisdiction under this Act, except: </w:t>
      </w:r>
    </w:p>
    <w:p w:rsidR="0044399B" w:rsidRDefault="00303382" w:rsidP="00303382">
      <w:pPr>
        <w:pStyle w:val="Quote2"/>
        <w:ind w:left="2160" w:hanging="720"/>
      </w:pPr>
      <w:r>
        <w:t>(a)</w:t>
      </w:r>
      <w:r>
        <w:tab/>
      </w:r>
      <w:r w:rsidR="0044399B">
        <w:t>if the court was e</w:t>
      </w:r>
      <w:r>
        <w:t>xercising summary jurisdiction—</w:t>
      </w:r>
      <w:r w:rsidR="0044399B">
        <w:t>an appeal, to that court or another eligible State or Territory court of the same State or Territory, as provided for by a law of that State or Territory; or</w:t>
      </w:r>
    </w:p>
    <w:p w:rsidR="0044399B" w:rsidRDefault="00303382" w:rsidP="0044399B">
      <w:pPr>
        <w:pStyle w:val="Quote2"/>
      </w:pPr>
      <w:r>
        <w:t>(b)</w:t>
      </w:r>
      <w:r>
        <w:tab/>
        <w:t>in any case—</w:t>
      </w:r>
      <w:r w:rsidR="0044399B">
        <w:t xml:space="preserve">an appeal as provided for by subsection (1). </w:t>
      </w:r>
    </w:p>
    <w:p w:rsidR="0044399B" w:rsidRPr="003B18D5" w:rsidRDefault="0044399B" w:rsidP="0044399B">
      <w:pPr>
        <w:pStyle w:val="Quote1"/>
        <w:rPr>
          <w:i/>
        </w:rPr>
      </w:pPr>
      <w:r w:rsidRPr="003B18D5">
        <w:rPr>
          <w:i/>
        </w:rPr>
        <w:t xml:space="preserve">Appeals from appellate decisions of eligible State or Territory courts </w:t>
      </w:r>
    </w:p>
    <w:p w:rsidR="0044399B" w:rsidRDefault="00303382" w:rsidP="00303382">
      <w:pPr>
        <w:pStyle w:val="Quote1"/>
        <w:ind w:left="1440" w:hanging="703"/>
      </w:pPr>
      <w:r>
        <w:t>(1B)</w:t>
      </w:r>
      <w:r>
        <w:tab/>
      </w:r>
      <w:r w:rsidR="0044399B">
        <w:t xml:space="preserve">An appeal lies to the Federal Court from a decision of an eligible State or Territory court made on appeal from a decision that: </w:t>
      </w:r>
    </w:p>
    <w:p w:rsidR="0044399B" w:rsidRDefault="00303382" w:rsidP="00303382">
      <w:pPr>
        <w:pStyle w:val="Quote2"/>
        <w:ind w:left="2160" w:hanging="720"/>
      </w:pPr>
      <w:r>
        <w:t>(a)</w:t>
      </w:r>
      <w:r>
        <w:tab/>
      </w:r>
      <w:r w:rsidR="0044399B">
        <w:t xml:space="preserve">was a decision of that court or another eligible State or Territory court of the same State or Territory; and </w:t>
      </w:r>
    </w:p>
    <w:p w:rsidR="0044399B" w:rsidRDefault="00303382" w:rsidP="0044399B">
      <w:pPr>
        <w:pStyle w:val="Quote2"/>
      </w:pPr>
      <w:r>
        <w:t>(b)</w:t>
      </w:r>
      <w:r>
        <w:tab/>
      </w:r>
      <w:r w:rsidR="0044399B">
        <w:t xml:space="preserve">was made in the exercise of jurisdiction under this Act. </w:t>
      </w:r>
    </w:p>
    <w:p w:rsidR="0044399B" w:rsidRDefault="00741D44" w:rsidP="00741D44">
      <w:pPr>
        <w:pStyle w:val="Quote1"/>
        <w:ind w:left="1440" w:hanging="703"/>
      </w:pPr>
      <w:r>
        <w:t>(1C)</w:t>
      </w:r>
      <w:r>
        <w:tab/>
      </w:r>
      <w:r w:rsidR="0044399B">
        <w:t xml:space="preserve">No appeal lies from a decision to which subsection (1B) applies, except an appeal as provided for by that subsection. </w:t>
      </w:r>
    </w:p>
    <w:p w:rsidR="00AB43BD" w:rsidRDefault="0044399B" w:rsidP="008B3CBE">
      <w:pPr>
        <w:pStyle w:val="ParaNumbering"/>
      </w:pPr>
      <w:r>
        <w:t xml:space="preserve">In essence, the question for me to determine for the purposes of </w:t>
      </w:r>
      <w:r w:rsidR="008B3CBE">
        <w:t xml:space="preserve">s. </w:t>
      </w:r>
      <w:r>
        <w:t>565 is whether</w:t>
      </w:r>
      <w:r w:rsidR="008B3CBE">
        <w:t xml:space="preserve"> </w:t>
      </w:r>
      <w:r w:rsidR="00A261FC">
        <w:t>t</w:t>
      </w:r>
      <w:r>
        <w:t>he Magistrates</w:t>
      </w:r>
      <w:r w:rsidR="00446F7E">
        <w:t>’</w:t>
      </w:r>
      <w:r>
        <w:t xml:space="preserve"> Court was “exercising jurisdiction under” the </w:t>
      </w:r>
      <w:r w:rsidR="00E15A5F" w:rsidRPr="008B3CBE">
        <w:rPr>
          <w:i/>
        </w:rPr>
        <w:t>FW Act</w:t>
      </w:r>
      <w:r w:rsidR="008B3CBE">
        <w:t xml:space="preserve">.  </w:t>
      </w:r>
      <w:r w:rsidR="00A261FC">
        <w:t>If the Magistrates</w:t>
      </w:r>
      <w:r w:rsidR="00446F7E">
        <w:t>’</w:t>
      </w:r>
      <w:r w:rsidR="00A261FC">
        <w:t xml:space="preserve"> Court did not exercise jurisdiction under the </w:t>
      </w:r>
      <w:r w:rsidR="00E15A5F" w:rsidRPr="008B3CBE">
        <w:rPr>
          <w:i/>
        </w:rPr>
        <w:t>FW Act</w:t>
      </w:r>
      <w:r w:rsidR="00A261FC">
        <w:t>, the appeal to this Court is incompetent.  If the Court did exercise such jurisdiction, but did so exercising “summary jurisdiction”</w:t>
      </w:r>
      <w:r w:rsidR="00E15448">
        <w:t>,</w:t>
      </w:r>
      <w:r w:rsidR="00A261FC">
        <w:t xml:space="preserve"> </w:t>
      </w:r>
      <w:r w:rsidR="008B3CBE">
        <w:t>an</w:t>
      </w:r>
      <w:r w:rsidR="00A261FC">
        <w:t xml:space="preserve"> appeal</w:t>
      </w:r>
      <w:r w:rsidR="008B3CBE">
        <w:t xml:space="preserve"> may be made</w:t>
      </w:r>
      <w:r w:rsidR="00A261FC">
        <w:t xml:space="preserve"> </w:t>
      </w:r>
      <w:r w:rsidR="00E15448" w:rsidRPr="00E15448">
        <w:rPr>
          <w:i/>
        </w:rPr>
        <w:t>either</w:t>
      </w:r>
      <w:r w:rsidR="00E15448">
        <w:t xml:space="preserve"> </w:t>
      </w:r>
      <w:r w:rsidR="00A261FC">
        <w:t xml:space="preserve">to this Court </w:t>
      </w:r>
      <w:r w:rsidR="008B3CBE">
        <w:t>or to an eligible State court</w:t>
      </w:r>
      <w:r w:rsidR="00A261FC">
        <w:t xml:space="preserve">.  </w:t>
      </w:r>
    </w:p>
    <w:p w:rsidR="00B16B43" w:rsidRDefault="00B16B43" w:rsidP="00A261FC">
      <w:pPr>
        <w:pStyle w:val="ParaNumbering"/>
      </w:pPr>
      <w:r>
        <w:lastRenderedPageBreak/>
        <w:t xml:space="preserve">Section 12 of the </w:t>
      </w:r>
      <w:r w:rsidR="00E15A5F" w:rsidRPr="00E15A5F">
        <w:rPr>
          <w:i/>
        </w:rPr>
        <w:t>FW Act</w:t>
      </w:r>
      <w:r>
        <w:t xml:space="preserve"> relevantly defines an “eligible State or Territory court” as follows:</w:t>
      </w:r>
    </w:p>
    <w:p w:rsidR="00B16B43" w:rsidRDefault="00B16B43" w:rsidP="00B16B43">
      <w:pPr>
        <w:pStyle w:val="Quote1"/>
      </w:pPr>
      <w:r w:rsidRPr="00B16B43">
        <w:rPr>
          <w:b/>
          <w:i/>
        </w:rPr>
        <w:t>eligible State or Territory court</w:t>
      </w:r>
      <w:r>
        <w:t xml:space="preserve"> means one of the following courts: </w:t>
      </w:r>
    </w:p>
    <w:p w:rsidR="00B16B43" w:rsidRDefault="00741D44" w:rsidP="00B16B43">
      <w:pPr>
        <w:pStyle w:val="Quote2"/>
      </w:pPr>
      <w:r>
        <w:t>(a)</w:t>
      </w:r>
      <w:r>
        <w:tab/>
      </w:r>
      <w:r w:rsidR="00B16B43">
        <w:t xml:space="preserve">a District, County or Local Court; </w:t>
      </w:r>
    </w:p>
    <w:p w:rsidR="00B16B43" w:rsidRDefault="00741D44" w:rsidP="00B16B43">
      <w:pPr>
        <w:pStyle w:val="Quote2"/>
      </w:pPr>
      <w:r>
        <w:t>(b)</w:t>
      </w:r>
      <w:r>
        <w:tab/>
      </w:r>
      <w:r w:rsidR="00B16B43">
        <w:t xml:space="preserve">a magistrates court; </w:t>
      </w:r>
    </w:p>
    <w:p w:rsidR="00B16B43" w:rsidRDefault="00741D44" w:rsidP="00B16B43">
      <w:pPr>
        <w:pStyle w:val="Quote2"/>
      </w:pPr>
      <w:r>
        <w:t>(c)</w:t>
      </w:r>
      <w:r>
        <w:tab/>
      </w:r>
      <w:r w:rsidR="00B16B43">
        <w:t xml:space="preserve">the Industrial Relations Court of South Australia; </w:t>
      </w:r>
    </w:p>
    <w:p w:rsidR="00B16B43" w:rsidRDefault="00741D44" w:rsidP="00B16B43">
      <w:pPr>
        <w:pStyle w:val="Quote2"/>
      </w:pPr>
      <w:r>
        <w:t>(ca)</w:t>
      </w:r>
      <w:r>
        <w:tab/>
      </w:r>
      <w:r w:rsidR="00B16B43">
        <w:t xml:space="preserve">the Industrial Court of New South Wales; </w:t>
      </w:r>
    </w:p>
    <w:p w:rsidR="00B16B43" w:rsidRDefault="00741D44" w:rsidP="00B16B43">
      <w:pPr>
        <w:pStyle w:val="Quote2"/>
      </w:pPr>
      <w:r>
        <w:t>(d)</w:t>
      </w:r>
      <w:r>
        <w:tab/>
      </w:r>
      <w:r w:rsidR="00B16B43">
        <w:t>any other State or Territory court that is prescribed by the regulations.</w:t>
      </w:r>
    </w:p>
    <w:p w:rsidR="004E16E3" w:rsidRDefault="004E16E3" w:rsidP="00A261FC">
      <w:pPr>
        <w:pStyle w:val="ParaNumbering"/>
      </w:pPr>
      <w:r>
        <w:t xml:space="preserve">Section 2B of the </w:t>
      </w:r>
      <w:r w:rsidRPr="004E16E3">
        <w:rPr>
          <w:i/>
        </w:rPr>
        <w:t>Acts Interpretation Act 1901</w:t>
      </w:r>
      <w:r>
        <w:t xml:space="preserve"> (</w:t>
      </w:r>
      <w:proofErr w:type="spellStart"/>
      <w:r>
        <w:t>Cth</w:t>
      </w:r>
      <w:proofErr w:type="spellEnd"/>
      <w:r>
        <w:t xml:space="preserve">) </w:t>
      </w:r>
      <w:r w:rsidR="00C26053">
        <w:t>(the “</w:t>
      </w:r>
      <w:r w:rsidR="00C26053" w:rsidRPr="00741D44">
        <w:rPr>
          <w:i/>
        </w:rPr>
        <w:t>Interpretation Act</w:t>
      </w:r>
      <w:r w:rsidR="00C26053">
        <w:t xml:space="preserve">”) </w:t>
      </w:r>
      <w:r>
        <w:t>defines a “court of summary jurisdiction” as follows:</w:t>
      </w:r>
    </w:p>
    <w:p w:rsidR="004E16E3" w:rsidRDefault="004E16E3" w:rsidP="004E16E3">
      <w:pPr>
        <w:pStyle w:val="Quote1"/>
      </w:pPr>
      <w:r w:rsidRPr="004E16E3">
        <w:rPr>
          <w:b/>
          <w:i/>
        </w:rPr>
        <w:t>court of summary jurisdiction</w:t>
      </w:r>
      <w:r w:rsidRPr="004E16E3">
        <w:t xml:space="preserve"> means any justice of the peace, or magistrate of a State or Territory, sitting as a court of summary jurisdiction</w:t>
      </w:r>
      <w:r w:rsidR="006C4A71">
        <w:t>.</w:t>
      </w:r>
    </w:p>
    <w:p w:rsidR="004E16E3" w:rsidRDefault="004E16E3" w:rsidP="00A261FC">
      <w:pPr>
        <w:pStyle w:val="ParaNumbering"/>
      </w:pPr>
      <w:r>
        <w:t>Section 2B replaced another d</w:t>
      </w:r>
      <w:r w:rsidR="00C26053">
        <w:t>efinition of the term “court of summary jurisdiction” in former s</w:t>
      </w:r>
      <w:r w:rsidR="00ED1F87">
        <w:t>.</w:t>
      </w:r>
      <w:r w:rsidR="00C26053">
        <w:t xml:space="preserve"> 26 of the </w:t>
      </w:r>
      <w:r w:rsidR="00C26053" w:rsidRPr="008B3CBE">
        <w:rPr>
          <w:i/>
        </w:rPr>
        <w:t>Interpretation Act</w:t>
      </w:r>
      <w:r w:rsidR="00C26053">
        <w:t xml:space="preserve">.  </w:t>
      </w:r>
    </w:p>
    <w:p w:rsidR="00A261FC" w:rsidRDefault="00C70814" w:rsidP="00A261FC">
      <w:pPr>
        <w:pStyle w:val="ParaNumbering"/>
      </w:pPr>
      <w:r>
        <w:t xml:space="preserve">There are a number of provisions of the </w:t>
      </w:r>
      <w:r w:rsidRPr="00C70814">
        <w:rPr>
          <w:i/>
        </w:rPr>
        <w:t>Magistrates</w:t>
      </w:r>
      <w:r w:rsidR="006C4A71">
        <w:rPr>
          <w:i/>
        </w:rPr>
        <w:t>’</w:t>
      </w:r>
      <w:r w:rsidRPr="00C70814">
        <w:rPr>
          <w:i/>
        </w:rPr>
        <w:t xml:space="preserve"> Court Act 1989</w:t>
      </w:r>
      <w:r>
        <w:t xml:space="preserve"> (Vic) (the “</w:t>
      </w:r>
      <w:r w:rsidRPr="00741D44">
        <w:rPr>
          <w:i/>
        </w:rPr>
        <w:t>Magistrates</w:t>
      </w:r>
      <w:r w:rsidR="006C4A71">
        <w:rPr>
          <w:i/>
        </w:rPr>
        <w:t>’</w:t>
      </w:r>
      <w:r w:rsidRPr="00741D44">
        <w:rPr>
          <w:i/>
        </w:rPr>
        <w:t xml:space="preserve"> Court Act</w:t>
      </w:r>
      <w:r>
        <w:t xml:space="preserve">”) </w:t>
      </w:r>
      <w:r w:rsidR="00741D44">
        <w:t xml:space="preserve">to </w:t>
      </w:r>
      <w:r>
        <w:t xml:space="preserve">which </w:t>
      </w:r>
      <w:r w:rsidR="00F0298E">
        <w:t>I should</w:t>
      </w:r>
      <w:r w:rsidR="00741D44">
        <w:t xml:space="preserve"> refer</w:t>
      </w:r>
      <w:r>
        <w:t>.  Section 4(2A) provides:</w:t>
      </w:r>
    </w:p>
    <w:p w:rsidR="00C70814" w:rsidRDefault="00C70814" w:rsidP="00C70814">
      <w:pPr>
        <w:pStyle w:val="Quote1"/>
      </w:pPr>
      <w:r w:rsidRPr="00C70814">
        <w:t>The Court has an Industrial Division.</w:t>
      </w:r>
    </w:p>
    <w:p w:rsidR="00C70814" w:rsidRDefault="00C70814" w:rsidP="00A261FC">
      <w:pPr>
        <w:pStyle w:val="ParaNumbering"/>
      </w:pPr>
      <w:r>
        <w:t xml:space="preserve">Section 4(2B) of the </w:t>
      </w:r>
      <w:r w:rsidRPr="008B3CBE">
        <w:rPr>
          <w:i/>
        </w:rPr>
        <w:t>Magistrates</w:t>
      </w:r>
      <w:r w:rsidR="006C4A71">
        <w:rPr>
          <w:i/>
        </w:rPr>
        <w:t>’</w:t>
      </w:r>
      <w:r w:rsidRPr="008B3CBE">
        <w:rPr>
          <w:i/>
        </w:rPr>
        <w:t xml:space="preserve"> Court Act</w:t>
      </w:r>
      <w:r>
        <w:t xml:space="preserve"> provides:</w:t>
      </w:r>
    </w:p>
    <w:p w:rsidR="00C70814" w:rsidRDefault="00C70814" w:rsidP="00C70814">
      <w:pPr>
        <w:pStyle w:val="Quote1"/>
      </w:pPr>
      <w:r w:rsidRPr="00C70814">
        <w:t>The Industrial Division has such of the powers of the Court as are necessary to enable it to exercise its jurisdiction.</w:t>
      </w:r>
    </w:p>
    <w:p w:rsidR="00C70814" w:rsidRDefault="00C70814" w:rsidP="00A261FC">
      <w:pPr>
        <w:pStyle w:val="ParaNumbering"/>
      </w:pPr>
      <w:r>
        <w:t xml:space="preserve">Section 4(3C) of the </w:t>
      </w:r>
      <w:r w:rsidRPr="008B3CBE">
        <w:rPr>
          <w:i/>
        </w:rPr>
        <w:t>Magistrates</w:t>
      </w:r>
      <w:r w:rsidR="006C4A71">
        <w:rPr>
          <w:i/>
        </w:rPr>
        <w:t>’</w:t>
      </w:r>
      <w:r w:rsidRPr="008B3CBE">
        <w:rPr>
          <w:i/>
        </w:rPr>
        <w:t xml:space="preserve"> Court Act</w:t>
      </w:r>
      <w:r>
        <w:t xml:space="preserve"> provides:</w:t>
      </w:r>
    </w:p>
    <w:p w:rsidR="00C70814" w:rsidRDefault="00C70814" w:rsidP="00C70814">
      <w:pPr>
        <w:pStyle w:val="Quote1"/>
      </w:pPr>
      <w:r w:rsidRPr="00C70814">
        <w:t>The Industrial Division must exercise its jurisdiction with the minimum of legal form and technicality.</w:t>
      </w:r>
    </w:p>
    <w:p w:rsidR="009F598D" w:rsidRDefault="00653CB2" w:rsidP="00303382">
      <w:pPr>
        <w:pStyle w:val="Heading2"/>
      </w:pPr>
      <w:r>
        <w:t>Judgment Below</w:t>
      </w:r>
    </w:p>
    <w:p w:rsidR="008B3CBE" w:rsidRDefault="00653CB2" w:rsidP="008B3CBE">
      <w:pPr>
        <w:pStyle w:val="ParaNumbering"/>
      </w:pPr>
      <w:r>
        <w:t>By a</w:t>
      </w:r>
      <w:r w:rsidR="00B31600">
        <w:t xml:space="preserve"> Notice of</w:t>
      </w:r>
      <w:r>
        <w:t xml:space="preserve"> Complaint dated 7 November 2018, the respondent pleaded that the appellants were in breach of her contract of employment when they failed to pay her accrued long service leave and the balance of</w:t>
      </w:r>
      <w:r w:rsidR="00280281">
        <w:t xml:space="preserve"> her</w:t>
      </w:r>
      <w:r>
        <w:t xml:space="preserve"> accrued annual leave.  These liabilities were said to have arisen upon the respondent ceasing to be employed by the first appellant</w:t>
      </w:r>
      <w:r w:rsidR="00280281">
        <w:t xml:space="preserve"> (or, in the alternative, the second appellant)</w:t>
      </w:r>
      <w:r w:rsidR="00E0775C">
        <w:t xml:space="preserve"> on 1 March 2018</w:t>
      </w:r>
      <w:r>
        <w:t xml:space="preserve">.  The respondent pleaded, as an alternative case, that the appellants were in breach of the </w:t>
      </w:r>
      <w:r w:rsidR="00E0775C" w:rsidRPr="00E0775C">
        <w:rPr>
          <w:i/>
        </w:rPr>
        <w:t>Health Services Union of Australia</w:t>
      </w:r>
      <w:r w:rsidRPr="00E0775C">
        <w:rPr>
          <w:i/>
        </w:rPr>
        <w:t xml:space="preserve"> </w:t>
      </w:r>
      <w:r w:rsidR="00E0775C" w:rsidRPr="00E0775C">
        <w:rPr>
          <w:i/>
        </w:rPr>
        <w:t>(</w:t>
      </w:r>
      <w:r w:rsidRPr="00E0775C">
        <w:rPr>
          <w:i/>
        </w:rPr>
        <w:t>Private Radiology</w:t>
      </w:r>
      <w:r w:rsidR="00280281">
        <w:rPr>
          <w:i/>
        </w:rPr>
        <w:t xml:space="preserve"> – Victoria)</w:t>
      </w:r>
      <w:r w:rsidRPr="00E0775C">
        <w:rPr>
          <w:i/>
        </w:rPr>
        <w:t xml:space="preserve"> Award</w:t>
      </w:r>
      <w:r w:rsidR="00E0775C" w:rsidRPr="00E0775C">
        <w:rPr>
          <w:i/>
        </w:rPr>
        <w:t xml:space="preserve"> 2003</w:t>
      </w:r>
      <w:r>
        <w:t xml:space="preserve"> (the “pre-modern award”).</w:t>
      </w:r>
      <w:r w:rsidR="003953FF">
        <w:t xml:space="preserve"> </w:t>
      </w:r>
      <w:r w:rsidR="008B3CBE">
        <w:t xml:space="preserve"> Paragraph 16 of the Notice of Complaint is as follows:</w:t>
      </w:r>
    </w:p>
    <w:p w:rsidR="008B3CBE" w:rsidRDefault="008B3CBE" w:rsidP="008B3CBE">
      <w:pPr>
        <w:pStyle w:val="Quote1"/>
      </w:pPr>
      <w:r>
        <w:lastRenderedPageBreak/>
        <w:t>Alternati</w:t>
      </w:r>
      <w:r w:rsidR="00C40B3C">
        <w:t>vely, in breach of the pre-modern</w:t>
      </w:r>
      <w:r>
        <w:t xml:space="preserve"> award, the Defendant (s) has failed to or neglected to pay the Plaintiff</w:t>
      </w:r>
      <w:r w:rsidR="00C40B3C">
        <w:t>’</w:t>
      </w:r>
      <w:r>
        <w:t>s accrued long service leave.</w:t>
      </w:r>
    </w:p>
    <w:p w:rsidR="009C1187" w:rsidRDefault="00E0775C" w:rsidP="009C1187">
      <w:pPr>
        <w:pStyle w:val="ParaNumbering"/>
      </w:pPr>
      <w:r>
        <w:t xml:space="preserve">The appellants, by their </w:t>
      </w:r>
      <w:r w:rsidR="00B31600">
        <w:t>Notice of Defence</w:t>
      </w:r>
      <w:r>
        <w:t>, denied that they were in breach of the respondent’s contract of employment.  They also pleaded that the pre-modern award ceased operating from 13 September 2011</w:t>
      </w:r>
      <w:r w:rsidR="008B3CBE">
        <w:t>, thus denying the respondent an alternative basis for being paid accrued long service leave</w:t>
      </w:r>
      <w:r>
        <w:t>.</w:t>
      </w:r>
      <w:r w:rsidR="00741D44">
        <w:t xml:space="preserve"> </w:t>
      </w:r>
      <w:r w:rsidR="00B31600">
        <w:t xml:space="preserve"> In her Notice of Reply, amongst other things, the respondent contended that s</w:t>
      </w:r>
      <w:r w:rsidR="00633046">
        <w:t>.</w:t>
      </w:r>
      <w:r w:rsidR="00B31600">
        <w:t xml:space="preserve"> 113 of the </w:t>
      </w:r>
      <w:r w:rsidR="00E15A5F" w:rsidRPr="00E15A5F">
        <w:rPr>
          <w:i/>
        </w:rPr>
        <w:t>FW Act</w:t>
      </w:r>
      <w:r w:rsidR="00B31600">
        <w:t xml:space="preserve"> preserved her entitlements under the pre-modern award. </w:t>
      </w:r>
      <w:r w:rsidR="00102C9D">
        <w:t xml:space="preserve"> </w:t>
      </w:r>
      <w:r w:rsidR="008B3CBE">
        <w:t>At par</w:t>
      </w:r>
      <w:r w:rsidR="00741D44">
        <w:t>a</w:t>
      </w:r>
      <w:r w:rsidR="008B3CBE">
        <w:t xml:space="preserve"> 1.4, the respondent pleaded as follows:</w:t>
      </w:r>
    </w:p>
    <w:p w:rsidR="009C1187" w:rsidRDefault="009C1187" w:rsidP="00741D44">
      <w:pPr>
        <w:pStyle w:val="Quote1"/>
        <w:ind w:left="1440" w:hanging="703"/>
      </w:pPr>
      <w:r>
        <w:t>1.4.</w:t>
      </w:r>
      <w:r w:rsidR="00741D44">
        <w:tab/>
      </w:r>
      <w:r>
        <w:t>Her l</w:t>
      </w:r>
      <w:r w:rsidR="00741D44">
        <w:t xml:space="preserve">ong service leave entitlements </w:t>
      </w:r>
      <w:r>
        <w:t>under the pre-</w:t>
      </w:r>
      <w:r w:rsidR="00C40B3C">
        <w:t>modern</w:t>
      </w:r>
      <w:r w:rsidR="00741D44">
        <w:t xml:space="preserve"> award are preserved by virtue of section 113 of the </w:t>
      </w:r>
      <w:r w:rsidR="00741D44" w:rsidRPr="00741D44">
        <w:rPr>
          <w:i/>
        </w:rPr>
        <w:t>Fair Work Act 2009</w:t>
      </w:r>
      <w:r w:rsidR="00532E80">
        <w:t xml:space="preserve"> (</w:t>
      </w:r>
      <w:proofErr w:type="spellStart"/>
      <w:r w:rsidR="00532E80">
        <w:t>Cth</w:t>
      </w:r>
      <w:proofErr w:type="spellEnd"/>
      <w:r w:rsidR="00532E80">
        <w:t>) (‘</w:t>
      </w:r>
      <w:r w:rsidR="00532E80" w:rsidRPr="00C40B3C">
        <w:rPr>
          <w:i/>
        </w:rPr>
        <w:t>FWA</w:t>
      </w:r>
      <w:r w:rsidR="00532E80">
        <w:t>’</w:t>
      </w:r>
      <w:r>
        <w:t>).</w:t>
      </w:r>
    </w:p>
    <w:p w:rsidR="009C1187" w:rsidRPr="00C40B3C" w:rsidRDefault="009C1187" w:rsidP="009C1187">
      <w:pPr>
        <w:pStyle w:val="Quote1"/>
        <w:ind w:left="3600"/>
        <w:rPr>
          <w:b/>
        </w:rPr>
      </w:pPr>
      <w:r w:rsidRPr="00C40B3C">
        <w:rPr>
          <w:b/>
        </w:rPr>
        <w:t>Particulars</w:t>
      </w:r>
    </w:p>
    <w:p w:rsidR="009C1187" w:rsidRDefault="00532E80" w:rsidP="00532E80">
      <w:pPr>
        <w:pStyle w:val="Quote2"/>
        <w:ind w:left="2160" w:hanging="720"/>
      </w:pPr>
      <w:r>
        <w:t>A.</w:t>
      </w:r>
      <w:r>
        <w:tab/>
      </w:r>
      <w:r w:rsidR="009C1187">
        <w:t>T</w:t>
      </w:r>
      <w:r w:rsidR="00C40B3C">
        <w:t>he pre-modern</w:t>
      </w:r>
      <w:r>
        <w:t xml:space="preserve"> award outlined the long service leave terms</w:t>
      </w:r>
      <w:r w:rsidR="009C1187">
        <w:t xml:space="preserve"> in relation to the Plaintiff, and as provided in section 113(1) of the </w:t>
      </w:r>
      <w:r w:rsidR="009C1187" w:rsidRPr="00C40B3C">
        <w:rPr>
          <w:i/>
        </w:rPr>
        <w:t>FWA</w:t>
      </w:r>
      <w:r w:rsidR="009C1187">
        <w:t>, the Plaintiff is entitled to long service leave in accordance with those terms (name</w:t>
      </w:r>
      <w:r w:rsidR="00C40B3C">
        <w:t>ly, clause 34.2 of the pre-modern</w:t>
      </w:r>
      <w:r w:rsidR="009C1187">
        <w:t xml:space="preserve"> award).</w:t>
      </w:r>
    </w:p>
    <w:p w:rsidR="009C1187" w:rsidRDefault="00532E80" w:rsidP="00532E80">
      <w:pPr>
        <w:pStyle w:val="Quote2"/>
        <w:ind w:left="2160" w:hanging="720"/>
      </w:pPr>
      <w:r>
        <w:t>B.</w:t>
      </w:r>
      <w:r>
        <w:tab/>
        <w:t xml:space="preserve">Under section 113(3) and (3A) of the </w:t>
      </w:r>
      <w:r w:rsidR="009C1187" w:rsidRPr="00C40B3C">
        <w:rPr>
          <w:i/>
        </w:rPr>
        <w:t>FWA</w:t>
      </w:r>
      <w:r w:rsidR="009C1187">
        <w:t>, the test time was</w:t>
      </w:r>
      <w:r>
        <w:t xml:space="preserve"> 31 </w:t>
      </w:r>
      <w:r w:rsidR="009C1187">
        <w:t>December</w:t>
      </w:r>
      <w:r>
        <w:t xml:space="preserve"> 2009 as the </w:t>
      </w:r>
      <w:r w:rsidRPr="00C40B3C">
        <w:rPr>
          <w:i/>
        </w:rPr>
        <w:t>FWA</w:t>
      </w:r>
      <w:r>
        <w:t xml:space="preserve"> commenced on 1</w:t>
      </w:r>
      <w:r w:rsidR="009C1187">
        <w:t xml:space="preserve"> January 2010.</w:t>
      </w:r>
    </w:p>
    <w:p w:rsidR="009C1187" w:rsidRDefault="00532E80" w:rsidP="00532E80">
      <w:pPr>
        <w:pStyle w:val="Quote2"/>
        <w:ind w:left="2160" w:hanging="720"/>
      </w:pPr>
      <w:r>
        <w:t>C.</w:t>
      </w:r>
      <w:r>
        <w:tab/>
      </w:r>
      <w:r w:rsidR="005D40BF">
        <w:t xml:space="preserve">The </w:t>
      </w:r>
      <w:r w:rsidRPr="00C40B3C">
        <w:rPr>
          <w:i/>
        </w:rPr>
        <w:t>Health Professionals and</w:t>
      </w:r>
      <w:r w:rsidR="009C1187" w:rsidRPr="00C40B3C">
        <w:rPr>
          <w:i/>
        </w:rPr>
        <w:t xml:space="preserve"> Supp</w:t>
      </w:r>
      <w:r w:rsidRPr="00C40B3C">
        <w:rPr>
          <w:i/>
        </w:rPr>
        <w:t>ort Services Award 2010</w:t>
      </w:r>
      <w:r w:rsidR="00C40B3C">
        <w:t xml:space="preserve"> (‘modern</w:t>
      </w:r>
      <w:r>
        <w:t xml:space="preserve"> award’</w:t>
      </w:r>
      <w:r w:rsidR="009C1187">
        <w:t xml:space="preserve">) did not apply at the test time. </w:t>
      </w:r>
      <w:r>
        <w:t xml:space="preserve"> </w:t>
      </w:r>
      <w:r w:rsidR="00C40B3C">
        <w:t>Further, the modern</w:t>
      </w:r>
      <w:r w:rsidR="009C1187">
        <w:t xml:space="preserve"> award does not deal with long service leave, other than to cla</w:t>
      </w:r>
      <w:r w:rsidR="00C40B3C">
        <w:t>rify that the ‘</w:t>
      </w:r>
      <w:r w:rsidR="009C1187">
        <w:t>...</w:t>
      </w:r>
      <w:r w:rsidR="009C1187" w:rsidRPr="00C40B3C">
        <w:rPr>
          <w:i/>
        </w:rPr>
        <w:t>State and Territory long service leave laws or long service leave entitlements under s.113 of the Act, may require</w:t>
      </w:r>
      <w:r w:rsidRPr="00C40B3C">
        <w:rPr>
          <w:i/>
        </w:rPr>
        <w:t xml:space="preserve"> an employer to pay an employee</w:t>
      </w:r>
      <w:r w:rsidR="009C1187" w:rsidRPr="00C40B3C">
        <w:rPr>
          <w:i/>
        </w:rPr>
        <w:t xml:space="preserve"> for accrued long service leave o</w:t>
      </w:r>
      <w:r w:rsidR="00C40B3C">
        <w:rPr>
          <w:i/>
        </w:rPr>
        <w:t>n the day on which the employee’</w:t>
      </w:r>
      <w:r w:rsidR="009C1187" w:rsidRPr="00C40B3C">
        <w:rPr>
          <w:i/>
        </w:rPr>
        <w:t>s employment terminates or shortly after [at 20.3, Note 3]</w:t>
      </w:r>
      <w:r w:rsidR="00C40B3C">
        <w:t>’</w:t>
      </w:r>
      <w:r w:rsidR="009C1187">
        <w:t>.</w:t>
      </w:r>
    </w:p>
    <w:p w:rsidR="009C1187" w:rsidRDefault="00532E80" w:rsidP="009C1187">
      <w:pPr>
        <w:pStyle w:val="Quote2"/>
      </w:pPr>
      <w:r>
        <w:t>D.</w:t>
      </w:r>
      <w:r>
        <w:tab/>
      </w:r>
      <w:r w:rsidR="009C1187">
        <w:t>The pre-modern</w:t>
      </w:r>
      <w:r w:rsidR="00AB4102">
        <w:t xml:space="preserve"> [award]</w:t>
      </w:r>
      <w:r w:rsidR="009C1187">
        <w:t xml:space="preserve"> also existed on 1 January 2010.</w:t>
      </w:r>
    </w:p>
    <w:p w:rsidR="00E0775C" w:rsidRDefault="00532E80" w:rsidP="00532E80">
      <w:pPr>
        <w:pStyle w:val="Quote2"/>
        <w:ind w:left="2160" w:hanging="720"/>
      </w:pPr>
      <w:r>
        <w:t>E.</w:t>
      </w:r>
      <w:r>
        <w:tab/>
      </w:r>
      <w:r w:rsidR="009C1187">
        <w:t xml:space="preserve">Paragraphs 436 to 444 of the Explanatory Memorandum of the </w:t>
      </w:r>
      <w:r w:rsidR="009C1187" w:rsidRPr="00C40B3C">
        <w:rPr>
          <w:i/>
        </w:rPr>
        <w:t>Fair Work Bill</w:t>
      </w:r>
      <w:r w:rsidR="009C1187">
        <w:t xml:space="preserve"> </w:t>
      </w:r>
      <w:r w:rsidR="009C1187" w:rsidRPr="00C40B3C">
        <w:rPr>
          <w:i/>
        </w:rPr>
        <w:t>2008</w:t>
      </w:r>
      <w:r w:rsidR="009C1187">
        <w:t xml:space="preserve"> pertained to long service leave.</w:t>
      </w:r>
      <w:r w:rsidR="00D741A9">
        <w:t xml:space="preserve"> </w:t>
      </w:r>
      <w:r w:rsidR="009C1187">
        <w:t xml:space="preserve"> Under paragraph </w:t>
      </w:r>
      <w:r>
        <w:t>438, the Division ‘</w:t>
      </w:r>
      <w:r w:rsidRPr="00C40B3C">
        <w:rPr>
          <w:i/>
        </w:rPr>
        <w:t>preserves</w:t>
      </w:r>
      <w:r w:rsidR="009C1187" w:rsidRPr="00C40B3C">
        <w:rPr>
          <w:i/>
        </w:rPr>
        <w:t xml:space="preserve"> l</w:t>
      </w:r>
      <w:r w:rsidRPr="00C40B3C">
        <w:rPr>
          <w:i/>
        </w:rPr>
        <w:t xml:space="preserve">ong service leave entitlements in </w:t>
      </w:r>
      <w:proofErr w:type="spellStart"/>
      <w:r w:rsidRPr="00C40B3C">
        <w:rPr>
          <w:i/>
        </w:rPr>
        <w:t>pre­modernised</w:t>
      </w:r>
      <w:proofErr w:type="spellEnd"/>
      <w:r w:rsidRPr="00C40B3C">
        <w:rPr>
          <w:i/>
        </w:rPr>
        <w:t xml:space="preserve"> awards</w:t>
      </w:r>
      <w:r w:rsidR="009C1187" w:rsidRPr="00C40B3C">
        <w:rPr>
          <w:i/>
        </w:rPr>
        <w:t xml:space="preserve"> (referred t</w:t>
      </w:r>
      <w:r w:rsidR="00C40B3C" w:rsidRPr="00C40B3C">
        <w:rPr>
          <w:i/>
        </w:rPr>
        <w:t>o as applicable</w:t>
      </w:r>
      <w:r w:rsidRPr="00C40B3C">
        <w:rPr>
          <w:i/>
        </w:rPr>
        <w:t xml:space="preserve"> award-derived </w:t>
      </w:r>
      <w:r w:rsidR="009C1187" w:rsidRPr="00C40B3C">
        <w:rPr>
          <w:i/>
        </w:rPr>
        <w:t xml:space="preserve">long service leave terms [in the </w:t>
      </w:r>
      <w:r w:rsidR="00C40B3C" w:rsidRPr="00C40B3C">
        <w:rPr>
          <w:i/>
        </w:rPr>
        <w:t>FWA</w:t>
      </w:r>
      <w:r w:rsidR="00C40B3C" w:rsidRPr="00D46984">
        <w:rPr>
          <w:i/>
        </w:rPr>
        <w:t>]</w:t>
      </w:r>
      <w:r w:rsidR="00AB4102">
        <w:t>)</w:t>
      </w:r>
      <w:r w:rsidR="009C1187" w:rsidRPr="00C40B3C">
        <w:t>.</w:t>
      </w:r>
    </w:p>
    <w:p w:rsidR="00122A56" w:rsidRDefault="00122A56" w:rsidP="00122A56">
      <w:pPr>
        <w:pStyle w:val="ParaNumbering"/>
      </w:pPr>
      <w:r>
        <w:t>The written submissions filed by the respondent squarely raised a case that was primarily anchored in contractual claims.  That may be accepted.  However, contrary to the submission of the respondent, it was not exclusively based on those claims.  Her written submissions</w:t>
      </w:r>
      <w:r w:rsidR="00F902AA">
        <w:t xml:space="preserve"> before the Magistrates’ Court </w:t>
      </w:r>
      <w:r>
        <w:t>state as follows:</w:t>
      </w:r>
    </w:p>
    <w:p w:rsidR="00122A56" w:rsidRDefault="00F902AA" w:rsidP="00122A56">
      <w:pPr>
        <w:pStyle w:val="Quote1"/>
      </w:pPr>
      <w:r>
        <w:t xml:space="preserve">[Ms </w:t>
      </w:r>
      <w:proofErr w:type="spellStart"/>
      <w:r>
        <w:t>Ho’s</w:t>
      </w:r>
      <w:proofErr w:type="spellEnd"/>
      <w:r>
        <w:t>]</w:t>
      </w:r>
      <w:r w:rsidR="00A70EAA">
        <w:t xml:space="preserve"> claim is brought in contract – </w:t>
      </w:r>
      <w:r w:rsidR="00122A56">
        <w:t>there is in addition a statutory underpinning of both claims, but it is unnecessary for the Court to determine the matter on that basis as the contractual claims are clear and determinative.</w:t>
      </w:r>
    </w:p>
    <w:p w:rsidR="00122A56" w:rsidRDefault="00122A56" w:rsidP="00122A56">
      <w:pPr>
        <w:pStyle w:val="Quote1"/>
      </w:pPr>
      <w:r>
        <w:t>…</w:t>
      </w:r>
    </w:p>
    <w:p w:rsidR="00122A56" w:rsidRDefault="00122A56" w:rsidP="00122A56">
      <w:pPr>
        <w:pStyle w:val="Quote1"/>
      </w:pPr>
      <w:r>
        <w:t xml:space="preserve">As noted above, quite apart from the contractual claim, there is a statutory underpinning for the claim.  Section 113 of the </w:t>
      </w:r>
      <w:r w:rsidRPr="00A70EAA">
        <w:rPr>
          <w:i/>
        </w:rPr>
        <w:t>Fair Work Act</w:t>
      </w:r>
      <w:r>
        <w:t xml:space="preserve"> provides for the ongoing </w:t>
      </w:r>
      <w:r>
        <w:lastRenderedPageBreak/>
        <w:t>operation of long service leave provisions in Awards in the present circumstances.  The Plaintiff does not however need to rely on her statutory rights – the contractual analysis is sufficient.</w:t>
      </w:r>
    </w:p>
    <w:p w:rsidR="00102C9D" w:rsidRDefault="00B31600" w:rsidP="00653CB2">
      <w:pPr>
        <w:pStyle w:val="ParaNumbering"/>
      </w:pPr>
      <w:r>
        <w:t>The learned magistrate heard the case within the Industrial Division of the Magistrates</w:t>
      </w:r>
      <w:r w:rsidR="00A70EAA">
        <w:t>’</w:t>
      </w:r>
      <w:r>
        <w:t xml:space="preserve"> Court</w:t>
      </w:r>
      <w:r w:rsidR="00AB4102">
        <w:t xml:space="preserve"> of Victoria</w:t>
      </w:r>
      <w:r>
        <w:t>.  The magistrate did not deliver written reasons for decision.  However, a transcript recording the magistrate’s decision was before me.  That transcript reveals that the magistrate accepted the respondent’s claim of breach of contract and did not need to decide the claims made under the pre-modern award.  In that respect, the magistrate</w:t>
      </w:r>
      <w:r w:rsidR="00102C9D">
        <w:t xml:space="preserve"> said:</w:t>
      </w:r>
    </w:p>
    <w:p w:rsidR="00102C9D" w:rsidRDefault="00102C9D" w:rsidP="00102C9D">
      <w:pPr>
        <w:pStyle w:val="Quote1"/>
      </w:pPr>
      <w:r>
        <w:t xml:space="preserve">The plaintiff’s claim was set out in contract and there was a letter of offer which was accepted by the plaintiff from the first defendant. </w:t>
      </w:r>
      <w:r w:rsidR="00D741A9">
        <w:t xml:space="preserve"> </w:t>
      </w:r>
      <w:r>
        <w:t>That is the basis upon which I’ve made by [sic] ruling.</w:t>
      </w:r>
    </w:p>
    <w:p w:rsidR="009C1187" w:rsidRDefault="00102C9D" w:rsidP="00102C9D">
      <w:pPr>
        <w:pStyle w:val="ParaNumbering"/>
      </w:pPr>
      <w:r>
        <w:t>The magistrate</w:t>
      </w:r>
      <w:r w:rsidR="00B31600">
        <w:t xml:space="preserve"> found that the appellants’ defence “had no basis whatsoever”.  It followed that s</w:t>
      </w:r>
      <w:r w:rsidR="00633046">
        <w:t>.</w:t>
      </w:r>
      <w:r w:rsidR="00B31600">
        <w:t xml:space="preserve"> 570 of the </w:t>
      </w:r>
      <w:r w:rsidR="00E15A5F" w:rsidRPr="00E15A5F">
        <w:rPr>
          <w:i/>
        </w:rPr>
        <w:t>FW Act</w:t>
      </w:r>
      <w:r w:rsidR="00B31600">
        <w:t>, which concerns the award</w:t>
      </w:r>
      <w:r w:rsidR="00A463FD">
        <w:t>ing</w:t>
      </w:r>
      <w:r w:rsidR="00B31600">
        <w:t xml:space="preserve"> of costs </w:t>
      </w:r>
      <w:r w:rsidR="00A463FD">
        <w:t>in “proceedings</w:t>
      </w:r>
      <w:r w:rsidR="00A91E16">
        <w:t xml:space="preserve"> </w:t>
      </w:r>
      <w:r w:rsidR="00A463FD">
        <w:t xml:space="preserve">… in relation to a matter arising under” the </w:t>
      </w:r>
      <w:r w:rsidR="00E15A5F" w:rsidRPr="00E15A5F">
        <w:rPr>
          <w:i/>
        </w:rPr>
        <w:t>FW Act</w:t>
      </w:r>
      <w:r w:rsidR="00A463FD">
        <w:t>, did not apply.</w:t>
      </w:r>
      <w:r w:rsidR="009C1187">
        <w:t xml:space="preserve">  </w:t>
      </w:r>
    </w:p>
    <w:p w:rsidR="00A463FD" w:rsidRDefault="00A463FD" w:rsidP="00653CB2">
      <w:pPr>
        <w:pStyle w:val="ParaNumbering"/>
      </w:pPr>
      <w:r>
        <w:t>The appellants seek to appeal that decision to this Court.  For the moment, it is unnecessary to set out the proposed grounds of appeal.</w:t>
      </w:r>
    </w:p>
    <w:p w:rsidR="00A463FD" w:rsidRDefault="00A463FD" w:rsidP="00303382">
      <w:pPr>
        <w:pStyle w:val="Heading2"/>
      </w:pPr>
      <w:r>
        <w:t>Notice of Objection to Competency</w:t>
      </w:r>
    </w:p>
    <w:p w:rsidR="00A463FD" w:rsidRDefault="00A463FD" w:rsidP="00653CB2">
      <w:pPr>
        <w:pStyle w:val="ParaNumbering"/>
      </w:pPr>
      <w:r>
        <w:t>The respondent objected to the competency of the appeal on the following grounds:</w:t>
      </w:r>
    </w:p>
    <w:p w:rsidR="00A463FD" w:rsidRDefault="008F505E" w:rsidP="008F505E">
      <w:pPr>
        <w:pStyle w:val="Quote1"/>
        <w:ind w:left="1440" w:hanging="703"/>
      </w:pPr>
      <w:r w:rsidRPr="008F505E">
        <w:t>1.</w:t>
      </w:r>
      <w:r>
        <w:tab/>
      </w:r>
      <w:r w:rsidR="00A463FD">
        <w:t xml:space="preserve">The judgment appealed from, of the </w:t>
      </w:r>
      <w:r w:rsidR="00E01957">
        <w:t>[</w:t>
      </w:r>
      <w:r w:rsidR="00A463FD">
        <w:t>Magi</w:t>
      </w:r>
      <w:r w:rsidR="00E01957">
        <w:t>strates’] Court of Victoria on 20 </w:t>
      </w:r>
      <w:r w:rsidR="00A463FD">
        <w:t xml:space="preserve">August 2019, was not a decision in which the learned Magistrate was exercising jurisdiction under the </w:t>
      </w:r>
      <w:r w:rsidR="00A463FD" w:rsidRPr="00303382">
        <w:rPr>
          <w:i/>
        </w:rPr>
        <w:t>Fair Work Act 2009</w:t>
      </w:r>
      <w:r w:rsidR="00A463FD">
        <w:t xml:space="preserve"> (</w:t>
      </w:r>
      <w:proofErr w:type="spellStart"/>
      <w:r w:rsidR="00A463FD">
        <w:t>Cth</w:t>
      </w:r>
      <w:proofErr w:type="spellEnd"/>
      <w:r w:rsidR="00A463FD">
        <w:t>) (‘the Act’), and no appeal lies to this Honourable Court under section 565(1) of the Act.</w:t>
      </w:r>
    </w:p>
    <w:p w:rsidR="00A463FD" w:rsidRDefault="008F505E" w:rsidP="008F505E">
      <w:pPr>
        <w:pStyle w:val="Quote1"/>
        <w:ind w:left="1440" w:hanging="703"/>
      </w:pPr>
      <w:r>
        <w:t>2.</w:t>
      </w:r>
      <w:r>
        <w:tab/>
      </w:r>
      <w:r w:rsidR="00102C9D">
        <w:t>The learned Magistrate was not</w:t>
      </w:r>
      <w:r w:rsidR="00A463FD">
        <w:t xml:space="preserve"> otherwise exercising jurisdiction unde</w:t>
      </w:r>
      <w:r w:rsidR="00102C9D">
        <w:t xml:space="preserve">r any law of the Commonwealth, but was determining a contractual claim between the parties </w:t>
      </w:r>
      <w:r w:rsidR="00A463FD">
        <w:t>under secti</w:t>
      </w:r>
      <w:r w:rsidR="00102C9D">
        <w:t>on 100 of the</w:t>
      </w:r>
      <w:r w:rsidR="00A463FD">
        <w:t xml:space="preserve"> </w:t>
      </w:r>
      <w:r w:rsidR="00102C9D">
        <w:t>[</w:t>
      </w:r>
      <w:r w:rsidR="00102C9D">
        <w:rPr>
          <w:i/>
        </w:rPr>
        <w:t>Magistrates’</w:t>
      </w:r>
      <w:r w:rsidR="00102C9D">
        <w:t>]</w:t>
      </w:r>
      <w:r w:rsidR="00102C9D">
        <w:rPr>
          <w:i/>
        </w:rPr>
        <w:t xml:space="preserve"> Court Act</w:t>
      </w:r>
      <w:r w:rsidR="00A463FD" w:rsidRPr="00E01957">
        <w:rPr>
          <w:i/>
        </w:rPr>
        <w:t xml:space="preserve"> 1989</w:t>
      </w:r>
      <w:r w:rsidR="00E01957">
        <w:t xml:space="preserve">  </w:t>
      </w:r>
      <w:r w:rsidR="00102C9D">
        <w:t xml:space="preserve">(Vic), with any appeal </w:t>
      </w:r>
      <w:r w:rsidR="00A463FD">
        <w:t>bei</w:t>
      </w:r>
      <w:r w:rsidR="00102C9D">
        <w:t xml:space="preserve">ng to the Supreme Court of </w:t>
      </w:r>
      <w:r w:rsidR="00A463FD">
        <w:t>Vic</w:t>
      </w:r>
      <w:r w:rsidR="00102C9D">
        <w:t>toria by reason of section 109 of that Act, rather than to</w:t>
      </w:r>
      <w:r w:rsidR="00A463FD">
        <w:t xml:space="preserve"> this Honourable Court.</w:t>
      </w:r>
    </w:p>
    <w:p w:rsidR="00A463FD" w:rsidRDefault="00D1735B" w:rsidP="00303382">
      <w:pPr>
        <w:pStyle w:val="Heading2"/>
      </w:pPr>
      <w:r>
        <w:t>Disposition</w:t>
      </w:r>
    </w:p>
    <w:p w:rsidR="00D1735B" w:rsidRDefault="00AF2EF1" w:rsidP="00D1735B">
      <w:pPr>
        <w:pStyle w:val="ParaNumbering"/>
      </w:pPr>
      <w:r>
        <w:t xml:space="preserve">There are two issues that </w:t>
      </w:r>
      <w:r w:rsidR="009C1187">
        <w:t>should</w:t>
      </w:r>
      <w:r>
        <w:t xml:space="preserve"> be considered for the purposes of s</w:t>
      </w:r>
      <w:r w:rsidR="00633046">
        <w:t>.</w:t>
      </w:r>
      <w:r>
        <w:t xml:space="preserve"> 565 of the </w:t>
      </w:r>
      <w:r w:rsidR="00E15A5F" w:rsidRPr="00E15A5F">
        <w:rPr>
          <w:i/>
        </w:rPr>
        <w:t>FW Act</w:t>
      </w:r>
      <w:r>
        <w:t>:</w:t>
      </w:r>
    </w:p>
    <w:p w:rsidR="00AF2EF1" w:rsidRDefault="00AF2EF1" w:rsidP="00122A56">
      <w:pPr>
        <w:pStyle w:val="ListNo2"/>
        <w:numPr>
          <w:ilvl w:val="1"/>
          <w:numId w:val="24"/>
        </w:numPr>
      </w:pPr>
      <w:r>
        <w:t xml:space="preserve">did the learned magistrate exercise jurisdiction under the </w:t>
      </w:r>
      <w:r w:rsidR="00E15A5F" w:rsidRPr="00E15A5F">
        <w:rPr>
          <w:i/>
        </w:rPr>
        <w:t>FW Act</w:t>
      </w:r>
      <w:r>
        <w:t xml:space="preserve">; </w:t>
      </w:r>
      <w:r w:rsidR="00122A56">
        <w:t>and</w:t>
      </w:r>
    </w:p>
    <w:p w:rsidR="00AF2EF1" w:rsidRDefault="00AF2EF1" w:rsidP="00122A56">
      <w:pPr>
        <w:pStyle w:val="ListNo2"/>
        <w:numPr>
          <w:ilvl w:val="1"/>
          <w:numId w:val="24"/>
        </w:numPr>
      </w:pPr>
      <w:r>
        <w:t>if so, was the court exercising “summary jurisdiction”.</w:t>
      </w:r>
    </w:p>
    <w:p w:rsidR="00122A56" w:rsidRDefault="009C1187" w:rsidP="00122A56">
      <w:pPr>
        <w:pStyle w:val="ParaNumbering"/>
      </w:pPr>
      <w:r>
        <w:t xml:space="preserve">As already mentioned, </w:t>
      </w:r>
      <w:r w:rsidR="00122A56" w:rsidRPr="00122A56">
        <w:t xml:space="preserve">I am satisfied that the learned magistrate decided the case against the appellants on the basis of breach of contract only.  As such, the respondent’s submission would appear to have substantial merit.  In the absence of binding authority I would have accepted it.  </w:t>
      </w:r>
      <w:r w:rsidR="00122A56" w:rsidRPr="00122A56">
        <w:lastRenderedPageBreak/>
        <w:t xml:space="preserve">In my view, there is much to be said for the proposition that to exercise jurisdiction under the </w:t>
      </w:r>
      <w:r w:rsidR="00122A56" w:rsidRPr="00AB4102">
        <w:rPr>
          <w:i/>
        </w:rPr>
        <w:t>FW Act</w:t>
      </w:r>
      <w:r w:rsidR="00AB4102">
        <w:t xml:space="preserve"> requires a c</w:t>
      </w:r>
      <w:r w:rsidR="00122A56" w:rsidRPr="00122A56">
        <w:t xml:space="preserve">ourt to dispose of rights and obligations pursuant to the </w:t>
      </w:r>
      <w:r w:rsidR="00122A56" w:rsidRPr="00AB4102">
        <w:rPr>
          <w:i/>
        </w:rPr>
        <w:t>FW Act</w:t>
      </w:r>
      <w:r w:rsidR="00122A56" w:rsidRPr="00122A56">
        <w:t xml:space="preserve">, in whole or in part.  </w:t>
      </w:r>
    </w:p>
    <w:p w:rsidR="000B327B" w:rsidRDefault="00122A56" w:rsidP="000B327B">
      <w:pPr>
        <w:pStyle w:val="ParaNumbering"/>
      </w:pPr>
      <w:r>
        <w:t>However, binding authority suggests otherwise.</w:t>
      </w:r>
      <w:r w:rsidR="004F6E70">
        <w:t xml:space="preserve">  The case of </w:t>
      </w:r>
      <w:r w:rsidR="004F6E70" w:rsidRPr="00102C9D">
        <w:rPr>
          <w:i/>
        </w:rPr>
        <w:t xml:space="preserve">Moorgate Tobacco </w:t>
      </w:r>
      <w:r w:rsidR="00A77B43" w:rsidRPr="00102C9D">
        <w:rPr>
          <w:i/>
        </w:rPr>
        <w:t>Co Ltd v</w:t>
      </w:r>
      <w:r w:rsidR="005E7295" w:rsidRPr="00102C9D">
        <w:rPr>
          <w:i/>
        </w:rPr>
        <w:t>.</w:t>
      </w:r>
      <w:r w:rsidR="00A77B43" w:rsidRPr="00102C9D">
        <w:rPr>
          <w:i/>
        </w:rPr>
        <w:t xml:space="preserve"> Philip Morris Ltd</w:t>
      </w:r>
      <w:r w:rsidR="00A77B43" w:rsidRPr="00102C9D">
        <w:t xml:space="preserve"> (1980) 145 CLR 457</w:t>
      </w:r>
      <w:r w:rsidR="000B327B" w:rsidRPr="00102C9D">
        <w:t xml:space="preserve"> </w:t>
      </w:r>
      <w:r w:rsidR="000B327B">
        <w:t>concerned an application of s.</w:t>
      </w:r>
      <w:r w:rsidR="00741D44">
        <w:t xml:space="preserve"> </w:t>
      </w:r>
      <w:r w:rsidR="000B327B">
        <w:t xml:space="preserve">39(2) of the </w:t>
      </w:r>
      <w:r w:rsidR="000B327B" w:rsidRPr="000B327B">
        <w:rPr>
          <w:i/>
        </w:rPr>
        <w:t>Judiciary Act 1903</w:t>
      </w:r>
      <w:r w:rsidR="000B327B">
        <w:t xml:space="preserve"> (</w:t>
      </w:r>
      <w:proofErr w:type="spellStart"/>
      <w:r w:rsidR="000B327B">
        <w:t>Cth</w:t>
      </w:r>
      <w:proofErr w:type="spellEnd"/>
      <w:r w:rsidR="000B327B">
        <w:t xml:space="preserve">) </w:t>
      </w:r>
      <w:r w:rsidR="000B327B" w:rsidRPr="000B327B">
        <w:t>which</w:t>
      </w:r>
      <w:r w:rsidR="00970DBA">
        <w:t xml:space="preserve"> was and</w:t>
      </w:r>
      <w:r w:rsidR="000B327B" w:rsidRPr="000B327B">
        <w:t xml:space="preserve"> is</w:t>
      </w:r>
      <w:r w:rsidR="00970DBA">
        <w:t>, so far as relevant,</w:t>
      </w:r>
      <w:r w:rsidR="000B327B" w:rsidRPr="000B327B">
        <w:t xml:space="preserve"> in the following terms:</w:t>
      </w:r>
    </w:p>
    <w:p w:rsidR="000B327B" w:rsidRDefault="00741D44" w:rsidP="00741D44">
      <w:pPr>
        <w:pStyle w:val="Quote1"/>
        <w:ind w:left="1440" w:hanging="703"/>
      </w:pPr>
      <w:r>
        <w:t>(2)</w:t>
      </w:r>
      <w:r>
        <w:tab/>
      </w:r>
      <w:r w:rsidR="000B327B">
        <w:t xml:space="preserve">The several Courts of the States shall within the limits of their several jurisdictions, whether such limits are as to locality, subject-matter, or otherwise, be invested with federal jurisdiction, in all matters in which the High Court has original jurisdiction or in which original jurisdiction can be conferred upon it, except as provided in section 38, and subject to the following conditions and restrictions: </w:t>
      </w:r>
    </w:p>
    <w:p w:rsidR="000B327B" w:rsidRDefault="00741D44" w:rsidP="00741D44">
      <w:pPr>
        <w:pStyle w:val="Quote2"/>
        <w:ind w:left="2160" w:hanging="720"/>
      </w:pPr>
      <w:r>
        <w:t>(a)</w:t>
      </w:r>
      <w:r>
        <w:tab/>
      </w:r>
      <w:r w:rsidR="000B327B">
        <w:t xml:space="preserve">A decision of a Court of a State, whether in original or in appellate jurisdiction, shall not be subject to appeal to Her Majesty in Council, whether by special leave or otherwise. </w:t>
      </w:r>
    </w:p>
    <w:p w:rsidR="00970DBA" w:rsidRDefault="00970DBA" w:rsidP="00741D44">
      <w:pPr>
        <w:pStyle w:val="Quote2"/>
        <w:ind w:left="2160" w:hanging="720"/>
      </w:pPr>
      <w:r>
        <w:t>…</w:t>
      </w:r>
    </w:p>
    <w:p w:rsidR="000B327B" w:rsidRDefault="00741D44" w:rsidP="00741D44">
      <w:pPr>
        <w:pStyle w:val="Quote2"/>
        <w:ind w:left="2160" w:hanging="720"/>
      </w:pPr>
      <w:r>
        <w:t>(c)</w:t>
      </w:r>
      <w:r>
        <w:tab/>
      </w:r>
      <w:r w:rsidR="000B327B">
        <w:t>The High Court may grant special leave to appeal to the High Court from any decision of any Court or Judge of a State notwithstanding that the law of the State may prohibit any appeal from such Court or Judge.</w:t>
      </w:r>
    </w:p>
    <w:p w:rsidR="000B327B" w:rsidRDefault="00E15448" w:rsidP="00A77B43">
      <w:pPr>
        <w:pStyle w:val="ParaNumbering"/>
      </w:pPr>
      <w:r w:rsidRPr="00E15448">
        <w:t>In</w:t>
      </w:r>
      <w:r>
        <w:rPr>
          <w:i/>
        </w:rPr>
        <w:t xml:space="preserve"> </w:t>
      </w:r>
      <w:r w:rsidR="000B327B" w:rsidRPr="00985D07">
        <w:rPr>
          <w:i/>
        </w:rPr>
        <w:t>Moorgate</w:t>
      </w:r>
      <w:r w:rsidR="000B327B">
        <w:t xml:space="preserve"> </w:t>
      </w:r>
      <w:r>
        <w:t>there had been</w:t>
      </w:r>
      <w:r w:rsidR="000B327B">
        <w:t xml:space="preserve"> a dispute in the Supreme Court of New South Wales over the ownership of certain trade names and a trade mark. The applicant’s case was based on contract, trust or fiduciary obligation and the tort of unfair competition.  In its pleading, and in presenting its case, the applicant </w:t>
      </w:r>
      <w:r>
        <w:t xml:space="preserve">also </w:t>
      </w:r>
      <w:r w:rsidR="000B327B">
        <w:t>sought declarations concerning the proprietorship of the names and the mark.  The applicant’s case was dismissed</w:t>
      </w:r>
      <w:r w:rsidR="00660486">
        <w:t xml:space="preserve"> based on contract, trust and tort</w:t>
      </w:r>
      <w:r w:rsidR="000B327B">
        <w:t xml:space="preserve">.  </w:t>
      </w:r>
      <w:r w:rsidR="00EA7719">
        <w:t xml:space="preserve">The Court considered that the question of proprietorship should be left for determination in opposition proceedings under the former </w:t>
      </w:r>
      <w:r w:rsidR="00EA7719" w:rsidRPr="00985D07">
        <w:rPr>
          <w:i/>
        </w:rPr>
        <w:t>Trade Marks Act 1955</w:t>
      </w:r>
      <w:r w:rsidR="00EA7719">
        <w:t xml:space="preserve"> (</w:t>
      </w:r>
      <w:proofErr w:type="spellStart"/>
      <w:r w:rsidR="00EA7719">
        <w:t>Cth</w:t>
      </w:r>
      <w:proofErr w:type="spellEnd"/>
      <w:r w:rsidR="00EA7719">
        <w:t>).  The applicant</w:t>
      </w:r>
      <w:r w:rsidR="000B327B">
        <w:t xml:space="preserve"> sought</w:t>
      </w:r>
      <w:r w:rsidR="00985D07">
        <w:t xml:space="preserve"> conditional leave to appeal to Her Majesty in Council.  The issue for determination was whether</w:t>
      </w:r>
      <w:r>
        <w:t>, for the purposes of s. 39(2),</w:t>
      </w:r>
      <w:r w:rsidR="00AB4102">
        <w:t xml:space="preserve"> the Supreme Court had</w:t>
      </w:r>
      <w:r w:rsidR="00985D07">
        <w:t xml:space="preserve"> exercised federal jurisdiction in making its orders</w:t>
      </w:r>
      <w:r>
        <w:t xml:space="preserve">.  It if had, no </w:t>
      </w:r>
      <w:r w:rsidR="00985D07">
        <w:t>right of appeal</w:t>
      </w:r>
      <w:r>
        <w:t xml:space="preserve"> lay</w:t>
      </w:r>
      <w:r w:rsidR="00985D07">
        <w:t xml:space="preserve"> to the Privy Council.  The High Court decided that by raising for determination the issue of the ownership of the </w:t>
      </w:r>
      <w:r w:rsidR="005A4F2A">
        <w:t xml:space="preserve">trade names and the </w:t>
      </w:r>
      <w:r w:rsidR="00985D07">
        <w:t xml:space="preserve">trade mark under the former </w:t>
      </w:r>
      <w:r w:rsidR="00985D07" w:rsidRPr="00985D07">
        <w:rPr>
          <w:i/>
        </w:rPr>
        <w:t>Trade Marks Act 1955</w:t>
      </w:r>
      <w:r w:rsidR="00985D07">
        <w:t xml:space="preserve"> (</w:t>
      </w:r>
      <w:proofErr w:type="spellStart"/>
      <w:r w:rsidR="00985D07">
        <w:t>Cth</w:t>
      </w:r>
      <w:proofErr w:type="spellEnd"/>
      <w:r w:rsidR="00985D07">
        <w:t>), the Court had exercised federal ju</w:t>
      </w:r>
      <w:r>
        <w:t>risdiction for the purposes of that provision</w:t>
      </w:r>
      <w:r w:rsidR="00985D07">
        <w:t>.</w:t>
      </w:r>
    </w:p>
    <w:p w:rsidR="00A77B43" w:rsidRDefault="00EA0F78" w:rsidP="00660486">
      <w:pPr>
        <w:pStyle w:val="ParaNumbering"/>
        <w:keepNext/>
        <w:keepLines/>
      </w:pPr>
      <w:r>
        <w:t>Relevantly,</w:t>
      </w:r>
      <w:r w:rsidR="00A77B43">
        <w:t xml:space="preserve"> </w:t>
      </w:r>
      <w:r w:rsidR="005E7295">
        <w:t xml:space="preserve">Stephen, Mason, </w:t>
      </w:r>
      <w:proofErr w:type="spellStart"/>
      <w:r w:rsidR="005E7295">
        <w:t>Aickin</w:t>
      </w:r>
      <w:proofErr w:type="spellEnd"/>
      <w:r w:rsidR="005E7295">
        <w:t xml:space="preserve"> and Wilson JJ. said at 476:</w:t>
      </w:r>
    </w:p>
    <w:p w:rsidR="00AF2EF1" w:rsidRDefault="00A77B43" w:rsidP="00A77B43">
      <w:pPr>
        <w:pStyle w:val="Quote1"/>
      </w:pPr>
      <w:r w:rsidRPr="00A77B43">
        <w:t xml:space="preserve">The cases establish that federal jurisdiction is attracted if the right or duty based in a federal statute is directly asserted by the plaintiff or defendant, but not if the federal </w:t>
      </w:r>
      <w:r w:rsidRPr="00A77B43">
        <w:lastRenderedPageBreak/>
        <w:t xml:space="preserve">question arises only in some incidental fashion. </w:t>
      </w:r>
      <w:r w:rsidR="005D40BF">
        <w:t xml:space="preserve"> </w:t>
      </w:r>
      <w:r w:rsidRPr="00A77B43">
        <w:t xml:space="preserve">So too federal jurisdiction is attracted if the court finds it necessary to decide whether or not a right or duty based in federal law exists, even if that matter has not been pleaded by the parties. </w:t>
      </w:r>
      <w:r w:rsidR="005D40BF">
        <w:t xml:space="preserve"> </w:t>
      </w:r>
      <w:r w:rsidRPr="00A77B43">
        <w:t>But the converse is not true.</w:t>
      </w:r>
      <w:r w:rsidR="005D40BF">
        <w:t xml:space="preserve"> </w:t>
      </w:r>
      <w:r w:rsidRPr="00A77B43">
        <w:t xml:space="preserve"> </w:t>
      </w:r>
      <w:r w:rsidRPr="00EA0F78">
        <w:rPr>
          <w:i/>
        </w:rPr>
        <w:t>If a federal matter is raised on the pleadings federal jurisdiction is exercised, notwithstanding that the court finds it unnecessary to decide the federal question because the case can be disposed of on other grounds</w:t>
      </w:r>
      <w:r w:rsidRPr="00A77B43">
        <w:t>.</w:t>
      </w:r>
    </w:p>
    <w:p w:rsidR="000B0C58" w:rsidRDefault="005D40BF" w:rsidP="00A77B43">
      <w:pPr>
        <w:pStyle w:val="Quote1"/>
      </w:pPr>
      <w:r>
        <w:t>(E</w:t>
      </w:r>
      <w:r w:rsidR="000B0C58">
        <w:t>mphasis</w:t>
      </w:r>
      <w:r>
        <w:t xml:space="preserve"> added.</w:t>
      </w:r>
      <w:r w:rsidR="000B0C58">
        <w:t>)</w:t>
      </w:r>
    </w:p>
    <w:p w:rsidR="00D04964" w:rsidRDefault="00102C9D" w:rsidP="00C55CA8">
      <w:pPr>
        <w:pStyle w:val="ParaNumbering"/>
      </w:pPr>
      <w:r>
        <w:t>Ms Preston of Counsel</w:t>
      </w:r>
      <w:r w:rsidR="00525A7B">
        <w:t>,</w:t>
      </w:r>
      <w:r>
        <w:t xml:space="preserve"> who appeared for the appellants</w:t>
      </w:r>
      <w:r w:rsidR="00525A7B">
        <w:t>,</w:t>
      </w:r>
      <w:r>
        <w:t xml:space="preserve"> submitted that </w:t>
      </w:r>
      <w:r w:rsidR="00122A56">
        <w:t xml:space="preserve">there is no reason to consider that </w:t>
      </w:r>
      <w:r w:rsidR="00E231B0">
        <w:t xml:space="preserve">the foregoing observations </w:t>
      </w:r>
      <w:r w:rsidR="00122A56">
        <w:t xml:space="preserve">do not </w:t>
      </w:r>
      <w:r w:rsidR="00E231B0">
        <w:t xml:space="preserve">apply equally to a determination of whether the magistrate here was exercising jurisdiction under the </w:t>
      </w:r>
      <w:r w:rsidR="00E231B0" w:rsidRPr="00E231B0">
        <w:rPr>
          <w:i/>
        </w:rPr>
        <w:t>FW Act</w:t>
      </w:r>
      <w:r w:rsidR="00E231B0">
        <w:t xml:space="preserve">.  </w:t>
      </w:r>
      <w:r>
        <w:t xml:space="preserve">I respectfully agree.  </w:t>
      </w:r>
      <w:r w:rsidR="00E231B0">
        <w:t xml:space="preserve">In other words, if a </w:t>
      </w:r>
      <w:r w:rsidR="00E231B0" w:rsidRPr="00E231B0">
        <w:rPr>
          <w:i/>
        </w:rPr>
        <w:t>FW Act</w:t>
      </w:r>
      <w:r w:rsidR="00E231B0">
        <w:t xml:space="preserve"> matter “is raised on t</w:t>
      </w:r>
      <w:r w:rsidR="00863677">
        <w:t>he pleadings” the c</w:t>
      </w:r>
      <w:r w:rsidR="00E231B0">
        <w:t xml:space="preserve">ourt will be exercising jurisdiction under the </w:t>
      </w:r>
      <w:r w:rsidR="00E231B0" w:rsidRPr="00E231B0">
        <w:rPr>
          <w:i/>
        </w:rPr>
        <w:t>FW Act</w:t>
      </w:r>
      <w:r w:rsidR="00863677">
        <w:t xml:space="preserve"> for the purposes of s. 565</w:t>
      </w:r>
      <w:r w:rsidR="00E231B0">
        <w:t>.</w:t>
      </w:r>
      <w:r w:rsidR="005D40BF">
        <w:t xml:space="preserve"> </w:t>
      </w:r>
      <w:r w:rsidR="00E231B0">
        <w:t xml:space="preserve"> </w:t>
      </w:r>
      <w:r w:rsidR="00FC74E9">
        <w:t>And that will be so, whether or not the claim is or is not dealt with by the judge (or here, magistrate).</w:t>
      </w:r>
      <w:r w:rsidR="00E231B0">
        <w:t xml:space="preserve"> </w:t>
      </w:r>
      <w:r w:rsidR="005D40BF">
        <w:t xml:space="preserve"> </w:t>
      </w:r>
      <w:r w:rsidR="00E231B0">
        <w:t>Of course, the matter must be properly and expressly raised on the pleadings.  The claim must</w:t>
      </w:r>
      <w:r w:rsidR="00FC74E9">
        <w:t xml:space="preserve"> also</w:t>
      </w:r>
      <w:r w:rsidR="00E231B0">
        <w:t xml:space="preserve"> be genuine.  It must not be so minor and incidental as</w:t>
      </w:r>
      <w:r w:rsidR="00D04964">
        <w:t xml:space="preserve"> to be of no consequence</w:t>
      </w:r>
      <w:r w:rsidR="00C55CA8">
        <w:t>: c.f.,</w:t>
      </w:r>
      <w:r w:rsidR="00D04964">
        <w:t xml:space="preserve"> </w:t>
      </w:r>
      <w:r w:rsidR="00E231B0" w:rsidRPr="00102C9D">
        <w:rPr>
          <w:i/>
        </w:rPr>
        <w:t>Elders Ltd v.</w:t>
      </w:r>
      <w:r w:rsidR="00C55CA8" w:rsidRPr="00102C9D">
        <w:rPr>
          <w:i/>
        </w:rPr>
        <w:t xml:space="preserve"> </w:t>
      </w:r>
      <w:proofErr w:type="spellStart"/>
      <w:r w:rsidR="00E231B0" w:rsidRPr="00102C9D">
        <w:rPr>
          <w:i/>
        </w:rPr>
        <w:t>Swinbank</w:t>
      </w:r>
      <w:proofErr w:type="spellEnd"/>
      <w:r w:rsidR="00D04964" w:rsidRPr="00102C9D">
        <w:t xml:space="preserve"> </w:t>
      </w:r>
      <w:r w:rsidR="00E231B0" w:rsidRPr="00102C9D">
        <w:t>(2000) 96 FCR 303</w:t>
      </w:r>
      <w:r w:rsidR="00D04964" w:rsidRPr="00102C9D">
        <w:t xml:space="preserve"> </w:t>
      </w:r>
      <w:r w:rsidR="00C55CA8">
        <w:t xml:space="preserve">at </w:t>
      </w:r>
      <w:r w:rsidR="00EA7719">
        <w:t xml:space="preserve">308 </w:t>
      </w:r>
      <w:r w:rsidR="00C55CA8">
        <w:t xml:space="preserve">[16]-[17] per </w:t>
      </w:r>
      <w:r w:rsidR="00D04964" w:rsidRPr="00D04964">
        <w:t xml:space="preserve">Drummond, </w:t>
      </w:r>
      <w:proofErr w:type="spellStart"/>
      <w:r w:rsidR="00D04964" w:rsidRPr="00D04964">
        <w:t>Sundberg</w:t>
      </w:r>
      <w:proofErr w:type="spellEnd"/>
      <w:r w:rsidR="00D04964" w:rsidRPr="00D04964">
        <w:t xml:space="preserve"> and Marshall JJ.</w:t>
      </w:r>
    </w:p>
    <w:p w:rsidR="00F902AA" w:rsidRDefault="00F902AA" w:rsidP="00122A56">
      <w:pPr>
        <w:pStyle w:val="ParaNumbering"/>
      </w:pPr>
      <w:r>
        <w:t xml:space="preserve">Ms Preston </w:t>
      </w:r>
      <w:r w:rsidR="003107BF">
        <w:t xml:space="preserve">also </w:t>
      </w:r>
      <w:r>
        <w:t>made the following points:</w:t>
      </w:r>
    </w:p>
    <w:p w:rsidR="00F902AA" w:rsidRDefault="00F902AA" w:rsidP="00863677">
      <w:pPr>
        <w:pStyle w:val="ListNo1"/>
        <w:numPr>
          <w:ilvl w:val="0"/>
          <w:numId w:val="28"/>
        </w:numPr>
      </w:pPr>
      <w:r w:rsidRPr="00863677">
        <w:rPr>
          <w:i/>
        </w:rPr>
        <w:t>first</w:t>
      </w:r>
      <w:r>
        <w:t xml:space="preserve">, she submitted that the respondent’s </w:t>
      </w:r>
      <w:r w:rsidR="00261DBF">
        <w:t>primary reliance on its contractual claim</w:t>
      </w:r>
      <w:r>
        <w:t xml:space="preserve"> was not tantamount to an abandonment of the claim in relation to breach of the pre</w:t>
      </w:r>
      <w:r>
        <w:noBreakHyphen/>
        <w:t>modern award;</w:t>
      </w:r>
      <w:r w:rsidR="003107BF">
        <w:t xml:space="preserve"> and</w:t>
      </w:r>
    </w:p>
    <w:p w:rsidR="00F902AA" w:rsidRDefault="00F902AA" w:rsidP="00863677">
      <w:pPr>
        <w:pStyle w:val="ListNo1"/>
        <w:numPr>
          <w:ilvl w:val="0"/>
          <w:numId w:val="28"/>
        </w:numPr>
      </w:pPr>
      <w:r w:rsidRPr="00863677">
        <w:rPr>
          <w:i/>
        </w:rPr>
        <w:t>secondly</w:t>
      </w:r>
      <w:r w:rsidR="003107BF">
        <w:t xml:space="preserve">, she submitted that had the magistrate formed a different view on the merits of the contractual claim, he would have been obliged to consider whether a breach of the </w:t>
      </w:r>
      <w:r w:rsidR="00863677">
        <w:t xml:space="preserve">pre-modern </w:t>
      </w:r>
      <w:r w:rsidR="003107BF">
        <w:t xml:space="preserve">award had been established by reason of the “pleading (and the way the case was conducted)”. </w:t>
      </w:r>
    </w:p>
    <w:p w:rsidR="00122A56" w:rsidRDefault="003107BF" w:rsidP="00122A56">
      <w:pPr>
        <w:pStyle w:val="ParaNumbering"/>
      </w:pPr>
      <w:r>
        <w:t xml:space="preserve">Contrastingly, </w:t>
      </w:r>
      <w:r w:rsidR="00122A56">
        <w:t>Mr Millar of Counsel</w:t>
      </w:r>
      <w:r w:rsidR="00525A7B">
        <w:t>,</w:t>
      </w:r>
      <w:r w:rsidR="00EA7719">
        <w:t xml:space="preserve"> who appeared</w:t>
      </w:r>
      <w:r w:rsidR="00122A56">
        <w:t xml:space="preserve"> for the respondent, submitted that </w:t>
      </w:r>
      <w:r w:rsidR="00122A56" w:rsidRPr="002E438A">
        <w:rPr>
          <w:i/>
        </w:rPr>
        <w:t>Moorgate</w:t>
      </w:r>
      <w:r w:rsidR="00122A56">
        <w:t xml:space="preserve"> was distinguishable.  I am grateful to him for the assistance he gave the Court on this issue in supplementary submissions</w:t>
      </w:r>
      <w:r w:rsidR="00EA7719">
        <w:t xml:space="preserve"> filed on behalf of the respondent.  Mr Millar</w:t>
      </w:r>
      <w:r w:rsidR="00122A56">
        <w:t xml:space="preserve"> made the following points:</w:t>
      </w:r>
    </w:p>
    <w:p w:rsidR="00122A56" w:rsidRDefault="00122A56" w:rsidP="00863677">
      <w:pPr>
        <w:pStyle w:val="ListNo1"/>
        <w:numPr>
          <w:ilvl w:val="0"/>
          <w:numId w:val="29"/>
        </w:numPr>
      </w:pPr>
      <w:r w:rsidRPr="00863677">
        <w:rPr>
          <w:i/>
        </w:rPr>
        <w:t>first</w:t>
      </w:r>
      <w:r>
        <w:t xml:space="preserve">, he submitted that </w:t>
      </w:r>
      <w:r w:rsidRPr="00863677">
        <w:rPr>
          <w:i/>
        </w:rPr>
        <w:t>Moorgate</w:t>
      </w:r>
      <w:r>
        <w:t xml:space="preserve"> was concerned with a different issue, namely the extent of the Privy Council’s appellate jurisdiction over state courts in Australia.  </w:t>
      </w:r>
      <w:r w:rsidRPr="00863677">
        <w:rPr>
          <w:i/>
        </w:rPr>
        <w:t>Moorgate</w:t>
      </w:r>
      <w:r>
        <w:t xml:space="preserve"> was described by him as </w:t>
      </w:r>
      <w:r w:rsidR="00863677">
        <w:t xml:space="preserve">an </w:t>
      </w:r>
      <w:r>
        <w:t>important ruling “in the context of the evolving independence of the Australian judicial system”;</w:t>
      </w:r>
    </w:p>
    <w:p w:rsidR="00122A56" w:rsidRDefault="00122A56" w:rsidP="00863677">
      <w:pPr>
        <w:pStyle w:val="ListNo1"/>
      </w:pPr>
      <w:r w:rsidRPr="00122A56">
        <w:rPr>
          <w:i/>
        </w:rPr>
        <w:lastRenderedPageBreak/>
        <w:t>secondly</w:t>
      </w:r>
      <w:r>
        <w:t xml:space="preserve">, it was submitted that in </w:t>
      </w:r>
      <w:r w:rsidRPr="00534AA2">
        <w:rPr>
          <w:i/>
        </w:rPr>
        <w:t>Moorgate</w:t>
      </w:r>
      <w:r>
        <w:t>, federal jurisdiction had been clearly invoked with the trade mark claims.  Here, the respondent’s claims were only based on her contract with the appellant(s).  For the purpose of considering that contention, I was urged not to take “an overly technical view of the pleadings” because the case had been heard in the Industrial Division of the Magistrates</w:t>
      </w:r>
      <w:r w:rsidR="005A4F2A">
        <w:t>’</w:t>
      </w:r>
      <w:r>
        <w:t xml:space="preserve"> Court (the role of that Division is discussed below);</w:t>
      </w:r>
    </w:p>
    <w:p w:rsidR="00122A56" w:rsidRDefault="00122A56" w:rsidP="00863677">
      <w:pPr>
        <w:pStyle w:val="ListNo1"/>
      </w:pPr>
      <w:r w:rsidRPr="00122A56">
        <w:rPr>
          <w:i/>
        </w:rPr>
        <w:t>thirdly</w:t>
      </w:r>
      <w:r>
        <w:t xml:space="preserve">, it was submitted that it was not enough that federal jurisdiction under the </w:t>
      </w:r>
      <w:r w:rsidRPr="00534AA2">
        <w:rPr>
          <w:i/>
        </w:rPr>
        <w:t>FW Act</w:t>
      </w:r>
      <w:r>
        <w:t xml:space="preserve"> might have been attracted; rights under that Act must be “enlivened”.  In that respect, it was submitted that the “decision” the subject of appeal to this Court must be one which involved the </w:t>
      </w:r>
      <w:r w:rsidRPr="00DA3C26">
        <w:rPr>
          <w:i/>
        </w:rPr>
        <w:t>FW Act</w:t>
      </w:r>
      <w:r>
        <w:t xml:space="preserve">.  Mr Millar referred the Court to </w:t>
      </w:r>
      <w:proofErr w:type="spellStart"/>
      <w:r w:rsidRPr="00102C9D">
        <w:rPr>
          <w:i/>
        </w:rPr>
        <w:t>Maughan</w:t>
      </w:r>
      <w:proofErr w:type="spellEnd"/>
      <w:r w:rsidRPr="00102C9D">
        <w:rPr>
          <w:i/>
        </w:rPr>
        <w:t xml:space="preserve"> </w:t>
      </w:r>
      <w:proofErr w:type="spellStart"/>
      <w:r w:rsidRPr="00102C9D">
        <w:rPr>
          <w:i/>
        </w:rPr>
        <w:t>Thiem</w:t>
      </w:r>
      <w:proofErr w:type="spellEnd"/>
      <w:r w:rsidRPr="00102C9D">
        <w:rPr>
          <w:i/>
        </w:rPr>
        <w:t xml:space="preserve"> Auto Sales Pty Ltd v. Cooper</w:t>
      </w:r>
      <w:r w:rsidRPr="00102C9D">
        <w:t xml:space="preserve"> </w:t>
      </w:r>
      <w:r w:rsidR="008067DE" w:rsidRPr="00102C9D">
        <w:t>(2013) 216 FCR 197</w:t>
      </w:r>
      <w:r>
        <w:t>.  In simple terms, s. 565, it was said, “requires the exercise of jurisdiction, not just its existence”</w:t>
      </w:r>
      <w:r w:rsidR="005D40BF">
        <w:t>.</w:t>
      </w:r>
      <w:r>
        <w:t xml:space="preserve">  </w:t>
      </w:r>
    </w:p>
    <w:p w:rsidR="00122A56" w:rsidRDefault="00122A56" w:rsidP="00122A56">
      <w:pPr>
        <w:pStyle w:val="ParaNumbering"/>
      </w:pPr>
      <w:r>
        <w:t>After some hesitation, I respectfully disagree with Mr Millar’s submission</w:t>
      </w:r>
      <w:r w:rsidR="008067DE">
        <w:t>s</w:t>
      </w:r>
      <w:r>
        <w:t xml:space="preserve"> for the following reasons.</w:t>
      </w:r>
    </w:p>
    <w:p w:rsidR="000B0C58" w:rsidRDefault="00122A56" w:rsidP="00D1735B">
      <w:pPr>
        <w:pStyle w:val="ParaNumbering"/>
      </w:pPr>
      <w:r w:rsidRPr="00122A56">
        <w:rPr>
          <w:i/>
        </w:rPr>
        <w:t>First</w:t>
      </w:r>
      <w:r>
        <w:t xml:space="preserve">, </w:t>
      </w:r>
      <w:r w:rsidR="005E7295">
        <w:t>it was not</w:t>
      </w:r>
      <w:r w:rsidR="00E231B0">
        <w:t xml:space="preserve"> really</w:t>
      </w:r>
      <w:r w:rsidR="005E7295">
        <w:t xml:space="preserve"> disputed that the claims made under the pre-modern award </w:t>
      </w:r>
      <w:r w:rsidR="00D46984">
        <w:t>sought to invoke a</w:t>
      </w:r>
      <w:r w:rsidR="005E7295">
        <w:t xml:space="preserve"> jurisdiction arising under the </w:t>
      </w:r>
      <w:r w:rsidR="00E15A5F" w:rsidRPr="00E15A5F">
        <w:rPr>
          <w:i/>
        </w:rPr>
        <w:t>FW Act</w:t>
      </w:r>
      <w:r>
        <w:rPr>
          <w:i/>
        </w:rPr>
        <w:t xml:space="preserve">, </w:t>
      </w:r>
      <w:r>
        <w:t>in particular s. 113 of that Act</w:t>
      </w:r>
      <w:r w:rsidR="005E7295">
        <w:t xml:space="preserve">.  </w:t>
      </w:r>
      <w:r w:rsidR="00D46984">
        <w:t xml:space="preserve">Both parties accepted that s. 113 </w:t>
      </w:r>
      <w:r w:rsidR="00A445C0">
        <w:t xml:space="preserve">preserves the effect of long service leave terms in pre-modernised awards.  </w:t>
      </w:r>
      <w:r w:rsidR="00D46984">
        <w:t xml:space="preserve">Whether that provision would have applied as </w:t>
      </w:r>
      <w:r w:rsidR="00A445C0">
        <w:t>the</w:t>
      </w:r>
      <w:r w:rsidR="00004E0F">
        <w:t xml:space="preserve"> only</w:t>
      </w:r>
      <w:r w:rsidR="00A445C0">
        <w:t xml:space="preserve"> </w:t>
      </w:r>
      <w:r w:rsidR="00D46984">
        <w:t xml:space="preserve">ground </w:t>
      </w:r>
      <w:r w:rsidR="00A445C0">
        <w:t xml:space="preserve">to enforce such terms </w:t>
      </w:r>
      <w:r w:rsidR="00D46984">
        <w:t xml:space="preserve">raises </w:t>
      </w:r>
      <w:r w:rsidR="00004E0F">
        <w:t xml:space="preserve">potentially difficult </w:t>
      </w:r>
      <w:r w:rsidR="00D46984">
        <w:t xml:space="preserve">issues concerning the enforcement of pre-modern awards by the </w:t>
      </w:r>
      <w:r w:rsidR="00D46984">
        <w:rPr>
          <w:i/>
        </w:rPr>
        <w:t>FW</w:t>
      </w:r>
      <w:r w:rsidR="00D46984" w:rsidRPr="00D46984">
        <w:rPr>
          <w:i/>
        </w:rPr>
        <w:t xml:space="preserve"> Act</w:t>
      </w:r>
      <w:r w:rsidR="00D46984" w:rsidRPr="00D46984">
        <w:t xml:space="preserve">.  </w:t>
      </w:r>
      <w:r w:rsidR="00ED1F87" w:rsidRPr="00D46984">
        <w:t>That is because</w:t>
      </w:r>
      <w:r w:rsidR="00D46984" w:rsidRPr="00D46984">
        <w:t>, on one</w:t>
      </w:r>
      <w:r w:rsidR="00E231B0" w:rsidRPr="00D46984">
        <w:t xml:space="preserve"> view,</w:t>
      </w:r>
      <w:r w:rsidR="00ED1F87" w:rsidRPr="00D46984">
        <w:t xml:space="preserve"> item 2 of Sch. 16</w:t>
      </w:r>
      <w:r w:rsidR="008067DE" w:rsidRPr="00D46984">
        <w:t xml:space="preserve"> to</w:t>
      </w:r>
      <w:r w:rsidR="00633046" w:rsidRPr="00D46984">
        <w:t xml:space="preserve"> the </w:t>
      </w:r>
      <w:r w:rsidR="00633046" w:rsidRPr="00D46984">
        <w:rPr>
          <w:i/>
        </w:rPr>
        <w:t>Fair Work (Transitional Provisions and Consequential Amendments)</w:t>
      </w:r>
      <w:r w:rsidR="00633046" w:rsidRPr="00102C9D">
        <w:rPr>
          <w:i/>
        </w:rPr>
        <w:t xml:space="preserve"> Act 2009</w:t>
      </w:r>
      <w:r w:rsidR="00633046" w:rsidRPr="00102C9D">
        <w:t xml:space="preserve"> (</w:t>
      </w:r>
      <w:proofErr w:type="spellStart"/>
      <w:r w:rsidR="00633046" w:rsidRPr="00102C9D">
        <w:t>Cth</w:t>
      </w:r>
      <w:proofErr w:type="spellEnd"/>
      <w:r w:rsidR="00633046" w:rsidRPr="00102C9D">
        <w:t>)</w:t>
      </w:r>
      <w:r w:rsidR="00633046">
        <w:t xml:space="preserve"> (the “</w:t>
      </w:r>
      <w:r w:rsidR="00633046" w:rsidRPr="008067DE">
        <w:rPr>
          <w:i/>
        </w:rPr>
        <w:t>Transitional Act</w:t>
      </w:r>
      <w:r w:rsidR="00633046">
        <w:t xml:space="preserve">”) </w:t>
      </w:r>
      <w:r w:rsidR="00D46984">
        <w:t>may have been engaged</w:t>
      </w:r>
      <w:r w:rsidR="00616B44">
        <w:t xml:space="preserve"> in addition to s. </w:t>
      </w:r>
      <w:r w:rsidR="00A445C0">
        <w:t>113.  Item 2</w:t>
      </w:r>
      <w:r w:rsidR="00D46984">
        <w:t xml:space="preserve"> </w:t>
      </w:r>
      <w:r w:rsidR="00633046">
        <w:t xml:space="preserve">provides that a person must not contravene a term of an </w:t>
      </w:r>
      <w:r w:rsidR="008067DE">
        <w:t>“</w:t>
      </w:r>
      <w:r w:rsidR="00A445C0">
        <w:t>award</w:t>
      </w:r>
      <w:r w:rsidR="00A445C0">
        <w:noBreakHyphen/>
      </w:r>
      <w:r w:rsidR="00633046">
        <w:t>based transitional instrument</w:t>
      </w:r>
      <w:r w:rsidR="008067DE">
        <w:t>”</w:t>
      </w:r>
      <w:r w:rsidR="00633046">
        <w:t>.  The pre-modern award here is s</w:t>
      </w:r>
      <w:r w:rsidR="00863677">
        <w:t>uch an instrument: see Sch. 3 to</w:t>
      </w:r>
      <w:r w:rsidR="00633046">
        <w:t xml:space="preserve"> the </w:t>
      </w:r>
      <w:r w:rsidR="00633046" w:rsidRPr="00633046">
        <w:rPr>
          <w:i/>
        </w:rPr>
        <w:t>Transitional Act</w:t>
      </w:r>
      <w:r w:rsidR="00633046">
        <w:t>.</w:t>
      </w:r>
      <w:r w:rsidR="005E7295">
        <w:t xml:space="preserve">  </w:t>
      </w:r>
      <w:r w:rsidR="00633046">
        <w:t>Item 16 of Sch.</w:t>
      </w:r>
      <w:r w:rsidR="008067DE">
        <w:t xml:space="preserve"> </w:t>
      </w:r>
      <w:r w:rsidR="00633046">
        <w:t xml:space="preserve">16 </w:t>
      </w:r>
      <w:r w:rsidR="00616B44">
        <w:t>confers</w:t>
      </w:r>
      <w:r w:rsidR="00633046">
        <w:t xml:space="preserve"> on the Magistrates</w:t>
      </w:r>
      <w:r w:rsidR="008067DE">
        <w:t>’</w:t>
      </w:r>
      <w:r w:rsidR="00633046">
        <w:t xml:space="preserve"> Court jurisdiction with respect </w:t>
      </w:r>
      <w:r w:rsidR="008067DE">
        <w:t xml:space="preserve">to </w:t>
      </w:r>
      <w:r w:rsidR="00B16B43">
        <w:t>breaches of item 2 of Sch.</w:t>
      </w:r>
      <w:r w:rsidR="008067DE">
        <w:t xml:space="preserve"> </w:t>
      </w:r>
      <w:r w:rsidR="00B16B43">
        <w:t>16.</w:t>
      </w:r>
      <w:r w:rsidR="00633046">
        <w:t xml:space="preserve">  </w:t>
      </w:r>
      <w:r w:rsidR="00A445C0">
        <w:t>In any event, I ne</w:t>
      </w:r>
      <w:r w:rsidR="00196B5E">
        <w:t>ed not decide whether either s. </w:t>
      </w:r>
      <w:r w:rsidR="00A445C0">
        <w:t>113</w:t>
      </w:r>
      <w:r w:rsidR="00616B44">
        <w:t xml:space="preserve"> or item </w:t>
      </w:r>
      <w:r w:rsidR="00A445C0">
        <w:t xml:space="preserve">2 or both might have applied.  It is sufficient to observe that either way, a claim was made under the </w:t>
      </w:r>
      <w:r w:rsidR="00A445C0">
        <w:rPr>
          <w:i/>
        </w:rPr>
        <w:t xml:space="preserve">FW Act </w:t>
      </w:r>
      <w:r w:rsidR="00A445C0">
        <w:t xml:space="preserve">on the pleadings. </w:t>
      </w:r>
    </w:p>
    <w:p w:rsidR="000B0C58" w:rsidRDefault="00122A56" w:rsidP="00122A56">
      <w:pPr>
        <w:pStyle w:val="ParaNumbering"/>
      </w:pPr>
      <w:r w:rsidRPr="00122A56">
        <w:rPr>
          <w:i/>
        </w:rPr>
        <w:t>Secondly</w:t>
      </w:r>
      <w:r>
        <w:t>, i</w:t>
      </w:r>
      <w:r w:rsidR="00E231B0" w:rsidRPr="00122A56">
        <w:t>t</w:t>
      </w:r>
      <w:r w:rsidR="00E231B0">
        <w:t xml:space="preserve"> is also my view that</w:t>
      </w:r>
      <w:r w:rsidR="000B0C58">
        <w:t xml:space="preserve"> the invocation of the pre-modern award by the respondent was sufficiently “raised on the pleadings”</w:t>
      </w:r>
      <w:r>
        <w:t xml:space="preserve">, to use the language of </w:t>
      </w:r>
      <w:r>
        <w:rPr>
          <w:i/>
        </w:rPr>
        <w:t>Moorgate</w:t>
      </w:r>
      <w:r>
        <w:t>,</w:t>
      </w:r>
      <w:r w:rsidR="000B0C58">
        <w:t xml:space="preserve"> to </w:t>
      </w:r>
      <w:r w:rsidR="009A5B76">
        <w:t>clothe the M</w:t>
      </w:r>
      <w:r w:rsidR="00E231B0">
        <w:t>agistrates</w:t>
      </w:r>
      <w:r w:rsidR="009A5B76">
        <w:t>’ C</w:t>
      </w:r>
      <w:r w:rsidR="00E231B0">
        <w:t xml:space="preserve">ourt with jurisdiction under the </w:t>
      </w:r>
      <w:r w:rsidR="00E231B0" w:rsidRPr="00E231B0">
        <w:rPr>
          <w:i/>
        </w:rPr>
        <w:t>FW Act</w:t>
      </w:r>
      <w:r w:rsidR="00E231B0">
        <w:t xml:space="preserve">.  </w:t>
      </w:r>
      <w:r w:rsidR="00FC74E9">
        <w:t>I do not accept that no claim was made under the pre-modern award.  The structure</w:t>
      </w:r>
      <w:r w:rsidR="00C55CA8">
        <w:t xml:space="preserve"> of the Notice of Complaint was to make a primary claim in contract, and then make an “alternative” claim under the </w:t>
      </w:r>
      <w:r w:rsidR="00E02270">
        <w:t xml:space="preserve">pre-modern </w:t>
      </w:r>
      <w:r w:rsidR="00863677">
        <w:t xml:space="preserve">award.  In the </w:t>
      </w:r>
      <w:r w:rsidR="00863677">
        <w:lastRenderedPageBreak/>
        <w:t>appellants’</w:t>
      </w:r>
      <w:r w:rsidR="00C55CA8">
        <w:t xml:space="preserve"> defence, the application of</w:t>
      </w:r>
      <w:r w:rsidR="00863677">
        <w:t xml:space="preserve"> that award was disputed. In her</w:t>
      </w:r>
      <w:r w:rsidR="00C55CA8">
        <w:t xml:space="preserve"> reply, the respondent expressly pleaded to the contrary.  The claim was thus genuinely made and pursued, and the issue of the application of the pre-modern award was </w:t>
      </w:r>
      <w:r w:rsidR="00E15448">
        <w:t xml:space="preserve">fully </w:t>
      </w:r>
      <w:r w:rsidR="00C55CA8">
        <w:t>engaged before the</w:t>
      </w:r>
      <w:r w:rsidR="009A5B76">
        <w:t xml:space="preserve"> Magistrates’</w:t>
      </w:r>
      <w:r w:rsidR="00C55CA8">
        <w:t xml:space="preserve"> Court.</w:t>
      </w:r>
      <w:r>
        <w:t xml:space="preserve">  </w:t>
      </w:r>
      <w:r w:rsidRPr="00122A56">
        <w:t xml:space="preserve">As the respondent’s written submissions made clear, the contractual claims were not the only matters raised before the learned magistrate.  In that respect, it may be accepted that the </w:t>
      </w:r>
      <w:r w:rsidRPr="00122A56">
        <w:rPr>
          <w:i/>
        </w:rPr>
        <w:t>FW Act</w:t>
      </w:r>
      <w:r w:rsidRPr="00122A56">
        <w:t xml:space="preserve"> claims receded in importance as the claims in contract were found to have been soundly made. </w:t>
      </w:r>
      <w:r>
        <w:t xml:space="preserve"> </w:t>
      </w:r>
      <w:r w:rsidRPr="00122A56">
        <w:t>But it does not follow that they should be ignored.</w:t>
      </w:r>
    </w:p>
    <w:p w:rsidR="00122A56" w:rsidRDefault="00122A56" w:rsidP="00D1735B">
      <w:pPr>
        <w:pStyle w:val="ParaNumbering"/>
      </w:pPr>
      <w:r w:rsidRPr="00122A56">
        <w:rPr>
          <w:i/>
        </w:rPr>
        <w:t>Thirdly</w:t>
      </w:r>
      <w:r>
        <w:t xml:space="preserve">, I agree that the context in which </w:t>
      </w:r>
      <w:r w:rsidRPr="00E74EAD">
        <w:rPr>
          <w:i/>
        </w:rPr>
        <w:t>Moorgate</w:t>
      </w:r>
      <w:r>
        <w:t xml:space="preserve"> was decided was different.  However, the decisive feature of the passage set out above from the judgment of the plurality is the proposition that a court exercises federal jurisdiction when a federal claim is before it.  And it exercises such jurisdiction even when it has not made any decision concerning a </w:t>
      </w:r>
      <w:r w:rsidR="005D40BF">
        <w:t xml:space="preserve">federal matter.  </w:t>
      </w:r>
      <w:r>
        <w:t xml:space="preserve">That conclusion is, in my opinion, compelled by the passage from </w:t>
      </w:r>
      <w:r w:rsidRPr="00081D82">
        <w:rPr>
          <w:i/>
        </w:rPr>
        <w:t>Moorgate</w:t>
      </w:r>
      <w:r>
        <w:t xml:space="preserve"> that I have set out above.</w:t>
      </w:r>
    </w:p>
    <w:p w:rsidR="00122A56" w:rsidRDefault="009A5B76" w:rsidP="00122A56">
      <w:pPr>
        <w:pStyle w:val="ParaNumbering"/>
      </w:pPr>
      <w:r>
        <w:t>The decision of the F</w:t>
      </w:r>
      <w:r w:rsidR="00122A56">
        <w:t xml:space="preserve">ull Court of this Court in </w:t>
      </w:r>
      <w:proofErr w:type="spellStart"/>
      <w:r w:rsidR="00122A56" w:rsidRPr="00081D82">
        <w:rPr>
          <w:i/>
        </w:rPr>
        <w:t>Maughan</w:t>
      </w:r>
      <w:proofErr w:type="spellEnd"/>
      <w:r w:rsidR="00122A56" w:rsidRPr="00081D82">
        <w:rPr>
          <w:i/>
        </w:rPr>
        <w:t xml:space="preserve"> </w:t>
      </w:r>
      <w:proofErr w:type="spellStart"/>
      <w:r w:rsidR="00122A56" w:rsidRPr="00081D82">
        <w:rPr>
          <w:i/>
        </w:rPr>
        <w:t>Thiem</w:t>
      </w:r>
      <w:proofErr w:type="spellEnd"/>
      <w:r w:rsidR="00122A56" w:rsidRPr="00081D82">
        <w:rPr>
          <w:i/>
        </w:rPr>
        <w:t xml:space="preserve"> Auto Sales</w:t>
      </w:r>
      <w:r w:rsidR="00122A56">
        <w:t xml:space="preserve"> requires no contrary conclusion.  That case stands for the proposition that a “decision” under s</w:t>
      </w:r>
      <w:r>
        <w:t>.</w:t>
      </w:r>
      <w:r w:rsidR="00122A56">
        <w:t xml:space="preserve"> 565 must be one in which orders have been made by a court that determines or disposes of a matter.</w:t>
      </w:r>
    </w:p>
    <w:p w:rsidR="000C1EAF" w:rsidRDefault="00122A56" w:rsidP="00D1735B">
      <w:pPr>
        <w:pStyle w:val="ParaNumbering"/>
      </w:pPr>
      <w:r>
        <w:t xml:space="preserve">I also </w:t>
      </w:r>
      <w:r w:rsidR="000C1EAF">
        <w:t xml:space="preserve">think that the recent decisions of </w:t>
      </w:r>
      <w:proofErr w:type="spellStart"/>
      <w:r w:rsidR="000C1EAF">
        <w:t>Ierodiaconou</w:t>
      </w:r>
      <w:proofErr w:type="spellEnd"/>
      <w:r w:rsidR="000C1EAF">
        <w:t xml:space="preserve"> </w:t>
      </w:r>
      <w:proofErr w:type="spellStart"/>
      <w:r w:rsidR="000C1EAF">
        <w:t>As</w:t>
      </w:r>
      <w:r w:rsidR="00741D44">
        <w:t>.</w:t>
      </w:r>
      <w:r w:rsidR="000C1EAF">
        <w:t>J</w:t>
      </w:r>
      <w:proofErr w:type="spellEnd"/>
      <w:r w:rsidR="000C1EAF">
        <w:t xml:space="preserve">. in </w:t>
      </w:r>
      <w:r w:rsidR="000C1EAF" w:rsidRPr="00102C9D">
        <w:rPr>
          <w:i/>
        </w:rPr>
        <w:t>Tucker v. State of Victoria</w:t>
      </w:r>
      <w:r w:rsidR="000C1EAF" w:rsidRPr="00102C9D">
        <w:t xml:space="preserve"> [2019] VSC 481</w:t>
      </w:r>
      <w:r w:rsidR="00FC0E3D">
        <w:t xml:space="preserve"> and </w:t>
      </w:r>
      <w:r w:rsidR="000C1EAF">
        <w:t xml:space="preserve">of the Victorian Court of Appeal in </w:t>
      </w:r>
      <w:r w:rsidR="00741D44" w:rsidRPr="00102C9D">
        <w:rPr>
          <w:i/>
        </w:rPr>
        <w:t xml:space="preserve">Bannon v. </w:t>
      </w:r>
      <w:r w:rsidR="000C1EAF" w:rsidRPr="00102C9D">
        <w:rPr>
          <w:i/>
        </w:rPr>
        <w:t>Nauru Phosphate Royalties Trust</w:t>
      </w:r>
      <w:r w:rsidR="000C1EAF" w:rsidRPr="00102C9D">
        <w:t xml:space="preserve"> [2019] VSCA 303</w:t>
      </w:r>
      <w:r w:rsidR="000C1EAF">
        <w:t xml:space="preserve"> </w:t>
      </w:r>
      <w:r w:rsidR="00196B5E">
        <w:t xml:space="preserve">do not </w:t>
      </w:r>
      <w:r w:rsidR="000C1EAF">
        <w:t xml:space="preserve">compel any contrary conclusion.  Neither decision addressed </w:t>
      </w:r>
      <w:r w:rsidR="000C1EAF" w:rsidRPr="000C1EAF">
        <w:rPr>
          <w:i/>
        </w:rPr>
        <w:t>Moorgate</w:t>
      </w:r>
      <w:r w:rsidR="000C1EAF">
        <w:t>.</w:t>
      </w:r>
    </w:p>
    <w:p w:rsidR="00A77B43" w:rsidRDefault="00C55CA8" w:rsidP="00D1735B">
      <w:pPr>
        <w:pStyle w:val="ParaNumbering"/>
      </w:pPr>
      <w:r>
        <w:t>For these reasons,</w:t>
      </w:r>
      <w:r w:rsidR="005E7295">
        <w:t xml:space="preserve"> the magistrate was exercising federal jurisdiction under the </w:t>
      </w:r>
      <w:r w:rsidR="00E15A5F" w:rsidRPr="00E15A5F">
        <w:rPr>
          <w:i/>
        </w:rPr>
        <w:t>FW Act</w:t>
      </w:r>
      <w:r w:rsidR="005E7295">
        <w:t xml:space="preserve"> when he decided the case pleaded by the respondent.</w:t>
      </w:r>
      <w:r w:rsidR="005312AE">
        <w:t xml:space="preserve">  The first </w:t>
      </w:r>
      <w:r w:rsidR="000E1720">
        <w:t xml:space="preserve">and second </w:t>
      </w:r>
      <w:r w:rsidR="005312AE">
        <w:t>ground</w:t>
      </w:r>
      <w:r w:rsidR="000E1720">
        <w:t>s</w:t>
      </w:r>
      <w:r w:rsidR="005312AE">
        <w:t xml:space="preserve"> relied upon by the respondent </w:t>
      </w:r>
      <w:r w:rsidR="000E1720">
        <w:t>are</w:t>
      </w:r>
      <w:r w:rsidR="005312AE">
        <w:t xml:space="preserve"> not made out.</w:t>
      </w:r>
      <w:r>
        <w:t xml:space="preserve">  This Court has jurisdiction to hear this appeal.</w:t>
      </w:r>
    </w:p>
    <w:p w:rsidR="005E7295" w:rsidRDefault="00C55CA8" w:rsidP="00D1735B">
      <w:pPr>
        <w:pStyle w:val="ParaNumbering"/>
      </w:pPr>
      <w:r>
        <w:t>As a matter of completeness, f</w:t>
      </w:r>
      <w:r w:rsidR="002E5AAB">
        <w:t>or the reasons which follow</w:t>
      </w:r>
      <w:r w:rsidR="00237CEA">
        <w:t>,</w:t>
      </w:r>
      <w:r w:rsidR="002E5AAB">
        <w:t xml:space="preserve"> I am</w:t>
      </w:r>
      <w:r>
        <w:t xml:space="preserve"> </w:t>
      </w:r>
      <w:r w:rsidR="002E5AAB">
        <w:t>of the view that the magistrate was exercising summary jurisdiction for the purposes of s</w:t>
      </w:r>
      <w:r w:rsidR="00E15A5F">
        <w:t>.</w:t>
      </w:r>
      <w:r w:rsidR="002E5AAB">
        <w:t xml:space="preserve"> 565(1A)</w:t>
      </w:r>
      <w:r>
        <w:t xml:space="preserve"> of the </w:t>
      </w:r>
      <w:r w:rsidRPr="00C55CA8">
        <w:rPr>
          <w:i/>
        </w:rPr>
        <w:t>FW Act</w:t>
      </w:r>
      <w:r>
        <w:t xml:space="preserve"> and that accordingly an appeal could </w:t>
      </w:r>
      <w:r w:rsidR="00E15448">
        <w:t xml:space="preserve">also </w:t>
      </w:r>
      <w:r>
        <w:t>have been made to an eligible State court</w:t>
      </w:r>
      <w:r w:rsidR="002E5AAB">
        <w:t>.</w:t>
      </w:r>
      <w:r w:rsidR="00616B44">
        <w:t xml:space="preserve">  </w:t>
      </w:r>
    </w:p>
    <w:p w:rsidR="002E5AAB" w:rsidRDefault="00D95735" w:rsidP="00E97C95">
      <w:pPr>
        <w:pStyle w:val="ParaNumbering"/>
      </w:pPr>
      <w:r>
        <w:t xml:space="preserve">In </w:t>
      </w:r>
      <w:proofErr w:type="spellStart"/>
      <w:r w:rsidR="00237CEA" w:rsidRPr="00102C9D">
        <w:rPr>
          <w:i/>
        </w:rPr>
        <w:t>Plancor</w:t>
      </w:r>
      <w:proofErr w:type="spellEnd"/>
      <w:r w:rsidR="00237CEA" w:rsidRPr="00102C9D">
        <w:rPr>
          <w:i/>
        </w:rPr>
        <w:t xml:space="preserve"> </w:t>
      </w:r>
      <w:r w:rsidRPr="00102C9D">
        <w:rPr>
          <w:i/>
        </w:rPr>
        <w:t>Pty Ltd v. Liquor Hospitality and Miscellaneous Union</w:t>
      </w:r>
      <w:r w:rsidRPr="00102C9D">
        <w:t xml:space="preserve"> (2008) 171 FCR 357</w:t>
      </w:r>
      <w:r>
        <w:t xml:space="preserve">, one of the issues for determination was whether an industrial magistrate sitting in the Industrial Relations Court of South Australia constituted a court of summary jurisdiction when determining whether to impose penalties for breaches of the former </w:t>
      </w:r>
      <w:r w:rsidRPr="00D95735">
        <w:rPr>
          <w:i/>
        </w:rPr>
        <w:t xml:space="preserve">Workplace Relations Act </w:t>
      </w:r>
      <w:r w:rsidRPr="00D95735">
        <w:rPr>
          <w:i/>
        </w:rPr>
        <w:lastRenderedPageBreak/>
        <w:t>1996</w:t>
      </w:r>
      <w:r w:rsidR="00741D44">
        <w:t xml:space="preserve"> (</w:t>
      </w:r>
      <w:proofErr w:type="spellStart"/>
      <w:r w:rsidR="00741D44">
        <w:t>Cth</w:t>
      </w:r>
      <w:proofErr w:type="spellEnd"/>
      <w:r w:rsidR="00741D44">
        <w:t xml:space="preserve">).  </w:t>
      </w:r>
      <w:proofErr w:type="spellStart"/>
      <w:r>
        <w:t>Gray</w:t>
      </w:r>
      <w:proofErr w:type="spellEnd"/>
      <w:r>
        <w:t xml:space="preserve"> J. (Branson and Lander JJ. not deciding)</w:t>
      </w:r>
      <w:r w:rsidR="005D40BF">
        <w:t xml:space="preserve"> considered an earlier Full C</w:t>
      </w:r>
      <w:r w:rsidR="00E97C95">
        <w:t xml:space="preserve">ourt decision in </w:t>
      </w:r>
      <w:r w:rsidR="00E97C95" w:rsidRPr="00E97C95">
        <w:rPr>
          <w:i/>
        </w:rPr>
        <w:t>John L Pierce Pty Ltd v</w:t>
      </w:r>
      <w:r w:rsidR="00E97C95">
        <w:rPr>
          <w:i/>
        </w:rPr>
        <w:t>.</w:t>
      </w:r>
      <w:r w:rsidR="00E97C95" w:rsidRPr="00E97C95">
        <w:rPr>
          <w:i/>
        </w:rPr>
        <w:t xml:space="preserve"> Kennedy</w:t>
      </w:r>
      <w:r w:rsidR="00E97C95" w:rsidRPr="00E97C95">
        <w:t xml:space="preserve"> (2000) 104 FCR 225</w:t>
      </w:r>
      <w:r w:rsidR="00E97C95">
        <w:t xml:space="preserve"> and said at</w:t>
      </w:r>
      <w:r w:rsidR="0067707C">
        <w:t xml:space="preserve"> 365</w:t>
      </w:r>
      <w:r w:rsidR="00E97C95">
        <w:t xml:space="preserve"> [26]:</w:t>
      </w:r>
    </w:p>
    <w:p w:rsidR="00E97C95" w:rsidRDefault="00E97C95" w:rsidP="00E97C95">
      <w:pPr>
        <w:pStyle w:val="Quote1"/>
      </w:pPr>
      <w:r w:rsidRPr="00E97C95">
        <w:t xml:space="preserve">The Full Court in </w:t>
      </w:r>
      <w:r w:rsidRPr="005D40BF">
        <w:rPr>
          <w:i/>
        </w:rPr>
        <w:t>John L Pierce Pty Ltd v Kennedy</w:t>
      </w:r>
      <w:r w:rsidR="0067707C">
        <w:t xml:space="preserve"> [2000] FCA 1729;</w:t>
      </w:r>
      <w:r w:rsidRPr="00E97C95">
        <w:t xml:space="preserve"> (2000) 104 FCR 225 thought that informality of procedures, relative to the procedures of higher courts, was t</w:t>
      </w:r>
      <w:r w:rsidR="005D40BF">
        <w:t>he key to the meaning of “summary”</w:t>
      </w:r>
      <w:r w:rsidRPr="00E97C95">
        <w:t xml:space="preserve"> in s 26(d) of the </w:t>
      </w:r>
      <w:r w:rsidRPr="0067707C">
        <w:rPr>
          <w:i/>
        </w:rPr>
        <w:t>Acts Interpretation Act</w:t>
      </w:r>
      <w:r w:rsidRPr="00E97C95">
        <w:t xml:space="preserve">. This is implicit in the reasons for judgment of Whitlam J at [23] and expressed in the reasons for judgment of </w:t>
      </w:r>
      <w:proofErr w:type="spellStart"/>
      <w:r w:rsidRPr="00E97C95">
        <w:t>Madgwick</w:t>
      </w:r>
      <w:proofErr w:type="spellEnd"/>
      <w:r w:rsidRPr="00E97C95">
        <w:t xml:space="preserve"> J at [28].</w:t>
      </w:r>
      <w:r w:rsidR="00196B5E">
        <w:t xml:space="preserve">  </w:t>
      </w:r>
      <w:r w:rsidRPr="00E97C95">
        <w:t>The presiding judge, O’Connor J, agreed with both</w:t>
      </w:r>
      <w:r w:rsidR="0067707C">
        <w:t xml:space="preserve"> …</w:t>
      </w:r>
    </w:p>
    <w:p w:rsidR="00E97C95" w:rsidRDefault="00E97C95" w:rsidP="00E97C95">
      <w:pPr>
        <w:pStyle w:val="ParaNumbering"/>
      </w:pPr>
      <w:proofErr w:type="spellStart"/>
      <w:r>
        <w:t>Gray</w:t>
      </w:r>
      <w:proofErr w:type="spellEnd"/>
      <w:r>
        <w:t xml:space="preserve"> J</w:t>
      </w:r>
      <w:r w:rsidR="00C55CA8">
        <w:t>.</w:t>
      </w:r>
      <w:r>
        <w:t xml:space="preserve"> considered that an exercise of summary jurisdiction extended to both civil and criminal matters.  In determining whether a court was exercising sum</w:t>
      </w:r>
      <w:r w:rsidR="00C55CA8">
        <w:t>mary jurisdiction would depend</w:t>
      </w:r>
      <w:r>
        <w:t xml:space="preserve">, his Honour considered, on the nature of the judicial officer </w:t>
      </w:r>
      <w:r w:rsidR="00C55CA8">
        <w:t>in question</w:t>
      </w:r>
      <w:r>
        <w:t xml:space="preserve"> </w:t>
      </w:r>
      <w:r w:rsidR="00FC0E3D">
        <w:t>and the particular task of the c</w:t>
      </w:r>
      <w:r>
        <w:t>ourt.  At</w:t>
      </w:r>
      <w:r w:rsidR="0067707C">
        <w:t xml:space="preserve"> 366</w:t>
      </w:r>
      <w:r>
        <w:t xml:space="preserve"> [28]</w:t>
      </w:r>
      <w:r w:rsidR="0067707C">
        <w:t>,</w:t>
      </w:r>
      <w:r>
        <w:t xml:space="preserve"> his Honour said:</w:t>
      </w:r>
    </w:p>
    <w:p w:rsidR="00E97C95" w:rsidRDefault="00E97C95" w:rsidP="00E97C95">
      <w:pPr>
        <w:pStyle w:val="Quote1"/>
      </w:pPr>
      <w:r w:rsidRPr="00E97C95">
        <w:t>Relative informality of procedures is not a test that gives ce</w:t>
      </w:r>
      <w:r w:rsidR="005D40BF">
        <w:t>rtainty of meaning to the word “summary”</w:t>
      </w:r>
      <w:r w:rsidRPr="00E97C95">
        <w:t xml:space="preserve"> in the definition in s 26(d) of the </w:t>
      </w:r>
      <w:r w:rsidRPr="0067707C">
        <w:rPr>
          <w:i/>
        </w:rPr>
        <w:t>Acts Interpretation Act</w:t>
      </w:r>
      <w:r w:rsidRPr="00E97C95">
        <w:t xml:space="preserve">. </w:t>
      </w:r>
      <w:r w:rsidR="0067707C">
        <w:t xml:space="preserve"> </w:t>
      </w:r>
      <w:r w:rsidRPr="00E97C95">
        <w:t>In recent times, there has been a tendency for magistrates’ courts to model their procedures on those of superior courts, so as to produce more similarity than difference between magistrates’ courts and superior courts.</w:t>
      </w:r>
      <w:r w:rsidR="00541993">
        <w:t xml:space="preserve"> </w:t>
      </w:r>
      <w:r w:rsidRPr="00E97C95">
        <w:t xml:space="preserve"> If relative informality of procedures is the test, it is certainly satisfied in relation to the IRCSA. </w:t>
      </w:r>
      <w:r w:rsidR="00541993">
        <w:t xml:space="preserve"> </w:t>
      </w:r>
      <w:r w:rsidRPr="00E97C95">
        <w:t xml:space="preserve">The provisions of s 154(1) make clear that the court is to act </w:t>
      </w:r>
      <w:r w:rsidR="005D40BF">
        <w:t>“</w:t>
      </w:r>
      <w:r w:rsidRPr="00E97C95">
        <w:t xml:space="preserve">without regard to technicalities, legal </w:t>
      </w:r>
      <w:r w:rsidR="005D40BF">
        <w:t>forms or the practice of courts”</w:t>
      </w:r>
      <w:r w:rsidRPr="00E97C95">
        <w:t>.</w:t>
      </w:r>
      <w:r w:rsidR="00541993">
        <w:t xml:space="preserve"> </w:t>
      </w:r>
      <w:r w:rsidRPr="00E97C95">
        <w:t xml:space="preserve"> In</w:t>
      </w:r>
      <w:r w:rsidR="00541993">
        <w:t>formality is obviously required …</w:t>
      </w:r>
    </w:p>
    <w:p w:rsidR="00E97C95" w:rsidRDefault="00E97C95" w:rsidP="00E97C95">
      <w:pPr>
        <w:pStyle w:val="ParaNumbering"/>
      </w:pPr>
      <w:r>
        <w:t xml:space="preserve">Subsequently, in </w:t>
      </w:r>
      <w:r w:rsidR="0090151F" w:rsidRPr="00102C9D">
        <w:rPr>
          <w:i/>
        </w:rPr>
        <w:t>Treasury Wine Estates Vintners Lt</w:t>
      </w:r>
      <w:r w:rsidRPr="00102C9D">
        <w:rPr>
          <w:i/>
        </w:rPr>
        <w:t>d v. Pearson</w:t>
      </w:r>
      <w:r w:rsidRPr="00102C9D">
        <w:t xml:space="preserve"> [2019] FCAFC 21</w:t>
      </w:r>
      <w:r>
        <w:t xml:space="preserve">, the issue for determination was whether an industrial magistrate sitting in </w:t>
      </w:r>
      <w:r w:rsidR="00196B5E">
        <w:t xml:space="preserve">the </w:t>
      </w:r>
      <w:r>
        <w:t xml:space="preserve">Industrial Court of South Australia, sat as a court of summary jurisdiction for the purposes of s. 565(1A) of the </w:t>
      </w:r>
      <w:r w:rsidRPr="00E97C95">
        <w:rPr>
          <w:i/>
        </w:rPr>
        <w:t>FW Act</w:t>
      </w:r>
      <w:r>
        <w:t>.</w:t>
      </w:r>
      <w:r w:rsidR="003A213D">
        <w:t xml:space="preserve">  Rares, Perry and </w:t>
      </w:r>
      <w:proofErr w:type="spellStart"/>
      <w:r w:rsidR="003A213D">
        <w:t>Charlesworth</w:t>
      </w:r>
      <w:proofErr w:type="spellEnd"/>
      <w:r w:rsidR="003A213D">
        <w:t xml:space="preserve"> JJ. said at [23]-[24]:</w:t>
      </w:r>
    </w:p>
    <w:p w:rsidR="003A213D" w:rsidRDefault="003A213D" w:rsidP="003A213D">
      <w:pPr>
        <w:pStyle w:val="Quote1"/>
      </w:pPr>
      <w:r>
        <w:t>The</w:t>
      </w:r>
      <w:r w:rsidRPr="005D40BF">
        <w:rPr>
          <w:i/>
        </w:rPr>
        <w:t xml:space="preserve"> Fair Work Act </w:t>
      </w:r>
      <w:r>
        <w:t>(</w:t>
      </w:r>
      <w:proofErr w:type="spellStart"/>
      <w:r>
        <w:t>Cth</w:t>
      </w:r>
      <w:proofErr w:type="spellEnd"/>
      <w:r>
        <w:t>) does not define a court of summary jurisdiction or otherwise deal with such courts beyond what s 565(1A)(a) provides.</w:t>
      </w:r>
      <w:r w:rsidR="00CC753B">
        <w:t xml:space="preserve"> </w:t>
      </w:r>
      <w:r>
        <w:t xml:space="preserve"> However, s 2B of the </w:t>
      </w:r>
      <w:r w:rsidRPr="00CC753B">
        <w:rPr>
          <w:i/>
        </w:rPr>
        <w:t xml:space="preserve">Acts </w:t>
      </w:r>
      <w:r w:rsidRPr="005D40BF">
        <w:rPr>
          <w:i/>
        </w:rPr>
        <w:t>Interpretation Act 1901</w:t>
      </w:r>
      <w:r>
        <w:t xml:space="preserve"> (</w:t>
      </w:r>
      <w:proofErr w:type="spellStart"/>
      <w:r>
        <w:t>Cth</w:t>
      </w:r>
      <w:proofErr w:type="spellEnd"/>
      <w:r>
        <w:t>) defines “court of summary jurisdiction” as “any justice of the peace, or magistrate of a State or Territory, sitting as a court of summary jurisdiction.”</w:t>
      </w:r>
      <w:r w:rsidR="00CC753B">
        <w:t xml:space="preserve"> </w:t>
      </w:r>
      <w:r>
        <w:t xml:space="preserve"> The latter definition has the following features:</w:t>
      </w:r>
      <w:r w:rsidRPr="00CC753B">
        <w:rPr>
          <w:i/>
        </w:rPr>
        <w:t xml:space="preserve"> first</w:t>
      </w:r>
      <w:r>
        <w:t>, it applies only to justices of the peace and magistrates;</w:t>
      </w:r>
      <w:r w:rsidRPr="00CC753B">
        <w:rPr>
          <w:i/>
        </w:rPr>
        <w:t xml:space="preserve"> secondly</w:t>
      </w:r>
      <w:r>
        <w:t xml:space="preserve">, the justice or magistrate must be sitting as a court – that is, he or she must be exercising the judicial power of the Commonwealth invested in a court as such under s 77(iii) in </w:t>
      </w:r>
      <w:proofErr w:type="spellStart"/>
      <w:r>
        <w:t>Ch</w:t>
      </w:r>
      <w:proofErr w:type="spellEnd"/>
      <w:r>
        <w:t xml:space="preserve"> III of the </w:t>
      </w:r>
      <w:r w:rsidRPr="00CC753B">
        <w:rPr>
          <w:i/>
        </w:rPr>
        <w:t>Constitution</w:t>
      </w:r>
      <w:r>
        <w:t>; and</w:t>
      </w:r>
      <w:r w:rsidRPr="00CC753B">
        <w:rPr>
          <w:i/>
        </w:rPr>
        <w:t xml:space="preserve"> thirdly</w:t>
      </w:r>
      <w:r>
        <w:t xml:space="preserve">, the nature of the proceeding must be that of a court “exercising summary jurisdiction”. </w:t>
      </w:r>
    </w:p>
    <w:p w:rsidR="003A213D" w:rsidRDefault="003A213D" w:rsidP="003A213D">
      <w:pPr>
        <w:pStyle w:val="Quote1"/>
      </w:pPr>
      <w:r>
        <w:t xml:space="preserve">In </w:t>
      </w:r>
      <w:r w:rsidRPr="005D40BF">
        <w:rPr>
          <w:i/>
        </w:rPr>
        <w:t>John L Pierce Pty Ltd v Kennedy</w:t>
      </w:r>
      <w:r>
        <w:t xml:space="preserve"> (2000) 104 FCR 225 at 232 [24], Whitlam J, with whose reasons O’Connor J (at 226 [2]) and </w:t>
      </w:r>
      <w:proofErr w:type="spellStart"/>
      <w:r>
        <w:t>Madgwick</w:t>
      </w:r>
      <w:proofErr w:type="spellEnd"/>
      <w:r>
        <w:t xml:space="preserve"> J (at 232 [26]) agreed, said that summary proceedings within the meaning of the expression “a court of summary jurisdiction”, in the now repealed s 26(d) of the </w:t>
      </w:r>
      <w:r w:rsidRPr="00CC753B">
        <w:rPr>
          <w:i/>
        </w:rPr>
        <w:t>Acts Interpretation Act</w:t>
      </w:r>
      <w:r>
        <w:t xml:space="preserve">, are not confined to summary proceedings that are criminal in nature but also “extend to proceedings under statute for the payment of money” in the exercise of civil jurisdiction. </w:t>
      </w:r>
      <w:r w:rsidR="00CC753B">
        <w:t xml:space="preserve"> </w:t>
      </w:r>
      <w:r>
        <w:t>In his additional reasons, with which O</w:t>
      </w:r>
      <w:r w:rsidR="005D40BF">
        <w:t xml:space="preserve">’Connor J also agreed, </w:t>
      </w:r>
      <w:proofErr w:type="spellStart"/>
      <w:r w:rsidR="005D40BF">
        <w:t>Madgwick</w:t>
      </w:r>
      <w:proofErr w:type="spellEnd"/>
      <w:r w:rsidR="005D40BF">
        <w:t> </w:t>
      </w:r>
      <w:r>
        <w:t xml:space="preserve">J said (104 FCR at 237 [46]) (at a time before s 2B was inserted into the </w:t>
      </w:r>
      <w:r w:rsidRPr="00CC753B">
        <w:rPr>
          <w:i/>
        </w:rPr>
        <w:t>Acts Interpretation Act</w:t>
      </w:r>
      <w:r>
        <w:t xml:space="preserve"> with the </w:t>
      </w:r>
      <w:r w:rsidR="00D86A3D">
        <w:t>current definition (and that in</w:t>
      </w:r>
      <w:r w:rsidR="00A35A88">
        <w:t xml:space="preserve"> </w:t>
      </w:r>
      <w:r>
        <w:t xml:space="preserve">s 26(d) repealed)) that the expression should be “understood as including any court for the giving of civil </w:t>
      </w:r>
      <w:r>
        <w:lastRenderedPageBreak/>
        <w:t>relief which operates by way of summary, that is to say, relatively informal procedures”.</w:t>
      </w:r>
    </w:p>
    <w:p w:rsidR="003A213D" w:rsidRDefault="003A213D" w:rsidP="00E97C95">
      <w:pPr>
        <w:pStyle w:val="ParaNumbering"/>
      </w:pPr>
      <w:r>
        <w:t>Their Honours emphasised that the key to the concept of “summary” in s. 565(1A</w:t>
      </w:r>
      <w:r w:rsidR="00A35A88">
        <w:t>) is the procedure used by the court.  If the c</w:t>
      </w:r>
      <w:r>
        <w:t>ourt adopts an informal procedure, it is probably exercising its jurisdiction summarily.  At [27]</w:t>
      </w:r>
      <w:r w:rsidR="00CC753B">
        <w:t>,</w:t>
      </w:r>
      <w:r>
        <w:t xml:space="preserve"> the Court said:</w:t>
      </w:r>
    </w:p>
    <w:p w:rsidR="003A213D" w:rsidRDefault="003A213D" w:rsidP="003A213D">
      <w:pPr>
        <w:pStyle w:val="Quote1"/>
      </w:pPr>
      <w:r w:rsidRPr="003A213D">
        <w:t xml:space="preserve">The essence of the Parliament’s use of the adjective “summary” to describe a court’s jurisdiction is that it encapsulates a mode of procedure that the court applies in exercising its jurisdiction. </w:t>
      </w:r>
      <w:r w:rsidR="00CC753B">
        <w:t xml:space="preserve"> </w:t>
      </w:r>
      <w:r w:rsidRPr="003A213D">
        <w:t xml:space="preserve">Although, historically, courts of summary jurisdiction in England tended to be justices of the peace and magistrates hearing criminal matters, Australian courts of summary jurisdiction for over a century have made orders and judgments also in civil matters, as </w:t>
      </w:r>
      <w:r w:rsidRPr="005D40BF">
        <w:rPr>
          <w:i/>
        </w:rPr>
        <w:t>Ex parte Mathews</w:t>
      </w:r>
      <w:r w:rsidRPr="003A213D">
        <w:t xml:space="preserve"> </w:t>
      </w:r>
      <w:r w:rsidR="00A35A88" w:rsidRPr="009C4EE3">
        <w:t xml:space="preserve">(1918) </w:t>
      </w:r>
      <w:r w:rsidRPr="003A213D">
        <w:t>18 SR (NSW) 316 demonstrated.</w:t>
      </w:r>
    </w:p>
    <w:p w:rsidR="003A213D" w:rsidRDefault="00DC6FCC" w:rsidP="00DC6FCC">
      <w:pPr>
        <w:pStyle w:val="ParaNumbering"/>
      </w:pPr>
      <w:r>
        <w:t>The question thus for determination is whether the mode of procedure adopted by the magistrate below was o</w:t>
      </w:r>
      <w:r w:rsidR="00CC753B">
        <w:t>r was not “relatively informal</w:t>
      </w:r>
      <w:r>
        <w:t>”</w:t>
      </w:r>
      <w:r w:rsidR="00CC753B">
        <w:t>.</w:t>
      </w:r>
      <w:r>
        <w:t xml:space="preserve">  In my view</w:t>
      </w:r>
      <w:r w:rsidR="00E15448">
        <w:t>,</w:t>
      </w:r>
      <w:r>
        <w:t xml:space="preserve"> it was</w:t>
      </w:r>
      <w:r w:rsidR="00C55CA8">
        <w:t xml:space="preserve"> required to be relatively informal</w:t>
      </w:r>
      <w:r>
        <w:t xml:space="preserve">.  That is because of s. 4(3C) of the </w:t>
      </w:r>
      <w:r w:rsidRPr="00DC6FCC">
        <w:rPr>
          <w:i/>
        </w:rPr>
        <w:t>Magistrates</w:t>
      </w:r>
      <w:r w:rsidR="00CC753B">
        <w:rPr>
          <w:i/>
        </w:rPr>
        <w:t>’</w:t>
      </w:r>
      <w:r w:rsidRPr="00DC6FCC">
        <w:rPr>
          <w:i/>
        </w:rPr>
        <w:t xml:space="preserve"> </w:t>
      </w:r>
      <w:r w:rsidR="00A35A88">
        <w:rPr>
          <w:i/>
        </w:rPr>
        <w:t xml:space="preserve">Court </w:t>
      </w:r>
      <w:r w:rsidRPr="00DC6FCC">
        <w:rPr>
          <w:i/>
        </w:rPr>
        <w:t>Act</w:t>
      </w:r>
      <w:r>
        <w:t xml:space="preserve">.  </w:t>
      </w:r>
      <w:r w:rsidR="00C55CA8">
        <w:t>That provision</w:t>
      </w:r>
      <w:r>
        <w:t xml:space="preserve"> obliged the magistrate, sitting as he was in the Industrial Division of the Court, to exercise his jurisdiction </w:t>
      </w:r>
      <w:r w:rsidR="00CC753B">
        <w:t>“</w:t>
      </w:r>
      <w:r>
        <w:t>with the minim</w:t>
      </w:r>
      <w:r w:rsidR="005312AE">
        <w:t>um of</w:t>
      </w:r>
      <w:r>
        <w:t xml:space="preserve"> legal form and technicality</w:t>
      </w:r>
      <w:r w:rsidR="00CC753B">
        <w:t>”</w:t>
      </w:r>
      <w:r>
        <w:t xml:space="preserve">.  In my </w:t>
      </w:r>
      <w:r w:rsidR="00E15448">
        <w:t>opinion</w:t>
      </w:r>
      <w:r>
        <w:t>, that provision is decisively analogous with s</w:t>
      </w:r>
      <w:r w:rsidR="00C55CA8">
        <w:t>.</w:t>
      </w:r>
      <w:r>
        <w:t xml:space="preserve"> 154(1) of the </w:t>
      </w:r>
      <w:r w:rsidRPr="00C55CA8">
        <w:rPr>
          <w:i/>
        </w:rPr>
        <w:t>Fair Work Act 1994</w:t>
      </w:r>
      <w:r>
        <w:t xml:space="preserve"> (SA)</w:t>
      </w:r>
      <w:r w:rsidR="00C55CA8">
        <w:t>,</w:t>
      </w:r>
      <w:r>
        <w:t xml:space="preserve"> as set out by </w:t>
      </w:r>
      <w:proofErr w:type="spellStart"/>
      <w:r>
        <w:t>Gray</w:t>
      </w:r>
      <w:proofErr w:type="spellEnd"/>
      <w:r>
        <w:t xml:space="preserve"> J</w:t>
      </w:r>
      <w:r w:rsidR="00C55CA8">
        <w:t>.</w:t>
      </w:r>
      <w:r>
        <w:t xml:space="preserve"> above.  That provision required the Court in that case to act “</w:t>
      </w:r>
      <w:r w:rsidRPr="00DC6FCC">
        <w:t>without regard to</w:t>
      </w:r>
      <w:r>
        <w:t xml:space="preserve"> </w:t>
      </w:r>
      <w:r w:rsidRPr="00DC6FCC">
        <w:t>technicalities, legal forms or the practice of courts</w:t>
      </w:r>
      <w:r>
        <w:t>”</w:t>
      </w:r>
      <w:r w:rsidR="005D40BF">
        <w:t>.</w:t>
      </w:r>
      <w:r w:rsidR="005312AE">
        <w:t xml:space="preserve">  Here, the key feature of s. 4(3C) is the obligation to act “with the minimum” of legal f</w:t>
      </w:r>
      <w:r w:rsidR="00CC753B">
        <w:t>orm.  That required the C</w:t>
      </w:r>
      <w:r w:rsidR="005312AE">
        <w:t>ourt to adopt the least formal “mode of procedure”</w:t>
      </w:r>
      <w:r w:rsidR="00CC753B">
        <w:t xml:space="preserve"> that was possible.  It follows</w:t>
      </w:r>
      <w:r w:rsidR="005312AE">
        <w:t xml:space="preserve"> that in doing so, the Court was exercising summary jurisdiction.</w:t>
      </w:r>
    </w:p>
    <w:p w:rsidR="00262E44" w:rsidRDefault="005312AE" w:rsidP="005D40BF">
      <w:pPr>
        <w:pStyle w:val="ParaNumbering"/>
      </w:pPr>
      <w:r>
        <w:t>For these reasons it follows that the appeal to this Court</w:t>
      </w:r>
      <w:r w:rsidR="00C55CA8">
        <w:t xml:space="preserve"> is </w:t>
      </w:r>
      <w:r>
        <w:t>competent</w:t>
      </w:r>
      <w:r w:rsidR="00C55CA8">
        <w:t xml:space="preserve">.  As </w:t>
      </w:r>
      <w:r w:rsidR="00E15448">
        <w:t xml:space="preserve">to the issue of costs, I note that the application of </w:t>
      </w:r>
      <w:r>
        <w:t xml:space="preserve">s. 570 of the </w:t>
      </w:r>
      <w:r w:rsidR="00C55CA8">
        <w:rPr>
          <w:i/>
        </w:rPr>
        <w:t xml:space="preserve">FW Act </w:t>
      </w:r>
      <w:r w:rsidR="00C55CA8">
        <w:t>forms par</w:t>
      </w:r>
      <w:r w:rsidR="00E15448">
        <w:t>t of the contest of this appeal.</w:t>
      </w:r>
      <w:r w:rsidR="00C55CA8">
        <w:t xml:space="preserve"> </w:t>
      </w:r>
      <w:r w:rsidR="005D40BF">
        <w:t xml:space="preserve"> </w:t>
      </w:r>
      <w:r w:rsidR="00E15448">
        <w:t xml:space="preserve">For the moment, </w:t>
      </w:r>
      <w:r w:rsidR="00C55CA8">
        <w:t>n</w:t>
      </w:r>
      <w:r w:rsidR="00E15448">
        <w:t>othing more should be said by me</w:t>
      </w:r>
      <w:r w:rsidR="00C55CA8">
        <w:t xml:space="preserve"> about </w:t>
      </w:r>
      <w:r w:rsidR="00E15448">
        <w:t>that issue</w:t>
      </w:r>
      <w:r w:rsidR="00C55CA8">
        <w:t xml:space="preserve">.  I will otherwise direct that the matter be referred to mediation.  </w:t>
      </w:r>
      <w:r w:rsidR="00E15448">
        <w:t>With respect, t</w:t>
      </w:r>
      <w:r w:rsidR="00C55CA8">
        <w:t xml:space="preserve">he quantum of pay the subject of this dispute does not </w:t>
      </w:r>
      <w:r w:rsidR="00E15448">
        <w:t xml:space="preserve">really </w:t>
      </w:r>
      <w:r w:rsidR="00C55CA8">
        <w:t>merit any further lawyering</w:t>
      </w:r>
      <w:r w:rsidR="000C1EAF">
        <w:t xml:space="preserve"> in</w:t>
      </w:r>
      <w:r w:rsidR="007465CE">
        <w:t xml:space="preserve"> a</w:t>
      </w:r>
      <w:r w:rsidR="005E2569">
        <w:t xml:space="preserve"> c</w:t>
      </w:r>
      <w:r w:rsidR="000C1EAF">
        <w:t>ourt</w:t>
      </w:r>
      <w:r w:rsidR="00C55CA8">
        <w:t>.</w:t>
      </w:r>
      <w:r w:rsidR="005D40BF">
        <w:t xml:space="preserve">  Whilst I have considerable sympathy for the respondent, who also seeks summary judgment and wants a “swift” end to this dispute, mediation is still the best way forward, in my view.  </w:t>
      </w:r>
    </w:p>
    <w:p w:rsidR="00262E44" w:rsidRDefault="00262E44">
      <w:pPr>
        <w:spacing w:line="240" w:lineRule="auto"/>
        <w:jc w:val="left"/>
      </w:pPr>
      <w:r>
        <w:br w:type="page"/>
      </w:r>
    </w:p>
    <w:p w:rsidR="005D40BF" w:rsidRPr="00D1735B" w:rsidRDefault="005D40BF" w:rsidP="005D40BF">
      <w:pPr>
        <w:pStyle w:val="ParaNumbering"/>
      </w:pPr>
      <w:r>
        <w:lastRenderedPageBreak/>
        <w:t>I finally note that the respondent alleges that the appellants have not p</w:t>
      </w:r>
      <w:r w:rsidR="00CC753B">
        <w:t>aid the amounts ordered by the Magistrates’ C</w:t>
      </w:r>
      <w:r>
        <w:t>ourt to be paid to her.  If that is so, then the appellants have behave</w:t>
      </w:r>
      <w:r w:rsidR="00CC753B">
        <w:t>d</w:t>
      </w:r>
      <w:r>
        <w:t xml:space="preserve"> disgracefully.  I would certainly take that into account in the event that a costs order were to be made against them.</w:t>
      </w:r>
    </w:p>
    <w:p w:rsidR="005312AE" w:rsidRDefault="005312AE" w:rsidP="00262E44">
      <w:pPr>
        <w:pStyle w:val="BodyText"/>
      </w:pPr>
    </w:p>
    <w:p w:rsidR="00262E44" w:rsidRDefault="00262E44" w:rsidP="00815065">
      <w:pPr>
        <w:pStyle w:val="BodyText"/>
      </w:pPr>
      <w:bookmarkStart w:id="22" w:name="Certification"/>
    </w:p>
    <w:tbl>
      <w:tblPr>
        <w:tblW w:w="0" w:type="auto"/>
        <w:tblLook w:val="04A0" w:firstRow="1" w:lastRow="0" w:firstColumn="1" w:lastColumn="0" w:noHBand="0" w:noVBand="1"/>
      </w:tblPr>
      <w:tblGrid>
        <w:gridCol w:w="3794"/>
      </w:tblGrid>
      <w:tr w:rsidR="00262E44" w:rsidRPr="00262E44">
        <w:tc>
          <w:tcPr>
            <w:tcW w:w="3794" w:type="dxa"/>
            <w:shd w:val="clear" w:color="auto" w:fill="auto"/>
          </w:tcPr>
          <w:p w:rsidR="00262E44" w:rsidRPr="00262E44" w:rsidRDefault="00262E44" w:rsidP="00262E44">
            <w:pPr>
              <w:pStyle w:val="Normal1linespace"/>
            </w:pPr>
            <w:r w:rsidRPr="00262E44">
              <w:t xml:space="preserve">I certify that the preceding </w:t>
            </w:r>
            <w:bookmarkStart w:id="23" w:name="NumberWord"/>
            <w:r>
              <w:t>thirty-nine</w:t>
            </w:r>
            <w:bookmarkEnd w:id="23"/>
            <w:r w:rsidRPr="00262E44">
              <w:t xml:space="preserve"> (</w:t>
            </w:r>
            <w:bookmarkStart w:id="24" w:name="NumberNumeral"/>
            <w:r>
              <w:t>39</w:t>
            </w:r>
            <w:bookmarkEnd w:id="24"/>
            <w:r w:rsidRPr="00262E44">
              <w:t xml:space="preserve">) numbered </w:t>
            </w:r>
            <w:bookmarkStart w:id="25" w:name="CertPara"/>
            <w:r>
              <w:t>paragraphs are</w:t>
            </w:r>
            <w:bookmarkEnd w:id="25"/>
            <w:r w:rsidRPr="00262E44">
              <w:t xml:space="preserve"> a true copy of the Reasons for Judgment herein of the Honourable </w:t>
            </w:r>
            <w:bookmarkStart w:id="26" w:name="Justice"/>
            <w:r>
              <w:t>Justice Steward</w:t>
            </w:r>
            <w:bookmarkEnd w:id="26"/>
            <w:r w:rsidRPr="00262E44">
              <w:t>.</w:t>
            </w:r>
          </w:p>
        </w:tc>
      </w:tr>
    </w:tbl>
    <w:p w:rsidR="00262E44" w:rsidRDefault="00262E44" w:rsidP="00815065">
      <w:pPr>
        <w:pStyle w:val="BodyText"/>
      </w:pPr>
    </w:p>
    <w:p w:rsidR="00262E44" w:rsidRDefault="00262E44" w:rsidP="00815065">
      <w:pPr>
        <w:pStyle w:val="BodyText"/>
      </w:pPr>
      <w:bookmarkStart w:id="27" w:name="_GoBack"/>
      <w:bookmarkEnd w:id="27"/>
    </w:p>
    <w:p w:rsidR="00262E44" w:rsidRDefault="00262E44" w:rsidP="00815065">
      <w:pPr>
        <w:pStyle w:val="BodyText"/>
      </w:pPr>
      <w:r>
        <w:t xml:space="preserve">Associate:  </w:t>
      </w:r>
    </w:p>
    <w:p w:rsidR="00262E44" w:rsidRDefault="00262E44" w:rsidP="00815065">
      <w:pPr>
        <w:pStyle w:val="BodyText"/>
      </w:pPr>
    </w:p>
    <w:p w:rsidR="00262E44" w:rsidRDefault="00262E44" w:rsidP="00815065">
      <w:pPr>
        <w:pStyle w:val="BodyText"/>
        <w:tabs>
          <w:tab w:val="left" w:pos="1134"/>
        </w:tabs>
      </w:pPr>
      <w:r>
        <w:t>Dated:</w:t>
      </w:r>
      <w:r>
        <w:tab/>
      </w:r>
      <w:bookmarkStart w:id="28" w:name="CertifyDated"/>
      <w:r>
        <w:t>24 January 2020</w:t>
      </w:r>
      <w:bookmarkEnd w:id="28"/>
    </w:p>
    <w:p w:rsidR="00262E44" w:rsidRDefault="00262E44" w:rsidP="00815065">
      <w:pPr>
        <w:pStyle w:val="BodyText"/>
      </w:pPr>
    </w:p>
    <w:bookmarkEnd w:id="22"/>
    <w:p w:rsidR="00262E44" w:rsidRDefault="00262E44" w:rsidP="00262E44">
      <w:pPr>
        <w:pStyle w:val="BodyText"/>
      </w:pPr>
    </w:p>
    <w:p w:rsidR="00262E44" w:rsidRPr="00D1735B" w:rsidRDefault="00262E44" w:rsidP="00262E44">
      <w:pPr>
        <w:pStyle w:val="BodyText"/>
      </w:pPr>
    </w:p>
    <w:sectPr w:rsidR="00262E44" w:rsidRPr="00D1735B">
      <w:headerReference w:type="even" r:id="rId9"/>
      <w:headerReference w:type="default" r:id="rId10"/>
      <w:footerReference w:type="default" r:id="rId11"/>
      <w:headerReference w:type="first" r:id="rId12"/>
      <w:footerReference w:type="first" r:id="rId13"/>
      <w:endnotePr>
        <w:numFmt w:val="decimal"/>
      </w:endnotePr>
      <w:pgSz w:w="11907" w:h="16840" w:code="9"/>
      <w:pgMar w:top="1440" w:right="1440" w:bottom="1440" w:left="1440" w:header="851" w:footer="851"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0C58" w:rsidRDefault="000B0C58">
      <w:pPr>
        <w:spacing w:line="20" w:lineRule="exact"/>
      </w:pPr>
    </w:p>
    <w:p w:rsidR="000B0C58" w:rsidRDefault="000B0C58"/>
    <w:p w:rsidR="000B0C58" w:rsidRDefault="000B0C58"/>
  </w:endnote>
  <w:endnote w:type="continuationSeparator" w:id="0">
    <w:p w:rsidR="000B0C58" w:rsidRDefault="000B0C58">
      <w:r>
        <w:t xml:space="preserve"> </w:t>
      </w:r>
    </w:p>
    <w:p w:rsidR="000B0C58" w:rsidRDefault="000B0C58"/>
    <w:p w:rsidR="000B0C58" w:rsidRDefault="000B0C58"/>
  </w:endnote>
  <w:endnote w:type="continuationNotice" w:id="1">
    <w:p w:rsidR="000B0C58" w:rsidRDefault="000B0C58">
      <w:r>
        <w:t xml:space="preserve"> </w:t>
      </w:r>
    </w:p>
    <w:p w:rsidR="000B0C58" w:rsidRDefault="000B0C58"/>
    <w:p w:rsidR="000B0C58" w:rsidRDefault="000B0C5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0C58" w:rsidRPr="009F764B" w:rsidRDefault="000B0C58" w:rsidP="009F76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0C58" w:rsidRPr="009F764B" w:rsidRDefault="000B0C58" w:rsidP="009F76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0C58" w:rsidRDefault="000B0C58"/>
    <w:p w:rsidR="000B0C58" w:rsidRDefault="000B0C58"/>
    <w:p w:rsidR="000B0C58" w:rsidRDefault="000B0C58"/>
  </w:footnote>
  <w:footnote w:type="continuationSeparator" w:id="0">
    <w:p w:rsidR="000B0C58" w:rsidRDefault="000B0C58">
      <w:r>
        <w:continuationSeparator/>
      </w:r>
    </w:p>
    <w:p w:rsidR="000B0C58" w:rsidRDefault="000B0C58"/>
    <w:p w:rsidR="000B0C58" w:rsidRDefault="000B0C58"/>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0C58" w:rsidRDefault="000B0C58">
    <w:pPr>
      <w:tabs>
        <w:tab w:val="center" w:pos="4512"/>
      </w:tabs>
      <w:suppressAutoHyphens/>
    </w:pPr>
    <w:r>
      <w:tab/>
      <w:t xml:space="preserve">- </w:t>
    </w:r>
    <w:r>
      <w:fldChar w:fldCharType="begin"/>
    </w:r>
    <w:r>
      <w:instrText xml:space="preserve"> PAGE   \* MERGEFORMAT </w:instrText>
    </w:r>
    <w:r>
      <w:fldChar w:fldCharType="separate"/>
    </w:r>
    <w:r w:rsidR="003B18D5">
      <w:rPr>
        <w:noProof/>
      </w:rPr>
      <w:t>ii</w:t>
    </w:r>
    <w:r>
      <w:rPr>
        <w:noProof/>
      </w:rPr>
      <w:fldChar w:fldCharType="end"/>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0C58" w:rsidRDefault="000B0C58">
    <w:pPr>
      <w:pStyle w:val="Header"/>
      <w:tabs>
        <w:tab w:val="clear" w:pos="4320"/>
        <w:tab w:val="clear" w:pos="8640"/>
      </w:tabs>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0C58" w:rsidRDefault="000B0C58"/>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0C58" w:rsidRDefault="000B0C58">
    <w:pPr>
      <w:tabs>
        <w:tab w:val="center" w:pos="4512"/>
      </w:tabs>
      <w:suppressAutoHyphens/>
    </w:pPr>
    <w:r>
      <w:tab/>
      <w:t xml:space="preserve">- </w:t>
    </w:r>
    <w:r>
      <w:fldChar w:fldCharType="begin"/>
    </w:r>
    <w:r>
      <w:instrText>page \* arabic</w:instrText>
    </w:r>
    <w:r>
      <w:fldChar w:fldCharType="separate"/>
    </w:r>
    <w:r w:rsidR="00BA2E33">
      <w:rPr>
        <w:noProof/>
      </w:rPr>
      <w:t>10</w:t>
    </w:r>
    <w:r>
      <w:fldChar w:fldCharType="end"/>
    </w:r>
    <w: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0C58" w:rsidRDefault="000B0C58">
    <w:pPr>
      <w:pStyle w:val="Header"/>
      <w:tabs>
        <w:tab w:val="clear" w:pos="4320"/>
        <w:tab w:val="clear" w:pos="864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23ACBC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04AF16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63689C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B22946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8E2E98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726AA5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D947F0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C5AED4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5EC114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6DC146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B9B7C7A"/>
    <w:multiLevelType w:val="hybridMultilevel"/>
    <w:tmpl w:val="0D8E828C"/>
    <w:lvl w:ilvl="0" w:tplc="E5462CDA">
      <w:start w:val="1"/>
      <w:numFmt w:val="bullet"/>
      <w:pStyle w:val="Quote2Bullet"/>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1" w15:restartNumberingAfterBreak="0">
    <w:nsid w:val="168F28D0"/>
    <w:multiLevelType w:val="multilevel"/>
    <w:tmpl w:val="93FA7D28"/>
    <w:lvl w:ilvl="0">
      <w:start w:val="1"/>
      <w:numFmt w:val="bullet"/>
      <w:pStyle w:val="FCBullets"/>
      <w:lvlText w:val=""/>
      <w:lvlJc w:val="left"/>
      <w:pPr>
        <w:tabs>
          <w:tab w:val="num" w:pos="720"/>
        </w:tabs>
        <w:ind w:left="720" w:hanging="720"/>
      </w:pPr>
      <w:rPr>
        <w:rFonts w:ascii="Symbol" w:hAnsi="Symbol"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2" w15:restartNumberingAfterBreak="0">
    <w:nsid w:val="1C0D5840"/>
    <w:multiLevelType w:val="hybridMultilevel"/>
    <w:tmpl w:val="617AE4F4"/>
    <w:lvl w:ilvl="0" w:tplc="8D5A4DAE">
      <w:start w:val="1"/>
      <w:numFmt w:val="decimal"/>
      <w:lvlText w:val="%1."/>
      <w:lvlJc w:val="left"/>
      <w:pPr>
        <w:ind w:left="1097" w:hanging="360"/>
      </w:pPr>
      <w:rPr>
        <w:rFonts w:hint="default"/>
      </w:rPr>
    </w:lvl>
    <w:lvl w:ilvl="1" w:tplc="0C090019" w:tentative="1">
      <w:start w:val="1"/>
      <w:numFmt w:val="lowerLetter"/>
      <w:lvlText w:val="%2."/>
      <w:lvlJc w:val="left"/>
      <w:pPr>
        <w:ind w:left="1817" w:hanging="360"/>
      </w:pPr>
    </w:lvl>
    <w:lvl w:ilvl="2" w:tplc="0C09001B" w:tentative="1">
      <w:start w:val="1"/>
      <w:numFmt w:val="lowerRoman"/>
      <w:lvlText w:val="%3."/>
      <w:lvlJc w:val="right"/>
      <w:pPr>
        <w:ind w:left="2537" w:hanging="180"/>
      </w:pPr>
    </w:lvl>
    <w:lvl w:ilvl="3" w:tplc="0C09000F" w:tentative="1">
      <w:start w:val="1"/>
      <w:numFmt w:val="decimal"/>
      <w:lvlText w:val="%4."/>
      <w:lvlJc w:val="left"/>
      <w:pPr>
        <w:ind w:left="3257" w:hanging="360"/>
      </w:pPr>
    </w:lvl>
    <w:lvl w:ilvl="4" w:tplc="0C090019" w:tentative="1">
      <w:start w:val="1"/>
      <w:numFmt w:val="lowerLetter"/>
      <w:lvlText w:val="%5."/>
      <w:lvlJc w:val="left"/>
      <w:pPr>
        <w:ind w:left="3977" w:hanging="360"/>
      </w:pPr>
    </w:lvl>
    <w:lvl w:ilvl="5" w:tplc="0C09001B" w:tentative="1">
      <w:start w:val="1"/>
      <w:numFmt w:val="lowerRoman"/>
      <w:lvlText w:val="%6."/>
      <w:lvlJc w:val="right"/>
      <w:pPr>
        <w:ind w:left="4697" w:hanging="180"/>
      </w:pPr>
    </w:lvl>
    <w:lvl w:ilvl="6" w:tplc="0C09000F" w:tentative="1">
      <w:start w:val="1"/>
      <w:numFmt w:val="decimal"/>
      <w:lvlText w:val="%7."/>
      <w:lvlJc w:val="left"/>
      <w:pPr>
        <w:ind w:left="5417" w:hanging="360"/>
      </w:pPr>
    </w:lvl>
    <w:lvl w:ilvl="7" w:tplc="0C090019" w:tentative="1">
      <w:start w:val="1"/>
      <w:numFmt w:val="lowerLetter"/>
      <w:lvlText w:val="%8."/>
      <w:lvlJc w:val="left"/>
      <w:pPr>
        <w:ind w:left="6137" w:hanging="360"/>
      </w:pPr>
    </w:lvl>
    <w:lvl w:ilvl="8" w:tplc="0C09001B" w:tentative="1">
      <w:start w:val="1"/>
      <w:numFmt w:val="lowerRoman"/>
      <w:lvlText w:val="%9."/>
      <w:lvlJc w:val="right"/>
      <w:pPr>
        <w:ind w:left="6857" w:hanging="180"/>
      </w:pPr>
    </w:lvl>
  </w:abstractNum>
  <w:abstractNum w:abstractNumId="13" w15:restartNumberingAfterBreak="0">
    <w:nsid w:val="1C1468D3"/>
    <w:multiLevelType w:val="multilevel"/>
    <w:tmpl w:val="0F0EC90E"/>
    <w:styleLink w:val="FCListNo"/>
    <w:lvl w:ilvl="0">
      <w:start w:val="1"/>
      <w:numFmt w:val="decimal"/>
      <w:lvlRestart w:val="0"/>
      <w:pStyle w:val="ListNo1"/>
      <w:lvlText w:val="(%1)"/>
      <w:lvlJc w:val="left"/>
      <w:pPr>
        <w:tabs>
          <w:tab w:val="num" w:pos="720"/>
        </w:tabs>
        <w:ind w:left="720" w:hanging="720"/>
      </w:pPr>
      <w:rPr>
        <w:rFonts w:ascii="Times New Roman" w:hAnsi="Times New Roman" w:hint="default"/>
      </w:rPr>
    </w:lvl>
    <w:lvl w:ilvl="1">
      <w:start w:val="1"/>
      <w:numFmt w:val="lowerLetter"/>
      <w:pStyle w:val="ListNo2"/>
      <w:lvlText w:val="(%2)"/>
      <w:lvlJc w:val="left"/>
      <w:pPr>
        <w:tabs>
          <w:tab w:val="num" w:pos="1440"/>
        </w:tabs>
        <w:ind w:left="1440" w:hanging="720"/>
      </w:pPr>
      <w:rPr>
        <w:rFonts w:hint="default"/>
      </w:rPr>
    </w:lvl>
    <w:lvl w:ilvl="2">
      <w:start w:val="1"/>
      <w:numFmt w:val="lowerRoman"/>
      <w:pStyle w:val="ListNo3"/>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4" w15:restartNumberingAfterBreak="0">
    <w:nsid w:val="29AE3DD1"/>
    <w:multiLevelType w:val="singleLevel"/>
    <w:tmpl w:val="5C92B9B0"/>
    <w:lvl w:ilvl="0">
      <w:start w:val="1"/>
      <w:numFmt w:val="decimal"/>
      <w:lvlRestart w:val="0"/>
      <w:pStyle w:val="ParaNumbering"/>
      <w:lvlText w:val="%1"/>
      <w:lvlJc w:val="left"/>
      <w:pPr>
        <w:tabs>
          <w:tab w:val="num" w:pos="2575"/>
        </w:tabs>
        <w:ind w:left="1855" w:hanging="720"/>
      </w:pPr>
      <w:rPr>
        <w:rFonts w:hint="default"/>
        <w:sz w:val="20"/>
      </w:rPr>
    </w:lvl>
  </w:abstractNum>
  <w:abstractNum w:abstractNumId="15" w15:restartNumberingAfterBreak="0">
    <w:nsid w:val="2AD4345C"/>
    <w:multiLevelType w:val="multilevel"/>
    <w:tmpl w:val="15C806DA"/>
    <w:styleLink w:val="FCOrders"/>
    <w:lvl w:ilvl="0">
      <w:start w:val="1"/>
      <w:numFmt w:val="decimal"/>
      <w:pStyle w:val="Order1"/>
      <w:lvlText w:val="%1."/>
      <w:lvlJc w:val="left"/>
      <w:pPr>
        <w:ind w:left="720" w:hanging="720"/>
      </w:pPr>
      <w:rPr>
        <w:rFonts w:ascii="Times New Roman" w:hAnsi="Times New Roman" w:hint="default"/>
        <w:sz w:val="24"/>
      </w:rPr>
    </w:lvl>
    <w:lvl w:ilvl="1">
      <w:start w:val="1"/>
      <w:numFmt w:val="lowerLetter"/>
      <w:pStyle w:val="Order2"/>
      <w:lvlText w:val="(%2)"/>
      <w:lvlJc w:val="left"/>
      <w:pPr>
        <w:ind w:left="1440" w:hanging="720"/>
      </w:pPr>
      <w:rPr>
        <w:rFonts w:hint="default"/>
      </w:rPr>
    </w:lvl>
    <w:lvl w:ilvl="2">
      <w:start w:val="1"/>
      <w:numFmt w:val="lowerRoman"/>
      <w:pStyle w:val="Order3"/>
      <w:lvlText w:val="(%3)"/>
      <w:lvlJc w:val="left"/>
      <w:pPr>
        <w:tabs>
          <w:tab w:val="num" w:pos="1440"/>
        </w:tabs>
        <w:ind w:left="2160" w:hanging="720"/>
      </w:pPr>
      <w:rPr>
        <w:rFonts w:hint="default"/>
      </w:rPr>
    </w:lvl>
    <w:lvl w:ilvl="3">
      <w:numFmt w:val="none"/>
      <w:lvlRestart w:val="0"/>
      <w:suff w:val="nothing"/>
      <w:lvlText w:val=""/>
      <w:lvlJc w:val="left"/>
      <w:pPr>
        <w:ind w:left="-32767" w:firstLine="0"/>
      </w:pPr>
      <w:rPr>
        <w:rFonts w:hint="default"/>
      </w:rPr>
    </w:lvl>
    <w:lvl w:ilvl="4">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16" w15:restartNumberingAfterBreak="0">
    <w:nsid w:val="33561E2E"/>
    <w:multiLevelType w:val="hybridMultilevel"/>
    <w:tmpl w:val="E0D27D0E"/>
    <w:lvl w:ilvl="0" w:tplc="1EAAB8BA">
      <w:start w:val="1"/>
      <w:numFmt w:val="bullet"/>
      <w:pStyle w:val="Quote3Bullet"/>
      <w:lvlText w:val=""/>
      <w:lvlJc w:val="left"/>
      <w:pPr>
        <w:ind w:left="2880" w:hanging="360"/>
      </w:pPr>
      <w:rPr>
        <w:rFonts w:ascii="Wingdings" w:hAnsi="Wingdings" w:hint="default"/>
      </w:rPr>
    </w:lvl>
    <w:lvl w:ilvl="1" w:tplc="0C090003" w:tentative="1">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17" w15:restartNumberingAfterBreak="0">
    <w:nsid w:val="494817A7"/>
    <w:multiLevelType w:val="multilevel"/>
    <w:tmpl w:val="0F0EC90E"/>
    <w:numStyleLink w:val="FCListNo"/>
  </w:abstractNum>
  <w:abstractNum w:abstractNumId="18" w15:restartNumberingAfterBreak="0">
    <w:nsid w:val="49B30D2B"/>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4A736C9D"/>
    <w:multiLevelType w:val="multilevel"/>
    <w:tmpl w:val="0C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0" w15:restartNumberingAfterBreak="0">
    <w:nsid w:val="668713D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1" w15:restartNumberingAfterBreak="0">
    <w:nsid w:val="6F9B6398"/>
    <w:multiLevelType w:val="hybridMultilevel"/>
    <w:tmpl w:val="0E4CBD92"/>
    <w:lvl w:ilvl="0" w:tplc="907C4790">
      <w:start w:val="1"/>
      <w:numFmt w:val="bullet"/>
      <w:pStyle w:val="Quote1Bullet"/>
      <w:lvlText w:val=""/>
      <w:lvlJc w:val="left"/>
      <w:pPr>
        <w:ind w:left="1457" w:hanging="360"/>
      </w:pPr>
      <w:rPr>
        <w:rFonts w:ascii="Wingdings" w:hAnsi="Wingdings" w:hint="default"/>
      </w:rPr>
    </w:lvl>
    <w:lvl w:ilvl="1" w:tplc="0C090003" w:tentative="1">
      <w:start w:val="1"/>
      <w:numFmt w:val="bullet"/>
      <w:lvlText w:val="o"/>
      <w:lvlJc w:val="left"/>
      <w:pPr>
        <w:ind w:left="2177" w:hanging="360"/>
      </w:pPr>
      <w:rPr>
        <w:rFonts w:ascii="Courier New" w:hAnsi="Courier New" w:cs="Courier New" w:hint="default"/>
      </w:rPr>
    </w:lvl>
    <w:lvl w:ilvl="2" w:tplc="0C090005" w:tentative="1">
      <w:start w:val="1"/>
      <w:numFmt w:val="bullet"/>
      <w:lvlText w:val=""/>
      <w:lvlJc w:val="left"/>
      <w:pPr>
        <w:ind w:left="2897" w:hanging="360"/>
      </w:pPr>
      <w:rPr>
        <w:rFonts w:ascii="Wingdings" w:hAnsi="Wingdings" w:hint="default"/>
      </w:rPr>
    </w:lvl>
    <w:lvl w:ilvl="3" w:tplc="0C090001" w:tentative="1">
      <w:start w:val="1"/>
      <w:numFmt w:val="bullet"/>
      <w:lvlText w:val=""/>
      <w:lvlJc w:val="left"/>
      <w:pPr>
        <w:ind w:left="3617" w:hanging="360"/>
      </w:pPr>
      <w:rPr>
        <w:rFonts w:ascii="Symbol" w:hAnsi="Symbol" w:hint="default"/>
      </w:rPr>
    </w:lvl>
    <w:lvl w:ilvl="4" w:tplc="0C090003" w:tentative="1">
      <w:start w:val="1"/>
      <w:numFmt w:val="bullet"/>
      <w:lvlText w:val="o"/>
      <w:lvlJc w:val="left"/>
      <w:pPr>
        <w:ind w:left="4337" w:hanging="360"/>
      </w:pPr>
      <w:rPr>
        <w:rFonts w:ascii="Courier New" w:hAnsi="Courier New" w:cs="Courier New" w:hint="default"/>
      </w:rPr>
    </w:lvl>
    <w:lvl w:ilvl="5" w:tplc="0C090005" w:tentative="1">
      <w:start w:val="1"/>
      <w:numFmt w:val="bullet"/>
      <w:lvlText w:val=""/>
      <w:lvlJc w:val="left"/>
      <w:pPr>
        <w:ind w:left="5057" w:hanging="360"/>
      </w:pPr>
      <w:rPr>
        <w:rFonts w:ascii="Wingdings" w:hAnsi="Wingdings" w:hint="default"/>
      </w:rPr>
    </w:lvl>
    <w:lvl w:ilvl="6" w:tplc="0C090001" w:tentative="1">
      <w:start w:val="1"/>
      <w:numFmt w:val="bullet"/>
      <w:lvlText w:val=""/>
      <w:lvlJc w:val="left"/>
      <w:pPr>
        <w:ind w:left="5777" w:hanging="360"/>
      </w:pPr>
      <w:rPr>
        <w:rFonts w:ascii="Symbol" w:hAnsi="Symbol" w:hint="default"/>
      </w:rPr>
    </w:lvl>
    <w:lvl w:ilvl="7" w:tplc="0C090003" w:tentative="1">
      <w:start w:val="1"/>
      <w:numFmt w:val="bullet"/>
      <w:lvlText w:val="o"/>
      <w:lvlJc w:val="left"/>
      <w:pPr>
        <w:ind w:left="6497" w:hanging="360"/>
      </w:pPr>
      <w:rPr>
        <w:rFonts w:ascii="Courier New" w:hAnsi="Courier New" w:cs="Courier New" w:hint="default"/>
      </w:rPr>
    </w:lvl>
    <w:lvl w:ilvl="8" w:tplc="0C090005" w:tentative="1">
      <w:start w:val="1"/>
      <w:numFmt w:val="bullet"/>
      <w:lvlText w:val=""/>
      <w:lvlJc w:val="left"/>
      <w:pPr>
        <w:ind w:left="7217" w:hanging="360"/>
      </w:pPr>
      <w:rPr>
        <w:rFonts w:ascii="Wingdings" w:hAnsi="Wingdings" w:hint="default"/>
      </w:rPr>
    </w:lvl>
  </w:abstractNum>
  <w:abstractNum w:abstractNumId="22" w15:restartNumberingAfterBreak="0">
    <w:nsid w:val="7D0861FF"/>
    <w:multiLevelType w:val="multilevel"/>
    <w:tmpl w:val="1BC46E94"/>
    <w:lvl w:ilvl="0">
      <w:start w:val="1"/>
      <w:numFmt w:val="decimal"/>
      <w:lvlRestart w:val="0"/>
      <w:pStyle w:val="fcHeading1"/>
      <w:lvlText w:val="%1."/>
      <w:lvlJc w:val="left"/>
      <w:pPr>
        <w:tabs>
          <w:tab w:val="num" w:pos="1134"/>
        </w:tabs>
        <w:ind w:left="1134" w:hanging="1134"/>
      </w:pPr>
      <w:rPr>
        <w:rFonts w:hint="default"/>
      </w:rPr>
    </w:lvl>
    <w:lvl w:ilvl="1">
      <w:start w:val="1"/>
      <w:numFmt w:val="decimal"/>
      <w:pStyle w:val="fcHeading2"/>
      <w:lvlText w:val="%1.%2"/>
      <w:lvlJc w:val="left"/>
      <w:pPr>
        <w:tabs>
          <w:tab w:val="num" w:pos="1134"/>
        </w:tabs>
        <w:ind w:left="1134" w:hanging="1134"/>
      </w:pPr>
      <w:rPr>
        <w:rFonts w:hint="default"/>
      </w:rPr>
    </w:lvl>
    <w:lvl w:ilvl="2">
      <w:start w:val="1"/>
      <w:numFmt w:val="decimal"/>
      <w:pStyle w:val="fcHeading3"/>
      <w:lvlText w:val="%1.%2.%3"/>
      <w:lvlJc w:val="left"/>
      <w:pPr>
        <w:tabs>
          <w:tab w:val="num" w:pos="1134"/>
        </w:tabs>
        <w:ind w:left="1134" w:hanging="1134"/>
      </w:pPr>
      <w:rPr>
        <w:rFonts w:hint="default"/>
      </w:rPr>
    </w:lvl>
    <w:lvl w:ilvl="3">
      <w:start w:val="1"/>
      <w:numFmt w:val="decimal"/>
      <w:pStyle w:val="fcHeading4"/>
      <w:lvlText w:val="%1.%2.%3.%4"/>
      <w:lvlJc w:val="left"/>
      <w:pPr>
        <w:tabs>
          <w:tab w:val="num" w:pos="1134"/>
        </w:tabs>
        <w:ind w:left="1134" w:hanging="1134"/>
      </w:pPr>
      <w:rPr>
        <w:rFonts w:hint="default"/>
      </w:rPr>
    </w:lvl>
    <w:lvl w:ilvl="4">
      <w:start w:val="1"/>
      <w:numFmt w:val="decimal"/>
      <w:pStyle w:val="fcHeading5"/>
      <w:lvlText w:val="%1.%2.%3.%4.%5"/>
      <w:lvlJc w:val="left"/>
      <w:pPr>
        <w:tabs>
          <w:tab w:val="num" w:pos="1134"/>
        </w:tabs>
        <w:ind w:left="1134" w:hanging="113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num w:numId="1">
    <w:abstractNumId w:val="14"/>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 w:numId="14">
    <w:abstractNumId w:val="18"/>
  </w:num>
  <w:num w:numId="15">
    <w:abstractNumId w:val="19"/>
  </w:num>
  <w:num w:numId="16">
    <w:abstractNumId w:val="22"/>
  </w:num>
  <w:num w:numId="17">
    <w:abstractNumId w:val="13"/>
  </w:num>
  <w:num w:numId="18">
    <w:abstractNumId w:val="21"/>
  </w:num>
  <w:num w:numId="19">
    <w:abstractNumId w:val="10"/>
  </w:num>
  <w:num w:numId="20">
    <w:abstractNumId w:val="16"/>
  </w:num>
  <w:num w:numId="21">
    <w:abstractNumId w:val="17"/>
  </w:num>
  <w:num w:numId="22">
    <w:abstractNumId w:val="15"/>
  </w:num>
  <w:num w:numId="23">
    <w:abstractNumId w:val="15"/>
  </w:num>
  <w:num w:numId="24">
    <w:abstractNumId w:val="1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num>
  <w:num w:numId="27">
    <w:abstractNumId w:val="1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activeWritingStyle w:appName="MSWord" w:lang="en-AU" w:vendorID="64" w:dllVersion="131078" w:nlCheck="1" w:checkStyle="1"/>
  <w:activeWritingStyle w:appName="MSWord" w:lang="en-US" w:vendorID="64" w:dllVersion="131078" w:nlCheck="1" w:checkStyle="1"/>
  <w:activeWritingStyle w:appName="MSWord" w:lang="en-AU" w:vendorID="8" w:dllVersion="513" w:checkStyle="1"/>
  <w:proofState w:spelling="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22529"/>
  </w:hdrShapeDefaults>
  <w:footnotePr>
    <w:footnote w:id="-1"/>
    <w:footnote w:id="0"/>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PAndAnother" w:val="True"/>
    <w:docVar w:name="APPAndOthers" w:val="False"/>
    <w:docVar w:name="Appellant" w:val="Victorian Xray Group Pty Ltd|Victorian Xray Group (Frankston) Pty Ltd"/>
    <w:docVar w:name="CounselParties" w:val="Respondent"/>
    <w:docVar w:name="CounselType" w:val="Solicitor for the "/>
    <w:docVar w:name="Cross1AndAnother" w:val="True"/>
    <w:docVar w:name="Cross1AndOthers" w:val="False"/>
    <w:docVar w:name="Cross2AndAnother" w:val="True"/>
    <w:docVar w:name="Cross2AndOthers" w:val="False"/>
    <w:docVar w:name="Defenders" w:val="(and another named in the Schedule)"/>
    <w:docVar w:name="Division" w:val="Fair Work Division"/>
    <w:docVar w:name="DocCreated" w:val="True"/>
    <w:docVar w:name="FileNumbers" w:val="VID 1008 of 2019"/>
    <w:docVar w:name="HearingDate" w:val="18 December 2019"/>
    <w:docVar w:name="Initiators" w:val="(and another named in the Schedule)"/>
    <w:docVar w:name="Judgdate" w:val="24 January 2020"/>
    <w:docVar w:name="Judge" w:val="STEWARD"/>
    <w:docVar w:name="Justices" w:val="Justice"/>
    <w:docVar w:name="lstEntryList" w:val="-1"/>
    <w:docVar w:name="myEntryList" w:val="Counsel for the Appellants=Ms R Preston|Solicitor for the Appellants=Webb Korfiatis|Counsel for the Respondent=Mr R. A. Millar|Solicitor for the Respondent=Capree Lawyers"/>
    <w:docVar w:name="NSD" w:val="NSD "/>
    <w:docVar w:name="NumApps" w:val="2"/>
    <w:docVar w:name="NumApps_" w:val="1"/>
    <w:docVar w:name="NumCrossResps" w:val="0"/>
    <w:docVar w:name="NumDefs" w:val="1"/>
    <w:docVar w:name="NumOthers" w:val="0"/>
    <w:docVar w:name="OtherNum" w:val="0"/>
    <w:docVar w:name="Parties1" w:val="Appellant"/>
    <w:docVar w:name="Parties2" w:val="Respondent"/>
    <w:docVar w:name="Parties3" w:val="Cross-Appellant"/>
    <w:docVar w:name="Parties4" w:val="Cross-Defendant"/>
    <w:docVar w:name="Parties5" w:val="Intervener"/>
    <w:docVar w:name="PracticeArea" w:val="Employment &amp; Industrial Relations"/>
    <w:docVar w:name="RESAndAnother" w:val="True"/>
    <w:docVar w:name="RESAndOthers" w:val="False"/>
    <w:docVar w:name="Respondent" w:val="Stella Ho"/>
    <w:docVar w:name="ResState" w:val="Victoria"/>
    <w:docVar w:name="SubArea" w:val="[none]"/>
  </w:docVars>
  <w:rsids>
    <w:rsidRoot w:val="009722F0"/>
    <w:rsid w:val="00004E0F"/>
    <w:rsid w:val="00013A1B"/>
    <w:rsid w:val="0001469E"/>
    <w:rsid w:val="00015993"/>
    <w:rsid w:val="00022289"/>
    <w:rsid w:val="00032F9F"/>
    <w:rsid w:val="00041C07"/>
    <w:rsid w:val="00045BB7"/>
    <w:rsid w:val="00055719"/>
    <w:rsid w:val="0005641B"/>
    <w:rsid w:val="00081497"/>
    <w:rsid w:val="000830B3"/>
    <w:rsid w:val="000A2E76"/>
    <w:rsid w:val="000A4807"/>
    <w:rsid w:val="000A4BE4"/>
    <w:rsid w:val="000B0C58"/>
    <w:rsid w:val="000B327B"/>
    <w:rsid w:val="000C023E"/>
    <w:rsid w:val="000C1EAF"/>
    <w:rsid w:val="000C5195"/>
    <w:rsid w:val="000C62EF"/>
    <w:rsid w:val="000D2137"/>
    <w:rsid w:val="000D3FD2"/>
    <w:rsid w:val="000E1720"/>
    <w:rsid w:val="000E3FC8"/>
    <w:rsid w:val="000E7BAE"/>
    <w:rsid w:val="000F133D"/>
    <w:rsid w:val="00102C9D"/>
    <w:rsid w:val="0010536B"/>
    <w:rsid w:val="0011145C"/>
    <w:rsid w:val="001128BD"/>
    <w:rsid w:val="0011419D"/>
    <w:rsid w:val="00122A56"/>
    <w:rsid w:val="00132054"/>
    <w:rsid w:val="001727A4"/>
    <w:rsid w:val="0017376C"/>
    <w:rsid w:val="001738AB"/>
    <w:rsid w:val="001765E0"/>
    <w:rsid w:val="00177759"/>
    <w:rsid w:val="00185E6B"/>
    <w:rsid w:val="00187BBC"/>
    <w:rsid w:val="001932F3"/>
    <w:rsid w:val="00196B5E"/>
    <w:rsid w:val="001A4309"/>
    <w:rsid w:val="001B1053"/>
    <w:rsid w:val="001B14AC"/>
    <w:rsid w:val="001B7940"/>
    <w:rsid w:val="001C37CA"/>
    <w:rsid w:val="001D4303"/>
    <w:rsid w:val="001D6746"/>
    <w:rsid w:val="001E3B49"/>
    <w:rsid w:val="001E7388"/>
    <w:rsid w:val="001F13DD"/>
    <w:rsid w:val="001F2DBC"/>
    <w:rsid w:val="001F73E8"/>
    <w:rsid w:val="0020262C"/>
    <w:rsid w:val="00224537"/>
    <w:rsid w:val="00235956"/>
    <w:rsid w:val="00237CEA"/>
    <w:rsid w:val="00247C9A"/>
    <w:rsid w:val="0025160C"/>
    <w:rsid w:val="002535D0"/>
    <w:rsid w:val="002539B3"/>
    <w:rsid w:val="00257C3E"/>
    <w:rsid w:val="002602C2"/>
    <w:rsid w:val="00261DBF"/>
    <w:rsid w:val="00262E44"/>
    <w:rsid w:val="002666C9"/>
    <w:rsid w:val="00270136"/>
    <w:rsid w:val="00274F5B"/>
    <w:rsid w:val="00280281"/>
    <w:rsid w:val="00280836"/>
    <w:rsid w:val="00282E1A"/>
    <w:rsid w:val="0029113B"/>
    <w:rsid w:val="002934C0"/>
    <w:rsid w:val="002A1B50"/>
    <w:rsid w:val="002B0E91"/>
    <w:rsid w:val="002B6779"/>
    <w:rsid w:val="002B71C0"/>
    <w:rsid w:val="002B7A34"/>
    <w:rsid w:val="002C31AD"/>
    <w:rsid w:val="002C7385"/>
    <w:rsid w:val="002D2DBB"/>
    <w:rsid w:val="002D54A6"/>
    <w:rsid w:val="002E5AAB"/>
    <w:rsid w:val="002E6A7A"/>
    <w:rsid w:val="002F1E49"/>
    <w:rsid w:val="002F3219"/>
    <w:rsid w:val="002F4E9C"/>
    <w:rsid w:val="00303382"/>
    <w:rsid w:val="003107BF"/>
    <w:rsid w:val="0031256C"/>
    <w:rsid w:val="00314D6C"/>
    <w:rsid w:val="00316D2A"/>
    <w:rsid w:val="00322A7C"/>
    <w:rsid w:val="003402D3"/>
    <w:rsid w:val="00343ABC"/>
    <w:rsid w:val="003463FE"/>
    <w:rsid w:val="003554B3"/>
    <w:rsid w:val="00356632"/>
    <w:rsid w:val="003845A9"/>
    <w:rsid w:val="00390883"/>
    <w:rsid w:val="003922F8"/>
    <w:rsid w:val="003953FF"/>
    <w:rsid w:val="00395B24"/>
    <w:rsid w:val="003A213D"/>
    <w:rsid w:val="003A2D38"/>
    <w:rsid w:val="003A7ECC"/>
    <w:rsid w:val="003B18D5"/>
    <w:rsid w:val="003B2C72"/>
    <w:rsid w:val="003C1333"/>
    <w:rsid w:val="003C20FF"/>
    <w:rsid w:val="003D2650"/>
    <w:rsid w:val="003D560C"/>
    <w:rsid w:val="003E5874"/>
    <w:rsid w:val="003F193E"/>
    <w:rsid w:val="003F34F1"/>
    <w:rsid w:val="00411AE8"/>
    <w:rsid w:val="00413B74"/>
    <w:rsid w:val="00435C5F"/>
    <w:rsid w:val="00441E98"/>
    <w:rsid w:val="0044399B"/>
    <w:rsid w:val="00446F7E"/>
    <w:rsid w:val="004532F7"/>
    <w:rsid w:val="00472027"/>
    <w:rsid w:val="004804CF"/>
    <w:rsid w:val="00484962"/>
    <w:rsid w:val="00484F6D"/>
    <w:rsid w:val="0049338A"/>
    <w:rsid w:val="0049417F"/>
    <w:rsid w:val="004A5DF5"/>
    <w:rsid w:val="004B3EFA"/>
    <w:rsid w:val="004C2A87"/>
    <w:rsid w:val="004C4D7B"/>
    <w:rsid w:val="004C4ED3"/>
    <w:rsid w:val="004D2EA5"/>
    <w:rsid w:val="004D32A6"/>
    <w:rsid w:val="004D53E5"/>
    <w:rsid w:val="004E16E3"/>
    <w:rsid w:val="004F6E70"/>
    <w:rsid w:val="00501A12"/>
    <w:rsid w:val="0051346D"/>
    <w:rsid w:val="00513EAE"/>
    <w:rsid w:val="00516806"/>
    <w:rsid w:val="00525A49"/>
    <w:rsid w:val="00525A7B"/>
    <w:rsid w:val="005312AE"/>
    <w:rsid w:val="00532E80"/>
    <w:rsid w:val="00535613"/>
    <w:rsid w:val="005359EB"/>
    <w:rsid w:val="0053708C"/>
    <w:rsid w:val="00541993"/>
    <w:rsid w:val="0054254A"/>
    <w:rsid w:val="005466B5"/>
    <w:rsid w:val="00554314"/>
    <w:rsid w:val="005629B3"/>
    <w:rsid w:val="005735BF"/>
    <w:rsid w:val="00573AC4"/>
    <w:rsid w:val="00577D72"/>
    <w:rsid w:val="005801FC"/>
    <w:rsid w:val="00595016"/>
    <w:rsid w:val="00597AAE"/>
    <w:rsid w:val="005A222C"/>
    <w:rsid w:val="005A4DF8"/>
    <w:rsid w:val="005A4F2A"/>
    <w:rsid w:val="005B1426"/>
    <w:rsid w:val="005C0A8E"/>
    <w:rsid w:val="005C1767"/>
    <w:rsid w:val="005C42EF"/>
    <w:rsid w:val="005D40BF"/>
    <w:rsid w:val="005D55C7"/>
    <w:rsid w:val="005E02F5"/>
    <w:rsid w:val="005E0510"/>
    <w:rsid w:val="005E176E"/>
    <w:rsid w:val="005E218E"/>
    <w:rsid w:val="005E2569"/>
    <w:rsid w:val="005E35A0"/>
    <w:rsid w:val="005E7295"/>
    <w:rsid w:val="005F0D1B"/>
    <w:rsid w:val="005F1865"/>
    <w:rsid w:val="006007BD"/>
    <w:rsid w:val="006013C8"/>
    <w:rsid w:val="0060270D"/>
    <w:rsid w:val="00604611"/>
    <w:rsid w:val="00605D94"/>
    <w:rsid w:val="00611586"/>
    <w:rsid w:val="00616B44"/>
    <w:rsid w:val="00621887"/>
    <w:rsid w:val="00624520"/>
    <w:rsid w:val="00632300"/>
    <w:rsid w:val="00632BB7"/>
    <w:rsid w:val="00633046"/>
    <w:rsid w:val="00635B36"/>
    <w:rsid w:val="00636871"/>
    <w:rsid w:val="00640F4E"/>
    <w:rsid w:val="00643DE0"/>
    <w:rsid w:val="00644E85"/>
    <w:rsid w:val="00653CB2"/>
    <w:rsid w:val="00660486"/>
    <w:rsid w:val="0066063F"/>
    <w:rsid w:val="00662BB0"/>
    <w:rsid w:val="00663878"/>
    <w:rsid w:val="00667773"/>
    <w:rsid w:val="00670743"/>
    <w:rsid w:val="0067707C"/>
    <w:rsid w:val="00690EE2"/>
    <w:rsid w:val="006A0E20"/>
    <w:rsid w:val="006A5695"/>
    <w:rsid w:val="006B3904"/>
    <w:rsid w:val="006B5B7D"/>
    <w:rsid w:val="006C4A71"/>
    <w:rsid w:val="006D0ECF"/>
    <w:rsid w:val="006D4C92"/>
    <w:rsid w:val="006D4EB6"/>
    <w:rsid w:val="006E35BF"/>
    <w:rsid w:val="006E7850"/>
    <w:rsid w:val="007028D9"/>
    <w:rsid w:val="007061C7"/>
    <w:rsid w:val="00707218"/>
    <w:rsid w:val="00712B1D"/>
    <w:rsid w:val="00727906"/>
    <w:rsid w:val="007325D9"/>
    <w:rsid w:val="007360CA"/>
    <w:rsid w:val="00741D44"/>
    <w:rsid w:val="007465CE"/>
    <w:rsid w:val="00760EC0"/>
    <w:rsid w:val="0078003A"/>
    <w:rsid w:val="00780771"/>
    <w:rsid w:val="00790B42"/>
    <w:rsid w:val="007929CF"/>
    <w:rsid w:val="007A6F28"/>
    <w:rsid w:val="007B03C6"/>
    <w:rsid w:val="007B0DB1"/>
    <w:rsid w:val="007C3BF6"/>
    <w:rsid w:val="007D0FD2"/>
    <w:rsid w:val="007D2EF8"/>
    <w:rsid w:val="007D561F"/>
    <w:rsid w:val="007D7FD2"/>
    <w:rsid w:val="007E13D9"/>
    <w:rsid w:val="007E41BE"/>
    <w:rsid w:val="007E4DB6"/>
    <w:rsid w:val="007E7CD4"/>
    <w:rsid w:val="007F12AC"/>
    <w:rsid w:val="00801800"/>
    <w:rsid w:val="00801B5B"/>
    <w:rsid w:val="008067DE"/>
    <w:rsid w:val="008276B4"/>
    <w:rsid w:val="00831927"/>
    <w:rsid w:val="00841BD3"/>
    <w:rsid w:val="0084273D"/>
    <w:rsid w:val="00844E3F"/>
    <w:rsid w:val="00845A83"/>
    <w:rsid w:val="00863677"/>
    <w:rsid w:val="008712BB"/>
    <w:rsid w:val="008A2484"/>
    <w:rsid w:val="008B3CBE"/>
    <w:rsid w:val="008C26D9"/>
    <w:rsid w:val="008C6D50"/>
    <w:rsid w:val="008C7167"/>
    <w:rsid w:val="008C7503"/>
    <w:rsid w:val="008D1617"/>
    <w:rsid w:val="008E6315"/>
    <w:rsid w:val="008F11E0"/>
    <w:rsid w:val="008F505E"/>
    <w:rsid w:val="008F78BC"/>
    <w:rsid w:val="008F7B63"/>
    <w:rsid w:val="008F7D6A"/>
    <w:rsid w:val="0090151F"/>
    <w:rsid w:val="009054CB"/>
    <w:rsid w:val="00912F94"/>
    <w:rsid w:val="0092590B"/>
    <w:rsid w:val="00925E60"/>
    <w:rsid w:val="009264B3"/>
    <w:rsid w:val="009365E0"/>
    <w:rsid w:val="00942BA2"/>
    <w:rsid w:val="00944C86"/>
    <w:rsid w:val="00957DE8"/>
    <w:rsid w:val="00960ECB"/>
    <w:rsid w:val="009615D6"/>
    <w:rsid w:val="00967855"/>
    <w:rsid w:val="00970DBA"/>
    <w:rsid w:val="009722F0"/>
    <w:rsid w:val="00980736"/>
    <w:rsid w:val="00981A39"/>
    <w:rsid w:val="00982AC3"/>
    <w:rsid w:val="00985D07"/>
    <w:rsid w:val="00987097"/>
    <w:rsid w:val="009A3A9C"/>
    <w:rsid w:val="009A5B76"/>
    <w:rsid w:val="009B046C"/>
    <w:rsid w:val="009B13FA"/>
    <w:rsid w:val="009B1E2D"/>
    <w:rsid w:val="009C1187"/>
    <w:rsid w:val="009C21D4"/>
    <w:rsid w:val="009C59FB"/>
    <w:rsid w:val="009C6F3B"/>
    <w:rsid w:val="009D1467"/>
    <w:rsid w:val="009D32CD"/>
    <w:rsid w:val="009E4FA6"/>
    <w:rsid w:val="009E5871"/>
    <w:rsid w:val="009E7D93"/>
    <w:rsid w:val="009F598D"/>
    <w:rsid w:val="009F5C33"/>
    <w:rsid w:val="009F764B"/>
    <w:rsid w:val="00A00641"/>
    <w:rsid w:val="00A03EAC"/>
    <w:rsid w:val="00A11CA6"/>
    <w:rsid w:val="00A20C49"/>
    <w:rsid w:val="00A261FC"/>
    <w:rsid w:val="00A269CA"/>
    <w:rsid w:val="00A336EE"/>
    <w:rsid w:val="00A359AC"/>
    <w:rsid w:val="00A35A88"/>
    <w:rsid w:val="00A41413"/>
    <w:rsid w:val="00A445C0"/>
    <w:rsid w:val="00A45FB1"/>
    <w:rsid w:val="00A463FD"/>
    <w:rsid w:val="00A46CCC"/>
    <w:rsid w:val="00A51CFE"/>
    <w:rsid w:val="00A70EAA"/>
    <w:rsid w:val="00A76C13"/>
    <w:rsid w:val="00A77B43"/>
    <w:rsid w:val="00A91E16"/>
    <w:rsid w:val="00A92E79"/>
    <w:rsid w:val="00A950B6"/>
    <w:rsid w:val="00AB4102"/>
    <w:rsid w:val="00AB41C1"/>
    <w:rsid w:val="00AB43BD"/>
    <w:rsid w:val="00AD12A8"/>
    <w:rsid w:val="00AE023F"/>
    <w:rsid w:val="00AF2EF1"/>
    <w:rsid w:val="00AF3577"/>
    <w:rsid w:val="00AF35F9"/>
    <w:rsid w:val="00B05C7D"/>
    <w:rsid w:val="00B16B43"/>
    <w:rsid w:val="00B31600"/>
    <w:rsid w:val="00B346C3"/>
    <w:rsid w:val="00B4471C"/>
    <w:rsid w:val="00B451A6"/>
    <w:rsid w:val="00B722DE"/>
    <w:rsid w:val="00B76C44"/>
    <w:rsid w:val="00B83F87"/>
    <w:rsid w:val="00BA2E33"/>
    <w:rsid w:val="00BA2EFA"/>
    <w:rsid w:val="00BA3DBC"/>
    <w:rsid w:val="00BB2DA2"/>
    <w:rsid w:val="00BB56DC"/>
    <w:rsid w:val="00BE183D"/>
    <w:rsid w:val="00BF5D7A"/>
    <w:rsid w:val="00C02D33"/>
    <w:rsid w:val="00C1232C"/>
    <w:rsid w:val="00C16591"/>
    <w:rsid w:val="00C26053"/>
    <w:rsid w:val="00C36442"/>
    <w:rsid w:val="00C400CE"/>
    <w:rsid w:val="00C40B3C"/>
    <w:rsid w:val="00C410FD"/>
    <w:rsid w:val="00C539FB"/>
    <w:rsid w:val="00C55CA8"/>
    <w:rsid w:val="00C70814"/>
    <w:rsid w:val="00CA246D"/>
    <w:rsid w:val="00CA50D9"/>
    <w:rsid w:val="00CB5636"/>
    <w:rsid w:val="00CC753B"/>
    <w:rsid w:val="00D00EC6"/>
    <w:rsid w:val="00D04964"/>
    <w:rsid w:val="00D10F21"/>
    <w:rsid w:val="00D1735B"/>
    <w:rsid w:val="00D17B60"/>
    <w:rsid w:val="00D24806"/>
    <w:rsid w:val="00D34040"/>
    <w:rsid w:val="00D34E69"/>
    <w:rsid w:val="00D375EE"/>
    <w:rsid w:val="00D41285"/>
    <w:rsid w:val="00D46984"/>
    <w:rsid w:val="00D61E02"/>
    <w:rsid w:val="00D61F4E"/>
    <w:rsid w:val="00D62699"/>
    <w:rsid w:val="00D741A9"/>
    <w:rsid w:val="00D82620"/>
    <w:rsid w:val="00D86A3D"/>
    <w:rsid w:val="00D95735"/>
    <w:rsid w:val="00D9725F"/>
    <w:rsid w:val="00DA01B1"/>
    <w:rsid w:val="00DA11A2"/>
    <w:rsid w:val="00DA14ED"/>
    <w:rsid w:val="00DB2EF1"/>
    <w:rsid w:val="00DB3DE1"/>
    <w:rsid w:val="00DB5DA0"/>
    <w:rsid w:val="00DB716C"/>
    <w:rsid w:val="00DC36C5"/>
    <w:rsid w:val="00DC5C85"/>
    <w:rsid w:val="00DC6FCC"/>
    <w:rsid w:val="00DD4236"/>
    <w:rsid w:val="00DD44F1"/>
    <w:rsid w:val="00DE3067"/>
    <w:rsid w:val="00E01957"/>
    <w:rsid w:val="00E02270"/>
    <w:rsid w:val="00E027BC"/>
    <w:rsid w:val="00E0775C"/>
    <w:rsid w:val="00E14EA5"/>
    <w:rsid w:val="00E15448"/>
    <w:rsid w:val="00E15A5F"/>
    <w:rsid w:val="00E21133"/>
    <w:rsid w:val="00E231B0"/>
    <w:rsid w:val="00E2327E"/>
    <w:rsid w:val="00E266EF"/>
    <w:rsid w:val="00E47428"/>
    <w:rsid w:val="00E57A39"/>
    <w:rsid w:val="00E66B9F"/>
    <w:rsid w:val="00E710D6"/>
    <w:rsid w:val="00E76E45"/>
    <w:rsid w:val="00E777C9"/>
    <w:rsid w:val="00E81DA6"/>
    <w:rsid w:val="00E84212"/>
    <w:rsid w:val="00E9086C"/>
    <w:rsid w:val="00E90FC5"/>
    <w:rsid w:val="00E91A0F"/>
    <w:rsid w:val="00E94A71"/>
    <w:rsid w:val="00E97C95"/>
    <w:rsid w:val="00EA03CE"/>
    <w:rsid w:val="00EA0F78"/>
    <w:rsid w:val="00EA23E5"/>
    <w:rsid w:val="00EA4E2E"/>
    <w:rsid w:val="00EA7719"/>
    <w:rsid w:val="00EB2CCB"/>
    <w:rsid w:val="00EC57A7"/>
    <w:rsid w:val="00EC70F9"/>
    <w:rsid w:val="00ED0817"/>
    <w:rsid w:val="00ED1F87"/>
    <w:rsid w:val="00ED7DD9"/>
    <w:rsid w:val="00EF3113"/>
    <w:rsid w:val="00EF3F84"/>
    <w:rsid w:val="00F0298E"/>
    <w:rsid w:val="00F176AC"/>
    <w:rsid w:val="00F27714"/>
    <w:rsid w:val="00F3276E"/>
    <w:rsid w:val="00F33D3C"/>
    <w:rsid w:val="00F37A91"/>
    <w:rsid w:val="00F45CF5"/>
    <w:rsid w:val="00F4746A"/>
    <w:rsid w:val="00F47DB0"/>
    <w:rsid w:val="00F50E34"/>
    <w:rsid w:val="00F53EF7"/>
    <w:rsid w:val="00F54BF2"/>
    <w:rsid w:val="00F902AA"/>
    <w:rsid w:val="00F92355"/>
    <w:rsid w:val="00F93963"/>
    <w:rsid w:val="00F94291"/>
    <w:rsid w:val="00FB7982"/>
    <w:rsid w:val="00FC0734"/>
    <w:rsid w:val="00FC0E3D"/>
    <w:rsid w:val="00FC0FC5"/>
    <w:rsid w:val="00FC588F"/>
    <w:rsid w:val="00FC74E9"/>
    <w:rsid w:val="00FE1B30"/>
    <w:rsid w:val="00FE7B4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5:docId w15:val="{45DDD346-C878-40C0-A108-3607B5B1C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AU" w:eastAsia="en-AU"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765E0"/>
    <w:pPr>
      <w:spacing w:line="360" w:lineRule="auto"/>
      <w:jc w:val="both"/>
    </w:pPr>
    <w:rPr>
      <w:sz w:val="24"/>
      <w:lang w:eastAsia="en-US"/>
    </w:rPr>
  </w:style>
  <w:style w:type="paragraph" w:styleId="Heading1">
    <w:name w:val="heading 1"/>
    <w:basedOn w:val="Normal"/>
    <w:next w:val="ParaNumbering"/>
    <w:qFormat/>
    <w:pPr>
      <w:keepNext/>
      <w:spacing w:before="240" w:after="60" w:line="240" w:lineRule="auto"/>
      <w:outlineLvl w:val="0"/>
    </w:pPr>
    <w:rPr>
      <w:b/>
      <w:caps/>
      <w:kern w:val="28"/>
    </w:rPr>
  </w:style>
  <w:style w:type="paragraph" w:styleId="Heading2">
    <w:name w:val="heading 2"/>
    <w:basedOn w:val="Normal"/>
    <w:next w:val="ParaNumbering"/>
    <w:qFormat/>
    <w:pPr>
      <w:keepNext/>
      <w:spacing w:before="240" w:after="60" w:line="240" w:lineRule="auto"/>
      <w:outlineLvl w:val="1"/>
    </w:pPr>
    <w:rPr>
      <w:b/>
      <w:szCs w:val="24"/>
    </w:rPr>
  </w:style>
  <w:style w:type="paragraph" w:styleId="Heading3">
    <w:name w:val="heading 3"/>
    <w:basedOn w:val="Normal"/>
    <w:next w:val="ParaNumbering"/>
    <w:qFormat/>
    <w:pPr>
      <w:keepNext/>
      <w:spacing w:before="240" w:after="60" w:line="240" w:lineRule="auto"/>
      <w:outlineLvl w:val="2"/>
    </w:pPr>
    <w:rPr>
      <w:b/>
      <w:i/>
    </w:rPr>
  </w:style>
  <w:style w:type="paragraph" w:styleId="Heading4">
    <w:name w:val="heading 4"/>
    <w:basedOn w:val="Normal"/>
    <w:next w:val="ParaNumbering"/>
    <w:qFormat/>
    <w:rsid w:val="009F5C33"/>
    <w:pPr>
      <w:keepNext/>
      <w:spacing w:before="240" w:after="60" w:line="240" w:lineRule="auto"/>
      <w:jc w:val="left"/>
      <w:outlineLvl w:val="3"/>
    </w:pPr>
    <w:rPr>
      <w:i/>
      <w:szCs w:val="24"/>
    </w:rPr>
  </w:style>
  <w:style w:type="paragraph" w:styleId="Heading5">
    <w:name w:val="heading 5"/>
    <w:basedOn w:val="fcHeading1"/>
    <w:next w:val="ParaNumbering"/>
    <w:qFormat/>
    <w:rsid w:val="000E7BAE"/>
    <w:pPr>
      <w:outlineLvl w:val="4"/>
    </w:pPr>
    <w:rPr>
      <w:caps w:val="0"/>
    </w:rPr>
  </w:style>
  <w:style w:type="paragraph" w:styleId="Heading6">
    <w:name w:val="heading 6"/>
    <w:basedOn w:val="fcHeading2"/>
    <w:next w:val="ParaNumbering"/>
    <w:qFormat/>
    <w:pPr>
      <w:outlineLvl w:val="5"/>
    </w:pPr>
  </w:style>
  <w:style w:type="paragraph" w:styleId="Heading7">
    <w:name w:val="heading 7"/>
    <w:basedOn w:val="fcHeading3"/>
    <w:next w:val="ParaNumbering"/>
    <w:qFormat/>
    <w:rsid w:val="00635B36"/>
    <w:pPr>
      <w:outlineLvl w:val="6"/>
    </w:pPr>
    <w:rPr>
      <w:i w:val="0"/>
    </w:rPr>
  </w:style>
  <w:style w:type="paragraph" w:styleId="Heading8">
    <w:name w:val="heading 8"/>
    <w:basedOn w:val="fcHeading4"/>
    <w:next w:val="ParaNumbering"/>
    <w:rsid w:val="00635B36"/>
    <w:pPr>
      <w:outlineLvl w:val="7"/>
    </w:pPr>
    <w:rPr>
      <w:smallCaps w:val="0"/>
    </w:rPr>
  </w:style>
  <w:style w:type="paragraph" w:styleId="Heading9">
    <w:name w:val="heading 9"/>
    <w:basedOn w:val="fcHeading5"/>
    <w:next w:val="ParaNumbering"/>
    <w:rsid w:val="00635B36"/>
    <w:pPr>
      <w:outlineLvl w:val="8"/>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rsid w:val="00967855"/>
    <w:pPr>
      <w:numPr>
        <w:numId w:val="1"/>
      </w:numPr>
      <w:tabs>
        <w:tab w:val="clear" w:pos="2575"/>
      </w:tabs>
      <w:spacing w:before="180" w:after="180"/>
      <w:ind w:left="0"/>
    </w:pPr>
  </w:style>
  <w:style w:type="paragraph" w:customStyle="1" w:styleId="Quote1">
    <w:name w:val="Quote1"/>
    <w:rsid w:val="00960ECB"/>
    <w:pPr>
      <w:widowControl w:val="0"/>
      <w:spacing w:after="180"/>
      <w:ind w:left="737" w:right="737"/>
      <w:jc w:val="both"/>
    </w:pPr>
    <w:rPr>
      <w:sz w:val="22"/>
      <w:lang w:eastAsia="en-US"/>
    </w:rPr>
  </w:style>
  <w:style w:type="paragraph" w:customStyle="1" w:styleId="NormalHeadings">
    <w:name w:val="Normal Headings"/>
    <w:link w:val="NormalHeadingsChar"/>
    <w:pPr>
      <w:widowControl w:val="0"/>
      <w:jc w:val="both"/>
    </w:pPr>
    <w:rPr>
      <w:b/>
      <w:sz w:val="24"/>
      <w:lang w:eastAsia="en-US"/>
    </w:rPr>
  </w:style>
  <w:style w:type="table" w:styleId="TableGrid">
    <w:name w:val="Table Grid"/>
    <w:basedOn w:val="TableNormal"/>
    <w:semiHidden/>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pPr>
      <w:numPr>
        <w:numId w:val="2"/>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rsid w:val="00632300"/>
    <w:pPr>
      <w:tabs>
        <w:tab w:val="right" w:leader="dot" w:pos="9072"/>
      </w:tabs>
      <w:spacing w:before="120" w:after="60" w:line="240" w:lineRule="auto"/>
    </w:pPr>
    <w:rPr>
      <w:b/>
      <w:caps/>
      <w:kern w:val="28"/>
    </w:rPr>
  </w:style>
  <w:style w:type="paragraph" w:customStyle="1" w:styleId="ListNo1">
    <w:name w:val="List No 1"/>
    <w:basedOn w:val="Normal"/>
    <w:rsid w:val="00E14EA5"/>
    <w:pPr>
      <w:numPr>
        <w:numId w:val="21"/>
      </w:numPr>
      <w:spacing w:before="60" w:after="60"/>
    </w:pPr>
  </w:style>
  <w:style w:type="paragraph" w:customStyle="1" w:styleId="FTOC2">
    <w:name w:val="FTOC 2"/>
    <w:basedOn w:val="Normal"/>
    <w:semiHidden/>
    <w:rsid w:val="008C26D9"/>
    <w:pPr>
      <w:tabs>
        <w:tab w:val="right" w:leader="dot" w:pos="9072"/>
      </w:tabs>
      <w:spacing w:before="120" w:after="60" w:line="240" w:lineRule="auto"/>
      <w:ind w:left="238"/>
    </w:pPr>
    <w:rPr>
      <w:b/>
    </w:rPr>
  </w:style>
  <w:style w:type="paragraph" w:customStyle="1" w:styleId="FTOC3">
    <w:name w:val="FTOC 3"/>
    <w:basedOn w:val="Normal"/>
    <w:semiHidden/>
    <w:rsid w:val="00513EAE"/>
    <w:pPr>
      <w:tabs>
        <w:tab w:val="right" w:leader="dot" w:pos="9072"/>
      </w:tabs>
      <w:spacing w:before="120" w:after="60" w:line="240" w:lineRule="auto"/>
      <w:ind w:left="482"/>
    </w:pPr>
    <w:rPr>
      <w:b/>
      <w:i/>
    </w:rPr>
  </w:style>
  <w:style w:type="paragraph" w:customStyle="1" w:styleId="FTOC4">
    <w:name w:val="FTOC 4"/>
    <w:basedOn w:val="Normal"/>
    <w:semiHidden/>
    <w:rsid w:val="00185E6B"/>
    <w:pPr>
      <w:tabs>
        <w:tab w:val="right" w:leader="dot" w:pos="9072"/>
      </w:tabs>
      <w:spacing w:before="120" w:after="60" w:line="240" w:lineRule="auto"/>
      <w:ind w:left="720"/>
    </w:pPr>
    <w:rPr>
      <w:i/>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3"/>
      </w:numPr>
    </w:pPr>
  </w:style>
  <w:style w:type="numbering" w:styleId="1ai">
    <w:name w:val="Outline List 1"/>
    <w:basedOn w:val="NoList"/>
    <w:semiHidden/>
    <w:pPr>
      <w:numPr>
        <w:numId w:val="14"/>
      </w:numPr>
    </w:pPr>
  </w:style>
  <w:style w:type="numbering" w:styleId="ArticleSection">
    <w:name w:val="Outline List 3"/>
    <w:basedOn w:val="NoList"/>
    <w:semiHidden/>
    <w:pPr>
      <w:numPr>
        <w:numId w:val="15"/>
      </w:numPr>
    </w:pPr>
  </w:style>
  <w:style w:type="paragraph" w:styleId="BodyText">
    <w:name w:val="Body Text"/>
    <w:basedOn w:val="Normal"/>
    <w:link w:val="BodyTextChar"/>
    <w:qFormat/>
    <w:rsid w:val="002B0E91"/>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semiHidden/>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3"/>
      </w:numPr>
    </w:pPr>
  </w:style>
  <w:style w:type="paragraph" w:styleId="ListBullet2">
    <w:name w:val="List Bullet 2"/>
    <w:basedOn w:val="Normal"/>
    <w:semiHidden/>
    <w:pPr>
      <w:numPr>
        <w:numId w:val="4"/>
      </w:numPr>
    </w:pPr>
  </w:style>
  <w:style w:type="paragraph" w:styleId="ListBullet3">
    <w:name w:val="List Bullet 3"/>
    <w:basedOn w:val="Normal"/>
    <w:semiHidden/>
    <w:pPr>
      <w:numPr>
        <w:numId w:val="5"/>
      </w:numPr>
    </w:pPr>
  </w:style>
  <w:style w:type="paragraph" w:styleId="ListBullet4">
    <w:name w:val="List Bullet 4"/>
    <w:basedOn w:val="Normal"/>
    <w:semiHidden/>
    <w:pPr>
      <w:numPr>
        <w:numId w:val="6"/>
      </w:numPr>
    </w:pPr>
  </w:style>
  <w:style w:type="paragraph" w:styleId="ListBullet5">
    <w:name w:val="List Bullet 5"/>
    <w:basedOn w:val="Normal"/>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semiHidden/>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semiHidden/>
  </w:style>
  <w:style w:type="paragraph" w:customStyle="1" w:styleId="bTOC2">
    <w:name w:val="bTOC 2"/>
    <w:basedOn w:val="TOC2"/>
    <w:semiHidden/>
  </w:style>
  <w:style w:type="paragraph" w:customStyle="1" w:styleId="bTOC3">
    <w:name w:val="bTOC 3"/>
    <w:basedOn w:val="TOC3"/>
    <w:semiHidden/>
  </w:style>
  <w:style w:type="paragraph" w:customStyle="1" w:styleId="bTOC4">
    <w:name w:val="bTOC 4"/>
    <w:basedOn w:val="TOC4"/>
    <w:semiHidden/>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16"/>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16"/>
      </w:numPr>
      <w:spacing w:before="240" w:after="60" w:line="240" w:lineRule="auto"/>
    </w:pPr>
    <w:rPr>
      <w:b/>
    </w:rPr>
  </w:style>
  <w:style w:type="paragraph" w:customStyle="1" w:styleId="fcHeading3">
    <w:name w:val="fcHeading 3"/>
    <w:basedOn w:val="Normal"/>
    <w:next w:val="ParaNumbering"/>
    <w:semiHidden/>
    <w:pPr>
      <w:keepNext/>
      <w:numPr>
        <w:ilvl w:val="2"/>
        <w:numId w:val="16"/>
      </w:numPr>
      <w:spacing w:before="240" w:after="60" w:line="240" w:lineRule="auto"/>
    </w:pPr>
    <w:rPr>
      <w:b/>
      <w:i/>
    </w:rPr>
  </w:style>
  <w:style w:type="paragraph" w:customStyle="1" w:styleId="fcHeading4">
    <w:name w:val="fcHeading 4"/>
    <w:basedOn w:val="Normal"/>
    <w:next w:val="ParaNumbering"/>
    <w:semiHidden/>
    <w:pPr>
      <w:keepNext/>
      <w:numPr>
        <w:ilvl w:val="3"/>
        <w:numId w:val="16"/>
      </w:numPr>
      <w:spacing w:before="240" w:after="60" w:line="240" w:lineRule="auto"/>
    </w:pPr>
    <w:rPr>
      <w:b/>
      <w:smallCaps/>
    </w:rPr>
  </w:style>
  <w:style w:type="paragraph" w:customStyle="1" w:styleId="fcHeading5">
    <w:name w:val="fcHeading 5"/>
    <w:basedOn w:val="Normal"/>
    <w:next w:val="ParaNumbering"/>
    <w:semiHidden/>
    <w:pPr>
      <w:keepNext/>
      <w:numPr>
        <w:ilvl w:val="4"/>
        <w:numId w:val="16"/>
      </w:numPr>
      <w:spacing w:before="240" w:after="60" w:line="240" w:lineRule="auto"/>
    </w:pPr>
    <w:rPr>
      <w:b/>
      <w:caps/>
    </w:rPr>
  </w:style>
  <w:style w:type="paragraph" w:customStyle="1" w:styleId="FTOC5">
    <w:name w:val="FTOC 5"/>
    <w:basedOn w:val="Normal"/>
    <w:semiHidden/>
    <w:rsid w:val="008C26D9"/>
    <w:pPr>
      <w:tabs>
        <w:tab w:val="right" w:leader="dot" w:pos="9072"/>
      </w:tabs>
      <w:spacing w:before="240" w:after="60" w:line="240" w:lineRule="auto"/>
      <w:ind w:left="709" w:hanging="709"/>
    </w:pPr>
    <w:rPr>
      <w:b/>
      <w:kern w:val="28"/>
    </w:rPr>
  </w:style>
  <w:style w:type="paragraph" w:customStyle="1" w:styleId="FTOC6">
    <w:name w:val="FTOC 6"/>
    <w:basedOn w:val="Normal"/>
    <w:semiHidden/>
    <w:rsid w:val="008C26D9"/>
    <w:pPr>
      <w:tabs>
        <w:tab w:val="right" w:leader="dot" w:pos="9072"/>
      </w:tabs>
      <w:spacing w:before="240" w:after="60" w:line="240" w:lineRule="auto"/>
      <w:ind w:left="1418" w:hanging="709"/>
    </w:pPr>
    <w:rPr>
      <w:b/>
    </w:rPr>
  </w:style>
  <w:style w:type="paragraph" w:customStyle="1" w:styleId="FTOC7">
    <w:name w:val="FTOC 7"/>
    <w:basedOn w:val="Normal"/>
    <w:semiHidden/>
    <w:rsid w:val="002B6779"/>
    <w:pPr>
      <w:tabs>
        <w:tab w:val="right" w:leader="dot" w:pos="9072"/>
      </w:tabs>
      <w:spacing w:before="240" w:after="60" w:line="240" w:lineRule="auto"/>
      <w:ind w:left="2127" w:hanging="709"/>
    </w:pPr>
    <w:rPr>
      <w:b/>
    </w:rPr>
  </w:style>
  <w:style w:type="paragraph" w:customStyle="1" w:styleId="FTOC8">
    <w:name w:val="FTOC 8"/>
    <w:basedOn w:val="Normal"/>
    <w:semiHidden/>
    <w:rsid w:val="008C26D9"/>
    <w:pPr>
      <w:tabs>
        <w:tab w:val="right" w:leader="dot" w:pos="9072"/>
      </w:tabs>
      <w:spacing w:before="240" w:after="60" w:line="240" w:lineRule="auto"/>
      <w:ind w:left="3260" w:hanging="1134"/>
    </w:pPr>
    <w:rPr>
      <w:b/>
    </w:rPr>
  </w:style>
  <w:style w:type="paragraph" w:customStyle="1" w:styleId="FTOC9">
    <w:name w:val="FTOC 9"/>
    <w:basedOn w:val="Normal"/>
    <w:semiHidden/>
    <w:rsid w:val="008C26D9"/>
    <w:pPr>
      <w:tabs>
        <w:tab w:val="right" w:leader="dot" w:pos="9072"/>
      </w:tabs>
      <w:spacing w:before="240" w:after="60" w:line="240" w:lineRule="auto"/>
      <w:ind w:left="3969" w:hanging="1134"/>
    </w:pPr>
    <w:rPr>
      <w:b/>
    </w:rPr>
  </w:style>
  <w:style w:type="paragraph" w:customStyle="1" w:styleId="bTOC5">
    <w:name w:val="bTOC 5"/>
    <w:basedOn w:val="Normal"/>
    <w:semiHidden/>
    <w:rsid w:val="005E02F5"/>
    <w:pPr>
      <w:tabs>
        <w:tab w:val="right" w:leader="dot" w:pos="9072"/>
      </w:tabs>
      <w:spacing w:before="240" w:after="60" w:line="240" w:lineRule="auto"/>
      <w:ind w:left="709" w:hanging="709"/>
    </w:pPr>
  </w:style>
  <w:style w:type="paragraph" w:customStyle="1" w:styleId="bTOC6">
    <w:name w:val="bTOC 6"/>
    <w:basedOn w:val="Normal"/>
    <w:semiHidden/>
    <w:rsid w:val="005E02F5"/>
    <w:pPr>
      <w:tabs>
        <w:tab w:val="right" w:leader="dot" w:pos="9072"/>
      </w:tabs>
      <w:spacing w:before="240" w:after="60" w:line="240" w:lineRule="auto"/>
      <w:ind w:left="1418" w:hanging="709"/>
    </w:pPr>
  </w:style>
  <w:style w:type="paragraph" w:customStyle="1" w:styleId="bTOC7">
    <w:name w:val="bTOC 7"/>
    <w:basedOn w:val="Normal"/>
    <w:semiHidden/>
    <w:rsid w:val="005E02F5"/>
    <w:pPr>
      <w:tabs>
        <w:tab w:val="right" w:leader="dot" w:pos="9072"/>
      </w:tabs>
      <w:spacing w:before="240" w:after="60" w:line="240" w:lineRule="auto"/>
      <w:ind w:left="2127" w:hanging="709"/>
    </w:pPr>
  </w:style>
  <w:style w:type="paragraph" w:customStyle="1" w:styleId="bTOC8">
    <w:name w:val="bTOC 8"/>
    <w:basedOn w:val="Normal"/>
    <w:semiHidden/>
    <w:pPr>
      <w:keepNext/>
      <w:tabs>
        <w:tab w:val="right" w:leader="dot" w:pos="9072"/>
      </w:tabs>
      <w:spacing w:before="240" w:after="60" w:line="240" w:lineRule="auto"/>
      <w:ind w:left="3260" w:hanging="1134"/>
    </w:pPr>
  </w:style>
  <w:style w:type="paragraph" w:customStyle="1" w:styleId="bTOC9">
    <w:name w:val="bTOC 9"/>
    <w:basedOn w:val="Normal"/>
    <w:semiHidden/>
    <w:pPr>
      <w:keepNext/>
      <w:tabs>
        <w:tab w:val="right" w:leader="dot" w:pos="9072"/>
      </w:tabs>
      <w:spacing w:before="240" w:after="60" w:line="240" w:lineRule="auto"/>
      <w:ind w:left="3969" w:hanging="1134"/>
    </w:pPr>
  </w:style>
  <w:style w:type="paragraph" w:customStyle="1" w:styleId="ListNo2">
    <w:name w:val="List No 2"/>
    <w:basedOn w:val="ListNo1"/>
    <w:rsid w:val="00E14EA5"/>
    <w:pPr>
      <w:numPr>
        <w:ilvl w:val="1"/>
      </w:numPr>
    </w:pPr>
  </w:style>
  <w:style w:type="paragraph" w:customStyle="1" w:styleId="ListNo3">
    <w:name w:val="List No 3"/>
    <w:basedOn w:val="ListNo2"/>
    <w:rsid w:val="00E14EA5"/>
    <w:pPr>
      <w:numPr>
        <w:ilvl w:val="2"/>
      </w:numPr>
    </w:pPr>
  </w:style>
  <w:style w:type="numbering" w:customStyle="1" w:styleId="FCListNo">
    <w:name w:val="FCListNo"/>
    <w:uiPriority w:val="99"/>
    <w:rsid w:val="00E14EA5"/>
    <w:pPr>
      <w:numPr>
        <w:numId w:val="17"/>
      </w:numPr>
    </w:pPr>
  </w:style>
  <w:style w:type="paragraph" w:customStyle="1" w:styleId="SingleSpace">
    <w:name w:val="SingleSpace"/>
    <w:basedOn w:val="Normal"/>
    <w:rsid w:val="00055719"/>
    <w:pPr>
      <w:spacing w:line="240" w:lineRule="auto"/>
    </w:pPr>
    <w:rPr>
      <w:szCs w:val="22"/>
    </w:rPr>
  </w:style>
  <w:style w:type="paragraph" w:customStyle="1" w:styleId="Quote1Bullet">
    <w:name w:val="Quote1 Bullet"/>
    <w:basedOn w:val="Quote1"/>
    <w:rsid w:val="00EF3F84"/>
    <w:pPr>
      <w:numPr>
        <w:numId w:val="18"/>
      </w:numPr>
      <w:ind w:left="1440" w:hanging="720"/>
    </w:pPr>
  </w:style>
  <w:style w:type="paragraph" w:customStyle="1" w:styleId="Quote2Bullet">
    <w:name w:val="Quote2 Bullet"/>
    <w:basedOn w:val="Quote2"/>
    <w:rsid w:val="00EF3F84"/>
    <w:pPr>
      <w:numPr>
        <w:numId w:val="19"/>
      </w:numPr>
      <w:ind w:hanging="720"/>
    </w:pPr>
  </w:style>
  <w:style w:type="paragraph" w:customStyle="1" w:styleId="Quote3Bullet">
    <w:name w:val="Quote3 Bullet"/>
    <w:basedOn w:val="Quote3"/>
    <w:rsid w:val="00EF3F84"/>
    <w:pPr>
      <w:numPr>
        <w:numId w:val="20"/>
      </w:numPr>
      <w:ind w:hanging="720"/>
    </w:pPr>
  </w:style>
  <w:style w:type="paragraph" w:customStyle="1" w:styleId="Order1">
    <w:name w:val="Order 1"/>
    <w:basedOn w:val="Normal"/>
    <w:rsid w:val="00274F5B"/>
    <w:pPr>
      <w:numPr>
        <w:numId w:val="23"/>
      </w:numPr>
      <w:spacing w:before="60" w:after="60"/>
    </w:pPr>
  </w:style>
  <w:style w:type="paragraph" w:customStyle="1" w:styleId="Order2">
    <w:name w:val="Order 2"/>
    <w:basedOn w:val="Order1"/>
    <w:rsid w:val="00274F5B"/>
    <w:pPr>
      <w:numPr>
        <w:ilvl w:val="1"/>
      </w:numPr>
    </w:pPr>
  </w:style>
  <w:style w:type="paragraph" w:customStyle="1" w:styleId="Order3">
    <w:name w:val="Order 3"/>
    <w:basedOn w:val="Order2"/>
    <w:rsid w:val="00274F5B"/>
    <w:pPr>
      <w:numPr>
        <w:ilvl w:val="2"/>
      </w:numPr>
    </w:pPr>
  </w:style>
  <w:style w:type="numbering" w:customStyle="1" w:styleId="FCOrders">
    <w:name w:val="FCOrders"/>
    <w:uiPriority w:val="99"/>
    <w:rsid w:val="00274F5B"/>
    <w:pPr>
      <w:numPr>
        <w:numId w:val="22"/>
      </w:numPr>
    </w:pPr>
  </w:style>
  <w:style w:type="paragraph" w:customStyle="1" w:styleId="BodyTextBold">
    <w:name w:val="Body Text Bold"/>
    <w:basedOn w:val="BodyText"/>
    <w:rsid w:val="00484F6D"/>
    <w:rPr>
      <w:b/>
    </w:rPr>
  </w:style>
  <w:style w:type="paragraph" w:customStyle="1" w:styleId="GeneralHeading">
    <w:name w:val="General Heading"/>
    <w:basedOn w:val="BodyTextBold"/>
    <w:next w:val="BodyText"/>
    <w:rsid w:val="008C7167"/>
    <w:pPr>
      <w:spacing w:line="480" w:lineRule="auto"/>
      <w:jc w:val="center"/>
    </w:pPr>
    <w:rPr>
      <w:sz w:val="28"/>
    </w:rPr>
  </w:style>
  <w:style w:type="paragraph" w:customStyle="1" w:styleId="ReasonJudge">
    <w:name w:val="Reason Judge"/>
    <w:basedOn w:val="BodyText"/>
    <w:next w:val="BodyText"/>
    <w:rsid w:val="008C7167"/>
    <w:pPr>
      <w:jc w:val="left"/>
    </w:pPr>
    <w:rPr>
      <w:b/>
      <w:sz w:val="26"/>
    </w:rPr>
  </w:style>
  <w:style w:type="paragraph" w:customStyle="1" w:styleId="FileNo">
    <w:name w:val="FileNo"/>
    <w:basedOn w:val="NormalHeadings"/>
    <w:rsid w:val="007E4DB6"/>
    <w:pPr>
      <w:tabs>
        <w:tab w:val="right" w:pos="3609"/>
      </w:tabs>
      <w:spacing w:line="276" w:lineRule="auto"/>
      <w:jc w:val="right"/>
    </w:pPr>
    <w:rPr>
      <w:szCs w:val="24"/>
    </w:rPr>
  </w:style>
  <w:style w:type="paragraph" w:customStyle="1" w:styleId="CasesLegislationAppealFrom">
    <w:name w:val="Cases Legislation Appeal From"/>
    <w:basedOn w:val="Normal1linespace"/>
    <w:rsid w:val="000C023E"/>
    <w:pPr>
      <w:widowControl w:val="0"/>
      <w:spacing w:after="100"/>
      <w:jc w:val="left"/>
    </w:pPr>
  </w:style>
  <w:style w:type="paragraph" w:customStyle="1" w:styleId="PartyName">
    <w:name w:val="Party Name"/>
    <w:basedOn w:val="NormalHeadings"/>
    <w:rsid w:val="00A45FB1"/>
    <w:pPr>
      <w:jc w:val="left"/>
    </w:pPr>
    <w:rPr>
      <w:szCs w:val="24"/>
    </w:rPr>
  </w:style>
  <w:style w:type="paragraph" w:customStyle="1" w:styleId="PartyType">
    <w:name w:val="Party Type"/>
    <w:basedOn w:val="PartyName"/>
    <w:rsid w:val="00A45FB1"/>
    <w:rPr>
      <w:b w:val="0"/>
    </w:rPr>
  </w:style>
  <w:style w:type="paragraph" w:customStyle="1" w:styleId="Small-TableswithinQuotes">
    <w:name w:val="Small - Tables within Quotes"/>
    <w:basedOn w:val="BodyText"/>
    <w:rsid w:val="005E0510"/>
    <w:pPr>
      <w:spacing w:line="240" w:lineRule="auto"/>
      <w:jc w:val="left"/>
    </w:pPr>
    <w:rPr>
      <w:sz w:val="22"/>
    </w:rPr>
  </w:style>
  <w:style w:type="character" w:customStyle="1" w:styleId="BodyTextChar">
    <w:name w:val="Body Text Char"/>
    <w:basedOn w:val="DefaultParagraphFont"/>
    <w:link w:val="BodyText"/>
    <w:rsid w:val="00E91A0F"/>
    <w:rPr>
      <w:sz w:val="24"/>
      <w:lang w:eastAsia="en-US"/>
    </w:rPr>
  </w:style>
  <w:style w:type="character" w:customStyle="1" w:styleId="NormalHeadingsChar">
    <w:name w:val="Normal Headings Char"/>
    <w:basedOn w:val="DefaultParagraphFont"/>
    <w:link w:val="NormalHeadings"/>
    <w:rsid w:val="00E91A0F"/>
    <w:rPr>
      <w:b/>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H:\My%20Documents\Judg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Judgment.dotx</Template>
  <TotalTime>1</TotalTime>
  <Pages>14</Pages>
  <Words>4804</Words>
  <Characters>24085</Characters>
  <Application>Microsoft Office Word</Application>
  <DocSecurity>0</DocSecurity>
  <Lines>512</Lines>
  <Paragraphs>199</Paragraphs>
  <ScaleCrop>false</ScaleCrop>
  <HeadingPairs>
    <vt:vector size="2" baseType="variant">
      <vt:variant>
        <vt:lpstr>Title</vt:lpstr>
      </vt:variant>
      <vt:variant>
        <vt:i4>1</vt:i4>
      </vt:variant>
    </vt:vector>
  </HeadingPairs>
  <TitlesOfParts>
    <vt:vector size="1" baseType="lpstr">
      <vt:lpstr>Victorian Xray Group Pty Ltd v Ho [2020] FCA 27</vt:lpstr>
    </vt:vector>
  </TitlesOfParts>
  <Company>Federal Court of Australia</Company>
  <LinksUpToDate>false</LinksUpToDate>
  <CharactersWithSpaces>28690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Victorian Xray Group Pty Ltd v Ho [2020] FCA 27</dc:title>
  <dc:creator>Justice Steward (FCA)</dc:creator>
  <cp:lastModifiedBy>Sona Muradyan</cp:lastModifiedBy>
  <cp:revision>4</cp:revision>
  <cp:lastPrinted>2020-01-22T00:03:00Z</cp:lastPrinted>
  <dcterms:created xsi:type="dcterms:W3CDTF">2020-01-24T05:03:00Z</dcterms:created>
  <dcterms:modified xsi:type="dcterms:W3CDTF">2020-01-24T05:04:00Z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licant">
    <vt:lpwstr> </vt:lpwstr>
  </property>
  <property fmtid="{D5CDD505-2E9C-101B-9397-08002B2CF9AE}" pid="3" name="Judge" linkTarget="Judge">
    <vt:lpwstr>STEWARD J</vt:lpwstr>
  </property>
  <property fmtid="{D5CDD505-2E9C-101B-9397-08002B2CF9AE}" pid="4" name="Judgment_dated" linkTarget="Judgment_dated">
    <vt:lpwstr>24 JANUARY 2020</vt:lpwstr>
  </property>
  <property fmtid="{D5CDD505-2E9C-101B-9397-08002B2CF9AE}" pid="5" name="Distribution">
    <vt:lpwstr>GENERAL DISTRIBUTION</vt:lpwstr>
  </property>
  <property fmtid="{D5CDD505-2E9C-101B-9397-08002B2CF9AE}" pid="6" name="MNC">
    <vt:lpwstr> </vt:lpwstr>
  </property>
  <property fmtid="{D5CDD505-2E9C-101B-9397-08002B2CF9AE}" pid="7" name="Pages">
    <vt:lpwstr>13</vt:lpwstr>
  </property>
  <property fmtid="{D5CDD505-2E9C-101B-9397-08002B2CF9AE}" pid="8" name="Parties">
    <vt:lpwstr> </vt:lpwstr>
  </property>
  <property fmtid="{D5CDD505-2E9C-101B-9397-08002B2CF9AE}" pid="9" name="Place">
    <vt:lpwstr>SYDNEY</vt:lpwstr>
  </property>
  <property fmtid="{D5CDD505-2E9C-101B-9397-08002B2CF9AE}" pid="10" name="Respondent">
    <vt:lpwstr> </vt:lpwstr>
  </property>
  <property fmtid="{D5CDD505-2E9C-101B-9397-08002B2CF9AE}" pid="11" name="State" linkTarget="State">
    <vt:lpwstr>NEW SOUTH WALES</vt:lpwstr>
  </property>
  <property fmtid="{D5CDD505-2E9C-101B-9397-08002B2CF9AE}" pid="12" name="Year">
    <vt:lpwstr>2006</vt:lpwstr>
  </property>
  <property fmtid="{D5CDD505-2E9C-101B-9397-08002B2CF9AE}" pid="13" name="Judgment Template">
    <vt:lpwstr>True</vt:lpwstr>
  </property>
  <property fmtid="{D5CDD505-2E9C-101B-9397-08002B2CF9AE}" pid="14" name="VERSION">
    <vt:lpwstr>16.0</vt:lpwstr>
  </property>
  <property fmtid="{D5CDD505-2E9C-101B-9397-08002B2CF9AE}" pid="15" name="Registry">
    <vt:lpwstr>Victoria</vt:lpwstr>
  </property>
  <property fmtid="{D5CDD505-2E9C-101B-9397-08002B2CF9AE}" pid="16" name="Division">
    <vt:lpwstr>Fair Work Division</vt:lpwstr>
  </property>
  <property fmtid="{D5CDD505-2E9C-101B-9397-08002B2CF9AE}" pid="17" name="FileNo">
    <vt:lpwstr>&lt;FILE NO&gt;</vt:lpwstr>
  </property>
  <property fmtid="{D5CDD505-2E9C-101B-9397-08002B2CF9AE}" pid="18" name="Practice Area">
    <vt:lpwstr>Employment &amp; Industrial Relations</vt:lpwstr>
  </property>
  <property fmtid="{D5CDD505-2E9C-101B-9397-08002B2CF9AE}" pid="19" name="Sub Area">
    <vt:lpwstr>Delete these rows - not required</vt:lpwstr>
  </property>
  <property fmtid="{D5CDD505-2E9C-101B-9397-08002B2CF9AE}" pid="20" name="Legislation">
    <vt:lpwstr>Legislation</vt:lpwstr>
  </property>
  <property fmtid="{D5CDD505-2E9C-101B-9397-08002B2CF9AE}" pid="21" name="Catchwords">
    <vt:lpwstr>Catchwords</vt:lpwstr>
  </property>
  <property fmtid="{D5CDD505-2E9C-101B-9397-08002B2CF9AE}" pid="22" name="Words_Phrases">
    <vt:lpwstr>WordsPhrases</vt:lpwstr>
  </property>
  <property fmtid="{D5CDD505-2E9C-101B-9397-08002B2CF9AE}" pid="23" name="Cases_Cited">
    <vt:lpwstr>CasesCited</vt:lpwstr>
  </property>
  <property fmtid="{D5CDD505-2E9C-101B-9397-08002B2CF9AE}" pid="24" name="File_Number">
    <vt:lpwstr>Num</vt:lpwstr>
  </property>
</Properties>
</file>